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BDD6D" w14:textId="77777777" w:rsidR="00922A50" w:rsidRDefault="0065761D">
      <w:pPr>
        <w:pStyle w:val="A-StudyTitle"/>
      </w:pPr>
      <w:bookmarkStart w:id="0" w:name="_GoBack"/>
      <w:bookmarkEnd w:id="0"/>
      <w:proofErr w:type="spellStart"/>
      <w:r>
        <w:t>F</w:t>
      </w:r>
      <w:r w:rsidR="00AC5FFF">
        <w:t>luM</w:t>
      </w:r>
      <w:r>
        <w:t>ist</w:t>
      </w:r>
      <w:proofErr w:type="spellEnd"/>
      <w:r w:rsidR="00AC5FFF">
        <w:rPr>
          <w:rFonts w:cs="Arial"/>
          <w:vertAlign w:val="superscript"/>
        </w:rPr>
        <w:t>®</w:t>
      </w:r>
      <w:r>
        <w:t xml:space="preserve"> </w:t>
      </w:r>
      <w:proofErr w:type="spellStart"/>
      <w:r>
        <w:t>Quadrivalent</w:t>
      </w:r>
      <w:proofErr w:type="spellEnd"/>
    </w:p>
    <w:p w14:paraId="01FA722F" w14:textId="77777777" w:rsidR="00922A50" w:rsidRDefault="00AC5FFF">
      <w:pPr>
        <w:pStyle w:val="A-StudyTitle"/>
        <w:rPr>
          <w:b w:val="0"/>
          <w:bCs/>
          <w:sz w:val="24"/>
        </w:rPr>
      </w:pPr>
      <w:r w:rsidRPr="00235F4B">
        <w:rPr>
          <w:b w:val="0"/>
          <w:bCs/>
          <w:sz w:val="24"/>
        </w:rPr>
        <w:t xml:space="preserve">Influenza </w:t>
      </w:r>
      <w:r w:rsidR="00396CC2" w:rsidRPr="00235F4B">
        <w:rPr>
          <w:b w:val="0"/>
          <w:bCs/>
          <w:sz w:val="24"/>
        </w:rPr>
        <w:t xml:space="preserve">virus vaccine </w:t>
      </w:r>
      <w:r w:rsidR="000C17B7" w:rsidRPr="00235F4B">
        <w:rPr>
          <w:b w:val="0"/>
          <w:bCs/>
          <w:sz w:val="24"/>
        </w:rPr>
        <w:t>nasal spray</w:t>
      </w:r>
    </w:p>
    <w:p w14:paraId="7FFB2D28" w14:textId="77777777" w:rsidR="00922A50" w:rsidRDefault="00922A50">
      <w:pPr>
        <w:pStyle w:val="A-StudyTitle"/>
        <w:rPr>
          <w:sz w:val="24"/>
        </w:rPr>
      </w:pPr>
      <w:r>
        <w:rPr>
          <w:sz w:val="24"/>
        </w:rPr>
        <w:t>PRODUCT INFORMATION</w:t>
      </w:r>
    </w:p>
    <w:p w14:paraId="620042F1" w14:textId="77777777" w:rsidR="00922A50" w:rsidRPr="008A2422" w:rsidRDefault="00922A50" w:rsidP="00284F9B">
      <w:pPr>
        <w:pStyle w:val="A-Heading1"/>
        <w:rPr>
          <w:lang w:val="en-AU"/>
        </w:rPr>
      </w:pPr>
      <w:r w:rsidRPr="008A2422">
        <w:rPr>
          <w:lang w:val="en-AU"/>
        </w:rPr>
        <w:t>NAME OF THE MEDICINE</w:t>
      </w:r>
    </w:p>
    <w:p w14:paraId="3F1503F9" w14:textId="77777777" w:rsidR="0065761D" w:rsidRDefault="008362C4" w:rsidP="00284F9B">
      <w:proofErr w:type="spellStart"/>
      <w:r w:rsidRPr="008A2422">
        <w:t>Quadrivalent</w:t>
      </w:r>
      <w:proofErr w:type="spellEnd"/>
      <w:r w:rsidRPr="008A2422">
        <w:t xml:space="preserve"> i</w:t>
      </w:r>
      <w:r w:rsidR="0065761D" w:rsidRPr="008A2422">
        <w:t xml:space="preserve">nfluenza </w:t>
      </w:r>
      <w:r w:rsidR="00396CC2" w:rsidRPr="008A2422">
        <w:t xml:space="preserve">virus </w:t>
      </w:r>
      <w:r w:rsidR="0065761D" w:rsidRPr="008A2422">
        <w:t>vaccine (live attenuated)</w:t>
      </w:r>
    </w:p>
    <w:p w14:paraId="24463AEE" w14:textId="77777777" w:rsidR="00922A50" w:rsidRDefault="00922A50" w:rsidP="00284F9B">
      <w:pPr>
        <w:pStyle w:val="A-Heading1"/>
        <w:rPr>
          <w:lang w:val="en-AU"/>
        </w:rPr>
      </w:pPr>
      <w:r>
        <w:rPr>
          <w:lang w:val="en-AU"/>
        </w:rPr>
        <w:t>DESCRIPTION</w:t>
      </w:r>
      <w:r w:rsidR="000C17B7">
        <w:rPr>
          <w:rStyle w:val="FootnoteReference"/>
          <w:lang w:val="en-AU"/>
        </w:rPr>
        <w:footnoteReference w:id="1"/>
      </w:r>
    </w:p>
    <w:p w14:paraId="354F7D46" w14:textId="7951AD30" w:rsidR="00AC5FFF" w:rsidRPr="00FA6812" w:rsidRDefault="00AC5FFF" w:rsidP="00284F9B">
      <w:proofErr w:type="spellStart"/>
      <w:r w:rsidRPr="00FA6812">
        <w:t>FluMist</w:t>
      </w:r>
      <w:proofErr w:type="spellEnd"/>
      <w:r w:rsidRPr="00FA6812">
        <w:t xml:space="preserve"> </w:t>
      </w:r>
      <w:proofErr w:type="spellStart"/>
      <w:r w:rsidRPr="00FA6812">
        <w:t>Quadrivalent</w:t>
      </w:r>
      <w:proofErr w:type="spellEnd"/>
      <w:r w:rsidRPr="00FA6812">
        <w:t xml:space="preserve"> contains </w:t>
      </w:r>
      <w:r w:rsidR="00FB555F">
        <w:t xml:space="preserve">the following </w:t>
      </w:r>
      <w:r w:rsidR="000C17B7" w:rsidRPr="00FA6812">
        <w:t>4</w:t>
      </w:r>
      <w:r w:rsidR="00CB6781" w:rsidRPr="00FA6812">
        <w:t> </w:t>
      </w:r>
      <w:r w:rsidRPr="00FA6812">
        <w:t xml:space="preserve">live attenuated influenza virus </w:t>
      </w:r>
      <w:proofErr w:type="spellStart"/>
      <w:r w:rsidRPr="00FA6812">
        <w:t>reassortant</w:t>
      </w:r>
      <w:proofErr w:type="spellEnd"/>
      <w:r w:rsidRPr="00FA6812">
        <w:t xml:space="preserve"> strains</w:t>
      </w:r>
      <w:r w:rsidR="00FB555F">
        <w:t>,</w:t>
      </w:r>
      <w:r w:rsidRPr="00FA6812">
        <w:t xml:space="preserve"> propagated in specific pathogen-free (SPF) egg</w:t>
      </w:r>
      <w:r w:rsidR="00FB555F">
        <w:t>s from SPF chicken flocks.</w:t>
      </w:r>
    </w:p>
    <w:p w14:paraId="4585C4D7" w14:textId="0EF785A5" w:rsidR="00AC5FFF" w:rsidRDefault="00FB555F" w:rsidP="00284F9B">
      <w:pPr>
        <w:pStyle w:val="A-ListBullet"/>
      </w:pPr>
      <w:r>
        <w:t>A/South Dakota/6/2007</w:t>
      </w:r>
      <w:r w:rsidR="00AC5FFF">
        <w:t xml:space="preserve"> (H1N1)</w:t>
      </w:r>
    </w:p>
    <w:p w14:paraId="37DD40DA" w14:textId="3FC1F127" w:rsidR="00AC5FFF" w:rsidRDefault="00FB555F" w:rsidP="00284F9B">
      <w:pPr>
        <w:pStyle w:val="A-ListBullet"/>
      </w:pPr>
      <w:r>
        <w:t>A/Uruguay/716/2007</w:t>
      </w:r>
      <w:r w:rsidR="00AC5FFF">
        <w:t xml:space="preserve"> (H3N2)</w:t>
      </w:r>
    </w:p>
    <w:p w14:paraId="3E0DAF61" w14:textId="2AF6E314" w:rsidR="00AC5FFF" w:rsidRDefault="00FB555F" w:rsidP="00284F9B">
      <w:pPr>
        <w:pStyle w:val="A-ListBullet"/>
      </w:pPr>
      <w:r>
        <w:t>B/Malaysia/2506/2004 (Victoria lineage)</w:t>
      </w:r>
    </w:p>
    <w:p w14:paraId="2E0E0151" w14:textId="241C9FA9" w:rsidR="00AC5FFF" w:rsidRDefault="00FB555F" w:rsidP="00284F9B">
      <w:pPr>
        <w:pStyle w:val="A-ListBullet"/>
      </w:pPr>
      <w:r>
        <w:t>B/Florida/4/2006</w:t>
      </w:r>
      <w:r w:rsidR="009F2FF2">
        <w:t xml:space="preserve"> (Yamagata lineage)</w:t>
      </w:r>
    </w:p>
    <w:p w14:paraId="6A555B89" w14:textId="3D955574" w:rsidR="00AC5FFF" w:rsidRPr="0065761D" w:rsidRDefault="00AC5FFF" w:rsidP="00284F9B">
      <w:r>
        <w:t>This influenza vaccine complies with the W</w:t>
      </w:r>
      <w:r w:rsidR="000C17B7">
        <w:t xml:space="preserve">orld </w:t>
      </w:r>
      <w:r>
        <w:t>H</w:t>
      </w:r>
      <w:r w:rsidR="000C17B7">
        <w:t xml:space="preserve">ealth </w:t>
      </w:r>
      <w:r>
        <w:t>O</w:t>
      </w:r>
      <w:r w:rsidR="000C17B7">
        <w:t>rganisation (WHO)</w:t>
      </w:r>
      <w:r>
        <w:t xml:space="preserve"> </w:t>
      </w:r>
      <w:r w:rsidR="00A3395D">
        <w:t xml:space="preserve">and Australian Influenza Vaccine Committee (AIVC) recommendations </w:t>
      </w:r>
      <w:r>
        <w:t xml:space="preserve">for the </w:t>
      </w:r>
      <w:r w:rsidR="00FB555F">
        <w:t>2009</w:t>
      </w:r>
      <w:r w:rsidR="003B0F94">
        <w:t xml:space="preserve"> </w:t>
      </w:r>
      <w:r w:rsidR="00FA6812">
        <w:t xml:space="preserve">Southern Hemisphere </w:t>
      </w:r>
      <w:r>
        <w:t>influenza season.</w:t>
      </w:r>
    </w:p>
    <w:p w14:paraId="67A5922D" w14:textId="77777777" w:rsidR="002E0E90" w:rsidRDefault="002E0E90" w:rsidP="00284F9B">
      <w:pPr>
        <w:pStyle w:val="A-Heading2"/>
      </w:pPr>
      <w:proofErr w:type="spellStart"/>
      <w:r>
        <w:t>Flu</w:t>
      </w:r>
      <w:r w:rsidR="00A3395D">
        <w:t>M</w:t>
      </w:r>
      <w:r>
        <w:t>ist</w:t>
      </w:r>
      <w:proofErr w:type="spellEnd"/>
      <w:r>
        <w:t xml:space="preserve"> </w:t>
      </w:r>
      <w:proofErr w:type="spellStart"/>
      <w:r>
        <w:t>Quadrivalent</w:t>
      </w:r>
      <w:proofErr w:type="spellEnd"/>
      <w:r w:rsidR="000C17B7">
        <w:t xml:space="preserve"> </w:t>
      </w:r>
      <w:r w:rsidR="00A3395D" w:rsidRPr="00A352F4">
        <w:t>nasal spray</w:t>
      </w:r>
    </w:p>
    <w:p w14:paraId="55E5A868" w14:textId="0CF838ED" w:rsidR="002E0E90" w:rsidRDefault="00A3395D" w:rsidP="00284F9B">
      <w:proofErr w:type="spellStart"/>
      <w:r>
        <w:t>FluM</w:t>
      </w:r>
      <w:r w:rsidR="002E0E90">
        <w:t>ist</w:t>
      </w:r>
      <w:proofErr w:type="spellEnd"/>
      <w:r w:rsidR="000C17B7">
        <w:t xml:space="preserve"> </w:t>
      </w:r>
      <w:proofErr w:type="spellStart"/>
      <w:r w:rsidR="000C17B7">
        <w:t>Quadrivalent</w:t>
      </w:r>
      <w:proofErr w:type="spellEnd"/>
      <w:r w:rsidR="000C17B7">
        <w:t xml:space="preserve"> </w:t>
      </w:r>
      <w:r w:rsidR="002E0E90" w:rsidRPr="00A352F4">
        <w:t>nasal spray</w:t>
      </w:r>
      <w:r w:rsidR="002E0E90">
        <w:t xml:space="preserve"> is a c</w:t>
      </w:r>
      <w:r w:rsidR="002E0E90" w:rsidRPr="002E0E90">
        <w:t>olourless to pale yellow, clear to opalescent suspension</w:t>
      </w:r>
      <w:r w:rsidR="002E0E90">
        <w:t>.</w:t>
      </w:r>
      <w:r w:rsidR="00B74ECF">
        <w:t xml:space="preserve"> </w:t>
      </w:r>
      <w:r w:rsidR="002E0E90">
        <w:t>Small</w:t>
      </w:r>
      <w:r w:rsidR="002E0E90" w:rsidRPr="002E0E90">
        <w:t xml:space="preserve"> white particles may be present.</w:t>
      </w:r>
    </w:p>
    <w:p w14:paraId="667A7260" w14:textId="3263B8DA" w:rsidR="00AC5FFF" w:rsidRDefault="00AC5FFF" w:rsidP="00284F9B">
      <w:r>
        <w:t xml:space="preserve">Each </w:t>
      </w:r>
      <w:r w:rsidR="00FA6812">
        <w:t>200 </w:t>
      </w:r>
      <w:r w:rsidR="00FA6812">
        <w:rPr>
          <w:rFonts w:cs="Arial"/>
        </w:rPr>
        <w:t>µ</w:t>
      </w:r>
      <w:r w:rsidR="00FA6812">
        <w:t>L</w:t>
      </w:r>
      <w:r>
        <w:t xml:space="preserve"> dose of </w:t>
      </w:r>
      <w:proofErr w:type="spellStart"/>
      <w:r>
        <w:t>FluMist</w:t>
      </w:r>
      <w:proofErr w:type="spellEnd"/>
      <w:r>
        <w:t xml:space="preserve"> </w:t>
      </w:r>
      <w:proofErr w:type="spellStart"/>
      <w:r>
        <w:t>Quadrivalent</w:t>
      </w:r>
      <w:proofErr w:type="spellEnd"/>
      <w:r>
        <w:t xml:space="preserve"> contains 10</w:t>
      </w:r>
      <w:r w:rsidRPr="0065761D">
        <w:rPr>
          <w:vertAlign w:val="superscript"/>
        </w:rPr>
        <w:t xml:space="preserve">7.0±0.5 </w:t>
      </w:r>
      <w:r>
        <w:t xml:space="preserve">FFU (fluorescent focus units) of each of </w:t>
      </w:r>
      <w:r w:rsidR="00A3395D">
        <w:t xml:space="preserve">the </w:t>
      </w:r>
      <w:r w:rsidR="000C17B7">
        <w:t>4</w:t>
      </w:r>
      <w:r>
        <w:t xml:space="preserve"> influenza </w:t>
      </w:r>
      <w:r w:rsidR="00781D90">
        <w:t xml:space="preserve">virus </w:t>
      </w:r>
      <w:r>
        <w:t>strains</w:t>
      </w:r>
      <w:r w:rsidR="000C17B7">
        <w:t>.</w:t>
      </w:r>
      <w:r w:rsidR="00B74ECF">
        <w:t xml:space="preserve"> </w:t>
      </w:r>
      <w:r w:rsidR="000C17B7" w:rsidRPr="00763807">
        <w:t xml:space="preserve">The </w:t>
      </w:r>
      <w:r w:rsidR="002A7CC0" w:rsidRPr="00763807">
        <w:t>nasal spray also</w:t>
      </w:r>
      <w:r w:rsidR="002A7CC0">
        <w:t xml:space="preserve"> contains the following as inactive ingredients:</w:t>
      </w:r>
      <w:r w:rsidR="00B74ECF">
        <w:t xml:space="preserve"> </w:t>
      </w:r>
      <w:r w:rsidR="002A7CC0" w:rsidRPr="00763807">
        <w:t xml:space="preserve">sucrose, dibasic potassium </w:t>
      </w:r>
      <w:r w:rsidR="002A7CC0" w:rsidRPr="00FA6812">
        <w:t xml:space="preserve">phosphate, monobasic potassium phosphate, </w:t>
      </w:r>
      <w:proofErr w:type="spellStart"/>
      <w:r w:rsidR="002A7CC0" w:rsidRPr="00FA6812">
        <w:t>gelatin</w:t>
      </w:r>
      <w:proofErr w:type="spellEnd"/>
      <w:r w:rsidR="002A7CC0" w:rsidRPr="00FA6812">
        <w:t xml:space="preserve"> (porcine Type A), arginine</w:t>
      </w:r>
      <w:r w:rsidR="002A7CC0" w:rsidRPr="00763807">
        <w:t xml:space="preserve"> hydrochloride</w:t>
      </w:r>
      <w:r w:rsidR="009225F0">
        <w:t>,</w:t>
      </w:r>
      <w:r w:rsidR="00567102">
        <w:t xml:space="preserve"> </w:t>
      </w:r>
      <w:r w:rsidR="002A7CC0" w:rsidRPr="00763807">
        <w:t>monosodium glutamate</w:t>
      </w:r>
      <w:r w:rsidR="009225F0">
        <w:t xml:space="preserve"> and water for injections</w:t>
      </w:r>
      <w:r w:rsidR="002A7CC0" w:rsidRPr="00763807">
        <w:t>.</w:t>
      </w:r>
      <w:r w:rsidR="00B74ECF">
        <w:t xml:space="preserve"> </w:t>
      </w:r>
      <w:r w:rsidR="002A7CC0">
        <w:t xml:space="preserve">Residual amounts of </w:t>
      </w:r>
      <w:r w:rsidR="002A7CC0" w:rsidRPr="00763807">
        <w:t>ovalbumin</w:t>
      </w:r>
      <w:r w:rsidR="002A7CC0">
        <w:t xml:space="preserve"> </w:t>
      </w:r>
      <w:r w:rsidR="002A7CC0" w:rsidRPr="006151A2">
        <w:t>(</w:t>
      </w:r>
      <w:r w:rsidR="006151A2" w:rsidRPr="006151A2">
        <w:t>&lt;0.24 </w:t>
      </w:r>
      <w:r w:rsidR="006151A2" w:rsidRPr="006151A2">
        <w:rPr>
          <w:rFonts w:cs="Arial"/>
        </w:rPr>
        <w:t>µ</w:t>
      </w:r>
      <w:r w:rsidR="006151A2" w:rsidRPr="006151A2">
        <w:t>g/dose</w:t>
      </w:r>
      <w:r w:rsidR="002A7CC0" w:rsidRPr="006151A2">
        <w:t xml:space="preserve"> and also traces of gentamicin </w:t>
      </w:r>
      <w:proofErr w:type="spellStart"/>
      <w:r w:rsidR="002A7CC0" w:rsidRPr="006151A2">
        <w:t>sulfate</w:t>
      </w:r>
      <w:proofErr w:type="spellEnd"/>
      <w:r w:rsidR="00C766F6">
        <w:t xml:space="preserve"> (&lt;0.015</w:t>
      </w:r>
      <w:r w:rsidR="00A44343">
        <w:t> </w:t>
      </w:r>
      <w:r w:rsidR="00C766F6">
        <w:rPr>
          <w:rFonts w:cs="Arial"/>
        </w:rPr>
        <w:t>µ</w:t>
      </w:r>
      <w:r w:rsidR="00C766F6">
        <w:t>g/dose)</w:t>
      </w:r>
      <w:r w:rsidR="002A7CC0" w:rsidRPr="006151A2">
        <w:t xml:space="preserve"> from the manufacturing</w:t>
      </w:r>
      <w:r w:rsidR="002A7CC0">
        <w:t xml:space="preserve"> process may be present.</w:t>
      </w:r>
      <w:r w:rsidR="00B74ECF">
        <w:t xml:space="preserve"> </w:t>
      </w:r>
      <w:proofErr w:type="spellStart"/>
      <w:r w:rsidR="00CC2C2D">
        <w:t>FluMist</w:t>
      </w:r>
      <w:proofErr w:type="spellEnd"/>
      <w:r w:rsidR="00CC2C2D">
        <w:t xml:space="preserve"> </w:t>
      </w:r>
      <w:proofErr w:type="spellStart"/>
      <w:r w:rsidR="00CC2C2D">
        <w:t>Quadrivalent</w:t>
      </w:r>
      <w:proofErr w:type="spellEnd"/>
      <w:r w:rsidR="00CC2C2D">
        <w:t xml:space="preserve"> contains no preservatives</w:t>
      </w:r>
      <w:r w:rsidR="00763807">
        <w:t xml:space="preserve"> (</w:t>
      </w:r>
      <w:proofErr w:type="spellStart"/>
      <w:r w:rsidR="00763807">
        <w:t>ie</w:t>
      </w:r>
      <w:proofErr w:type="spellEnd"/>
      <w:r w:rsidR="00763807">
        <w:t xml:space="preserve"> </w:t>
      </w:r>
      <w:r w:rsidR="00763807" w:rsidRPr="00763807">
        <w:t xml:space="preserve">no </w:t>
      </w:r>
      <w:proofErr w:type="spellStart"/>
      <w:r w:rsidR="00763807" w:rsidRPr="00763807">
        <w:t>thi</w:t>
      </w:r>
      <w:r w:rsidR="00D715F4">
        <w:t>omer</w:t>
      </w:r>
      <w:r w:rsidR="00763807" w:rsidRPr="00763807">
        <w:t>sal</w:t>
      </w:r>
      <w:proofErr w:type="spellEnd"/>
      <w:r w:rsidR="00763807">
        <w:t>)</w:t>
      </w:r>
      <w:r w:rsidR="00CC2C2D">
        <w:t>.</w:t>
      </w:r>
    </w:p>
    <w:p w14:paraId="0282A97E" w14:textId="77777777" w:rsidR="00922A50" w:rsidRDefault="00922A50">
      <w:pPr>
        <w:pStyle w:val="A-Heading1"/>
        <w:rPr>
          <w:lang w:val="en-AU"/>
        </w:rPr>
      </w:pPr>
      <w:r>
        <w:rPr>
          <w:lang w:val="en-AU"/>
        </w:rPr>
        <w:t>PHARMACOLOGY</w:t>
      </w:r>
    </w:p>
    <w:p w14:paraId="69ACE75D" w14:textId="583CD722" w:rsidR="00A3395D" w:rsidRDefault="00A3395D" w:rsidP="00A3395D">
      <w:r>
        <w:t xml:space="preserve">Since 1985, </w:t>
      </w:r>
      <w:r w:rsidR="000C17B7">
        <w:t>2</w:t>
      </w:r>
      <w:r>
        <w:t xml:space="preserve"> distinct lineages of influenza B viruses (Victoria and Yamagata) have circulated worldwide.</w:t>
      </w:r>
      <w:r w:rsidR="00B74ECF">
        <w:t xml:space="preserve"> </w:t>
      </w:r>
      <w:proofErr w:type="spellStart"/>
      <w:r>
        <w:t>FluMist</w:t>
      </w:r>
      <w:proofErr w:type="spellEnd"/>
      <w:r>
        <w:t xml:space="preserve"> </w:t>
      </w:r>
      <w:proofErr w:type="spellStart"/>
      <w:r>
        <w:t>Quadrivalent</w:t>
      </w:r>
      <w:proofErr w:type="spellEnd"/>
      <w:r>
        <w:t xml:space="preserve"> is a </w:t>
      </w:r>
      <w:proofErr w:type="spellStart"/>
      <w:r>
        <w:t>quadrivalent</w:t>
      </w:r>
      <w:proofErr w:type="spellEnd"/>
      <w:r>
        <w:t xml:space="preserve"> (also known as tetravalent) vaccine that contains antigens for </w:t>
      </w:r>
      <w:r w:rsidR="0020751A">
        <w:t>4</w:t>
      </w:r>
      <w:r>
        <w:t xml:space="preserve"> influenza virus strains, an A/(H1N1) strain, an A/(H3N2) strain, and </w:t>
      </w:r>
      <w:r w:rsidR="0020751A">
        <w:t>2</w:t>
      </w:r>
      <w:r>
        <w:t xml:space="preserve"> B strains (one from each lineage). The </w:t>
      </w:r>
      <w:r>
        <w:lastRenderedPageBreak/>
        <w:t xml:space="preserve">influenza virus strains in </w:t>
      </w:r>
      <w:proofErr w:type="spellStart"/>
      <w:r w:rsidR="00095EAF">
        <w:t>FluMist</w:t>
      </w:r>
      <w:proofErr w:type="spellEnd"/>
      <w:r>
        <w:t xml:space="preserve"> </w:t>
      </w:r>
      <w:proofErr w:type="spellStart"/>
      <w:r>
        <w:t>Quadrivalent</w:t>
      </w:r>
      <w:proofErr w:type="spellEnd"/>
      <w:r>
        <w:t xml:space="preserve"> are (a) </w:t>
      </w:r>
      <w:r w:rsidRPr="0065761D">
        <w:rPr>
          <w:i/>
        </w:rPr>
        <w:t>cold-adapted (ca)</w:t>
      </w:r>
      <w:r>
        <w:t xml:space="preserve"> (</w:t>
      </w:r>
      <w:proofErr w:type="spellStart"/>
      <w:r>
        <w:t>ie</w:t>
      </w:r>
      <w:proofErr w:type="spellEnd"/>
      <w:r>
        <w:t xml:space="preserve"> they replicate efficiently at 25°C, a temperature that is restrictive for replication of many wild-type influenza viruses); (b) </w:t>
      </w:r>
      <w:r w:rsidRPr="0065761D">
        <w:rPr>
          <w:i/>
        </w:rPr>
        <w:t>temperature-sensitive (</w:t>
      </w:r>
      <w:proofErr w:type="spellStart"/>
      <w:r w:rsidRPr="0065761D">
        <w:rPr>
          <w:i/>
        </w:rPr>
        <w:t>ts</w:t>
      </w:r>
      <w:proofErr w:type="spellEnd"/>
      <w:r w:rsidRPr="0065761D">
        <w:rPr>
          <w:i/>
        </w:rPr>
        <w:t>)</w:t>
      </w:r>
      <w:r>
        <w:t xml:space="preserve"> (</w:t>
      </w:r>
      <w:proofErr w:type="spellStart"/>
      <w:r>
        <w:t>ie</w:t>
      </w:r>
      <w:proofErr w:type="spellEnd"/>
      <w:r>
        <w:t xml:space="preserve"> they are restricted in replication at 37°C (Type B strains) or 39°C (Type A strains), temperatures at which many wildtype influenza viruses grow efficiently); and (c) </w:t>
      </w:r>
      <w:r w:rsidRPr="0065761D">
        <w:rPr>
          <w:i/>
        </w:rPr>
        <w:t>attenuated (</w:t>
      </w:r>
      <w:proofErr w:type="spellStart"/>
      <w:r w:rsidRPr="0065761D">
        <w:rPr>
          <w:i/>
        </w:rPr>
        <w:t>att</w:t>
      </w:r>
      <w:proofErr w:type="spellEnd"/>
      <w:r w:rsidRPr="0065761D">
        <w:rPr>
          <w:i/>
        </w:rPr>
        <w:t>)</w:t>
      </w:r>
      <w:r>
        <w:t xml:space="preserve"> (</w:t>
      </w:r>
      <w:proofErr w:type="spellStart"/>
      <w:r>
        <w:t>ie</w:t>
      </w:r>
      <w:proofErr w:type="spellEnd"/>
      <w:r>
        <w:t xml:space="preserve"> they do not produce classic influenza-like illness in the ferret model of human influenza infection).</w:t>
      </w:r>
      <w:r w:rsidR="00B74ECF">
        <w:t xml:space="preserve"> </w:t>
      </w:r>
      <w:r>
        <w:t xml:space="preserve">The cumulative effect of the antigenic properties and the </w:t>
      </w:r>
      <w:r w:rsidRPr="0065761D">
        <w:rPr>
          <w:i/>
        </w:rPr>
        <w:t xml:space="preserve">ca, </w:t>
      </w:r>
      <w:proofErr w:type="spellStart"/>
      <w:r w:rsidRPr="0065761D">
        <w:rPr>
          <w:i/>
        </w:rPr>
        <w:t>ts</w:t>
      </w:r>
      <w:proofErr w:type="spellEnd"/>
      <w:r w:rsidRPr="0065761D">
        <w:rPr>
          <w:i/>
        </w:rPr>
        <w:t>,</w:t>
      </w:r>
      <w:r>
        <w:t xml:space="preserve"> and </w:t>
      </w:r>
      <w:proofErr w:type="spellStart"/>
      <w:r w:rsidRPr="0065761D">
        <w:rPr>
          <w:i/>
        </w:rPr>
        <w:t>att</w:t>
      </w:r>
      <w:proofErr w:type="spellEnd"/>
      <w:r>
        <w:t xml:space="preserve"> phenotypes is that the attenuated vaccine viruses replicate in the nasopharynx and induce protective immunity.</w:t>
      </w:r>
    </w:p>
    <w:p w14:paraId="2934DB84" w14:textId="3F933D85" w:rsidR="00A3395D" w:rsidRPr="00F67E48" w:rsidRDefault="00A3395D">
      <w:r w:rsidRPr="00F67E48">
        <w:t>No evidence of reversion has been observed in the recovered vaccine strains that have been tested (135 of possible 250 recovered isolates).</w:t>
      </w:r>
      <w:r w:rsidR="00B74ECF">
        <w:t xml:space="preserve"> </w:t>
      </w:r>
      <w:r w:rsidRPr="00F67E48">
        <w:t xml:space="preserve">The </w:t>
      </w:r>
      <w:r w:rsidR="0020751A" w:rsidRPr="00F67E48">
        <w:t>4</w:t>
      </w:r>
      <w:r w:rsidRPr="00F67E48">
        <w:t xml:space="preserve"> viruses contained in </w:t>
      </w:r>
      <w:proofErr w:type="spellStart"/>
      <w:r w:rsidR="00095EAF" w:rsidRPr="00F67E48">
        <w:t>FluMist</w:t>
      </w:r>
      <w:proofErr w:type="spellEnd"/>
      <w:r w:rsidRPr="00F67E48">
        <w:t xml:space="preserve"> </w:t>
      </w:r>
      <w:proofErr w:type="spellStart"/>
      <w:r w:rsidRPr="00F67E48">
        <w:t>Quadrivalent</w:t>
      </w:r>
      <w:proofErr w:type="spellEnd"/>
      <w:r w:rsidRPr="00F67E48">
        <w:t xml:space="preserve"> maintain the replication characteristics and phenotypic properties of the master donor virus (MDV) and express the </w:t>
      </w:r>
      <w:r w:rsidR="006151A2" w:rsidRPr="00F67E48">
        <w:t>hemagglutinin (</w:t>
      </w:r>
      <w:r w:rsidRPr="00F67E48">
        <w:t>HA</w:t>
      </w:r>
      <w:r w:rsidR="006151A2" w:rsidRPr="00F67E48">
        <w:t>)</w:t>
      </w:r>
      <w:r w:rsidRPr="00F67E48">
        <w:t xml:space="preserve"> and </w:t>
      </w:r>
      <w:r w:rsidR="006151A2" w:rsidRPr="00F67E48">
        <w:t>neuraminidase (</w:t>
      </w:r>
      <w:r w:rsidRPr="00F67E48">
        <w:t>NA</w:t>
      </w:r>
      <w:r w:rsidR="006151A2" w:rsidRPr="00F67E48">
        <w:t>)</w:t>
      </w:r>
      <w:r w:rsidRPr="00F67E48">
        <w:t xml:space="preserve"> of wild-type viruses that are related to strains expected to circulate during the influenza season.</w:t>
      </w:r>
      <w:r w:rsidR="00B74ECF">
        <w:t xml:space="preserve"> </w:t>
      </w:r>
      <w:r w:rsidRPr="00F67E48">
        <w:t xml:space="preserve">For each strain, at least five genetic loci contribute to the </w:t>
      </w:r>
      <w:r w:rsidRPr="00F67E48">
        <w:rPr>
          <w:i/>
        </w:rPr>
        <w:t>ca/</w:t>
      </w:r>
      <w:proofErr w:type="spellStart"/>
      <w:r w:rsidRPr="00F67E48">
        <w:rPr>
          <w:i/>
        </w:rPr>
        <w:t>ts</w:t>
      </w:r>
      <w:proofErr w:type="spellEnd"/>
      <w:r w:rsidRPr="00F67E48">
        <w:rPr>
          <w:i/>
        </w:rPr>
        <w:t>/</w:t>
      </w:r>
      <w:proofErr w:type="spellStart"/>
      <w:r w:rsidRPr="00F67E48">
        <w:rPr>
          <w:i/>
        </w:rPr>
        <w:t>att</w:t>
      </w:r>
      <w:proofErr w:type="spellEnd"/>
      <w:r w:rsidRPr="00F67E48">
        <w:t xml:space="preserve"> phenotype.</w:t>
      </w:r>
    </w:p>
    <w:p w14:paraId="6BD623AD" w14:textId="77777777" w:rsidR="00D6121F" w:rsidRDefault="00D6121F" w:rsidP="00D6121F">
      <w:pPr>
        <w:pStyle w:val="A-Heading2"/>
      </w:pPr>
      <w:r>
        <w:t>Mechanism of action</w:t>
      </w:r>
    </w:p>
    <w:p w14:paraId="1123A40E" w14:textId="7704498B" w:rsidR="00D6121F" w:rsidRDefault="00D6121F" w:rsidP="00D6121F">
      <w:r>
        <w:t xml:space="preserve">Immune mechanisms conferring protection against influenza following receipt of </w:t>
      </w:r>
      <w:proofErr w:type="spellStart"/>
      <w:r w:rsidR="00095EAF">
        <w:t>FluMist</w:t>
      </w:r>
      <w:proofErr w:type="spellEnd"/>
      <w:r w:rsidR="00095EAF">
        <w:t xml:space="preserve"> </w:t>
      </w:r>
      <w:proofErr w:type="spellStart"/>
      <w:r w:rsidR="00095EAF">
        <w:t>Quadrivalent</w:t>
      </w:r>
      <w:proofErr w:type="spellEnd"/>
      <w:r>
        <w:t xml:space="preserve"> vaccine are not fully understood.</w:t>
      </w:r>
      <w:r w:rsidR="00B74ECF">
        <w:t xml:space="preserve"> </w:t>
      </w:r>
      <w:r>
        <w:t>Likewise, naturally acquired immunity to wild-type influenza has not been completely elucidated. Serum antibodies, mucosal antibodies and influenza-specific T cells may play a role in prevention of infection and in recovery from infection.</w:t>
      </w:r>
    </w:p>
    <w:p w14:paraId="1F595879" w14:textId="77777777" w:rsidR="006151A2" w:rsidRDefault="006151A2" w:rsidP="006151A2">
      <w:pPr>
        <w:pStyle w:val="A-Heading2"/>
      </w:pPr>
      <w:r>
        <w:t>Pharmacokinetics</w:t>
      </w:r>
    </w:p>
    <w:p w14:paraId="41A3D3F4" w14:textId="77777777" w:rsidR="006151A2" w:rsidRDefault="006151A2" w:rsidP="006151A2">
      <w:pPr>
        <w:rPr>
          <w:lang w:val="en-GB"/>
        </w:rPr>
      </w:pPr>
      <w:r>
        <w:rPr>
          <w:lang w:val="en-GB"/>
        </w:rPr>
        <w:t>Not applicable.</w:t>
      </w:r>
    </w:p>
    <w:p w14:paraId="450701BF" w14:textId="77777777" w:rsidR="00922A50" w:rsidRDefault="00922A50">
      <w:pPr>
        <w:pStyle w:val="A-Heading1"/>
        <w:rPr>
          <w:lang w:val="en-AU"/>
        </w:rPr>
      </w:pPr>
      <w:r>
        <w:rPr>
          <w:lang w:val="en-AU"/>
        </w:rPr>
        <w:t>CLINICAL TRIALS</w:t>
      </w:r>
    </w:p>
    <w:p w14:paraId="5C548F98" w14:textId="0D37D048" w:rsidR="0068454B" w:rsidRDefault="00D6121F" w:rsidP="00D6121F">
      <w:r>
        <w:t xml:space="preserve">The efficacy of </w:t>
      </w:r>
      <w:proofErr w:type="spellStart"/>
      <w:r w:rsidR="00095EAF">
        <w:t>FluMist</w:t>
      </w:r>
      <w:proofErr w:type="spellEnd"/>
      <w:r w:rsidR="00095EAF">
        <w:t xml:space="preserve"> </w:t>
      </w:r>
      <w:proofErr w:type="spellStart"/>
      <w:r w:rsidR="00095EAF">
        <w:t>Quadrivalent</w:t>
      </w:r>
      <w:proofErr w:type="spellEnd"/>
      <w:r>
        <w:t xml:space="preserve"> </w:t>
      </w:r>
      <w:r w:rsidR="004A7718">
        <w:t xml:space="preserve">in children and adolescents </w:t>
      </w:r>
      <w:r>
        <w:t xml:space="preserve">is based on data demonstrating laboratory-confirmed efficacy of trivalent version of </w:t>
      </w:r>
      <w:proofErr w:type="spellStart"/>
      <w:r w:rsidR="00095EAF">
        <w:t>FluMist</w:t>
      </w:r>
      <w:proofErr w:type="spellEnd"/>
      <w:r w:rsidR="00095EAF">
        <w:t xml:space="preserve"> </w:t>
      </w:r>
      <w:r>
        <w:t xml:space="preserve">and a comparison of post vaccination geometric mean </w:t>
      </w:r>
      <w:proofErr w:type="spellStart"/>
      <w:r>
        <w:t>titers</w:t>
      </w:r>
      <w:proofErr w:type="spellEnd"/>
      <w:r>
        <w:t xml:space="preserve"> (GMTs) of </w:t>
      </w:r>
      <w:proofErr w:type="spellStart"/>
      <w:r>
        <w:t>hemagglutination</w:t>
      </w:r>
      <w:proofErr w:type="spellEnd"/>
      <w:r>
        <w:t xml:space="preserve"> inhibition (HAI) antibodies between individuals receiving trivalent version of </w:t>
      </w:r>
      <w:proofErr w:type="spellStart"/>
      <w:r w:rsidR="00095EAF">
        <w:t>FluMist</w:t>
      </w:r>
      <w:proofErr w:type="spellEnd"/>
      <w:r w:rsidR="00095EAF">
        <w:t xml:space="preserve"> </w:t>
      </w:r>
      <w:r>
        <w:t xml:space="preserve">and </w:t>
      </w:r>
      <w:proofErr w:type="spellStart"/>
      <w:r w:rsidR="00095EAF">
        <w:t>FluMist</w:t>
      </w:r>
      <w:proofErr w:type="spellEnd"/>
      <w:r w:rsidR="00095EAF">
        <w:t xml:space="preserve"> </w:t>
      </w:r>
      <w:proofErr w:type="spellStart"/>
      <w:r w:rsidR="00095EAF">
        <w:t>Quadrivalent</w:t>
      </w:r>
      <w:proofErr w:type="spellEnd"/>
      <w:r>
        <w:t>.</w:t>
      </w:r>
      <w:r w:rsidR="00B74ECF">
        <w:t xml:space="preserve"> </w:t>
      </w:r>
      <w:r>
        <w:t xml:space="preserve">Clinical experience with trivalent version of </w:t>
      </w:r>
      <w:proofErr w:type="spellStart"/>
      <w:r w:rsidR="00095EAF">
        <w:t>FluMist</w:t>
      </w:r>
      <w:proofErr w:type="spellEnd"/>
      <w:r w:rsidR="00095EAF">
        <w:t xml:space="preserve"> </w:t>
      </w:r>
      <w:r>
        <w:t xml:space="preserve">is relevant to </w:t>
      </w:r>
      <w:proofErr w:type="spellStart"/>
      <w:r w:rsidR="00095EAF">
        <w:t>FluMist</w:t>
      </w:r>
      <w:proofErr w:type="spellEnd"/>
      <w:r w:rsidR="00095EAF">
        <w:t xml:space="preserve"> </w:t>
      </w:r>
      <w:proofErr w:type="spellStart"/>
      <w:r w:rsidR="00095EAF">
        <w:t>Quadrivalent</w:t>
      </w:r>
      <w:proofErr w:type="spellEnd"/>
      <w:r>
        <w:t xml:space="preserve"> because trivalent version of </w:t>
      </w:r>
      <w:proofErr w:type="spellStart"/>
      <w:r w:rsidR="00095EAF">
        <w:t>FluMist</w:t>
      </w:r>
      <w:proofErr w:type="spellEnd"/>
      <w:r w:rsidR="00095EAF">
        <w:t xml:space="preserve"> </w:t>
      </w:r>
      <w:r>
        <w:t xml:space="preserve">is identical to </w:t>
      </w:r>
      <w:proofErr w:type="spellStart"/>
      <w:r w:rsidR="00095EAF">
        <w:t>FluMist</w:t>
      </w:r>
      <w:proofErr w:type="spellEnd"/>
      <w:r w:rsidR="00095EAF">
        <w:t xml:space="preserve"> </w:t>
      </w:r>
      <w:proofErr w:type="spellStart"/>
      <w:r w:rsidR="00095EAF">
        <w:t>Quadrivalent</w:t>
      </w:r>
      <w:proofErr w:type="spellEnd"/>
      <w:r>
        <w:t xml:space="preserve"> with the only difference being the addition of a fourth strain (a second B strain) to </w:t>
      </w:r>
      <w:proofErr w:type="spellStart"/>
      <w:r w:rsidR="00095EAF">
        <w:t>FluMist</w:t>
      </w:r>
      <w:proofErr w:type="spellEnd"/>
      <w:r w:rsidR="00095EAF">
        <w:t xml:space="preserve"> </w:t>
      </w:r>
      <w:proofErr w:type="spellStart"/>
      <w:r w:rsidR="00095EAF">
        <w:t>Quadrivalent</w:t>
      </w:r>
      <w:proofErr w:type="spellEnd"/>
      <w:r>
        <w:t>.</w:t>
      </w:r>
    </w:p>
    <w:p w14:paraId="3C4B3869" w14:textId="33D49A94" w:rsidR="00D6121F" w:rsidRDefault="00D6121F" w:rsidP="00D6121F">
      <w:r w:rsidRPr="0075701B">
        <w:t xml:space="preserve">Trivalent version of </w:t>
      </w:r>
      <w:proofErr w:type="spellStart"/>
      <w:r w:rsidR="00095EAF" w:rsidRPr="0075701B">
        <w:t>FluMist</w:t>
      </w:r>
      <w:proofErr w:type="spellEnd"/>
      <w:r w:rsidR="00095EAF" w:rsidRPr="0075701B">
        <w:t xml:space="preserve"> </w:t>
      </w:r>
      <w:r w:rsidRPr="0075701B">
        <w:t>h</w:t>
      </w:r>
      <w:r w:rsidR="00782402" w:rsidRPr="0075701B">
        <w:t xml:space="preserve">as been administered to over </w:t>
      </w:r>
      <w:r w:rsidR="004A7718" w:rsidRPr="0075701B">
        <w:t xml:space="preserve">20 000 children and adolescents </w:t>
      </w:r>
      <w:r w:rsidRPr="0075701B">
        <w:t>in controlled clinical studies over multiple years, in various regions and using different vaccine strains.</w:t>
      </w:r>
      <w:r w:rsidR="00B74ECF">
        <w:t xml:space="preserve"> </w:t>
      </w:r>
      <w:proofErr w:type="spellStart"/>
      <w:r w:rsidR="004A7718" w:rsidRPr="0075701B">
        <w:t>Flu</w:t>
      </w:r>
      <w:r w:rsidR="0044017F">
        <w:t>M</w:t>
      </w:r>
      <w:r w:rsidR="004A7718" w:rsidRPr="0075701B">
        <w:t>ist</w:t>
      </w:r>
      <w:proofErr w:type="spellEnd"/>
      <w:r w:rsidR="004A7718" w:rsidRPr="0075701B">
        <w:t xml:space="preserve"> </w:t>
      </w:r>
      <w:proofErr w:type="spellStart"/>
      <w:r w:rsidR="004A7718" w:rsidRPr="0075701B">
        <w:t>Quadrivalent</w:t>
      </w:r>
      <w:proofErr w:type="spellEnd"/>
      <w:r w:rsidR="004A7718" w:rsidRPr="0075701B">
        <w:t xml:space="preserve"> has been administered to </w:t>
      </w:r>
      <w:r w:rsidR="00FF113B" w:rsidRPr="0075701B">
        <w:t>13</w:t>
      </w:r>
      <w:r w:rsidR="00F4698F" w:rsidRPr="0075701B">
        <w:t>82</w:t>
      </w:r>
      <w:r w:rsidR="00FF113B" w:rsidRPr="0075701B">
        <w:t xml:space="preserve"> </w:t>
      </w:r>
      <w:r w:rsidR="004A7718" w:rsidRPr="0075701B">
        <w:t>children and adolescents</w:t>
      </w:r>
      <w:r w:rsidR="00F4698F" w:rsidRPr="0075701B">
        <w:t xml:space="preserve"> within a controlled clinical study</w:t>
      </w:r>
      <w:r w:rsidR="004A7718" w:rsidRPr="0075701B">
        <w:t>.</w:t>
      </w:r>
      <w:r w:rsidR="00B74ECF">
        <w:t xml:space="preserve"> </w:t>
      </w:r>
      <w:r w:rsidR="004A7718" w:rsidRPr="0075701B">
        <w:t>The results of these pivotal efficacy and safety studies are discussed in detail below.</w:t>
      </w:r>
    </w:p>
    <w:p w14:paraId="2CBFE06C" w14:textId="5B81A550" w:rsidR="00D6121F" w:rsidRDefault="00F2103E" w:rsidP="00D6121F">
      <w:pPr>
        <w:pStyle w:val="A-Heading2"/>
      </w:pPr>
      <w:r>
        <w:t>S</w:t>
      </w:r>
      <w:r w:rsidR="00D6121F">
        <w:t xml:space="preserve">tudies of trivalent version of </w:t>
      </w:r>
      <w:proofErr w:type="spellStart"/>
      <w:r w:rsidR="00095EAF">
        <w:t>FluMist</w:t>
      </w:r>
      <w:proofErr w:type="spellEnd"/>
    </w:p>
    <w:p w14:paraId="581165A0" w14:textId="1FF74088" w:rsidR="00D6121F" w:rsidRDefault="00D6121F" w:rsidP="00D6121F">
      <w:r>
        <w:t>Efficacy data in the p</w:t>
      </w:r>
      <w:r w:rsidR="009F2FF2">
        <w:t>a</w:t>
      </w:r>
      <w:r>
        <w:t xml:space="preserve">ediatric population for trivalent version of </w:t>
      </w:r>
      <w:proofErr w:type="spellStart"/>
      <w:r w:rsidR="00095EAF">
        <w:t>FluMist</w:t>
      </w:r>
      <w:proofErr w:type="spellEnd"/>
      <w:r w:rsidR="00095EAF">
        <w:t xml:space="preserve"> </w:t>
      </w:r>
      <w:r>
        <w:t>consists of 9 contro</w:t>
      </w:r>
      <w:r w:rsidR="00F2103E">
        <w:t xml:space="preserve">lled studies </w:t>
      </w:r>
      <w:r>
        <w:t>conducted during 7 influenza seasons.</w:t>
      </w:r>
      <w:r w:rsidR="00B74ECF">
        <w:t xml:space="preserve"> </w:t>
      </w:r>
      <w:r>
        <w:t>Four placebo-controlled studies included second season revaccination.</w:t>
      </w:r>
      <w:r w:rsidR="00B74ECF">
        <w:t xml:space="preserve"> </w:t>
      </w:r>
      <w:r w:rsidR="00F2103E">
        <w:t>The t</w:t>
      </w:r>
      <w:r>
        <w:t xml:space="preserve">rivalent version of </w:t>
      </w:r>
      <w:proofErr w:type="spellStart"/>
      <w:r w:rsidR="00095EAF">
        <w:lastRenderedPageBreak/>
        <w:t>FluMist</w:t>
      </w:r>
      <w:proofErr w:type="spellEnd"/>
      <w:r w:rsidR="00095EAF">
        <w:t xml:space="preserve"> </w:t>
      </w:r>
      <w:r>
        <w:t xml:space="preserve">demonstrated superiority in 3 active-controlled studies with injectable </w:t>
      </w:r>
      <w:r w:rsidR="00C766F6">
        <w:t xml:space="preserve">trivalent inactivated </w:t>
      </w:r>
      <w:r>
        <w:t>influenza vaccine</w:t>
      </w:r>
      <w:r w:rsidR="00C766F6">
        <w:t>s (TIV)</w:t>
      </w:r>
      <w:r>
        <w:t>.</w:t>
      </w:r>
      <w:r w:rsidR="00B74ECF">
        <w:t xml:space="preserve"> </w:t>
      </w:r>
      <w:r w:rsidRPr="00D76E3B">
        <w:t>See</w:t>
      </w:r>
      <w:r w:rsidR="00235F4B">
        <w:t xml:space="preserve"> </w:t>
      </w:r>
      <w:r w:rsidR="004A0A60">
        <w:fldChar w:fldCharType="begin"/>
      </w:r>
      <w:r w:rsidR="00235F4B">
        <w:instrText xml:space="preserve"> REF _Ref411431505 \h </w:instrText>
      </w:r>
      <w:r w:rsidR="004A0A60">
        <w:fldChar w:fldCharType="separate"/>
      </w:r>
      <w:r w:rsidR="009F6AAA" w:rsidRPr="002C7BAA">
        <w:t xml:space="preserve">Table </w:t>
      </w:r>
      <w:r w:rsidR="009F6AAA">
        <w:rPr>
          <w:noProof/>
        </w:rPr>
        <w:t>1</w:t>
      </w:r>
      <w:r w:rsidR="004A0A60">
        <w:fldChar w:fldCharType="end"/>
      </w:r>
      <w:r w:rsidR="00235F4B">
        <w:t xml:space="preserve"> </w:t>
      </w:r>
      <w:r w:rsidR="000555BC">
        <w:t xml:space="preserve">(placebo controlled) </w:t>
      </w:r>
      <w:r w:rsidR="00235F4B">
        <w:t xml:space="preserve">and </w:t>
      </w:r>
      <w:r w:rsidR="004A0A60">
        <w:fldChar w:fldCharType="begin"/>
      </w:r>
      <w:r w:rsidR="000555BC">
        <w:instrText xml:space="preserve"> REF _Ref412552985 \h </w:instrText>
      </w:r>
      <w:r w:rsidR="004A0A60">
        <w:fldChar w:fldCharType="separate"/>
      </w:r>
      <w:r w:rsidR="009F6AAA" w:rsidRPr="00D76E3B">
        <w:t xml:space="preserve">Table </w:t>
      </w:r>
      <w:r w:rsidR="009F6AAA">
        <w:rPr>
          <w:noProof/>
        </w:rPr>
        <w:t>3</w:t>
      </w:r>
      <w:r w:rsidR="004A0A60">
        <w:fldChar w:fldCharType="end"/>
      </w:r>
      <w:r w:rsidR="000555BC">
        <w:t xml:space="preserve"> (active controlled) </w:t>
      </w:r>
      <w:r w:rsidRPr="00D76E3B">
        <w:t xml:space="preserve">for a summary of trivalent version of </w:t>
      </w:r>
      <w:proofErr w:type="spellStart"/>
      <w:r w:rsidR="00095EAF" w:rsidRPr="00D76E3B">
        <w:t>FluMist</w:t>
      </w:r>
      <w:proofErr w:type="spellEnd"/>
      <w:r w:rsidR="00095EAF" w:rsidRPr="00D76E3B">
        <w:t xml:space="preserve"> </w:t>
      </w:r>
      <w:r w:rsidRPr="00D76E3B">
        <w:t>efficacy results in children.</w:t>
      </w:r>
      <w:r w:rsidR="00B74ECF">
        <w:t xml:space="preserve"> </w:t>
      </w:r>
      <w:r w:rsidR="00340B8D">
        <w:t>The pivotal studies are then detailed further within the text below each table.</w:t>
      </w:r>
    </w:p>
    <w:p w14:paraId="2E749586" w14:textId="1898D163" w:rsidR="00D6121F" w:rsidRPr="002C7BAA" w:rsidRDefault="00D6121F" w:rsidP="00D76E3B">
      <w:pPr>
        <w:pStyle w:val="A-TableTitle"/>
      </w:pPr>
      <w:bookmarkStart w:id="1" w:name="_Ref411431505"/>
      <w:r w:rsidRPr="002C7BAA">
        <w:t xml:space="preserve">Table </w:t>
      </w:r>
      <w:r w:rsidR="00E8575B">
        <w:fldChar w:fldCharType="begin"/>
      </w:r>
      <w:r w:rsidR="00E8575B">
        <w:instrText xml:space="preserve"> SEQ Table \* ARABIC </w:instrText>
      </w:r>
      <w:r w:rsidR="00E8575B">
        <w:fldChar w:fldCharType="separate"/>
      </w:r>
      <w:r w:rsidR="009F6AAA">
        <w:rPr>
          <w:noProof/>
        </w:rPr>
        <w:t>1</w:t>
      </w:r>
      <w:r w:rsidR="00E8575B">
        <w:rPr>
          <w:noProof/>
        </w:rPr>
        <w:fldChar w:fldCharType="end"/>
      </w:r>
      <w:bookmarkEnd w:id="1"/>
      <w:r w:rsidRPr="002C7BAA">
        <w:tab/>
        <w:t xml:space="preserve">Trivalent version of </w:t>
      </w:r>
      <w:proofErr w:type="spellStart"/>
      <w:r w:rsidR="00095EAF" w:rsidRPr="002C7BAA">
        <w:t>FluMist</w:t>
      </w:r>
      <w:proofErr w:type="spellEnd"/>
      <w:r w:rsidR="00095EAF" w:rsidRPr="002C7BAA">
        <w:t xml:space="preserve"> </w:t>
      </w:r>
      <w:r w:rsidRPr="002C7BAA">
        <w:t>efficacy in placebo-controlled paediatric studies</w:t>
      </w:r>
    </w:p>
    <w:tbl>
      <w:tblPr>
        <w:tblW w:w="9180" w:type="dxa"/>
        <w:tblLayout w:type="fixed"/>
        <w:tblLook w:val="0000" w:firstRow="0" w:lastRow="0" w:firstColumn="0" w:lastColumn="0" w:noHBand="0" w:noVBand="0"/>
        <w:tblDescription w:val="Table 1 is a list of Trivalent version of FluMist efficacy in placebo-controlled paediatric studies"/>
      </w:tblPr>
      <w:tblGrid>
        <w:gridCol w:w="1242"/>
        <w:gridCol w:w="1418"/>
        <w:gridCol w:w="1134"/>
        <w:gridCol w:w="709"/>
        <w:gridCol w:w="1134"/>
        <w:gridCol w:w="1417"/>
        <w:gridCol w:w="2126"/>
      </w:tblGrid>
      <w:tr w:rsidR="004B2211" w:rsidRPr="00CE0060" w14:paraId="758F96AC" w14:textId="77777777" w:rsidTr="004B2211">
        <w:trPr>
          <w:cantSplit/>
          <w:tblHeader/>
        </w:trPr>
        <w:tc>
          <w:tcPr>
            <w:tcW w:w="1242" w:type="dxa"/>
            <w:vMerge w:val="restart"/>
            <w:tcBorders>
              <w:top w:val="single" w:sz="12" w:space="0" w:color="auto"/>
            </w:tcBorders>
            <w:shd w:val="clear" w:color="auto" w:fill="auto"/>
          </w:tcPr>
          <w:p w14:paraId="49990CD2" w14:textId="77777777" w:rsidR="004B2211" w:rsidRPr="003B0F94" w:rsidRDefault="00496C49" w:rsidP="00641166">
            <w:pPr>
              <w:pStyle w:val="A-TableHeader"/>
            </w:pPr>
            <w:r w:rsidRPr="003B0F94">
              <w:t>Study n</w:t>
            </w:r>
            <w:r w:rsidR="004B2211" w:rsidRPr="003B0F94">
              <w:t>umber</w:t>
            </w:r>
          </w:p>
        </w:tc>
        <w:tc>
          <w:tcPr>
            <w:tcW w:w="1418" w:type="dxa"/>
            <w:vMerge w:val="restart"/>
            <w:tcBorders>
              <w:top w:val="single" w:sz="12" w:space="0" w:color="auto"/>
            </w:tcBorders>
            <w:shd w:val="clear" w:color="auto" w:fill="auto"/>
          </w:tcPr>
          <w:p w14:paraId="0F8DB7A6" w14:textId="77777777" w:rsidR="004B2211" w:rsidRPr="00CE0060" w:rsidRDefault="004B2211" w:rsidP="00641166">
            <w:pPr>
              <w:pStyle w:val="A-TableHeader"/>
            </w:pPr>
            <w:r w:rsidRPr="00CE0060">
              <w:t>Region</w:t>
            </w:r>
          </w:p>
        </w:tc>
        <w:tc>
          <w:tcPr>
            <w:tcW w:w="1134" w:type="dxa"/>
            <w:vMerge w:val="restart"/>
            <w:tcBorders>
              <w:top w:val="single" w:sz="12" w:space="0" w:color="auto"/>
            </w:tcBorders>
            <w:shd w:val="clear" w:color="auto" w:fill="auto"/>
          </w:tcPr>
          <w:p w14:paraId="4ACB093C" w14:textId="77777777" w:rsidR="004B2211" w:rsidRPr="00CE0060" w:rsidRDefault="004B2211" w:rsidP="004B2211">
            <w:pPr>
              <w:pStyle w:val="A-TableHeader"/>
              <w:jc w:val="center"/>
            </w:pPr>
            <w:r w:rsidRPr="00CE0060">
              <w:t>Age</w:t>
            </w:r>
            <w:r w:rsidRPr="00CE0060">
              <w:rPr>
                <w:vertAlign w:val="superscript"/>
              </w:rPr>
              <w:br/>
            </w:r>
            <w:r w:rsidRPr="00CE0060">
              <w:t>(months)</w:t>
            </w:r>
          </w:p>
        </w:tc>
        <w:tc>
          <w:tcPr>
            <w:tcW w:w="709" w:type="dxa"/>
            <w:vMerge w:val="restart"/>
            <w:tcBorders>
              <w:top w:val="single" w:sz="12" w:space="0" w:color="auto"/>
            </w:tcBorders>
            <w:shd w:val="clear" w:color="auto" w:fill="auto"/>
          </w:tcPr>
          <w:p w14:paraId="6A2E29E5" w14:textId="77777777" w:rsidR="004B2211" w:rsidRPr="00CE0060" w:rsidRDefault="004B2211" w:rsidP="004B2211">
            <w:pPr>
              <w:pStyle w:val="A-TableHeader"/>
              <w:jc w:val="center"/>
            </w:pPr>
            <w:r w:rsidRPr="00CE0060">
              <w:t>N</w:t>
            </w:r>
          </w:p>
        </w:tc>
        <w:tc>
          <w:tcPr>
            <w:tcW w:w="1134" w:type="dxa"/>
            <w:vMerge w:val="restart"/>
            <w:tcBorders>
              <w:top w:val="single" w:sz="12" w:space="0" w:color="auto"/>
            </w:tcBorders>
            <w:shd w:val="clear" w:color="auto" w:fill="auto"/>
          </w:tcPr>
          <w:p w14:paraId="080A3400" w14:textId="77777777" w:rsidR="004B2211" w:rsidRPr="00CE0060" w:rsidRDefault="004B2211" w:rsidP="004B2211">
            <w:pPr>
              <w:pStyle w:val="A-TableHeader"/>
              <w:jc w:val="center"/>
            </w:pPr>
            <w:r w:rsidRPr="00CE0060">
              <w:t>Influenza season</w:t>
            </w:r>
          </w:p>
        </w:tc>
        <w:tc>
          <w:tcPr>
            <w:tcW w:w="3543" w:type="dxa"/>
            <w:gridSpan w:val="2"/>
            <w:tcBorders>
              <w:top w:val="single" w:sz="12" w:space="0" w:color="auto"/>
              <w:bottom w:val="single" w:sz="2" w:space="0" w:color="auto"/>
            </w:tcBorders>
            <w:shd w:val="clear" w:color="auto" w:fill="auto"/>
          </w:tcPr>
          <w:p w14:paraId="0A799681" w14:textId="77777777" w:rsidR="004B2211" w:rsidRPr="00CE0060" w:rsidRDefault="004B2211" w:rsidP="004B2211">
            <w:pPr>
              <w:pStyle w:val="A-TableHeader"/>
              <w:jc w:val="center"/>
            </w:pPr>
            <w:r w:rsidRPr="00CE0060">
              <w:t xml:space="preserve">Efficacy </w:t>
            </w:r>
            <w:r w:rsidRPr="00CE0060">
              <w:rPr>
                <w:vertAlign w:val="superscript"/>
              </w:rPr>
              <w:t>a</w:t>
            </w:r>
            <w:r w:rsidRPr="00CE0060">
              <w:t xml:space="preserve"> (95% CI)</w:t>
            </w:r>
          </w:p>
        </w:tc>
      </w:tr>
      <w:tr w:rsidR="004B2211" w:rsidRPr="0020751A" w14:paraId="004407CF" w14:textId="77777777" w:rsidTr="00CE0060">
        <w:trPr>
          <w:cantSplit/>
          <w:tblHeader/>
        </w:trPr>
        <w:tc>
          <w:tcPr>
            <w:tcW w:w="1242" w:type="dxa"/>
            <w:vMerge/>
            <w:tcBorders>
              <w:bottom w:val="single" w:sz="12" w:space="0" w:color="auto"/>
            </w:tcBorders>
            <w:shd w:val="clear" w:color="auto" w:fill="auto"/>
          </w:tcPr>
          <w:p w14:paraId="20942D16" w14:textId="77777777" w:rsidR="004B2211" w:rsidRPr="003B0F94" w:rsidRDefault="004B2211" w:rsidP="00641166">
            <w:pPr>
              <w:pStyle w:val="A-TableHeader"/>
              <w:rPr>
                <w:b w:val="0"/>
              </w:rPr>
            </w:pPr>
          </w:p>
        </w:tc>
        <w:tc>
          <w:tcPr>
            <w:tcW w:w="1418" w:type="dxa"/>
            <w:vMerge/>
            <w:tcBorders>
              <w:bottom w:val="single" w:sz="12" w:space="0" w:color="auto"/>
            </w:tcBorders>
            <w:shd w:val="clear" w:color="auto" w:fill="auto"/>
          </w:tcPr>
          <w:p w14:paraId="6F926E58" w14:textId="77777777" w:rsidR="004B2211" w:rsidRPr="0020751A" w:rsidRDefault="004B2211" w:rsidP="00641166">
            <w:pPr>
              <w:pStyle w:val="A-TableHeader"/>
            </w:pPr>
          </w:p>
        </w:tc>
        <w:tc>
          <w:tcPr>
            <w:tcW w:w="1134" w:type="dxa"/>
            <w:vMerge/>
            <w:tcBorders>
              <w:bottom w:val="single" w:sz="12" w:space="0" w:color="auto"/>
            </w:tcBorders>
            <w:shd w:val="clear" w:color="auto" w:fill="auto"/>
          </w:tcPr>
          <w:p w14:paraId="5FA01F80" w14:textId="77777777" w:rsidR="004B2211" w:rsidRDefault="004B2211" w:rsidP="004B2211">
            <w:pPr>
              <w:pStyle w:val="A-TableHeader"/>
              <w:jc w:val="center"/>
            </w:pPr>
          </w:p>
        </w:tc>
        <w:tc>
          <w:tcPr>
            <w:tcW w:w="709" w:type="dxa"/>
            <w:vMerge/>
            <w:tcBorders>
              <w:bottom w:val="single" w:sz="12" w:space="0" w:color="auto"/>
            </w:tcBorders>
            <w:shd w:val="clear" w:color="auto" w:fill="auto"/>
          </w:tcPr>
          <w:p w14:paraId="1CE56352" w14:textId="77777777" w:rsidR="004B2211" w:rsidRDefault="004B2211" w:rsidP="004B2211">
            <w:pPr>
              <w:pStyle w:val="A-TableHeader"/>
              <w:jc w:val="center"/>
            </w:pPr>
          </w:p>
        </w:tc>
        <w:tc>
          <w:tcPr>
            <w:tcW w:w="1134" w:type="dxa"/>
            <w:vMerge/>
            <w:tcBorders>
              <w:bottom w:val="single" w:sz="12" w:space="0" w:color="auto"/>
            </w:tcBorders>
            <w:shd w:val="clear" w:color="auto" w:fill="auto"/>
          </w:tcPr>
          <w:p w14:paraId="271FF0E5" w14:textId="77777777" w:rsidR="004B2211" w:rsidRPr="0020751A" w:rsidRDefault="004B2211" w:rsidP="004B2211">
            <w:pPr>
              <w:pStyle w:val="A-TableHeader"/>
              <w:jc w:val="center"/>
            </w:pPr>
          </w:p>
        </w:tc>
        <w:tc>
          <w:tcPr>
            <w:tcW w:w="1417" w:type="dxa"/>
            <w:tcBorders>
              <w:top w:val="single" w:sz="2" w:space="0" w:color="auto"/>
              <w:bottom w:val="single" w:sz="12" w:space="0" w:color="auto"/>
            </w:tcBorders>
            <w:shd w:val="clear" w:color="auto" w:fill="auto"/>
          </w:tcPr>
          <w:p w14:paraId="0F694C33" w14:textId="77777777" w:rsidR="004B2211" w:rsidRPr="0020751A" w:rsidRDefault="004B2211" w:rsidP="004B2211">
            <w:pPr>
              <w:pStyle w:val="A-TableHeader"/>
              <w:jc w:val="center"/>
            </w:pPr>
            <w:r w:rsidRPr="0020751A">
              <w:t>Matched strains</w:t>
            </w:r>
          </w:p>
        </w:tc>
        <w:tc>
          <w:tcPr>
            <w:tcW w:w="2126" w:type="dxa"/>
            <w:tcBorders>
              <w:top w:val="single" w:sz="2" w:space="0" w:color="auto"/>
              <w:bottom w:val="single" w:sz="12" w:space="0" w:color="auto"/>
            </w:tcBorders>
            <w:shd w:val="clear" w:color="auto" w:fill="auto"/>
          </w:tcPr>
          <w:p w14:paraId="559CED2F" w14:textId="77777777" w:rsidR="004B2211" w:rsidRPr="0020751A" w:rsidRDefault="004B2211" w:rsidP="004B2211">
            <w:pPr>
              <w:pStyle w:val="A-TableHeader"/>
              <w:jc w:val="center"/>
            </w:pPr>
            <w:r w:rsidRPr="0020751A">
              <w:t>All strains regardless of match</w:t>
            </w:r>
          </w:p>
        </w:tc>
      </w:tr>
      <w:tr w:rsidR="003F763E" w:rsidRPr="00116DE3" w14:paraId="6FFD8FF0" w14:textId="77777777" w:rsidTr="00CE0060">
        <w:trPr>
          <w:cantSplit/>
        </w:trPr>
        <w:tc>
          <w:tcPr>
            <w:tcW w:w="1242" w:type="dxa"/>
            <w:vMerge w:val="restart"/>
            <w:tcBorders>
              <w:top w:val="single" w:sz="12" w:space="0" w:color="auto"/>
            </w:tcBorders>
            <w:shd w:val="clear" w:color="auto" w:fill="auto"/>
          </w:tcPr>
          <w:p w14:paraId="4CEC3A9C" w14:textId="77777777" w:rsidR="003F763E" w:rsidRPr="00116DE3" w:rsidRDefault="003F763E" w:rsidP="003A3B49">
            <w:pPr>
              <w:pStyle w:val="A-TableText"/>
              <w:spacing w:line="240" w:lineRule="auto"/>
              <w:rPr>
                <w:sz w:val="18"/>
                <w:szCs w:val="18"/>
              </w:rPr>
            </w:pPr>
            <w:r w:rsidRPr="00116DE3">
              <w:rPr>
                <w:sz w:val="18"/>
                <w:szCs w:val="18"/>
              </w:rPr>
              <w:t>D153-P502</w:t>
            </w:r>
            <w:r w:rsidR="00FF7F0C" w:rsidRPr="00116DE3">
              <w:rPr>
                <w:sz w:val="18"/>
                <w:szCs w:val="18"/>
              </w:rPr>
              <w:br/>
              <w:t>(</w:t>
            </w:r>
            <w:proofErr w:type="spellStart"/>
            <w:r w:rsidR="00FF7F0C" w:rsidRPr="00116DE3">
              <w:rPr>
                <w:sz w:val="18"/>
                <w:szCs w:val="18"/>
              </w:rPr>
              <w:t>V</w:t>
            </w:r>
            <w:r w:rsidR="003A3B49" w:rsidRPr="00116DE3">
              <w:rPr>
                <w:sz w:val="18"/>
                <w:szCs w:val="18"/>
              </w:rPr>
              <w:t>esikari</w:t>
            </w:r>
            <w:proofErr w:type="spellEnd"/>
            <w:r w:rsidR="00FF7F0C" w:rsidRPr="00116DE3">
              <w:rPr>
                <w:sz w:val="18"/>
                <w:szCs w:val="18"/>
              </w:rPr>
              <w:t xml:space="preserve"> et al 2006)</w:t>
            </w:r>
          </w:p>
        </w:tc>
        <w:tc>
          <w:tcPr>
            <w:tcW w:w="1418" w:type="dxa"/>
            <w:vMerge w:val="restart"/>
            <w:tcBorders>
              <w:top w:val="single" w:sz="12" w:space="0" w:color="auto"/>
            </w:tcBorders>
            <w:shd w:val="clear" w:color="auto" w:fill="auto"/>
          </w:tcPr>
          <w:p w14:paraId="1D91452C" w14:textId="77777777" w:rsidR="003F763E" w:rsidRPr="00116DE3" w:rsidRDefault="003F763E" w:rsidP="0020751A">
            <w:pPr>
              <w:pStyle w:val="A-TableText"/>
              <w:spacing w:line="240" w:lineRule="auto"/>
              <w:rPr>
                <w:sz w:val="18"/>
                <w:szCs w:val="18"/>
              </w:rPr>
            </w:pPr>
            <w:r w:rsidRPr="00116DE3">
              <w:rPr>
                <w:sz w:val="18"/>
                <w:szCs w:val="18"/>
              </w:rPr>
              <w:t>Europe</w:t>
            </w:r>
          </w:p>
        </w:tc>
        <w:tc>
          <w:tcPr>
            <w:tcW w:w="1134" w:type="dxa"/>
            <w:vMerge w:val="restart"/>
            <w:tcBorders>
              <w:top w:val="single" w:sz="12" w:space="0" w:color="auto"/>
            </w:tcBorders>
            <w:shd w:val="clear" w:color="auto" w:fill="auto"/>
          </w:tcPr>
          <w:p w14:paraId="69176A52" w14:textId="77777777" w:rsidR="003F763E" w:rsidRPr="00116DE3" w:rsidRDefault="003F763E" w:rsidP="004B2211">
            <w:pPr>
              <w:pStyle w:val="A-TableText"/>
              <w:spacing w:line="240" w:lineRule="auto"/>
              <w:jc w:val="center"/>
              <w:rPr>
                <w:sz w:val="18"/>
                <w:szCs w:val="18"/>
              </w:rPr>
            </w:pPr>
            <w:r w:rsidRPr="00116DE3">
              <w:rPr>
                <w:sz w:val="18"/>
                <w:szCs w:val="18"/>
              </w:rPr>
              <w:t>6-35</w:t>
            </w:r>
          </w:p>
        </w:tc>
        <w:tc>
          <w:tcPr>
            <w:tcW w:w="709" w:type="dxa"/>
            <w:vMerge w:val="restart"/>
            <w:tcBorders>
              <w:top w:val="single" w:sz="12" w:space="0" w:color="auto"/>
            </w:tcBorders>
            <w:shd w:val="clear" w:color="auto" w:fill="auto"/>
          </w:tcPr>
          <w:p w14:paraId="4256B49D" w14:textId="77777777" w:rsidR="003F763E" w:rsidRPr="00116DE3" w:rsidRDefault="003F763E" w:rsidP="004B2211">
            <w:pPr>
              <w:pStyle w:val="A-TableText"/>
              <w:spacing w:line="240" w:lineRule="auto"/>
              <w:jc w:val="center"/>
              <w:rPr>
                <w:sz w:val="18"/>
                <w:szCs w:val="18"/>
              </w:rPr>
            </w:pPr>
            <w:r w:rsidRPr="00116DE3">
              <w:rPr>
                <w:sz w:val="18"/>
                <w:szCs w:val="18"/>
              </w:rPr>
              <w:t>1616</w:t>
            </w:r>
          </w:p>
        </w:tc>
        <w:tc>
          <w:tcPr>
            <w:tcW w:w="1134" w:type="dxa"/>
            <w:tcBorders>
              <w:top w:val="single" w:sz="12" w:space="0" w:color="auto"/>
              <w:bottom w:val="single" w:sz="2" w:space="0" w:color="auto"/>
            </w:tcBorders>
            <w:shd w:val="clear" w:color="auto" w:fill="auto"/>
          </w:tcPr>
          <w:p w14:paraId="135BC94C" w14:textId="77777777" w:rsidR="003F763E" w:rsidRPr="00116DE3" w:rsidRDefault="003F763E" w:rsidP="004B2211">
            <w:pPr>
              <w:pStyle w:val="A-TableText"/>
              <w:spacing w:line="240" w:lineRule="auto"/>
              <w:jc w:val="center"/>
              <w:rPr>
                <w:sz w:val="18"/>
                <w:szCs w:val="18"/>
              </w:rPr>
            </w:pPr>
            <w:r w:rsidRPr="00116DE3">
              <w:rPr>
                <w:sz w:val="18"/>
                <w:szCs w:val="18"/>
              </w:rPr>
              <w:t>2000</w:t>
            </w:r>
            <w:r w:rsidRPr="00116DE3">
              <w:rPr>
                <w:sz w:val="18"/>
                <w:szCs w:val="18"/>
              </w:rPr>
              <w:noBreakHyphen/>
              <w:t>2001</w:t>
            </w:r>
          </w:p>
        </w:tc>
        <w:tc>
          <w:tcPr>
            <w:tcW w:w="1417" w:type="dxa"/>
            <w:tcBorders>
              <w:top w:val="single" w:sz="12" w:space="0" w:color="auto"/>
              <w:bottom w:val="single" w:sz="2" w:space="0" w:color="auto"/>
            </w:tcBorders>
            <w:shd w:val="clear" w:color="auto" w:fill="auto"/>
          </w:tcPr>
          <w:p w14:paraId="43462F6B" w14:textId="77777777" w:rsidR="003F763E" w:rsidRPr="00116DE3" w:rsidRDefault="003F763E" w:rsidP="004B2211">
            <w:pPr>
              <w:pStyle w:val="A-TableText"/>
              <w:spacing w:line="240" w:lineRule="auto"/>
              <w:jc w:val="center"/>
              <w:rPr>
                <w:sz w:val="18"/>
                <w:szCs w:val="18"/>
              </w:rPr>
            </w:pPr>
            <w:r w:rsidRPr="00116DE3">
              <w:rPr>
                <w:sz w:val="18"/>
                <w:szCs w:val="18"/>
              </w:rPr>
              <w:t>85.4%;</w:t>
            </w:r>
            <w:r w:rsidR="004B2211" w:rsidRPr="00116DE3">
              <w:rPr>
                <w:sz w:val="18"/>
                <w:szCs w:val="18"/>
              </w:rPr>
              <w:br/>
            </w:r>
            <w:r w:rsidRPr="00116DE3">
              <w:rPr>
                <w:sz w:val="18"/>
                <w:szCs w:val="18"/>
              </w:rPr>
              <w:t>(74.3, 92.2)</w:t>
            </w:r>
          </w:p>
        </w:tc>
        <w:tc>
          <w:tcPr>
            <w:tcW w:w="2126" w:type="dxa"/>
            <w:tcBorders>
              <w:top w:val="single" w:sz="12" w:space="0" w:color="auto"/>
              <w:bottom w:val="single" w:sz="2" w:space="0" w:color="auto"/>
            </w:tcBorders>
            <w:shd w:val="clear" w:color="auto" w:fill="auto"/>
          </w:tcPr>
          <w:p w14:paraId="7695E84C" w14:textId="77777777" w:rsidR="003F763E" w:rsidRPr="00116DE3" w:rsidRDefault="003F763E" w:rsidP="004B2211">
            <w:pPr>
              <w:pStyle w:val="A-TableText"/>
              <w:spacing w:line="240" w:lineRule="auto"/>
              <w:jc w:val="center"/>
              <w:rPr>
                <w:sz w:val="18"/>
                <w:szCs w:val="18"/>
              </w:rPr>
            </w:pPr>
            <w:r w:rsidRPr="00116DE3">
              <w:rPr>
                <w:sz w:val="18"/>
                <w:szCs w:val="18"/>
              </w:rPr>
              <w:t>85.9%</w:t>
            </w:r>
            <w:r w:rsidR="004B2211" w:rsidRPr="00116DE3">
              <w:rPr>
                <w:sz w:val="18"/>
                <w:szCs w:val="18"/>
              </w:rPr>
              <w:br/>
            </w:r>
            <w:r w:rsidRPr="00116DE3">
              <w:rPr>
                <w:sz w:val="18"/>
                <w:szCs w:val="18"/>
              </w:rPr>
              <w:t>(76.3, 92.0)</w:t>
            </w:r>
          </w:p>
        </w:tc>
      </w:tr>
      <w:tr w:rsidR="003F763E" w:rsidRPr="00116DE3" w14:paraId="7868156D" w14:textId="77777777" w:rsidTr="004B2211">
        <w:trPr>
          <w:cantSplit/>
        </w:trPr>
        <w:tc>
          <w:tcPr>
            <w:tcW w:w="1242" w:type="dxa"/>
            <w:vMerge/>
            <w:tcBorders>
              <w:bottom w:val="single" w:sz="4" w:space="0" w:color="auto"/>
            </w:tcBorders>
            <w:shd w:val="clear" w:color="auto" w:fill="auto"/>
          </w:tcPr>
          <w:p w14:paraId="6D87CC6B" w14:textId="77777777" w:rsidR="003F763E" w:rsidRPr="00116DE3" w:rsidRDefault="003F763E" w:rsidP="0020751A">
            <w:pPr>
              <w:pStyle w:val="A-TableText"/>
              <w:spacing w:line="240" w:lineRule="auto"/>
              <w:rPr>
                <w:sz w:val="18"/>
                <w:szCs w:val="18"/>
              </w:rPr>
            </w:pPr>
          </w:p>
        </w:tc>
        <w:tc>
          <w:tcPr>
            <w:tcW w:w="1418" w:type="dxa"/>
            <w:vMerge/>
            <w:tcBorders>
              <w:bottom w:val="single" w:sz="4" w:space="0" w:color="auto"/>
            </w:tcBorders>
            <w:shd w:val="clear" w:color="auto" w:fill="auto"/>
          </w:tcPr>
          <w:p w14:paraId="0DBA03CF" w14:textId="77777777" w:rsidR="003F763E" w:rsidRPr="00116DE3" w:rsidRDefault="003F763E" w:rsidP="0020751A">
            <w:pPr>
              <w:pStyle w:val="A-TableText"/>
              <w:spacing w:line="240" w:lineRule="auto"/>
              <w:rPr>
                <w:sz w:val="18"/>
                <w:szCs w:val="18"/>
              </w:rPr>
            </w:pPr>
          </w:p>
        </w:tc>
        <w:tc>
          <w:tcPr>
            <w:tcW w:w="1134" w:type="dxa"/>
            <w:vMerge/>
            <w:tcBorders>
              <w:bottom w:val="single" w:sz="4" w:space="0" w:color="auto"/>
            </w:tcBorders>
            <w:shd w:val="clear" w:color="auto" w:fill="auto"/>
          </w:tcPr>
          <w:p w14:paraId="3430D512" w14:textId="77777777" w:rsidR="003F763E" w:rsidRPr="00116DE3" w:rsidRDefault="003F763E" w:rsidP="004B2211">
            <w:pPr>
              <w:pStyle w:val="A-TableText"/>
              <w:spacing w:line="240" w:lineRule="auto"/>
              <w:jc w:val="center"/>
              <w:rPr>
                <w:sz w:val="18"/>
                <w:szCs w:val="18"/>
              </w:rPr>
            </w:pPr>
          </w:p>
        </w:tc>
        <w:tc>
          <w:tcPr>
            <w:tcW w:w="709" w:type="dxa"/>
            <w:vMerge/>
            <w:tcBorders>
              <w:bottom w:val="single" w:sz="4" w:space="0" w:color="auto"/>
            </w:tcBorders>
            <w:shd w:val="clear" w:color="auto" w:fill="auto"/>
          </w:tcPr>
          <w:p w14:paraId="506AE835" w14:textId="77777777" w:rsidR="003F763E" w:rsidRPr="00116DE3" w:rsidRDefault="003F763E" w:rsidP="004B2211">
            <w:pPr>
              <w:pStyle w:val="A-TableText"/>
              <w:spacing w:line="240" w:lineRule="auto"/>
              <w:jc w:val="center"/>
              <w:rPr>
                <w:sz w:val="18"/>
                <w:szCs w:val="18"/>
              </w:rPr>
            </w:pPr>
          </w:p>
        </w:tc>
        <w:tc>
          <w:tcPr>
            <w:tcW w:w="1134" w:type="dxa"/>
            <w:tcBorders>
              <w:top w:val="single" w:sz="2" w:space="0" w:color="auto"/>
              <w:bottom w:val="single" w:sz="2" w:space="0" w:color="auto"/>
            </w:tcBorders>
            <w:shd w:val="clear" w:color="auto" w:fill="auto"/>
          </w:tcPr>
          <w:p w14:paraId="305B1CD6" w14:textId="77777777" w:rsidR="003F763E" w:rsidRPr="00116DE3" w:rsidRDefault="003F763E" w:rsidP="004B2211">
            <w:pPr>
              <w:pStyle w:val="A-TableText"/>
              <w:spacing w:line="240" w:lineRule="auto"/>
              <w:jc w:val="center"/>
              <w:rPr>
                <w:sz w:val="18"/>
                <w:szCs w:val="18"/>
              </w:rPr>
            </w:pPr>
            <w:r w:rsidRPr="00116DE3">
              <w:rPr>
                <w:sz w:val="18"/>
                <w:szCs w:val="18"/>
              </w:rPr>
              <w:t>2001</w:t>
            </w:r>
            <w:r w:rsidRPr="00116DE3">
              <w:rPr>
                <w:sz w:val="18"/>
                <w:szCs w:val="18"/>
              </w:rPr>
              <w:noBreakHyphen/>
              <w:t>2002</w:t>
            </w:r>
          </w:p>
        </w:tc>
        <w:tc>
          <w:tcPr>
            <w:tcW w:w="1417" w:type="dxa"/>
            <w:tcBorders>
              <w:top w:val="single" w:sz="2" w:space="0" w:color="auto"/>
              <w:bottom w:val="single" w:sz="2" w:space="0" w:color="auto"/>
            </w:tcBorders>
            <w:shd w:val="clear" w:color="auto" w:fill="auto"/>
          </w:tcPr>
          <w:p w14:paraId="326E0094" w14:textId="77777777" w:rsidR="003F763E" w:rsidRPr="00116DE3" w:rsidRDefault="003F763E" w:rsidP="004B2211">
            <w:pPr>
              <w:pStyle w:val="A-TableText"/>
              <w:spacing w:line="240" w:lineRule="auto"/>
              <w:jc w:val="center"/>
              <w:rPr>
                <w:sz w:val="18"/>
                <w:szCs w:val="18"/>
              </w:rPr>
            </w:pPr>
            <w:r w:rsidRPr="00116DE3">
              <w:rPr>
                <w:sz w:val="18"/>
                <w:szCs w:val="18"/>
              </w:rPr>
              <w:t>88.7%</w:t>
            </w:r>
            <w:r w:rsidR="004B2211" w:rsidRPr="00116DE3">
              <w:rPr>
                <w:sz w:val="18"/>
                <w:szCs w:val="18"/>
              </w:rPr>
              <w:br/>
            </w:r>
            <w:r w:rsidRPr="00116DE3">
              <w:rPr>
                <w:sz w:val="18"/>
                <w:szCs w:val="18"/>
              </w:rPr>
              <w:t>(82.0, 93.2)</w:t>
            </w:r>
          </w:p>
        </w:tc>
        <w:tc>
          <w:tcPr>
            <w:tcW w:w="2126" w:type="dxa"/>
            <w:tcBorders>
              <w:top w:val="single" w:sz="2" w:space="0" w:color="auto"/>
              <w:bottom w:val="single" w:sz="2" w:space="0" w:color="auto"/>
            </w:tcBorders>
            <w:shd w:val="clear" w:color="auto" w:fill="auto"/>
          </w:tcPr>
          <w:p w14:paraId="41190881" w14:textId="77777777" w:rsidR="003F763E" w:rsidRPr="00116DE3" w:rsidRDefault="003F763E" w:rsidP="004B2211">
            <w:pPr>
              <w:pStyle w:val="A-TableText"/>
              <w:spacing w:line="240" w:lineRule="auto"/>
              <w:jc w:val="center"/>
              <w:rPr>
                <w:sz w:val="18"/>
                <w:szCs w:val="18"/>
              </w:rPr>
            </w:pPr>
            <w:r w:rsidRPr="00116DE3">
              <w:rPr>
                <w:sz w:val="18"/>
                <w:szCs w:val="18"/>
              </w:rPr>
              <w:t>85.8%</w:t>
            </w:r>
            <w:r w:rsidR="004B2211" w:rsidRPr="00116DE3">
              <w:rPr>
                <w:sz w:val="18"/>
                <w:szCs w:val="18"/>
              </w:rPr>
              <w:br/>
            </w:r>
            <w:r w:rsidRPr="00116DE3">
              <w:rPr>
                <w:sz w:val="18"/>
                <w:szCs w:val="18"/>
              </w:rPr>
              <w:t>(78.6, 90.9)</w:t>
            </w:r>
          </w:p>
        </w:tc>
      </w:tr>
      <w:tr w:rsidR="003F763E" w:rsidRPr="00116DE3" w14:paraId="0B72B96D" w14:textId="77777777" w:rsidTr="004B2211">
        <w:trPr>
          <w:cantSplit/>
        </w:trPr>
        <w:tc>
          <w:tcPr>
            <w:tcW w:w="1242" w:type="dxa"/>
            <w:vMerge w:val="restart"/>
            <w:tcBorders>
              <w:top w:val="single" w:sz="4" w:space="0" w:color="auto"/>
            </w:tcBorders>
            <w:shd w:val="clear" w:color="auto" w:fill="auto"/>
          </w:tcPr>
          <w:p w14:paraId="4C0AEB43" w14:textId="77777777" w:rsidR="003F763E" w:rsidRPr="00116DE3" w:rsidRDefault="003F763E" w:rsidP="003A3B49">
            <w:pPr>
              <w:pStyle w:val="A-TableText"/>
              <w:spacing w:line="240" w:lineRule="auto"/>
              <w:rPr>
                <w:sz w:val="18"/>
                <w:szCs w:val="18"/>
              </w:rPr>
            </w:pPr>
            <w:r w:rsidRPr="00116DE3">
              <w:rPr>
                <w:sz w:val="18"/>
                <w:szCs w:val="18"/>
              </w:rPr>
              <w:t>D153-P504</w:t>
            </w:r>
            <w:r w:rsidR="00FF7F0C" w:rsidRPr="00116DE3">
              <w:rPr>
                <w:sz w:val="18"/>
                <w:szCs w:val="18"/>
              </w:rPr>
              <w:br/>
            </w:r>
            <w:r w:rsidR="003A3B49" w:rsidRPr="00116DE3">
              <w:rPr>
                <w:sz w:val="18"/>
                <w:szCs w:val="18"/>
              </w:rPr>
              <w:t>(</w:t>
            </w:r>
            <w:proofErr w:type="spellStart"/>
            <w:r w:rsidR="003A3B49" w:rsidRPr="00116DE3">
              <w:rPr>
                <w:sz w:val="18"/>
                <w:szCs w:val="18"/>
              </w:rPr>
              <w:t>Bracco</w:t>
            </w:r>
            <w:proofErr w:type="spellEnd"/>
            <w:r w:rsidR="003A3B49" w:rsidRPr="00116DE3">
              <w:rPr>
                <w:sz w:val="18"/>
                <w:szCs w:val="18"/>
              </w:rPr>
              <w:t xml:space="preserve"> </w:t>
            </w:r>
            <w:proofErr w:type="spellStart"/>
            <w:r w:rsidR="003A3B49" w:rsidRPr="00116DE3">
              <w:rPr>
                <w:sz w:val="18"/>
                <w:szCs w:val="18"/>
              </w:rPr>
              <w:t>Neto</w:t>
            </w:r>
            <w:proofErr w:type="spellEnd"/>
            <w:r w:rsidR="003A3B49" w:rsidRPr="00116DE3">
              <w:rPr>
                <w:sz w:val="18"/>
                <w:szCs w:val="18"/>
              </w:rPr>
              <w:t xml:space="preserve"> et al 2009)</w:t>
            </w:r>
          </w:p>
        </w:tc>
        <w:tc>
          <w:tcPr>
            <w:tcW w:w="1418" w:type="dxa"/>
            <w:vMerge w:val="restart"/>
            <w:tcBorders>
              <w:top w:val="single" w:sz="4" w:space="0" w:color="auto"/>
            </w:tcBorders>
            <w:shd w:val="clear" w:color="auto" w:fill="auto"/>
          </w:tcPr>
          <w:p w14:paraId="59F03C22" w14:textId="77777777" w:rsidR="003F763E" w:rsidRPr="00116DE3" w:rsidRDefault="003F763E" w:rsidP="0020751A">
            <w:pPr>
              <w:pStyle w:val="A-TableText"/>
              <w:spacing w:line="240" w:lineRule="auto"/>
              <w:rPr>
                <w:sz w:val="18"/>
                <w:szCs w:val="18"/>
              </w:rPr>
            </w:pPr>
            <w:r w:rsidRPr="00116DE3">
              <w:rPr>
                <w:sz w:val="18"/>
                <w:szCs w:val="18"/>
              </w:rPr>
              <w:t>Africa,</w:t>
            </w:r>
            <w:r w:rsidRPr="00116DE3">
              <w:rPr>
                <w:sz w:val="18"/>
                <w:szCs w:val="18"/>
              </w:rPr>
              <w:br/>
              <w:t>Latin America</w:t>
            </w:r>
          </w:p>
        </w:tc>
        <w:tc>
          <w:tcPr>
            <w:tcW w:w="1134" w:type="dxa"/>
            <w:vMerge w:val="restart"/>
            <w:tcBorders>
              <w:top w:val="single" w:sz="4" w:space="0" w:color="auto"/>
            </w:tcBorders>
            <w:shd w:val="clear" w:color="auto" w:fill="auto"/>
          </w:tcPr>
          <w:p w14:paraId="703FD989" w14:textId="77777777" w:rsidR="003F763E" w:rsidRPr="00116DE3" w:rsidRDefault="003F763E" w:rsidP="004B2211">
            <w:pPr>
              <w:pStyle w:val="A-TableText"/>
              <w:spacing w:line="240" w:lineRule="auto"/>
              <w:jc w:val="center"/>
              <w:rPr>
                <w:sz w:val="18"/>
                <w:szCs w:val="18"/>
              </w:rPr>
            </w:pPr>
            <w:r w:rsidRPr="00116DE3">
              <w:rPr>
                <w:sz w:val="18"/>
                <w:szCs w:val="18"/>
              </w:rPr>
              <w:t>6-35</w:t>
            </w:r>
          </w:p>
        </w:tc>
        <w:tc>
          <w:tcPr>
            <w:tcW w:w="709" w:type="dxa"/>
            <w:vMerge w:val="restart"/>
            <w:tcBorders>
              <w:top w:val="single" w:sz="4" w:space="0" w:color="auto"/>
            </w:tcBorders>
            <w:shd w:val="clear" w:color="auto" w:fill="auto"/>
          </w:tcPr>
          <w:p w14:paraId="5C896044" w14:textId="77777777" w:rsidR="003F763E" w:rsidRPr="00116DE3" w:rsidRDefault="003F763E" w:rsidP="004B2211">
            <w:pPr>
              <w:pStyle w:val="A-TableText"/>
              <w:spacing w:line="240" w:lineRule="auto"/>
              <w:jc w:val="center"/>
              <w:rPr>
                <w:sz w:val="18"/>
                <w:szCs w:val="18"/>
              </w:rPr>
            </w:pPr>
            <w:r w:rsidRPr="00116DE3">
              <w:rPr>
                <w:sz w:val="18"/>
                <w:szCs w:val="18"/>
              </w:rPr>
              <w:t>1886</w:t>
            </w:r>
          </w:p>
        </w:tc>
        <w:tc>
          <w:tcPr>
            <w:tcW w:w="1134" w:type="dxa"/>
            <w:tcBorders>
              <w:top w:val="single" w:sz="2" w:space="0" w:color="auto"/>
              <w:bottom w:val="single" w:sz="2" w:space="0" w:color="auto"/>
            </w:tcBorders>
            <w:shd w:val="clear" w:color="auto" w:fill="auto"/>
          </w:tcPr>
          <w:p w14:paraId="1D3F0884" w14:textId="77777777" w:rsidR="003F763E" w:rsidRPr="00116DE3" w:rsidRDefault="003F763E" w:rsidP="004B2211">
            <w:pPr>
              <w:pStyle w:val="A-TableText"/>
              <w:spacing w:line="240" w:lineRule="auto"/>
              <w:jc w:val="center"/>
              <w:rPr>
                <w:sz w:val="18"/>
                <w:szCs w:val="18"/>
              </w:rPr>
            </w:pPr>
            <w:r w:rsidRPr="00116DE3">
              <w:rPr>
                <w:sz w:val="18"/>
                <w:szCs w:val="18"/>
              </w:rPr>
              <w:t>2001</w:t>
            </w:r>
          </w:p>
        </w:tc>
        <w:tc>
          <w:tcPr>
            <w:tcW w:w="1417" w:type="dxa"/>
            <w:tcBorders>
              <w:top w:val="single" w:sz="2" w:space="0" w:color="auto"/>
              <w:bottom w:val="single" w:sz="2" w:space="0" w:color="auto"/>
            </w:tcBorders>
            <w:shd w:val="clear" w:color="auto" w:fill="auto"/>
          </w:tcPr>
          <w:p w14:paraId="16367471" w14:textId="77777777" w:rsidR="003F763E" w:rsidRPr="00116DE3" w:rsidRDefault="003F763E" w:rsidP="004B2211">
            <w:pPr>
              <w:pStyle w:val="A-TableText"/>
              <w:spacing w:line="240" w:lineRule="auto"/>
              <w:jc w:val="center"/>
              <w:rPr>
                <w:sz w:val="18"/>
                <w:szCs w:val="18"/>
              </w:rPr>
            </w:pPr>
            <w:r w:rsidRPr="00116DE3">
              <w:rPr>
                <w:sz w:val="18"/>
                <w:szCs w:val="18"/>
              </w:rPr>
              <w:t>73.5%</w:t>
            </w:r>
            <w:r w:rsidR="004B2211" w:rsidRPr="00116DE3">
              <w:rPr>
                <w:sz w:val="18"/>
                <w:szCs w:val="18"/>
              </w:rPr>
              <w:br/>
            </w:r>
            <w:r w:rsidRPr="00116DE3">
              <w:rPr>
                <w:sz w:val="18"/>
                <w:szCs w:val="18"/>
              </w:rPr>
              <w:t>(63.6, 81.0)</w:t>
            </w:r>
            <w:r w:rsidR="004B2211" w:rsidRPr="00116DE3">
              <w:rPr>
                <w:rStyle w:val="TableNote"/>
                <w:sz w:val="18"/>
                <w:szCs w:val="18"/>
              </w:rPr>
              <w:t>b</w:t>
            </w:r>
          </w:p>
        </w:tc>
        <w:tc>
          <w:tcPr>
            <w:tcW w:w="2126" w:type="dxa"/>
            <w:tcBorders>
              <w:top w:val="single" w:sz="2" w:space="0" w:color="auto"/>
              <w:bottom w:val="single" w:sz="2" w:space="0" w:color="auto"/>
            </w:tcBorders>
            <w:shd w:val="clear" w:color="auto" w:fill="auto"/>
          </w:tcPr>
          <w:p w14:paraId="421DC747" w14:textId="77777777" w:rsidR="003F763E" w:rsidRPr="00116DE3" w:rsidRDefault="003F763E" w:rsidP="004B2211">
            <w:pPr>
              <w:pStyle w:val="A-TableText"/>
              <w:spacing w:line="240" w:lineRule="auto"/>
              <w:jc w:val="center"/>
              <w:rPr>
                <w:sz w:val="18"/>
                <w:szCs w:val="18"/>
              </w:rPr>
            </w:pPr>
            <w:r w:rsidRPr="00116DE3">
              <w:rPr>
                <w:sz w:val="18"/>
                <w:szCs w:val="18"/>
              </w:rPr>
              <w:t>72.0%</w:t>
            </w:r>
            <w:r w:rsidR="004B2211" w:rsidRPr="00116DE3">
              <w:rPr>
                <w:sz w:val="18"/>
                <w:szCs w:val="18"/>
              </w:rPr>
              <w:br/>
            </w:r>
            <w:r w:rsidRPr="00116DE3">
              <w:rPr>
                <w:sz w:val="18"/>
                <w:szCs w:val="18"/>
              </w:rPr>
              <w:t>(61.9, 79.8)</w:t>
            </w:r>
            <w:r w:rsidR="004B2211" w:rsidRPr="00116DE3">
              <w:rPr>
                <w:rStyle w:val="TableNote"/>
                <w:sz w:val="18"/>
                <w:szCs w:val="18"/>
              </w:rPr>
              <w:t>b</w:t>
            </w:r>
          </w:p>
        </w:tc>
      </w:tr>
      <w:tr w:rsidR="003F763E" w:rsidRPr="00116DE3" w14:paraId="0DCC40B8" w14:textId="77777777" w:rsidTr="004B2211">
        <w:trPr>
          <w:cantSplit/>
        </w:trPr>
        <w:tc>
          <w:tcPr>
            <w:tcW w:w="1242" w:type="dxa"/>
            <w:vMerge/>
            <w:tcBorders>
              <w:bottom w:val="single" w:sz="4" w:space="0" w:color="auto"/>
            </w:tcBorders>
            <w:shd w:val="clear" w:color="auto" w:fill="auto"/>
          </w:tcPr>
          <w:p w14:paraId="4B403AC7" w14:textId="77777777" w:rsidR="003F763E" w:rsidRPr="00116DE3" w:rsidRDefault="003F763E" w:rsidP="0020751A">
            <w:pPr>
              <w:pStyle w:val="A-TableText"/>
              <w:spacing w:line="240" w:lineRule="auto"/>
              <w:rPr>
                <w:sz w:val="18"/>
                <w:szCs w:val="18"/>
              </w:rPr>
            </w:pPr>
          </w:p>
        </w:tc>
        <w:tc>
          <w:tcPr>
            <w:tcW w:w="1418" w:type="dxa"/>
            <w:vMerge/>
            <w:tcBorders>
              <w:bottom w:val="single" w:sz="4" w:space="0" w:color="auto"/>
            </w:tcBorders>
            <w:shd w:val="clear" w:color="auto" w:fill="auto"/>
          </w:tcPr>
          <w:p w14:paraId="7A1BB643" w14:textId="77777777" w:rsidR="003F763E" w:rsidRPr="00116DE3" w:rsidRDefault="003F763E" w:rsidP="0020751A">
            <w:pPr>
              <w:pStyle w:val="A-TableText"/>
              <w:spacing w:line="240" w:lineRule="auto"/>
              <w:rPr>
                <w:sz w:val="18"/>
                <w:szCs w:val="18"/>
              </w:rPr>
            </w:pPr>
          </w:p>
        </w:tc>
        <w:tc>
          <w:tcPr>
            <w:tcW w:w="1134" w:type="dxa"/>
            <w:vMerge/>
            <w:tcBorders>
              <w:bottom w:val="single" w:sz="4" w:space="0" w:color="auto"/>
            </w:tcBorders>
            <w:shd w:val="clear" w:color="auto" w:fill="auto"/>
          </w:tcPr>
          <w:p w14:paraId="142C1D9B" w14:textId="77777777" w:rsidR="003F763E" w:rsidRPr="00116DE3" w:rsidRDefault="003F763E" w:rsidP="004B2211">
            <w:pPr>
              <w:pStyle w:val="A-TableText"/>
              <w:spacing w:line="240" w:lineRule="auto"/>
              <w:jc w:val="center"/>
              <w:rPr>
                <w:sz w:val="18"/>
                <w:szCs w:val="18"/>
              </w:rPr>
            </w:pPr>
          </w:p>
        </w:tc>
        <w:tc>
          <w:tcPr>
            <w:tcW w:w="709" w:type="dxa"/>
            <w:vMerge/>
            <w:tcBorders>
              <w:bottom w:val="single" w:sz="4" w:space="0" w:color="auto"/>
            </w:tcBorders>
            <w:shd w:val="clear" w:color="auto" w:fill="auto"/>
          </w:tcPr>
          <w:p w14:paraId="7B78811F" w14:textId="77777777" w:rsidR="003F763E" w:rsidRPr="00116DE3" w:rsidRDefault="003F763E" w:rsidP="004B2211">
            <w:pPr>
              <w:pStyle w:val="A-TableText"/>
              <w:spacing w:line="240" w:lineRule="auto"/>
              <w:jc w:val="center"/>
              <w:rPr>
                <w:sz w:val="18"/>
                <w:szCs w:val="18"/>
              </w:rPr>
            </w:pPr>
          </w:p>
        </w:tc>
        <w:tc>
          <w:tcPr>
            <w:tcW w:w="1134" w:type="dxa"/>
            <w:tcBorders>
              <w:top w:val="single" w:sz="2" w:space="0" w:color="auto"/>
              <w:bottom w:val="single" w:sz="2" w:space="0" w:color="auto"/>
            </w:tcBorders>
            <w:shd w:val="clear" w:color="auto" w:fill="auto"/>
          </w:tcPr>
          <w:p w14:paraId="58FE7CD8" w14:textId="77777777" w:rsidR="003F763E" w:rsidRPr="00116DE3" w:rsidRDefault="003F763E" w:rsidP="004B2211">
            <w:pPr>
              <w:pStyle w:val="A-TableText"/>
              <w:spacing w:line="240" w:lineRule="auto"/>
              <w:jc w:val="center"/>
              <w:rPr>
                <w:sz w:val="18"/>
                <w:szCs w:val="18"/>
              </w:rPr>
            </w:pPr>
            <w:r w:rsidRPr="00116DE3">
              <w:rPr>
                <w:sz w:val="18"/>
                <w:szCs w:val="18"/>
              </w:rPr>
              <w:t>2002</w:t>
            </w:r>
          </w:p>
        </w:tc>
        <w:tc>
          <w:tcPr>
            <w:tcW w:w="1417" w:type="dxa"/>
            <w:tcBorders>
              <w:top w:val="single" w:sz="2" w:space="0" w:color="auto"/>
              <w:bottom w:val="single" w:sz="2" w:space="0" w:color="auto"/>
            </w:tcBorders>
            <w:shd w:val="clear" w:color="auto" w:fill="auto"/>
          </w:tcPr>
          <w:p w14:paraId="36084A9A" w14:textId="77777777" w:rsidR="003F763E" w:rsidRPr="00116DE3" w:rsidRDefault="003F763E" w:rsidP="004B2211">
            <w:pPr>
              <w:pStyle w:val="A-TableText"/>
              <w:spacing w:line="240" w:lineRule="auto"/>
              <w:jc w:val="center"/>
              <w:rPr>
                <w:sz w:val="18"/>
                <w:szCs w:val="18"/>
              </w:rPr>
            </w:pPr>
            <w:r w:rsidRPr="00116DE3">
              <w:rPr>
                <w:sz w:val="18"/>
                <w:szCs w:val="18"/>
              </w:rPr>
              <w:t>73.6%</w:t>
            </w:r>
            <w:r w:rsidR="004B2211" w:rsidRPr="00116DE3">
              <w:rPr>
                <w:sz w:val="18"/>
                <w:szCs w:val="18"/>
              </w:rPr>
              <w:br/>
            </w:r>
            <w:r w:rsidRPr="00116DE3">
              <w:rPr>
                <w:sz w:val="18"/>
                <w:szCs w:val="18"/>
              </w:rPr>
              <w:t>(33.3, 91.2)</w:t>
            </w:r>
          </w:p>
        </w:tc>
        <w:tc>
          <w:tcPr>
            <w:tcW w:w="2126" w:type="dxa"/>
            <w:tcBorders>
              <w:top w:val="single" w:sz="2" w:space="0" w:color="auto"/>
              <w:bottom w:val="single" w:sz="2" w:space="0" w:color="auto"/>
            </w:tcBorders>
            <w:shd w:val="clear" w:color="auto" w:fill="auto"/>
          </w:tcPr>
          <w:p w14:paraId="7722D181" w14:textId="77777777" w:rsidR="003F763E" w:rsidRPr="00116DE3" w:rsidRDefault="003F763E" w:rsidP="004B2211">
            <w:pPr>
              <w:pStyle w:val="A-TableText"/>
              <w:spacing w:line="240" w:lineRule="auto"/>
              <w:jc w:val="center"/>
              <w:rPr>
                <w:sz w:val="18"/>
                <w:szCs w:val="18"/>
              </w:rPr>
            </w:pPr>
            <w:r w:rsidRPr="00116DE3">
              <w:rPr>
                <w:sz w:val="18"/>
                <w:szCs w:val="18"/>
              </w:rPr>
              <w:t>46.6%</w:t>
            </w:r>
            <w:r w:rsidR="004B2211" w:rsidRPr="00116DE3">
              <w:rPr>
                <w:sz w:val="18"/>
                <w:szCs w:val="18"/>
              </w:rPr>
              <w:br/>
            </w:r>
            <w:r w:rsidRPr="00116DE3">
              <w:rPr>
                <w:sz w:val="18"/>
                <w:szCs w:val="18"/>
              </w:rPr>
              <w:t>(14.9, 67.2)</w:t>
            </w:r>
          </w:p>
        </w:tc>
      </w:tr>
      <w:tr w:rsidR="0020751A" w:rsidRPr="00116DE3" w14:paraId="1066F9E5" w14:textId="77777777" w:rsidTr="004B2211">
        <w:trPr>
          <w:cantSplit/>
        </w:trPr>
        <w:tc>
          <w:tcPr>
            <w:tcW w:w="1242" w:type="dxa"/>
            <w:tcBorders>
              <w:top w:val="single" w:sz="4" w:space="0" w:color="auto"/>
              <w:bottom w:val="single" w:sz="4" w:space="0" w:color="auto"/>
            </w:tcBorders>
            <w:shd w:val="clear" w:color="auto" w:fill="auto"/>
          </w:tcPr>
          <w:p w14:paraId="6FDB9A3F" w14:textId="77777777" w:rsidR="0020751A" w:rsidRPr="00116DE3" w:rsidRDefault="0020751A" w:rsidP="0020751A">
            <w:pPr>
              <w:pStyle w:val="A-TableText"/>
              <w:spacing w:line="240" w:lineRule="auto"/>
              <w:rPr>
                <w:sz w:val="18"/>
                <w:szCs w:val="18"/>
              </w:rPr>
            </w:pPr>
            <w:r w:rsidRPr="00116DE3">
              <w:rPr>
                <w:sz w:val="18"/>
                <w:szCs w:val="18"/>
              </w:rPr>
              <w:t>D153-P513</w:t>
            </w:r>
            <w:r w:rsidR="00FF7F0C" w:rsidRPr="00116DE3">
              <w:rPr>
                <w:sz w:val="18"/>
                <w:szCs w:val="18"/>
              </w:rPr>
              <w:br/>
              <w:t>(Forest et al 2008)</w:t>
            </w:r>
          </w:p>
        </w:tc>
        <w:tc>
          <w:tcPr>
            <w:tcW w:w="1418" w:type="dxa"/>
            <w:tcBorders>
              <w:top w:val="single" w:sz="4" w:space="0" w:color="auto"/>
              <w:bottom w:val="single" w:sz="4" w:space="0" w:color="auto"/>
            </w:tcBorders>
            <w:shd w:val="clear" w:color="auto" w:fill="auto"/>
          </w:tcPr>
          <w:p w14:paraId="56B9670F" w14:textId="77777777" w:rsidR="0020751A" w:rsidRPr="00116DE3" w:rsidRDefault="0020751A" w:rsidP="00AC05FE">
            <w:pPr>
              <w:pStyle w:val="A-TableText"/>
              <w:spacing w:line="240" w:lineRule="auto"/>
              <w:rPr>
                <w:sz w:val="18"/>
                <w:szCs w:val="18"/>
              </w:rPr>
            </w:pPr>
            <w:r w:rsidRPr="00116DE3">
              <w:rPr>
                <w:sz w:val="18"/>
                <w:szCs w:val="18"/>
              </w:rPr>
              <w:t>Asia/Oceania</w:t>
            </w:r>
          </w:p>
        </w:tc>
        <w:tc>
          <w:tcPr>
            <w:tcW w:w="1134" w:type="dxa"/>
            <w:tcBorders>
              <w:top w:val="single" w:sz="4" w:space="0" w:color="auto"/>
              <w:bottom w:val="single" w:sz="4" w:space="0" w:color="auto"/>
            </w:tcBorders>
            <w:shd w:val="clear" w:color="auto" w:fill="auto"/>
          </w:tcPr>
          <w:p w14:paraId="21B3942D" w14:textId="77777777" w:rsidR="0020751A" w:rsidRPr="00116DE3" w:rsidRDefault="0020751A" w:rsidP="004B2211">
            <w:pPr>
              <w:pStyle w:val="A-TableText"/>
              <w:spacing w:line="240" w:lineRule="auto"/>
              <w:jc w:val="center"/>
              <w:rPr>
                <w:sz w:val="18"/>
                <w:szCs w:val="18"/>
              </w:rPr>
            </w:pPr>
            <w:r w:rsidRPr="00116DE3">
              <w:rPr>
                <w:sz w:val="18"/>
                <w:szCs w:val="18"/>
              </w:rPr>
              <w:t>6-</w:t>
            </w:r>
            <w:r w:rsidR="002C7BAA" w:rsidRPr="00116DE3">
              <w:rPr>
                <w:sz w:val="18"/>
                <w:szCs w:val="18"/>
              </w:rPr>
              <w:t>35</w:t>
            </w:r>
          </w:p>
        </w:tc>
        <w:tc>
          <w:tcPr>
            <w:tcW w:w="709" w:type="dxa"/>
            <w:tcBorders>
              <w:top w:val="single" w:sz="4" w:space="0" w:color="auto"/>
              <w:bottom w:val="single" w:sz="4" w:space="0" w:color="auto"/>
            </w:tcBorders>
            <w:shd w:val="clear" w:color="auto" w:fill="auto"/>
          </w:tcPr>
          <w:p w14:paraId="01484124" w14:textId="77777777" w:rsidR="0020751A" w:rsidRPr="00116DE3" w:rsidRDefault="002C7BAA" w:rsidP="004B2211">
            <w:pPr>
              <w:pStyle w:val="A-TableText"/>
              <w:spacing w:line="240" w:lineRule="auto"/>
              <w:jc w:val="center"/>
              <w:rPr>
                <w:sz w:val="18"/>
                <w:szCs w:val="18"/>
              </w:rPr>
            </w:pPr>
            <w:r w:rsidRPr="00116DE3">
              <w:rPr>
                <w:sz w:val="18"/>
                <w:szCs w:val="18"/>
              </w:rPr>
              <w:t>1</w:t>
            </w:r>
            <w:r w:rsidR="0020751A" w:rsidRPr="00116DE3">
              <w:rPr>
                <w:sz w:val="18"/>
                <w:szCs w:val="18"/>
              </w:rPr>
              <w:t>041</w:t>
            </w:r>
          </w:p>
        </w:tc>
        <w:tc>
          <w:tcPr>
            <w:tcW w:w="1134" w:type="dxa"/>
            <w:tcBorders>
              <w:top w:val="single" w:sz="2" w:space="0" w:color="auto"/>
              <w:bottom w:val="single" w:sz="2" w:space="0" w:color="auto"/>
            </w:tcBorders>
            <w:shd w:val="clear" w:color="auto" w:fill="auto"/>
          </w:tcPr>
          <w:p w14:paraId="4BF7BDCC" w14:textId="77777777" w:rsidR="0020751A" w:rsidRPr="00116DE3" w:rsidRDefault="0020751A" w:rsidP="004B2211">
            <w:pPr>
              <w:pStyle w:val="A-TableText"/>
              <w:spacing w:line="240" w:lineRule="auto"/>
              <w:jc w:val="center"/>
              <w:rPr>
                <w:sz w:val="18"/>
                <w:szCs w:val="18"/>
              </w:rPr>
            </w:pPr>
            <w:r w:rsidRPr="00116DE3">
              <w:rPr>
                <w:sz w:val="18"/>
                <w:szCs w:val="18"/>
              </w:rPr>
              <w:t>2002</w:t>
            </w:r>
          </w:p>
        </w:tc>
        <w:tc>
          <w:tcPr>
            <w:tcW w:w="1417" w:type="dxa"/>
            <w:tcBorders>
              <w:top w:val="single" w:sz="2" w:space="0" w:color="auto"/>
              <w:bottom w:val="single" w:sz="2" w:space="0" w:color="auto"/>
            </w:tcBorders>
            <w:shd w:val="clear" w:color="auto" w:fill="auto"/>
          </w:tcPr>
          <w:p w14:paraId="7A390C08" w14:textId="77777777" w:rsidR="0020751A" w:rsidRPr="00116DE3" w:rsidRDefault="0020751A" w:rsidP="004B2211">
            <w:pPr>
              <w:pStyle w:val="A-TableText"/>
              <w:spacing w:line="240" w:lineRule="auto"/>
              <w:jc w:val="center"/>
              <w:rPr>
                <w:sz w:val="18"/>
                <w:szCs w:val="18"/>
              </w:rPr>
            </w:pPr>
            <w:r w:rsidRPr="00116DE3">
              <w:rPr>
                <w:sz w:val="18"/>
                <w:szCs w:val="18"/>
              </w:rPr>
              <w:t>62.2%</w:t>
            </w:r>
            <w:r w:rsidR="004B2211" w:rsidRPr="00116DE3">
              <w:rPr>
                <w:sz w:val="18"/>
                <w:szCs w:val="18"/>
              </w:rPr>
              <w:br/>
            </w:r>
            <w:r w:rsidRPr="00116DE3">
              <w:rPr>
                <w:sz w:val="18"/>
                <w:szCs w:val="18"/>
              </w:rPr>
              <w:t>(43.6, 75.2)</w:t>
            </w:r>
          </w:p>
        </w:tc>
        <w:tc>
          <w:tcPr>
            <w:tcW w:w="2126" w:type="dxa"/>
            <w:tcBorders>
              <w:top w:val="single" w:sz="2" w:space="0" w:color="auto"/>
              <w:bottom w:val="single" w:sz="2" w:space="0" w:color="auto"/>
            </w:tcBorders>
            <w:shd w:val="clear" w:color="auto" w:fill="auto"/>
          </w:tcPr>
          <w:p w14:paraId="798F7ACD" w14:textId="77777777" w:rsidR="0020751A" w:rsidRPr="00116DE3" w:rsidRDefault="0020751A" w:rsidP="004B2211">
            <w:pPr>
              <w:pStyle w:val="A-TableText"/>
              <w:spacing w:line="240" w:lineRule="auto"/>
              <w:jc w:val="center"/>
              <w:rPr>
                <w:sz w:val="18"/>
                <w:szCs w:val="18"/>
              </w:rPr>
            </w:pPr>
            <w:r w:rsidRPr="00116DE3">
              <w:rPr>
                <w:sz w:val="18"/>
                <w:szCs w:val="18"/>
              </w:rPr>
              <w:t>48.6%</w:t>
            </w:r>
            <w:r w:rsidR="004B2211" w:rsidRPr="00116DE3">
              <w:rPr>
                <w:sz w:val="18"/>
                <w:szCs w:val="18"/>
              </w:rPr>
              <w:br/>
            </w:r>
            <w:r w:rsidRPr="00116DE3">
              <w:rPr>
                <w:sz w:val="18"/>
                <w:szCs w:val="18"/>
              </w:rPr>
              <w:t>(28.8, 63.3)</w:t>
            </w:r>
          </w:p>
        </w:tc>
      </w:tr>
      <w:tr w:rsidR="0020751A" w:rsidRPr="00116DE3" w14:paraId="52C60D82" w14:textId="77777777" w:rsidTr="004B2211">
        <w:trPr>
          <w:cantSplit/>
        </w:trPr>
        <w:tc>
          <w:tcPr>
            <w:tcW w:w="1242" w:type="dxa"/>
            <w:tcBorders>
              <w:top w:val="single" w:sz="4" w:space="0" w:color="auto"/>
              <w:bottom w:val="single" w:sz="4" w:space="0" w:color="auto"/>
            </w:tcBorders>
            <w:shd w:val="clear" w:color="auto" w:fill="auto"/>
          </w:tcPr>
          <w:p w14:paraId="598D7D90" w14:textId="77777777" w:rsidR="0020751A" w:rsidRPr="00116DE3" w:rsidRDefault="0020751A" w:rsidP="00284F9B">
            <w:pPr>
              <w:pStyle w:val="A-TableText"/>
              <w:spacing w:line="240" w:lineRule="auto"/>
              <w:rPr>
                <w:sz w:val="18"/>
                <w:szCs w:val="18"/>
              </w:rPr>
            </w:pPr>
            <w:r w:rsidRPr="00116DE3">
              <w:rPr>
                <w:sz w:val="18"/>
                <w:szCs w:val="18"/>
              </w:rPr>
              <w:t>D153-P522</w:t>
            </w:r>
            <w:r w:rsidR="00FF7F0C" w:rsidRPr="00116DE3">
              <w:rPr>
                <w:sz w:val="18"/>
                <w:szCs w:val="18"/>
              </w:rPr>
              <w:br/>
            </w:r>
            <w:r w:rsidR="00284F9B" w:rsidRPr="00116DE3">
              <w:rPr>
                <w:sz w:val="18"/>
                <w:szCs w:val="18"/>
              </w:rPr>
              <w:t>(</w:t>
            </w:r>
            <w:proofErr w:type="spellStart"/>
            <w:r w:rsidR="00284F9B" w:rsidRPr="00116DE3">
              <w:rPr>
                <w:sz w:val="18"/>
                <w:szCs w:val="18"/>
              </w:rPr>
              <w:t>Lum</w:t>
            </w:r>
            <w:proofErr w:type="spellEnd"/>
            <w:r w:rsidR="00284F9B" w:rsidRPr="00116DE3">
              <w:rPr>
                <w:sz w:val="18"/>
                <w:szCs w:val="18"/>
              </w:rPr>
              <w:t xml:space="preserve"> et al 2010</w:t>
            </w:r>
            <w:r w:rsidR="00FF7F0C" w:rsidRPr="00116DE3">
              <w:rPr>
                <w:sz w:val="18"/>
                <w:szCs w:val="18"/>
              </w:rPr>
              <w:t>)</w:t>
            </w:r>
          </w:p>
        </w:tc>
        <w:tc>
          <w:tcPr>
            <w:tcW w:w="1418" w:type="dxa"/>
            <w:tcBorders>
              <w:top w:val="single" w:sz="4" w:space="0" w:color="auto"/>
              <w:bottom w:val="single" w:sz="4" w:space="0" w:color="auto"/>
            </w:tcBorders>
            <w:shd w:val="clear" w:color="auto" w:fill="auto"/>
          </w:tcPr>
          <w:p w14:paraId="2416E012" w14:textId="77777777" w:rsidR="0020751A" w:rsidRPr="00116DE3" w:rsidRDefault="0020751A" w:rsidP="0020751A">
            <w:pPr>
              <w:pStyle w:val="A-TableText"/>
              <w:spacing w:line="240" w:lineRule="auto"/>
              <w:rPr>
                <w:sz w:val="18"/>
                <w:szCs w:val="18"/>
              </w:rPr>
            </w:pPr>
            <w:r w:rsidRPr="00116DE3">
              <w:rPr>
                <w:sz w:val="18"/>
                <w:szCs w:val="18"/>
              </w:rPr>
              <w:t>Europe, Asia/Oceania, Latin America</w:t>
            </w:r>
          </w:p>
        </w:tc>
        <w:tc>
          <w:tcPr>
            <w:tcW w:w="1134" w:type="dxa"/>
            <w:tcBorders>
              <w:top w:val="single" w:sz="4" w:space="0" w:color="auto"/>
              <w:bottom w:val="single" w:sz="4" w:space="0" w:color="auto"/>
            </w:tcBorders>
            <w:shd w:val="clear" w:color="auto" w:fill="auto"/>
          </w:tcPr>
          <w:p w14:paraId="1C9ED574" w14:textId="77777777" w:rsidR="0020751A" w:rsidRPr="00116DE3" w:rsidRDefault="0020751A" w:rsidP="004B2211">
            <w:pPr>
              <w:pStyle w:val="A-TableText"/>
              <w:spacing w:line="240" w:lineRule="auto"/>
              <w:jc w:val="center"/>
              <w:rPr>
                <w:sz w:val="18"/>
                <w:szCs w:val="18"/>
              </w:rPr>
            </w:pPr>
            <w:r w:rsidRPr="00116DE3">
              <w:rPr>
                <w:sz w:val="18"/>
                <w:szCs w:val="18"/>
              </w:rPr>
              <w:t>11-</w:t>
            </w:r>
            <w:r w:rsidR="002C7BAA" w:rsidRPr="00116DE3">
              <w:rPr>
                <w:sz w:val="18"/>
                <w:szCs w:val="18"/>
              </w:rPr>
              <w:t>24</w:t>
            </w:r>
          </w:p>
        </w:tc>
        <w:tc>
          <w:tcPr>
            <w:tcW w:w="709" w:type="dxa"/>
            <w:tcBorders>
              <w:top w:val="single" w:sz="4" w:space="0" w:color="auto"/>
              <w:bottom w:val="single" w:sz="4" w:space="0" w:color="auto"/>
            </w:tcBorders>
            <w:shd w:val="clear" w:color="auto" w:fill="auto"/>
          </w:tcPr>
          <w:p w14:paraId="146F7E7D" w14:textId="77777777" w:rsidR="0020751A" w:rsidRPr="00116DE3" w:rsidRDefault="002C7BAA" w:rsidP="004B2211">
            <w:pPr>
              <w:pStyle w:val="A-TableText"/>
              <w:spacing w:line="240" w:lineRule="auto"/>
              <w:jc w:val="center"/>
              <w:rPr>
                <w:sz w:val="18"/>
                <w:szCs w:val="18"/>
              </w:rPr>
            </w:pPr>
            <w:r w:rsidRPr="00116DE3">
              <w:rPr>
                <w:sz w:val="18"/>
                <w:szCs w:val="18"/>
              </w:rPr>
              <w:t>1</w:t>
            </w:r>
            <w:r w:rsidR="0020751A" w:rsidRPr="00116DE3">
              <w:rPr>
                <w:sz w:val="18"/>
                <w:szCs w:val="18"/>
              </w:rPr>
              <w:t>150</w:t>
            </w:r>
          </w:p>
        </w:tc>
        <w:tc>
          <w:tcPr>
            <w:tcW w:w="1134" w:type="dxa"/>
            <w:tcBorders>
              <w:top w:val="single" w:sz="2" w:space="0" w:color="auto"/>
              <w:bottom w:val="single" w:sz="2" w:space="0" w:color="auto"/>
            </w:tcBorders>
            <w:shd w:val="clear" w:color="auto" w:fill="auto"/>
          </w:tcPr>
          <w:p w14:paraId="14542F7E" w14:textId="77777777" w:rsidR="0020751A" w:rsidRPr="00116DE3" w:rsidRDefault="0020751A" w:rsidP="004B2211">
            <w:pPr>
              <w:pStyle w:val="A-TableText"/>
              <w:spacing w:line="240" w:lineRule="auto"/>
              <w:jc w:val="center"/>
              <w:rPr>
                <w:sz w:val="18"/>
                <w:szCs w:val="18"/>
              </w:rPr>
            </w:pPr>
            <w:r w:rsidRPr="00116DE3">
              <w:rPr>
                <w:sz w:val="18"/>
                <w:szCs w:val="18"/>
              </w:rPr>
              <w:t>2002</w:t>
            </w:r>
            <w:r w:rsidRPr="00116DE3">
              <w:rPr>
                <w:sz w:val="18"/>
                <w:szCs w:val="18"/>
              </w:rPr>
              <w:noBreakHyphen/>
              <w:t>2003</w:t>
            </w:r>
          </w:p>
        </w:tc>
        <w:tc>
          <w:tcPr>
            <w:tcW w:w="1417" w:type="dxa"/>
            <w:tcBorders>
              <w:top w:val="single" w:sz="2" w:space="0" w:color="auto"/>
              <w:bottom w:val="single" w:sz="2" w:space="0" w:color="auto"/>
            </w:tcBorders>
            <w:shd w:val="clear" w:color="auto" w:fill="auto"/>
          </w:tcPr>
          <w:p w14:paraId="7CAEC372" w14:textId="77777777" w:rsidR="0020751A" w:rsidRPr="00116DE3" w:rsidRDefault="0020751A" w:rsidP="004B2211">
            <w:pPr>
              <w:pStyle w:val="A-TableText"/>
              <w:spacing w:line="240" w:lineRule="auto"/>
              <w:jc w:val="center"/>
              <w:rPr>
                <w:sz w:val="18"/>
                <w:szCs w:val="18"/>
              </w:rPr>
            </w:pPr>
            <w:r w:rsidRPr="00116DE3">
              <w:rPr>
                <w:sz w:val="18"/>
                <w:szCs w:val="18"/>
              </w:rPr>
              <w:t>78.4%</w:t>
            </w:r>
            <w:r w:rsidR="004B2211" w:rsidRPr="00116DE3">
              <w:rPr>
                <w:sz w:val="18"/>
                <w:szCs w:val="18"/>
              </w:rPr>
              <w:br/>
            </w:r>
            <w:r w:rsidRPr="00116DE3">
              <w:rPr>
                <w:sz w:val="18"/>
                <w:szCs w:val="18"/>
              </w:rPr>
              <w:t>(50.9, 91.3)</w:t>
            </w:r>
          </w:p>
        </w:tc>
        <w:tc>
          <w:tcPr>
            <w:tcW w:w="2126" w:type="dxa"/>
            <w:tcBorders>
              <w:top w:val="single" w:sz="2" w:space="0" w:color="auto"/>
              <w:bottom w:val="single" w:sz="2" w:space="0" w:color="auto"/>
            </w:tcBorders>
            <w:shd w:val="clear" w:color="auto" w:fill="auto"/>
          </w:tcPr>
          <w:p w14:paraId="578CE1FA" w14:textId="77777777" w:rsidR="0020751A" w:rsidRPr="00116DE3" w:rsidRDefault="0020751A" w:rsidP="004B2211">
            <w:pPr>
              <w:pStyle w:val="A-TableText"/>
              <w:spacing w:line="240" w:lineRule="auto"/>
              <w:jc w:val="center"/>
              <w:rPr>
                <w:sz w:val="18"/>
                <w:szCs w:val="18"/>
              </w:rPr>
            </w:pPr>
            <w:r w:rsidRPr="00116DE3">
              <w:rPr>
                <w:sz w:val="18"/>
                <w:szCs w:val="18"/>
              </w:rPr>
              <w:t>63.8%</w:t>
            </w:r>
            <w:r w:rsidR="004B2211" w:rsidRPr="00116DE3">
              <w:rPr>
                <w:sz w:val="18"/>
                <w:szCs w:val="18"/>
              </w:rPr>
              <w:br/>
            </w:r>
            <w:r w:rsidRPr="00116DE3">
              <w:rPr>
                <w:sz w:val="18"/>
                <w:szCs w:val="18"/>
              </w:rPr>
              <w:t>(36.2, 79.8)</w:t>
            </w:r>
          </w:p>
        </w:tc>
      </w:tr>
      <w:tr w:rsidR="003F763E" w:rsidRPr="00116DE3" w14:paraId="1E272844" w14:textId="77777777" w:rsidTr="004B2211">
        <w:trPr>
          <w:cantSplit/>
        </w:trPr>
        <w:tc>
          <w:tcPr>
            <w:tcW w:w="1242" w:type="dxa"/>
            <w:vMerge w:val="restart"/>
            <w:tcBorders>
              <w:top w:val="single" w:sz="4" w:space="0" w:color="auto"/>
            </w:tcBorders>
            <w:shd w:val="clear" w:color="auto" w:fill="auto"/>
          </w:tcPr>
          <w:p w14:paraId="13011E54" w14:textId="77777777" w:rsidR="003F763E" w:rsidRPr="00116DE3" w:rsidRDefault="003F763E" w:rsidP="00340B8D">
            <w:pPr>
              <w:pStyle w:val="A-TableText"/>
              <w:spacing w:line="240" w:lineRule="auto"/>
              <w:rPr>
                <w:sz w:val="18"/>
                <w:szCs w:val="18"/>
              </w:rPr>
            </w:pPr>
            <w:r w:rsidRPr="00116DE3">
              <w:rPr>
                <w:sz w:val="18"/>
                <w:szCs w:val="18"/>
              </w:rPr>
              <w:t>D153-P501</w:t>
            </w:r>
            <w:r w:rsidR="00340B8D" w:rsidRPr="00116DE3">
              <w:rPr>
                <w:sz w:val="18"/>
                <w:szCs w:val="18"/>
              </w:rPr>
              <w:t xml:space="preserve"> </w:t>
            </w:r>
            <w:r w:rsidR="00340B8D" w:rsidRPr="00116DE3">
              <w:rPr>
                <w:sz w:val="18"/>
                <w:szCs w:val="18"/>
              </w:rPr>
              <w:br/>
              <w:t>(Tam et al 2007)</w:t>
            </w:r>
          </w:p>
        </w:tc>
        <w:tc>
          <w:tcPr>
            <w:tcW w:w="1418" w:type="dxa"/>
            <w:vMerge w:val="restart"/>
            <w:tcBorders>
              <w:top w:val="single" w:sz="4" w:space="0" w:color="auto"/>
            </w:tcBorders>
            <w:shd w:val="clear" w:color="auto" w:fill="auto"/>
          </w:tcPr>
          <w:p w14:paraId="2CF537C9" w14:textId="77777777" w:rsidR="003F763E" w:rsidRPr="00116DE3" w:rsidRDefault="003F763E" w:rsidP="00396CC2">
            <w:pPr>
              <w:pStyle w:val="A-TableText"/>
              <w:spacing w:line="240" w:lineRule="auto"/>
              <w:rPr>
                <w:sz w:val="18"/>
                <w:szCs w:val="18"/>
              </w:rPr>
            </w:pPr>
            <w:r w:rsidRPr="00116DE3">
              <w:rPr>
                <w:sz w:val="18"/>
                <w:szCs w:val="18"/>
              </w:rPr>
              <w:t>Asia/Oceania</w:t>
            </w:r>
          </w:p>
        </w:tc>
        <w:tc>
          <w:tcPr>
            <w:tcW w:w="1134" w:type="dxa"/>
            <w:vMerge w:val="restart"/>
            <w:tcBorders>
              <w:top w:val="single" w:sz="4" w:space="0" w:color="auto"/>
            </w:tcBorders>
            <w:shd w:val="clear" w:color="auto" w:fill="auto"/>
          </w:tcPr>
          <w:p w14:paraId="5669E77F" w14:textId="77777777" w:rsidR="003F763E" w:rsidRPr="00116DE3" w:rsidRDefault="003F763E" w:rsidP="004B2211">
            <w:pPr>
              <w:pStyle w:val="A-TableText"/>
              <w:spacing w:line="240" w:lineRule="auto"/>
              <w:jc w:val="center"/>
              <w:rPr>
                <w:sz w:val="18"/>
                <w:szCs w:val="18"/>
              </w:rPr>
            </w:pPr>
            <w:r w:rsidRPr="00116DE3">
              <w:rPr>
                <w:sz w:val="18"/>
                <w:szCs w:val="18"/>
              </w:rPr>
              <w:t>12-35</w:t>
            </w:r>
          </w:p>
        </w:tc>
        <w:tc>
          <w:tcPr>
            <w:tcW w:w="709" w:type="dxa"/>
            <w:vMerge w:val="restart"/>
            <w:tcBorders>
              <w:top w:val="single" w:sz="4" w:space="0" w:color="auto"/>
            </w:tcBorders>
            <w:shd w:val="clear" w:color="auto" w:fill="auto"/>
          </w:tcPr>
          <w:p w14:paraId="37E2C5EF" w14:textId="77777777" w:rsidR="003F763E" w:rsidRPr="00116DE3" w:rsidRDefault="003F763E" w:rsidP="004B2211">
            <w:pPr>
              <w:pStyle w:val="A-TableText"/>
              <w:spacing w:line="240" w:lineRule="auto"/>
              <w:jc w:val="center"/>
              <w:rPr>
                <w:sz w:val="18"/>
                <w:szCs w:val="18"/>
              </w:rPr>
            </w:pPr>
            <w:r w:rsidRPr="00116DE3">
              <w:rPr>
                <w:sz w:val="18"/>
                <w:szCs w:val="18"/>
              </w:rPr>
              <w:t>2764</w:t>
            </w:r>
          </w:p>
        </w:tc>
        <w:tc>
          <w:tcPr>
            <w:tcW w:w="1134" w:type="dxa"/>
            <w:tcBorders>
              <w:top w:val="single" w:sz="2" w:space="0" w:color="auto"/>
              <w:bottom w:val="single" w:sz="2" w:space="0" w:color="auto"/>
            </w:tcBorders>
            <w:shd w:val="clear" w:color="auto" w:fill="auto"/>
          </w:tcPr>
          <w:p w14:paraId="11D030A7" w14:textId="77777777" w:rsidR="003F763E" w:rsidRPr="00116DE3" w:rsidRDefault="003F763E" w:rsidP="004B2211">
            <w:pPr>
              <w:pStyle w:val="A-TableText"/>
              <w:spacing w:line="240" w:lineRule="auto"/>
              <w:jc w:val="center"/>
              <w:rPr>
                <w:sz w:val="18"/>
                <w:szCs w:val="18"/>
              </w:rPr>
            </w:pPr>
            <w:r w:rsidRPr="00116DE3">
              <w:rPr>
                <w:sz w:val="18"/>
                <w:szCs w:val="18"/>
              </w:rPr>
              <w:t>2000</w:t>
            </w:r>
            <w:r w:rsidRPr="00116DE3">
              <w:rPr>
                <w:sz w:val="18"/>
                <w:szCs w:val="18"/>
              </w:rPr>
              <w:noBreakHyphen/>
              <w:t>2001</w:t>
            </w:r>
          </w:p>
        </w:tc>
        <w:tc>
          <w:tcPr>
            <w:tcW w:w="1417" w:type="dxa"/>
            <w:tcBorders>
              <w:top w:val="single" w:sz="2" w:space="0" w:color="auto"/>
              <w:bottom w:val="single" w:sz="2" w:space="0" w:color="auto"/>
            </w:tcBorders>
            <w:shd w:val="clear" w:color="auto" w:fill="auto"/>
          </w:tcPr>
          <w:p w14:paraId="7AE72D70" w14:textId="77777777" w:rsidR="003F763E" w:rsidRPr="00116DE3" w:rsidRDefault="003F763E" w:rsidP="004B2211">
            <w:pPr>
              <w:pStyle w:val="A-TableText"/>
              <w:spacing w:line="240" w:lineRule="auto"/>
              <w:jc w:val="center"/>
              <w:rPr>
                <w:sz w:val="18"/>
                <w:szCs w:val="18"/>
              </w:rPr>
            </w:pPr>
            <w:r w:rsidRPr="00116DE3">
              <w:rPr>
                <w:sz w:val="18"/>
                <w:szCs w:val="18"/>
              </w:rPr>
              <w:t>72.9%</w:t>
            </w:r>
            <w:r w:rsidR="004B2211" w:rsidRPr="00116DE3">
              <w:rPr>
                <w:sz w:val="18"/>
                <w:szCs w:val="18"/>
              </w:rPr>
              <w:br/>
            </w:r>
            <w:r w:rsidRPr="00116DE3">
              <w:rPr>
                <w:sz w:val="18"/>
                <w:szCs w:val="18"/>
              </w:rPr>
              <w:t>(62.8, 80.5)</w:t>
            </w:r>
          </w:p>
        </w:tc>
        <w:tc>
          <w:tcPr>
            <w:tcW w:w="2126" w:type="dxa"/>
            <w:tcBorders>
              <w:top w:val="single" w:sz="2" w:space="0" w:color="auto"/>
              <w:bottom w:val="single" w:sz="2" w:space="0" w:color="auto"/>
            </w:tcBorders>
            <w:shd w:val="clear" w:color="auto" w:fill="auto"/>
          </w:tcPr>
          <w:p w14:paraId="11C7196D" w14:textId="77777777" w:rsidR="003F763E" w:rsidRPr="00116DE3" w:rsidRDefault="003F763E" w:rsidP="004B2211">
            <w:pPr>
              <w:pStyle w:val="A-TableText"/>
              <w:spacing w:line="240" w:lineRule="auto"/>
              <w:jc w:val="center"/>
              <w:rPr>
                <w:sz w:val="18"/>
                <w:szCs w:val="18"/>
              </w:rPr>
            </w:pPr>
            <w:r w:rsidRPr="00116DE3">
              <w:rPr>
                <w:sz w:val="18"/>
                <w:szCs w:val="18"/>
              </w:rPr>
              <w:t>70.1%</w:t>
            </w:r>
            <w:r w:rsidR="004B2211" w:rsidRPr="00116DE3">
              <w:rPr>
                <w:sz w:val="18"/>
                <w:szCs w:val="18"/>
              </w:rPr>
              <w:br/>
            </w:r>
            <w:r w:rsidRPr="00116DE3">
              <w:rPr>
                <w:sz w:val="18"/>
                <w:szCs w:val="18"/>
              </w:rPr>
              <w:t>(60.9, 77.3)</w:t>
            </w:r>
          </w:p>
        </w:tc>
      </w:tr>
      <w:tr w:rsidR="003F763E" w:rsidRPr="00116DE3" w14:paraId="18F9CAE2" w14:textId="77777777" w:rsidTr="004B2211">
        <w:trPr>
          <w:cantSplit/>
        </w:trPr>
        <w:tc>
          <w:tcPr>
            <w:tcW w:w="1242" w:type="dxa"/>
            <w:vMerge/>
            <w:tcBorders>
              <w:bottom w:val="single" w:sz="4" w:space="0" w:color="auto"/>
            </w:tcBorders>
            <w:shd w:val="clear" w:color="auto" w:fill="auto"/>
          </w:tcPr>
          <w:p w14:paraId="5F407EFC" w14:textId="77777777" w:rsidR="003F763E" w:rsidRPr="00116DE3" w:rsidRDefault="003F763E" w:rsidP="0020751A">
            <w:pPr>
              <w:pStyle w:val="A-TableText"/>
              <w:spacing w:line="240" w:lineRule="auto"/>
              <w:rPr>
                <w:sz w:val="18"/>
                <w:szCs w:val="18"/>
              </w:rPr>
            </w:pPr>
          </w:p>
        </w:tc>
        <w:tc>
          <w:tcPr>
            <w:tcW w:w="1418" w:type="dxa"/>
            <w:vMerge/>
            <w:tcBorders>
              <w:bottom w:val="single" w:sz="4" w:space="0" w:color="auto"/>
            </w:tcBorders>
            <w:shd w:val="clear" w:color="auto" w:fill="auto"/>
          </w:tcPr>
          <w:p w14:paraId="485471EC" w14:textId="77777777" w:rsidR="003F763E" w:rsidRPr="00116DE3" w:rsidRDefault="003F763E" w:rsidP="0020751A">
            <w:pPr>
              <w:pStyle w:val="A-TableText"/>
              <w:spacing w:line="240" w:lineRule="auto"/>
              <w:rPr>
                <w:sz w:val="18"/>
                <w:szCs w:val="18"/>
              </w:rPr>
            </w:pPr>
          </w:p>
        </w:tc>
        <w:tc>
          <w:tcPr>
            <w:tcW w:w="1134" w:type="dxa"/>
            <w:vMerge/>
            <w:tcBorders>
              <w:bottom w:val="single" w:sz="4" w:space="0" w:color="auto"/>
            </w:tcBorders>
            <w:shd w:val="clear" w:color="auto" w:fill="auto"/>
          </w:tcPr>
          <w:p w14:paraId="6AA3458C" w14:textId="77777777" w:rsidR="003F763E" w:rsidRPr="00116DE3" w:rsidRDefault="003F763E" w:rsidP="004B2211">
            <w:pPr>
              <w:pStyle w:val="A-TableText"/>
              <w:spacing w:line="240" w:lineRule="auto"/>
              <w:jc w:val="center"/>
              <w:rPr>
                <w:sz w:val="18"/>
                <w:szCs w:val="18"/>
              </w:rPr>
            </w:pPr>
          </w:p>
        </w:tc>
        <w:tc>
          <w:tcPr>
            <w:tcW w:w="709" w:type="dxa"/>
            <w:vMerge/>
            <w:tcBorders>
              <w:bottom w:val="single" w:sz="4" w:space="0" w:color="auto"/>
            </w:tcBorders>
            <w:shd w:val="clear" w:color="auto" w:fill="auto"/>
          </w:tcPr>
          <w:p w14:paraId="14AFEB65" w14:textId="77777777" w:rsidR="003F763E" w:rsidRPr="00116DE3" w:rsidRDefault="003F763E" w:rsidP="004B2211">
            <w:pPr>
              <w:pStyle w:val="A-TableText"/>
              <w:spacing w:line="240" w:lineRule="auto"/>
              <w:jc w:val="center"/>
              <w:rPr>
                <w:sz w:val="18"/>
                <w:szCs w:val="18"/>
              </w:rPr>
            </w:pPr>
          </w:p>
        </w:tc>
        <w:tc>
          <w:tcPr>
            <w:tcW w:w="1134" w:type="dxa"/>
            <w:tcBorders>
              <w:top w:val="single" w:sz="2" w:space="0" w:color="auto"/>
              <w:bottom w:val="single" w:sz="2" w:space="0" w:color="auto"/>
            </w:tcBorders>
            <w:shd w:val="clear" w:color="auto" w:fill="auto"/>
          </w:tcPr>
          <w:p w14:paraId="3BE64BDF" w14:textId="77777777" w:rsidR="003F763E" w:rsidRPr="00116DE3" w:rsidRDefault="003F763E" w:rsidP="004B2211">
            <w:pPr>
              <w:pStyle w:val="A-TableText"/>
              <w:spacing w:line="240" w:lineRule="auto"/>
              <w:jc w:val="center"/>
              <w:rPr>
                <w:sz w:val="18"/>
                <w:szCs w:val="18"/>
              </w:rPr>
            </w:pPr>
            <w:r w:rsidRPr="00116DE3">
              <w:rPr>
                <w:sz w:val="18"/>
                <w:szCs w:val="18"/>
              </w:rPr>
              <w:t>2001</w:t>
            </w:r>
            <w:r w:rsidRPr="00116DE3">
              <w:rPr>
                <w:sz w:val="18"/>
                <w:szCs w:val="18"/>
              </w:rPr>
              <w:noBreakHyphen/>
              <w:t>2002</w:t>
            </w:r>
          </w:p>
        </w:tc>
        <w:tc>
          <w:tcPr>
            <w:tcW w:w="1417" w:type="dxa"/>
            <w:tcBorders>
              <w:top w:val="single" w:sz="2" w:space="0" w:color="auto"/>
              <w:bottom w:val="single" w:sz="2" w:space="0" w:color="auto"/>
            </w:tcBorders>
            <w:shd w:val="clear" w:color="auto" w:fill="auto"/>
          </w:tcPr>
          <w:p w14:paraId="0CF97D1C" w14:textId="77777777" w:rsidR="003F763E" w:rsidRPr="00116DE3" w:rsidRDefault="003F763E" w:rsidP="004B2211">
            <w:pPr>
              <w:pStyle w:val="A-TableText"/>
              <w:spacing w:line="240" w:lineRule="auto"/>
              <w:jc w:val="center"/>
              <w:rPr>
                <w:rStyle w:val="TableNote"/>
                <w:sz w:val="18"/>
                <w:szCs w:val="18"/>
              </w:rPr>
            </w:pPr>
            <w:r w:rsidRPr="00116DE3">
              <w:rPr>
                <w:sz w:val="18"/>
                <w:szCs w:val="18"/>
              </w:rPr>
              <w:t>84.3%</w:t>
            </w:r>
            <w:r w:rsidR="004B2211" w:rsidRPr="00116DE3">
              <w:rPr>
                <w:sz w:val="18"/>
                <w:szCs w:val="18"/>
              </w:rPr>
              <w:br/>
            </w:r>
            <w:r w:rsidRPr="00116DE3">
              <w:rPr>
                <w:sz w:val="18"/>
                <w:szCs w:val="18"/>
              </w:rPr>
              <w:t>(70.1, 92.4)</w:t>
            </w:r>
            <w:r w:rsidR="004B2211" w:rsidRPr="00116DE3">
              <w:rPr>
                <w:rStyle w:val="TableNote"/>
                <w:sz w:val="18"/>
                <w:szCs w:val="18"/>
              </w:rPr>
              <w:t>c</w:t>
            </w:r>
          </w:p>
        </w:tc>
        <w:tc>
          <w:tcPr>
            <w:tcW w:w="2126" w:type="dxa"/>
            <w:tcBorders>
              <w:top w:val="single" w:sz="2" w:space="0" w:color="auto"/>
              <w:bottom w:val="single" w:sz="2" w:space="0" w:color="auto"/>
            </w:tcBorders>
            <w:shd w:val="clear" w:color="auto" w:fill="auto"/>
          </w:tcPr>
          <w:p w14:paraId="5A415F81" w14:textId="77777777" w:rsidR="003F763E" w:rsidRPr="00116DE3" w:rsidRDefault="003F763E" w:rsidP="004B2211">
            <w:pPr>
              <w:pStyle w:val="A-TableText"/>
              <w:spacing w:line="240" w:lineRule="auto"/>
              <w:jc w:val="center"/>
              <w:rPr>
                <w:sz w:val="18"/>
                <w:szCs w:val="18"/>
              </w:rPr>
            </w:pPr>
            <w:r w:rsidRPr="00116DE3">
              <w:rPr>
                <w:sz w:val="18"/>
                <w:szCs w:val="18"/>
              </w:rPr>
              <w:t>64.2%</w:t>
            </w:r>
            <w:r w:rsidR="004B2211" w:rsidRPr="00116DE3">
              <w:rPr>
                <w:sz w:val="18"/>
                <w:szCs w:val="18"/>
              </w:rPr>
              <w:br/>
            </w:r>
            <w:r w:rsidRPr="00116DE3">
              <w:rPr>
                <w:sz w:val="18"/>
                <w:szCs w:val="18"/>
              </w:rPr>
              <w:t>(44.2, 77.3)</w:t>
            </w:r>
            <w:r w:rsidR="004B2211" w:rsidRPr="00116DE3">
              <w:rPr>
                <w:rStyle w:val="TableNote"/>
                <w:sz w:val="18"/>
                <w:szCs w:val="18"/>
              </w:rPr>
              <w:t>c</w:t>
            </w:r>
          </w:p>
        </w:tc>
      </w:tr>
      <w:tr w:rsidR="003F763E" w:rsidRPr="0020751A" w14:paraId="5E8502B2" w14:textId="77777777" w:rsidTr="004B2211">
        <w:trPr>
          <w:cantSplit/>
        </w:trPr>
        <w:tc>
          <w:tcPr>
            <w:tcW w:w="1242" w:type="dxa"/>
            <w:vMerge w:val="restart"/>
            <w:tcBorders>
              <w:top w:val="single" w:sz="4" w:space="0" w:color="auto"/>
            </w:tcBorders>
            <w:shd w:val="clear" w:color="auto" w:fill="auto"/>
          </w:tcPr>
          <w:p w14:paraId="41E8EC9C" w14:textId="77777777" w:rsidR="003F763E" w:rsidRPr="00116DE3" w:rsidRDefault="003F763E" w:rsidP="0020751A">
            <w:pPr>
              <w:pStyle w:val="A-TableText"/>
              <w:spacing w:line="240" w:lineRule="auto"/>
              <w:rPr>
                <w:sz w:val="18"/>
                <w:szCs w:val="18"/>
              </w:rPr>
            </w:pPr>
            <w:r w:rsidRPr="00116DE3">
              <w:rPr>
                <w:sz w:val="18"/>
                <w:szCs w:val="18"/>
              </w:rPr>
              <w:t>AV006</w:t>
            </w:r>
            <w:r w:rsidR="00340B8D" w:rsidRPr="00116DE3">
              <w:rPr>
                <w:sz w:val="18"/>
                <w:szCs w:val="18"/>
              </w:rPr>
              <w:br/>
              <w:t>(</w:t>
            </w:r>
            <w:proofErr w:type="spellStart"/>
            <w:r w:rsidR="00340B8D" w:rsidRPr="00116DE3">
              <w:rPr>
                <w:sz w:val="18"/>
                <w:szCs w:val="18"/>
              </w:rPr>
              <w:t>Belshe</w:t>
            </w:r>
            <w:proofErr w:type="spellEnd"/>
            <w:r w:rsidR="00340B8D" w:rsidRPr="00116DE3">
              <w:rPr>
                <w:sz w:val="18"/>
                <w:szCs w:val="18"/>
              </w:rPr>
              <w:t xml:space="preserve"> et al 1998</w:t>
            </w:r>
            <w:r w:rsidR="003A3B49" w:rsidRPr="00116DE3">
              <w:rPr>
                <w:sz w:val="18"/>
                <w:szCs w:val="18"/>
              </w:rPr>
              <w:t xml:space="preserve">, </w:t>
            </w:r>
            <w:proofErr w:type="spellStart"/>
            <w:r w:rsidR="003A3B49" w:rsidRPr="00116DE3">
              <w:rPr>
                <w:sz w:val="18"/>
                <w:szCs w:val="18"/>
              </w:rPr>
              <w:t>Belshe</w:t>
            </w:r>
            <w:proofErr w:type="spellEnd"/>
            <w:r w:rsidR="003A3B49" w:rsidRPr="00116DE3">
              <w:rPr>
                <w:sz w:val="18"/>
                <w:szCs w:val="18"/>
              </w:rPr>
              <w:t xml:space="preserve"> et al 2000</w:t>
            </w:r>
            <w:r w:rsidR="00340B8D" w:rsidRPr="00116DE3">
              <w:rPr>
                <w:sz w:val="18"/>
                <w:szCs w:val="18"/>
              </w:rPr>
              <w:t>)</w:t>
            </w:r>
          </w:p>
        </w:tc>
        <w:tc>
          <w:tcPr>
            <w:tcW w:w="1418" w:type="dxa"/>
            <w:vMerge w:val="restart"/>
            <w:tcBorders>
              <w:top w:val="single" w:sz="4" w:space="0" w:color="auto"/>
            </w:tcBorders>
            <w:shd w:val="clear" w:color="auto" w:fill="auto"/>
          </w:tcPr>
          <w:p w14:paraId="1FC9F278" w14:textId="77777777" w:rsidR="003F763E" w:rsidRPr="00116DE3" w:rsidRDefault="003F763E" w:rsidP="0020751A">
            <w:pPr>
              <w:pStyle w:val="A-TableText"/>
              <w:spacing w:line="240" w:lineRule="auto"/>
              <w:rPr>
                <w:sz w:val="18"/>
                <w:szCs w:val="18"/>
              </w:rPr>
            </w:pPr>
            <w:r w:rsidRPr="00116DE3">
              <w:rPr>
                <w:sz w:val="18"/>
                <w:szCs w:val="18"/>
              </w:rPr>
              <w:t>USA</w:t>
            </w:r>
          </w:p>
        </w:tc>
        <w:tc>
          <w:tcPr>
            <w:tcW w:w="1134" w:type="dxa"/>
            <w:vMerge w:val="restart"/>
            <w:tcBorders>
              <w:top w:val="single" w:sz="4" w:space="0" w:color="auto"/>
            </w:tcBorders>
            <w:shd w:val="clear" w:color="auto" w:fill="auto"/>
          </w:tcPr>
          <w:p w14:paraId="2167983F" w14:textId="77777777" w:rsidR="003F763E" w:rsidRPr="00116DE3" w:rsidRDefault="003F763E" w:rsidP="004B2211">
            <w:pPr>
              <w:pStyle w:val="A-TableText"/>
              <w:spacing w:line="240" w:lineRule="auto"/>
              <w:jc w:val="center"/>
              <w:rPr>
                <w:sz w:val="18"/>
                <w:szCs w:val="18"/>
              </w:rPr>
            </w:pPr>
            <w:r w:rsidRPr="00116DE3">
              <w:rPr>
                <w:sz w:val="18"/>
                <w:szCs w:val="18"/>
              </w:rPr>
              <w:t>15-71</w:t>
            </w:r>
          </w:p>
        </w:tc>
        <w:tc>
          <w:tcPr>
            <w:tcW w:w="709" w:type="dxa"/>
            <w:vMerge w:val="restart"/>
            <w:tcBorders>
              <w:top w:val="single" w:sz="4" w:space="0" w:color="auto"/>
            </w:tcBorders>
            <w:shd w:val="clear" w:color="auto" w:fill="auto"/>
          </w:tcPr>
          <w:p w14:paraId="1E487AA3" w14:textId="77777777" w:rsidR="003F763E" w:rsidRPr="00116DE3" w:rsidRDefault="003F763E" w:rsidP="004B2211">
            <w:pPr>
              <w:pStyle w:val="A-TableText"/>
              <w:spacing w:line="240" w:lineRule="auto"/>
              <w:jc w:val="center"/>
              <w:rPr>
                <w:sz w:val="18"/>
                <w:szCs w:val="18"/>
              </w:rPr>
            </w:pPr>
            <w:r w:rsidRPr="00116DE3">
              <w:rPr>
                <w:sz w:val="18"/>
                <w:szCs w:val="18"/>
              </w:rPr>
              <w:t>1259</w:t>
            </w:r>
          </w:p>
        </w:tc>
        <w:tc>
          <w:tcPr>
            <w:tcW w:w="1134" w:type="dxa"/>
            <w:tcBorders>
              <w:top w:val="single" w:sz="2" w:space="0" w:color="auto"/>
              <w:bottom w:val="single" w:sz="2" w:space="0" w:color="auto"/>
            </w:tcBorders>
            <w:shd w:val="clear" w:color="auto" w:fill="auto"/>
          </w:tcPr>
          <w:p w14:paraId="5D957935" w14:textId="77777777" w:rsidR="003F763E" w:rsidRPr="00116DE3" w:rsidRDefault="003F763E" w:rsidP="004B2211">
            <w:pPr>
              <w:pStyle w:val="A-TableText"/>
              <w:spacing w:line="240" w:lineRule="auto"/>
              <w:jc w:val="center"/>
              <w:rPr>
                <w:sz w:val="18"/>
                <w:szCs w:val="18"/>
              </w:rPr>
            </w:pPr>
            <w:r w:rsidRPr="00116DE3">
              <w:rPr>
                <w:sz w:val="18"/>
                <w:szCs w:val="18"/>
              </w:rPr>
              <w:t>1996</w:t>
            </w:r>
            <w:r w:rsidRPr="00116DE3">
              <w:rPr>
                <w:sz w:val="18"/>
                <w:szCs w:val="18"/>
              </w:rPr>
              <w:noBreakHyphen/>
              <w:t>1997</w:t>
            </w:r>
          </w:p>
        </w:tc>
        <w:tc>
          <w:tcPr>
            <w:tcW w:w="1417" w:type="dxa"/>
            <w:tcBorders>
              <w:top w:val="single" w:sz="2" w:space="0" w:color="auto"/>
              <w:bottom w:val="single" w:sz="2" w:space="0" w:color="auto"/>
            </w:tcBorders>
            <w:shd w:val="clear" w:color="auto" w:fill="auto"/>
          </w:tcPr>
          <w:p w14:paraId="4A57D6B9" w14:textId="77777777" w:rsidR="003F763E" w:rsidRPr="00116DE3" w:rsidRDefault="003F763E" w:rsidP="004B2211">
            <w:pPr>
              <w:pStyle w:val="A-TableText"/>
              <w:spacing w:line="240" w:lineRule="auto"/>
              <w:jc w:val="center"/>
              <w:rPr>
                <w:sz w:val="18"/>
                <w:szCs w:val="18"/>
              </w:rPr>
            </w:pPr>
            <w:bookmarkStart w:id="2" w:name="OLE_LINK3"/>
            <w:bookmarkStart w:id="3" w:name="OLE_LINK8"/>
            <w:r w:rsidRPr="00116DE3">
              <w:rPr>
                <w:sz w:val="18"/>
                <w:szCs w:val="18"/>
              </w:rPr>
              <w:t>93.4%</w:t>
            </w:r>
            <w:r w:rsidR="004B2211" w:rsidRPr="00116DE3">
              <w:rPr>
                <w:sz w:val="18"/>
                <w:szCs w:val="18"/>
              </w:rPr>
              <w:br/>
            </w:r>
            <w:r w:rsidRPr="00116DE3">
              <w:rPr>
                <w:sz w:val="18"/>
                <w:szCs w:val="18"/>
              </w:rPr>
              <w:t>(87.5, 96.5)</w:t>
            </w:r>
            <w:bookmarkEnd w:id="2"/>
            <w:bookmarkEnd w:id="3"/>
          </w:p>
        </w:tc>
        <w:tc>
          <w:tcPr>
            <w:tcW w:w="2126" w:type="dxa"/>
            <w:tcBorders>
              <w:top w:val="single" w:sz="2" w:space="0" w:color="auto"/>
              <w:bottom w:val="single" w:sz="2" w:space="0" w:color="auto"/>
            </w:tcBorders>
            <w:shd w:val="clear" w:color="auto" w:fill="auto"/>
          </w:tcPr>
          <w:p w14:paraId="26D54356" w14:textId="77777777" w:rsidR="003F763E" w:rsidRPr="0020751A" w:rsidRDefault="003F763E" w:rsidP="004B2211">
            <w:pPr>
              <w:pStyle w:val="A-TableText"/>
              <w:spacing w:line="240" w:lineRule="auto"/>
              <w:jc w:val="center"/>
              <w:rPr>
                <w:sz w:val="18"/>
                <w:szCs w:val="18"/>
              </w:rPr>
            </w:pPr>
            <w:r w:rsidRPr="00116DE3">
              <w:rPr>
                <w:sz w:val="18"/>
                <w:szCs w:val="18"/>
              </w:rPr>
              <w:t>93.4%</w:t>
            </w:r>
            <w:r w:rsidR="004B2211" w:rsidRPr="00116DE3">
              <w:rPr>
                <w:sz w:val="18"/>
                <w:szCs w:val="18"/>
              </w:rPr>
              <w:br/>
            </w:r>
            <w:r w:rsidRPr="00116DE3">
              <w:rPr>
                <w:sz w:val="18"/>
                <w:szCs w:val="18"/>
              </w:rPr>
              <w:t>(87.5, 96.5)</w:t>
            </w:r>
          </w:p>
        </w:tc>
      </w:tr>
      <w:tr w:rsidR="003F763E" w:rsidRPr="0020751A" w14:paraId="1ACDBC69" w14:textId="77777777" w:rsidTr="004B2211">
        <w:trPr>
          <w:cantSplit/>
        </w:trPr>
        <w:tc>
          <w:tcPr>
            <w:tcW w:w="1242" w:type="dxa"/>
            <w:vMerge/>
            <w:tcBorders>
              <w:bottom w:val="single" w:sz="12" w:space="0" w:color="auto"/>
            </w:tcBorders>
            <w:shd w:val="clear" w:color="auto" w:fill="auto"/>
          </w:tcPr>
          <w:p w14:paraId="2FC5594E" w14:textId="77777777" w:rsidR="003F763E" w:rsidRPr="003B0F94" w:rsidRDefault="003F763E" w:rsidP="0020751A">
            <w:pPr>
              <w:pStyle w:val="A-TableText"/>
              <w:spacing w:line="240" w:lineRule="auto"/>
              <w:rPr>
                <w:sz w:val="18"/>
                <w:szCs w:val="18"/>
              </w:rPr>
            </w:pPr>
          </w:p>
        </w:tc>
        <w:tc>
          <w:tcPr>
            <w:tcW w:w="1418" w:type="dxa"/>
            <w:vMerge/>
            <w:tcBorders>
              <w:bottom w:val="single" w:sz="12" w:space="0" w:color="auto"/>
            </w:tcBorders>
            <w:shd w:val="clear" w:color="auto" w:fill="auto"/>
          </w:tcPr>
          <w:p w14:paraId="40FFDBBB" w14:textId="77777777" w:rsidR="003F763E" w:rsidRPr="0020751A" w:rsidRDefault="003F763E" w:rsidP="0020751A">
            <w:pPr>
              <w:pStyle w:val="A-TableText"/>
              <w:spacing w:line="240" w:lineRule="auto"/>
              <w:rPr>
                <w:sz w:val="18"/>
                <w:szCs w:val="18"/>
              </w:rPr>
            </w:pPr>
          </w:p>
        </w:tc>
        <w:tc>
          <w:tcPr>
            <w:tcW w:w="1134" w:type="dxa"/>
            <w:vMerge/>
            <w:tcBorders>
              <w:bottom w:val="single" w:sz="12" w:space="0" w:color="auto"/>
            </w:tcBorders>
            <w:shd w:val="clear" w:color="auto" w:fill="auto"/>
          </w:tcPr>
          <w:p w14:paraId="329D58F8" w14:textId="77777777" w:rsidR="003F763E" w:rsidRPr="0020751A" w:rsidRDefault="003F763E" w:rsidP="004B2211">
            <w:pPr>
              <w:pStyle w:val="A-TableText"/>
              <w:spacing w:line="240" w:lineRule="auto"/>
              <w:jc w:val="center"/>
              <w:rPr>
                <w:sz w:val="18"/>
                <w:szCs w:val="18"/>
              </w:rPr>
            </w:pPr>
          </w:p>
        </w:tc>
        <w:tc>
          <w:tcPr>
            <w:tcW w:w="709" w:type="dxa"/>
            <w:vMerge/>
            <w:tcBorders>
              <w:bottom w:val="single" w:sz="12" w:space="0" w:color="auto"/>
            </w:tcBorders>
            <w:shd w:val="clear" w:color="auto" w:fill="auto"/>
          </w:tcPr>
          <w:p w14:paraId="596AF93C" w14:textId="77777777" w:rsidR="003F763E" w:rsidRPr="0020751A" w:rsidRDefault="003F763E" w:rsidP="004B2211">
            <w:pPr>
              <w:pStyle w:val="A-TableText"/>
              <w:spacing w:line="240" w:lineRule="auto"/>
              <w:jc w:val="center"/>
              <w:rPr>
                <w:sz w:val="18"/>
                <w:szCs w:val="18"/>
              </w:rPr>
            </w:pPr>
          </w:p>
        </w:tc>
        <w:tc>
          <w:tcPr>
            <w:tcW w:w="1134" w:type="dxa"/>
            <w:tcBorders>
              <w:top w:val="single" w:sz="2" w:space="0" w:color="auto"/>
              <w:bottom w:val="single" w:sz="12" w:space="0" w:color="auto"/>
            </w:tcBorders>
            <w:shd w:val="clear" w:color="auto" w:fill="auto"/>
          </w:tcPr>
          <w:p w14:paraId="77E85626" w14:textId="77777777" w:rsidR="003F763E" w:rsidRPr="0020751A" w:rsidRDefault="003F763E" w:rsidP="004B2211">
            <w:pPr>
              <w:pStyle w:val="A-TableText"/>
              <w:spacing w:line="240" w:lineRule="auto"/>
              <w:jc w:val="center"/>
              <w:rPr>
                <w:sz w:val="18"/>
                <w:szCs w:val="18"/>
              </w:rPr>
            </w:pPr>
            <w:r w:rsidRPr="0020751A">
              <w:rPr>
                <w:sz w:val="18"/>
                <w:szCs w:val="18"/>
              </w:rPr>
              <w:t>1997</w:t>
            </w:r>
            <w:r w:rsidRPr="0020751A">
              <w:rPr>
                <w:sz w:val="18"/>
                <w:szCs w:val="18"/>
              </w:rPr>
              <w:noBreakHyphen/>
              <w:t>1998</w:t>
            </w:r>
          </w:p>
        </w:tc>
        <w:tc>
          <w:tcPr>
            <w:tcW w:w="1417" w:type="dxa"/>
            <w:tcBorders>
              <w:top w:val="single" w:sz="2" w:space="0" w:color="auto"/>
              <w:bottom w:val="single" w:sz="12" w:space="0" w:color="auto"/>
            </w:tcBorders>
            <w:shd w:val="clear" w:color="auto" w:fill="auto"/>
          </w:tcPr>
          <w:p w14:paraId="273DEA77" w14:textId="77777777" w:rsidR="003F763E" w:rsidRPr="0020751A" w:rsidRDefault="003F763E" w:rsidP="004B2211">
            <w:pPr>
              <w:pStyle w:val="A-TableText"/>
              <w:spacing w:line="240" w:lineRule="auto"/>
              <w:jc w:val="center"/>
              <w:rPr>
                <w:sz w:val="18"/>
                <w:szCs w:val="18"/>
              </w:rPr>
            </w:pPr>
            <w:r w:rsidRPr="0020751A">
              <w:rPr>
                <w:sz w:val="18"/>
                <w:szCs w:val="18"/>
              </w:rPr>
              <w:t>100%</w:t>
            </w:r>
            <w:r w:rsidR="004B2211">
              <w:rPr>
                <w:sz w:val="18"/>
                <w:szCs w:val="18"/>
              </w:rPr>
              <w:br/>
            </w:r>
            <w:r w:rsidRPr="0020751A">
              <w:rPr>
                <w:sz w:val="18"/>
                <w:szCs w:val="18"/>
              </w:rPr>
              <w:t>(63.1, 100)</w:t>
            </w:r>
          </w:p>
        </w:tc>
        <w:tc>
          <w:tcPr>
            <w:tcW w:w="2126" w:type="dxa"/>
            <w:tcBorders>
              <w:top w:val="single" w:sz="2" w:space="0" w:color="auto"/>
              <w:bottom w:val="single" w:sz="12" w:space="0" w:color="auto"/>
            </w:tcBorders>
            <w:shd w:val="clear" w:color="auto" w:fill="auto"/>
          </w:tcPr>
          <w:p w14:paraId="0D58980C" w14:textId="77777777" w:rsidR="003F763E" w:rsidRPr="0020751A" w:rsidRDefault="003F763E" w:rsidP="004B2211">
            <w:pPr>
              <w:pStyle w:val="A-TableText"/>
              <w:spacing w:line="240" w:lineRule="auto"/>
              <w:jc w:val="center"/>
              <w:rPr>
                <w:sz w:val="18"/>
                <w:szCs w:val="18"/>
              </w:rPr>
            </w:pPr>
            <w:r w:rsidRPr="0020751A">
              <w:rPr>
                <w:sz w:val="18"/>
                <w:szCs w:val="18"/>
              </w:rPr>
              <w:t>87.1%</w:t>
            </w:r>
            <w:r w:rsidR="004B2211">
              <w:rPr>
                <w:sz w:val="18"/>
                <w:szCs w:val="18"/>
              </w:rPr>
              <w:br/>
            </w:r>
            <w:r w:rsidRPr="0020751A">
              <w:rPr>
                <w:sz w:val="18"/>
                <w:szCs w:val="18"/>
              </w:rPr>
              <w:t>(77.7, 92.6)</w:t>
            </w:r>
            <w:r w:rsidR="004B2211">
              <w:rPr>
                <w:sz w:val="18"/>
                <w:szCs w:val="18"/>
                <w:vertAlign w:val="superscript"/>
              </w:rPr>
              <w:t>d</w:t>
            </w:r>
          </w:p>
        </w:tc>
      </w:tr>
    </w:tbl>
    <w:p w14:paraId="61C1B686" w14:textId="77777777" w:rsidR="002C7BAA" w:rsidRPr="004B2211" w:rsidRDefault="004B2211" w:rsidP="002C7BAA">
      <w:pPr>
        <w:pStyle w:val="A-TableFootnoteText"/>
        <w:rPr>
          <w:sz w:val="16"/>
          <w:szCs w:val="16"/>
        </w:rPr>
      </w:pPr>
      <w:r w:rsidRPr="004B2211">
        <w:rPr>
          <w:sz w:val="16"/>
          <w:szCs w:val="16"/>
        </w:rPr>
        <w:t xml:space="preserve">N - </w:t>
      </w:r>
      <w:r w:rsidR="002C7BAA" w:rsidRPr="004B2211">
        <w:rPr>
          <w:sz w:val="16"/>
          <w:szCs w:val="16"/>
        </w:rPr>
        <w:t>Number of study participants for year 1 efficacy analysi</w:t>
      </w:r>
      <w:r w:rsidRPr="004B2211">
        <w:rPr>
          <w:sz w:val="16"/>
          <w:szCs w:val="16"/>
        </w:rPr>
        <w:t>s; CI – confidence intervals</w:t>
      </w:r>
    </w:p>
    <w:p w14:paraId="5F841D3A" w14:textId="77777777" w:rsidR="004B2211" w:rsidRPr="004B2211" w:rsidRDefault="004B2211" w:rsidP="004B2211">
      <w:pPr>
        <w:pStyle w:val="A-TableFootnoteText"/>
        <w:rPr>
          <w:sz w:val="16"/>
          <w:szCs w:val="16"/>
        </w:rPr>
      </w:pPr>
      <w:proofErr w:type="gramStart"/>
      <w:r w:rsidRPr="004B2211">
        <w:rPr>
          <w:sz w:val="16"/>
          <w:szCs w:val="16"/>
          <w:vertAlign w:val="superscript"/>
        </w:rPr>
        <w:t>a</w:t>
      </w:r>
      <w:proofErr w:type="gramEnd"/>
      <w:r w:rsidRPr="004B2211">
        <w:rPr>
          <w:sz w:val="16"/>
          <w:szCs w:val="16"/>
        </w:rPr>
        <w:tab/>
        <w:t>Reduction in culture-confirmed influenza illness relative to placebo</w:t>
      </w:r>
    </w:p>
    <w:p w14:paraId="6A621F25" w14:textId="77777777" w:rsidR="004B2211" w:rsidRPr="004B2211" w:rsidRDefault="004B2211" w:rsidP="004B2211">
      <w:pPr>
        <w:pStyle w:val="A-TableFootnoteText"/>
        <w:rPr>
          <w:sz w:val="16"/>
          <w:szCs w:val="16"/>
        </w:rPr>
      </w:pPr>
      <w:proofErr w:type="gramStart"/>
      <w:r w:rsidRPr="004B2211">
        <w:rPr>
          <w:sz w:val="16"/>
          <w:szCs w:val="16"/>
          <w:vertAlign w:val="superscript"/>
        </w:rPr>
        <w:t>b</w:t>
      </w:r>
      <w:proofErr w:type="gramEnd"/>
      <w:r w:rsidRPr="004B2211">
        <w:rPr>
          <w:sz w:val="16"/>
          <w:szCs w:val="16"/>
        </w:rPr>
        <w:tab/>
        <w:t xml:space="preserve">Data presented for clinical trial D153-P504 are for children who received </w:t>
      </w:r>
      <w:r>
        <w:rPr>
          <w:sz w:val="16"/>
          <w:szCs w:val="16"/>
        </w:rPr>
        <w:t>2</w:t>
      </w:r>
      <w:r w:rsidRPr="004B2211">
        <w:rPr>
          <w:sz w:val="16"/>
          <w:szCs w:val="16"/>
        </w:rPr>
        <w:t xml:space="preserve"> doses of study vaccine. In previously unvaccinated chi</w:t>
      </w:r>
      <w:r>
        <w:rPr>
          <w:sz w:val="16"/>
          <w:szCs w:val="16"/>
        </w:rPr>
        <w:t>ldren who received one dose in Y</w:t>
      </w:r>
      <w:r w:rsidRPr="004B2211">
        <w:rPr>
          <w:sz w:val="16"/>
          <w:szCs w:val="16"/>
        </w:rPr>
        <w:t xml:space="preserve">ear 1, efficacy was 57.7% (95% CI: 44.7, 67.9) and 56.3% (95% CI: 43.1, 66.7), respectively, thus supporting the need for </w:t>
      </w:r>
      <w:r>
        <w:rPr>
          <w:sz w:val="16"/>
          <w:szCs w:val="16"/>
        </w:rPr>
        <w:t>2</w:t>
      </w:r>
      <w:r w:rsidRPr="004B2211">
        <w:rPr>
          <w:sz w:val="16"/>
          <w:szCs w:val="16"/>
        </w:rPr>
        <w:t xml:space="preserve"> doses of vaccine in previously unvaccinated children</w:t>
      </w:r>
    </w:p>
    <w:p w14:paraId="5151CFEB" w14:textId="77777777" w:rsidR="004B2211" w:rsidRPr="004B2211" w:rsidRDefault="004B2211" w:rsidP="004B2211">
      <w:pPr>
        <w:pStyle w:val="A-TableFootnoteText"/>
        <w:rPr>
          <w:sz w:val="16"/>
          <w:szCs w:val="16"/>
        </w:rPr>
      </w:pPr>
      <w:r w:rsidRPr="004B2211">
        <w:rPr>
          <w:sz w:val="16"/>
          <w:szCs w:val="16"/>
          <w:vertAlign w:val="superscript"/>
        </w:rPr>
        <w:t>c</w:t>
      </w:r>
      <w:r w:rsidRPr="004B2211">
        <w:rPr>
          <w:sz w:val="16"/>
          <w:szCs w:val="16"/>
        </w:rPr>
        <w:tab/>
        <w:t xml:space="preserve">In children who received 2 doses in </w:t>
      </w:r>
      <w:r>
        <w:rPr>
          <w:sz w:val="16"/>
          <w:szCs w:val="16"/>
        </w:rPr>
        <w:t>Year 1 and placebo in Year 2, efficacy in Y</w:t>
      </w:r>
      <w:r w:rsidRPr="004B2211">
        <w:rPr>
          <w:sz w:val="16"/>
          <w:szCs w:val="16"/>
        </w:rPr>
        <w:t>ear 2 was 56.2% (95% CI: 30.5, 72.7) and 44.8% (95% CI: 18.2, 62.9), respectively, in D153-P501, thus supporting the need for second-season revaccination</w:t>
      </w:r>
    </w:p>
    <w:p w14:paraId="4AA23F6A" w14:textId="77777777" w:rsidR="004B2211" w:rsidRDefault="004B2211" w:rsidP="004B2211">
      <w:pPr>
        <w:pStyle w:val="A-TableFootnoteText"/>
        <w:rPr>
          <w:bCs/>
          <w:sz w:val="16"/>
          <w:szCs w:val="16"/>
        </w:rPr>
      </w:pPr>
      <w:proofErr w:type="gramStart"/>
      <w:r w:rsidRPr="004B2211">
        <w:rPr>
          <w:sz w:val="16"/>
          <w:szCs w:val="16"/>
          <w:vertAlign w:val="superscript"/>
        </w:rPr>
        <w:t>d</w:t>
      </w:r>
      <w:proofErr w:type="gramEnd"/>
      <w:r w:rsidRPr="004B2211">
        <w:rPr>
          <w:sz w:val="16"/>
          <w:szCs w:val="16"/>
        </w:rPr>
        <w:tab/>
        <w:t>T</w:t>
      </w:r>
      <w:r w:rsidRPr="004B2211">
        <w:rPr>
          <w:bCs/>
          <w:sz w:val="16"/>
          <w:szCs w:val="16"/>
        </w:rPr>
        <w:t>he primary circulating strain was antigenically dissimilar from the H3N2 strain represented in the vaccine; efficacy against the mismatched A/H3N2 strain was 85.9% (95% CI: 75.3, 91.9).</w:t>
      </w:r>
    </w:p>
    <w:p w14:paraId="4D67A591" w14:textId="77777777" w:rsidR="00667194" w:rsidRDefault="00667194" w:rsidP="00667194">
      <w:pPr>
        <w:pStyle w:val="A-Heading3"/>
      </w:pPr>
      <w:r>
        <w:t>Study D153-P501: P</w:t>
      </w:r>
      <w:r w:rsidR="00095EAF">
        <w:t>a</w:t>
      </w:r>
      <w:r w:rsidR="00F2103E">
        <w:t>ediatric s</w:t>
      </w:r>
      <w:r>
        <w:t>tudy</w:t>
      </w:r>
    </w:p>
    <w:p w14:paraId="1C478046" w14:textId="006FEA84" w:rsidR="00667194" w:rsidRDefault="009F2FF2" w:rsidP="00667194">
      <w:r>
        <w:t>A randomis</w:t>
      </w:r>
      <w:r w:rsidR="00667194">
        <w:t xml:space="preserve">ed, double-blind, placebo-controlled trial (D153-P501) was performed to evaluate the efficacy of trivalent version of </w:t>
      </w:r>
      <w:proofErr w:type="spellStart"/>
      <w:r w:rsidR="00095EAF">
        <w:t>FluMist</w:t>
      </w:r>
      <w:proofErr w:type="spellEnd"/>
      <w:r w:rsidR="00095EAF">
        <w:t xml:space="preserve"> </w:t>
      </w:r>
      <w:r w:rsidR="00667194">
        <w:t>in child</w:t>
      </w:r>
      <w:r w:rsidR="003F763E">
        <w:t>ren 12-35 </w:t>
      </w:r>
      <w:r w:rsidR="00667194">
        <w:t>months of age without high-risk medical conditions against culture-confirmed influenza illness.</w:t>
      </w:r>
      <w:r w:rsidR="00B74ECF">
        <w:t xml:space="preserve"> </w:t>
      </w:r>
      <w:r w:rsidR="00667194">
        <w:t>The primary endpoint of the trial was the prevention of culture-confirmed influenza illness due to antigenically matched wild-type influenza.</w:t>
      </w:r>
      <w:r w:rsidR="00B74ECF">
        <w:t xml:space="preserve"> </w:t>
      </w:r>
      <w:r w:rsidR="00667194">
        <w:t xml:space="preserve">A total of 3174 children were </w:t>
      </w:r>
      <w:r>
        <w:t>randomised</w:t>
      </w:r>
      <w:r w:rsidR="00667194">
        <w:t xml:space="preserve"> 3:2 (vaccine: placebo) to receive 2 doses of study vaccine or placebo at least 28 days apart in Year 1.</w:t>
      </w:r>
      <w:r w:rsidR="00B74ECF">
        <w:t xml:space="preserve"> </w:t>
      </w:r>
      <w:r w:rsidR="00667194" w:rsidRPr="00D76E3B">
        <w:t>See</w:t>
      </w:r>
      <w:r w:rsidR="0035240D">
        <w:t xml:space="preserve"> </w:t>
      </w:r>
      <w:r w:rsidR="004A0A60">
        <w:fldChar w:fldCharType="begin"/>
      </w:r>
      <w:r w:rsidR="0035240D">
        <w:instrText xml:space="preserve"> REF _Ref411431509 \h </w:instrText>
      </w:r>
      <w:r w:rsidR="004A0A60">
        <w:fldChar w:fldCharType="separate"/>
      </w:r>
      <w:r w:rsidR="009F6AAA" w:rsidRPr="00D76E3B">
        <w:t xml:space="preserve">Table </w:t>
      </w:r>
      <w:r w:rsidR="009F6AAA">
        <w:rPr>
          <w:noProof/>
        </w:rPr>
        <w:t>2</w:t>
      </w:r>
      <w:r w:rsidR="004A0A60">
        <w:fldChar w:fldCharType="end"/>
      </w:r>
      <w:r w:rsidR="00667194">
        <w:t xml:space="preserve"> for a description of the results.</w:t>
      </w:r>
    </w:p>
    <w:p w14:paraId="7E10B3AD" w14:textId="293201E9" w:rsidR="00667194" w:rsidRDefault="00667194" w:rsidP="00667194">
      <w:r>
        <w:lastRenderedPageBreak/>
        <w:t xml:space="preserve">During the second year of Study D153-P501, for children who received two doses in Year 1 and one dose in Year 2, trivalent version of </w:t>
      </w:r>
      <w:proofErr w:type="spellStart"/>
      <w:r w:rsidR="00095EAF">
        <w:t>FluMist</w:t>
      </w:r>
      <w:proofErr w:type="spellEnd"/>
      <w:r w:rsidR="00095EAF">
        <w:t xml:space="preserve"> </w:t>
      </w:r>
      <w:r>
        <w:t>demonstrated 84.3% (95% CI: 70.1, 92.4) efficacy against culture-confirmed influenza illness due to antigenically matched wild-type influenza.</w:t>
      </w:r>
    </w:p>
    <w:p w14:paraId="61C9E12B" w14:textId="77777777" w:rsidR="00667194" w:rsidRDefault="00667194" w:rsidP="00667194">
      <w:pPr>
        <w:pStyle w:val="A-Heading3"/>
      </w:pPr>
      <w:r>
        <w:t>Study AV006: P</w:t>
      </w:r>
      <w:r w:rsidR="00095EAF">
        <w:t>a</w:t>
      </w:r>
      <w:r>
        <w:t>edi</w:t>
      </w:r>
      <w:r w:rsidR="00F2103E">
        <w:t>atric s</w:t>
      </w:r>
      <w:r>
        <w:t>tudy</w:t>
      </w:r>
    </w:p>
    <w:p w14:paraId="18D00910" w14:textId="538530E3" w:rsidR="00D6121F" w:rsidRDefault="009F2FF2" w:rsidP="00667194">
      <w:r>
        <w:t>AV006 was a multi-centre, randomis</w:t>
      </w:r>
      <w:r w:rsidR="00667194">
        <w:t xml:space="preserve">ed, double-blind, placebo-controlled trial performed in US children without high-risk medical conditions to evaluate the efficacy of trivalent version of </w:t>
      </w:r>
      <w:proofErr w:type="spellStart"/>
      <w:r w:rsidR="00095EAF">
        <w:t>FluMist</w:t>
      </w:r>
      <w:proofErr w:type="spellEnd"/>
      <w:r w:rsidR="00095EAF">
        <w:t xml:space="preserve"> </w:t>
      </w:r>
      <w:r w:rsidR="00667194">
        <w:t xml:space="preserve">against culture-confirmed influenza over </w:t>
      </w:r>
      <w:r w:rsidR="003F763E">
        <w:t>2 </w:t>
      </w:r>
      <w:r w:rsidR="00667194">
        <w:t>successive seasons. The primary endpoint of the trial was the prevention of culture-confirmed influenza illness due to antigenically matched wild-type influenza in children who received two doses of vaccine in the first year and a single revaccination dose in the second year. During</w:t>
      </w:r>
      <w:r>
        <w:t xml:space="preserve"> the first year of the study, 1</w:t>
      </w:r>
      <w:r w:rsidR="00667194">
        <w:t xml:space="preserve">602 children 15-71 months of age were </w:t>
      </w:r>
      <w:r>
        <w:t>randomised</w:t>
      </w:r>
      <w:r w:rsidR="00667194">
        <w:t xml:space="preserve"> 2:1 (vaccine: placebo). In Year 2, children remained in the same treatment group as in year one and received a single dose of trivalent version of </w:t>
      </w:r>
      <w:proofErr w:type="spellStart"/>
      <w:r w:rsidR="00095EAF">
        <w:t>FluMist</w:t>
      </w:r>
      <w:proofErr w:type="spellEnd"/>
      <w:r w:rsidR="00095EAF">
        <w:t xml:space="preserve"> </w:t>
      </w:r>
      <w:r w:rsidR="00667194">
        <w:t>or placebo.</w:t>
      </w:r>
      <w:r w:rsidR="00B74ECF">
        <w:t xml:space="preserve"> </w:t>
      </w:r>
      <w:r w:rsidR="00667194" w:rsidRPr="00D76E3B">
        <w:t>See</w:t>
      </w:r>
      <w:r w:rsidR="0035240D">
        <w:t xml:space="preserve"> </w:t>
      </w:r>
      <w:r w:rsidR="004A0A60">
        <w:fldChar w:fldCharType="begin"/>
      </w:r>
      <w:r w:rsidR="0035240D">
        <w:instrText xml:space="preserve"> REF _Ref411431509 \h </w:instrText>
      </w:r>
      <w:r w:rsidR="004A0A60">
        <w:fldChar w:fldCharType="separate"/>
      </w:r>
      <w:r w:rsidR="009F6AAA" w:rsidRPr="00D76E3B">
        <w:t xml:space="preserve">Table </w:t>
      </w:r>
      <w:r w:rsidR="009F6AAA">
        <w:rPr>
          <w:noProof/>
        </w:rPr>
        <w:t>2</w:t>
      </w:r>
      <w:r w:rsidR="004A0A60">
        <w:fldChar w:fldCharType="end"/>
      </w:r>
      <w:r w:rsidR="00667194" w:rsidRPr="00D76E3B">
        <w:t xml:space="preserve"> for a description of the results.</w:t>
      </w:r>
    </w:p>
    <w:p w14:paraId="7FF86780" w14:textId="0B8874D2" w:rsidR="00667194" w:rsidRPr="00D76E3B" w:rsidRDefault="00667194" w:rsidP="00D76E3B">
      <w:pPr>
        <w:pStyle w:val="A-TableTitle"/>
      </w:pPr>
      <w:bookmarkStart w:id="4" w:name="_Ref411431509"/>
      <w:r w:rsidRPr="00D76E3B">
        <w:t xml:space="preserve">Table </w:t>
      </w:r>
      <w:r w:rsidR="00E8575B">
        <w:fldChar w:fldCharType="begin"/>
      </w:r>
      <w:r w:rsidR="00E8575B">
        <w:instrText xml:space="preserve"> SEQ Table \* ARABIC </w:instrText>
      </w:r>
      <w:r w:rsidR="00E8575B">
        <w:fldChar w:fldCharType="separate"/>
      </w:r>
      <w:r w:rsidR="009F6AAA">
        <w:rPr>
          <w:noProof/>
        </w:rPr>
        <w:t>2</w:t>
      </w:r>
      <w:r w:rsidR="00E8575B">
        <w:rPr>
          <w:noProof/>
        </w:rPr>
        <w:fldChar w:fldCharType="end"/>
      </w:r>
      <w:bookmarkEnd w:id="4"/>
      <w:r w:rsidRPr="00D76E3B">
        <w:tab/>
      </w:r>
      <w:proofErr w:type="spellStart"/>
      <w:r w:rsidRPr="00D76E3B">
        <w:t>Efficacy</w:t>
      </w:r>
      <w:r w:rsidRPr="00D76E3B">
        <w:rPr>
          <w:vertAlign w:val="superscript"/>
        </w:rPr>
        <w:t>a</w:t>
      </w:r>
      <w:proofErr w:type="spellEnd"/>
      <w:r w:rsidRPr="00D76E3B">
        <w:t xml:space="preserve"> of trivalent version of </w:t>
      </w:r>
      <w:proofErr w:type="spellStart"/>
      <w:r w:rsidR="00095EAF" w:rsidRPr="00D76E3B">
        <w:t>FluMist</w:t>
      </w:r>
      <w:proofErr w:type="spellEnd"/>
      <w:r w:rsidR="00095EAF" w:rsidRPr="00D76E3B">
        <w:t xml:space="preserve"> </w:t>
      </w:r>
      <w:r w:rsidRPr="00D76E3B">
        <w:t>vs placebo against culture</w:t>
      </w:r>
      <w:r w:rsidR="00E64437" w:rsidRPr="00D76E3B">
        <w:t xml:space="preserve"> </w:t>
      </w:r>
      <w:r w:rsidRPr="00D76E3B">
        <w:t>confirmed influenza illness due to antigenically matched wild-type strains (D153-P501 &amp; AV006, Year 1)</w:t>
      </w:r>
    </w:p>
    <w:tbl>
      <w:tblPr>
        <w:tblW w:w="9606" w:type="dxa"/>
        <w:tblLayout w:type="fixed"/>
        <w:tblLook w:val="0000" w:firstRow="0" w:lastRow="0" w:firstColumn="0" w:lastColumn="0" w:noHBand="0" w:noVBand="0"/>
        <w:tblDescription w:val="Table 2 is a list of efficacy(a) of trivalent version of FluMist vs placebo against culture confirmed influenza illness due to antigenically matched wild-type strains (D153-P501 &amp; AV006, Year 1)"/>
      </w:tblPr>
      <w:tblGrid>
        <w:gridCol w:w="1101"/>
        <w:gridCol w:w="1842"/>
        <w:gridCol w:w="1276"/>
        <w:gridCol w:w="1276"/>
        <w:gridCol w:w="1843"/>
        <w:gridCol w:w="992"/>
        <w:gridCol w:w="1276"/>
      </w:tblGrid>
      <w:tr w:rsidR="00D76E3B" w:rsidRPr="00CE0060" w14:paraId="03D9D357" w14:textId="77777777" w:rsidTr="00D34F9C">
        <w:trPr>
          <w:cantSplit/>
          <w:tblHeader/>
        </w:trPr>
        <w:tc>
          <w:tcPr>
            <w:tcW w:w="1101" w:type="dxa"/>
            <w:vMerge w:val="restart"/>
            <w:tcBorders>
              <w:top w:val="single" w:sz="12" w:space="0" w:color="auto"/>
              <w:right w:val="single" w:sz="4" w:space="0" w:color="auto"/>
            </w:tcBorders>
            <w:shd w:val="clear" w:color="auto" w:fill="auto"/>
          </w:tcPr>
          <w:p w14:paraId="77A79EA5" w14:textId="77777777" w:rsidR="00D76E3B" w:rsidRPr="00CE0060" w:rsidRDefault="00D76E3B" w:rsidP="00641166">
            <w:pPr>
              <w:pStyle w:val="A-TableHeader"/>
              <w:rPr>
                <w:sz w:val="18"/>
                <w:szCs w:val="18"/>
              </w:rPr>
            </w:pPr>
          </w:p>
        </w:tc>
        <w:tc>
          <w:tcPr>
            <w:tcW w:w="4394" w:type="dxa"/>
            <w:gridSpan w:val="3"/>
            <w:tcBorders>
              <w:top w:val="single" w:sz="12" w:space="0" w:color="auto"/>
              <w:left w:val="single" w:sz="4" w:space="0" w:color="auto"/>
              <w:right w:val="single" w:sz="4" w:space="0" w:color="auto"/>
            </w:tcBorders>
            <w:shd w:val="clear" w:color="auto" w:fill="auto"/>
          </w:tcPr>
          <w:p w14:paraId="747E1799" w14:textId="77777777" w:rsidR="00D76E3B" w:rsidRPr="00CE0060" w:rsidRDefault="00D76E3B" w:rsidP="00641166">
            <w:pPr>
              <w:pStyle w:val="A-TableHeader"/>
              <w:jc w:val="center"/>
              <w:rPr>
                <w:sz w:val="18"/>
                <w:szCs w:val="18"/>
              </w:rPr>
            </w:pPr>
            <w:r w:rsidRPr="00CE0060">
              <w:rPr>
                <w:sz w:val="18"/>
                <w:szCs w:val="18"/>
              </w:rPr>
              <w:t>D153-P501</w:t>
            </w:r>
          </w:p>
        </w:tc>
        <w:tc>
          <w:tcPr>
            <w:tcW w:w="4111" w:type="dxa"/>
            <w:gridSpan w:val="3"/>
            <w:tcBorders>
              <w:top w:val="single" w:sz="12" w:space="0" w:color="auto"/>
              <w:left w:val="single" w:sz="4" w:space="0" w:color="auto"/>
            </w:tcBorders>
            <w:shd w:val="clear" w:color="auto" w:fill="auto"/>
          </w:tcPr>
          <w:p w14:paraId="245C4BEF" w14:textId="77777777" w:rsidR="00D76E3B" w:rsidRPr="00CE0060" w:rsidRDefault="00D76E3B" w:rsidP="00641166">
            <w:pPr>
              <w:pStyle w:val="A-TableHeader"/>
              <w:jc w:val="center"/>
              <w:rPr>
                <w:sz w:val="18"/>
                <w:szCs w:val="18"/>
              </w:rPr>
            </w:pPr>
            <w:r w:rsidRPr="00CE0060">
              <w:rPr>
                <w:sz w:val="18"/>
                <w:szCs w:val="18"/>
              </w:rPr>
              <w:t>AV006</w:t>
            </w:r>
          </w:p>
        </w:tc>
      </w:tr>
      <w:tr w:rsidR="00CE0060" w:rsidRPr="00CE0060" w14:paraId="2D34A896" w14:textId="77777777" w:rsidTr="00D34F9C">
        <w:trPr>
          <w:cantSplit/>
          <w:tblHeader/>
        </w:trPr>
        <w:tc>
          <w:tcPr>
            <w:tcW w:w="1101" w:type="dxa"/>
            <w:vMerge/>
            <w:tcBorders>
              <w:bottom w:val="single" w:sz="12" w:space="0" w:color="auto"/>
              <w:right w:val="single" w:sz="4" w:space="0" w:color="auto"/>
            </w:tcBorders>
            <w:shd w:val="clear" w:color="auto" w:fill="auto"/>
          </w:tcPr>
          <w:p w14:paraId="568D56F8" w14:textId="77777777" w:rsidR="00D76E3B" w:rsidRPr="00CE0060" w:rsidRDefault="00D76E3B" w:rsidP="00641166">
            <w:pPr>
              <w:pStyle w:val="A-TableHeader"/>
              <w:rPr>
                <w:sz w:val="18"/>
                <w:szCs w:val="18"/>
              </w:rPr>
            </w:pPr>
          </w:p>
        </w:tc>
        <w:tc>
          <w:tcPr>
            <w:tcW w:w="1842" w:type="dxa"/>
            <w:tcBorders>
              <w:left w:val="single" w:sz="4" w:space="0" w:color="auto"/>
              <w:bottom w:val="single" w:sz="12" w:space="0" w:color="auto"/>
            </w:tcBorders>
            <w:shd w:val="clear" w:color="auto" w:fill="auto"/>
          </w:tcPr>
          <w:p w14:paraId="074E41F0" w14:textId="77777777" w:rsidR="00D76E3B" w:rsidRPr="00CE0060" w:rsidRDefault="00D76E3B" w:rsidP="00CE0060">
            <w:pPr>
              <w:pStyle w:val="A-TableHeader"/>
              <w:jc w:val="center"/>
              <w:rPr>
                <w:sz w:val="18"/>
                <w:szCs w:val="18"/>
              </w:rPr>
            </w:pPr>
            <w:r w:rsidRPr="00CE0060">
              <w:rPr>
                <w:sz w:val="18"/>
                <w:szCs w:val="18"/>
              </w:rPr>
              <w:t>FluMist (trivalent</w:t>
            </w:r>
            <w:proofErr w:type="gramStart"/>
            <w:r w:rsidRPr="00CE0060">
              <w:rPr>
                <w:sz w:val="18"/>
                <w:szCs w:val="18"/>
              </w:rPr>
              <w:t>)</w:t>
            </w:r>
            <w:proofErr w:type="gramEnd"/>
            <w:r w:rsidRPr="00CE0060">
              <w:rPr>
                <w:sz w:val="18"/>
                <w:szCs w:val="18"/>
              </w:rPr>
              <w:br/>
              <w:t>n (%)</w:t>
            </w:r>
          </w:p>
        </w:tc>
        <w:tc>
          <w:tcPr>
            <w:tcW w:w="1276" w:type="dxa"/>
            <w:tcBorders>
              <w:bottom w:val="single" w:sz="12" w:space="0" w:color="auto"/>
            </w:tcBorders>
            <w:shd w:val="clear" w:color="auto" w:fill="auto"/>
          </w:tcPr>
          <w:p w14:paraId="60443F7F" w14:textId="77777777" w:rsidR="00D76E3B" w:rsidRPr="00CE0060" w:rsidRDefault="00D76E3B" w:rsidP="00CE0060">
            <w:pPr>
              <w:pStyle w:val="A-TableHeader"/>
              <w:jc w:val="center"/>
              <w:rPr>
                <w:sz w:val="18"/>
                <w:szCs w:val="18"/>
              </w:rPr>
            </w:pPr>
            <w:r w:rsidRPr="00CE0060">
              <w:rPr>
                <w:sz w:val="18"/>
                <w:szCs w:val="18"/>
              </w:rPr>
              <w:t>Placebo</w:t>
            </w:r>
            <w:r w:rsidRPr="00CE0060">
              <w:rPr>
                <w:sz w:val="18"/>
                <w:szCs w:val="18"/>
              </w:rPr>
              <w:br/>
              <w:t>n (%)</w:t>
            </w:r>
          </w:p>
        </w:tc>
        <w:tc>
          <w:tcPr>
            <w:tcW w:w="1276" w:type="dxa"/>
            <w:tcBorders>
              <w:bottom w:val="single" w:sz="12" w:space="0" w:color="auto"/>
              <w:right w:val="single" w:sz="4" w:space="0" w:color="auto"/>
            </w:tcBorders>
            <w:shd w:val="clear" w:color="auto" w:fill="auto"/>
          </w:tcPr>
          <w:p w14:paraId="3544C487" w14:textId="77777777" w:rsidR="00D76E3B" w:rsidRPr="00CE0060" w:rsidRDefault="00D76E3B" w:rsidP="00A4731B">
            <w:pPr>
              <w:pStyle w:val="A-TableHeader"/>
              <w:jc w:val="center"/>
              <w:rPr>
                <w:sz w:val="18"/>
                <w:szCs w:val="18"/>
              </w:rPr>
            </w:pPr>
            <w:r w:rsidRPr="00CE0060">
              <w:rPr>
                <w:sz w:val="18"/>
                <w:szCs w:val="18"/>
              </w:rPr>
              <w:t>% Efficacy</w:t>
            </w:r>
            <w:r w:rsidRPr="00CE0060">
              <w:rPr>
                <w:sz w:val="18"/>
                <w:szCs w:val="18"/>
              </w:rPr>
              <w:br/>
              <w:t>(95% CI)</w:t>
            </w:r>
          </w:p>
        </w:tc>
        <w:tc>
          <w:tcPr>
            <w:tcW w:w="1843" w:type="dxa"/>
            <w:tcBorders>
              <w:left w:val="single" w:sz="4" w:space="0" w:color="auto"/>
              <w:bottom w:val="single" w:sz="12" w:space="0" w:color="auto"/>
            </w:tcBorders>
            <w:shd w:val="clear" w:color="auto" w:fill="auto"/>
          </w:tcPr>
          <w:p w14:paraId="2A343D45" w14:textId="77777777" w:rsidR="00D76E3B" w:rsidRPr="00CE0060" w:rsidRDefault="00D76E3B" w:rsidP="00CE0060">
            <w:pPr>
              <w:pStyle w:val="A-TableHeader"/>
              <w:jc w:val="center"/>
              <w:rPr>
                <w:sz w:val="18"/>
                <w:szCs w:val="18"/>
              </w:rPr>
            </w:pPr>
            <w:proofErr w:type="spellStart"/>
            <w:r w:rsidRPr="00CE0060">
              <w:rPr>
                <w:sz w:val="18"/>
                <w:szCs w:val="18"/>
              </w:rPr>
              <w:t>FluMist</w:t>
            </w:r>
            <w:proofErr w:type="spellEnd"/>
            <w:r w:rsidRPr="00CE0060">
              <w:rPr>
                <w:sz w:val="18"/>
                <w:szCs w:val="18"/>
              </w:rPr>
              <w:t xml:space="preserve"> (trivalent</w:t>
            </w:r>
            <w:proofErr w:type="gramStart"/>
            <w:r w:rsidRPr="00CE0060">
              <w:rPr>
                <w:sz w:val="18"/>
                <w:szCs w:val="18"/>
              </w:rPr>
              <w:t>)</w:t>
            </w:r>
            <w:proofErr w:type="gramEnd"/>
            <w:r w:rsidRPr="00CE0060">
              <w:rPr>
                <w:sz w:val="18"/>
                <w:szCs w:val="18"/>
              </w:rPr>
              <w:br/>
              <w:t>n (%)</w:t>
            </w:r>
          </w:p>
        </w:tc>
        <w:tc>
          <w:tcPr>
            <w:tcW w:w="992" w:type="dxa"/>
            <w:tcBorders>
              <w:bottom w:val="single" w:sz="12" w:space="0" w:color="auto"/>
            </w:tcBorders>
            <w:shd w:val="clear" w:color="auto" w:fill="auto"/>
          </w:tcPr>
          <w:p w14:paraId="311F4BD2" w14:textId="77777777" w:rsidR="00D76E3B" w:rsidRPr="00CE0060" w:rsidRDefault="00D76E3B" w:rsidP="00CE0060">
            <w:pPr>
              <w:pStyle w:val="A-TableHeader"/>
              <w:jc w:val="center"/>
              <w:rPr>
                <w:sz w:val="18"/>
                <w:szCs w:val="18"/>
              </w:rPr>
            </w:pPr>
            <w:r w:rsidRPr="00CE0060">
              <w:rPr>
                <w:sz w:val="18"/>
                <w:szCs w:val="18"/>
              </w:rPr>
              <w:t>Placebo</w:t>
            </w:r>
            <w:r w:rsidRPr="00CE0060">
              <w:rPr>
                <w:sz w:val="18"/>
                <w:szCs w:val="18"/>
              </w:rPr>
              <w:br/>
              <w:t>n (%)</w:t>
            </w:r>
          </w:p>
        </w:tc>
        <w:tc>
          <w:tcPr>
            <w:tcW w:w="1276" w:type="dxa"/>
            <w:tcBorders>
              <w:bottom w:val="single" w:sz="12" w:space="0" w:color="auto"/>
            </w:tcBorders>
            <w:shd w:val="clear" w:color="auto" w:fill="auto"/>
          </w:tcPr>
          <w:p w14:paraId="18AC8345" w14:textId="77777777" w:rsidR="00D76E3B" w:rsidRPr="00CE0060" w:rsidRDefault="00D76E3B" w:rsidP="00A4731B">
            <w:pPr>
              <w:pStyle w:val="A-TableHeader"/>
              <w:jc w:val="center"/>
              <w:rPr>
                <w:sz w:val="18"/>
                <w:szCs w:val="18"/>
              </w:rPr>
            </w:pPr>
            <w:r w:rsidRPr="00CE0060">
              <w:rPr>
                <w:sz w:val="18"/>
                <w:szCs w:val="18"/>
              </w:rPr>
              <w:t>% Efficacy</w:t>
            </w:r>
            <w:r w:rsidRPr="00CE0060">
              <w:rPr>
                <w:sz w:val="18"/>
                <w:szCs w:val="18"/>
              </w:rPr>
              <w:br/>
              <w:t>(95% CI)</w:t>
            </w:r>
          </w:p>
        </w:tc>
      </w:tr>
      <w:tr w:rsidR="00CE0060" w:rsidRPr="00CE0060" w14:paraId="4222B494" w14:textId="77777777" w:rsidTr="00D34F9C">
        <w:trPr>
          <w:cantSplit/>
        </w:trPr>
        <w:tc>
          <w:tcPr>
            <w:tcW w:w="1101" w:type="dxa"/>
            <w:tcBorders>
              <w:top w:val="single" w:sz="12" w:space="0" w:color="auto"/>
              <w:bottom w:val="single" w:sz="12" w:space="0" w:color="auto"/>
              <w:right w:val="single" w:sz="4" w:space="0" w:color="auto"/>
            </w:tcBorders>
            <w:shd w:val="clear" w:color="auto" w:fill="auto"/>
          </w:tcPr>
          <w:p w14:paraId="58345703" w14:textId="77777777" w:rsidR="00D76E3B" w:rsidRPr="00CE0060" w:rsidRDefault="00CE0060" w:rsidP="00CE0060">
            <w:pPr>
              <w:pStyle w:val="A-TableText"/>
              <w:rPr>
                <w:sz w:val="18"/>
                <w:szCs w:val="18"/>
              </w:rPr>
            </w:pPr>
            <w:r w:rsidRPr="00CE0060">
              <w:rPr>
                <w:sz w:val="18"/>
                <w:szCs w:val="18"/>
              </w:rPr>
              <w:t>N</w:t>
            </w:r>
          </w:p>
        </w:tc>
        <w:tc>
          <w:tcPr>
            <w:tcW w:w="1842" w:type="dxa"/>
            <w:tcBorders>
              <w:top w:val="single" w:sz="12" w:space="0" w:color="auto"/>
              <w:left w:val="single" w:sz="4" w:space="0" w:color="auto"/>
              <w:bottom w:val="single" w:sz="12" w:space="0" w:color="auto"/>
            </w:tcBorders>
            <w:shd w:val="clear" w:color="auto" w:fill="auto"/>
          </w:tcPr>
          <w:p w14:paraId="6AFAE3BB" w14:textId="77777777" w:rsidR="00D76E3B" w:rsidRPr="00CE0060" w:rsidRDefault="00D76E3B" w:rsidP="00CE0060">
            <w:pPr>
              <w:pStyle w:val="A-TableText"/>
              <w:jc w:val="center"/>
              <w:rPr>
                <w:sz w:val="18"/>
                <w:szCs w:val="18"/>
              </w:rPr>
            </w:pPr>
            <w:r w:rsidRPr="00CE0060">
              <w:rPr>
                <w:sz w:val="18"/>
                <w:szCs w:val="18"/>
              </w:rPr>
              <w:t>1653</w:t>
            </w:r>
          </w:p>
        </w:tc>
        <w:tc>
          <w:tcPr>
            <w:tcW w:w="1276" w:type="dxa"/>
            <w:tcBorders>
              <w:top w:val="single" w:sz="12" w:space="0" w:color="auto"/>
              <w:bottom w:val="single" w:sz="12" w:space="0" w:color="auto"/>
            </w:tcBorders>
            <w:shd w:val="clear" w:color="auto" w:fill="auto"/>
          </w:tcPr>
          <w:p w14:paraId="35FF6E60" w14:textId="77777777" w:rsidR="00D76E3B" w:rsidRPr="00CE0060" w:rsidRDefault="00D76E3B" w:rsidP="00CE0060">
            <w:pPr>
              <w:pStyle w:val="A-TableText"/>
              <w:jc w:val="center"/>
              <w:rPr>
                <w:sz w:val="18"/>
                <w:szCs w:val="18"/>
              </w:rPr>
            </w:pPr>
            <w:r w:rsidRPr="00CE0060">
              <w:rPr>
                <w:sz w:val="18"/>
                <w:szCs w:val="18"/>
              </w:rPr>
              <w:t>1111</w:t>
            </w:r>
          </w:p>
        </w:tc>
        <w:tc>
          <w:tcPr>
            <w:tcW w:w="1276" w:type="dxa"/>
            <w:tcBorders>
              <w:top w:val="single" w:sz="12" w:space="0" w:color="auto"/>
              <w:bottom w:val="single" w:sz="12" w:space="0" w:color="auto"/>
              <w:right w:val="single" w:sz="4" w:space="0" w:color="auto"/>
            </w:tcBorders>
            <w:shd w:val="clear" w:color="auto" w:fill="auto"/>
          </w:tcPr>
          <w:p w14:paraId="233A3304" w14:textId="77777777" w:rsidR="00D76E3B" w:rsidRPr="00CE0060" w:rsidRDefault="00D76E3B" w:rsidP="00CE0060">
            <w:pPr>
              <w:pStyle w:val="A-TableText"/>
              <w:jc w:val="center"/>
              <w:rPr>
                <w:sz w:val="18"/>
                <w:szCs w:val="18"/>
              </w:rPr>
            </w:pPr>
          </w:p>
        </w:tc>
        <w:tc>
          <w:tcPr>
            <w:tcW w:w="1843" w:type="dxa"/>
            <w:tcBorders>
              <w:top w:val="single" w:sz="12" w:space="0" w:color="auto"/>
              <w:left w:val="single" w:sz="4" w:space="0" w:color="auto"/>
              <w:bottom w:val="single" w:sz="12" w:space="0" w:color="auto"/>
            </w:tcBorders>
            <w:shd w:val="clear" w:color="auto" w:fill="auto"/>
          </w:tcPr>
          <w:p w14:paraId="0AC3E7A3" w14:textId="77777777" w:rsidR="00D76E3B" w:rsidRPr="00CE0060" w:rsidRDefault="00D76E3B" w:rsidP="00CE0060">
            <w:pPr>
              <w:pStyle w:val="A-TableText"/>
              <w:jc w:val="center"/>
              <w:rPr>
                <w:sz w:val="18"/>
                <w:szCs w:val="18"/>
              </w:rPr>
            </w:pPr>
            <w:r w:rsidRPr="00CE0060">
              <w:rPr>
                <w:sz w:val="18"/>
                <w:szCs w:val="18"/>
              </w:rPr>
              <w:t>849</w:t>
            </w:r>
          </w:p>
        </w:tc>
        <w:tc>
          <w:tcPr>
            <w:tcW w:w="992" w:type="dxa"/>
            <w:tcBorders>
              <w:top w:val="single" w:sz="12" w:space="0" w:color="auto"/>
              <w:bottom w:val="single" w:sz="12" w:space="0" w:color="auto"/>
            </w:tcBorders>
            <w:shd w:val="clear" w:color="auto" w:fill="auto"/>
          </w:tcPr>
          <w:p w14:paraId="189A211F" w14:textId="77777777" w:rsidR="00D76E3B" w:rsidRPr="00CE0060" w:rsidRDefault="00D76E3B" w:rsidP="00CE0060">
            <w:pPr>
              <w:pStyle w:val="A-TableText"/>
              <w:jc w:val="center"/>
              <w:rPr>
                <w:sz w:val="18"/>
                <w:szCs w:val="18"/>
              </w:rPr>
            </w:pPr>
            <w:r w:rsidRPr="00CE0060">
              <w:rPr>
                <w:sz w:val="18"/>
                <w:szCs w:val="18"/>
              </w:rPr>
              <w:t>410</w:t>
            </w:r>
          </w:p>
        </w:tc>
        <w:tc>
          <w:tcPr>
            <w:tcW w:w="1276" w:type="dxa"/>
            <w:tcBorders>
              <w:top w:val="single" w:sz="12" w:space="0" w:color="auto"/>
              <w:bottom w:val="single" w:sz="12" w:space="0" w:color="auto"/>
            </w:tcBorders>
            <w:shd w:val="clear" w:color="auto" w:fill="auto"/>
          </w:tcPr>
          <w:p w14:paraId="6BF571FC" w14:textId="77777777" w:rsidR="00D76E3B" w:rsidRPr="00CE0060" w:rsidRDefault="00D76E3B" w:rsidP="00CE0060">
            <w:pPr>
              <w:pStyle w:val="A-TableText"/>
              <w:rPr>
                <w:sz w:val="18"/>
                <w:szCs w:val="18"/>
              </w:rPr>
            </w:pPr>
          </w:p>
        </w:tc>
      </w:tr>
      <w:tr w:rsidR="00D76E3B" w:rsidRPr="00641166" w14:paraId="455D5DB0" w14:textId="77777777" w:rsidTr="00D34F9C">
        <w:trPr>
          <w:cantSplit/>
        </w:trPr>
        <w:tc>
          <w:tcPr>
            <w:tcW w:w="1101" w:type="dxa"/>
            <w:tcBorders>
              <w:top w:val="single" w:sz="12" w:space="0" w:color="auto"/>
              <w:bottom w:val="single" w:sz="4" w:space="0" w:color="auto"/>
              <w:right w:val="single" w:sz="4" w:space="0" w:color="auto"/>
            </w:tcBorders>
            <w:shd w:val="clear" w:color="auto" w:fill="auto"/>
          </w:tcPr>
          <w:p w14:paraId="48765820" w14:textId="77777777" w:rsidR="00D76E3B" w:rsidRPr="00641166" w:rsidRDefault="00D76E3B" w:rsidP="00D76E3B">
            <w:pPr>
              <w:pStyle w:val="A-TableText"/>
              <w:spacing w:line="240" w:lineRule="auto"/>
              <w:rPr>
                <w:sz w:val="18"/>
                <w:szCs w:val="18"/>
              </w:rPr>
            </w:pPr>
            <w:r w:rsidRPr="00641166">
              <w:rPr>
                <w:sz w:val="18"/>
                <w:szCs w:val="18"/>
              </w:rPr>
              <w:t>Any strain</w:t>
            </w:r>
          </w:p>
        </w:tc>
        <w:tc>
          <w:tcPr>
            <w:tcW w:w="1842" w:type="dxa"/>
            <w:tcBorders>
              <w:top w:val="single" w:sz="12" w:space="0" w:color="auto"/>
              <w:left w:val="single" w:sz="4" w:space="0" w:color="auto"/>
              <w:bottom w:val="single" w:sz="4" w:space="0" w:color="auto"/>
            </w:tcBorders>
            <w:shd w:val="clear" w:color="auto" w:fill="auto"/>
          </w:tcPr>
          <w:p w14:paraId="7F1F8C9A" w14:textId="77777777" w:rsidR="00D76E3B" w:rsidRPr="00641166" w:rsidRDefault="00D76E3B" w:rsidP="00CE0060">
            <w:pPr>
              <w:pStyle w:val="A-TableText"/>
              <w:spacing w:line="240" w:lineRule="auto"/>
              <w:jc w:val="center"/>
              <w:rPr>
                <w:sz w:val="18"/>
                <w:szCs w:val="18"/>
              </w:rPr>
            </w:pPr>
            <w:r w:rsidRPr="00641166">
              <w:rPr>
                <w:sz w:val="18"/>
                <w:szCs w:val="18"/>
              </w:rPr>
              <w:t>56 (3.4%)</w:t>
            </w:r>
          </w:p>
        </w:tc>
        <w:tc>
          <w:tcPr>
            <w:tcW w:w="1276" w:type="dxa"/>
            <w:tcBorders>
              <w:top w:val="single" w:sz="12" w:space="0" w:color="auto"/>
              <w:bottom w:val="single" w:sz="4" w:space="0" w:color="auto"/>
            </w:tcBorders>
            <w:shd w:val="clear" w:color="auto" w:fill="auto"/>
          </w:tcPr>
          <w:p w14:paraId="7861ECFF" w14:textId="77777777" w:rsidR="00D76E3B" w:rsidRPr="00641166" w:rsidRDefault="00D76E3B" w:rsidP="00CE0060">
            <w:pPr>
              <w:pStyle w:val="A-TableText"/>
              <w:spacing w:line="240" w:lineRule="auto"/>
              <w:jc w:val="center"/>
              <w:rPr>
                <w:sz w:val="18"/>
                <w:szCs w:val="18"/>
              </w:rPr>
            </w:pPr>
            <w:r w:rsidRPr="00641166">
              <w:rPr>
                <w:sz w:val="18"/>
                <w:szCs w:val="18"/>
              </w:rPr>
              <w:t>139 (12.5%)</w:t>
            </w:r>
          </w:p>
        </w:tc>
        <w:tc>
          <w:tcPr>
            <w:tcW w:w="1276" w:type="dxa"/>
            <w:tcBorders>
              <w:top w:val="single" w:sz="12" w:space="0" w:color="auto"/>
              <w:bottom w:val="single" w:sz="4" w:space="0" w:color="auto"/>
              <w:right w:val="single" w:sz="4" w:space="0" w:color="auto"/>
            </w:tcBorders>
            <w:shd w:val="clear" w:color="auto" w:fill="auto"/>
          </w:tcPr>
          <w:p w14:paraId="5FCDF8FB" w14:textId="77777777" w:rsidR="00D76E3B" w:rsidRPr="00641166" w:rsidRDefault="00D76E3B" w:rsidP="00CE0060">
            <w:pPr>
              <w:pStyle w:val="A-TableText"/>
              <w:spacing w:line="240" w:lineRule="auto"/>
              <w:jc w:val="center"/>
              <w:rPr>
                <w:sz w:val="18"/>
                <w:szCs w:val="18"/>
              </w:rPr>
            </w:pPr>
            <w:r w:rsidRPr="00641166">
              <w:rPr>
                <w:sz w:val="18"/>
                <w:szCs w:val="18"/>
              </w:rPr>
              <w:t>72.9%</w:t>
            </w:r>
            <w:r w:rsidR="00CE0060">
              <w:rPr>
                <w:sz w:val="18"/>
                <w:szCs w:val="18"/>
                <w:vertAlign w:val="superscript"/>
              </w:rPr>
              <w:t>b</w:t>
            </w:r>
            <w:r w:rsidRPr="00641166">
              <w:rPr>
                <w:sz w:val="18"/>
                <w:szCs w:val="18"/>
              </w:rPr>
              <w:br/>
              <w:t>(62.8, 80.5)</w:t>
            </w:r>
          </w:p>
        </w:tc>
        <w:tc>
          <w:tcPr>
            <w:tcW w:w="1843" w:type="dxa"/>
            <w:tcBorders>
              <w:top w:val="single" w:sz="12" w:space="0" w:color="auto"/>
              <w:left w:val="single" w:sz="4" w:space="0" w:color="auto"/>
              <w:bottom w:val="single" w:sz="4" w:space="0" w:color="auto"/>
            </w:tcBorders>
            <w:shd w:val="clear" w:color="auto" w:fill="auto"/>
          </w:tcPr>
          <w:p w14:paraId="7BD5A93F" w14:textId="77777777" w:rsidR="00D76E3B" w:rsidRPr="00641166" w:rsidRDefault="00D76E3B" w:rsidP="00CE0060">
            <w:pPr>
              <w:pStyle w:val="A-TableText"/>
              <w:spacing w:line="240" w:lineRule="auto"/>
              <w:jc w:val="center"/>
              <w:rPr>
                <w:sz w:val="18"/>
                <w:szCs w:val="18"/>
              </w:rPr>
            </w:pPr>
            <w:r w:rsidRPr="00641166">
              <w:rPr>
                <w:sz w:val="18"/>
                <w:szCs w:val="18"/>
              </w:rPr>
              <w:t>10 (1%)</w:t>
            </w:r>
          </w:p>
        </w:tc>
        <w:tc>
          <w:tcPr>
            <w:tcW w:w="992" w:type="dxa"/>
            <w:tcBorders>
              <w:top w:val="single" w:sz="12" w:space="0" w:color="auto"/>
              <w:bottom w:val="single" w:sz="4" w:space="0" w:color="auto"/>
            </w:tcBorders>
            <w:shd w:val="clear" w:color="auto" w:fill="auto"/>
          </w:tcPr>
          <w:p w14:paraId="4ECABD96" w14:textId="77777777" w:rsidR="00D76E3B" w:rsidRPr="00641166" w:rsidRDefault="00D76E3B" w:rsidP="00CE0060">
            <w:pPr>
              <w:pStyle w:val="A-TableText"/>
              <w:spacing w:line="240" w:lineRule="auto"/>
              <w:jc w:val="center"/>
              <w:rPr>
                <w:sz w:val="18"/>
                <w:szCs w:val="18"/>
              </w:rPr>
            </w:pPr>
            <w:r w:rsidRPr="00641166">
              <w:rPr>
                <w:sz w:val="18"/>
                <w:szCs w:val="18"/>
              </w:rPr>
              <w:t>73 (18%)</w:t>
            </w:r>
          </w:p>
        </w:tc>
        <w:tc>
          <w:tcPr>
            <w:tcW w:w="1276" w:type="dxa"/>
            <w:tcBorders>
              <w:top w:val="single" w:sz="12" w:space="0" w:color="auto"/>
              <w:bottom w:val="single" w:sz="4" w:space="0" w:color="auto"/>
            </w:tcBorders>
            <w:shd w:val="clear" w:color="auto" w:fill="auto"/>
          </w:tcPr>
          <w:p w14:paraId="52D80C51" w14:textId="77777777" w:rsidR="00D76E3B" w:rsidRPr="00641166" w:rsidRDefault="00D76E3B" w:rsidP="00CE0060">
            <w:pPr>
              <w:pStyle w:val="A-TableText"/>
              <w:spacing w:line="240" w:lineRule="auto"/>
              <w:jc w:val="center"/>
              <w:rPr>
                <w:sz w:val="18"/>
                <w:szCs w:val="18"/>
              </w:rPr>
            </w:pPr>
            <w:r w:rsidRPr="00641166">
              <w:rPr>
                <w:sz w:val="18"/>
                <w:szCs w:val="18"/>
              </w:rPr>
              <w:t>93.4%</w:t>
            </w:r>
            <w:r w:rsidRPr="00641166">
              <w:rPr>
                <w:sz w:val="18"/>
                <w:szCs w:val="18"/>
              </w:rPr>
              <w:br/>
              <w:t>(87.5, 96.5)</w:t>
            </w:r>
          </w:p>
        </w:tc>
      </w:tr>
      <w:tr w:rsidR="00D76E3B" w:rsidRPr="00641166" w14:paraId="3690B68F" w14:textId="77777777" w:rsidTr="00D34F9C">
        <w:trPr>
          <w:cantSplit/>
        </w:trPr>
        <w:tc>
          <w:tcPr>
            <w:tcW w:w="1101" w:type="dxa"/>
            <w:tcBorders>
              <w:top w:val="single" w:sz="4" w:space="0" w:color="auto"/>
              <w:bottom w:val="single" w:sz="4" w:space="0" w:color="auto"/>
              <w:right w:val="single" w:sz="4" w:space="0" w:color="auto"/>
            </w:tcBorders>
            <w:shd w:val="clear" w:color="auto" w:fill="auto"/>
          </w:tcPr>
          <w:p w14:paraId="29DFEFBF" w14:textId="77777777" w:rsidR="00D76E3B" w:rsidRPr="00641166" w:rsidRDefault="00D76E3B" w:rsidP="00D76E3B">
            <w:pPr>
              <w:pStyle w:val="A-TableText"/>
              <w:spacing w:line="240" w:lineRule="auto"/>
              <w:rPr>
                <w:sz w:val="18"/>
                <w:szCs w:val="18"/>
              </w:rPr>
            </w:pPr>
            <w:r w:rsidRPr="00641166">
              <w:rPr>
                <w:sz w:val="18"/>
                <w:szCs w:val="18"/>
              </w:rPr>
              <w:t>A/H1N1</w:t>
            </w:r>
          </w:p>
        </w:tc>
        <w:tc>
          <w:tcPr>
            <w:tcW w:w="1842" w:type="dxa"/>
            <w:tcBorders>
              <w:top w:val="single" w:sz="4" w:space="0" w:color="auto"/>
              <w:left w:val="single" w:sz="4" w:space="0" w:color="auto"/>
              <w:bottom w:val="single" w:sz="4" w:space="0" w:color="auto"/>
            </w:tcBorders>
            <w:shd w:val="clear" w:color="auto" w:fill="auto"/>
          </w:tcPr>
          <w:p w14:paraId="0EFD3ED1" w14:textId="77777777" w:rsidR="00D76E3B" w:rsidRPr="00641166" w:rsidRDefault="00D76E3B" w:rsidP="00CE0060">
            <w:pPr>
              <w:pStyle w:val="A-TableText"/>
              <w:spacing w:line="240" w:lineRule="auto"/>
              <w:jc w:val="center"/>
              <w:rPr>
                <w:sz w:val="18"/>
                <w:szCs w:val="18"/>
              </w:rPr>
            </w:pPr>
            <w:r w:rsidRPr="00641166">
              <w:rPr>
                <w:sz w:val="18"/>
                <w:szCs w:val="18"/>
              </w:rPr>
              <w:t>23 (1.4%)</w:t>
            </w:r>
          </w:p>
        </w:tc>
        <w:tc>
          <w:tcPr>
            <w:tcW w:w="1276" w:type="dxa"/>
            <w:tcBorders>
              <w:top w:val="single" w:sz="4" w:space="0" w:color="auto"/>
              <w:bottom w:val="single" w:sz="4" w:space="0" w:color="auto"/>
            </w:tcBorders>
            <w:shd w:val="clear" w:color="auto" w:fill="auto"/>
          </w:tcPr>
          <w:p w14:paraId="245F95E5" w14:textId="77777777" w:rsidR="00D76E3B" w:rsidRPr="00641166" w:rsidRDefault="00D76E3B" w:rsidP="00CE0060">
            <w:pPr>
              <w:pStyle w:val="A-TableText"/>
              <w:spacing w:line="240" w:lineRule="auto"/>
              <w:jc w:val="center"/>
              <w:rPr>
                <w:sz w:val="18"/>
                <w:szCs w:val="18"/>
              </w:rPr>
            </w:pPr>
            <w:r w:rsidRPr="00641166">
              <w:rPr>
                <w:sz w:val="18"/>
                <w:szCs w:val="18"/>
              </w:rPr>
              <w:t>81 (7.3%)</w:t>
            </w:r>
          </w:p>
        </w:tc>
        <w:tc>
          <w:tcPr>
            <w:tcW w:w="1276" w:type="dxa"/>
            <w:tcBorders>
              <w:top w:val="single" w:sz="4" w:space="0" w:color="auto"/>
              <w:bottom w:val="single" w:sz="4" w:space="0" w:color="auto"/>
              <w:right w:val="single" w:sz="4" w:space="0" w:color="auto"/>
            </w:tcBorders>
            <w:shd w:val="clear" w:color="auto" w:fill="auto"/>
          </w:tcPr>
          <w:p w14:paraId="02062DFD" w14:textId="77777777" w:rsidR="00D76E3B" w:rsidRPr="00641166" w:rsidRDefault="00D76E3B" w:rsidP="00CE0060">
            <w:pPr>
              <w:pStyle w:val="A-TableText"/>
              <w:spacing w:line="240" w:lineRule="auto"/>
              <w:jc w:val="center"/>
              <w:rPr>
                <w:sz w:val="18"/>
                <w:szCs w:val="18"/>
              </w:rPr>
            </w:pPr>
            <w:r w:rsidRPr="00641166">
              <w:rPr>
                <w:sz w:val="18"/>
                <w:szCs w:val="18"/>
              </w:rPr>
              <w:t>80.9%</w:t>
            </w:r>
            <w:r w:rsidRPr="00641166">
              <w:rPr>
                <w:sz w:val="18"/>
                <w:szCs w:val="18"/>
              </w:rPr>
              <w:br/>
              <w:t>(69.4, 88.5)</w:t>
            </w:r>
            <w:r w:rsidR="00CE0060">
              <w:rPr>
                <w:sz w:val="18"/>
                <w:szCs w:val="18"/>
                <w:vertAlign w:val="superscript"/>
              </w:rPr>
              <w:t>c</w:t>
            </w:r>
          </w:p>
        </w:tc>
        <w:tc>
          <w:tcPr>
            <w:tcW w:w="1843" w:type="dxa"/>
            <w:tcBorders>
              <w:top w:val="single" w:sz="4" w:space="0" w:color="auto"/>
              <w:left w:val="single" w:sz="4" w:space="0" w:color="auto"/>
              <w:bottom w:val="single" w:sz="4" w:space="0" w:color="auto"/>
            </w:tcBorders>
            <w:shd w:val="clear" w:color="auto" w:fill="auto"/>
          </w:tcPr>
          <w:p w14:paraId="421EF470" w14:textId="77777777" w:rsidR="00D76E3B" w:rsidRPr="00641166" w:rsidRDefault="00D76E3B" w:rsidP="00CE0060">
            <w:pPr>
              <w:pStyle w:val="A-TableText"/>
              <w:spacing w:line="240" w:lineRule="auto"/>
              <w:jc w:val="center"/>
              <w:rPr>
                <w:sz w:val="18"/>
                <w:szCs w:val="18"/>
              </w:rPr>
            </w:pPr>
            <w:r w:rsidRPr="00641166">
              <w:rPr>
                <w:sz w:val="18"/>
                <w:szCs w:val="18"/>
              </w:rPr>
              <w:t>0</w:t>
            </w:r>
          </w:p>
        </w:tc>
        <w:tc>
          <w:tcPr>
            <w:tcW w:w="992" w:type="dxa"/>
            <w:tcBorders>
              <w:top w:val="single" w:sz="4" w:space="0" w:color="auto"/>
              <w:bottom w:val="single" w:sz="4" w:space="0" w:color="auto"/>
            </w:tcBorders>
            <w:shd w:val="clear" w:color="auto" w:fill="auto"/>
          </w:tcPr>
          <w:p w14:paraId="38944901" w14:textId="77777777" w:rsidR="00D76E3B" w:rsidRPr="00641166" w:rsidRDefault="00D76E3B" w:rsidP="00CE0060">
            <w:pPr>
              <w:pStyle w:val="A-TableText"/>
              <w:spacing w:line="240" w:lineRule="auto"/>
              <w:jc w:val="center"/>
              <w:rPr>
                <w:sz w:val="18"/>
                <w:szCs w:val="18"/>
              </w:rPr>
            </w:pPr>
            <w:r w:rsidRPr="00641166">
              <w:rPr>
                <w:sz w:val="18"/>
                <w:szCs w:val="18"/>
              </w:rPr>
              <w:t>0</w:t>
            </w:r>
          </w:p>
        </w:tc>
        <w:tc>
          <w:tcPr>
            <w:tcW w:w="1276" w:type="dxa"/>
            <w:tcBorders>
              <w:top w:val="single" w:sz="4" w:space="0" w:color="auto"/>
              <w:bottom w:val="single" w:sz="4" w:space="0" w:color="auto"/>
            </w:tcBorders>
            <w:shd w:val="clear" w:color="auto" w:fill="auto"/>
          </w:tcPr>
          <w:p w14:paraId="2BC16D74" w14:textId="77777777" w:rsidR="00D76E3B" w:rsidRPr="00641166" w:rsidRDefault="00D76E3B" w:rsidP="00CE0060">
            <w:pPr>
              <w:pStyle w:val="A-TableText"/>
              <w:spacing w:line="240" w:lineRule="auto"/>
              <w:jc w:val="center"/>
              <w:rPr>
                <w:sz w:val="18"/>
                <w:szCs w:val="18"/>
              </w:rPr>
            </w:pPr>
            <w:r w:rsidRPr="00641166">
              <w:rPr>
                <w:sz w:val="18"/>
                <w:szCs w:val="18"/>
              </w:rPr>
              <w:t>--</w:t>
            </w:r>
          </w:p>
        </w:tc>
      </w:tr>
      <w:tr w:rsidR="00D76E3B" w:rsidRPr="00641166" w14:paraId="3FC30C5D" w14:textId="77777777" w:rsidTr="00D34F9C">
        <w:trPr>
          <w:cantSplit/>
        </w:trPr>
        <w:tc>
          <w:tcPr>
            <w:tcW w:w="1101" w:type="dxa"/>
            <w:tcBorders>
              <w:top w:val="single" w:sz="4" w:space="0" w:color="auto"/>
              <w:bottom w:val="single" w:sz="4" w:space="0" w:color="auto"/>
              <w:right w:val="single" w:sz="4" w:space="0" w:color="auto"/>
            </w:tcBorders>
            <w:shd w:val="clear" w:color="auto" w:fill="auto"/>
          </w:tcPr>
          <w:p w14:paraId="68B8675C" w14:textId="77777777" w:rsidR="00D76E3B" w:rsidRPr="00641166" w:rsidRDefault="00D76E3B" w:rsidP="00D76E3B">
            <w:pPr>
              <w:pStyle w:val="A-TableText"/>
              <w:spacing w:line="240" w:lineRule="auto"/>
              <w:rPr>
                <w:sz w:val="18"/>
                <w:szCs w:val="18"/>
              </w:rPr>
            </w:pPr>
            <w:r w:rsidRPr="00641166">
              <w:rPr>
                <w:sz w:val="18"/>
                <w:szCs w:val="18"/>
              </w:rPr>
              <w:t>A/H3N2</w:t>
            </w:r>
          </w:p>
        </w:tc>
        <w:tc>
          <w:tcPr>
            <w:tcW w:w="1842" w:type="dxa"/>
            <w:tcBorders>
              <w:top w:val="single" w:sz="4" w:space="0" w:color="auto"/>
              <w:left w:val="single" w:sz="4" w:space="0" w:color="auto"/>
              <w:bottom w:val="single" w:sz="4" w:space="0" w:color="auto"/>
            </w:tcBorders>
            <w:shd w:val="clear" w:color="auto" w:fill="auto"/>
          </w:tcPr>
          <w:p w14:paraId="05622558" w14:textId="77777777" w:rsidR="00D76E3B" w:rsidRPr="00641166" w:rsidRDefault="00D76E3B" w:rsidP="00CE0060">
            <w:pPr>
              <w:pStyle w:val="A-TableText"/>
              <w:spacing w:line="240" w:lineRule="auto"/>
              <w:jc w:val="center"/>
              <w:rPr>
                <w:sz w:val="18"/>
                <w:szCs w:val="18"/>
              </w:rPr>
            </w:pPr>
            <w:r w:rsidRPr="00641166">
              <w:rPr>
                <w:sz w:val="18"/>
                <w:szCs w:val="18"/>
              </w:rPr>
              <w:t>4 (0.2%)</w:t>
            </w:r>
          </w:p>
        </w:tc>
        <w:tc>
          <w:tcPr>
            <w:tcW w:w="1276" w:type="dxa"/>
            <w:tcBorders>
              <w:top w:val="single" w:sz="4" w:space="0" w:color="auto"/>
              <w:bottom w:val="single" w:sz="4" w:space="0" w:color="auto"/>
            </w:tcBorders>
            <w:shd w:val="clear" w:color="auto" w:fill="auto"/>
          </w:tcPr>
          <w:p w14:paraId="213F4A2E" w14:textId="77777777" w:rsidR="00D76E3B" w:rsidRPr="00641166" w:rsidRDefault="00D76E3B" w:rsidP="00CE0060">
            <w:pPr>
              <w:pStyle w:val="A-TableText"/>
              <w:spacing w:line="240" w:lineRule="auto"/>
              <w:jc w:val="center"/>
              <w:rPr>
                <w:sz w:val="18"/>
                <w:szCs w:val="18"/>
              </w:rPr>
            </w:pPr>
            <w:r w:rsidRPr="00641166">
              <w:rPr>
                <w:sz w:val="18"/>
                <w:szCs w:val="18"/>
              </w:rPr>
              <w:t>27 (2.4%)</w:t>
            </w:r>
          </w:p>
        </w:tc>
        <w:tc>
          <w:tcPr>
            <w:tcW w:w="1276" w:type="dxa"/>
            <w:tcBorders>
              <w:top w:val="single" w:sz="4" w:space="0" w:color="auto"/>
              <w:bottom w:val="single" w:sz="4" w:space="0" w:color="auto"/>
              <w:right w:val="single" w:sz="4" w:space="0" w:color="auto"/>
            </w:tcBorders>
            <w:shd w:val="clear" w:color="auto" w:fill="auto"/>
          </w:tcPr>
          <w:p w14:paraId="140D9CCE" w14:textId="77777777" w:rsidR="00D76E3B" w:rsidRPr="00641166" w:rsidRDefault="00D76E3B" w:rsidP="00CE0060">
            <w:pPr>
              <w:pStyle w:val="A-TableText"/>
              <w:spacing w:line="240" w:lineRule="auto"/>
              <w:jc w:val="center"/>
              <w:rPr>
                <w:sz w:val="18"/>
                <w:szCs w:val="18"/>
              </w:rPr>
            </w:pPr>
            <w:r w:rsidRPr="00641166">
              <w:rPr>
                <w:sz w:val="18"/>
                <w:szCs w:val="18"/>
              </w:rPr>
              <w:t>90.0%</w:t>
            </w:r>
            <w:r w:rsidRPr="00641166">
              <w:rPr>
                <w:sz w:val="18"/>
                <w:szCs w:val="18"/>
              </w:rPr>
              <w:br/>
              <w:t>(71.4, 97.5)</w:t>
            </w:r>
          </w:p>
        </w:tc>
        <w:tc>
          <w:tcPr>
            <w:tcW w:w="1843" w:type="dxa"/>
            <w:tcBorders>
              <w:top w:val="single" w:sz="4" w:space="0" w:color="auto"/>
              <w:left w:val="single" w:sz="4" w:space="0" w:color="auto"/>
              <w:bottom w:val="single" w:sz="4" w:space="0" w:color="auto"/>
            </w:tcBorders>
            <w:shd w:val="clear" w:color="auto" w:fill="auto"/>
          </w:tcPr>
          <w:p w14:paraId="6945595C" w14:textId="77777777" w:rsidR="00D76E3B" w:rsidRPr="00641166" w:rsidRDefault="00D76E3B" w:rsidP="00CE0060">
            <w:pPr>
              <w:pStyle w:val="A-TableText"/>
              <w:spacing w:line="240" w:lineRule="auto"/>
              <w:jc w:val="center"/>
              <w:rPr>
                <w:sz w:val="18"/>
                <w:szCs w:val="18"/>
              </w:rPr>
            </w:pPr>
            <w:r w:rsidRPr="00641166">
              <w:rPr>
                <w:sz w:val="18"/>
                <w:szCs w:val="18"/>
              </w:rPr>
              <w:t>4 (0.5%)</w:t>
            </w:r>
          </w:p>
        </w:tc>
        <w:tc>
          <w:tcPr>
            <w:tcW w:w="992" w:type="dxa"/>
            <w:tcBorders>
              <w:top w:val="single" w:sz="4" w:space="0" w:color="auto"/>
              <w:bottom w:val="single" w:sz="4" w:space="0" w:color="auto"/>
            </w:tcBorders>
            <w:shd w:val="clear" w:color="auto" w:fill="auto"/>
          </w:tcPr>
          <w:p w14:paraId="2482060D" w14:textId="77777777" w:rsidR="00D76E3B" w:rsidRPr="00641166" w:rsidRDefault="00D76E3B" w:rsidP="00CE0060">
            <w:pPr>
              <w:pStyle w:val="A-TableText"/>
              <w:spacing w:line="240" w:lineRule="auto"/>
              <w:jc w:val="center"/>
              <w:rPr>
                <w:sz w:val="18"/>
                <w:szCs w:val="18"/>
              </w:rPr>
            </w:pPr>
            <w:r w:rsidRPr="00641166">
              <w:rPr>
                <w:sz w:val="18"/>
                <w:szCs w:val="18"/>
              </w:rPr>
              <w:t>48 (12%)</w:t>
            </w:r>
          </w:p>
        </w:tc>
        <w:tc>
          <w:tcPr>
            <w:tcW w:w="1276" w:type="dxa"/>
            <w:tcBorders>
              <w:top w:val="single" w:sz="4" w:space="0" w:color="auto"/>
              <w:bottom w:val="single" w:sz="4" w:space="0" w:color="auto"/>
            </w:tcBorders>
            <w:shd w:val="clear" w:color="auto" w:fill="auto"/>
          </w:tcPr>
          <w:p w14:paraId="2B2EDC38" w14:textId="77777777" w:rsidR="00D76E3B" w:rsidRPr="00641166" w:rsidRDefault="00D76E3B" w:rsidP="00CE0060">
            <w:pPr>
              <w:pStyle w:val="A-TableText"/>
              <w:spacing w:line="240" w:lineRule="auto"/>
              <w:jc w:val="center"/>
              <w:rPr>
                <w:sz w:val="18"/>
                <w:szCs w:val="18"/>
              </w:rPr>
            </w:pPr>
            <w:r w:rsidRPr="00641166">
              <w:rPr>
                <w:sz w:val="18"/>
                <w:szCs w:val="18"/>
              </w:rPr>
              <w:t>96.0%</w:t>
            </w:r>
            <w:r w:rsidRPr="00641166">
              <w:rPr>
                <w:sz w:val="18"/>
                <w:szCs w:val="18"/>
              </w:rPr>
              <w:br/>
              <w:t>(89.4, 98.5)</w:t>
            </w:r>
          </w:p>
        </w:tc>
      </w:tr>
      <w:tr w:rsidR="00D76E3B" w:rsidRPr="00641166" w14:paraId="3B8B5F30" w14:textId="77777777" w:rsidTr="00D34F9C">
        <w:trPr>
          <w:cantSplit/>
        </w:trPr>
        <w:tc>
          <w:tcPr>
            <w:tcW w:w="1101" w:type="dxa"/>
            <w:tcBorders>
              <w:top w:val="single" w:sz="4" w:space="0" w:color="auto"/>
              <w:bottom w:val="single" w:sz="12" w:space="0" w:color="auto"/>
              <w:right w:val="single" w:sz="4" w:space="0" w:color="auto"/>
            </w:tcBorders>
            <w:shd w:val="clear" w:color="auto" w:fill="auto"/>
          </w:tcPr>
          <w:p w14:paraId="38BE1238" w14:textId="77777777" w:rsidR="00D76E3B" w:rsidRPr="00641166" w:rsidRDefault="00D76E3B" w:rsidP="00D76E3B">
            <w:pPr>
              <w:pStyle w:val="A-TableText"/>
              <w:spacing w:line="240" w:lineRule="auto"/>
              <w:rPr>
                <w:sz w:val="18"/>
                <w:szCs w:val="18"/>
              </w:rPr>
            </w:pPr>
            <w:r w:rsidRPr="00641166">
              <w:rPr>
                <w:sz w:val="18"/>
                <w:szCs w:val="18"/>
              </w:rPr>
              <w:t>B</w:t>
            </w:r>
          </w:p>
        </w:tc>
        <w:tc>
          <w:tcPr>
            <w:tcW w:w="1842" w:type="dxa"/>
            <w:tcBorders>
              <w:top w:val="single" w:sz="4" w:space="0" w:color="auto"/>
              <w:left w:val="single" w:sz="4" w:space="0" w:color="auto"/>
              <w:bottom w:val="single" w:sz="12" w:space="0" w:color="auto"/>
            </w:tcBorders>
            <w:shd w:val="clear" w:color="auto" w:fill="auto"/>
          </w:tcPr>
          <w:p w14:paraId="6ECDBE4A" w14:textId="77777777" w:rsidR="00D76E3B" w:rsidRPr="00641166" w:rsidRDefault="00D76E3B" w:rsidP="00CE0060">
            <w:pPr>
              <w:pStyle w:val="A-TableText"/>
              <w:spacing w:line="240" w:lineRule="auto"/>
              <w:jc w:val="center"/>
              <w:rPr>
                <w:sz w:val="18"/>
                <w:szCs w:val="18"/>
              </w:rPr>
            </w:pPr>
            <w:r w:rsidRPr="00641166">
              <w:rPr>
                <w:sz w:val="18"/>
                <w:szCs w:val="18"/>
              </w:rPr>
              <w:t>29 (1.8%)</w:t>
            </w:r>
          </w:p>
        </w:tc>
        <w:tc>
          <w:tcPr>
            <w:tcW w:w="1276" w:type="dxa"/>
            <w:tcBorders>
              <w:top w:val="single" w:sz="4" w:space="0" w:color="auto"/>
              <w:bottom w:val="single" w:sz="12" w:space="0" w:color="auto"/>
            </w:tcBorders>
            <w:shd w:val="clear" w:color="auto" w:fill="auto"/>
          </w:tcPr>
          <w:p w14:paraId="660A15D1" w14:textId="77777777" w:rsidR="00D76E3B" w:rsidRPr="00641166" w:rsidRDefault="00D76E3B" w:rsidP="00CE0060">
            <w:pPr>
              <w:pStyle w:val="A-TableText"/>
              <w:spacing w:line="240" w:lineRule="auto"/>
              <w:jc w:val="center"/>
              <w:rPr>
                <w:sz w:val="18"/>
                <w:szCs w:val="18"/>
              </w:rPr>
            </w:pPr>
            <w:r w:rsidRPr="00641166">
              <w:rPr>
                <w:sz w:val="18"/>
                <w:szCs w:val="18"/>
              </w:rPr>
              <w:t>35 (3.2%)</w:t>
            </w:r>
          </w:p>
        </w:tc>
        <w:tc>
          <w:tcPr>
            <w:tcW w:w="1276" w:type="dxa"/>
            <w:tcBorders>
              <w:top w:val="single" w:sz="4" w:space="0" w:color="auto"/>
              <w:bottom w:val="single" w:sz="12" w:space="0" w:color="auto"/>
              <w:right w:val="single" w:sz="4" w:space="0" w:color="auto"/>
            </w:tcBorders>
            <w:shd w:val="clear" w:color="auto" w:fill="auto"/>
          </w:tcPr>
          <w:p w14:paraId="2BF3D35C" w14:textId="77777777" w:rsidR="00D76E3B" w:rsidRPr="00641166" w:rsidRDefault="00D76E3B" w:rsidP="00CE0060">
            <w:pPr>
              <w:pStyle w:val="A-TableText"/>
              <w:spacing w:line="240" w:lineRule="auto"/>
              <w:jc w:val="center"/>
              <w:rPr>
                <w:sz w:val="18"/>
                <w:szCs w:val="18"/>
              </w:rPr>
            </w:pPr>
            <w:r w:rsidRPr="00641166">
              <w:rPr>
                <w:sz w:val="18"/>
                <w:szCs w:val="18"/>
              </w:rPr>
              <w:t>44.3%</w:t>
            </w:r>
            <w:r w:rsidRPr="00641166">
              <w:rPr>
                <w:sz w:val="18"/>
                <w:szCs w:val="18"/>
              </w:rPr>
              <w:br/>
              <w:t>(6.2, 67.2)</w:t>
            </w:r>
          </w:p>
        </w:tc>
        <w:tc>
          <w:tcPr>
            <w:tcW w:w="1843" w:type="dxa"/>
            <w:tcBorders>
              <w:top w:val="single" w:sz="4" w:space="0" w:color="auto"/>
              <w:left w:val="single" w:sz="4" w:space="0" w:color="auto"/>
              <w:bottom w:val="single" w:sz="12" w:space="0" w:color="auto"/>
            </w:tcBorders>
            <w:shd w:val="clear" w:color="auto" w:fill="auto"/>
          </w:tcPr>
          <w:p w14:paraId="4400417F" w14:textId="77777777" w:rsidR="00D76E3B" w:rsidRPr="00641166" w:rsidRDefault="00D76E3B" w:rsidP="00CE0060">
            <w:pPr>
              <w:pStyle w:val="A-TableText"/>
              <w:spacing w:line="240" w:lineRule="auto"/>
              <w:jc w:val="center"/>
              <w:rPr>
                <w:sz w:val="18"/>
                <w:szCs w:val="18"/>
              </w:rPr>
            </w:pPr>
            <w:r w:rsidRPr="00641166">
              <w:rPr>
                <w:sz w:val="18"/>
                <w:szCs w:val="18"/>
              </w:rPr>
              <w:t>6 (0.7%)</w:t>
            </w:r>
          </w:p>
        </w:tc>
        <w:tc>
          <w:tcPr>
            <w:tcW w:w="992" w:type="dxa"/>
            <w:tcBorders>
              <w:top w:val="single" w:sz="4" w:space="0" w:color="auto"/>
              <w:bottom w:val="single" w:sz="12" w:space="0" w:color="auto"/>
            </w:tcBorders>
            <w:shd w:val="clear" w:color="auto" w:fill="auto"/>
          </w:tcPr>
          <w:p w14:paraId="58DD6D24" w14:textId="77777777" w:rsidR="00D76E3B" w:rsidRPr="00641166" w:rsidRDefault="00D76E3B" w:rsidP="00CE0060">
            <w:pPr>
              <w:pStyle w:val="A-TableText"/>
              <w:spacing w:line="240" w:lineRule="auto"/>
              <w:jc w:val="center"/>
              <w:rPr>
                <w:sz w:val="18"/>
                <w:szCs w:val="18"/>
              </w:rPr>
            </w:pPr>
            <w:r w:rsidRPr="00641166">
              <w:rPr>
                <w:sz w:val="18"/>
                <w:szCs w:val="18"/>
              </w:rPr>
              <w:t>31 (7%)</w:t>
            </w:r>
          </w:p>
        </w:tc>
        <w:tc>
          <w:tcPr>
            <w:tcW w:w="1276" w:type="dxa"/>
            <w:tcBorders>
              <w:top w:val="single" w:sz="4" w:space="0" w:color="auto"/>
              <w:bottom w:val="single" w:sz="12" w:space="0" w:color="auto"/>
            </w:tcBorders>
            <w:shd w:val="clear" w:color="auto" w:fill="auto"/>
          </w:tcPr>
          <w:p w14:paraId="41B0ED46" w14:textId="77777777" w:rsidR="00D76E3B" w:rsidRPr="00641166" w:rsidRDefault="00D76E3B" w:rsidP="00CE0060">
            <w:pPr>
              <w:pStyle w:val="A-TableText"/>
              <w:spacing w:line="240" w:lineRule="auto"/>
              <w:jc w:val="center"/>
              <w:rPr>
                <w:sz w:val="18"/>
                <w:szCs w:val="18"/>
              </w:rPr>
            </w:pPr>
            <w:r w:rsidRPr="00641166">
              <w:rPr>
                <w:sz w:val="18"/>
                <w:szCs w:val="18"/>
              </w:rPr>
              <w:t>90.5%</w:t>
            </w:r>
            <w:r w:rsidRPr="00641166">
              <w:rPr>
                <w:sz w:val="18"/>
                <w:szCs w:val="18"/>
              </w:rPr>
              <w:br/>
              <w:t>(78.0, 95.9)</w:t>
            </w:r>
          </w:p>
        </w:tc>
      </w:tr>
    </w:tbl>
    <w:p w14:paraId="6CCF7639" w14:textId="77777777" w:rsidR="00CE0060" w:rsidRDefault="00CE0060" w:rsidP="00D76E3B">
      <w:pPr>
        <w:pStyle w:val="A-TableFootnoteText"/>
        <w:rPr>
          <w:sz w:val="16"/>
          <w:szCs w:val="16"/>
        </w:rPr>
      </w:pPr>
      <w:r w:rsidRPr="00CE0060">
        <w:rPr>
          <w:sz w:val="16"/>
          <w:szCs w:val="16"/>
        </w:rPr>
        <w:t>N - Number of subjects in per-protocol efficacy analysis population of each treatment group of each stud</w:t>
      </w:r>
      <w:r>
        <w:rPr>
          <w:sz w:val="16"/>
          <w:szCs w:val="16"/>
        </w:rPr>
        <w:t>y for the “any strain” analysis</w:t>
      </w:r>
    </w:p>
    <w:p w14:paraId="6DF754FA" w14:textId="77777777" w:rsidR="00CE0060" w:rsidRDefault="00CE0060" w:rsidP="00D76E3B">
      <w:pPr>
        <w:pStyle w:val="A-TableFootnoteText"/>
        <w:rPr>
          <w:sz w:val="16"/>
          <w:szCs w:val="16"/>
        </w:rPr>
      </w:pPr>
      <w:r>
        <w:rPr>
          <w:sz w:val="16"/>
          <w:szCs w:val="16"/>
        </w:rPr>
        <w:t xml:space="preserve">n – </w:t>
      </w:r>
      <w:r w:rsidRPr="00D76E3B">
        <w:rPr>
          <w:sz w:val="16"/>
          <w:szCs w:val="16"/>
        </w:rPr>
        <w:t>Number and percent of subjects in per-protocol efficacy analysis population with culture-confirmed influenza illness</w:t>
      </w:r>
    </w:p>
    <w:p w14:paraId="4483E6CB" w14:textId="77777777" w:rsidR="00CE0060" w:rsidRPr="00CE0060" w:rsidRDefault="00CE0060" w:rsidP="00D76E3B">
      <w:pPr>
        <w:pStyle w:val="A-TableFootnoteText"/>
        <w:rPr>
          <w:sz w:val="16"/>
          <w:szCs w:val="16"/>
        </w:rPr>
      </w:pPr>
      <w:r>
        <w:rPr>
          <w:sz w:val="16"/>
          <w:szCs w:val="16"/>
        </w:rPr>
        <w:t>CI – confidence intervals</w:t>
      </w:r>
    </w:p>
    <w:p w14:paraId="1339C9D9" w14:textId="77777777" w:rsidR="00D76E3B" w:rsidRPr="00D76E3B" w:rsidRDefault="00D76E3B" w:rsidP="00D76E3B">
      <w:pPr>
        <w:pStyle w:val="A-TableFootnoteText"/>
        <w:rPr>
          <w:sz w:val="16"/>
          <w:szCs w:val="16"/>
        </w:rPr>
      </w:pPr>
      <w:proofErr w:type="gramStart"/>
      <w:r w:rsidRPr="00D76E3B">
        <w:rPr>
          <w:sz w:val="16"/>
          <w:szCs w:val="16"/>
          <w:vertAlign w:val="superscript"/>
        </w:rPr>
        <w:t>a</w:t>
      </w:r>
      <w:proofErr w:type="gramEnd"/>
      <w:r w:rsidRPr="00D76E3B">
        <w:rPr>
          <w:sz w:val="16"/>
          <w:szCs w:val="16"/>
          <w:vertAlign w:val="superscript"/>
        </w:rPr>
        <w:tab/>
      </w:r>
      <w:r w:rsidRPr="00D76E3B">
        <w:rPr>
          <w:sz w:val="16"/>
          <w:szCs w:val="16"/>
        </w:rPr>
        <w:t>D153-P501 and AV006 data are for subjects who received two doses of study vaccine.</w:t>
      </w:r>
    </w:p>
    <w:p w14:paraId="2B0143FA" w14:textId="77777777" w:rsidR="00D76E3B" w:rsidRPr="00D76E3B" w:rsidRDefault="00CE0060" w:rsidP="00D76E3B">
      <w:pPr>
        <w:pStyle w:val="A-TableFootnoteText"/>
        <w:rPr>
          <w:bCs/>
          <w:sz w:val="16"/>
          <w:szCs w:val="16"/>
        </w:rPr>
      </w:pPr>
      <w:proofErr w:type="gramStart"/>
      <w:r>
        <w:rPr>
          <w:sz w:val="16"/>
          <w:szCs w:val="16"/>
          <w:vertAlign w:val="superscript"/>
        </w:rPr>
        <w:t>b</w:t>
      </w:r>
      <w:proofErr w:type="gramEnd"/>
      <w:r w:rsidR="00D76E3B" w:rsidRPr="00D76E3B">
        <w:rPr>
          <w:sz w:val="16"/>
          <w:szCs w:val="16"/>
          <w:vertAlign w:val="superscript"/>
        </w:rPr>
        <w:tab/>
      </w:r>
      <w:r w:rsidR="00D76E3B" w:rsidRPr="00D76E3B">
        <w:rPr>
          <w:bCs/>
          <w:sz w:val="16"/>
          <w:szCs w:val="16"/>
        </w:rPr>
        <w:t xml:space="preserve">For </w:t>
      </w:r>
      <w:r w:rsidR="00D76E3B" w:rsidRPr="00D76E3B">
        <w:rPr>
          <w:sz w:val="16"/>
          <w:szCs w:val="16"/>
        </w:rPr>
        <w:t>D153-P501</w:t>
      </w:r>
      <w:r w:rsidR="00D76E3B" w:rsidRPr="00D76E3B">
        <w:rPr>
          <w:bCs/>
          <w:sz w:val="16"/>
          <w:szCs w:val="16"/>
        </w:rPr>
        <w:t>, influenza circulated through 12 months following vaccination.</w:t>
      </w:r>
    </w:p>
    <w:p w14:paraId="6A99A5DC" w14:textId="77777777" w:rsidR="00D76E3B" w:rsidRPr="00D76E3B" w:rsidRDefault="00CE0060" w:rsidP="00D76E3B">
      <w:pPr>
        <w:pStyle w:val="A-TableFootnoteText"/>
        <w:rPr>
          <w:sz w:val="16"/>
          <w:szCs w:val="16"/>
        </w:rPr>
      </w:pPr>
      <w:r>
        <w:rPr>
          <w:sz w:val="16"/>
          <w:szCs w:val="16"/>
          <w:vertAlign w:val="superscript"/>
          <w:lang w:val="pt-BR"/>
        </w:rPr>
        <w:t>c</w:t>
      </w:r>
      <w:r w:rsidR="00D76E3B" w:rsidRPr="00D76E3B">
        <w:rPr>
          <w:sz w:val="16"/>
          <w:szCs w:val="16"/>
          <w:vertAlign w:val="superscript"/>
          <w:lang w:val="pt-BR"/>
        </w:rPr>
        <w:tab/>
      </w:r>
      <w:r w:rsidR="00D76E3B" w:rsidRPr="00D76E3B">
        <w:rPr>
          <w:bCs/>
          <w:sz w:val="16"/>
          <w:szCs w:val="16"/>
          <w:lang w:val="pt-BR"/>
        </w:rPr>
        <w:t xml:space="preserve">Estimate includes A/H1N1 and A/H1N2 strains. </w:t>
      </w:r>
      <w:r w:rsidR="00D76E3B" w:rsidRPr="00D76E3B">
        <w:rPr>
          <w:bCs/>
          <w:sz w:val="16"/>
          <w:szCs w:val="16"/>
        </w:rPr>
        <w:t>Both were considered antigenically similar to the vaccine.</w:t>
      </w:r>
    </w:p>
    <w:p w14:paraId="237CD32C" w14:textId="0CF6474D" w:rsidR="00E64437" w:rsidRDefault="00E64437" w:rsidP="00E64437">
      <w:r>
        <w:t xml:space="preserve">During the second year of Study AV006, the primary circulating strain was the A/Sydney/05/97 H3N2 strain, which was antigenically dissimilar from the H3N2 strain represented in the vaccine, A/Wuhan/359/95; trivalent version of </w:t>
      </w:r>
      <w:proofErr w:type="spellStart"/>
      <w:r w:rsidR="00095EAF">
        <w:t>FluMist</w:t>
      </w:r>
      <w:proofErr w:type="spellEnd"/>
      <w:r w:rsidR="00095EAF">
        <w:t xml:space="preserve"> </w:t>
      </w:r>
      <w:r>
        <w:t>demonstrated 87.0% (95% CI: 77.0, 92.6) efficacy against culture-confirmed influenza illness.</w:t>
      </w:r>
    </w:p>
    <w:p w14:paraId="06BE0831" w14:textId="5F1A127D" w:rsidR="00E64437" w:rsidRPr="00D76E3B" w:rsidRDefault="00E64437" w:rsidP="00D76E3B">
      <w:pPr>
        <w:pStyle w:val="A-TableTitle"/>
      </w:pPr>
      <w:bookmarkStart w:id="5" w:name="_Ref412552985"/>
      <w:r w:rsidRPr="00D76E3B">
        <w:lastRenderedPageBreak/>
        <w:t xml:space="preserve">Table </w:t>
      </w:r>
      <w:r w:rsidR="00E8575B">
        <w:fldChar w:fldCharType="begin"/>
      </w:r>
      <w:r w:rsidR="00E8575B">
        <w:instrText xml:space="preserve"> SEQ Table \* ARABIC </w:instrText>
      </w:r>
      <w:r w:rsidR="00E8575B">
        <w:fldChar w:fldCharType="separate"/>
      </w:r>
      <w:r w:rsidR="009F6AAA">
        <w:rPr>
          <w:noProof/>
        </w:rPr>
        <w:t>3</w:t>
      </w:r>
      <w:r w:rsidR="00E8575B">
        <w:rPr>
          <w:noProof/>
        </w:rPr>
        <w:fldChar w:fldCharType="end"/>
      </w:r>
      <w:bookmarkEnd w:id="5"/>
      <w:r w:rsidRPr="00D76E3B">
        <w:tab/>
        <w:t xml:space="preserve">Trivalent version of </w:t>
      </w:r>
      <w:proofErr w:type="spellStart"/>
      <w:r w:rsidR="00095EAF" w:rsidRPr="00D76E3B">
        <w:t>FluMist</w:t>
      </w:r>
      <w:proofErr w:type="spellEnd"/>
      <w:r w:rsidR="00095EAF" w:rsidRPr="00D76E3B">
        <w:t xml:space="preserve"> </w:t>
      </w:r>
      <w:r w:rsidRPr="00D76E3B">
        <w:t xml:space="preserve">relative efficacy in active-controlled paediatric studies with injectable </w:t>
      </w:r>
      <w:r w:rsidR="00C766F6">
        <w:t xml:space="preserve">trivalent inactivated </w:t>
      </w:r>
      <w:r w:rsidRPr="00D76E3B">
        <w:t>influenza vaccine</w:t>
      </w:r>
      <w:r w:rsidR="00C766F6">
        <w:t xml:space="preserve"> (TIV)</w:t>
      </w:r>
    </w:p>
    <w:tbl>
      <w:tblPr>
        <w:tblW w:w="0" w:type="auto"/>
        <w:tblLayout w:type="fixed"/>
        <w:tblLook w:val="0000" w:firstRow="0" w:lastRow="0" w:firstColumn="0" w:lastColumn="0" w:noHBand="0" w:noVBand="0"/>
        <w:tblDescription w:val="Table 3 is a list of trivalent version of FluMist relative efficacy in active-controlled paediatric studies with injectable trivalent inactivated influenza vaccine (TIV)"/>
      </w:tblPr>
      <w:tblGrid>
        <w:gridCol w:w="1242"/>
        <w:gridCol w:w="1418"/>
        <w:gridCol w:w="850"/>
        <w:gridCol w:w="709"/>
        <w:gridCol w:w="1134"/>
        <w:gridCol w:w="1701"/>
        <w:gridCol w:w="1952"/>
      </w:tblGrid>
      <w:tr w:rsidR="00641166" w:rsidRPr="00641166" w14:paraId="22F86915" w14:textId="77777777" w:rsidTr="00641166">
        <w:trPr>
          <w:cantSplit/>
          <w:tblHeader/>
        </w:trPr>
        <w:tc>
          <w:tcPr>
            <w:tcW w:w="1242" w:type="dxa"/>
            <w:vMerge w:val="restart"/>
            <w:tcBorders>
              <w:top w:val="single" w:sz="12" w:space="0" w:color="auto"/>
            </w:tcBorders>
            <w:shd w:val="clear" w:color="auto" w:fill="auto"/>
          </w:tcPr>
          <w:p w14:paraId="434D0509" w14:textId="77777777" w:rsidR="00641166" w:rsidRPr="00641166" w:rsidRDefault="00641166" w:rsidP="00641166">
            <w:pPr>
              <w:pStyle w:val="A-TableHeader"/>
              <w:jc w:val="both"/>
            </w:pPr>
            <w:r>
              <w:t>Study n</w:t>
            </w:r>
            <w:r w:rsidRPr="00641166">
              <w:t>umber</w:t>
            </w:r>
          </w:p>
        </w:tc>
        <w:tc>
          <w:tcPr>
            <w:tcW w:w="1418" w:type="dxa"/>
            <w:vMerge w:val="restart"/>
            <w:tcBorders>
              <w:top w:val="single" w:sz="12" w:space="0" w:color="auto"/>
            </w:tcBorders>
            <w:shd w:val="clear" w:color="auto" w:fill="auto"/>
          </w:tcPr>
          <w:p w14:paraId="7CC6FDD0" w14:textId="77777777" w:rsidR="00641166" w:rsidRPr="00641166" w:rsidRDefault="00641166" w:rsidP="00641166">
            <w:pPr>
              <w:pStyle w:val="A-TableHeader"/>
              <w:jc w:val="both"/>
            </w:pPr>
            <w:r w:rsidRPr="00641166">
              <w:t>Region</w:t>
            </w:r>
          </w:p>
        </w:tc>
        <w:tc>
          <w:tcPr>
            <w:tcW w:w="850" w:type="dxa"/>
            <w:vMerge w:val="restart"/>
            <w:tcBorders>
              <w:top w:val="single" w:sz="12" w:space="0" w:color="auto"/>
            </w:tcBorders>
            <w:shd w:val="clear" w:color="auto" w:fill="auto"/>
          </w:tcPr>
          <w:p w14:paraId="790402B4" w14:textId="77777777" w:rsidR="00641166" w:rsidRPr="00641166" w:rsidRDefault="00641166" w:rsidP="00D34F9C">
            <w:pPr>
              <w:pStyle w:val="A-TableHeader"/>
              <w:jc w:val="center"/>
            </w:pPr>
            <w:r>
              <w:t>Age r</w:t>
            </w:r>
            <w:r w:rsidRPr="00641166">
              <w:t>ange</w:t>
            </w:r>
          </w:p>
        </w:tc>
        <w:tc>
          <w:tcPr>
            <w:tcW w:w="709" w:type="dxa"/>
            <w:vMerge w:val="restart"/>
            <w:tcBorders>
              <w:top w:val="single" w:sz="12" w:space="0" w:color="auto"/>
            </w:tcBorders>
            <w:shd w:val="clear" w:color="auto" w:fill="auto"/>
          </w:tcPr>
          <w:p w14:paraId="29E8B432" w14:textId="77777777" w:rsidR="00641166" w:rsidRPr="00641166" w:rsidRDefault="00641166" w:rsidP="00D34F9C">
            <w:pPr>
              <w:pStyle w:val="A-TableHeader"/>
              <w:jc w:val="center"/>
            </w:pPr>
            <w:r w:rsidRPr="00D34F9C">
              <w:t>N</w:t>
            </w:r>
          </w:p>
        </w:tc>
        <w:tc>
          <w:tcPr>
            <w:tcW w:w="1134" w:type="dxa"/>
            <w:vMerge w:val="restart"/>
            <w:tcBorders>
              <w:top w:val="single" w:sz="12" w:space="0" w:color="auto"/>
            </w:tcBorders>
            <w:shd w:val="clear" w:color="auto" w:fill="auto"/>
          </w:tcPr>
          <w:p w14:paraId="5F559EEE" w14:textId="77777777" w:rsidR="00641166" w:rsidRPr="00641166" w:rsidRDefault="00641166" w:rsidP="00D34F9C">
            <w:pPr>
              <w:pStyle w:val="A-TableHeader"/>
              <w:jc w:val="center"/>
            </w:pPr>
            <w:r>
              <w:t>Influenza s</w:t>
            </w:r>
            <w:r w:rsidRPr="00641166">
              <w:t>eason</w:t>
            </w:r>
          </w:p>
        </w:tc>
        <w:tc>
          <w:tcPr>
            <w:tcW w:w="3653" w:type="dxa"/>
            <w:gridSpan w:val="2"/>
            <w:tcBorders>
              <w:top w:val="single" w:sz="12" w:space="0" w:color="auto"/>
              <w:bottom w:val="single" w:sz="4" w:space="0" w:color="auto"/>
            </w:tcBorders>
            <w:shd w:val="clear" w:color="auto" w:fill="auto"/>
          </w:tcPr>
          <w:p w14:paraId="72BEF636" w14:textId="77777777" w:rsidR="00641166" w:rsidRPr="00641166" w:rsidRDefault="00496C49" w:rsidP="00D34F9C">
            <w:pPr>
              <w:pStyle w:val="A-TableHeader"/>
              <w:jc w:val="center"/>
            </w:pPr>
            <w:bookmarkStart w:id="6" w:name="TableNoteMarker__5"/>
            <w:r>
              <w:t xml:space="preserve">Improved </w:t>
            </w:r>
            <w:proofErr w:type="spellStart"/>
            <w:r>
              <w:t>e</w:t>
            </w:r>
            <w:r w:rsidR="00CE0060">
              <w:t>fficacy</w:t>
            </w:r>
            <w:bookmarkEnd w:id="6"/>
            <w:r w:rsidR="00CE0060">
              <w:rPr>
                <w:vertAlign w:val="superscript"/>
              </w:rPr>
              <w:t>a</w:t>
            </w:r>
            <w:proofErr w:type="spellEnd"/>
            <w:r w:rsidR="00CE0060" w:rsidRPr="00641166">
              <w:t xml:space="preserve"> </w:t>
            </w:r>
            <w:r w:rsidR="00641166" w:rsidRPr="00641166">
              <w:t>(95% CI)</w:t>
            </w:r>
          </w:p>
        </w:tc>
      </w:tr>
      <w:tr w:rsidR="00641166" w:rsidRPr="00641166" w14:paraId="09B30FD0" w14:textId="77777777" w:rsidTr="00D34F9C">
        <w:trPr>
          <w:cantSplit/>
          <w:tblHeader/>
        </w:trPr>
        <w:tc>
          <w:tcPr>
            <w:tcW w:w="1242" w:type="dxa"/>
            <w:vMerge/>
            <w:tcBorders>
              <w:bottom w:val="single" w:sz="12" w:space="0" w:color="auto"/>
            </w:tcBorders>
            <w:shd w:val="clear" w:color="auto" w:fill="auto"/>
          </w:tcPr>
          <w:p w14:paraId="2EE42106" w14:textId="77777777" w:rsidR="00641166" w:rsidRDefault="00641166" w:rsidP="00641166">
            <w:pPr>
              <w:pStyle w:val="A-TableHeader"/>
            </w:pPr>
          </w:p>
        </w:tc>
        <w:tc>
          <w:tcPr>
            <w:tcW w:w="1418" w:type="dxa"/>
            <w:vMerge/>
            <w:tcBorders>
              <w:bottom w:val="single" w:sz="12" w:space="0" w:color="auto"/>
            </w:tcBorders>
            <w:shd w:val="clear" w:color="auto" w:fill="auto"/>
          </w:tcPr>
          <w:p w14:paraId="00D3A738" w14:textId="77777777" w:rsidR="00641166" w:rsidRPr="00641166" w:rsidRDefault="00641166" w:rsidP="00641166">
            <w:pPr>
              <w:pStyle w:val="A-TableHeader"/>
            </w:pPr>
          </w:p>
        </w:tc>
        <w:tc>
          <w:tcPr>
            <w:tcW w:w="850" w:type="dxa"/>
            <w:vMerge/>
            <w:tcBorders>
              <w:bottom w:val="single" w:sz="12" w:space="0" w:color="auto"/>
            </w:tcBorders>
            <w:shd w:val="clear" w:color="auto" w:fill="auto"/>
          </w:tcPr>
          <w:p w14:paraId="52C2C01F" w14:textId="77777777" w:rsidR="00641166" w:rsidRDefault="00641166" w:rsidP="00D34F9C">
            <w:pPr>
              <w:pStyle w:val="A-TableHeader"/>
              <w:jc w:val="center"/>
            </w:pPr>
          </w:p>
        </w:tc>
        <w:tc>
          <w:tcPr>
            <w:tcW w:w="709" w:type="dxa"/>
            <w:vMerge/>
            <w:tcBorders>
              <w:bottom w:val="single" w:sz="12" w:space="0" w:color="auto"/>
            </w:tcBorders>
            <w:shd w:val="clear" w:color="auto" w:fill="auto"/>
          </w:tcPr>
          <w:p w14:paraId="1451489F" w14:textId="77777777" w:rsidR="00641166" w:rsidRDefault="00641166" w:rsidP="00D34F9C">
            <w:pPr>
              <w:pStyle w:val="A-TableHeader"/>
              <w:jc w:val="center"/>
            </w:pPr>
          </w:p>
        </w:tc>
        <w:tc>
          <w:tcPr>
            <w:tcW w:w="1134" w:type="dxa"/>
            <w:vMerge/>
            <w:tcBorders>
              <w:bottom w:val="single" w:sz="12" w:space="0" w:color="auto"/>
            </w:tcBorders>
            <w:shd w:val="clear" w:color="auto" w:fill="auto"/>
          </w:tcPr>
          <w:p w14:paraId="0D5BB529" w14:textId="77777777" w:rsidR="00641166" w:rsidRDefault="00641166" w:rsidP="00D34F9C">
            <w:pPr>
              <w:pStyle w:val="A-TableHeader"/>
              <w:jc w:val="center"/>
            </w:pPr>
          </w:p>
        </w:tc>
        <w:tc>
          <w:tcPr>
            <w:tcW w:w="1701" w:type="dxa"/>
            <w:tcBorders>
              <w:top w:val="single" w:sz="4" w:space="0" w:color="auto"/>
              <w:bottom w:val="single" w:sz="12" w:space="0" w:color="auto"/>
            </w:tcBorders>
            <w:shd w:val="clear" w:color="auto" w:fill="auto"/>
          </w:tcPr>
          <w:p w14:paraId="12419E9E" w14:textId="77777777" w:rsidR="00641166" w:rsidRPr="00641166" w:rsidRDefault="00641166" w:rsidP="00D34F9C">
            <w:pPr>
              <w:pStyle w:val="A-TableHeader"/>
              <w:jc w:val="center"/>
            </w:pPr>
            <w:r w:rsidRPr="00641166">
              <w:t>Matched strains</w:t>
            </w:r>
          </w:p>
        </w:tc>
        <w:tc>
          <w:tcPr>
            <w:tcW w:w="1952" w:type="dxa"/>
            <w:tcBorders>
              <w:top w:val="single" w:sz="4" w:space="0" w:color="auto"/>
              <w:bottom w:val="single" w:sz="12" w:space="0" w:color="auto"/>
            </w:tcBorders>
            <w:shd w:val="clear" w:color="auto" w:fill="auto"/>
          </w:tcPr>
          <w:p w14:paraId="7A6EDA21" w14:textId="77777777" w:rsidR="00641166" w:rsidRPr="00641166" w:rsidRDefault="00641166" w:rsidP="00D34F9C">
            <w:pPr>
              <w:pStyle w:val="A-TableHeader"/>
              <w:jc w:val="center"/>
            </w:pPr>
            <w:r w:rsidRPr="00641166">
              <w:t>All strains regardless of match</w:t>
            </w:r>
          </w:p>
        </w:tc>
      </w:tr>
      <w:tr w:rsidR="00641166" w:rsidRPr="00116DE3" w14:paraId="3B7E74AD" w14:textId="77777777" w:rsidTr="00D34F9C">
        <w:trPr>
          <w:cantSplit/>
        </w:trPr>
        <w:tc>
          <w:tcPr>
            <w:tcW w:w="1242" w:type="dxa"/>
            <w:tcBorders>
              <w:top w:val="single" w:sz="12" w:space="0" w:color="auto"/>
              <w:bottom w:val="single" w:sz="4" w:space="0" w:color="auto"/>
            </w:tcBorders>
            <w:shd w:val="clear" w:color="auto" w:fill="auto"/>
          </w:tcPr>
          <w:p w14:paraId="357260BA" w14:textId="77777777" w:rsidR="00641166" w:rsidRPr="00116DE3" w:rsidRDefault="00641166" w:rsidP="00641166">
            <w:pPr>
              <w:pStyle w:val="A-TableText"/>
              <w:spacing w:line="240" w:lineRule="auto"/>
              <w:rPr>
                <w:sz w:val="18"/>
                <w:szCs w:val="18"/>
              </w:rPr>
            </w:pPr>
            <w:r w:rsidRPr="00116DE3">
              <w:rPr>
                <w:sz w:val="18"/>
                <w:szCs w:val="18"/>
              </w:rPr>
              <w:t>MI-CP111</w:t>
            </w:r>
            <w:r w:rsidR="00FF7F0C" w:rsidRPr="00116DE3">
              <w:rPr>
                <w:sz w:val="18"/>
                <w:szCs w:val="18"/>
              </w:rPr>
              <w:br/>
              <w:t>(</w:t>
            </w:r>
            <w:proofErr w:type="spellStart"/>
            <w:r w:rsidR="00FF7F0C" w:rsidRPr="00116DE3">
              <w:rPr>
                <w:sz w:val="18"/>
                <w:szCs w:val="18"/>
              </w:rPr>
              <w:t>Belshe</w:t>
            </w:r>
            <w:proofErr w:type="spellEnd"/>
            <w:r w:rsidR="00FF7F0C" w:rsidRPr="00116DE3">
              <w:rPr>
                <w:sz w:val="18"/>
                <w:szCs w:val="18"/>
              </w:rPr>
              <w:t xml:space="preserve"> et al 2007)</w:t>
            </w:r>
          </w:p>
        </w:tc>
        <w:tc>
          <w:tcPr>
            <w:tcW w:w="1418" w:type="dxa"/>
            <w:tcBorders>
              <w:top w:val="single" w:sz="12" w:space="0" w:color="auto"/>
              <w:bottom w:val="single" w:sz="4" w:space="0" w:color="auto"/>
            </w:tcBorders>
            <w:shd w:val="clear" w:color="auto" w:fill="auto"/>
          </w:tcPr>
          <w:p w14:paraId="7FF581F4" w14:textId="77777777" w:rsidR="00641166" w:rsidRPr="00116DE3" w:rsidRDefault="00641166" w:rsidP="00DC7951">
            <w:pPr>
              <w:pStyle w:val="A-TableText"/>
              <w:spacing w:line="240" w:lineRule="auto"/>
              <w:rPr>
                <w:sz w:val="18"/>
                <w:szCs w:val="18"/>
              </w:rPr>
            </w:pPr>
            <w:r w:rsidRPr="00116DE3">
              <w:rPr>
                <w:sz w:val="18"/>
                <w:szCs w:val="18"/>
              </w:rPr>
              <w:t>USA, Europe, Asia/Oceania</w:t>
            </w:r>
          </w:p>
        </w:tc>
        <w:tc>
          <w:tcPr>
            <w:tcW w:w="850" w:type="dxa"/>
            <w:tcBorders>
              <w:top w:val="single" w:sz="12" w:space="0" w:color="auto"/>
              <w:bottom w:val="single" w:sz="4" w:space="0" w:color="auto"/>
            </w:tcBorders>
            <w:shd w:val="clear" w:color="auto" w:fill="auto"/>
          </w:tcPr>
          <w:p w14:paraId="08876B4D" w14:textId="77777777" w:rsidR="00641166" w:rsidRPr="00116DE3" w:rsidRDefault="00641166" w:rsidP="00D34F9C">
            <w:pPr>
              <w:pStyle w:val="A-TableText"/>
              <w:spacing w:line="240" w:lineRule="auto"/>
              <w:jc w:val="center"/>
              <w:rPr>
                <w:sz w:val="18"/>
                <w:szCs w:val="18"/>
              </w:rPr>
            </w:pPr>
            <w:r w:rsidRPr="00116DE3">
              <w:rPr>
                <w:sz w:val="18"/>
                <w:szCs w:val="18"/>
              </w:rPr>
              <w:t>6-59 M</w:t>
            </w:r>
          </w:p>
        </w:tc>
        <w:tc>
          <w:tcPr>
            <w:tcW w:w="709" w:type="dxa"/>
            <w:tcBorders>
              <w:top w:val="single" w:sz="12" w:space="0" w:color="auto"/>
              <w:bottom w:val="single" w:sz="4" w:space="0" w:color="auto"/>
            </w:tcBorders>
            <w:shd w:val="clear" w:color="auto" w:fill="auto"/>
          </w:tcPr>
          <w:p w14:paraId="4E2C0D9D" w14:textId="77777777" w:rsidR="00641166" w:rsidRPr="00116DE3" w:rsidRDefault="00641166" w:rsidP="00D34F9C">
            <w:pPr>
              <w:pStyle w:val="A-TableText"/>
              <w:spacing w:line="240" w:lineRule="auto"/>
              <w:jc w:val="center"/>
              <w:rPr>
                <w:sz w:val="18"/>
                <w:szCs w:val="18"/>
              </w:rPr>
            </w:pPr>
            <w:r w:rsidRPr="00116DE3">
              <w:rPr>
                <w:sz w:val="18"/>
                <w:szCs w:val="18"/>
              </w:rPr>
              <w:t>7852</w:t>
            </w:r>
          </w:p>
        </w:tc>
        <w:tc>
          <w:tcPr>
            <w:tcW w:w="1134" w:type="dxa"/>
            <w:tcBorders>
              <w:top w:val="single" w:sz="12" w:space="0" w:color="auto"/>
              <w:bottom w:val="single" w:sz="4" w:space="0" w:color="auto"/>
            </w:tcBorders>
            <w:shd w:val="clear" w:color="auto" w:fill="auto"/>
          </w:tcPr>
          <w:p w14:paraId="0B13130F" w14:textId="77777777" w:rsidR="00641166" w:rsidRPr="00116DE3" w:rsidRDefault="00641166" w:rsidP="00D34F9C">
            <w:pPr>
              <w:pStyle w:val="A-TableText"/>
              <w:spacing w:line="240" w:lineRule="auto"/>
              <w:jc w:val="center"/>
              <w:rPr>
                <w:sz w:val="18"/>
                <w:szCs w:val="18"/>
              </w:rPr>
            </w:pPr>
            <w:r w:rsidRPr="00116DE3">
              <w:rPr>
                <w:sz w:val="18"/>
                <w:szCs w:val="18"/>
              </w:rPr>
              <w:t>2004</w:t>
            </w:r>
            <w:r w:rsidRPr="00116DE3">
              <w:rPr>
                <w:sz w:val="18"/>
                <w:szCs w:val="18"/>
              </w:rPr>
              <w:noBreakHyphen/>
              <w:t>2005</w:t>
            </w:r>
          </w:p>
        </w:tc>
        <w:tc>
          <w:tcPr>
            <w:tcW w:w="1701" w:type="dxa"/>
            <w:tcBorders>
              <w:top w:val="single" w:sz="12" w:space="0" w:color="auto"/>
              <w:bottom w:val="single" w:sz="4" w:space="0" w:color="auto"/>
            </w:tcBorders>
            <w:shd w:val="clear" w:color="auto" w:fill="auto"/>
          </w:tcPr>
          <w:p w14:paraId="75CEE3D0" w14:textId="77777777" w:rsidR="00641166" w:rsidRPr="00116DE3" w:rsidRDefault="00641166" w:rsidP="00641166">
            <w:pPr>
              <w:pStyle w:val="A-TableText"/>
              <w:spacing w:line="240" w:lineRule="auto"/>
              <w:rPr>
                <w:sz w:val="18"/>
                <w:szCs w:val="18"/>
              </w:rPr>
            </w:pPr>
            <w:r w:rsidRPr="00116DE3">
              <w:rPr>
                <w:sz w:val="18"/>
                <w:szCs w:val="18"/>
              </w:rPr>
              <w:t>44.5% (22.4, 60.6)</w:t>
            </w:r>
          </w:p>
          <w:p w14:paraId="1D0699B3" w14:textId="77777777" w:rsidR="00641166" w:rsidRPr="00116DE3" w:rsidRDefault="00641166" w:rsidP="00641166">
            <w:pPr>
              <w:pStyle w:val="A-TableText"/>
              <w:spacing w:line="240" w:lineRule="auto"/>
              <w:rPr>
                <w:sz w:val="18"/>
                <w:szCs w:val="18"/>
              </w:rPr>
            </w:pPr>
            <w:r w:rsidRPr="00116DE3">
              <w:rPr>
                <w:sz w:val="18"/>
                <w:szCs w:val="18"/>
              </w:rPr>
              <w:t>fewer cases than injectable</w:t>
            </w:r>
          </w:p>
        </w:tc>
        <w:tc>
          <w:tcPr>
            <w:tcW w:w="1952" w:type="dxa"/>
            <w:tcBorders>
              <w:top w:val="single" w:sz="12" w:space="0" w:color="auto"/>
              <w:bottom w:val="single" w:sz="4" w:space="0" w:color="auto"/>
            </w:tcBorders>
            <w:shd w:val="clear" w:color="auto" w:fill="auto"/>
          </w:tcPr>
          <w:p w14:paraId="21433AAD" w14:textId="77777777" w:rsidR="00641166" w:rsidRPr="00116DE3" w:rsidRDefault="00641166" w:rsidP="00641166">
            <w:pPr>
              <w:pStyle w:val="A-TableText"/>
              <w:spacing w:line="240" w:lineRule="auto"/>
              <w:rPr>
                <w:sz w:val="18"/>
                <w:szCs w:val="18"/>
                <w:vertAlign w:val="superscript"/>
              </w:rPr>
            </w:pPr>
            <w:r w:rsidRPr="00116DE3">
              <w:rPr>
                <w:sz w:val="18"/>
                <w:szCs w:val="18"/>
              </w:rPr>
              <w:t>54.9% (45.4, 62.9)</w:t>
            </w:r>
            <w:r w:rsidR="00496C49" w:rsidRPr="00116DE3">
              <w:rPr>
                <w:sz w:val="18"/>
                <w:szCs w:val="18"/>
                <w:vertAlign w:val="superscript"/>
              </w:rPr>
              <w:t>b</w:t>
            </w:r>
          </w:p>
          <w:p w14:paraId="2B2EBFBD" w14:textId="77777777" w:rsidR="00641166" w:rsidRPr="00116DE3" w:rsidRDefault="00641166" w:rsidP="00641166">
            <w:pPr>
              <w:pStyle w:val="A-TableText"/>
              <w:spacing w:line="240" w:lineRule="auto"/>
              <w:rPr>
                <w:sz w:val="18"/>
                <w:szCs w:val="18"/>
              </w:rPr>
            </w:pPr>
            <w:r w:rsidRPr="00116DE3">
              <w:rPr>
                <w:sz w:val="18"/>
                <w:szCs w:val="18"/>
              </w:rPr>
              <w:t>fewer cases than injectable</w:t>
            </w:r>
          </w:p>
        </w:tc>
      </w:tr>
      <w:tr w:rsidR="00641166" w:rsidRPr="00116DE3" w14:paraId="1303DB10" w14:textId="77777777" w:rsidTr="00D34F9C">
        <w:trPr>
          <w:cantSplit/>
        </w:trPr>
        <w:tc>
          <w:tcPr>
            <w:tcW w:w="1242" w:type="dxa"/>
            <w:tcBorders>
              <w:top w:val="single" w:sz="4" w:space="0" w:color="auto"/>
              <w:bottom w:val="single" w:sz="4" w:space="0" w:color="auto"/>
            </w:tcBorders>
            <w:shd w:val="clear" w:color="auto" w:fill="auto"/>
          </w:tcPr>
          <w:p w14:paraId="7D4EE178" w14:textId="77777777" w:rsidR="00641166" w:rsidRPr="00116DE3" w:rsidRDefault="00641166" w:rsidP="00641166">
            <w:pPr>
              <w:pStyle w:val="A-TableText"/>
              <w:spacing w:line="240" w:lineRule="auto"/>
              <w:rPr>
                <w:sz w:val="18"/>
                <w:szCs w:val="18"/>
              </w:rPr>
            </w:pPr>
            <w:r w:rsidRPr="00116DE3">
              <w:rPr>
                <w:sz w:val="18"/>
                <w:szCs w:val="18"/>
              </w:rPr>
              <w:t>D153-P514</w:t>
            </w:r>
            <w:r w:rsidR="00FF7F0C" w:rsidRPr="00116DE3">
              <w:rPr>
                <w:sz w:val="18"/>
                <w:szCs w:val="18"/>
              </w:rPr>
              <w:br/>
              <w:t>(Ashkenazi et al 2006)</w:t>
            </w:r>
          </w:p>
        </w:tc>
        <w:tc>
          <w:tcPr>
            <w:tcW w:w="1418" w:type="dxa"/>
            <w:tcBorders>
              <w:top w:val="single" w:sz="4" w:space="0" w:color="auto"/>
              <w:bottom w:val="single" w:sz="4" w:space="0" w:color="auto"/>
            </w:tcBorders>
            <w:shd w:val="clear" w:color="auto" w:fill="auto"/>
          </w:tcPr>
          <w:p w14:paraId="562CA384" w14:textId="77777777" w:rsidR="00641166" w:rsidRPr="00116DE3" w:rsidRDefault="00641166" w:rsidP="00641166">
            <w:pPr>
              <w:pStyle w:val="A-TableText"/>
              <w:spacing w:line="240" w:lineRule="auto"/>
              <w:rPr>
                <w:sz w:val="18"/>
                <w:szCs w:val="18"/>
              </w:rPr>
            </w:pPr>
            <w:r w:rsidRPr="00116DE3">
              <w:rPr>
                <w:sz w:val="18"/>
                <w:szCs w:val="18"/>
              </w:rPr>
              <w:t>Europe</w:t>
            </w:r>
          </w:p>
        </w:tc>
        <w:tc>
          <w:tcPr>
            <w:tcW w:w="850" w:type="dxa"/>
            <w:tcBorders>
              <w:top w:val="single" w:sz="4" w:space="0" w:color="auto"/>
              <w:bottom w:val="single" w:sz="4" w:space="0" w:color="auto"/>
            </w:tcBorders>
            <w:shd w:val="clear" w:color="auto" w:fill="auto"/>
          </w:tcPr>
          <w:p w14:paraId="0989E097" w14:textId="77777777" w:rsidR="00641166" w:rsidRPr="00116DE3" w:rsidRDefault="00641166" w:rsidP="00D34F9C">
            <w:pPr>
              <w:pStyle w:val="A-TableText"/>
              <w:spacing w:line="240" w:lineRule="auto"/>
              <w:jc w:val="center"/>
              <w:rPr>
                <w:sz w:val="18"/>
                <w:szCs w:val="18"/>
              </w:rPr>
            </w:pPr>
            <w:r w:rsidRPr="00116DE3">
              <w:rPr>
                <w:sz w:val="18"/>
                <w:szCs w:val="18"/>
              </w:rPr>
              <w:t>6-71 M</w:t>
            </w:r>
          </w:p>
        </w:tc>
        <w:tc>
          <w:tcPr>
            <w:tcW w:w="709" w:type="dxa"/>
            <w:tcBorders>
              <w:top w:val="single" w:sz="4" w:space="0" w:color="auto"/>
              <w:bottom w:val="single" w:sz="4" w:space="0" w:color="auto"/>
            </w:tcBorders>
            <w:shd w:val="clear" w:color="auto" w:fill="auto"/>
          </w:tcPr>
          <w:p w14:paraId="0979A7F9" w14:textId="77777777" w:rsidR="00641166" w:rsidRPr="00116DE3" w:rsidRDefault="00641166" w:rsidP="00D34F9C">
            <w:pPr>
              <w:pStyle w:val="A-TableText"/>
              <w:spacing w:line="240" w:lineRule="auto"/>
              <w:jc w:val="center"/>
              <w:rPr>
                <w:sz w:val="18"/>
                <w:szCs w:val="18"/>
              </w:rPr>
            </w:pPr>
            <w:r w:rsidRPr="00116DE3">
              <w:rPr>
                <w:sz w:val="18"/>
                <w:szCs w:val="18"/>
                <w:lang w:val="fr-FR"/>
              </w:rPr>
              <w:t>2085</w:t>
            </w:r>
          </w:p>
        </w:tc>
        <w:tc>
          <w:tcPr>
            <w:tcW w:w="1134" w:type="dxa"/>
            <w:tcBorders>
              <w:top w:val="single" w:sz="4" w:space="0" w:color="auto"/>
              <w:bottom w:val="single" w:sz="4" w:space="0" w:color="auto"/>
            </w:tcBorders>
            <w:shd w:val="clear" w:color="auto" w:fill="auto"/>
          </w:tcPr>
          <w:p w14:paraId="1B2DA7E4" w14:textId="77777777" w:rsidR="00641166" w:rsidRPr="00116DE3" w:rsidRDefault="00641166" w:rsidP="00D34F9C">
            <w:pPr>
              <w:pStyle w:val="A-TableText"/>
              <w:spacing w:line="240" w:lineRule="auto"/>
              <w:jc w:val="center"/>
              <w:rPr>
                <w:sz w:val="18"/>
                <w:szCs w:val="18"/>
              </w:rPr>
            </w:pPr>
            <w:r w:rsidRPr="00116DE3">
              <w:rPr>
                <w:sz w:val="18"/>
                <w:szCs w:val="18"/>
              </w:rPr>
              <w:t>2002</w:t>
            </w:r>
            <w:r w:rsidRPr="00116DE3">
              <w:rPr>
                <w:sz w:val="18"/>
                <w:szCs w:val="18"/>
              </w:rPr>
              <w:noBreakHyphen/>
              <w:t>2003</w:t>
            </w:r>
          </w:p>
        </w:tc>
        <w:tc>
          <w:tcPr>
            <w:tcW w:w="1701" w:type="dxa"/>
            <w:tcBorders>
              <w:top w:val="single" w:sz="4" w:space="0" w:color="auto"/>
              <w:bottom w:val="single" w:sz="4" w:space="0" w:color="auto"/>
            </w:tcBorders>
            <w:shd w:val="clear" w:color="auto" w:fill="auto"/>
          </w:tcPr>
          <w:p w14:paraId="418EA4A7" w14:textId="77777777" w:rsidR="00641166" w:rsidRPr="00116DE3" w:rsidRDefault="00641166" w:rsidP="00641166">
            <w:pPr>
              <w:pStyle w:val="A-TableText"/>
              <w:spacing w:line="240" w:lineRule="auto"/>
              <w:rPr>
                <w:sz w:val="18"/>
                <w:szCs w:val="18"/>
              </w:rPr>
            </w:pPr>
            <w:r w:rsidRPr="00116DE3">
              <w:rPr>
                <w:sz w:val="18"/>
                <w:szCs w:val="18"/>
              </w:rPr>
              <w:t>52.7% (21.6, 72.2)</w:t>
            </w:r>
          </w:p>
          <w:p w14:paraId="184F77CE" w14:textId="77777777" w:rsidR="00641166" w:rsidRPr="00116DE3" w:rsidRDefault="00641166" w:rsidP="00641166">
            <w:pPr>
              <w:pStyle w:val="A-TableText"/>
              <w:spacing w:line="240" w:lineRule="auto"/>
              <w:rPr>
                <w:sz w:val="18"/>
                <w:szCs w:val="18"/>
              </w:rPr>
            </w:pPr>
            <w:r w:rsidRPr="00116DE3">
              <w:rPr>
                <w:sz w:val="18"/>
                <w:szCs w:val="18"/>
              </w:rPr>
              <w:t>fewer cases than injectable</w:t>
            </w:r>
          </w:p>
        </w:tc>
        <w:tc>
          <w:tcPr>
            <w:tcW w:w="1952" w:type="dxa"/>
            <w:tcBorders>
              <w:top w:val="single" w:sz="4" w:space="0" w:color="auto"/>
              <w:bottom w:val="single" w:sz="4" w:space="0" w:color="auto"/>
            </w:tcBorders>
            <w:shd w:val="clear" w:color="auto" w:fill="auto"/>
          </w:tcPr>
          <w:p w14:paraId="3BB3EB35" w14:textId="77777777" w:rsidR="00641166" w:rsidRPr="00116DE3" w:rsidRDefault="00641166" w:rsidP="00641166">
            <w:pPr>
              <w:pStyle w:val="A-TableText"/>
              <w:spacing w:line="240" w:lineRule="auto"/>
              <w:rPr>
                <w:sz w:val="18"/>
                <w:szCs w:val="18"/>
                <w:vertAlign w:val="superscript"/>
              </w:rPr>
            </w:pPr>
            <w:r w:rsidRPr="00116DE3">
              <w:rPr>
                <w:sz w:val="18"/>
                <w:szCs w:val="18"/>
              </w:rPr>
              <w:t>52.4% (24.6, 70.5)</w:t>
            </w:r>
            <w:r w:rsidR="00496C49" w:rsidRPr="00116DE3">
              <w:rPr>
                <w:sz w:val="18"/>
                <w:szCs w:val="18"/>
                <w:vertAlign w:val="superscript"/>
              </w:rPr>
              <w:t>c</w:t>
            </w:r>
          </w:p>
          <w:p w14:paraId="00533423" w14:textId="77777777" w:rsidR="00641166" w:rsidRPr="00116DE3" w:rsidRDefault="00641166" w:rsidP="00641166">
            <w:pPr>
              <w:pStyle w:val="A-TableText"/>
              <w:spacing w:line="240" w:lineRule="auto"/>
              <w:rPr>
                <w:sz w:val="18"/>
                <w:szCs w:val="18"/>
              </w:rPr>
            </w:pPr>
            <w:r w:rsidRPr="00116DE3">
              <w:rPr>
                <w:sz w:val="18"/>
                <w:szCs w:val="18"/>
              </w:rPr>
              <w:t>fewer cases than injectable</w:t>
            </w:r>
          </w:p>
        </w:tc>
      </w:tr>
      <w:tr w:rsidR="00641166" w14:paraId="1AA3687A" w14:textId="77777777" w:rsidTr="00D34F9C">
        <w:trPr>
          <w:cantSplit/>
        </w:trPr>
        <w:tc>
          <w:tcPr>
            <w:tcW w:w="1242" w:type="dxa"/>
            <w:tcBorders>
              <w:top w:val="single" w:sz="4" w:space="0" w:color="auto"/>
              <w:bottom w:val="single" w:sz="12" w:space="0" w:color="auto"/>
            </w:tcBorders>
            <w:shd w:val="clear" w:color="auto" w:fill="auto"/>
          </w:tcPr>
          <w:p w14:paraId="15F7BF12" w14:textId="77777777" w:rsidR="00641166" w:rsidRPr="00116DE3" w:rsidRDefault="00641166" w:rsidP="00641166">
            <w:pPr>
              <w:pStyle w:val="A-TableText"/>
              <w:spacing w:line="240" w:lineRule="auto"/>
              <w:rPr>
                <w:sz w:val="18"/>
                <w:szCs w:val="18"/>
              </w:rPr>
            </w:pPr>
            <w:r w:rsidRPr="00116DE3">
              <w:rPr>
                <w:sz w:val="18"/>
                <w:szCs w:val="18"/>
              </w:rPr>
              <w:t>D153-P515</w:t>
            </w:r>
            <w:r w:rsidR="00FF7F0C" w:rsidRPr="00116DE3">
              <w:rPr>
                <w:sz w:val="18"/>
                <w:szCs w:val="18"/>
              </w:rPr>
              <w:br/>
              <w:t>(Fleming et al 2006)</w:t>
            </w:r>
          </w:p>
        </w:tc>
        <w:tc>
          <w:tcPr>
            <w:tcW w:w="1418" w:type="dxa"/>
            <w:tcBorders>
              <w:top w:val="single" w:sz="4" w:space="0" w:color="auto"/>
              <w:bottom w:val="single" w:sz="12" w:space="0" w:color="auto"/>
            </w:tcBorders>
            <w:shd w:val="clear" w:color="auto" w:fill="auto"/>
          </w:tcPr>
          <w:p w14:paraId="5C69D79B" w14:textId="77777777" w:rsidR="00641166" w:rsidRPr="00116DE3" w:rsidRDefault="00641166" w:rsidP="00641166">
            <w:pPr>
              <w:pStyle w:val="A-TableText"/>
              <w:spacing w:line="240" w:lineRule="auto"/>
              <w:rPr>
                <w:sz w:val="18"/>
                <w:szCs w:val="18"/>
              </w:rPr>
            </w:pPr>
            <w:r w:rsidRPr="00116DE3">
              <w:rPr>
                <w:sz w:val="18"/>
                <w:szCs w:val="18"/>
              </w:rPr>
              <w:t>Europe</w:t>
            </w:r>
          </w:p>
        </w:tc>
        <w:tc>
          <w:tcPr>
            <w:tcW w:w="850" w:type="dxa"/>
            <w:tcBorders>
              <w:top w:val="single" w:sz="4" w:space="0" w:color="auto"/>
              <w:bottom w:val="single" w:sz="12" w:space="0" w:color="auto"/>
            </w:tcBorders>
            <w:shd w:val="clear" w:color="auto" w:fill="auto"/>
          </w:tcPr>
          <w:p w14:paraId="63813EF0" w14:textId="77777777" w:rsidR="00641166" w:rsidRPr="00116DE3" w:rsidRDefault="00641166" w:rsidP="00D34F9C">
            <w:pPr>
              <w:pStyle w:val="A-TableText"/>
              <w:spacing w:line="240" w:lineRule="auto"/>
              <w:jc w:val="center"/>
              <w:rPr>
                <w:sz w:val="18"/>
                <w:szCs w:val="18"/>
              </w:rPr>
            </w:pPr>
            <w:r w:rsidRPr="00116DE3">
              <w:rPr>
                <w:sz w:val="18"/>
                <w:szCs w:val="18"/>
              </w:rPr>
              <w:t>6-17 Y</w:t>
            </w:r>
          </w:p>
        </w:tc>
        <w:tc>
          <w:tcPr>
            <w:tcW w:w="709" w:type="dxa"/>
            <w:tcBorders>
              <w:top w:val="single" w:sz="4" w:space="0" w:color="auto"/>
              <w:bottom w:val="single" w:sz="12" w:space="0" w:color="auto"/>
            </w:tcBorders>
            <w:shd w:val="clear" w:color="auto" w:fill="auto"/>
          </w:tcPr>
          <w:p w14:paraId="7058633D" w14:textId="77777777" w:rsidR="00641166" w:rsidRPr="00116DE3" w:rsidRDefault="00641166" w:rsidP="00D34F9C">
            <w:pPr>
              <w:pStyle w:val="A-TableText"/>
              <w:spacing w:line="240" w:lineRule="auto"/>
              <w:jc w:val="center"/>
              <w:rPr>
                <w:sz w:val="18"/>
                <w:szCs w:val="18"/>
              </w:rPr>
            </w:pPr>
            <w:r w:rsidRPr="00116DE3">
              <w:rPr>
                <w:sz w:val="18"/>
                <w:szCs w:val="18"/>
                <w:lang w:val="fr-FR"/>
              </w:rPr>
              <w:t>2211</w:t>
            </w:r>
          </w:p>
        </w:tc>
        <w:tc>
          <w:tcPr>
            <w:tcW w:w="1134" w:type="dxa"/>
            <w:tcBorders>
              <w:top w:val="single" w:sz="4" w:space="0" w:color="auto"/>
              <w:bottom w:val="single" w:sz="12" w:space="0" w:color="auto"/>
            </w:tcBorders>
            <w:shd w:val="clear" w:color="auto" w:fill="auto"/>
          </w:tcPr>
          <w:p w14:paraId="09E40423" w14:textId="77777777" w:rsidR="00641166" w:rsidRPr="00116DE3" w:rsidRDefault="00641166" w:rsidP="00D34F9C">
            <w:pPr>
              <w:pStyle w:val="A-TableText"/>
              <w:spacing w:line="240" w:lineRule="auto"/>
              <w:jc w:val="center"/>
              <w:rPr>
                <w:sz w:val="18"/>
                <w:szCs w:val="18"/>
              </w:rPr>
            </w:pPr>
            <w:r w:rsidRPr="00116DE3">
              <w:rPr>
                <w:sz w:val="18"/>
                <w:szCs w:val="18"/>
              </w:rPr>
              <w:t>2002</w:t>
            </w:r>
            <w:r w:rsidRPr="00116DE3">
              <w:rPr>
                <w:sz w:val="18"/>
                <w:szCs w:val="18"/>
              </w:rPr>
              <w:noBreakHyphen/>
              <w:t>2003</w:t>
            </w:r>
          </w:p>
        </w:tc>
        <w:tc>
          <w:tcPr>
            <w:tcW w:w="1701" w:type="dxa"/>
            <w:tcBorders>
              <w:top w:val="single" w:sz="4" w:space="0" w:color="auto"/>
              <w:bottom w:val="single" w:sz="12" w:space="0" w:color="auto"/>
            </w:tcBorders>
            <w:shd w:val="clear" w:color="auto" w:fill="auto"/>
          </w:tcPr>
          <w:p w14:paraId="0B7F78A0" w14:textId="77777777" w:rsidR="00641166" w:rsidRPr="00116DE3" w:rsidRDefault="00641166" w:rsidP="00641166">
            <w:pPr>
              <w:pStyle w:val="A-TableText"/>
              <w:spacing w:line="240" w:lineRule="auto"/>
              <w:rPr>
                <w:sz w:val="18"/>
                <w:szCs w:val="18"/>
              </w:rPr>
            </w:pPr>
            <w:r w:rsidRPr="00116DE3">
              <w:rPr>
                <w:sz w:val="18"/>
                <w:szCs w:val="18"/>
              </w:rPr>
              <w:t>34.7% (3.9, 56.0)</w:t>
            </w:r>
          </w:p>
          <w:p w14:paraId="344357A9" w14:textId="77777777" w:rsidR="00641166" w:rsidRPr="00116DE3" w:rsidRDefault="00641166" w:rsidP="00641166">
            <w:pPr>
              <w:pStyle w:val="A-TableText"/>
              <w:spacing w:line="240" w:lineRule="auto"/>
              <w:rPr>
                <w:sz w:val="18"/>
                <w:szCs w:val="18"/>
              </w:rPr>
            </w:pPr>
            <w:r w:rsidRPr="00116DE3">
              <w:rPr>
                <w:sz w:val="18"/>
                <w:szCs w:val="18"/>
              </w:rPr>
              <w:t>fewer cases than injectable</w:t>
            </w:r>
          </w:p>
        </w:tc>
        <w:tc>
          <w:tcPr>
            <w:tcW w:w="1952" w:type="dxa"/>
            <w:tcBorders>
              <w:top w:val="single" w:sz="4" w:space="0" w:color="auto"/>
              <w:bottom w:val="single" w:sz="12" w:space="0" w:color="auto"/>
            </w:tcBorders>
            <w:shd w:val="clear" w:color="auto" w:fill="auto"/>
          </w:tcPr>
          <w:p w14:paraId="1686B774" w14:textId="77777777" w:rsidR="00641166" w:rsidRPr="00116DE3" w:rsidRDefault="00641166" w:rsidP="00641166">
            <w:pPr>
              <w:pStyle w:val="A-TableText"/>
              <w:spacing w:line="240" w:lineRule="auto"/>
              <w:rPr>
                <w:sz w:val="18"/>
                <w:szCs w:val="18"/>
              </w:rPr>
            </w:pPr>
            <w:r w:rsidRPr="00116DE3">
              <w:rPr>
                <w:sz w:val="18"/>
                <w:szCs w:val="18"/>
              </w:rPr>
              <w:t>31.9% (1.1, 53.5)</w:t>
            </w:r>
          </w:p>
          <w:p w14:paraId="49389470" w14:textId="77777777" w:rsidR="00641166" w:rsidRPr="00641166" w:rsidRDefault="00641166" w:rsidP="00641166">
            <w:pPr>
              <w:pStyle w:val="A-TableText"/>
              <w:spacing w:line="240" w:lineRule="auto"/>
              <w:rPr>
                <w:sz w:val="18"/>
                <w:szCs w:val="18"/>
              </w:rPr>
            </w:pPr>
            <w:r w:rsidRPr="00116DE3">
              <w:rPr>
                <w:sz w:val="18"/>
                <w:szCs w:val="18"/>
              </w:rPr>
              <w:t>fewer cases than injectable</w:t>
            </w:r>
          </w:p>
        </w:tc>
      </w:tr>
    </w:tbl>
    <w:p w14:paraId="09EBD75B" w14:textId="289FD1CD" w:rsidR="00641166" w:rsidRPr="00CE0060" w:rsidRDefault="00641166" w:rsidP="00641166">
      <w:pPr>
        <w:pStyle w:val="A-TableFootnoteText"/>
        <w:rPr>
          <w:sz w:val="16"/>
          <w:szCs w:val="16"/>
        </w:rPr>
      </w:pPr>
      <w:r w:rsidRPr="00CE0060">
        <w:rPr>
          <w:sz w:val="16"/>
          <w:szCs w:val="16"/>
        </w:rPr>
        <w:t xml:space="preserve">M </w:t>
      </w:r>
      <w:r w:rsidR="00CE0060" w:rsidRPr="00CE0060">
        <w:rPr>
          <w:sz w:val="16"/>
          <w:szCs w:val="16"/>
        </w:rPr>
        <w:t>–</w:t>
      </w:r>
      <w:r w:rsidRPr="00CE0060">
        <w:rPr>
          <w:sz w:val="16"/>
          <w:szCs w:val="16"/>
        </w:rPr>
        <w:t xml:space="preserve"> </w:t>
      </w:r>
      <w:proofErr w:type="gramStart"/>
      <w:r w:rsidRPr="00CE0060">
        <w:rPr>
          <w:sz w:val="16"/>
          <w:szCs w:val="16"/>
        </w:rPr>
        <w:t>months</w:t>
      </w:r>
      <w:proofErr w:type="gramEnd"/>
      <w:r w:rsidR="00CE0060" w:rsidRPr="00CE0060">
        <w:rPr>
          <w:sz w:val="16"/>
          <w:szCs w:val="16"/>
        </w:rPr>
        <w:t xml:space="preserve">; </w:t>
      </w:r>
      <w:r w:rsidRPr="00CE0060">
        <w:rPr>
          <w:sz w:val="16"/>
          <w:szCs w:val="16"/>
        </w:rPr>
        <w:t xml:space="preserve">Y </w:t>
      </w:r>
      <w:r w:rsidR="00CE0060" w:rsidRPr="00CE0060">
        <w:rPr>
          <w:sz w:val="16"/>
          <w:szCs w:val="16"/>
        </w:rPr>
        <w:t>-</w:t>
      </w:r>
      <w:r w:rsidRPr="00CE0060">
        <w:rPr>
          <w:sz w:val="16"/>
          <w:szCs w:val="16"/>
        </w:rPr>
        <w:t xml:space="preserve"> years.</w:t>
      </w:r>
      <w:r w:rsidR="00B74ECF">
        <w:rPr>
          <w:sz w:val="16"/>
          <w:szCs w:val="16"/>
        </w:rPr>
        <w:t xml:space="preserve"> </w:t>
      </w:r>
      <w:r w:rsidRPr="00CE0060">
        <w:rPr>
          <w:sz w:val="16"/>
          <w:szCs w:val="16"/>
        </w:rPr>
        <w:t>Age range as described in the protocol for the study.</w:t>
      </w:r>
    </w:p>
    <w:p w14:paraId="37B17907" w14:textId="77777777" w:rsidR="00CE0060" w:rsidRPr="00CE0060" w:rsidRDefault="00CE0060" w:rsidP="00CE0060">
      <w:pPr>
        <w:pStyle w:val="A-TableFootnoteText"/>
        <w:rPr>
          <w:sz w:val="16"/>
          <w:szCs w:val="16"/>
        </w:rPr>
      </w:pPr>
      <w:r w:rsidRPr="00D34F9C">
        <w:rPr>
          <w:rStyle w:val="TableNote"/>
          <w:sz w:val="16"/>
          <w:szCs w:val="16"/>
          <w:vertAlign w:val="baseline"/>
        </w:rPr>
        <w:t xml:space="preserve">N – </w:t>
      </w:r>
      <w:r w:rsidR="00D34F9C" w:rsidRPr="00D34F9C">
        <w:rPr>
          <w:rStyle w:val="TableNote"/>
          <w:sz w:val="16"/>
          <w:szCs w:val="16"/>
          <w:vertAlign w:val="baseline"/>
        </w:rPr>
        <w:t>Number of study participants (per protocol)</w:t>
      </w:r>
      <w:r w:rsidRPr="00D34F9C">
        <w:rPr>
          <w:rStyle w:val="TableNote"/>
          <w:sz w:val="16"/>
          <w:szCs w:val="16"/>
          <w:vertAlign w:val="baseline"/>
        </w:rPr>
        <w:t>; CI – confidence intervals</w:t>
      </w:r>
    </w:p>
    <w:p w14:paraId="2E7CD983" w14:textId="77777777" w:rsidR="00496C49" w:rsidRDefault="00496C49" w:rsidP="00496C49">
      <w:pPr>
        <w:pStyle w:val="A-TableFootnoteText"/>
      </w:pPr>
      <w:proofErr w:type="gramStart"/>
      <w:r>
        <w:rPr>
          <w:vertAlign w:val="superscript"/>
        </w:rPr>
        <w:t>a</w:t>
      </w:r>
      <w:proofErr w:type="gramEnd"/>
      <w:r>
        <w:tab/>
      </w:r>
      <w:r w:rsidRPr="00641166">
        <w:rPr>
          <w:sz w:val="16"/>
          <w:szCs w:val="16"/>
        </w:rPr>
        <w:t>Reduction in culture-confirmed influenza illness relative to injectable influenza vaccine</w:t>
      </w:r>
    </w:p>
    <w:p w14:paraId="06B13383" w14:textId="77777777" w:rsidR="00496C49" w:rsidRDefault="00496C49" w:rsidP="00496C49">
      <w:pPr>
        <w:pStyle w:val="A-TableFootnoteText"/>
      </w:pPr>
      <w:r>
        <w:rPr>
          <w:vertAlign w:val="superscript"/>
        </w:rPr>
        <w:t>b</w:t>
      </w:r>
      <w:r>
        <w:tab/>
      </w:r>
      <w:proofErr w:type="spellStart"/>
      <w:r>
        <w:rPr>
          <w:sz w:val="16"/>
          <w:szCs w:val="16"/>
        </w:rPr>
        <w:t>FluMist</w:t>
      </w:r>
      <w:proofErr w:type="spellEnd"/>
      <w:r>
        <w:rPr>
          <w:sz w:val="16"/>
          <w:szCs w:val="16"/>
        </w:rPr>
        <w:t xml:space="preserve"> (trivalent)</w:t>
      </w:r>
      <w:r w:rsidRPr="00641166">
        <w:rPr>
          <w:sz w:val="16"/>
          <w:szCs w:val="16"/>
        </w:rPr>
        <w:t xml:space="preserve"> demonstrated 55.7% (39.9, 67.6) fewer cases than injectable influenza vaccine in </w:t>
      </w:r>
      <w:r>
        <w:rPr>
          <w:sz w:val="16"/>
          <w:szCs w:val="16"/>
        </w:rPr>
        <w:t>3</w:t>
      </w:r>
      <w:r w:rsidRPr="00641166">
        <w:rPr>
          <w:sz w:val="16"/>
          <w:szCs w:val="16"/>
        </w:rPr>
        <w:t>686 children 6</w:t>
      </w:r>
      <w:r w:rsidRPr="00641166">
        <w:rPr>
          <w:bCs/>
          <w:sz w:val="16"/>
          <w:szCs w:val="16"/>
        </w:rPr>
        <w:noBreakHyphen/>
      </w:r>
      <w:r w:rsidRPr="00641166">
        <w:rPr>
          <w:sz w:val="16"/>
          <w:szCs w:val="16"/>
        </w:rPr>
        <w:t>23</w:t>
      </w:r>
      <w:r>
        <w:rPr>
          <w:sz w:val="16"/>
          <w:szCs w:val="16"/>
        </w:rPr>
        <w:t> </w:t>
      </w:r>
      <w:r w:rsidRPr="00641166">
        <w:rPr>
          <w:sz w:val="16"/>
          <w:szCs w:val="16"/>
        </w:rPr>
        <w:t>months of age and 54.4</w:t>
      </w:r>
      <w:r>
        <w:rPr>
          <w:sz w:val="16"/>
          <w:szCs w:val="16"/>
        </w:rPr>
        <w:t>% (41.8, 64.5) fewer cases in 4</w:t>
      </w:r>
      <w:r w:rsidRPr="00641166">
        <w:rPr>
          <w:sz w:val="16"/>
          <w:szCs w:val="16"/>
        </w:rPr>
        <w:t>166 children 24</w:t>
      </w:r>
      <w:r w:rsidRPr="00641166">
        <w:rPr>
          <w:bCs/>
          <w:sz w:val="16"/>
          <w:szCs w:val="16"/>
        </w:rPr>
        <w:noBreakHyphen/>
      </w:r>
      <w:r w:rsidRPr="00641166">
        <w:rPr>
          <w:sz w:val="16"/>
          <w:szCs w:val="16"/>
        </w:rPr>
        <w:t>59 months of age</w:t>
      </w:r>
    </w:p>
    <w:p w14:paraId="5711CF8D" w14:textId="77777777" w:rsidR="00496C49" w:rsidRDefault="00496C49" w:rsidP="00496C49">
      <w:pPr>
        <w:pStyle w:val="A-TableFootnoteText"/>
        <w:rPr>
          <w:sz w:val="16"/>
          <w:szCs w:val="16"/>
        </w:rPr>
      </w:pPr>
      <w:r>
        <w:rPr>
          <w:vertAlign w:val="superscript"/>
        </w:rPr>
        <w:t>c</w:t>
      </w:r>
      <w:r>
        <w:tab/>
      </w:r>
      <w:proofErr w:type="spellStart"/>
      <w:r>
        <w:rPr>
          <w:sz w:val="16"/>
          <w:szCs w:val="16"/>
        </w:rPr>
        <w:t>FluMist</w:t>
      </w:r>
      <w:proofErr w:type="spellEnd"/>
      <w:r>
        <w:rPr>
          <w:sz w:val="16"/>
          <w:szCs w:val="16"/>
        </w:rPr>
        <w:t xml:space="preserve"> (trivalent)</w:t>
      </w:r>
      <w:r w:rsidRPr="00641166">
        <w:rPr>
          <w:sz w:val="16"/>
          <w:szCs w:val="16"/>
        </w:rPr>
        <w:t xml:space="preserve"> demonstrated 64.4% (1.4, 88.8) fewer cases than injectable influenza vaccine in 476 children 6</w:t>
      </w:r>
      <w:r w:rsidRPr="00641166">
        <w:rPr>
          <w:bCs/>
          <w:sz w:val="16"/>
          <w:szCs w:val="16"/>
        </w:rPr>
        <w:noBreakHyphen/>
      </w:r>
      <w:r w:rsidRPr="00641166">
        <w:rPr>
          <w:sz w:val="16"/>
          <w:szCs w:val="16"/>
        </w:rPr>
        <w:t>23 months of age and 48.2% (12.7, 70.0) fewer cases in 1609 children 24</w:t>
      </w:r>
      <w:r w:rsidRPr="00641166">
        <w:rPr>
          <w:bCs/>
          <w:sz w:val="16"/>
          <w:szCs w:val="16"/>
        </w:rPr>
        <w:noBreakHyphen/>
      </w:r>
      <w:r w:rsidRPr="00641166">
        <w:rPr>
          <w:sz w:val="16"/>
          <w:szCs w:val="16"/>
        </w:rPr>
        <w:t>71 months of age</w:t>
      </w:r>
    </w:p>
    <w:p w14:paraId="61543F71" w14:textId="77777777" w:rsidR="00E64437" w:rsidRDefault="00E64437" w:rsidP="00E64437">
      <w:pPr>
        <w:pStyle w:val="A-Heading3"/>
      </w:pPr>
      <w:r>
        <w:t>Study MI-CP111: P</w:t>
      </w:r>
      <w:r w:rsidR="00095EAF">
        <w:t>a</w:t>
      </w:r>
      <w:r w:rsidR="00F2103E">
        <w:t>ediatric comparative s</w:t>
      </w:r>
      <w:r>
        <w:t>tudy</w:t>
      </w:r>
    </w:p>
    <w:p w14:paraId="7812CF7A" w14:textId="06442420" w:rsidR="00E64437" w:rsidRDefault="00E64437" w:rsidP="00E64437">
      <w:r>
        <w:t xml:space="preserve">A multinational, </w:t>
      </w:r>
      <w:r w:rsidR="009F2FF2">
        <w:t>randomised</w:t>
      </w:r>
      <w:r>
        <w:t xml:space="preserve">, double-blind, active-controlled trial (MI-CP111) was performed to assess the efficacy and safety of trivalent version of </w:t>
      </w:r>
      <w:proofErr w:type="spellStart"/>
      <w:r w:rsidR="00095EAF">
        <w:t>FluMist</w:t>
      </w:r>
      <w:proofErr w:type="spellEnd"/>
      <w:r w:rsidR="00095EAF">
        <w:t xml:space="preserve"> </w:t>
      </w:r>
      <w:r>
        <w:t xml:space="preserve">compared to an injectable </w:t>
      </w:r>
      <w:r w:rsidR="00C766F6">
        <w:t xml:space="preserve">trivalent inactivated </w:t>
      </w:r>
      <w:r>
        <w:t>influenza vaccine</w:t>
      </w:r>
      <w:r w:rsidR="00C766F6">
        <w:t xml:space="preserve"> (TIV)</w:t>
      </w:r>
      <w:r>
        <w:t xml:space="preserve"> </w:t>
      </w:r>
      <w:r w:rsidR="009F2FF2">
        <w:t>(active control) in children &lt;</w:t>
      </w:r>
      <w:r w:rsidR="003F763E">
        <w:t>5 </w:t>
      </w:r>
      <w:r>
        <w:t>years of age.</w:t>
      </w:r>
    </w:p>
    <w:p w14:paraId="04AE7E13" w14:textId="77777777" w:rsidR="00E64437" w:rsidRDefault="00E64437" w:rsidP="00E64437">
      <w:r>
        <w:t>During the 2004-2005 influe</w:t>
      </w:r>
      <w:r w:rsidR="009F2FF2">
        <w:t>nza</w:t>
      </w:r>
      <w:r w:rsidR="003F763E">
        <w:t xml:space="preserve"> season, a total number of 3916 </w:t>
      </w:r>
      <w:r w:rsidR="009F2FF2">
        <w:t>children &lt;</w:t>
      </w:r>
      <w:r w:rsidR="003F763E">
        <w:t>5 </w:t>
      </w:r>
      <w:r>
        <w:t>years of age and without severe asthma, without use of bronchodilator or steroids and with</w:t>
      </w:r>
      <w:r w:rsidR="003F763E">
        <w:t>out wheezing within the prior 6 </w:t>
      </w:r>
      <w:r>
        <w:t xml:space="preserve">weeks were </w:t>
      </w:r>
      <w:r w:rsidR="009F2FF2">
        <w:t>randomised</w:t>
      </w:r>
      <w:r>
        <w:t xml:space="preserve"> to trivalent version of </w:t>
      </w:r>
      <w:proofErr w:type="spellStart"/>
      <w:r w:rsidR="00095EAF">
        <w:t>FluMist</w:t>
      </w:r>
      <w:proofErr w:type="spellEnd"/>
      <w:r w:rsidR="00095EAF">
        <w:t xml:space="preserve"> </w:t>
      </w:r>
      <w:r w:rsidR="009F2FF2">
        <w:t>and 3</w:t>
      </w:r>
      <w:r>
        <w:t xml:space="preserve">936 were </w:t>
      </w:r>
      <w:r w:rsidR="009F2FF2">
        <w:t>randomised</w:t>
      </w:r>
      <w:r>
        <w:t xml:space="preserve"> to active control. Participants were then followed through the influenza season to identify illness caused by influenza virus. </w:t>
      </w:r>
      <w:r w:rsidRPr="00F67E48">
        <w:t>As the primary endpoint, culture-confirmed modified CDC-ILI (</w:t>
      </w:r>
      <w:proofErr w:type="spellStart"/>
      <w:r w:rsidR="00AC05FE" w:rsidRPr="00F67E48">
        <w:t>Centers</w:t>
      </w:r>
      <w:proofErr w:type="spellEnd"/>
      <w:r w:rsidR="00AC05FE" w:rsidRPr="00F67E48">
        <w:t xml:space="preserve"> for Disease Control and Prevention [</w:t>
      </w:r>
      <w:r w:rsidRPr="00F67E48">
        <w:t>CDC</w:t>
      </w:r>
      <w:r w:rsidR="00AC05FE" w:rsidRPr="00F67E48">
        <w:t>]</w:t>
      </w:r>
      <w:r w:rsidRPr="00F67E48">
        <w:t xml:space="preserve">-defined influenza-like illness) was defined as a positive culture for a wild-type influenza virus associated within </w:t>
      </w:r>
      <w:r w:rsidR="00A4731B" w:rsidRPr="00F67E48">
        <w:rPr>
          <w:rFonts w:cs="Arial"/>
        </w:rPr>
        <w:t>±</w:t>
      </w:r>
      <w:r w:rsidRPr="00F67E48">
        <w:t>7 days of</w:t>
      </w:r>
      <w:r w:rsidRPr="00A4731B">
        <w:t xml:space="preserve"> </w:t>
      </w:r>
      <w:r w:rsidRPr="00D0698C">
        <w:t xml:space="preserve">modified CDC-ILI. Modified CDC-ILI was defined as fever (temperature </w:t>
      </w:r>
      <w:r w:rsidR="00A4731B" w:rsidRPr="00D0698C">
        <w:rPr>
          <w:rFonts w:cs="Arial"/>
        </w:rPr>
        <w:t>≥</w:t>
      </w:r>
      <w:r w:rsidR="00AC05FE" w:rsidRPr="00D0698C">
        <w:t>38°C</w:t>
      </w:r>
      <w:r w:rsidRPr="00D0698C">
        <w:t xml:space="preserve"> oral</w:t>
      </w:r>
      <w:r w:rsidRPr="00A4731B">
        <w:t xml:space="preserve"> or equivalent) plus cough, sore throat or runny nose/nasal congestion on the same or consecutive days.</w:t>
      </w:r>
    </w:p>
    <w:p w14:paraId="35275108" w14:textId="4269BCDB" w:rsidR="00E64437" w:rsidRDefault="00E64437" w:rsidP="00E64437">
      <w:r>
        <w:t xml:space="preserve">In the primary efficacy analysis, trivalent version of </w:t>
      </w:r>
      <w:proofErr w:type="spellStart"/>
      <w:r w:rsidR="00095EAF">
        <w:t>FluMist</w:t>
      </w:r>
      <w:proofErr w:type="spellEnd"/>
      <w:r w:rsidR="00095EAF">
        <w:t xml:space="preserve"> </w:t>
      </w:r>
      <w:r w:rsidR="00496C49">
        <w:t>demonstrated a 44.5% (95% </w:t>
      </w:r>
      <w:r>
        <w:t>CI: 22.4, 60.6) reduction in influenza rate compared to active control as measured by culture confirmed modified CDC-ILI caused by wild-type strains antigenically similar to those contained in the vaccine.</w:t>
      </w:r>
      <w:r w:rsidR="00B74ECF">
        <w:t xml:space="preserve"> </w:t>
      </w:r>
      <w:r w:rsidR="00340B8D" w:rsidRPr="00D76E3B">
        <w:t>See</w:t>
      </w:r>
      <w:r w:rsidR="00340B8D">
        <w:t xml:space="preserve"> </w:t>
      </w:r>
      <w:r w:rsidR="004A0A60">
        <w:fldChar w:fldCharType="begin"/>
      </w:r>
      <w:r w:rsidR="00340B8D">
        <w:instrText xml:space="preserve"> REF _Ref412552985 \h </w:instrText>
      </w:r>
      <w:r w:rsidR="004A0A60">
        <w:fldChar w:fldCharType="separate"/>
      </w:r>
      <w:r w:rsidR="009F6AAA" w:rsidRPr="00D76E3B">
        <w:t xml:space="preserve">Table </w:t>
      </w:r>
      <w:r w:rsidR="009F6AAA">
        <w:rPr>
          <w:noProof/>
        </w:rPr>
        <w:t>3</w:t>
      </w:r>
      <w:r w:rsidR="004A0A60">
        <w:fldChar w:fldCharType="end"/>
      </w:r>
      <w:r w:rsidR="00340B8D" w:rsidRPr="00D76E3B">
        <w:t xml:space="preserve"> f</w:t>
      </w:r>
      <w:r w:rsidR="00340B8D">
        <w:t xml:space="preserve">or a description of the overall results and </w:t>
      </w:r>
      <w:r w:rsidR="004A0A60">
        <w:fldChar w:fldCharType="begin"/>
      </w:r>
      <w:r w:rsidR="0035240D">
        <w:instrText xml:space="preserve"> REF _Ref411432049 \h </w:instrText>
      </w:r>
      <w:r w:rsidR="004A0A60">
        <w:fldChar w:fldCharType="separate"/>
      </w:r>
      <w:r w:rsidR="009F6AAA">
        <w:t xml:space="preserve">Table </w:t>
      </w:r>
      <w:r w:rsidR="009F6AAA">
        <w:rPr>
          <w:noProof/>
        </w:rPr>
        <w:t>4</w:t>
      </w:r>
      <w:r w:rsidR="004A0A60">
        <w:fldChar w:fldCharType="end"/>
      </w:r>
      <w:r>
        <w:t xml:space="preserve"> for a description of the results by strain and antigenic similarity.</w:t>
      </w:r>
    </w:p>
    <w:p w14:paraId="405C673D" w14:textId="6F16A006" w:rsidR="00A4731B" w:rsidRDefault="00A4731B" w:rsidP="00A4731B">
      <w:pPr>
        <w:pStyle w:val="A-TableTitle"/>
      </w:pPr>
      <w:bookmarkStart w:id="7" w:name="_Ref411432049"/>
      <w:r>
        <w:lastRenderedPageBreak/>
        <w:t xml:space="preserve">Table </w:t>
      </w:r>
      <w:r w:rsidR="00E8575B">
        <w:fldChar w:fldCharType="begin"/>
      </w:r>
      <w:r w:rsidR="00E8575B">
        <w:instrText xml:space="preserve"> SEQ Table \* ARABIC </w:instrText>
      </w:r>
      <w:r w:rsidR="00E8575B">
        <w:fldChar w:fldCharType="separate"/>
      </w:r>
      <w:r w:rsidR="009F6AAA">
        <w:rPr>
          <w:noProof/>
        </w:rPr>
        <w:t>4</w:t>
      </w:r>
      <w:r w:rsidR="00E8575B">
        <w:rPr>
          <w:noProof/>
        </w:rPr>
        <w:fldChar w:fldCharType="end"/>
      </w:r>
      <w:bookmarkEnd w:id="7"/>
      <w:r>
        <w:tab/>
      </w:r>
      <w:r w:rsidRPr="00A4731B">
        <w:t>Comparative efficacy against culture-confirmed modified CDC-</w:t>
      </w:r>
      <w:proofErr w:type="spellStart"/>
      <w:r w:rsidRPr="00A4731B">
        <w:t>ILI</w:t>
      </w:r>
      <w:r w:rsidRPr="00A4731B">
        <w:rPr>
          <w:vertAlign w:val="superscript"/>
        </w:rPr>
        <w:t>a</w:t>
      </w:r>
      <w:proofErr w:type="spellEnd"/>
      <w:r w:rsidRPr="00A4731B">
        <w:t xml:space="preserve"> caused by </w:t>
      </w:r>
      <w:r>
        <w:t>wild-type strains in children &lt;</w:t>
      </w:r>
      <w:r w:rsidR="008F1545">
        <w:t>5</w:t>
      </w:r>
      <w:r w:rsidR="00B0181A">
        <w:t xml:space="preserve"> </w:t>
      </w:r>
      <w:r w:rsidRPr="00A4731B">
        <w:t>years of age</w:t>
      </w:r>
      <w:r w:rsidR="008F1545">
        <w:t xml:space="preserve"> (ATP population)</w:t>
      </w:r>
    </w:p>
    <w:tbl>
      <w:tblPr>
        <w:tblW w:w="9180" w:type="dxa"/>
        <w:tblLayout w:type="fixed"/>
        <w:tblLook w:val="0000" w:firstRow="0" w:lastRow="0" w:firstColumn="0" w:lastColumn="0" w:noHBand="0" w:noVBand="0"/>
        <w:tblDescription w:val="Table 4 is a comparative list of efficacy against culture-confirmed modified CDC-ILIa caused by wild-type strains in children &lt;5 years of age (ATP population)"/>
      </w:tblPr>
      <w:tblGrid>
        <w:gridCol w:w="1000"/>
        <w:gridCol w:w="809"/>
        <w:gridCol w:w="851"/>
        <w:gridCol w:w="1134"/>
        <w:gridCol w:w="709"/>
        <w:gridCol w:w="850"/>
        <w:gridCol w:w="1134"/>
        <w:gridCol w:w="1518"/>
        <w:gridCol w:w="1175"/>
      </w:tblGrid>
      <w:tr w:rsidR="00C51F04" w:rsidRPr="00A4731B" w14:paraId="4AFBB5D2" w14:textId="77777777" w:rsidTr="00C51F04">
        <w:trPr>
          <w:cantSplit/>
          <w:tblHeader/>
        </w:trPr>
        <w:tc>
          <w:tcPr>
            <w:tcW w:w="1000" w:type="dxa"/>
            <w:vMerge w:val="restart"/>
            <w:tcBorders>
              <w:top w:val="single" w:sz="12" w:space="0" w:color="auto"/>
            </w:tcBorders>
            <w:shd w:val="clear" w:color="auto" w:fill="auto"/>
          </w:tcPr>
          <w:p w14:paraId="33F16601" w14:textId="77777777" w:rsidR="00C51F04" w:rsidRPr="00A4731B" w:rsidRDefault="00C51F04" w:rsidP="00C51F04">
            <w:pPr>
              <w:pStyle w:val="A-TableHeader"/>
            </w:pPr>
          </w:p>
        </w:tc>
        <w:tc>
          <w:tcPr>
            <w:tcW w:w="2794" w:type="dxa"/>
            <w:gridSpan w:val="3"/>
            <w:tcBorders>
              <w:top w:val="single" w:sz="12" w:space="0" w:color="auto"/>
            </w:tcBorders>
            <w:shd w:val="clear" w:color="auto" w:fill="auto"/>
          </w:tcPr>
          <w:p w14:paraId="4EE2FBD8" w14:textId="77777777" w:rsidR="00C51F04" w:rsidRPr="00A4731B" w:rsidRDefault="00C51F04" w:rsidP="00C51F04">
            <w:pPr>
              <w:pStyle w:val="A-TableHeader"/>
              <w:jc w:val="center"/>
            </w:pPr>
            <w:proofErr w:type="spellStart"/>
            <w:r>
              <w:t>FluMist</w:t>
            </w:r>
            <w:proofErr w:type="spellEnd"/>
            <w:r>
              <w:t xml:space="preserve"> (trivalent)</w:t>
            </w:r>
          </w:p>
        </w:tc>
        <w:tc>
          <w:tcPr>
            <w:tcW w:w="2693" w:type="dxa"/>
            <w:gridSpan w:val="3"/>
            <w:tcBorders>
              <w:top w:val="single" w:sz="12" w:space="0" w:color="auto"/>
            </w:tcBorders>
            <w:shd w:val="clear" w:color="auto" w:fill="auto"/>
          </w:tcPr>
          <w:p w14:paraId="74E4723F" w14:textId="77777777" w:rsidR="00C51F04" w:rsidRPr="00A4731B" w:rsidRDefault="00496C49" w:rsidP="00C51F04">
            <w:pPr>
              <w:pStyle w:val="A-TableHeader"/>
              <w:jc w:val="center"/>
            </w:pPr>
            <w:r>
              <w:t xml:space="preserve">Active </w:t>
            </w:r>
            <w:proofErr w:type="spellStart"/>
            <w:r>
              <w:t>c</w:t>
            </w:r>
            <w:r w:rsidR="00C51F04" w:rsidRPr="00A4731B">
              <w:t>ontrol</w:t>
            </w:r>
            <w:r w:rsidR="00C51F04" w:rsidRPr="00C51F04">
              <w:rPr>
                <w:vertAlign w:val="superscript"/>
              </w:rPr>
              <w:t>b</w:t>
            </w:r>
            <w:proofErr w:type="spellEnd"/>
          </w:p>
        </w:tc>
        <w:tc>
          <w:tcPr>
            <w:tcW w:w="1518" w:type="dxa"/>
            <w:vMerge w:val="restart"/>
            <w:tcBorders>
              <w:top w:val="single" w:sz="12" w:space="0" w:color="auto"/>
            </w:tcBorders>
            <w:shd w:val="clear" w:color="auto" w:fill="auto"/>
          </w:tcPr>
          <w:p w14:paraId="7AFFC07C" w14:textId="77777777" w:rsidR="00C51F04" w:rsidRPr="00A4731B" w:rsidRDefault="00C51F04" w:rsidP="00C51F04">
            <w:pPr>
              <w:pStyle w:val="A-TableHeader"/>
              <w:jc w:val="center"/>
            </w:pPr>
            <w:r>
              <w:t>Reduction in r</w:t>
            </w:r>
            <w:r w:rsidRPr="00A4731B">
              <w:t xml:space="preserve">ate </w:t>
            </w:r>
            <w:r>
              <w:t>-</w:t>
            </w:r>
            <w:r w:rsidRPr="00A4731B">
              <w:t xml:space="preserve"> </w:t>
            </w:r>
            <w:proofErr w:type="spellStart"/>
            <w:r>
              <w:t>FluMist</w:t>
            </w:r>
            <w:proofErr w:type="spellEnd"/>
            <w:r>
              <w:t xml:space="preserve"> (trivalent)</w:t>
            </w:r>
            <w:r w:rsidRPr="00C51F04">
              <w:rPr>
                <w:vertAlign w:val="superscript"/>
              </w:rPr>
              <w:t>c</w:t>
            </w:r>
          </w:p>
        </w:tc>
        <w:tc>
          <w:tcPr>
            <w:tcW w:w="1175" w:type="dxa"/>
            <w:vMerge w:val="restart"/>
            <w:tcBorders>
              <w:top w:val="single" w:sz="12" w:space="0" w:color="auto"/>
            </w:tcBorders>
            <w:shd w:val="clear" w:color="auto" w:fill="auto"/>
          </w:tcPr>
          <w:p w14:paraId="408860F0" w14:textId="77777777" w:rsidR="00C51F04" w:rsidRPr="00A4731B" w:rsidRDefault="00C51F04" w:rsidP="00C51F04">
            <w:pPr>
              <w:pStyle w:val="A-TableHeader"/>
              <w:jc w:val="center"/>
            </w:pPr>
            <w:r w:rsidRPr="00A4731B">
              <w:t>95% CI</w:t>
            </w:r>
          </w:p>
        </w:tc>
      </w:tr>
      <w:tr w:rsidR="00C51F04" w:rsidRPr="00A4731B" w14:paraId="394D1A9F" w14:textId="77777777" w:rsidTr="00C51F04">
        <w:trPr>
          <w:cantSplit/>
          <w:tblHeader/>
        </w:trPr>
        <w:tc>
          <w:tcPr>
            <w:tcW w:w="1000" w:type="dxa"/>
            <w:vMerge/>
            <w:tcBorders>
              <w:bottom w:val="single" w:sz="6" w:space="0" w:color="auto"/>
            </w:tcBorders>
            <w:shd w:val="clear" w:color="auto" w:fill="auto"/>
          </w:tcPr>
          <w:p w14:paraId="357B22F0" w14:textId="77777777" w:rsidR="00C51F04" w:rsidRPr="00A4731B" w:rsidRDefault="00C51F04" w:rsidP="00C51F04">
            <w:pPr>
              <w:pStyle w:val="A-TableHeader"/>
            </w:pPr>
          </w:p>
        </w:tc>
        <w:tc>
          <w:tcPr>
            <w:tcW w:w="809" w:type="dxa"/>
            <w:tcBorders>
              <w:bottom w:val="single" w:sz="6" w:space="0" w:color="auto"/>
            </w:tcBorders>
            <w:shd w:val="clear" w:color="auto" w:fill="auto"/>
          </w:tcPr>
          <w:p w14:paraId="4FF82F5F" w14:textId="77777777" w:rsidR="00C51F04" w:rsidRPr="00FC693A" w:rsidRDefault="00C51F04" w:rsidP="00C51F04">
            <w:pPr>
              <w:pStyle w:val="A-TableHeader"/>
              <w:jc w:val="center"/>
            </w:pPr>
            <w:r w:rsidRPr="00FC693A">
              <w:t>N</w:t>
            </w:r>
          </w:p>
        </w:tc>
        <w:tc>
          <w:tcPr>
            <w:tcW w:w="851" w:type="dxa"/>
            <w:tcBorders>
              <w:bottom w:val="single" w:sz="6" w:space="0" w:color="auto"/>
            </w:tcBorders>
            <w:shd w:val="clear" w:color="auto" w:fill="auto"/>
          </w:tcPr>
          <w:p w14:paraId="7F3E35B6" w14:textId="77777777" w:rsidR="00C51F04" w:rsidRPr="00FC693A" w:rsidRDefault="00C51F04" w:rsidP="00C51F04">
            <w:pPr>
              <w:pStyle w:val="A-TableHeader"/>
              <w:jc w:val="center"/>
            </w:pPr>
            <w:r w:rsidRPr="00FC693A">
              <w:t># of cases</w:t>
            </w:r>
          </w:p>
        </w:tc>
        <w:tc>
          <w:tcPr>
            <w:tcW w:w="1134" w:type="dxa"/>
            <w:tcBorders>
              <w:bottom w:val="single" w:sz="6" w:space="0" w:color="auto"/>
            </w:tcBorders>
            <w:shd w:val="clear" w:color="auto" w:fill="auto"/>
          </w:tcPr>
          <w:p w14:paraId="109F7E08" w14:textId="77777777" w:rsidR="00C51F04" w:rsidRPr="00FC693A" w:rsidRDefault="00C51F04" w:rsidP="00C51F04">
            <w:pPr>
              <w:pStyle w:val="A-TableHeader"/>
              <w:jc w:val="center"/>
            </w:pPr>
            <w:r w:rsidRPr="00FC693A">
              <w:t>Rate (cases/N)</w:t>
            </w:r>
          </w:p>
        </w:tc>
        <w:tc>
          <w:tcPr>
            <w:tcW w:w="709" w:type="dxa"/>
            <w:tcBorders>
              <w:bottom w:val="single" w:sz="6" w:space="0" w:color="auto"/>
            </w:tcBorders>
            <w:shd w:val="clear" w:color="auto" w:fill="auto"/>
          </w:tcPr>
          <w:p w14:paraId="51B2B692" w14:textId="77777777" w:rsidR="00C51F04" w:rsidRPr="00FC693A" w:rsidRDefault="00C51F04" w:rsidP="00C51F04">
            <w:pPr>
              <w:pStyle w:val="A-TableHeader"/>
              <w:jc w:val="center"/>
            </w:pPr>
            <w:r w:rsidRPr="00FC693A">
              <w:t>N</w:t>
            </w:r>
          </w:p>
        </w:tc>
        <w:tc>
          <w:tcPr>
            <w:tcW w:w="850" w:type="dxa"/>
            <w:tcBorders>
              <w:bottom w:val="single" w:sz="6" w:space="0" w:color="auto"/>
            </w:tcBorders>
            <w:shd w:val="clear" w:color="auto" w:fill="auto"/>
          </w:tcPr>
          <w:p w14:paraId="5012EBAF" w14:textId="77777777" w:rsidR="00C51F04" w:rsidRPr="00A4731B" w:rsidRDefault="00C51F04" w:rsidP="00C51F04">
            <w:pPr>
              <w:pStyle w:val="A-TableHeader"/>
              <w:jc w:val="center"/>
            </w:pPr>
            <w:r>
              <w:t># of c</w:t>
            </w:r>
            <w:r w:rsidRPr="00A4731B">
              <w:t>ases</w:t>
            </w:r>
          </w:p>
        </w:tc>
        <w:tc>
          <w:tcPr>
            <w:tcW w:w="1134" w:type="dxa"/>
            <w:tcBorders>
              <w:bottom w:val="single" w:sz="6" w:space="0" w:color="auto"/>
            </w:tcBorders>
            <w:shd w:val="clear" w:color="auto" w:fill="auto"/>
          </w:tcPr>
          <w:p w14:paraId="00E880F4" w14:textId="77777777" w:rsidR="00C51F04" w:rsidRPr="00A4731B" w:rsidRDefault="00C51F04" w:rsidP="00C51F04">
            <w:pPr>
              <w:pStyle w:val="A-TableHeader"/>
              <w:jc w:val="center"/>
            </w:pPr>
            <w:r w:rsidRPr="00A4731B">
              <w:t>Rate (cases/N)</w:t>
            </w:r>
          </w:p>
        </w:tc>
        <w:tc>
          <w:tcPr>
            <w:tcW w:w="1518" w:type="dxa"/>
            <w:vMerge/>
            <w:tcBorders>
              <w:bottom w:val="single" w:sz="6" w:space="0" w:color="auto"/>
            </w:tcBorders>
            <w:shd w:val="clear" w:color="auto" w:fill="auto"/>
          </w:tcPr>
          <w:p w14:paraId="72A7C516" w14:textId="77777777" w:rsidR="00C51F04" w:rsidRPr="00A4731B" w:rsidRDefault="00C51F04" w:rsidP="00C51F04">
            <w:pPr>
              <w:pStyle w:val="A-TableHeader"/>
              <w:jc w:val="center"/>
            </w:pPr>
          </w:p>
        </w:tc>
        <w:tc>
          <w:tcPr>
            <w:tcW w:w="1175" w:type="dxa"/>
            <w:vMerge/>
            <w:tcBorders>
              <w:bottom w:val="single" w:sz="6" w:space="0" w:color="auto"/>
            </w:tcBorders>
            <w:shd w:val="clear" w:color="auto" w:fill="auto"/>
          </w:tcPr>
          <w:p w14:paraId="2940E2E4" w14:textId="77777777" w:rsidR="00C51F04" w:rsidRPr="00A4731B" w:rsidRDefault="00C51F04" w:rsidP="00C51F04">
            <w:pPr>
              <w:pStyle w:val="A-TableHeader"/>
              <w:jc w:val="center"/>
            </w:pPr>
          </w:p>
        </w:tc>
      </w:tr>
      <w:tr w:rsidR="00C51F04" w:rsidRPr="00A4731B" w14:paraId="38C08A0A" w14:textId="77777777" w:rsidTr="009A50A1">
        <w:trPr>
          <w:cantSplit/>
        </w:trPr>
        <w:tc>
          <w:tcPr>
            <w:tcW w:w="9180" w:type="dxa"/>
            <w:gridSpan w:val="9"/>
            <w:tcBorders>
              <w:top w:val="single" w:sz="6" w:space="0" w:color="auto"/>
            </w:tcBorders>
            <w:shd w:val="clear" w:color="auto" w:fill="auto"/>
          </w:tcPr>
          <w:p w14:paraId="5E031EC6" w14:textId="77777777" w:rsidR="00C51F04" w:rsidRPr="00A4731B" w:rsidRDefault="00C51F04" w:rsidP="00A4731B">
            <w:pPr>
              <w:pStyle w:val="A-TableText"/>
              <w:spacing w:line="240" w:lineRule="auto"/>
              <w:rPr>
                <w:b/>
                <w:sz w:val="18"/>
                <w:szCs w:val="18"/>
              </w:rPr>
            </w:pPr>
            <w:r w:rsidRPr="00A4731B">
              <w:rPr>
                <w:b/>
                <w:sz w:val="18"/>
                <w:szCs w:val="18"/>
              </w:rPr>
              <w:t>Matched Strains</w:t>
            </w:r>
          </w:p>
        </w:tc>
      </w:tr>
      <w:tr w:rsidR="00A4731B" w:rsidRPr="00A4731B" w14:paraId="76DBF41E" w14:textId="77777777" w:rsidTr="00863D3A">
        <w:trPr>
          <w:cantSplit/>
        </w:trPr>
        <w:tc>
          <w:tcPr>
            <w:tcW w:w="1000" w:type="dxa"/>
            <w:shd w:val="clear" w:color="auto" w:fill="auto"/>
          </w:tcPr>
          <w:p w14:paraId="4D7C81FD" w14:textId="77777777" w:rsidR="00A4731B" w:rsidRPr="00A4731B" w:rsidRDefault="00A4731B" w:rsidP="00A4731B">
            <w:pPr>
              <w:pStyle w:val="A-TableText"/>
              <w:spacing w:line="240" w:lineRule="auto"/>
              <w:rPr>
                <w:sz w:val="18"/>
                <w:szCs w:val="18"/>
              </w:rPr>
            </w:pPr>
            <w:r w:rsidRPr="00A4731B">
              <w:rPr>
                <w:sz w:val="18"/>
                <w:szCs w:val="18"/>
              </w:rPr>
              <w:t>All strains</w:t>
            </w:r>
          </w:p>
        </w:tc>
        <w:tc>
          <w:tcPr>
            <w:tcW w:w="809" w:type="dxa"/>
            <w:shd w:val="clear" w:color="auto" w:fill="auto"/>
          </w:tcPr>
          <w:p w14:paraId="3C93B761" w14:textId="77777777" w:rsidR="00A4731B" w:rsidRPr="00863D3A" w:rsidRDefault="00A4731B"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09EED05E" w14:textId="77777777" w:rsidR="00A4731B" w:rsidRPr="00863D3A" w:rsidRDefault="00A4731B" w:rsidP="00C51F04">
            <w:pPr>
              <w:pStyle w:val="A-TableText"/>
              <w:spacing w:line="240" w:lineRule="auto"/>
              <w:jc w:val="center"/>
              <w:rPr>
                <w:sz w:val="18"/>
                <w:szCs w:val="18"/>
              </w:rPr>
            </w:pPr>
            <w:r w:rsidRPr="00863D3A">
              <w:rPr>
                <w:sz w:val="18"/>
                <w:szCs w:val="18"/>
              </w:rPr>
              <w:t>53</w:t>
            </w:r>
          </w:p>
        </w:tc>
        <w:tc>
          <w:tcPr>
            <w:tcW w:w="1134" w:type="dxa"/>
            <w:shd w:val="clear" w:color="auto" w:fill="auto"/>
          </w:tcPr>
          <w:p w14:paraId="29BC6E9B" w14:textId="77777777" w:rsidR="00A4731B" w:rsidRPr="00863D3A" w:rsidRDefault="00A4731B" w:rsidP="00C51F04">
            <w:pPr>
              <w:pStyle w:val="A-TableText"/>
              <w:spacing w:line="240" w:lineRule="auto"/>
              <w:jc w:val="center"/>
              <w:rPr>
                <w:sz w:val="18"/>
                <w:szCs w:val="18"/>
              </w:rPr>
            </w:pPr>
            <w:r w:rsidRPr="00863D3A">
              <w:rPr>
                <w:sz w:val="18"/>
                <w:szCs w:val="18"/>
              </w:rPr>
              <w:t>1.4%</w:t>
            </w:r>
          </w:p>
        </w:tc>
        <w:tc>
          <w:tcPr>
            <w:tcW w:w="709" w:type="dxa"/>
            <w:shd w:val="clear" w:color="auto" w:fill="auto"/>
          </w:tcPr>
          <w:p w14:paraId="3CEBFC96" w14:textId="77777777" w:rsidR="00A4731B" w:rsidRPr="00863D3A" w:rsidRDefault="00A4731B"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4445DCE2" w14:textId="77777777" w:rsidR="00A4731B" w:rsidRPr="00A4731B" w:rsidRDefault="00A4731B" w:rsidP="00C51F04">
            <w:pPr>
              <w:pStyle w:val="A-TableText"/>
              <w:spacing w:line="240" w:lineRule="auto"/>
              <w:jc w:val="center"/>
              <w:rPr>
                <w:sz w:val="18"/>
                <w:szCs w:val="18"/>
              </w:rPr>
            </w:pPr>
            <w:r w:rsidRPr="00A4731B">
              <w:rPr>
                <w:sz w:val="18"/>
                <w:szCs w:val="18"/>
              </w:rPr>
              <w:t>93</w:t>
            </w:r>
          </w:p>
        </w:tc>
        <w:tc>
          <w:tcPr>
            <w:tcW w:w="1134" w:type="dxa"/>
            <w:shd w:val="clear" w:color="auto" w:fill="auto"/>
          </w:tcPr>
          <w:p w14:paraId="4737B480" w14:textId="77777777" w:rsidR="00A4731B" w:rsidRPr="00A4731B" w:rsidRDefault="00A4731B" w:rsidP="00C51F04">
            <w:pPr>
              <w:pStyle w:val="A-TableText"/>
              <w:spacing w:line="240" w:lineRule="auto"/>
              <w:jc w:val="center"/>
              <w:rPr>
                <w:sz w:val="18"/>
                <w:szCs w:val="18"/>
              </w:rPr>
            </w:pPr>
            <w:r w:rsidRPr="00A4731B">
              <w:rPr>
                <w:sz w:val="18"/>
                <w:szCs w:val="18"/>
              </w:rPr>
              <w:t>2.4%</w:t>
            </w:r>
          </w:p>
        </w:tc>
        <w:tc>
          <w:tcPr>
            <w:tcW w:w="1518" w:type="dxa"/>
            <w:shd w:val="clear" w:color="auto" w:fill="auto"/>
          </w:tcPr>
          <w:p w14:paraId="3F1469A4" w14:textId="77777777" w:rsidR="00A4731B" w:rsidRPr="00A4731B" w:rsidRDefault="00A4731B" w:rsidP="00C51F04">
            <w:pPr>
              <w:pStyle w:val="A-TableText"/>
              <w:spacing w:line="240" w:lineRule="auto"/>
              <w:jc w:val="center"/>
              <w:rPr>
                <w:sz w:val="18"/>
                <w:szCs w:val="18"/>
              </w:rPr>
            </w:pPr>
            <w:r w:rsidRPr="00A4731B">
              <w:rPr>
                <w:sz w:val="18"/>
                <w:szCs w:val="18"/>
              </w:rPr>
              <w:t>44.5%</w:t>
            </w:r>
          </w:p>
        </w:tc>
        <w:tc>
          <w:tcPr>
            <w:tcW w:w="1175" w:type="dxa"/>
            <w:shd w:val="clear" w:color="auto" w:fill="auto"/>
          </w:tcPr>
          <w:p w14:paraId="0D259BF0" w14:textId="77777777" w:rsidR="00A4731B" w:rsidRPr="00A4731B" w:rsidRDefault="00A4731B" w:rsidP="00C51F04">
            <w:pPr>
              <w:pStyle w:val="A-TableText"/>
              <w:spacing w:line="240" w:lineRule="auto"/>
              <w:jc w:val="center"/>
              <w:rPr>
                <w:sz w:val="18"/>
                <w:szCs w:val="18"/>
              </w:rPr>
            </w:pPr>
            <w:r w:rsidRPr="00A4731B">
              <w:rPr>
                <w:sz w:val="18"/>
                <w:szCs w:val="18"/>
              </w:rPr>
              <w:t>22.4, 60.6</w:t>
            </w:r>
          </w:p>
        </w:tc>
      </w:tr>
      <w:tr w:rsidR="00C51F04" w:rsidRPr="00A4731B" w14:paraId="24010209" w14:textId="77777777" w:rsidTr="00863D3A">
        <w:trPr>
          <w:cantSplit/>
        </w:trPr>
        <w:tc>
          <w:tcPr>
            <w:tcW w:w="1000" w:type="dxa"/>
            <w:shd w:val="clear" w:color="auto" w:fill="auto"/>
          </w:tcPr>
          <w:p w14:paraId="6F3109FF" w14:textId="77777777" w:rsidR="00C51F04" w:rsidRPr="00A4731B" w:rsidRDefault="00C51F04" w:rsidP="00A4731B">
            <w:pPr>
              <w:pStyle w:val="A-TableText"/>
              <w:spacing w:line="240" w:lineRule="auto"/>
              <w:rPr>
                <w:sz w:val="18"/>
                <w:szCs w:val="18"/>
              </w:rPr>
            </w:pPr>
            <w:r w:rsidRPr="00A4731B">
              <w:rPr>
                <w:sz w:val="18"/>
                <w:szCs w:val="18"/>
              </w:rPr>
              <w:t>A/H1N1</w:t>
            </w:r>
          </w:p>
        </w:tc>
        <w:tc>
          <w:tcPr>
            <w:tcW w:w="809" w:type="dxa"/>
            <w:shd w:val="clear" w:color="auto" w:fill="auto"/>
          </w:tcPr>
          <w:p w14:paraId="47597971"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4E94BCFD" w14:textId="77777777" w:rsidR="00C51F04" w:rsidRPr="00863D3A" w:rsidRDefault="00C51F04" w:rsidP="00C51F04">
            <w:pPr>
              <w:pStyle w:val="A-TableText"/>
              <w:spacing w:line="240" w:lineRule="auto"/>
              <w:jc w:val="center"/>
              <w:rPr>
                <w:sz w:val="18"/>
                <w:szCs w:val="18"/>
              </w:rPr>
            </w:pPr>
            <w:r w:rsidRPr="00863D3A">
              <w:rPr>
                <w:sz w:val="18"/>
                <w:szCs w:val="18"/>
              </w:rPr>
              <w:t>3</w:t>
            </w:r>
          </w:p>
        </w:tc>
        <w:tc>
          <w:tcPr>
            <w:tcW w:w="1134" w:type="dxa"/>
            <w:shd w:val="clear" w:color="auto" w:fill="auto"/>
          </w:tcPr>
          <w:p w14:paraId="3B23270D" w14:textId="77777777" w:rsidR="00C51F04" w:rsidRPr="00863D3A" w:rsidRDefault="00C51F04" w:rsidP="00C51F04">
            <w:pPr>
              <w:pStyle w:val="A-TableText"/>
              <w:spacing w:line="240" w:lineRule="auto"/>
              <w:jc w:val="center"/>
              <w:rPr>
                <w:sz w:val="18"/>
                <w:szCs w:val="18"/>
              </w:rPr>
            </w:pPr>
            <w:r w:rsidRPr="00863D3A">
              <w:rPr>
                <w:sz w:val="18"/>
                <w:szCs w:val="18"/>
              </w:rPr>
              <w:t>0.1%</w:t>
            </w:r>
          </w:p>
        </w:tc>
        <w:tc>
          <w:tcPr>
            <w:tcW w:w="709" w:type="dxa"/>
            <w:shd w:val="clear" w:color="auto" w:fill="auto"/>
          </w:tcPr>
          <w:p w14:paraId="4E9E0233"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1EC74E9F" w14:textId="77777777" w:rsidR="00C51F04" w:rsidRPr="00A4731B" w:rsidRDefault="00C51F04" w:rsidP="00C51F04">
            <w:pPr>
              <w:pStyle w:val="A-TableText"/>
              <w:spacing w:line="240" w:lineRule="auto"/>
              <w:jc w:val="center"/>
              <w:rPr>
                <w:sz w:val="18"/>
                <w:szCs w:val="18"/>
              </w:rPr>
            </w:pPr>
            <w:r w:rsidRPr="00A4731B">
              <w:rPr>
                <w:sz w:val="18"/>
                <w:szCs w:val="18"/>
              </w:rPr>
              <w:t>27</w:t>
            </w:r>
          </w:p>
        </w:tc>
        <w:tc>
          <w:tcPr>
            <w:tcW w:w="1134" w:type="dxa"/>
            <w:shd w:val="clear" w:color="auto" w:fill="auto"/>
          </w:tcPr>
          <w:p w14:paraId="5F1FF969" w14:textId="77777777" w:rsidR="00C51F04" w:rsidRPr="00A4731B" w:rsidRDefault="00C51F04" w:rsidP="00C51F04">
            <w:pPr>
              <w:pStyle w:val="A-TableText"/>
              <w:spacing w:line="240" w:lineRule="auto"/>
              <w:jc w:val="center"/>
              <w:rPr>
                <w:sz w:val="18"/>
                <w:szCs w:val="18"/>
              </w:rPr>
            </w:pPr>
            <w:r w:rsidRPr="00A4731B">
              <w:rPr>
                <w:sz w:val="18"/>
                <w:szCs w:val="18"/>
              </w:rPr>
              <w:t>0.7%</w:t>
            </w:r>
          </w:p>
        </w:tc>
        <w:tc>
          <w:tcPr>
            <w:tcW w:w="1518" w:type="dxa"/>
            <w:shd w:val="clear" w:color="auto" w:fill="auto"/>
          </w:tcPr>
          <w:p w14:paraId="68B00E34" w14:textId="77777777" w:rsidR="00C51F04" w:rsidRPr="00A4731B" w:rsidRDefault="00C51F04" w:rsidP="00C51F04">
            <w:pPr>
              <w:pStyle w:val="A-TableText"/>
              <w:spacing w:line="240" w:lineRule="auto"/>
              <w:jc w:val="center"/>
              <w:rPr>
                <w:sz w:val="18"/>
                <w:szCs w:val="18"/>
              </w:rPr>
            </w:pPr>
            <w:r w:rsidRPr="00A4731B">
              <w:rPr>
                <w:sz w:val="18"/>
                <w:szCs w:val="18"/>
              </w:rPr>
              <w:t>89.2%</w:t>
            </w:r>
          </w:p>
        </w:tc>
        <w:tc>
          <w:tcPr>
            <w:tcW w:w="1175" w:type="dxa"/>
            <w:shd w:val="clear" w:color="auto" w:fill="auto"/>
          </w:tcPr>
          <w:p w14:paraId="451DD1A8" w14:textId="77777777" w:rsidR="00C51F04" w:rsidRPr="00A4731B" w:rsidRDefault="00C51F04" w:rsidP="00C51F04">
            <w:pPr>
              <w:pStyle w:val="A-TableText"/>
              <w:spacing w:line="240" w:lineRule="auto"/>
              <w:jc w:val="center"/>
              <w:rPr>
                <w:sz w:val="18"/>
                <w:szCs w:val="18"/>
              </w:rPr>
            </w:pPr>
            <w:r w:rsidRPr="00A4731B">
              <w:rPr>
                <w:sz w:val="18"/>
                <w:szCs w:val="18"/>
              </w:rPr>
              <w:t>67.7, 97.4</w:t>
            </w:r>
          </w:p>
        </w:tc>
      </w:tr>
      <w:tr w:rsidR="00C51F04" w:rsidRPr="00A4731B" w14:paraId="2ED4B477" w14:textId="77777777" w:rsidTr="00863D3A">
        <w:trPr>
          <w:cantSplit/>
        </w:trPr>
        <w:tc>
          <w:tcPr>
            <w:tcW w:w="1000" w:type="dxa"/>
            <w:shd w:val="clear" w:color="auto" w:fill="auto"/>
          </w:tcPr>
          <w:p w14:paraId="55B7CB3D" w14:textId="77777777" w:rsidR="00C51F04" w:rsidRPr="00A4731B" w:rsidRDefault="00C51F04" w:rsidP="00A4731B">
            <w:pPr>
              <w:pStyle w:val="A-TableText"/>
              <w:spacing w:line="240" w:lineRule="auto"/>
              <w:rPr>
                <w:sz w:val="18"/>
                <w:szCs w:val="18"/>
              </w:rPr>
            </w:pPr>
            <w:r w:rsidRPr="00A4731B">
              <w:rPr>
                <w:sz w:val="18"/>
                <w:szCs w:val="18"/>
              </w:rPr>
              <w:t>A/H3N2</w:t>
            </w:r>
          </w:p>
        </w:tc>
        <w:tc>
          <w:tcPr>
            <w:tcW w:w="809" w:type="dxa"/>
            <w:shd w:val="clear" w:color="auto" w:fill="auto"/>
          </w:tcPr>
          <w:p w14:paraId="06FCD74E"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2CDC6D48" w14:textId="77777777" w:rsidR="00C51F04" w:rsidRPr="00863D3A" w:rsidRDefault="00C51F04" w:rsidP="00C51F04">
            <w:pPr>
              <w:pStyle w:val="A-TableText"/>
              <w:spacing w:line="240" w:lineRule="auto"/>
              <w:jc w:val="center"/>
              <w:rPr>
                <w:sz w:val="18"/>
                <w:szCs w:val="18"/>
              </w:rPr>
            </w:pPr>
            <w:r w:rsidRPr="00863D3A">
              <w:rPr>
                <w:sz w:val="18"/>
                <w:szCs w:val="18"/>
              </w:rPr>
              <w:t>0</w:t>
            </w:r>
          </w:p>
        </w:tc>
        <w:tc>
          <w:tcPr>
            <w:tcW w:w="1134" w:type="dxa"/>
            <w:shd w:val="clear" w:color="auto" w:fill="auto"/>
          </w:tcPr>
          <w:p w14:paraId="1F592180" w14:textId="77777777" w:rsidR="00C51F04" w:rsidRPr="00863D3A" w:rsidRDefault="00C51F04" w:rsidP="00C51F04">
            <w:pPr>
              <w:pStyle w:val="A-TableText"/>
              <w:spacing w:line="240" w:lineRule="auto"/>
              <w:jc w:val="center"/>
              <w:rPr>
                <w:sz w:val="18"/>
                <w:szCs w:val="18"/>
              </w:rPr>
            </w:pPr>
            <w:r w:rsidRPr="00863D3A">
              <w:rPr>
                <w:sz w:val="18"/>
                <w:szCs w:val="18"/>
              </w:rPr>
              <w:t>0.0%</w:t>
            </w:r>
          </w:p>
        </w:tc>
        <w:tc>
          <w:tcPr>
            <w:tcW w:w="709" w:type="dxa"/>
            <w:shd w:val="clear" w:color="auto" w:fill="auto"/>
          </w:tcPr>
          <w:p w14:paraId="3966E3C6"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3B3CE637" w14:textId="77777777" w:rsidR="00C51F04" w:rsidRPr="00A4731B" w:rsidRDefault="00C51F04" w:rsidP="00C51F04">
            <w:pPr>
              <w:pStyle w:val="A-TableText"/>
              <w:spacing w:line="240" w:lineRule="auto"/>
              <w:jc w:val="center"/>
              <w:rPr>
                <w:sz w:val="18"/>
                <w:szCs w:val="18"/>
              </w:rPr>
            </w:pPr>
            <w:r w:rsidRPr="00A4731B">
              <w:rPr>
                <w:sz w:val="18"/>
                <w:szCs w:val="18"/>
              </w:rPr>
              <w:t>0</w:t>
            </w:r>
          </w:p>
        </w:tc>
        <w:tc>
          <w:tcPr>
            <w:tcW w:w="1134" w:type="dxa"/>
            <w:shd w:val="clear" w:color="auto" w:fill="auto"/>
          </w:tcPr>
          <w:p w14:paraId="2A58AA2B" w14:textId="77777777" w:rsidR="00C51F04" w:rsidRPr="00A4731B" w:rsidRDefault="00C51F04" w:rsidP="00C51F04">
            <w:pPr>
              <w:pStyle w:val="A-TableText"/>
              <w:spacing w:line="240" w:lineRule="auto"/>
              <w:jc w:val="center"/>
              <w:rPr>
                <w:sz w:val="18"/>
                <w:szCs w:val="18"/>
              </w:rPr>
            </w:pPr>
            <w:r w:rsidRPr="00A4731B">
              <w:rPr>
                <w:sz w:val="18"/>
                <w:szCs w:val="18"/>
              </w:rPr>
              <w:t>0.0%</w:t>
            </w:r>
          </w:p>
        </w:tc>
        <w:tc>
          <w:tcPr>
            <w:tcW w:w="1518" w:type="dxa"/>
            <w:shd w:val="clear" w:color="auto" w:fill="auto"/>
          </w:tcPr>
          <w:p w14:paraId="2684F376" w14:textId="77777777" w:rsidR="00C51F04" w:rsidRPr="00A4731B" w:rsidRDefault="00C51F04" w:rsidP="00C51F04">
            <w:pPr>
              <w:pStyle w:val="A-TableText"/>
              <w:spacing w:line="240" w:lineRule="auto"/>
              <w:jc w:val="center"/>
              <w:rPr>
                <w:sz w:val="18"/>
                <w:szCs w:val="18"/>
              </w:rPr>
            </w:pPr>
            <w:r w:rsidRPr="00A4731B">
              <w:rPr>
                <w:sz w:val="18"/>
                <w:szCs w:val="18"/>
              </w:rPr>
              <w:t>--</w:t>
            </w:r>
          </w:p>
        </w:tc>
        <w:tc>
          <w:tcPr>
            <w:tcW w:w="1175" w:type="dxa"/>
            <w:shd w:val="clear" w:color="auto" w:fill="auto"/>
          </w:tcPr>
          <w:p w14:paraId="557CC66A" w14:textId="77777777" w:rsidR="00C51F04" w:rsidRPr="00A4731B" w:rsidRDefault="00C51F04" w:rsidP="00C51F04">
            <w:pPr>
              <w:pStyle w:val="A-TableText"/>
              <w:spacing w:line="240" w:lineRule="auto"/>
              <w:jc w:val="center"/>
              <w:rPr>
                <w:sz w:val="18"/>
                <w:szCs w:val="18"/>
              </w:rPr>
            </w:pPr>
            <w:r w:rsidRPr="00A4731B">
              <w:rPr>
                <w:sz w:val="18"/>
                <w:szCs w:val="18"/>
              </w:rPr>
              <w:t>--</w:t>
            </w:r>
          </w:p>
        </w:tc>
      </w:tr>
      <w:tr w:rsidR="00C51F04" w:rsidRPr="00A4731B" w14:paraId="5F7B942B" w14:textId="77777777" w:rsidTr="00863D3A">
        <w:trPr>
          <w:cantSplit/>
        </w:trPr>
        <w:tc>
          <w:tcPr>
            <w:tcW w:w="1000" w:type="dxa"/>
            <w:tcBorders>
              <w:bottom w:val="single" w:sz="2" w:space="0" w:color="auto"/>
            </w:tcBorders>
            <w:shd w:val="clear" w:color="auto" w:fill="auto"/>
          </w:tcPr>
          <w:p w14:paraId="311BF88C" w14:textId="77777777" w:rsidR="00C51F04" w:rsidRPr="00A4731B" w:rsidRDefault="00C51F04" w:rsidP="00A4731B">
            <w:pPr>
              <w:pStyle w:val="A-TableText"/>
              <w:spacing w:line="240" w:lineRule="auto"/>
              <w:rPr>
                <w:sz w:val="18"/>
                <w:szCs w:val="18"/>
              </w:rPr>
            </w:pPr>
            <w:r w:rsidRPr="00A4731B">
              <w:rPr>
                <w:sz w:val="18"/>
                <w:szCs w:val="18"/>
              </w:rPr>
              <w:t>B</w:t>
            </w:r>
          </w:p>
        </w:tc>
        <w:tc>
          <w:tcPr>
            <w:tcW w:w="809" w:type="dxa"/>
            <w:tcBorders>
              <w:bottom w:val="single" w:sz="2" w:space="0" w:color="auto"/>
            </w:tcBorders>
            <w:shd w:val="clear" w:color="auto" w:fill="auto"/>
          </w:tcPr>
          <w:p w14:paraId="191AD8FF"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tcBorders>
              <w:bottom w:val="single" w:sz="2" w:space="0" w:color="auto"/>
            </w:tcBorders>
            <w:shd w:val="clear" w:color="auto" w:fill="auto"/>
          </w:tcPr>
          <w:p w14:paraId="360362B6" w14:textId="77777777" w:rsidR="00C51F04" w:rsidRPr="00863D3A" w:rsidRDefault="00C51F04" w:rsidP="00C51F04">
            <w:pPr>
              <w:pStyle w:val="A-TableText"/>
              <w:spacing w:line="240" w:lineRule="auto"/>
              <w:jc w:val="center"/>
              <w:rPr>
                <w:sz w:val="18"/>
                <w:szCs w:val="18"/>
              </w:rPr>
            </w:pPr>
            <w:r w:rsidRPr="00863D3A">
              <w:rPr>
                <w:sz w:val="18"/>
                <w:szCs w:val="18"/>
              </w:rPr>
              <w:t>50</w:t>
            </w:r>
          </w:p>
        </w:tc>
        <w:tc>
          <w:tcPr>
            <w:tcW w:w="1134" w:type="dxa"/>
            <w:tcBorders>
              <w:bottom w:val="single" w:sz="2" w:space="0" w:color="auto"/>
            </w:tcBorders>
            <w:shd w:val="clear" w:color="auto" w:fill="auto"/>
          </w:tcPr>
          <w:p w14:paraId="3AEEC32C" w14:textId="77777777" w:rsidR="00C51F04" w:rsidRPr="00863D3A" w:rsidRDefault="00C51F04" w:rsidP="00C51F04">
            <w:pPr>
              <w:pStyle w:val="A-TableText"/>
              <w:spacing w:line="240" w:lineRule="auto"/>
              <w:jc w:val="center"/>
              <w:rPr>
                <w:sz w:val="18"/>
                <w:szCs w:val="18"/>
              </w:rPr>
            </w:pPr>
            <w:r w:rsidRPr="00863D3A">
              <w:rPr>
                <w:sz w:val="18"/>
                <w:szCs w:val="18"/>
              </w:rPr>
              <w:t>1.3%</w:t>
            </w:r>
          </w:p>
        </w:tc>
        <w:tc>
          <w:tcPr>
            <w:tcW w:w="709" w:type="dxa"/>
            <w:tcBorders>
              <w:bottom w:val="single" w:sz="2" w:space="0" w:color="auto"/>
            </w:tcBorders>
            <w:shd w:val="clear" w:color="auto" w:fill="auto"/>
          </w:tcPr>
          <w:p w14:paraId="74C24DC4"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tcBorders>
              <w:bottom w:val="single" w:sz="2" w:space="0" w:color="auto"/>
            </w:tcBorders>
            <w:shd w:val="clear" w:color="auto" w:fill="auto"/>
          </w:tcPr>
          <w:p w14:paraId="5D2E4FCA" w14:textId="77777777" w:rsidR="00C51F04" w:rsidRPr="00A4731B" w:rsidRDefault="00C51F04" w:rsidP="00C51F04">
            <w:pPr>
              <w:pStyle w:val="A-TableText"/>
              <w:spacing w:line="240" w:lineRule="auto"/>
              <w:jc w:val="center"/>
              <w:rPr>
                <w:sz w:val="18"/>
                <w:szCs w:val="18"/>
              </w:rPr>
            </w:pPr>
            <w:r w:rsidRPr="00A4731B">
              <w:rPr>
                <w:sz w:val="18"/>
                <w:szCs w:val="18"/>
              </w:rPr>
              <w:t>67</w:t>
            </w:r>
          </w:p>
        </w:tc>
        <w:tc>
          <w:tcPr>
            <w:tcW w:w="1134" w:type="dxa"/>
            <w:tcBorders>
              <w:bottom w:val="single" w:sz="2" w:space="0" w:color="auto"/>
            </w:tcBorders>
            <w:shd w:val="clear" w:color="auto" w:fill="auto"/>
          </w:tcPr>
          <w:p w14:paraId="54B7CE53" w14:textId="77777777" w:rsidR="00C51F04" w:rsidRPr="00A4731B" w:rsidRDefault="00C51F04" w:rsidP="00C51F04">
            <w:pPr>
              <w:pStyle w:val="A-TableText"/>
              <w:spacing w:line="240" w:lineRule="auto"/>
              <w:jc w:val="center"/>
              <w:rPr>
                <w:sz w:val="18"/>
                <w:szCs w:val="18"/>
              </w:rPr>
            </w:pPr>
            <w:r w:rsidRPr="00A4731B">
              <w:rPr>
                <w:sz w:val="18"/>
                <w:szCs w:val="18"/>
              </w:rPr>
              <w:t>1.7%</w:t>
            </w:r>
          </w:p>
        </w:tc>
        <w:tc>
          <w:tcPr>
            <w:tcW w:w="1518" w:type="dxa"/>
            <w:tcBorders>
              <w:bottom w:val="single" w:sz="2" w:space="0" w:color="auto"/>
            </w:tcBorders>
            <w:shd w:val="clear" w:color="auto" w:fill="auto"/>
          </w:tcPr>
          <w:p w14:paraId="2A732D1B" w14:textId="77777777" w:rsidR="00C51F04" w:rsidRPr="00A4731B" w:rsidRDefault="00C51F04" w:rsidP="00C51F04">
            <w:pPr>
              <w:pStyle w:val="A-TableText"/>
              <w:spacing w:line="240" w:lineRule="auto"/>
              <w:jc w:val="center"/>
              <w:rPr>
                <w:sz w:val="18"/>
                <w:szCs w:val="18"/>
              </w:rPr>
            </w:pPr>
            <w:r w:rsidRPr="00A4731B">
              <w:rPr>
                <w:sz w:val="18"/>
                <w:szCs w:val="18"/>
              </w:rPr>
              <w:t>27.3%</w:t>
            </w:r>
          </w:p>
        </w:tc>
        <w:tc>
          <w:tcPr>
            <w:tcW w:w="1175" w:type="dxa"/>
            <w:tcBorders>
              <w:bottom w:val="single" w:sz="2" w:space="0" w:color="auto"/>
            </w:tcBorders>
            <w:shd w:val="clear" w:color="auto" w:fill="auto"/>
          </w:tcPr>
          <w:p w14:paraId="1F962E51" w14:textId="77777777" w:rsidR="00C51F04" w:rsidRPr="00A4731B" w:rsidRDefault="00C51F04" w:rsidP="00C51F04">
            <w:pPr>
              <w:pStyle w:val="A-TableText"/>
              <w:spacing w:line="240" w:lineRule="auto"/>
              <w:jc w:val="center"/>
              <w:rPr>
                <w:sz w:val="18"/>
                <w:szCs w:val="18"/>
              </w:rPr>
            </w:pPr>
            <w:r w:rsidRPr="00A4731B">
              <w:rPr>
                <w:sz w:val="18"/>
                <w:szCs w:val="18"/>
              </w:rPr>
              <w:t>-4.8, 49.9</w:t>
            </w:r>
          </w:p>
        </w:tc>
      </w:tr>
      <w:tr w:rsidR="00C51F04" w:rsidRPr="00A4731B" w14:paraId="70E3D8A3" w14:textId="77777777" w:rsidTr="009A50A1">
        <w:trPr>
          <w:cantSplit/>
        </w:trPr>
        <w:tc>
          <w:tcPr>
            <w:tcW w:w="9180" w:type="dxa"/>
            <w:gridSpan w:val="9"/>
            <w:tcBorders>
              <w:top w:val="single" w:sz="2" w:space="0" w:color="auto"/>
            </w:tcBorders>
            <w:shd w:val="clear" w:color="auto" w:fill="auto"/>
          </w:tcPr>
          <w:p w14:paraId="22F01F0C" w14:textId="77777777" w:rsidR="00C51F04" w:rsidRPr="00863D3A" w:rsidRDefault="00C51F04" w:rsidP="00A4731B">
            <w:pPr>
              <w:pStyle w:val="A-TableText"/>
              <w:spacing w:line="240" w:lineRule="auto"/>
              <w:rPr>
                <w:b/>
                <w:sz w:val="18"/>
                <w:szCs w:val="18"/>
              </w:rPr>
            </w:pPr>
            <w:r w:rsidRPr="00863D3A">
              <w:rPr>
                <w:b/>
                <w:sz w:val="18"/>
                <w:szCs w:val="18"/>
              </w:rPr>
              <w:t>Mismatched Strains</w:t>
            </w:r>
          </w:p>
        </w:tc>
      </w:tr>
      <w:tr w:rsidR="00C51F04" w:rsidRPr="00A4731B" w14:paraId="66208002" w14:textId="77777777" w:rsidTr="00863D3A">
        <w:trPr>
          <w:cantSplit/>
        </w:trPr>
        <w:tc>
          <w:tcPr>
            <w:tcW w:w="1000" w:type="dxa"/>
            <w:shd w:val="clear" w:color="auto" w:fill="auto"/>
          </w:tcPr>
          <w:p w14:paraId="6FFAD7C7" w14:textId="77777777" w:rsidR="00C51F04" w:rsidRPr="00A4731B" w:rsidRDefault="00C51F04" w:rsidP="00A4731B">
            <w:pPr>
              <w:pStyle w:val="A-TableText"/>
              <w:spacing w:line="240" w:lineRule="auto"/>
              <w:rPr>
                <w:sz w:val="18"/>
                <w:szCs w:val="18"/>
              </w:rPr>
            </w:pPr>
            <w:r w:rsidRPr="00A4731B">
              <w:rPr>
                <w:sz w:val="18"/>
                <w:szCs w:val="18"/>
              </w:rPr>
              <w:t>All strains</w:t>
            </w:r>
          </w:p>
        </w:tc>
        <w:tc>
          <w:tcPr>
            <w:tcW w:w="809" w:type="dxa"/>
            <w:shd w:val="clear" w:color="auto" w:fill="auto"/>
          </w:tcPr>
          <w:p w14:paraId="0534E329"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58FB44BB" w14:textId="77777777" w:rsidR="00C51F04" w:rsidRPr="00863D3A" w:rsidRDefault="00C51F04" w:rsidP="00C51F04">
            <w:pPr>
              <w:pStyle w:val="A-TableText"/>
              <w:spacing w:line="240" w:lineRule="auto"/>
              <w:jc w:val="center"/>
              <w:rPr>
                <w:sz w:val="18"/>
                <w:szCs w:val="18"/>
              </w:rPr>
            </w:pPr>
            <w:r w:rsidRPr="00863D3A">
              <w:rPr>
                <w:sz w:val="18"/>
                <w:szCs w:val="18"/>
              </w:rPr>
              <w:t>102</w:t>
            </w:r>
          </w:p>
        </w:tc>
        <w:tc>
          <w:tcPr>
            <w:tcW w:w="1134" w:type="dxa"/>
            <w:shd w:val="clear" w:color="auto" w:fill="auto"/>
          </w:tcPr>
          <w:p w14:paraId="3A88938C" w14:textId="77777777" w:rsidR="00C51F04" w:rsidRPr="00863D3A" w:rsidRDefault="00C51F04" w:rsidP="00C51F04">
            <w:pPr>
              <w:pStyle w:val="A-TableText"/>
              <w:spacing w:line="240" w:lineRule="auto"/>
              <w:jc w:val="center"/>
              <w:rPr>
                <w:sz w:val="18"/>
                <w:szCs w:val="18"/>
              </w:rPr>
            </w:pPr>
            <w:r w:rsidRPr="00863D3A">
              <w:rPr>
                <w:sz w:val="18"/>
                <w:szCs w:val="18"/>
              </w:rPr>
              <w:t>2.6%</w:t>
            </w:r>
          </w:p>
        </w:tc>
        <w:tc>
          <w:tcPr>
            <w:tcW w:w="709" w:type="dxa"/>
            <w:shd w:val="clear" w:color="auto" w:fill="auto"/>
          </w:tcPr>
          <w:p w14:paraId="249144FE"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741083A9" w14:textId="77777777" w:rsidR="00C51F04" w:rsidRPr="00A4731B" w:rsidRDefault="00C51F04" w:rsidP="00C51F04">
            <w:pPr>
              <w:pStyle w:val="A-TableText"/>
              <w:spacing w:line="240" w:lineRule="auto"/>
              <w:jc w:val="center"/>
              <w:rPr>
                <w:sz w:val="18"/>
                <w:szCs w:val="18"/>
              </w:rPr>
            </w:pPr>
            <w:r w:rsidRPr="00A4731B">
              <w:rPr>
                <w:sz w:val="18"/>
                <w:szCs w:val="18"/>
              </w:rPr>
              <w:t>245</w:t>
            </w:r>
          </w:p>
        </w:tc>
        <w:tc>
          <w:tcPr>
            <w:tcW w:w="1134" w:type="dxa"/>
            <w:shd w:val="clear" w:color="auto" w:fill="auto"/>
          </w:tcPr>
          <w:p w14:paraId="3897DDDC" w14:textId="77777777" w:rsidR="00C51F04" w:rsidRPr="00A4731B" w:rsidRDefault="00C51F04" w:rsidP="00C51F04">
            <w:pPr>
              <w:pStyle w:val="A-TableText"/>
              <w:spacing w:line="240" w:lineRule="auto"/>
              <w:jc w:val="center"/>
              <w:rPr>
                <w:sz w:val="18"/>
                <w:szCs w:val="18"/>
              </w:rPr>
            </w:pPr>
            <w:r w:rsidRPr="00A4731B">
              <w:rPr>
                <w:sz w:val="18"/>
                <w:szCs w:val="18"/>
              </w:rPr>
              <w:t>6.2%</w:t>
            </w:r>
          </w:p>
        </w:tc>
        <w:tc>
          <w:tcPr>
            <w:tcW w:w="1518" w:type="dxa"/>
            <w:shd w:val="clear" w:color="auto" w:fill="auto"/>
          </w:tcPr>
          <w:p w14:paraId="35271751" w14:textId="77777777" w:rsidR="00C51F04" w:rsidRPr="00A4731B" w:rsidRDefault="00C51F04" w:rsidP="00C51F04">
            <w:pPr>
              <w:pStyle w:val="A-TableText"/>
              <w:spacing w:line="240" w:lineRule="auto"/>
              <w:jc w:val="center"/>
              <w:rPr>
                <w:sz w:val="18"/>
                <w:szCs w:val="18"/>
              </w:rPr>
            </w:pPr>
            <w:r w:rsidRPr="00A4731B">
              <w:rPr>
                <w:sz w:val="18"/>
                <w:szCs w:val="18"/>
              </w:rPr>
              <w:t>58.2%</w:t>
            </w:r>
          </w:p>
        </w:tc>
        <w:tc>
          <w:tcPr>
            <w:tcW w:w="1175" w:type="dxa"/>
            <w:shd w:val="clear" w:color="auto" w:fill="auto"/>
          </w:tcPr>
          <w:p w14:paraId="37B64276" w14:textId="77777777" w:rsidR="00C51F04" w:rsidRPr="00A4731B" w:rsidRDefault="00C51F04" w:rsidP="00C51F04">
            <w:pPr>
              <w:pStyle w:val="A-TableText"/>
              <w:spacing w:line="240" w:lineRule="auto"/>
              <w:jc w:val="center"/>
              <w:rPr>
                <w:sz w:val="18"/>
                <w:szCs w:val="18"/>
              </w:rPr>
            </w:pPr>
            <w:r w:rsidRPr="00A4731B">
              <w:rPr>
                <w:sz w:val="18"/>
                <w:szCs w:val="18"/>
              </w:rPr>
              <w:t>47.4, 67.0</w:t>
            </w:r>
          </w:p>
        </w:tc>
      </w:tr>
      <w:tr w:rsidR="00C51F04" w:rsidRPr="00A4731B" w14:paraId="5FB074C2" w14:textId="77777777" w:rsidTr="00863D3A">
        <w:trPr>
          <w:cantSplit/>
        </w:trPr>
        <w:tc>
          <w:tcPr>
            <w:tcW w:w="1000" w:type="dxa"/>
            <w:shd w:val="clear" w:color="auto" w:fill="auto"/>
          </w:tcPr>
          <w:p w14:paraId="07DBB016" w14:textId="77777777" w:rsidR="00C51F04" w:rsidRPr="00A4731B" w:rsidRDefault="00C51F04" w:rsidP="00A4731B">
            <w:pPr>
              <w:pStyle w:val="A-TableText"/>
              <w:spacing w:line="240" w:lineRule="auto"/>
              <w:rPr>
                <w:sz w:val="18"/>
                <w:szCs w:val="18"/>
              </w:rPr>
            </w:pPr>
            <w:r w:rsidRPr="00A4731B">
              <w:rPr>
                <w:sz w:val="18"/>
                <w:szCs w:val="18"/>
              </w:rPr>
              <w:t>A/H1N1</w:t>
            </w:r>
          </w:p>
        </w:tc>
        <w:tc>
          <w:tcPr>
            <w:tcW w:w="809" w:type="dxa"/>
            <w:shd w:val="clear" w:color="auto" w:fill="auto"/>
          </w:tcPr>
          <w:p w14:paraId="11FEE9ED"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7B60E9D5" w14:textId="77777777" w:rsidR="00C51F04" w:rsidRPr="00863D3A" w:rsidRDefault="00C51F04" w:rsidP="00C51F04">
            <w:pPr>
              <w:pStyle w:val="A-TableText"/>
              <w:spacing w:line="240" w:lineRule="auto"/>
              <w:jc w:val="center"/>
              <w:rPr>
                <w:sz w:val="18"/>
                <w:szCs w:val="18"/>
              </w:rPr>
            </w:pPr>
            <w:r w:rsidRPr="00863D3A">
              <w:rPr>
                <w:sz w:val="18"/>
                <w:szCs w:val="18"/>
              </w:rPr>
              <w:t>0</w:t>
            </w:r>
          </w:p>
        </w:tc>
        <w:tc>
          <w:tcPr>
            <w:tcW w:w="1134" w:type="dxa"/>
            <w:shd w:val="clear" w:color="auto" w:fill="auto"/>
          </w:tcPr>
          <w:p w14:paraId="4FF78E2F" w14:textId="77777777" w:rsidR="00C51F04" w:rsidRPr="00863D3A" w:rsidRDefault="00C51F04" w:rsidP="00C51F04">
            <w:pPr>
              <w:pStyle w:val="A-TableText"/>
              <w:spacing w:line="240" w:lineRule="auto"/>
              <w:jc w:val="center"/>
              <w:rPr>
                <w:sz w:val="18"/>
                <w:szCs w:val="18"/>
              </w:rPr>
            </w:pPr>
            <w:r w:rsidRPr="00863D3A">
              <w:rPr>
                <w:sz w:val="18"/>
                <w:szCs w:val="18"/>
              </w:rPr>
              <w:t>0.0%</w:t>
            </w:r>
          </w:p>
        </w:tc>
        <w:tc>
          <w:tcPr>
            <w:tcW w:w="709" w:type="dxa"/>
            <w:shd w:val="clear" w:color="auto" w:fill="auto"/>
          </w:tcPr>
          <w:p w14:paraId="67167A03"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6453B63B" w14:textId="77777777" w:rsidR="00C51F04" w:rsidRPr="00A4731B" w:rsidRDefault="00C51F04" w:rsidP="00C51F04">
            <w:pPr>
              <w:pStyle w:val="A-TableText"/>
              <w:spacing w:line="240" w:lineRule="auto"/>
              <w:jc w:val="center"/>
              <w:rPr>
                <w:sz w:val="18"/>
                <w:szCs w:val="18"/>
              </w:rPr>
            </w:pPr>
            <w:r w:rsidRPr="00A4731B">
              <w:rPr>
                <w:sz w:val="18"/>
                <w:szCs w:val="18"/>
              </w:rPr>
              <w:t>0</w:t>
            </w:r>
          </w:p>
        </w:tc>
        <w:tc>
          <w:tcPr>
            <w:tcW w:w="1134" w:type="dxa"/>
            <w:shd w:val="clear" w:color="auto" w:fill="auto"/>
          </w:tcPr>
          <w:p w14:paraId="7A82D9E9" w14:textId="77777777" w:rsidR="00C51F04" w:rsidRPr="00A4731B" w:rsidRDefault="00C51F04" w:rsidP="00C51F04">
            <w:pPr>
              <w:pStyle w:val="A-TableText"/>
              <w:spacing w:line="240" w:lineRule="auto"/>
              <w:jc w:val="center"/>
              <w:rPr>
                <w:sz w:val="18"/>
                <w:szCs w:val="18"/>
              </w:rPr>
            </w:pPr>
            <w:r w:rsidRPr="00A4731B">
              <w:rPr>
                <w:sz w:val="18"/>
                <w:szCs w:val="18"/>
              </w:rPr>
              <w:t>0.0%</w:t>
            </w:r>
          </w:p>
        </w:tc>
        <w:tc>
          <w:tcPr>
            <w:tcW w:w="1518" w:type="dxa"/>
            <w:shd w:val="clear" w:color="auto" w:fill="auto"/>
          </w:tcPr>
          <w:p w14:paraId="08EEAFBE" w14:textId="77777777" w:rsidR="00C51F04" w:rsidRPr="00A4731B" w:rsidRDefault="00C51F04" w:rsidP="00C51F04">
            <w:pPr>
              <w:pStyle w:val="A-TableText"/>
              <w:spacing w:line="240" w:lineRule="auto"/>
              <w:jc w:val="center"/>
              <w:rPr>
                <w:sz w:val="18"/>
                <w:szCs w:val="18"/>
              </w:rPr>
            </w:pPr>
            <w:r w:rsidRPr="00A4731B">
              <w:rPr>
                <w:sz w:val="18"/>
                <w:szCs w:val="18"/>
              </w:rPr>
              <w:t>--</w:t>
            </w:r>
          </w:p>
        </w:tc>
        <w:tc>
          <w:tcPr>
            <w:tcW w:w="1175" w:type="dxa"/>
            <w:shd w:val="clear" w:color="auto" w:fill="auto"/>
          </w:tcPr>
          <w:p w14:paraId="47D8B54F" w14:textId="77777777" w:rsidR="00C51F04" w:rsidRPr="00A4731B" w:rsidRDefault="00C51F04" w:rsidP="00C51F04">
            <w:pPr>
              <w:pStyle w:val="A-TableText"/>
              <w:spacing w:line="240" w:lineRule="auto"/>
              <w:jc w:val="center"/>
              <w:rPr>
                <w:sz w:val="18"/>
                <w:szCs w:val="18"/>
              </w:rPr>
            </w:pPr>
            <w:r w:rsidRPr="00A4731B">
              <w:rPr>
                <w:sz w:val="18"/>
                <w:szCs w:val="18"/>
              </w:rPr>
              <w:t>--</w:t>
            </w:r>
          </w:p>
        </w:tc>
      </w:tr>
      <w:tr w:rsidR="00C51F04" w:rsidRPr="00A4731B" w14:paraId="3F1109E3" w14:textId="77777777" w:rsidTr="00863D3A">
        <w:trPr>
          <w:cantSplit/>
        </w:trPr>
        <w:tc>
          <w:tcPr>
            <w:tcW w:w="1000" w:type="dxa"/>
            <w:shd w:val="clear" w:color="auto" w:fill="auto"/>
          </w:tcPr>
          <w:p w14:paraId="0F7C273F" w14:textId="77777777" w:rsidR="00C51F04" w:rsidRPr="00A4731B" w:rsidRDefault="00C51F04" w:rsidP="00A4731B">
            <w:pPr>
              <w:pStyle w:val="A-TableText"/>
              <w:spacing w:line="240" w:lineRule="auto"/>
              <w:rPr>
                <w:sz w:val="18"/>
                <w:szCs w:val="18"/>
              </w:rPr>
            </w:pPr>
            <w:r w:rsidRPr="00A4731B">
              <w:rPr>
                <w:sz w:val="18"/>
                <w:szCs w:val="18"/>
              </w:rPr>
              <w:t>A/H3N2</w:t>
            </w:r>
          </w:p>
        </w:tc>
        <w:tc>
          <w:tcPr>
            <w:tcW w:w="809" w:type="dxa"/>
            <w:shd w:val="clear" w:color="auto" w:fill="auto"/>
          </w:tcPr>
          <w:p w14:paraId="28FA5D87"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27E2BC04" w14:textId="77777777" w:rsidR="00C51F04" w:rsidRPr="00863D3A" w:rsidRDefault="00C51F04" w:rsidP="00C51F04">
            <w:pPr>
              <w:pStyle w:val="A-TableText"/>
              <w:spacing w:line="240" w:lineRule="auto"/>
              <w:jc w:val="center"/>
              <w:rPr>
                <w:sz w:val="18"/>
                <w:szCs w:val="18"/>
              </w:rPr>
            </w:pPr>
            <w:r w:rsidRPr="00863D3A">
              <w:rPr>
                <w:sz w:val="18"/>
                <w:szCs w:val="18"/>
              </w:rPr>
              <w:t>37</w:t>
            </w:r>
          </w:p>
        </w:tc>
        <w:tc>
          <w:tcPr>
            <w:tcW w:w="1134" w:type="dxa"/>
            <w:shd w:val="clear" w:color="auto" w:fill="auto"/>
          </w:tcPr>
          <w:p w14:paraId="4053B33B" w14:textId="77777777" w:rsidR="00C51F04" w:rsidRPr="00863D3A" w:rsidRDefault="00C51F04" w:rsidP="00C51F04">
            <w:pPr>
              <w:pStyle w:val="A-TableText"/>
              <w:spacing w:line="240" w:lineRule="auto"/>
              <w:jc w:val="center"/>
              <w:rPr>
                <w:sz w:val="18"/>
                <w:szCs w:val="18"/>
              </w:rPr>
            </w:pPr>
            <w:r w:rsidRPr="00863D3A">
              <w:rPr>
                <w:sz w:val="18"/>
                <w:szCs w:val="18"/>
              </w:rPr>
              <w:t>0.9%</w:t>
            </w:r>
          </w:p>
        </w:tc>
        <w:tc>
          <w:tcPr>
            <w:tcW w:w="709" w:type="dxa"/>
            <w:shd w:val="clear" w:color="auto" w:fill="auto"/>
          </w:tcPr>
          <w:p w14:paraId="660FA6BD"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017C855E" w14:textId="77777777" w:rsidR="00C51F04" w:rsidRPr="00A4731B" w:rsidRDefault="00C51F04" w:rsidP="00C51F04">
            <w:pPr>
              <w:pStyle w:val="A-TableText"/>
              <w:spacing w:line="240" w:lineRule="auto"/>
              <w:jc w:val="center"/>
              <w:rPr>
                <w:sz w:val="18"/>
                <w:szCs w:val="18"/>
              </w:rPr>
            </w:pPr>
            <w:r w:rsidRPr="00A4731B">
              <w:rPr>
                <w:sz w:val="18"/>
                <w:szCs w:val="18"/>
              </w:rPr>
              <w:t>178</w:t>
            </w:r>
          </w:p>
        </w:tc>
        <w:tc>
          <w:tcPr>
            <w:tcW w:w="1134" w:type="dxa"/>
            <w:shd w:val="clear" w:color="auto" w:fill="auto"/>
          </w:tcPr>
          <w:p w14:paraId="21151F6C" w14:textId="77777777" w:rsidR="00C51F04" w:rsidRPr="00A4731B" w:rsidRDefault="00C51F04" w:rsidP="00C51F04">
            <w:pPr>
              <w:pStyle w:val="A-TableText"/>
              <w:spacing w:line="240" w:lineRule="auto"/>
              <w:jc w:val="center"/>
              <w:rPr>
                <w:sz w:val="18"/>
                <w:szCs w:val="18"/>
              </w:rPr>
            </w:pPr>
            <w:r w:rsidRPr="00A4731B">
              <w:rPr>
                <w:sz w:val="18"/>
                <w:szCs w:val="18"/>
              </w:rPr>
              <w:t>4.5%</w:t>
            </w:r>
          </w:p>
        </w:tc>
        <w:tc>
          <w:tcPr>
            <w:tcW w:w="1518" w:type="dxa"/>
            <w:shd w:val="clear" w:color="auto" w:fill="auto"/>
          </w:tcPr>
          <w:p w14:paraId="42633585" w14:textId="77777777" w:rsidR="00C51F04" w:rsidRPr="00A4731B" w:rsidRDefault="00C51F04" w:rsidP="00C51F04">
            <w:pPr>
              <w:pStyle w:val="A-TableText"/>
              <w:spacing w:line="240" w:lineRule="auto"/>
              <w:jc w:val="center"/>
              <w:rPr>
                <w:sz w:val="18"/>
                <w:szCs w:val="18"/>
              </w:rPr>
            </w:pPr>
            <w:r w:rsidRPr="00A4731B">
              <w:rPr>
                <w:sz w:val="18"/>
                <w:szCs w:val="18"/>
              </w:rPr>
              <w:t>79.2%</w:t>
            </w:r>
          </w:p>
        </w:tc>
        <w:tc>
          <w:tcPr>
            <w:tcW w:w="1175" w:type="dxa"/>
            <w:shd w:val="clear" w:color="auto" w:fill="auto"/>
          </w:tcPr>
          <w:p w14:paraId="73091900" w14:textId="77777777" w:rsidR="00C51F04" w:rsidRPr="00A4731B" w:rsidRDefault="00C51F04" w:rsidP="00C51F04">
            <w:pPr>
              <w:pStyle w:val="A-TableText"/>
              <w:spacing w:line="240" w:lineRule="auto"/>
              <w:jc w:val="center"/>
              <w:rPr>
                <w:sz w:val="18"/>
                <w:szCs w:val="18"/>
              </w:rPr>
            </w:pPr>
            <w:r w:rsidRPr="00A4731B">
              <w:rPr>
                <w:sz w:val="18"/>
                <w:szCs w:val="18"/>
              </w:rPr>
              <w:t>70.6, 85.7</w:t>
            </w:r>
          </w:p>
        </w:tc>
      </w:tr>
      <w:tr w:rsidR="00C51F04" w:rsidRPr="00A4731B" w14:paraId="155BD93D" w14:textId="77777777" w:rsidTr="00863D3A">
        <w:trPr>
          <w:cantSplit/>
        </w:trPr>
        <w:tc>
          <w:tcPr>
            <w:tcW w:w="1000" w:type="dxa"/>
            <w:tcBorders>
              <w:bottom w:val="single" w:sz="2" w:space="0" w:color="auto"/>
            </w:tcBorders>
            <w:shd w:val="clear" w:color="auto" w:fill="auto"/>
          </w:tcPr>
          <w:p w14:paraId="0BB53118" w14:textId="77777777" w:rsidR="00C51F04" w:rsidRPr="00A4731B" w:rsidRDefault="00C51F04" w:rsidP="00A4731B">
            <w:pPr>
              <w:pStyle w:val="A-TableText"/>
              <w:spacing w:line="240" w:lineRule="auto"/>
              <w:rPr>
                <w:sz w:val="18"/>
                <w:szCs w:val="18"/>
              </w:rPr>
            </w:pPr>
            <w:r w:rsidRPr="00A4731B">
              <w:rPr>
                <w:sz w:val="18"/>
                <w:szCs w:val="18"/>
              </w:rPr>
              <w:t>B</w:t>
            </w:r>
          </w:p>
        </w:tc>
        <w:tc>
          <w:tcPr>
            <w:tcW w:w="809" w:type="dxa"/>
            <w:tcBorders>
              <w:bottom w:val="single" w:sz="2" w:space="0" w:color="auto"/>
            </w:tcBorders>
            <w:shd w:val="clear" w:color="auto" w:fill="auto"/>
          </w:tcPr>
          <w:p w14:paraId="41292136"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tcBorders>
              <w:bottom w:val="single" w:sz="2" w:space="0" w:color="auto"/>
            </w:tcBorders>
            <w:shd w:val="clear" w:color="auto" w:fill="auto"/>
          </w:tcPr>
          <w:p w14:paraId="61EBF6FF" w14:textId="77777777" w:rsidR="00C51F04" w:rsidRPr="00863D3A" w:rsidRDefault="00C51F04" w:rsidP="00C51F04">
            <w:pPr>
              <w:pStyle w:val="A-TableText"/>
              <w:spacing w:line="240" w:lineRule="auto"/>
              <w:jc w:val="center"/>
              <w:rPr>
                <w:sz w:val="18"/>
                <w:szCs w:val="18"/>
              </w:rPr>
            </w:pPr>
            <w:r w:rsidRPr="00863D3A">
              <w:rPr>
                <w:sz w:val="18"/>
                <w:szCs w:val="18"/>
              </w:rPr>
              <w:t>66</w:t>
            </w:r>
          </w:p>
        </w:tc>
        <w:tc>
          <w:tcPr>
            <w:tcW w:w="1134" w:type="dxa"/>
            <w:tcBorders>
              <w:bottom w:val="single" w:sz="2" w:space="0" w:color="auto"/>
            </w:tcBorders>
            <w:shd w:val="clear" w:color="auto" w:fill="auto"/>
          </w:tcPr>
          <w:p w14:paraId="346F816F" w14:textId="77777777" w:rsidR="00C51F04" w:rsidRPr="00863D3A" w:rsidRDefault="00C51F04" w:rsidP="00C51F04">
            <w:pPr>
              <w:pStyle w:val="A-TableText"/>
              <w:spacing w:line="240" w:lineRule="auto"/>
              <w:jc w:val="center"/>
              <w:rPr>
                <w:sz w:val="18"/>
                <w:szCs w:val="18"/>
              </w:rPr>
            </w:pPr>
            <w:r w:rsidRPr="00863D3A">
              <w:rPr>
                <w:sz w:val="18"/>
                <w:szCs w:val="18"/>
              </w:rPr>
              <w:t>1.7%</w:t>
            </w:r>
          </w:p>
        </w:tc>
        <w:tc>
          <w:tcPr>
            <w:tcW w:w="709" w:type="dxa"/>
            <w:tcBorders>
              <w:bottom w:val="single" w:sz="2" w:space="0" w:color="auto"/>
            </w:tcBorders>
            <w:shd w:val="clear" w:color="auto" w:fill="auto"/>
          </w:tcPr>
          <w:p w14:paraId="34C54F46"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tcBorders>
              <w:bottom w:val="single" w:sz="2" w:space="0" w:color="auto"/>
            </w:tcBorders>
            <w:shd w:val="clear" w:color="auto" w:fill="auto"/>
          </w:tcPr>
          <w:p w14:paraId="107F0301" w14:textId="77777777" w:rsidR="00C51F04" w:rsidRPr="00A4731B" w:rsidRDefault="00C51F04" w:rsidP="00C51F04">
            <w:pPr>
              <w:pStyle w:val="A-TableText"/>
              <w:spacing w:line="240" w:lineRule="auto"/>
              <w:jc w:val="center"/>
              <w:rPr>
                <w:sz w:val="18"/>
                <w:szCs w:val="18"/>
              </w:rPr>
            </w:pPr>
            <w:r w:rsidRPr="00A4731B">
              <w:rPr>
                <w:sz w:val="18"/>
                <w:szCs w:val="18"/>
              </w:rPr>
              <w:t>71</w:t>
            </w:r>
          </w:p>
        </w:tc>
        <w:tc>
          <w:tcPr>
            <w:tcW w:w="1134" w:type="dxa"/>
            <w:tcBorders>
              <w:bottom w:val="single" w:sz="2" w:space="0" w:color="auto"/>
            </w:tcBorders>
            <w:shd w:val="clear" w:color="auto" w:fill="auto"/>
          </w:tcPr>
          <w:p w14:paraId="73A2F748" w14:textId="77777777" w:rsidR="00C51F04" w:rsidRPr="00A4731B" w:rsidRDefault="00C51F04" w:rsidP="00C51F04">
            <w:pPr>
              <w:pStyle w:val="A-TableText"/>
              <w:spacing w:line="240" w:lineRule="auto"/>
              <w:jc w:val="center"/>
              <w:rPr>
                <w:sz w:val="18"/>
                <w:szCs w:val="18"/>
              </w:rPr>
            </w:pPr>
            <w:r w:rsidRPr="00A4731B">
              <w:rPr>
                <w:sz w:val="18"/>
                <w:szCs w:val="18"/>
              </w:rPr>
              <w:t>1.8%</w:t>
            </w:r>
          </w:p>
        </w:tc>
        <w:tc>
          <w:tcPr>
            <w:tcW w:w="1518" w:type="dxa"/>
            <w:tcBorders>
              <w:bottom w:val="single" w:sz="2" w:space="0" w:color="auto"/>
            </w:tcBorders>
            <w:shd w:val="clear" w:color="auto" w:fill="auto"/>
          </w:tcPr>
          <w:p w14:paraId="4DF56EA8" w14:textId="77777777" w:rsidR="00C51F04" w:rsidRPr="00A4731B" w:rsidRDefault="00C51F04" w:rsidP="00C51F04">
            <w:pPr>
              <w:pStyle w:val="A-TableText"/>
              <w:spacing w:line="240" w:lineRule="auto"/>
              <w:jc w:val="center"/>
              <w:rPr>
                <w:sz w:val="18"/>
                <w:szCs w:val="18"/>
              </w:rPr>
            </w:pPr>
            <w:r w:rsidRPr="00A4731B">
              <w:rPr>
                <w:sz w:val="18"/>
                <w:szCs w:val="18"/>
              </w:rPr>
              <w:t>6.3%</w:t>
            </w:r>
          </w:p>
        </w:tc>
        <w:tc>
          <w:tcPr>
            <w:tcW w:w="1175" w:type="dxa"/>
            <w:tcBorders>
              <w:bottom w:val="single" w:sz="2" w:space="0" w:color="auto"/>
            </w:tcBorders>
            <w:shd w:val="clear" w:color="auto" w:fill="auto"/>
          </w:tcPr>
          <w:p w14:paraId="5BA2F347" w14:textId="77777777" w:rsidR="00C51F04" w:rsidRPr="00A4731B" w:rsidRDefault="00C51F04" w:rsidP="00C51F04">
            <w:pPr>
              <w:pStyle w:val="A-TableText"/>
              <w:spacing w:line="240" w:lineRule="auto"/>
              <w:jc w:val="center"/>
              <w:rPr>
                <w:sz w:val="18"/>
                <w:szCs w:val="18"/>
              </w:rPr>
            </w:pPr>
            <w:r w:rsidRPr="00A4731B">
              <w:rPr>
                <w:sz w:val="18"/>
                <w:szCs w:val="18"/>
              </w:rPr>
              <w:t>-31.6, 33.3</w:t>
            </w:r>
          </w:p>
        </w:tc>
      </w:tr>
      <w:tr w:rsidR="00C51F04" w:rsidRPr="00A4731B" w14:paraId="2F8F4A01" w14:textId="77777777" w:rsidTr="009A50A1">
        <w:trPr>
          <w:cantSplit/>
        </w:trPr>
        <w:tc>
          <w:tcPr>
            <w:tcW w:w="9180" w:type="dxa"/>
            <w:gridSpan w:val="9"/>
            <w:tcBorders>
              <w:top w:val="single" w:sz="2" w:space="0" w:color="auto"/>
            </w:tcBorders>
            <w:shd w:val="clear" w:color="auto" w:fill="auto"/>
          </w:tcPr>
          <w:p w14:paraId="7FA9C8F5" w14:textId="77777777" w:rsidR="00C51F04" w:rsidRPr="00863D3A" w:rsidRDefault="00C51F04" w:rsidP="00A4731B">
            <w:pPr>
              <w:pStyle w:val="A-TableText"/>
              <w:spacing w:line="240" w:lineRule="auto"/>
              <w:rPr>
                <w:b/>
                <w:sz w:val="18"/>
                <w:szCs w:val="18"/>
              </w:rPr>
            </w:pPr>
            <w:r w:rsidRPr="00863D3A">
              <w:rPr>
                <w:b/>
                <w:sz w:val="18"/>
                <w:szCs w:val="18"/>
              </w:rPr>
              <w:t>Regardless of Match</w:t>
            </w:r>
          </w:p>
        </w:tc>
      </w:tr>
      <w:tr w:rsidR="00C51F04" w:rsidRPr="00A4731B" w14:paraId="78CBABB9" w14:textId="77777777" w:rsidTr="00863D3A">
        <w:trPr>
          <w:cantSplit/>
        </w:trPr>
        <w:tc>
          <w:tcPr>
            <w:tcW w:w="1000" w:type="dxa"/>
            <w:shd w:val="clear" w:color="auto" w:fill="auto"/>
          </w:tcPr>
          <w:p w14:paraId="2716CA87" w14:textId="77777777" w:rsidR="00C51F04" w:rsidRPr="00A4731B" w:rsidRDefault="00C51F04" w:rsidP="00A4731B">
            <w:pPr>
              <w:pStyle w:val="A-TableText"/>
              <w:spacing w:line="240" w:lineRule="auto"/>
              <w:rPr>
                <w:sz w:val="18"/>
                <w:szCs w:val="18"/>
              </w:rPr>
            </w:pPr>
            <w:r w:rsidRPr="00A4731B">
              <w:rPr>
                <w:sz w:val="18"/>
                <w:szCs w:val="18"/>
              </w:rPr>
              <w:t>All strains</w:t>
            </w:r>
          </w:p>
        </w:tc>
        <w:tc>
          <w:tcPr>
            <w:tcW w:w="809" w:type="dxa"/>
            <w:shd w:val="clear" w:color="auto" w:fill="auto"/>
          </w:tcPr>
          <w:p w14:paraId="30645F6E"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15ADD641" w14:textId="77777777" w:rsidR="00C51F04" w:rsidRPr="00863D3A" w:rsidRDefault="00C51F04" w:rsidP="00C51F04">
            <w:pPr>
              <w:pStyle w:val="A-TableText"/>
              <w:spacing w:line="240" w:lineRule="auto"/>
              <w:jc w:val="center"/>
              <w:rPr>
                <w:sz w:val="18"/>
                <w:szCs w:val="18"/>
              </w:rPr>
            </w:pPr>
            <w:r w:rsidRPr="00863D3A">
              <w:rPr>
                <w:sz w:val="18"/>
                <w:szCs w:val="18"/>
              </w:rPr>
              <w:t>153</w:t>
            </w:r>
          </w:p>
        </w:tc>
        <w:tc>
          <w:tcPr>
            <w:tcW w:w="1134" w:type="dxa"/>
            <w:shd w:val="clear" w:color="auto" w:fill="auto"/>
          </w:tcPr>
          <w:p w14:paraId="4901468B" w14:textId="77777777" w:rsidR="00C51F04" w:rsidRPr="00863D3A" w:rsidRDefault="00C51F04" w:rsidP="00C51F04">
            <w:pPr>
              <w:pStyle w:val="A-TableText"/>
              <w:spacing w:line="240" w:lineRule="auto"/>
              <w:jc w:val="center"/>
              <w:rPr>
                <w:sz w:val="18"/>
                <w:szCs w:val="18"/>
              </w:rPr>
            </w:pPr>
            <w:r w:rsidRPr="00863D3A">
              <w:rPr>
                <w:sz w:val="18"/>
                <w:szCs w:val="18"/>
              </w:rPr>
              <w:t>3.9%</w:t>
            </w:r>
          </w:p>
        </w:tc>
        <w:tc>
          <w:tcPr>
            <w:tcW w:w="709" w:type="dxa"/>
            <w:shd w:val="clear" w:color="auto" w:fill="auto"/>
          </w:tcPr>
          <w:p w14:paraId="50FC0E8C"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70C6F8B5" w14:textId="77777777" w:rsidR="00C51F04" w:rsidRPr="00A4731B" w:rsidRDefault="00C51F04" w:rsidP="00C51F04">
            <w:pPr>
              <w:pStyle w:val="A-TableText"/>
              <w:spacing w:line="240" w:lineRule="auto"/>
              <w:jc w:val="center"/>
              <w:rPr>
                <w:sz w:val="18"/>
                <w:szCs w:val="18"/>
              </w:rPr>
            </w:pPr>
            <w:r w:rsidRPr="00A4731B">
              <w:rPr>
                <w:sz w:val="18"/>
                <w:szCs w:val="18"/>
              </w:rPr>
              <w:t>338</w:t>
            </w:r>
          </w:p>
        </w:tc>
        <w:tc>
          <w:tcPr>
            <w:tcW w:w="1134" w:type="dxa"/>
            <w:shd w:val="clear" w:color="auto" w:fill="auto"/>
          </w:tcPr>
          <w:p w14:paraId="1C402E85" w14:textId="77777777" w:rsidR="00C51F04" w:rsidRPr="00A4731B" w:rsidRDefault="00C51F04" w:rsidP="00C51F04">
            <w:pPr>
              <w:pStyle w:val="A-TableText"/>
              <w:spacing w:line="240" w:lineRule="auto"/>
              <w:jc w:val="center"/>
              <w:rPr>
                <w:sz w:val="18"/>
                <w:szCs w:val="18"/>
              </w:rPr>
            </w:pPr>
            <w:r w:rsidRPr="00A4731B">
              <w:rPr>
                <w:sz w:val="18"/>
                <w:szCs w:val="18"/>
              </w:rPr>
              <w:t>8.6%</w:t>
            </w:r>
          </w:p>
        </w:tc>
        <w:tc>
          <w:tcPr>
            <w:tcW w:w="1518" w:type="dxa"/>
            <w:shd w:val="clear" w:color="auto" w:fill="auto"/>
          </w:tcPr>
          <w:p w14:paraId="6545540B" w14:textId="77777777" w:rsidR="00C51F04" w:rsidRPr="00A4731B" w:rsidRDefault="00C51F04" w:rsidP="00C51F04">
            <w:pPr>
              <w:pStyle w:val="A-TableText"/>
              <w:spacing w:line="240" w:lineRule="auto"/>
              <w:jc w:val="center"/>
              <w:rPr>
                <w:sz w:val="18"/>
                <w:szCs w:val="18"/>
              </w:rPr>
            </w:pPr>
            <w:r w:rsidRPr="00A4731B">
              <w:rPr>
                <w:sz w:val="18"/>
                <w:szCs w:val="18"/>
              </w:rPr>
              <w:t>54.9%</w:t>
            </w:r>
          </w:p>
        </w:tc>
        <w:tc>
          <w:tcPr>
            <w:tcW w:w="1175" w:type="dxa"/>
            <w:shd w:val="clear" w:color="auto" w:fill="auto"/>
          </w:tcPr>
          <w:p w14:paraId="2FB61EE3" w14:textId="77777777" w:rsidR="00C51F04" w:rsidRPr="00A4731B" w:rsidRDefault="00C51F04" w:rsidP="00C51F04">
            <w:pPr>
              <w:pStyle w:val="A-TableText"/>
              <w:spacing w:line="240" w:lineRule="auto"/>
              <w:jc w:val="center"/>
              <w:rPr>
                <w:sz w:val="18"/>
                <w:szCs w:val="18"/>
              </w:rPr>
            </w:pPr>
            <w:r w:rsidRPr="00A4731B">
              <w:rPr>
                <w:sz w:val="18"/>
                <w:szCs w:val="18"/>
              </w:rPr>
              <w:t>45.4, 62.9</w:t>
            </w:r>
          </w:p>
        </w:tc>
      </w:tr>
      <w:tr w:rsidR="00C51F04" w:rsidRPr="00A4731B" w14:paraId="1ACC9A6A" w14:textId="77777777" w:rsidTr="00863D3A">
        <w:trPr>
          <w:cantSplit/>
        </w:trPr>
        <w:tc>
          <w:tcPr>
            <w:tcW w:w="1000" w:type="dxa"/>
            <w:shd w:val="clear" w:color="auto" w:fill="auto"/>
          </w:tcPr>
          <w:p w14:paraId="3887E06D" w14:textId="77777777" w:rsidR="00C51F04" w:rsidRPr="00A4731B" w:rsidRDefault="00C51F04" w:rsidP="00A4731B">
            <w:pPr>
              <w:pStyle w:val="A-TableText"/>
              <w:spacing w:line="240" w:lineRule="auto"/>
              <w:rPr>
                <w:sz w:val="18"/>
                <w:szCs w:val="18"/>
              </w:rPr>
            </w:pPr>
            <w:r w:rsidRPr="00A4731B">
              <w:rPr>
                <w:sz w:val="18"/>
                <w:szCs w:val="18"/>
              </w:rPr>
              <w:t>A/H1N1</w:t>
            </w:r>
          </w:p>
        </w:tc>
        <w:tc>
          <w:tcPr>
            <w:tcW w:w="809" w:type="dxa"/>
            <w:shd w:val="clear" w:color="auto" w:fill="auto"/>
          </w:tcPr>
          <w:p w14:paraId="4FB99821"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1E0DFE5C" w14:textId="77777777" w:rsidR="00C51F04" w:rsidRPr="00863D3A" w:rsidRDefault="00C51F04" w:rsidP="00C51F04">
            <w:pPr>
              <w:pStyle w:val="A-TableText"/>
              <w:spacing w:line="240" w:lineRule="auto"/>
              <w:jc w:val="center"/>
              <w:rPr>
                <w:sz w:val="18"/>
                <w:szCs w:val="18"/>
              </w:rPr>
            </w:pPr>
            <w:r w:rsidRPr="00863D3A">
              <w:rPr>
                <w:sz w:val="18"/>
                <w:szCs w:val="18"/>
              </w:rPr>
              <w:t>3</w:t>
            </w:r>
          </w:p>
        </w:tc>
        <w:tc>
          <w:tcPr>
            <w:tcW w:w="1134" w:type="dxa"/>
            <w:shd w:val="clear" w:color="auto" w:fill="auto"/>
          </w:tcPr>
          <w:p w14:paraId="19E3D722" w14:textId="77777777" w:rsidR="00C51F04" w:rsidRPr="00863D3A" w:rsidRDefault="00C51F04" w:rsidP="00C51F04">
            <w:pPr>
              <w:pStyle w:val="A-TableText"/>
              <w:spacing w:line="240" w:lineRule="auto"/>
              <w:jc w:val="center"/>
              <w:rPr>
                <w:sz w:val="18"/>
                <w:szCs w:val="18"/>
              </w:rPr>
            </w:pPr>
            <w:r w:rsidRPr="00863D3A">
              <w:rPr>
                <w:sz w:val="18"/>
                <w:szCs w:val="18"/>
              </w:rPr>
              <w:t>0.1%</w:t>
            </w:r>
          </w:p>
        </w:tc>
        <w:tc>
          <w:tcPr>
            <w:tcW w:w="709" w:type="dxa"/>
            <w:shd w:val="clear" w:color="auto" w:fill="auto"/>
          </w:tcPr>
          <w:p w14:paraId="54C0E04F"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066A0FF1" w14:textId="77777777" w:rsidR="00C51F04" w:rsidRPr="00A4731B" w:rsidRDefault="00C51F04" w:rsidP="00C51F04">
            <w:pPr>
              <w:pStyle w:val="A-TableText"/>
              <w:spacing w:line="240" w:lineRule="auto"/>
              <w:jc w:val="center"/>
              <w:rPr>
                <w:sz w:val="18"/>
                <w:szCs w:val="18"/>
              </w:rPr>
            </w:pPr>
            <w:r w:rsidRPr="00A4731B">
              <w:rPr>
                <w:sz w:val="18"/>
                <w:szCs w:val="18"/>
              </w:rPr>
              <w:t>27</w:t>
            </w:r>
          </w:p>
        </w:tc>
        <w:tc>
          <w:tcPr>
            <w:tcW w:w="1134" w:type="dxa"/>
            <w:shd w:val="clear" w:color="auto" w:fill="auto"/>
          </w:tcPr>
          <w:p w14:paraId="2DF250D7" w14:textId="77777777" w:rsidR="00C51F04" w:rsidRPr="00A4731B" w:rsidRDefault="00C51F04" w:rsidP="00C51F04">
            <w:pPr>
              <w:pStyle w:val="A-TableText"/>
              <w:spacing w:line="240" w:lineRule="auto"/>
              <w:jc w:val="center"/>
              <w:rPr>
                <w:sz w:val="18"/>
                <w:szCs w:val="18"/>
              </w:rPr>
            </w:pPr>
            <w:r w:rsidRPr="00A4731B">
              <w:rPr>
                <w:sz w:val="18"/>
                <w:szCs w:val="18"/>
              </w:rPr>
              <w:t>0.7%</w:t>
            </w:r>
          </w:p>
        </w:tc>
        <w:tc>
          <w:tcPr>
            <w:tcW w:w="1518" w:type="dxa"/>
            <w:shd w:val="clear" w:color="auto" w:fill="auto"/>
          </w:tcPr>
          <w:p w14:paraId="44141C1A" w14:textId="77777777" w:rsidR="00C51F04" w:rsidRPr="00A4731B" w:rsidRDefault="00C51F04" w:rsidP="00C51F04">
            <w:pPr>
              <w:pStyle w:val="A-TableText"/>
              <w:spacing w:line="240" w:lineRule="auto"/>
              <w:jc w:val="center"/>
              <w:rPr>
                <w:sz w:val="18"/>
                <w:szCs w:val="18"/>
              </w:rPr>
            </w:pPr>
            <w:r w:rsidRPr="00A4731B">
              <w:rPr>
                <w:sz w:val="18"/>
                <w:szCs w:val="18"/>
              </w:rPr>
              <w:t>89.2%</w:t>
            </w:r>
          </w:p>
        </w:tc>
        <w:tc>
          <w:tcPr>
            <w:tcW w:w="1175" w:type="dxa"/>
            <w:shd w:val="clear" w:color="auto" w:fill="auto"/>
          </w:tcPr>
          <w:p w14:paraId="5286DCAC" w14:textId="77777777" w:rsidR="00C51F04" w:rsidRPr="00A4731B" w:rsidRDefault="00C51F04" w:rsidP="00C51F04">
            <w:pPr>
              <w:pStyle w:val="A-TableText"/>
              <w:spacing w:line="240" w:lineRule="auto"/>
              <w:jc w:val="center"/>
              <w:rPr>
                <w:sz w:val="18"/>
                <w:szCs w:val="18"/>
              </w:rPr>
            </w:pPr>
            <w:r w:rsidRPr="00A4731B">
              <w:rPr>
                <w:sz w:val="18"/>
                <w:szCs w:val="18"/>
              </w:rPr>
              <w:t>67.7, 97.4</w:t>
            </w:r>
          </w:p>
        </w:tc>
      </w:tr>
      <w:tr w:rsidR="00C51F04" w:rsidRPr="00A4731B" w14:paraId="3229FB78" w14:textId="77777777" w:rsidTr="00863D3A">
        <w:trPr>
          <w:cantSplit/>
        </w:trPr>
        <w:tc>
          <w:tcPr>
            <w:tcW w:w="1000" w:type="dxa"/>
            <w:shd w:val="clear" w:color="auto" w:fill="auto"/>
          </w:tcPr>
          <w:p w14:paraId="364C8583" w14:textId="77777777" w:rsidR="00C51F04" w:rsidRPr="00A4731B" w:rsidRDefault="00C51F04" w:rsidP="00A4731B">
            <w:pPr>
              <w:pStyle w:val="A-TableText"/>
              <w:spacing w:line="240" w:lineRule="auto"/>
              <w:rPr>
                <w:sz w:val="18"/>
                <w:szCs w:val="18"/>
              </w:rPr>
            </w:pPr>
            <w:r w:rsidRPr="00A4731B">
              <w:rPr>
                <w:sz w:val="18"/>
                <w:szCs w:val="18"/>
              </w:rPr>
              <w:t>A/H3N2</w:t>
            </w:r>
          </w:p>
        </w:tc>
        <w:tc>
          <w:tcPr>
            <w:tcW w:w="809" w:type="dxa"/>
            <w:shd w:val="clear" w:color="auto" w:fill="auto"/>
          </w:tcPr>
          <w:p w14:paraId="30AAC47D"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shd w:val="clear" w:color="auto" w:fill="auto"/>
          </w:tcPr>
          <w:p w14:paraId="2240B758" w14:textId="77777777" w:rsidR="00C51F04" w:rsidRPr="00863D3A" w:rsidRDefault="00C51F04" w:rsidP="00C51F04">
            <w:pPr>
              <w:pStyle w:val="A-TableText"/>
              <w:spacing w:line="240" w:lineRule="auto"/>
              <w:jc w:val="center"/>
              <w:rPr>
                <w:sz w:val="18"/>
                <w:szCs w:val="18"/>
              </w:rPr>
            </w:pPr>
            <w:r w:rsidRPr="00863D3A">
              <w:rPr>
                <w:sz w:val="18"/>
                <w:szCs w:val="18"/>
              </w:rPr>
              <w:t>37</w:t>
            </w:r>
          </w:p>
        </w:tc>
        <w:tc>
          <w:tcPr>
            <w:tcW w:w="1134" w:type="dxa"/>
            <w:shd w:val="clear" w:color="auto" w:fill="auto"/>
          </w:tcPr>
          <w:p w14:paraId="27C66CD5" w14:textId="77777777" w:rsidR="00C51F04" w:rsidRPr="00863D3A" w:rsidRDefault="00C51F04" w:rsidP="00C51F04">
            <w:pPr>
              <w:pStyle w:val="A-TableText"/>
              <w:spacing w:line="240" w:lineRule="auto"/>
              <w:jc w:val="center"/>
              <w:rPr>
                <w:sz w:val="18"/>
                <w:szCs w:val="18"/>
              </w:rPr>
            </w:pPr>
            <w:r w:rsidRPr="00863D3A">
              <w:rPr>
                <w:sz w:val="18"/>
                <w:szCs w:val="18"/>
              </w:rPr>
              <w:t>0.9%</w:t>
            </w:r>
          </w:p>
        </w:tc>
        <w:tc>
          <w:tcPr>
            <w:tcW w:w="709" w:type="dxa"/>
            <w:shd w:val="clear" w:color="auto" w:fill="auto"/>
          </w:tcPr>
          <w:p w14:paraId="0249F442"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shd w:val="clear" w:color="auto" w:fill="auto"/>
          </w:tcPr>
          <w:p w14:paraId="6A2C4963" w14:textId="77777777" w:rsidR="00C51F04" w:rsidRPr="00A4731B" w:rsidRDefault="00C51F04" w:rsidP="00C51F04">
            <w:pPr>
              <w:pStyle w:val="A-TableText"/>
              <w:spacing w:line="240" w:lineRule="auto"/>
              <w:jc w:val="center"/>
              <w:rPr>
                <w:sz w:val="18"/>
                <w:szCs w:val="18"/>
              </w:rPr>
            </w:pPr>
            <w:r w:rsidRPr="00A4731B">
              <w:rPr>
                <w:sz w:val="18"/>
                <w:szCs w:val="18"/>
              </w:rPr>
              <w:t>178</w:t>
            </w:r>
          </w:p>
        </w:tc>
        <w:tc>
          <w:tcPr>
            <w:tcW w:w="1134" w:type="dxa"/>
            <w:shd w:val="clear" w:color="auto" w:fill="auto"/>
          </w:tcPr>
          <w:p w14:paraId="40084AC3" w14:textId="77777777" w:rsidR="00C51F04" w:rsidRPr="00A4731B" w:rsidRDefault="00C51F04" w:rsidP="00C51F04">
            <w:pPr>
              <w:pStyle w:val="A-TableText"/>
              <w:spacing w:line="240" w:lineRule="auto"/>
              <w:jc w:val="center"/>
              <w:rPr>
                <w:sz w:val="18"/>
                <w:szCs w:val="18"/>
              </w:rPr>
            </w:pPr>
            <w:r w:rsidRPr="00A4731B">
              <w:rPr>
                <w:sz w:val="18"/>
                <w:szCs w:val="18"/>
              </w:rPr>
              <w:t>4.5%</w:t>
            </w:r>
          </w:p>
        </w:tc>
        <w:tc>
          <w:tcPr>
            <w:tcW w:w="1518" w:type="dxa"/>
            <w:shd w:val="clear" w:color="auto" w:fill="auto"/>
          </w:tcPr>
          <w:p w14:paraId="1928E59F" w14:textId="77777777" w:rsidR="00C51F04" w:rsidRPr="00A4731B" w:rsidRDefault="00C51F04" w:rsidP="00C51F04">
            <w:pPr>
              <w:pStyle w:val="A-TableText"/>
              <w:spacing w:line="240" w:lineRule="auto"/>
              <w:jc w:val="center"/>
              <w:rPr>
                <w:sz w:val="18"/>
                <w:szCs w:val="18"/>
              </w:rPr>
            </w:pPr>
            <w:r w:rsidRPr="00A4731B">
              <w:rPr>
                <w:sz w:val="18"/>
                <w:szCs w:val="18"/>
              </w:rPr>
              <w:t>79.2%</w:t>
            </w:r>
          </w:p>
        </w:tc>
        <w:tc>
          <w:tcPr>
            <w:tcW w:w="1175" w:type="dxa"/>
            <w:shd w:val="clear" w:color="auto" w:fill="auto"/>
          </w:tcPr>
          <w:p w14:paraId="50FDC2E0" w14:textId="77777777" w:rsidR="00C51F04" w:rsidRPr="00A4731B" w:rsidRDefault="00C51F04" w:rsidP="00C51F04">
            <w:pPr>
              <w:pStyle w:val="A-TableText"/>
              <w:spacing w:line="240" w:lineRule="auto"/>
              <w:jc w:val="center"/>
              <w:rPr>
                <w:sz w:val="18"/>
                <w:szCs w:val="18"/>
              </w:rPr>
            </w:pPr>
            <w:r w:rsidRPr="00A4731B">
              <w:rPr>
                <w:sz w:val="18"/>
                <w:szCs w:val="18"/>
              </w:rPr>
              <w:t>70.6, 85.7</w:t>
            </w:r>
          </w:p>
        </w:tc>
      </w:tr>
      <w:tr w:rsidR="00C51F04" w:rsidRPr="00A4731B" w14:paraId="189FC64C" w14:textId="77777777" w:rsidTr="00863D3A">
        <w:trPr>
          <w:cantSplit/>
        </w:trPr>
        <w:tc>
          <w:tcPr>
            <w:tcW w:w="1000" w:type="dxa"/>
            <w:tcBorders>
              <w:bottom w:val="single" w:sz="12" w:space="0" w:color="auto"/>
            </w:tcBorders>
            <w:shd w:val="clear" w:color="auto" w:fill="auto"/>
          </w:tcPr>
          <w:p w14:paraId="0FA0FA3F" w14:textId="77777777" w:rsidR="00C51F04" w:rsidRPr="00A4731B" w:rsidRDefault="00C51F04" w:rsidP="00A4731B">
            <w:pPr>
              <w:pStyle w:val="A-TableText"/>
              <w:spacing w:line="240" w:lineRule="auto"/>
              <w:rPr>
                <w:sz w:val="18"/>
                <w:szCs w:val="18"/>
              </w:rPr>
            </w:pPr>
            <w:r w:rsidRPr="00A4731B">
              <w:rPr>
                <w:sz w:val="18"/>
                <w:szCs w:val="18"/>
              </w:rPr>
              <w:t>B</w:t>
            </w:r>
          </w:p>
        </w:tc>
        <w:tc>
          <w:tcPr>
            <w:tcW w:w="809" w:type="dxa"/>
            <w:tcBorders>
              <w:bottom w:val="single" w:sz="12" w:space="0" w:color="auto"/>
            </w:tcBorders>
            <w:shd w:val="clear" w:color="auto" w:fill="auto"/>
          </w:tcPr>
          <w:p w14:paraId="2DACF996" w14:textId="77777777" w:rsidR="00C51F04" w:rsidRPr="00863D3A" w:rsidRDefault="00C51F04" w:rsidP="00C51F04">
            <w:pPr>
              <w:pStyle w:val="A-TableText"/>
              <w:spacing w:line="240" w:lineRule="auto"/>
              <w:jc w:val="center"/>
              <w:rPr>
                <w:sz w:val="18"/>
                <w:szCs w:val="18"/>
              </w:rPr>
            </w:pPr>
            <w:r w:rsidRPr="00863D3A">
              <w:rPr>
                <w:sz w:val="18"/>
                <w:szCs w:val="18"/>
              </w:rPr>
              <w:t>3916</w:t>
            </w:r>
          </w:p>
        </w:tc>
        <w:tc>
          <w:tcPr>
            <w:tcW w:w="851" w:type="dxa"/>
            <w:tcBorders>
              <w:bottom w:val="single" w:sz="12" w:space="0" w:color="auto"/>
            </w:tcBorders>
            <w:shd w:val="clear" w:color="auto" w:fill="auto"/>
          </w:tcPr>
          <w:p w14:paraId="5FEFB9E5" w14:textId="77777777" w:rsidR="00C51F04" w:rsidRPr="00863D3A" w:rsidRDefault="00C51F04" w:rsidP="00C51F04">
            <w:pPr>
              <w:pStyle w:val="A-TableText"/>
              <w:spacing w:line="240" w:lineRule="auto"/>
              <w:jc w:val="center"/>
              <w:rPr>
                <w:sz w:val="18"/>
                <w:szCs w:val="18"/>
              </w:rPr>
            </w:pPr>
            <w:r w:rsidRPr="00863D3A">
              <w:rPr>
                <w:sz w:val="18"/>
                <w:szCs w:val="18"/>
              </w:rPr>
              <w:t>115</w:t>
            </w:r>
          </w:p>
        </w:tc>
        <w:tc>
          <w:tcPr>
            <w:tcW w:w="1134" w:type="dxa"/>
            <w:tcBorders>
              <w:bottom w:val="single" w:sz="12" w:space="0" w:color="auto"/>
            </w:tcBorders>
            <w:shd w:val="clear" w:color="auto" w:fill="auto"/>
          </w:tcPr>
          <w:p w14:paraId="0ABB6E32" w14:textId="77777777" w:rsidR="00C51F04" w:rsidRPr="00863D3A" w:rsidRDefault="00C51F04" w:rsidP="00C51F04">
            <w:pPr>
              <w:pStyle w:val="A-TableText"/>
              <w:spacing w:line="240" w:lineRule="auto"/>
              <w:jc w:val="center"/>
              <w:rPr>
                <w:sz w:val="18"/>
                <w:szCs w:val="18"/>
              </w:rPr>
            </w:pPr>
            <w:r w:rsidRPr="00863D3A">
              <w:rPr>
                <w:sz w:val="18"/>
                <w:szCs w:val="18"/>
              </w:rPr>
              <w:t>2.9%</w:t>
            </w:r>
          </w:p>
        </w:tc>
        <w:tc>
          <w:tcPr>
            <w:tcW w:w="709" w:type="dxa"/>
            <w:tcBorders>
              <w:bottom w:val="single" w:sz="12" w:space="0" w:color="auto"/>
            </w:tcBorders>
            <w:shd w:val="clear" w:color="auto" w:fill="auto"/>
          </w:tcPr>
          <w:p w14:paraId="537F2C22" w14:textId="77777777" w:rsidR="00C51F04" w:rsidRPr="00863D3A" w:rsidRDefault="00C51F04" w:rsidP="00C51F04">
            <w:pPr>
              <w:pStyle w:val="A-TableText"/>
              <w:spacing w:line="240" w:lineRule="auto"/>
              <w:jc w:val="center"/>
              <w:rPr>
                <w:sz w:val="18"/>
                <w:szCs w:val="18"/>
              </w:rPr>
            </w:pPr>
            <w:r w:rsidRPr="00863D3A">
              <w:rPr>
                <w:sz w:val="18"/>
                <w:szCs w:val="18"/>
              </w:rPr>
              <w:t>3936</w:t>
            </w:r>
          </w:p>
        </w:tc>
        <w:tc>
          <w:tcPr>
            <w:tcW w:w="850" w:type="dxa"/>
            <w:tcBorders>
              <w:bottom w:val="single" w:sz="12" w:space="0" w:color="auto"/>
            </w:tcBorders>
            <w:shd w:val="clear" w:color="auto" w:fill="auto"/>
          </w:tcPr>
          <w:p w14:paraId="50CD087D" w14:textId="77777777" w:rsidR="00C51F04" w:rsidRPr="00A4731B" w:rsidRDefault="00C51F04" w:rsidP="00C51F04">
            <w:pPr>
              <w:pStyle w:val="A-TableText"/>
              <w:spacing w:line="240" w:lineRule="auto"/>
              <w:jc w:val="center"/>
              <w:rPr>
                <w:sz w:val="18"/>
                <w:szCs w:val="18"/>
              </w:rPr>
            </w:pPr>
            <w:r w:rsidRPr="00A4731B">
              <w:rPr>
                <w:sz w:val="18"/>
                <w:szCs w:val="18"/>
              </w:rPr>
              <w:t>136</w:t>
            </w:r>
          </w:p>
        </w:tc>
        <w:tc>
          <w:tcPr>
            <w:tcW w:w="1134" w:type="dxa"/>
            <w:tcBorders>
              <w:bottom w:val="single" w:sz="12" w:space="0" w:color="auto"/>
            </w:tcBorders>
            <w:shd w:val="clear" w:color="auto" w:fill="auto"/>
          </w:tcPr>
          <w:p w14:paraId="64CB9214" w14:textId="77777777" w:rsidR="00C51F04" w:rsidRPr="00A4731B" w:rsidRDefault="00C51F04" w:rsidP="00C51F04">
            <w:pPr>
              <w:pStyle w:val="A-TableText"/>
              <w:spacing w:line="240" w:lineRule="auto"/>
              <w:jc w:val="center"/>
              <w:rPr>
                <w:sz w:val="18"/>
                <w:szCs w:val="18"/>
              </w:rPr>
            </w:pPr>
            <w:r w:rsidRPr="00A4731B">
              <w:rPr>
                <w:sz w:val="18"/>
                <w:szCs w:val="18"/>
              </w:rPr>
              <w:t>3.5%</w:t>
            </w:r>
          </w:p>
        </w:tc>
        <w:tc>
          <w:tcPr>
            <w:tcW w:w="1518" w:type="dxa"/>
            <w:tcBorders>
              <w:bottom w:val="single" w:sz="12" w:space="0" w:color="auto"/>
            </w:tcBorders>
            <w:shd w:val="clear" w:color="auto" w:fill="auto"/>
          </w:tcPr>
          <w:p w14:paraId="70AFEDF7" w14:textId="77777777" w:rsidR="00C51F04" w:rsidRPr="00A4731B" w:rsidRDefault="00C51F04" w:rsidP="00C51F04">
            <w:pPr>
              <w:pStyle w:val="A-TableText"/>
              <w:spacing w:line="240" w:lineRule="auto"/>
              <w:jc w:val="center"/>
              <w:rPr>
                <w:sz w:val="18"/>
                <w:szCs w:val="18"/>
              </w:rPr>
            </w:pPr>
            <w:r w:rsidRPr="00A4731B">
              <w:rPr>
                <w:sz w:val="18"/>
                <w:szCs w:val="18"/>
              </w:rPr>
              <w:t>16.1%</w:t>
            </w:r>
          </w:p>
        </w:tc>
        <w:tc>
          <w:tcPr>
            <w:tcW w:w="1175" w:type="dxa"/>
            <w:tcBorders>
              <w:bottom w:val="single" w:sz="12" w:space="0" w:color="auto"/>
            </w:tcBorders>
            <w:shd w:val="clear" w:color="auto" w:fill="auto"/>
          </w:tcPr>
          <w:p w14:paraId="284921BB" w14:textId="77777777" w:rsidR="00C51F04" w:rsidRPr="00A4731B" w:rsidRDefault="00C51F04" w:rsidP="00C51F04">
            <w:pPr>
              <w:pStyle w:val="A-TableText"/>
              <w:spacing w:line="240" w:lineRule="auto"/>
              <w:jc w:val="center"/>
              <w:rPr>
                <w:sz w:val="18"/>
                <w:szCs w:val="18"/>
              </w:rPr>
            </w:pPr>
            <w:r w:rsidRPr="00A4731B">
              <w:rPr>
                <w:sz w:val="18"/>
                <w:szCs w:val="18"/>
              </w:rPr>
              <w:t>-7.7, 34.7</w:t>
            </w:r>
          </w:p>
        </w:tc>
      </w:tr>
    </w:tbl>
    <w:p w14:paraId="44871066" w14:textId="77777777" w:rsidR="00E64437" w:rsidRPr="00FC693A" w:rsidRDefault="00496C49" w:rsidP="008F1545">
      <w:pPr>
        <w:pStyle w:val="A-TableFootnoteText"/>
        <w:rPr>
          <w:sz w:val="16"/>
          <w:szCs w:val="16"/>
        </w:rPr>
      </w:pPr>
      <w:r w:rsidRPr="006D2892">
        <w:rPr>
          <w:sz w:val="16"/>
          <w:szCs w:val="16"/>
        </w:rPr>
        <w:t>CI – confidence intervals</w:t>
      </w:r>
    </w:p>
    <w:p w14:paraId="0C8CFB24" w14:textId="77777777" w:rsidR="00496C49" w:rsidRPr="00496C49" w:rsidRDefault="00496C49" w:rsidP="00496C49">
      <w:pPr>
        <w:pStyle w:val="A-TableFootnoteText"/>
        <w:rPr>
          <w:sz w:val="16"/>
          <w:szCs w:val="16"/>
        </w:rPr>
      </w:pPr>
      <w:r w:rsidRPr="00F67E48">
        <w:rPr>
          <w:sz w:val="16"/>
          <w:szCs w:val="16"/>
          <w:vertAlign w:val="superscript"/>
        </w:rPr>
        <w:t>a</w:t>
      </w:r>
      <w:r w:rsidRPr="00F67E48">
        <w:rPr>
          <w:sz w:val="16"/>
          <w:szCs w:val="16"/>
        </w:rPr>
        <w:tab/>
        <w:t xml:space="preserve">Modified CDC-ILI was defined as fever (temperature </w:t>
      </w:r>
      <w:r w:rsidRPr="00F67E48">
        <w:rPr>
          <w:sz w:val="16"/>
          <w:szCs w:val="16"/>
        </w:rPr>
        <w:sym w:font="Symbol" w:char="F0B3"/>
      </w:r>
      <w:r w:rsidRPr="00F67E48">
        <w:rPr>
          <w:sz w:val="16"/>
          <w:szCs w:val="16"/>
        </w:rPr>
        <w:t> </w:t>
      </w:r>
      <w:r w:rsidR="00AC05FE" w:rsidRPr="00F67E48">
        <w:rPr>
          <w:sz w:val="16"/>
          <w:szCs w:val="16"/>
        </w:rPr>
        <w:t>38</w:t>
      </w:r>
      <w:r w:rsidRPr="00F67E48">
        <w:rPr>
          <w:sz w:val="16"/>
          <w:szCs w:val="16"/>
        </w:rPr>
        <w:t>°</w:t>
      </w:r>
      <w:r w:rsidR="00AC05FE" w:rsidRPr="00F67E48">
        <w:rPr>
          <w:sz w:val="16"/>
          <w:szCs w:val="16"/>
        </w:rPr>
        <w:t>C</w:t>
      </w:r>
      <w:r w:rsidRPr="00F67E48">
        <w:rPr>
          <w:sz w:val="16"/>
          <w:szCs w:val="16"/>
        </w:rPr>
        <w:t xml:space="preserve"> oral or equivalent) plus cough, sore throat, or runny</w:t>
      </w:r>
      <w:r w:rsidRPr="00496C49">
        <w:rPr>
          <w:sz w:val="16"/>
          <w:szCs w:val="16"/>
        </w:rPr>
        <w:t xml:space="preserve"> nose/nasal congestion on the same or consecutive days</w:t>
      </w:r>
    </w:p>
    <w:p w14:paraId="178B3EA4" w14:textId="77777777" w:rsidR="00496C49" w:rsidRPr="00496C49" w:rsidRDefault="00496C49" w:rsidP="00496C49">
      <w:pPr>
        <w:pStyle w:val="A-TableFootnoteText"/>
        <w:rPr>
          <w:sz w:val="16"/>
          <w:szCs w:val="16"/>
        </w:rPr>
      </w:pPr>
      <w:proofErr w:type="gramStart"/>
      <w:r w:rsidRPr="00FC693A">
        <w:rPr>
          <w:sz w:val="16"/>
          <w:szCs w:val="16"/>
          <w:vertAlign w:val="superscript"/>
        </w:rPr>
        <w:t>b</w:t>
      </w:r>
      <w:proofErr w:type="gramEnd"/>
      <w:r w:rsidRPr="00FC693A">
        <w:rPr>
          <w:sz w:val="16"/>
          <w:szCs w:val="16"/>
        </w:rPr>
        <w:tab/>
        <w:t>Injectable</w:t>
      </w:r>
      <w:r w:rsidR="00C766F6">
        <w:rPr>
          <w:sz w:val="16"/>
          <w:szCs w:val="16"/>
        </w:rPr>
        <w:t xml:space="preserve"> trivalent inactivated</w:t>
      </w:r>
      <w:r w:rsidRPr="00FC693A">
        <w:rPr>
          <w:sz w:val="16"/>
          <w:szCs w:val="16"/>
        </w:rPr>
        <w:t xml:space="preserve"> influenza vaccine</w:t>
      </w:r>
      <w:r w:rsidRPr="00FC693A">
        <w:rPr>
          <w:bCs/>
          <w:sz w:val="16"/>
          <w:szCs w:val="16"/>
        </w:rPr>
        <w:t xml:space="preserve"> </w:t>
      </w:r>
      <w:r w:rsidR="00C766F6">
        <w:rPr>
          <w:bCs/>
          <w:sz w:val="16"/>
          <w:szCs w:val="16"/>
        </w:rPr>
        <w:t>(TIV)</w:t>
      </w:r>
    </w:p>
    <w:p w14:paraId="53EED3A6" w14:textId="77777777" w:rsidR="00496C49" w:rsidRPr="00496C49" w:rsidRDefault="00496C49" w:rsidP="00496C49">
      <w:pPr>
        <w:pStyle w:val="A-TableFootnoteText"/>
        <w:rPr>
          <w:sz w:val="16"/>
          <w:szCs w:val="16"/>
        </w:rPr>
      </w:pPr>
      <w:proofErr w:type="gramStart"/>
      <w:r w:rsidRPr="00496C49">
        <w:rPr>
          <w:sz w:val="16"/>
          <w:szCs w:val="16"/>
          <w:vertAlign w:val="superscript"/>
        </w:rPr>
        <w:t>c</w:t>
      </w:r>
      <w:proofErr w:type="gramEnd"/>
      <w:r w:rsidRPr="00496C49">
        <w:rPr>
          <w:sz w:val="16"/>
          <w:szCs w:val="16"/>
        </w:rPr>
        <w:tab/>
        <w:t>Reduction in rate was adjusted for country, age, prior influenza vaccination status and wheezing history status</w:t>
      </w:r>
    </w:p>
    <w:p w14:paraId="0C3A5861" w14:textId="76CFFFB0" w:rsidR="00465FC7" w:rsidRPr="00465FC7" w:rsidRDefault="00A44343" w:rsidP="003F763E">
      <w:pPr>
        <w:pStyle w:val="A-Heading2"/>
      </w:pPr>
      <w:proofErr w:type="spellStart"/>
      <w:r>
        <w:t>FluMist</w:t>
      </w:r>
      <w:proofErr w:type="spellEnd"/>
      <w:r>
        <w:t xml:space="preserve"> </w:t>
      </w:r>
      <w:proofErr w:type="spellStart"/>
      <w:r>
        <w:t>Quadrivalent</w:t>
      </w:r>
      <w:proofErr w:type="spellEnd"/>
      <w:r>
        <w:t xml:space="preserve"> - </w:t>
      </w:r>
      <w:r w:rsidR="00325CC2">
        <w:t>Immune response study in children and a</w:t>
      </w:r>
      <w:r w:rsidR="00465FC7" w:rsidRPr="00465FC7">
        <w:t>dolescents</w:t>
      </w:r>
    </w:p>
    <w:p w14:paraId="355D493F" w14:textId="3C3346BA" w:rsidR="00465FC7" w:rsidRPr="00465FC7" w:rsidRDefault="00325CC2" w:rsidP="00465FC7">
      <w:pPr>
        <w:rPr>
          <w:lang w:val="en-GB"/>
        </w:rPr>
      </w:pPr>
      <w:r>
        <w:rPr>
          <w:lang w:val="en-GB"/>
        </w:rPr>
        <w:t>A multicentre, randomis</w:t>
      </w:r>
      <w:r w:rsidR="00465FC7" w:rsidRPr="00465FC7">
        <w:rPr>
          <w:lang w:val="en-GB"/>
        </w:rPr>
        <w:t xml:space="preserve">ed, double-blind, active-controlled, non-inferiority study </w:t>
      </w:r>
      <w:r w:rsidR="00465FC7" w:rsidRPr="00116DE3">
        <w:rPr>
          <w:lang w:val="en-GB"/>
        </w:rPr>
        <w:t>(MI-CP208</w:t>
      </w:r>
      <w:r w:rsidR="00FF7F0C" w:rsidRPr="00116DE3">
        <w:rPr>
          <w:lang w:val="en-GB"/>
        </w:rPr>
        <w:t>; Block et al 2012</w:t>
      </w:r>
      <w:r w:rsidR="00465FC7" w:rsidRPr="00116DE3">
        <w:rPr>
          <w:lang w:val="en-GB"/>
        </w:rPr>
        <w:t>) was performed to assess the immunogenicity of</w:t>
      </w:r>
      <w:r w:rsidR="00465FC7" w:rsidRPr="00465FC7">
        <w:rPr>
          <w:lang w:val="en-GB"/>
        </w:rPr>
        <w:t xml:space="preserve"> </w:t>
      </w:r>
      <w:proofErr w:type="spellStart"/>
      <w:r>
        <w:rPr>
          <w:lang w:val="en-GB"/>
        </w:rPr>
        <w:t>FluMist</w:t>
      </w:r>
      <w:proofErr w:type="spellEnd"/>
      <w:r>
        <w:rPr>
          <w:lang w:val="en-GB"/>
        </w:rPr>
        <w:t xml:space="preserve"> </w:t>
      </w:r>
      <w:proofErr w:type="spellStart"/>
      <w:r>
        <w:rPr>
          <w:lang w:val="en-GB"/>
        </w:rPr>
        <w:t>Quadrivalent</w:t>
      </w:r>
      <w:proofErr w:type="spellEnd"/>
      <w:r w:rsidR="00465FC7" w:rsidRPr="00465FC7">
        <w:rPr>
          <w:lang w:val="en-GB"/>
        </w:rPr>
        <w:t xml:space="preserve"> compared to trivalent version of </w:t>
      </w:r>
      <w:proofErr w:type="spellStart"/>
      <w:r>
        <w:rPr>
          <w:lang w:val="en-GB"/>
        </w:rPr>
        <w:t>FluMist</w:t>
      </w:r>
      <w:proofErr w:type="spellEnd"/>
      <w:r>
        <w:rPr>
          <w:lang w:val="en-GB"/>
        </w:rPr>
        <w:t xml:space="preserve"> </w:t>
      </w:r>
      <w:r w:rsidR="00465FC7" w:rsidRPr="00465FC7">
        <w:rPr>
          <w:lang w:val="en-GB"/>
        </w:rPr>
        <w:t>(active control) in childr</w:t>
      </w:r>
      <w:r w:rsidR="003F763E">
        <w:rPr>
          <w:lang w:val="en-GB"/>
        </w:rPr>
        <w:t>en and adolescents 2 through 17 </w:t>
      </w:r>
      <w:r w:rsidR="00465FC7" w:rsidRPr="00465FC7">
        <w:rPr>
          <w:lang w:val="en-GB"/>
        </w:rPr>
        <w:t>years of age.</w:t>
      </w:r>
      <w:r w:rsidR="00B74ECF">
        <w:rPr>
          <w:lang w:val="en-GB"/>
        </w:rPr>
        <w:t xml:space="preserve"> </w:t>
      </w:r>
      <w:r w:rsidR="003F763E">
        <w:rPr>
          <w:lang w:val="en-GB"/>
        </w:rPr>
        <w:t>A total of 2312 </w:t>
      </w:r>
      <w:r w:rsidR="00465FC7" w:rsidRPr="00465FC7">
        <w:rPr>
          <w:lang w:val="en-GB"/>
        </w:rPr>
        <w:t xml:space="preserve">subjects were randomized at a 3:1:1 ratio to receive either </w:t>
      </w:r>
      <w:proofErr w:type="spellStart"/>
      <w:r>
        <w:rPr>
          <w:lang w:val="en-GB"/>
        </w:rPr>
        <w:t>FluMist</w:t>
      </w:r>
      <w:proofErr w:type="spellEnd"/>
      <w:r>
        <w:rPr>
          <w:lang w:val="en-GB"/>
        </w:rPr>
        <w:t xml:space="preserve"> </w:t>
      </w:r>
      <w:proofErr w:type="spellStart"/>
      <w:r>
        <w:rPr>
          <w:lang w:val="en-GB"/>
        </w:rPr>
        <w:t>Quadrivalent</w:t>
      </w:r>
      <w:proofErr w:type="spellEnd"/>
      <w:r w:rsidR="00465FC7" w:rsidRPr="00465FC7">
        <w:rPr>
          <w:lang w:val="en-GB"/>
        </w:rPr>
        <w:t xml:space="preserve"> or </w:t>
      </w:r>
      <w:r>
        <w:rPr>
          <w:lang w:val="en-GB"/>
        </w:rPr>
        <w:t>1</w:t>
      </w:r>
      <w:r w:rsidR="00465FC7" w:rsidRPr="00465FC7">
        <w:rPr>
          <w:lang w:val="en-GB"/>
        </w:rPr>
        <w:t xml:space="preserve"> of </w:t>
      </w:r>
      <w:r>
        <w:rPr>
          <w:lang w:val="en-GB"/>
        </w:rPr>
        <w:t>2</w:t>
      </w:r>
      <w:r w:rsidR="00465FC7" w:rsidRPr="00465FC7">
        <w:rPr>
          <w:lang w:val="en-GB"/>
        </w:rPr>
        <w:t xml:space="preserve"> formulations of comparator vaccine trivalent version of </w:t>
      </w:r>
      <w:proofErr w:type="spellStart"/>
      <w:r>
        <w:rPr>
          <w:lang w:val="en-GB"/>
        </w:rPr>
        <w:t>FluMist</w:t>
      </w:r>
      <w:proofErr w:type="spellEnd"/>
      <w:r w:rsidR="00465FC7" w:rsidRPr="00465FC7">
        <w:rPr>
          <w:lang w:val="en-GB"/>
        </w:rPr>
        <w:t xml:space="preserve">, each containing a B strain that corresponded to one of the </w:t>
      </w:r>
      <w:r w:rsidR="007B5D63">
        <w:rPr>
          <w:lang w:val="en-GB"/>
        </w:rPr>
        <w:t>two</w:t>
      </w:r>
      <w:r w:rsidR="007B5D63" w:rsidRPr="00465FC7">
        <w:rPr>
          <w:lang w:val="en-GB"/>
        </w:rPr>
        <w:t xml:space="preserve"> </w:t>
      </w:r>
      <w:r w:rsidR="00465FC7" w:rsidRPr="00465FC7">
        <w:rPr>
          <w:lang w:val="en-GB"/>
        </w:rPr>
        <w:t xml:space="preserve">B strains in </w:t>
      </w:r>
      <w:proofErr w:type="spellStart"/>
      <w:r>
        <w:rPr>
          <w:lang w:val="en-GB"/>
        </w:rPr>
        <w:t>FluMist</w:t>
      </w:r>
      <w:proofErr w:type="spellEnd"/>
      <w:r>
        <w:rPr>
          <w:lang w:val="en-GB"/>
        </w:rPr>
        <w:t xml:space="preserve"> </w:t>
      </w:r>
      <w:proofErr w:type="spellStart"/>
      <w:r>
        <w:rPr>
          <w:lang w:val="en-GB"/>
        </w:rPr>
        <w:t>Quadrivalent</w:t>
      </w:r>
      <w:proofErr w:type="spellEnd"/>
      <w:r w:rsidR="00465FC7" w:rsidRPr="00465FC7">
        <w:rPr>
          <w:lang w:val="en-GB"/>
        </w:rPr>
        <w:t>.</w:t>
      </w:r>
    </w:p>
    <w:p w14:paraId="3CBC398B" w14:textId="55403795" w:rsidR="000D187F" w:rsidRPr="00465FC7" w:rsidRDefault="00465FC7" w:rsidP="00D325BB">
      <w:pPr>
        <w:rPr>
          <w:lang w:val="en-GB"/>
        </w:rPr>
      </w:pPr>
      <w:r w:rsidRPr="003F763E">
        <w:rPr>
          <w:lang w:val="en-GB"/>
        </w:rPr>
        <w:t>Immunogenicity was evaluated by comparing the 4 strain-specific serum HAI antibody GMTs post</w:t>
      </w:r>
      <w:r w:rsidR="00325CC2" w:rsidRPr="003F763E">
        <w:rPr>
          <w:lang w:val="en-GB"/>
        </w:rPr>
        <w:noBreakHyphen/>
      </w:r>
      <w:r w:rsidRPr="003F763E">
        <w:rPr>
          <w:lang w:val="en-GB"/>
        </w:rPr>
        <w:t>dosing.</w:t>
      </w:r>
      <w:r w:rsidR="00B74ECF">
        <w:rPr>
          <w:lang w:val="en-GB"/>
        </w:rPr>
        <w:t xml:space="preserve"> </w:t>
      </w:r>
      <w:proofErr w:type="spellStart"/>
      <w:r w:rsidR="00325CC2" w:rsidRPr="003F763E">
        <w:rPr>
          <w:lang w:val="en-GB"/>
        </w:rPr>
        <w:t>FluMist</w:t>
      </w:r>
      <w:proofErr w:type="spellEnd"/>
      <w:r w:rsidR="00325CC2" w:rsidRPr="003F763E">
        <w:rPr>
          <w:lang w:val="en-GB"/>
        </w:rPr>
        <w:t xml:space="preserve"> </w:t>
      </w:r>
      <w:proofErr w:type="spellStart"/>
      <w:r w:rsidR="00325CC2" w:rsidRPr="003F763E">
        <w:rPr>
          <w:lang w:val="en-GB"/>
        </w:rPr>
        <w:t>Quadrivalent</w:t>
      </w:r>
      <w:proofErr w:type="spellEnd"/>
      <w:r w:rsidRPr="003F763E">
        <w:rPr>
          <w:lang w:val="en-GB"/>
        </w:rPr>
        <w:t xml:space="preserve"> demonstrated immunologic non-inferiority to the </w:t>
      </w:r>
      <w:r w:rsidR="00325CC2" w:rsidRPr="003F763E">
        <w:rPr>
          <w:lang w:val="en-GB"/>
        </w:rPr>
        <w:t xml:space="preserve">2 </w:t>
      </w:r>
      <w:r w:rsidRPr="003F763E">
        <w:rPr>
          <w:lang w:val="en-GB"/>
        </w:rPr>
        <w:t xml:space="preserve">formulations of trivalent version of </w:t>
      </w:r>
      <w:proofErr w:type="spellStart"/>
      <w:r w:rsidR="00325CC2" w:rsidRPr="003F763E">
        <w:rPr>
          <w:lang w:val="en-GB"/>
        </w:rPr>
        <w:t>FluMist</w:t>
      </w:r>
      <w:proofErr w:type="spellEnd"/>
      <w:r w:rsidRPr="003F763E">
        <w:rPr>
          <w:lang w:val="en-GB"/>
        </w:rPr>
        <w:t>, as the upper</w:t>
      </w:r>
      <w:r w:rsidRPr="00465FC7">
        <w:rPr>
          <w:lang w:val="en-GB"/>
        </w:rPr>
        <w:t xml:space="preserve"> bound for each of the </w:t>
      </w:r>
      <w:r w:rsidR="007B5D63">
        <w:rPr>
          <w:lang w:val="en-GB"/>
        </w:rPr>
        <w:t>four </w:t>
      </w:r>
      <w:r w:rsidR="00325CC2">
        <w:rPr>
          <w:lang w:val="en-GB"/>
        </w:rPr>
        <w:t>95% CIs for the post-</w:t>
      </w:r>
      <w:r w:rsidRPr="00465FC7">
        <w:rPr>
          <w:lang w:val="en-GB"/>
        </w:rPr>
        <w:t>dose strain specific GMT HAI antibody ratios was less than the pre-specified non-inferiority criterion of 1.5.</w:t>
      </w:r>
      <w:r w:rsidR="00B74ECF">
        <w:rPr>
          <w:lang w:val="en-GB"/>
        </w:rPr>
        <w:t xml:space="preserve"> </w:t>
      </w:r>
      <w:r w:rsidRPr="00465FC7">
        <w:rPr>
          <w:lang w:val="en-GB"/>
        </w:rPr>
        <w:t>These data provide evidence that the addition of the second B strain did not result in immune interference to other strains included in the vaccine.</w:t>
      </w:r>
    </w:p>
    <w:p w14:paraId="7AD46199" w14:textId="50AFF9A4" w:rsidR="00465FC7" w:rsidRPr="00465FC7" w:rsidRDefault="00325CC2" w:rsidP="00325CC2">
      <w:pPr>
        <w:pStyle w:val="A-Heading2"/>
      </w:pPr>
      <w:r>
        <w:t>Studies in i</w:t>
      </w:r>
      <w:r w:rsidR="00465FC7" w:rsidRPr="00465FC7">
        <w:t xml:space="preserve">mmunocompromised </w:t>
      </w:r>
      <w:r w:rsidR="001A2306">
        <w:t>i</w:t>
      </w:r>
      <w:r w:rsidR="00465FC7" w:rsidRPr="00465FC7">
        <w:t>ndividuals</w:t>
      </w:r>
    </w:p>
    <w:p w14:paraId="40B112BC" w14:textId="0FCD4DDB" w:rsidR="00465FC7" w:rsidRPr="00116DE3" w:rsidRDefault="00465FC7" w:rsidP="00465FC7">
      <w:pPr>
        <w:rPr>
          <w:lang w:val="en-GB"/>
        </w:rPr>
      </w:pPr>
      <w:r w:rsidRPr="001D4630">
        <w:rPr>
          <w:lang w:val="en-GB"/>
        </w:rPr>
        <w:t xml:space="preserve">Safety and shedding of vaccine virus following trivalent version of </w:t>
      </w:r>
      <w:proofErr w:type="spellStart"/>
      <w:r w:rsidR="00325CC2" w:rsidRPr="001D4630">
        <w:rPr>
          <w:lang w:val="en-GB"/>
        </w:rPr>
        <w:t>FluMist</w:t>
      </w:r>
      <w:proofErr w:type="spellEnd"/>
      <w:r w:rsidR="00325CC2" w:rsidRPr="001D4630">
        <w:rPr>
          <w:lang w:val="en-GB"/>
        </w:rPr>
        <w:t xml:space="preserve"> </w:t>
      </w:r>
      <w:r w:rsidRPr="001D4630">
        <w:rPr>
          <w:lang w:val="en-GB"/>
        </w:rPr>
        <w:t xml:space="preserve">administration were also evaluated in children in a randomized (1:1), cross-over, </w:t>
      </w:r>
      <w:r w:rsidRPr="00B27BFD">
        <w:rPr>
          <w:lang w:val="en-GB"/>
        </w:rPr>
        <w:t>double-blind, placebo-controlled trial</w:t>
      </w:r>
      <w:r w:rsidR="00201FF5" w:rsidRPr="00B27BFD">
        <w:rPr>
          <w:lang w:val="en-GB"/>
        </w:rPr>
        <w:t xml:space="preserve"> (</w:t>
      </w:r>
      <w:r w:rsidR="003238B7" w:rsidRPr="00B27BFD">
        <w:rPr>
          <w:lang w:val="en-GB"/>
        </w:rPr>
        <w:t xml:space="preserve">Study </w:t>
      </w:r>
      <w:r w:rsidR="00201FF5" w:rsidRPr="00B27BFD">
        <w:rPr>
          <w:lang w:val="en-GB"/>
        </w:rPr>
        <w:t>DMID 99-012; King et al, 2001)</w:t>
      </w:r>
      <w:r w:rsidRPr="00B27BFD">
        <w:rPr>
          <w:lang w:val="en-GB"/>
        </w:rPr>
        <w:t xml:space="preserve"> in</w:t>
      </w:r>
      <w:r w:rsidRPr="001D4630">
        <w:rPr>
          <w:lang w:val="en-GB"/>
        </w:rPr>
        <w:t xml:space="preserve"> </w:t>
      </w:r>
      <w:r w:rsidRPr="00116DE3">
        <w:rPr>
          <w:lang w:val="en-GB"/>
        </w:rPr>
        <w:t>24</w:t>
      </w:r>
      <w:r w:rsidR="009A50A1" w:rsidRPr="00116DE3">
        <w:rPr>
          <w:lang w:val="en-GB"/>
        </w:rPr>
        <w:t> HIV</w:t>
      </w:r>
      <w:r w:rsidR="009A50A1" w:rsidRPr="00116DE3">
        <w:rPr>
          <w:lang w:val="en-GB"/>
        </w:rPr>
        <w:noBreakHyphen/>
      </w:r>
      <w:r w:rsidRPr="00116DE3">
        <w:rPr>
          <w:lang w:val="en-GB"/>
        </w:rPr>
        <w:t>infected children [median CD4 cell count of 101</w:t>
      </w:r>
      <w:r w:rsidR="009A50A1" w:rsidRPr="00116DE3">
        <w:rPr>
          <w:lang w:val="en-GB"/>
        </w:rPr>
        <w:t>3 </w:t>
      </w:r>
      <w:r w:rsidRPr="00116DE3">
        <w:rPr>
          <w:lang w:val="en-GB"/>
        </w:rPr>
        <w:t>cells/mm</w:t>
      </w:r>
      <w:r w:rsidRPr="00116DE3">
        <w:rPr>
          <w:vertAlign w:val="superscript"/>
          <w:lang w:val="en-GB"/>
        </w:rPr>
        <w:t>3</w:t>
      </w:r>
      <w:r w:rsidR="009A50A1" w:rsidRPr="00116DE3">
        <w:rPr>
          <w:lang w:val="en-GB"/>
        </w:rPr>
        <w:t xml:space="preserve">] and </w:t>
      </w:r>
      <w:r w:rsidR="009A50A1" w:rsidRPr="00116DE3">
        <w:rPr>
          <w:lang w:val="en-GB"/>
        </w:rPr>
        <w:lastRenderedPageBreak/>
        <w:t>25 HIV</w:t>
      </w:r>
      <w:r w:rsidR="009A50A1" w:rsidRPr="00116DE3">
        <w:rPr>
          <w:lang w:val="en-GB"/>
        </w:rPr>
        <w:noBreakHyphen/>
      </w:r>
      <w:r w:rsidRPr="00116DE3">
        <w:rPr>
          <w:lang w:val="en-GB"/>
        </w:rPr>
        <w:t>negative children 1-7 years of age, and in a randomized (1:1), open-label, inactivated influenza vaccine-controlled trial</w:t>
      </w:r>
      <w:r w:rsidR="00201FF5" w:rsidRPr="00116DE3">
        <w:rPr>
          <w:lang w:val="en-GB"/>
        </w:rPr>
        <w:t xml:space="preserve"> (</w:t>
      </w:r>
      <w:r w:rsidR="003238B7" w:rsidRPr="00116DE3">
        <w:rPr>
          <w:lang w:val="en-GB"/>
        </w:rPr>
        <w:t xml:space="preserve">Study </w:t>
      </w:r>
      <w:r w:rsidR="00201FF5" w:rsidRPr="00116DE3">
        <w:rPr>
          <w:lang w:val="en-GB"/>
        </w:rPr>
        <w:t>PACTG 1057; Levin et al, 2008)</w:t>
      </w:r>
      <w:r w:rsidRPr="00116DE3">
        <w:rPr>
          <w:lang w:val="en-GB"/>
        </w:rPr>
        <w:t xml:space="preserve"> in 243 HIV-infecte</w:t>
      </w:r>
      <w:r w:rsidR="009A50A1" w:rsidRPr="00116DE3">
        <w:rPr>
          <w:lang w:val="en-GB"/>
        </w:rPr>
        <w:t>d children and adolescents 5-17 </w:t>
      </w:r>
      <w:r w:rsidRPr="00116DE3">
        <w:rPr>
          <w:lang w:val="en-GB"/>
        </w:rPr>
        <w:t>years of age receiving stable anti-retroviral therapy.</w:t>
      </w:r>
      <w:r w:rsidR="00B74ECF">
        <w:rPr>
          <w:lang w:val="en-GB"/>
        </w:rPr>
        <w:t xml:space="preserve"> </w:t>
      </w:r>
      <w:r w:rsidRPr="00116DE3">
        <w:rPr>
          <w:lang w:val="en-GB"/>
        </w:rPr>
        <w:t xml:space="preserve">Frequency and duration of vaccine virus shedding in HIV-infected individuals were comparable to that seen in healthy individuals. No adverse effects on HIV viral load or CD4 counts were identified following trivalent version of </w:t>
      </w:r>
      <w:proofErr w:type="spellStart"/>
      <w:r w:rsidR="00325CC2" w:rsidRPr="00116DE3">
        <w:rPr>
          <w:lang w:val="en-GB"/>
        </w:rPr>
        <w:t>FluMist</w:t>
      </w:r>
      <w:proofErr w:type="spellEnd"/>
      <w:r w:rsidR="00325CC2" w:rsidRPr="00116DE3">
        <w:rPr>
          <w:lang w:val="en-GB"/>
        </w:rPr>
        <w:t xml:space="preserve"> </w:t>
      </w:r>
      <w:r w:rsidRPr="00116DE3">
        <w:rPr>
          <w:lang w:val="en-GB"/>
        </w:rPr>
        <w:t xml:space="preserve">administration. In the 5-17 year old age group, </w:t>
      </w:r>
      <w:r w:rsidR="009A50A1" w:rsidRPr="00116DE3">
        <w:rPr>
          <w:lang w:val="en-GB"/>
        </w:rPr>
        <w:t>1</w:t>
      </w:r>
      <w:r w:rsidRPr="00116DE3">
        <w:rPr>
          <w:lang w:val="en-GB"/>
        </w:rPr>
        <w:t xml:space="preserve"> inactivated influenza vaccine recipient and </w:t>
      </w:r>
      <w:r w:rsidR="009A50A1" w:rsidRPr="00116DE3">
        <w:rPr>
          <w:lang w:val="en-GB"/>
        </w:rPr>
        <w:t>1</w:t>
      </w:r>
      <w:r w:rsidRPr="00116DE3">
        <w:rPr>
          <w:lang w:val="en-GB"/>
        </w:rPr>
        <w:t xml:space="preserve"> trivalent version of </w:t>
      </w:r>
      <w:proofErr w:type="spellStart"/>
      <w:r w:rsidR="00325CC2" w:rsidRPr="00116DE3">
        <w:rPr>
          <w:lang w:val="en-GB"/>
        </w:rPr>
        <w:t>FluMist</w:t>
      </w:r>
      <w:proofErr w:type="spellEnd"/>
      <w:r w:rsidR="00325CC2" w:rsidRPr="00116DE3">
        <w:rPr>
          <w:lang w:val="en-GB"/>
        </w:rPr>
        <w:t xml:space="preserve"> </w:t>
      </w:r>
      <w:r w:rsidRPr="00116DE3">
        <w:rPr>
          <w:lang w:val="en-GB"/>
        </w:rPr>
        <w:t xml:space="preserve">recipient </w:t>
      </w:r>
      <w:r w:rsidR="009A50A1" w:rsidRPr="00116DE3">
        <w:rPr>
          <w:lang w:val="en-GB"/>
        </w:rPr>
        <w:t>experienced pneumonia within 28 days of vaccination (Days </w:t>
      </w:r>
      <w:r w:rsidRPr="00116DE3">
        <w:rPr>
          <w:lang w:val="en-GB"/>
        </w:rPr>
        <w:t xml:space="preserve">17 and 13, respectively). The effectiveness of trivalent version of </w:t>
      </w:r>
      <w:proofErr w:type="spellStart"/>
      <w:r w:rsidR="00325CC2" w:rsidRPr="00116DE3">
        <w:rPr>
          <w:lang w:val="en-GB"/>
        </w:rPr>
        <w:t>FluMist</w:t>
      </w:r>
      <w:proofErr w:type="spellEnd"/>
      <w:r w:rsidR="00325CC2" w:rsidRPr="00116DE3">
        <w:rPr>
          <w:lang w:val="en-GB"/>
        </w:rPr>
        <w:t xml:space="preserve"> </w:t>
      </w:r>
      <w:r w:rsidRPr="00116DE3">
        <w:rPr>
          <w:lang w:val="en-GB"/>
        </w:rPr>
        <w:t xml:space="preserve">and </w:t>
      </w:r>
      <w:proofErr w:type="spellStart"/>
      <w:r w:rsidR="00325CC2" w:rsidRPr="00116DE3">
        <w:rPr>
          <w:lang w:val="en-GB"/>
        </w:rPr>
        <w:t>FluMist</w:t>
      </w:r>
      <w:proofErr w:type="spellEnd"/>
      <w:r w:rsidR="00325CC2" w:rsidRPr="00116DE3">
        <w:rPr>
          <w:lang w:val="en-GB"/>
        </w:rPr>
        <w:t xml:space="preserve"> </w:t>
      </w:r>
      <w:proofErr w:type="spellStart"/>
      <w:r w:rsidR="00325CC2" w:rsidRPr="00116DE3">
        <w:rPr>
          <w:lang w:val="en-GB"/>
        </w:rPr>
        <w:t>Quadrivalent</w:t>
      </w:r>
      <w:proofErr w:type="spellEnd"/>
      <w:r w:rsidRPr="00116DE3">
        <w:rPr>
          <w:lang w:val="en-GB"/>
        </w:rPr>
        <w:t xml:space="preserve"> in preventing influenza illness in HIV-infected individuals has not been evaluated.</w:t>
      </w:r>
    </w:p>
    <w:p w14:paraId="40658E1E" w14:textId="2B7C58A1" w:rsidR="00757810" w:rsidRPr="00465FC7" w:rsidRDefault="00465FC7" w:rsidP="00465FC7">
      <w:pPr>
        <w:rPr>
          <w:lang w:val="en-GB"/>
        </w:rPr>
      </w:pPr>
      <w:r w:rsidRPr="00116DE3">
        <w:rPr>
          <w:lang w:val="en-GB"/>
        </w:rPr>
        <w:t>Twenty mild to moderately immunocompromised children and adolescents 5</w:t>
      </w:r>
      <w:r w:rsidR="009A50A1" w:rsidRPr="00116DE3">
        <w:rPr>
          <w:lang w:val="en-GB"/>
        </w:rPr>
        <w:noBreakHyphen/>
      </w:r>
      <w:r w:rsidRPr="00116DE3">
        <w:rPr>
          <w:lang w:val="en-GB"/>
        </w:rPr>
        <w:t>17</w:t>
      </w:r>
      <w:r w:rsidR="009A50A1" w:rsidRPr="00116DE3">
        <w:rPr>
          <w:lang w:val="en-GB"/>
        </w:rPr>
        <w:t> </w:t>
      </w:r>
      <w:r w:rsidRPr="00116DE3">
        <w:rPr>
          <w:lang w:val="en-GB"/>
        </w:rPr>
        <w:t>years of age (receiving chemotherapy and/or radiation therapy or who had received chem</w:t>
      </w:r>
      <w:r w:rsidR="009A50A1" w:rsidRPr="00116DE3">
        <w:rPr>
          <w:lang w:val="en-GB"/>
        </w:rPr>
        <w:t>otherapy in the 12 </w:t>
      </w:r>
      <w:r w:rsidR="003A3B49" w:rsidRPr="00116DE3">
        <w:rPr>
          <w:lang w:val="en-GB"/>
        </w:rPr>
        <w:t>weeks prior to enrol</w:t>
      </w:r>
      <w:r w:rsidRPr="00116DE3">
        <w:rPr>
          <w:lang w:val="en-GB"/>
        </w:rPr>
        <w:t xml:space="preserve">ment) were randomized 1:1 to receive trivalent version of </w:t>
      </w:r>
      <w:proofErr w:type="spellStart"/>
      <w:r w:rsidR="00325CC2" w:rsidRPr="00116DE3">
        <w:rPr>
          <w:lang w:val="en-GB"/>
        </w:rPr>
        <w:t>FluMist</w:t>
      </w:r>
      <w:proofErr w:type="spellEnd"/>
      <w:r w:rsidR="00325CC2" w:rsidRPr="00116DE3">
        <w:rPr>
          <w:lang w:val="en-GB"/>
        </w:rPr>
        <w:t xml:space="preserve"> </w:t>
      </w:r>
      <w:r w:rsidRPr="00116DE3">
        <w:rPr>
          <w:lang w:val="en-GB"/>
        </w:rPr>
        <w:t>or placebo</w:t>
      </w:r>
      <w:r w:rsidR="00201FF5" w:rsidRPr="00116DE3">
        <w:rPr>
          <w:lang w:val="en-GB"/>
        </w:rPr>
        <w:t xml:space="preserve"> (</w:t>
      </w:r>
      <w:r w:rsidR="003238B7" w:rsidRPr="00116DE3">
        <w:rPr>
          <w:lang w:val="en-GB"/>
        </w:rPr>
        <w:t xml:space="preserve">Study </w:t>
      </w:r>
      <w:r w:rsidR="00201FF5" w:rsidRPr="00116DE3">
        <w:rPr>
          <w:lang w:val="en-GB"/>
        </w:rPr>
        <w:t>MI-CP114</w:t>
      </w:r>
      <w:r w:rsidR="0000456D" w:rsidRPr="00116DE3">
        <w:rPr>
          <w:lang w:val="en-GB"/>
        </w:rPr>
        <w:t xml:space="preserve">; </w:t>
      </w:r>
      <w:proofErr w:type="spellStart"/>
      <w:r w:rsidR="008676B1" w:rsidRPr="00116DE3">
        <w:rPr>
          <w:lang w:val="en-GB"/>
        </w:rPr>
        <w:t>Halasa</w:t>
      </w:r>
      <w:proofErr w:type="spellEnd"/>
      <w:r w:rsidR="008676B1" w:rsidRPr="00116DE3">
        <w:rPr>
          <w:lang w:val="en-GB"/>
        </w:rPr>
        <w:t xml:space="preserve"> et al 2011</w:t>
      </w:r>
      <w:r w:rsidR="00201FF5" w:rsidRPr="00116DE3">
        <w:rPr>
          <w:lang w:val="en-GB"/>
        </w:rPr>
        <w:t>)</w:t>
      </w:r>
      <w:r w:rsidRPr="00116DE3">
        <w:rPr>
          <w:lang w:val="en-GB"/>
        </w:rPr>
        <w:t>.</w:t>
      </w:r>
      <w:r w:rsidR="00B74ECF">
        <w:rPr>
          <w:lang w:val="en-GB"/>
        </w:rPr>
        <w:t xml:space="preserve"> </w:t>
      </w:r>
      <w:r w:rsidRPr="00116DE3">
        <w:rPr>
          <w:lang w:val="en-GB"/>
        </w:rPr>
        <w:t xml:space="preserve">Frequency and duration of vaccine virus shedding in these immunocompromised children and adolescents were comparable to that seen in healthy children and adolescents. The effectiveness of trivalent version of </w:t>
      </w:r>
      <w:proofErr w:type="spellStart"/>
      <w:r w:rsidR="00325CC2" w:rsidRPr="00116DE3">
        <w:rPr>
          <w:lang w:val="en-GB"/>
        </w:rPr>
        <w:t>FluMist</w:t>
      </w:r>
      <w:proofErr w:type="spellEnd"/>
      <w:r w:rsidR="00325CC2" w:rsidRPr="00116DE3">
        <w:rPr>
          <w:lang w:val="en-GB"/>
        </w:rPr>
        <w:t xml:space="preserve"> </w:t>
      </w:r>
      <w:r w:rsidRPr="00116DE3">
        <w:rPr>
          <w:lang w:val="en-GB"/>
        </w:rPr>
        <w:t xml:space="preserve">and </w:t>
      </w:r>
      <w:proofErr w:type="spellStart"/>
      <w:r w:rsidR="00325CC2" w:rsidRPr="00116DE3">
        <w:rPr>
          <w:lang w:val="en-GB"/>
        </w:rPr>
        <w:t>FluMist</w:t>
      </w:r>
      <w:proofErr w:type="spellEnd"/>
      <w:r w:rsidR="00325CC2" w:rsidRPr="00116DE3">
        <w:rPr>
          <w:lang w:val="en-GB"/>
        </w:rPr>
        <w:t xml:space="preserve"> </w:t>
      </w:r>
      <w:proofErr w:type="spellStart"/>
      <w:r w:rsidR="00325CC2" w:rsidRPr="00116DE3">
        <w:rPr>
          <w:lang w:val="en-GB"/>
        </w:rPr>
        <w:t>Quadrivalent</w:t>
      </w:r>
      <w:proofErr w:type="spellEnd"/>
      <w:r w:rsidRPr="00116DE3">
        <w:rPr>
          <w:lang w:val="en-GB"/>
        </w:rPr>
        <w:t xml:space="preserve"> in preventing influenza illness in immunocompromised individuals has not been evaluated.</w:t>
      </w:r>
    </w:p>
    <w:p w14:paraId="00378288" w14:textId="77A3A682" w:rsidR="00465FC7" w:rsidRPr="00465FC7" w:rsidRDefault="009A50A1" w:rsidP="00325CC2">
      <w:pPr>
        <w:pStyle w:val="A-Heading2"/>
      </w:pPr>
      <w:r>
        <w:t>Stud</w:t>
      </w:r>
      <w:r w:rsidR="00BE63E9">
        <w:t>ies</w:t>
      </w:r>
      <w:r>
        <w:t xml:space="preserve"> with c</w:t>
      </w:r>
      <w:r w:rsidR="00465FC7" w:rsidRPr="00465FC7">
        <w:t xml:space="preserve">oncomitant </w:t>
      </w:r>
      <w:r>
        <w:t>live v</w:t>
      </w:r>
      <w:r w:rsidR="00465FC7" w:rsidRPr="00465FC7">
        <w:t>accines</w:t>
      </w:r>
    </w:p>
    <w:p w14:paraId="07C96287" w14:textId="2F0661C0" w:rsidR="00B27BFD" w:rsidRDefault="00465FC7" w:rsidP="00B27BFD">
      <w:pPr>
        <w:rPr>
          <w:lang w:val="en-GB"/>
        </w:rPr>
      </w:pPr>
      <w:r w:rsidRPr="00116DE3">
        <w:rPr>
          <w:lang w:val="en-GB"/>
        </w:rPr>
        <w:t>In Study AV018</w:t>
      </w:r>
      <w:r w:rsidR="0000456D" w:rsidRPr="00116DE3">
        <w:rPr>
          <w:lang w:val="en-GB"/>
        </w:rPr>
        <w:t xml:space="preserve"> (</w:t>
      </w:r>
      <w:r w:rsidR="008676B1" w:rsidRPr="00116DE3">
        <w:rPr>
          <w:lang w:val="en-GB"/>
        </w:rPr>
        <w:t>Nolan et al 2008</w:t>
      </w:r>
      <w:r w:rsidR="0000456D" w:rsidRPr="00116DE3">
        <w:rPr>
          <w:lang w:val="en-GB"/>
        </w:rPr>
        <w:t>)</w:t>
      </w:r>
      <w:r w:rsidRPr="00116DE3">
        <w:rPr>
          <w:lang w:val="en-GB"/>
        </w:rPr>
        <w:t>, concomitant administration of trivalent version</w:t>
      </w:r>
      <w:r w:rsidRPr="00A843A2">
        <w:rPr>
          <w:lang w:val="en-GB"/>
        </w:rPr>
        <w:t xml:space="preserve"> of </w:t>
      </w:r>
      <w:proofErr w:type="spellStart"/>
      <w:r w:rsidR="00325CC2" w:rsidRPr="00A843A2">
        <w:rPr>
          <w:lang w:val="en-GB"/>
        </w:rPr>
        <w:t>FluMist</w:t>
      </w:r>
      <w:proofErr w:type="spellEnd"/>
      <w:r w:rsidRPr="00A843A2">
        <w:rPr>
          <w:lang w:val="en-GB"/>
        </w:rPr>
        <w:t xml:space="preserve">, </w:t>
      </w:r>
      <w:r w:rsidR="006404B6" w:rsidRPr="00A843A2">
        <w:rPr>
          <w:lang w:val="en-GB"/>
        </w:rPr>
        <w:t>measles, mumps &amp; rubella virus vaccine live (</w:t>
      </w:r>
      <w:r w:rsidRPr="00A843A2">
        <w:rPr>
          <w:lang w:val="en-GB"/>
        </w:rPr>
        <w:t>MMR</w:t>
      </w:r>
      <w:r w:rsidR="009A50A1" w:rsidRPr="00A843A2">
        <w:rPr>
          <w:lang w:val="en-GB"/>
        </w:rPr>
        <w:t>) and varicella v</w:t>
      </w:r>
      <w:r w:rsidRPr="00A843A2">
        <w:rPr>
          <w:lang w:val="en-GB"/>
        </w:rPr>
        <w:t>i</w:t>
      </w:r>
      <w:r w:rsidR="009A50A1" w:rsidRPr="00A843A2">
        <w:rPr>
          <w:lang w:val="en-GB"/>
        </w:rPr>
        <w:t>rus v</w:t>
      </w:r>
      <w:r w:rsidRPr="00A843A2">
        <w:rPr>
          <w:lang w:val="en-GB"/>
        </w:rPr>
        <w:t xml:space="preserve">accine </w:t>
      </w:r>
      <w:r w:rsidR="009A50A1" w:rsidRPr="00A843A2">
        <w:rPr>
          <w:lang w:val="en-GB"/>
        </w:rPr>
        <w:t>l</w:t>
      </w:r>
      <w:r w:rsidRPr="00A843A2">
        <w:rPr>
          <w:lang w:val="en-GB"/>
        </w:rPr>
        <w:t>ive was studied in 1245 subjects 12</w:t>
      </w:r>
      <w:r w:rsidR="009A50A1" w:rsidRPr="00A843A2">
        <w:rPr>
          <w:lang w:val="en-GB"/>
        </w:rPr>
        <w:noBreakHyphen/>
      </w:r>
      <w:r w:rsidRPr="00A843A2">
        <w:rPr>
          <w:lang w:val="en-GB"/>
        </w:rPr>
        <w:t>15</w:t>
      </w:r>
      <w:r w:rsidR="009A50A1" w:rsidRPr="00A843A2">
        <w:rPr>
          <w:lang w:val="en-GB"/>
        </w:rPr>
        <w:t> </w:t>
      </w:r>
      <w:r w:rsidRPr="00A843A2">
        <w:rPr>
          <w:lang w:val="en-GB"/>
        </w:rPr>
        <w:t>months of age. Subjects were rando</w:t>
      </w:r>
      <w:r w:rsidR="009A50A1" w:rsidRPr="00A843A2">
        <w:rPr>
          <w:lang w:val="en-GB"/>
        </w:rPr>
        <w:t>mized in a 1:1:1 ratio to MMR, v</w:t>
      </w:r>
      <w:r w:rsidRPr="00A843A2">
        <w:rPr>
          <w:lang w:val="en-GB"/>
        </w:rPr>
        <w:t>aricella vacci</w:t>
      </w:r>
      <w:r w:rsidR="009A50A1" w:rsidRPr="00A843A2">
        <w:rPr>
          <w:lang w:val="en-GB"/>
        </w:rPr>
        <w:t>ne and placebo (group 1); MMR, v</w:t>
      </w:r>
      <w:r w:rsidRPr="00A843A2">
        <w:rPr>
          <w:lang w:val="en-GB"/>
        </w:rPr>
        <w:t>aricella</w:t>
      </w:r>
      <w:r w:rsidRPr="00465FC7">
        <w:rPr>
          <w:lang w:val="en-GB"/>
        </w:rPr>
        <w:t xml:space="preserve"> vaccine and trivalent version of </w:t>
      </w:r>
      <w:proofErr w:type="spellStart"/>
      <w:r w:rsidR="00325CC2">
        <w:rPr>
          <w:lang w:val="en-GB"/>
        </w:rPr>
        <w:t>FluMist</w:t>
      </w:r>
      <w:proofErr w:type="spellEnd"/>
      <w:r w:rsidR="00325CC2">
        <w:rPr>
          <w:lang w:val="en-GB"/>
        </w:rPr>
        <w:t xml:space="preserve"> </w:t>
      </w:r>
      <w:r w:rsidRPr="00465FC7">
        <w:rPr>
          <w:lang w:val="en-GB"/>
        </w:rPr>
        <w:t xml:space="preserve">(group 2); or trivalent version of </w:t>
      </w:r>
      <w:proofErr w:type="spellStart"/>
      <w:r w:rsidR="00325CC2">
        <w:rPr>
          <w:lang w:val="en-GB"/>
        </w:rPr>
        <w:t>FluMist</w:t>
      </w:r>
      <w:proofErr w:type="spellEnd"/>
      <w:r w:rsidR="00325CC2">
        <w:rPr>
          <w:lang w:val="en-GB"/>
        </w:rPr>
        <w:t xml:space="preserve"> </w:t>
      </w:r>
      <w:r w:rsidRPr="00465FC7">
        <w:rPr>
          <w:lang w:val="en-GB"/>
        </w:rPr>
        <w:t>alone (group 3)</w:t>
      </w:r>
      <w:r w:rsidR="009A50A1">
        <w:rPr>
          <w:lang w:val="en-GB"/>
        </w:rPr>
        <w:t>.</w:t>
      </w:r>
      <w:r w:rsidR="00B74ECF">
        <w:rPr>
          <w:lang w:val="en-GB"/>
        </w:rPr>
        <w:t xml:space="preserve"> </w:t>
      </w:r>
      <w:r w:rsidR="009A50A1">
        <w:rPr>
          <w:lang w:val="en-GB"/>
        </w:rPr>
        <w:t>Immune responses to MMR and v</w:t>
      </w:r>
      <w:r w:rsidRPr="00465FC7">
        <w:rPr>
          <w:lang w:val="en-GB"/>
        </w:rPr>
        <w:t>aricella vaccines were evaluated 6</w:t>
      </w:r>
      <w:r w:rsidR="009A50A1">
        <w:rPr>
          <w:lang w:val="en-GB"/>
        </w:rPr>
        <w:t> </w:t>
      </w:r>
      <w:r w:rsidRPr="00465FC7">
        <w:rPr>
          <w:lang w:val="en-GB"/>
        </w:rPr>
        <w:t xml:space="preserve">weeks post-vaccination while the immune responses to trivalent version of </w:t>
      </w:r>
      <w:proofErr w:type="spellStart"/>
      <w:r w:rsidR="00325CC2">
        <w:rPr>
          <w:lang w:val="en-GB"/>
        </w:rPr>
        <w:t>FluMist</w:t>
      </w:r>
      <w:proofErr w:type="spellEnd"/>
      <w:r w:rsidR="00325CC2">
        <w:rPr>
          <w:lang w:val="en-GB"/>
        </w:rPr>
        <w:t xml:space="preserve"> </w:t>
      </w:r>
      <w:r w:rsidRPr="00465FC7">
        <w:rPr>
          <w:lang w:val="en-GB"/>
        </w:rPr>
        <w:t>were evaluated 4</w:t>
      </w:r>
      <w:r w:rsidR="009A50A1">
        <w:rPr>
          <w:lang w:val="en-GB"/>
        </w:rPr>
        <w:t> </w:t>
      </w:r>
      <w:r w:rsidRPr="00465FC7">
        <w:rPr>
          <w:lang w:val="en-GB"/>
        </w:rPr>
        <w:t>weeks after the second dose.</w:t>
      </w:r>
      <w:r w:rsidR="00B74ECF">
        <w:rPr>
          <w:lang w:val="en-GB"/>
        </w:rPr>
        <w:t xml:space="preserve"> </w:t>
      </w:r>
      <w:r w:rsidRPr="00465FC7">
        <w:rPr>
          <w:lang w:val="en-GB"/>
        </w:rPr>
        <w:t xml:space="preserve">Adverse reactions were similar to those seen in other clinical trials with trivalent version of </w:t>
      </w:r>
      <w:proofErr w:type="spellStart"/>
      <w:r w:rsidR="00325CC2" w:rsidRPr="00245F6C">
        <w:rPr>
          <w:lang w:val="en-GB"/>
        </w:rPr>
        <w:t>FluMist</w:t>
      </w:r>
      <w:proofErr w:type="spellEnd"/>
      <w:r w:rsidR="00325CC2" w:rsidRPr="00245F6C">
        <w:rPr>
          <w:lang w:val="en-GB"/>
        </w:rPr>
        <w:t xml:space="preserve"> </w:t>
      </w:r>
      <w:r w:rsidRPr="00245F6C">
        <w:rPr>
          <w:lang w:val="en-GB"/>
        </w:rPr>
        <w:t xml:space="preserve">(see </w:t>
      </w:r>
      <w:r w:rsidR="009A50A1" w:rsidRPr="00245F6C">
        <w:rPr>
          <w:i/>
          <w:lang w:val="en-GB"/>
        </w:rPr>
        <w:t xml:space="preserve">Adverse </w:t>
      </w:r>
      <w:r w:rsidR="003F763E" w:rsidRPr="00245F6C">
        <w:rPr>
          <w:i/>
          <w:lang w:val="en-GB"/>
        </w:rPr>
        <w:t>Effects</w:t>
      </w:r>
      <w:r w:rsidRPr="00245F6C">
        <w:rPr>
          <w:lang w:val="en-GB"/>
        </w:rPr>
        <w:t>). No evidence</w:t>
      </w:r>
      <w:r w:rsidRPr="00465FC7">
        <w:rPr>
          <w:lang w:val="en-GB"/>
        </w:rPr>
        <w:t xml:space="preserve"> of interference with immune response to measles, mumps, rubella, varicella and trivalent version of </w:t>
      </w:r>
      <w:proofErr w:type="spellStart"/>
      <w:r w:rsidR="00325CC2">
        <w:rPr>
          <w:lang w:val="en-GB"/>
        </w:rPr>
        <w:t>FluMist</w:t>
      </w:r>
      <w:proofErr w:type="spellEnd"/>
      <w:r w:rsidR="00325CC2">
        <w:rPr>
          <w:lang w:val="en-GB"/>
        </w:rPr>
        <w:t xml:space="preserve"> </w:t>
      </w:r>
      <w:r w:rsidRPr="00465FC7">
        <w:rPr>
          <w:lang w:val="en-GB"/>
        </w:rPr>
        <w:t>vaccines was obs</w:t>
      </w:r>
      <w:r w:rsidR="00325CC2">
        <w:rPr>
          <w:lang w:val="en-GB"/>
        </w:rPr>
        <w:t>erved</w:t>
      </w:r>
      <w:r w:rsidR="00741752">
        <w:rPr>
          <w:lang w:val="en-GB"/>
        </w:rPr>
        <w:t xml:space="preserve"> </w:t>
      </w:r>
      <w:r w:rsidR="00B27BFD">
        <w:rPr>
          <w:lang w:val="en-GB"/>
        </w:rPr>
        <w:t xml:space="preserve">(see </w:t>
      </w:r>
      <w:r w:rsidR="00B27BFD">
        <w:rPr>
          <w:i/>
          <w:lang w:val="en-GB"/>
        </w:rPr>
        <w:t>Interactions with other medicines)</w:t>
      </w:r>
      <w:r w:rsidR="00B27BFD">
        <w:rPr>
          <w:lang w:val="en-GB"/>
        </w:rPr>
        <w:t>.</w:t>
      </w:r>
    </w:p>
    <w:p w14:paraId="6C975C38" w14:textId="23D248B1" w:rsidR="00465FC7" w:rsidRPr="00C72CBA" w:rsidRDefault="00B27BFD" w:rsidP="00465FC7">
      <w:pPr>
        <w:rPr>
          <w:lang w:val="en-US"/>
        </w:rPr>
      </w:pPr>
      <w:r w:rsidRPr="007F46A3">
        <w:rPr>
          <w:lang w:val="en-GB"/>
        </w:rPr>
        <w:t xml:space="preserve">In </w:t>
      </w:r>
      <w:r>
        <w:rPr>
          <w:lang w:val="en-GB"/>
        </w:rPr>
        <w:t>S</w:t>
      </w:r>
      <w:r w:rsidRPr="007F46A3">
        <w:rPr>
          <w:lang w:val="en-GB"/>
        </w:rPr>
        <w:t xml:space="preserve">tudy D153-P511 </w:t>
      </w:r>
      <w:r>
        <w:rPr>
          <w:lang w:val="en-GB"/>
        </w:rPr>
        <w:t>(</w:t>
      </w:r>
      <w:proofErr w:type="spellStart"/>
      <w:r w:rsidRPr="00F5527C">
        <w:rPr>
          <w:lang w:val="en-GB"/>
        </w:rPr>
        <w:t>Breiman</w:t>
      </w:r>
      <w:proofErr w:type="spellEnd"/>
      <w:r w:rsidRPr="00F5527C">
        <w:rPr>
          <w:lang w:val="en-GB"/>
        </w:rPr>
        <w:t xml:space="preserve"> et al</w:t>
      </w:r>
      <w:r>
        <w:rPr>
          <w:lang w:val="en-GB"/>
        </w:rPr>
        <w:t xml:space="preserve"> 2009) </w:t>
      </w:r>
      <w:r w:rsidRPr="007F46A3">
        <w:rPr>
          <w:lang w:val="en-GB"/>
        </w:rPr>
        <w:t xml:space="preserve">concomitant administration of trivalent </w:t>
      </w:r>
      <w:proofErr w:type="spellStart"/>
      <w:r w:rsidRPr="007F46A3">
        <w:rPr>
          <w:lang w:val="en-GB"/>
        </w:rPr>
        <w:t>FluMist</w:t>
      </w:r>
      <w:proofErr w:type="spellEnd"/>
      <w:r w:rsidRPr="007F46A3">
        <w:rPr>
          <w:lang w:val="en-GB"/>
        </w:rPr>
        <w:t xml:space="preserve"> and oral poliovirus (OPV) was studied in 2,503 subjects 6-35</w:t>
      </w:r>
      <w:r>
        <w:rPr>
          <w:lang w:val="en-GB"/>
        </w:rPr>
        <w:t> </w:t>
      </w:r>
      <w:r w:rsidRPr="007F46A3">
        <w:rPr>
          <w:lang w:val="en-GB"/>
        </w:rPr>
        <w:t xml:space="preserve">months of age. Subjects were randomized </w:t>
      </w:r>
      <w:r>
        <w:rPr>
          <w:lang w:val="en-GB"/>
        </w:rPr>
        <w:t xml:space="preserve">in a </w:t>
      </w:r>
      <w:r w:rsidRPr="007F46A3">
        <w:rPr>
          <w:lang w:val="en-GB"/>
        </w:rPr>
        <w:t xml:space="preserve">1:1:1 </w:t>
      </w:r>
      <w:r>
        <w:rPr>
          <w:lang w:val="en-GB"/>
        </w:rPr>
        <w:t xml:space="preserve">ratio </w:t>
      </w:r>
      <w:r w:rsidRPr="007F46A3">
        <w:rPr>
          <w:lang w:val="en-GB"/>
        </w:rPr>
        <w:t xml:space="preserve">to 1 of 3 study groups: </w:t>
      </w:r>
      <w:proofErr w:type="spellStart"/>
      <w:r w:rsidRPr="007F46A3">
        <w:rPr>
          <w:lang w:val="en-GB"/>
        </w:rPr>
        <w:t>FluMist</w:t>
      </w:r>
      <w:proofErr w:type="spellEnd"/>
      <w:r w:rsidRPr="007F46A3">
        <w:rPr>
          <w:lang w:val="en-GB"/>
        </w:rPr>
        <w:t xml:space="preserve"> + OPV; </w:t>
      </w:r>
      <w:r>
        <w:rPr>
          <w:lang w:val="en-GB"/>
        </w:rPr>
        <w:t>p</w:t>
      </w:r>
      <w:r w:rsidRPr="007F46A3">
        <w:rPr>
          <w:lang w:val="en-GB"/>
        </w:rPr>
        <w:t xml:space="preserve">lacebo + OPV; or </w:t>
      </w:r>
      <w:proofErr w:type="spellStart"/>
      <w:r w:rsidRPr="007F46A3">
        <w:rPr>
          <w:lang w:val="en-GB"/>
        </w:rPr>
        <w:t>FluMist</w:t>
      </w:r>
      <w:proofErr w:type="spellEnd"/>
      <w:r w:rsidRPr="007F46A3">
        <w:rPr>
          <w:lang w:val="en-GB"/>
        </w:rPr>
        <w:t xml:space="preserve"> alone. </w:t>
      </w:r>
      <w:r w:rsidRPr="00C72CBA">
        <w:rPr>
          <w:lang w:val="en-US"/>
        </w:rPr>
        <w:t xml:space="preserve">The rate of </w:t>
      </w:r>
      <w:proofErr w:type="spellStart"/>
      <w:r w:rsidRPr="00C72CBA">
        <w:rPr>
          <w:lang w:val="en-US"/>
        </w:rPr>
        <w:t>reactogenicity</w:t>
      </w:r>
      <w:proofErr w:type="spellEnd"/>
      <w:r w:rsidRPr="00C72CBA">
        <w:rPr>
          <w:lang w:val="en-US"/>
        </w:rPr>
        <w:t xml:space="preserve"> events reported by vaccine recipients in study D153-P511 was similar to that observed in previous trials with </w:t>
      </w:r>
      <w:proofErr w:type="spellStart"/>
      <w:r w:rsidRPr="00C72CBA">
        <w:rPr>
          <w:lang w:val="en-US"/>
        </w:rPr>
        <w:t>FluMist</w:t>
      </w:r>
      <w:proofErr w:type="spellEnd"/>
      <w:r>
        <w:rPr>
          <w:lang w:val="en-US"/>
        </w:rPr>
        <w:t>.</w:t>
      </w:r>
      <w:r w:rsidR="00B74ECF">
        <w:rPr>
          <w:lang w:val="en-US"/>
        </w:rPr>
        <w:t xml:space="preserve"> </w:t>
      </w:r>
      <w:r w:rsidRPr="007F46A3">
        <w:rPr>
          <w:lang w:val="en-GB"/>
        </w:rPr>
        <w:t>Immune responses after concomitant vaccination were non</w:t>
      </w:r>
      <w:r>
        <w:rPr>
          <w:lang w:val="en-GB"/>
        </w:rPr>
        <w:t>-</w:t>
      </w:r>
      <w:r w:rsidRPr="007F46A3">
        <w:rPr>
          <w:lang w:val="en-GB"/>
        </w:rPr>
        <w:t>inferior to those elicited when the vaccines were administered independently of one another</w:t>
      </w:r>
      <w:r>
        <w:rPr>
          <w:lang w:val="en-GB"/>
        </w:rPr>
        <w:t xml:space="preserve"> (see </w:t>
      </w:r>
      <w:r>
        <w:rPr>
          <w:i/>
          <w:lang w:val="en-GB"/>
        </w:rPr>
        <w:t>Interactions with other medicines).</w:t>
      </w:r>
    </w:p>
    <w:p w14:paraId="05B9AEC2" w14:textId="77777777" w:rsidR="00D0698C" w:rsidRDefault="00D0698C" w:rsidP="00D0698C">
      <w:pPr>
        <w:pStyle w:val="A-Heading2"/>
      </w:pPr>
      <w:r>
        <w:t>Duration of efficacy</w:t>
      </w:r>
    </w:p>
    <w:p w14:paraId="12BDBFAE" w14:textId="026040D1" w:rsidR="00050B0E" w:rsidRDefault="00D0698C" w:rsidP="00465FC7">
      <w:pPr>
        <w:rPr>
          <w:lang w:val="en-GB"/>
        </w:rPr>
      </w:pPr>
      <w:r>
        <w:rPr>
          <w:lang w:val="en-GB"/>
        </w:rPr>
        <w:t>A</w:t>
      </w:r>
      <w:r w:rsidRPr="00D0698C">
        <w:rPr>
          <w:lang w:val="en-GB"/>
        </w:rPr>
        <w:t>nalyses that examined the impact of time on the efficacy of LAIV in young children compared with placebo, demonstr</w:t>
      </w:r>
      <w:r>
        <w:rPr>
          <w:lang w:val="en-GB"/>
        </w:rPr>
        <w:t>at</w:t>
      </w:r>
      <w:r w:rsidRPr="00D0698C">
        <w:rPr>
          <w:lang w:val="en-GB"/>
        </w:rPr>
        <w:t xml:space="preserve">ed comparable efficacy through </w:t>
      </w:r>
      <w:r w:rsidRPr="00116DE3">
        <w:rPr>
          <w:lang w:val="en-GB"/>
        </w:rPr>
        <w:t xml:space="preserve">12 months post-vaccination; two studies have shown that LAIV efficacy can persist at a lower but clinically meaningful level through the following influenza season </w:t>
      </w:r>
      <w:r w:rsidRPr="00116DE3">
        <w:rPr>
          <w:lang w:val="en-GB"/>
        </w:rPr>
        <w:lastRenderedPageBreak/>
        <w:t>without revaccination (Study D153-P501, Tam et al</w:t>
      </w:r>
      <w:r w:rsidR="00F5527C" w:rsidRPr="00116DE3">
        <w:rPr>
          <w:lang w:val="en-GB"/>
        </w:rPr>
        <w:t>,</w:t>
      </w:r>
      <w:r w:rsidRPr="00116DE3">
        <w:rPr>
          <w:lang w:val="en-GB"/>
        </w:rPr>
        <w:t xml:space="preserve"> 2007; Study D153-P504, </w:t>
      </w:r>
      <w:proofErr w:type="spellStart"/>
      <w:r w:rsidRPr="00116DE3">
        <w:rPr>
          <w:lang w:val="en-GB"/>
        </w:rPr>
        <w:t>Bracco</w:t>
      </w:r>
      <w:proofErr w:type="spellEnd"/>
      <w:r w:rsidRPr="00116DE3">
        <w:rPr>
          <w:lang w:val="en-GB"/>
        </w:rPr>
        <w:t xml:space="preserve"> </w:t>
      </w:r>
      <w:proofErr w:type="spellStart"/>
      <w:r w:rsidRPr="00116DE3">
        <w:rPr>
          <w:lang w:val="en-GB"/>
        </w:rPr>
        <w:t>Neto</w:t>
      </w:r>
      <w:proofErr w:type="spellEnd"/>
      <w:r w:rsidR="00F5527C" w:rsidRPr="00116DE3">
        <w:rPr>
          <w:lang w:val="en-GB"/>
        </w:rPr>
        <w:t xml:space="preserve"> et al</w:t>
      </w:r>
      <w:r w:rsidRPr="00116DE3">
        <w:rPr>
          <w:lang w:val="en-GB"/>
        </w:rPr>
        <w:t xml:space="preserve"> 2009).</w:t>
      </w:r>
    </w:p>
    <w:p w14:paraId="5F0BD984" w14:textId="18760CFE" w:rsidR="005809C3" w:rsidRDefault="005809C3" w:rsidP="005809C3">
      <w:pPr>
        <w:pStyle w:val="A-Heading2"/>
      </w:pPr>
      <w:r>
        <w:t>Vaccine effectiveness</w:t>
      </w:r>
    </w:p>
    <w:p w14:paraId="64A491B1" w14:textId="622E6072" w:rsidR="005809C3" w:rsidRPr="00465FC7" w:rsidRDefault="00DD5786" w:rsidP="00465FC7">
      <w:pPr>
        <w:rPr>
          <w:lang w:val="en-GB"/>
        </w:rPr>
      </w:pPr>
      <w:r w:rsidRPr="00DD5786">
        <w:rPr>
          <w:lang w:val="en-GB"/>
        </w:rPr>
        <w:t>Data from observational effectiveness studies have confirmed a protective effect of LAIV, although there does appear to be variation in vaccine effectiveness estimates from different studies. Due to the limitations in observational studies it is difficult to compare the results of one study to another.</w:t>
      </w:r>
      <w:r w:rsidR="00B74ECF">
        <w:rPr>
          <w:lang w:val="en-GB"/>
        </w:rPr>
        <w:t xml:space="preserve"> </w:t>
      </w:r>
      <w:r w:rsidRPr="00DD5786">
        <w:rPr>
          <w:lang w:val="en-GB"/>
        </w:rPr>
        <w:t xml:space="preserve">The reasons for low vaccine effectiveness observed in occasional vaccine effectiveness studies </w:t>
      </w:r>
      <w:r w:rsidR="0044017F">
        <w:rPr>
          <w:lang w:val="en-GB"/>
        </w:rPr>
        <w:t>are</w:t>
      </w:r>
      <w:r w:rsidRPr="00DD5786">
        <w:rPr>
          <w:lang w:val="en-GB"/>
        </w:rPr>
        <w:t xml:space="preserve"> not always understood and may warrant further assessment</w:t>
      </w:r>
      <w:r>
        <w:rPr>
          <w:lang w:val="en-GB"/>
        </w:rPr>
        <w:t>.</w:t>
      </w:r>
    </w:p>
    <w:p w14:paraId="14400147" w14:textId="629F6CDA" w:rsidR="00922A50" w:rsidRDefault="00922A50" w:rsidP="00284F9B">
      <w:pPr>
        <w:pStyle w:val="A-Heading1"/>
        <w:rPr>
          <w:lang w:val="en-AU"/>
        </w:rPr>
      </w:pPr>
      <w:r>
        <w:rPr>
          <w:lang w:val="en-AU"/>
        </w:rPr>
        <w:t>INDICATIONS</w:t>
      </w:r>
    </w:p>
    <w:p w14:paraId="4A19A6AC" w14:textId="7519F95D" w:rsidR="0050685D" w:rsidRDefault="002E0E90" w:rsidP="005E143E">
      <w:proofErr w:type="spellStart"/>
      <w:r w:rsidRPr="008E0EC4">
        <w:t>Flu</w:t>
      </w:r>
      <w:r w:rsidR="0011566B" w:rsidRPr="008E0EC4">
        <w:t>M</w:t>
      </w:r>
      <w:r w:rsidRPr="008E0EC4">
        <w:t>ist</w:t>
      </w:r>
      <w:proofErr w:type="spellEnd"/>
      <w:r w:rsidRPr="008E0EC4">
        <w:t xml:space="preserve"> </w:t>
      </w:r>
      <w:proofErr w:type="spellStart"/>
      <w:r w:rsidRPr="008E0EC4">
        <w:t>Quadrivalent</w:t>
      </w:r>
      <w:proofErr w:type="spellEnd"/>
      <w:r w:rsidRPr="008E0EC4">
        <w:t xml:space="preserve"> is indicated for the pr</w:t>
      </w:r>
      <w:r w:rsidR="00512E41">
        <w:t>evention</w:t>
      </w:r>
      <w:r w:rsidRPr="008E0EC4">
        <w:t xml:space="preserve"> of influenza in </w:t>
      </w:r>
      <w:r w:rsidR="00512E41">
        <w:t>children and adolescents</w:t>
      </w:r>
      <w:r w:rsidRPr="008E0EC4">
        <w:t xml:space="preserve"> </w:t>
      </w:r>
      <w:r w:rsidR="008E0EC4" w:rsidRPr="008E0EC4">
        <w:t xml:space="preserve">from </w:t>
      </w:r>
      <w:r w:rsidRPr="008E0EC4">
        <w:t>24</w:t>
      </w:r>
      <w:r w:rsidR="0011566B" w:rsidRPr="008E0EC4">
        <w:t> </w:t>
      </w:r>
      <w:r w:rsidRPr="008E0EC4">
        <w:t xml:space="preserve">months </w:t>
      </w:r>
      <w:r w:rsidR="00B3423A">
        <w:t>to less than 18 </w:t>
      </w:r>
      <w:r w:rsidR="008E0EC4" w:rsidRPr="008E0EC4">
        <w:t xml:space="preserve">years </w:t>
      </w:r>
      <w:r w:rsidRPr="008E0EC4">
        <w:t>of age.</w:t>
      </w:r>
    </w:p>
    <w:p w14:paraId="5350A082" w14:textId="77777777" w:rsidR="00922A50" w:rsidRDefault="00922A50" w:rsidP="008A2422">
      <w:pPr>
        <w:pStyle w:val="A-Heading1"/>
        <w:rPr>
          <w:lang w:val="en-AU"/>
        </w:rPr>
      </w:pPr>
      <w:r>
        <w:rPr>
          <w:lang w:val="en-AU"/>
        </w:rPr>
        <w:t>CONTRAINDICATIONS</w:t>
      </w:r>
    </w:p>
    <w:p w14:paraId="572A7EA8" w14:textId="77777777" w:rsidR="002E0E90" w:rsidRDefault="00F67E48" w:rsidP="00545F24">
      <w:pPr>
        <w:pStyle w:val="A-ListBullet"/>
      </w:pPr>
      <w:r>
        <w:t xml:space="preserve">Do not administer </w:t>
      </w:r>
      <w:proofErr w:type="spellStart"/>
      <w:r>
        <w:t>FluMist</w:t>
      </w:r>
      <w:proofErr w:type="spellEnd"/>
      <w:r>
        <w:t xml:space="preserve"> </w:t>
      </w:r>
      <w:proofErr w:type="spellStart"/>
      <w:r>
        <w:t>Quadrivalent</w:t>
      </w:r>
      <w:proofErr w:type="spellEnd"/>
      <w:r>
        <w:t xml:space="preserve"> to persons who have had a severe allergic reaction (</w:t>
      </w:r>
      <w:proofErr w:type="spellStart"/>
      <w:r>
        <w:t>eg</w:t>
      </w:r>
      <w:proofErr w:type="spellEnd"/>
      <w:r>
        <w:t xml:space="preserve"> anaphylaxis) </w:t>
      </w:r>
      <w:r w:rsidR="002E0E90" w:rsidRPr="0035240D">
        <w:t>to the active substances, any of the excipients (</w:t>
      </w:r>
      <w:proofErr w:type="spellStart"/>
      <w:r w:rsidR="002E0E90" w:rsidRPr="0035240D">
        <w:t>eg</w:t>
      </w:r>
      <w:proofErr w:type="spellEnd"/>
      <w:r w:rsidR="002E0E90" w:rsidRPr="0035240D">
        <w:t xml:space="preserve"> </w:t>
      </w:r>
      <w:proofErr w:type="spellStart"/>
      <w:r w:rsidR="002E0E90" w:rsidRPr="0035240D">
        <w:t>gelatin</w:t>
      </w:r>
      <w:proofErr w:type="spellEnd"/>
      <w:r w:rsidR="002E0E90" w:rsidRPr="0035240D">
        <w:t xml:space="preserve">; see </w:t>
      </w:r>
      <w:r w:rsidR="00AA1BA2" w:rsidRPr="0035240D">
        <w:rPr>
          <w:i/>
        </w:rPr>
        <w:t>Description</w:t>
      </w:r>
      <w:r w:rsidR="002E0E90" w:rsidRPr="0035240D">
        <w:t>), gentamicin (a trace residual), eggs or egg proteins (</w:t>
      </w:r>
      <w:proofErr w:type="spellStart"/>
      <w:r w:rsidR="002E0E90" w:rsidRPr="0035240D">
        <w:t>eg</w:t>
      </w:r>
      <w:proofErr w:type="spellEnd"/>
      <w:r w:rsidR="002E0E90" w:rsidRPr="0035240D">
        <w:t xml:space="preserve"> ovalbumin</w:t>
      </w:r>
      <w:r w:rsidR="00F54912">
        <w:t xml:space="preserve">; see </w:t>
      </w:r>
      <w:r w:rsidR="00F54912" w:rsidRPr="00F54912">
        <w:rPr>
          <w:i/>
        </w:rPr>
        <w:t>Description</w:t>
      </w:r>
      <w:r w:rsidR="002E0E90" w:rsidRPr="0035240D">
        <w:t>).</w:t>
      </w:r>
    </w:p>
    <w:p w14:paraId="578AE367" w14:textId="5F649243" w:rsidR="00545F24" w:rsidRDefault="00545F24" w:rsidP="003F5F06">
      <w:pPr>
        <w:pStyle w:val="A-ListBullet"/>
      </w:pPr>
      <w:r>
        <w:t xml:space="preserve">Children and adolescents with clinical immunodeficiency due to conditions or immunosuppressive therapy such as: acute &amp; chronic </w:t>
      </w:r>
      <w:proofErr w:type="spellStart"/>
      <w:r>
        <w:t>leukaemias</w:t>
      </w:r>
      <w:proofErr w:type="spellEnd"/>
      <w:r>
        <w:t>; lymphoma; symptomatic HIV infection; cellular immune deficiencies; and high-dose corticosteroids</w:t>
      </w:r>
      <w:r w:rsidR="00442E8B">
        <w:t xml:space="preserve"> (see</w:t>
      </w:r>
      <w:r w:rsidR="00711F73">
        <w:t xml:space="preserve"> also</w:t>
      </w:r>
      <w:r w:rsidR="00442E8B">
        <w:t xml:space="preserve"> </w:t>
      </w:r>
      <w:r w:rsidR="00442E8B" w:rsidRPr="00442E8B">
        <w:rPr>
          <w:i/>
        </w:rPr>
        <w:t>Precautions</w:t>
      </w:r>
      <w:r w:rsidR="00442E8B">
        <w:t>)</w:t>
      </w:r>
      <w:r>
        <w:t>.</w:t>
      </w:r>
    </w:p>
    <w:p w14:paraId="40FD3538" w14:textId="69F7B1B7" w:rsidR="00545F24" w:rsidRPr="0035240D" w:rsidRDefault="00545F24" w:rsidP="003F5F06">
      <w:pPr>
        <w:pStyle w:val="A-ListBullet"/>
      </w:pPr>
      <w:r>
        <w:t xml:space="preserve">Children and adolescents less than </w:t>
      </w:r>
      <w:r w:rsidRPr="00545F24">
        <w:t>18 years of age receiving salicylate therapy because of the association of Reye’s syndrome with salicylates and wild-type influenza infection</w:t>
      </w:r>
      <w:r w:rsidR="003F5F06">
        <w:t xml:space="preserve"> (see </w:t>
      </w:r>
      <w:r w:rsidR="003F5F06" w:rsidRPr="003F5F06">
        <w:rPr>
          <w:i/>
        </w:rPr>
        <w:t>Interactions with other medicines</w:t>
      </w:r>
      <w:r w:rsidR="003F5F06">
        <w:t>)</w:t>
      </w:r>
      <w:r>
        <w:t>.</w:t>
      </w:r>
    </w:p>
    <w:p w14:paraId="1449CE4C" w14:textId="1E32CE0D" w:rsidR="00922A50" w:rsidRPr="0035240D" w:rsidRDefault="00922A50" w:rsidP="008A2422">
      <w:pPr>
        <w:pStyle w:val="A-Heading1"/>
      </w:pPr>
      <w:r w:rsidRPr="0035240D">
        <w:t>P</w:t>
      </w:r>
      <w:r w:rsidR="00B74ECF">
        <w:t>RECAUTIONS</w:t>
      </w:r>
    </w:p>
    <w:p w14:paraId="6E7BF639" w14:textId="5CEFDD4C" w:rsidR="00123E2E" w:rsidRDefault="00CF7A72" w:rsidP="00123E2E">
      <w:r>
        <w:t xml:space="preserve">Clinical data presented in this section includes studies conducted with the </w:t>
      </w:r>
      <w:r w:rsidR="00123E2E" w:rsidRPr="00496C49">
        <w:t xml:space="preserve">trivalent version of </w:t>
      </w:r>
      <w:proofErr w:type="spellStart"/>
      <w:r w:rsidR="00123E2E" w:rsidRPr="00496C49">
        <w:t>FluM</w:t>
      </w:r>
      <w:r>
        <w:t>ist</w:t>
      </w:r>
      <w:proofErr w:type="spellEnd"/>
      <w:r>
        <w:t>.</w:t>
      </w:r>
      <w:r w:rsidR="00B74ECF">
        <w:t xml:space="preserve"> </w:t>
      </w:r>
      <w:r>
        <w:t xml:space="preserve">These data are </w:t>
      </w:r>
      <w:r w:rsidR="00123E2E" w:rsidRPr="00496C49">
        <w:t xml:space="preserve">relevant to </w:t>
      </w:r>
      <w:proofErr w:type="spellStart"/>
      <w:r w:rsidR="00123E2E" w:rsidRPr="00496C49">
        <w:t>FluMist</w:t>
      </w:r>
      <w:proofErr w:type="spellEnd"/>
      <w:r w:rsidR="00123E2E" w:rsidRPr="00496C49">
        <w:t xml:space="preserve"> </w:t>
      </w:r>
      <w:proofErr w:type="spellStart"/>
      <w:r w:rsidR="00123E2E" w:rsidRPr="00496C49">
        <w:t>Quadrivalent</w:t>
      </w:r>
      <w:proofErr w:type="spellEnd"/>
      <w:r w:rsidR="00123E2E" w:rsidRPr="00496C49">
        <w:t xml:space="preserve"> because </w:t>
      </w:r>
      <w:proofErr w:type="spellStart"/>
      <w:r w:rsidR="00123E2E" w:rsidRPr="00496C49">
        <w:t>FluMist</w:t>
      </w:r>
      <w:proofErr w:type="spellEnd"/>
      <w:r w:rsidR="00123E2E" w:rsidRPr="00496C49">
        <w:t xml:space="preserve"> </w:t>
      </w:r>
      <w:proofErr w:type="spellStart"/>
      <w:r w:rsidR="00123E2E" w:rsidRPr="00496C49">
        <w:t>Quadrivalent</w:t>
      </w:r>
      <w:proofErr w:type="spellEnd"/>
      <w:r w:rsidR="00123E2E" w:rsidRPr="00496C49">
        <w:t xml:space="preserve"> is identical to trivalent version of </w:t>
      </w:r>
      <w:proofErr w:type="spellStart"/>
      <w:r w:rsidR="00123E2E" w:rsidRPr="00496C49">
        <w:t>FluMist</w:t>
      </w:r>
      <w:proofErr w:type="spellEnd"/>
      <w:r w:rsidR="00123E2E" w:rsidRPr="00496C49">
        <w:t xml:space="preserve"> with the only difference being the addition of a fourth strain (a second B strain) to </w:t>
      </w:r>
      <w:proofErr w:type="spellStart"/>
      <w:r w:rsidR="00123E2E" w:rsidRPr="00496C49">
        <w:t>FluMist</w:t>
      </w:r>
      <w:proofErr w:type="spellEnd"/>
      <w:r w:rsidR="00123E2E" w:rsidRPr="00496C49">
        <w:t xml:space="preserve"> </w:t>
      </w:r>
      <w:proofErr w:type="spellStart"/>
      <w:r w:rsidR="00123E2E" w:rsidRPr="00496C49">
        <w:t>Quadrivalent</w:t>
      </w:r>
      <w:proofErr w:type="spellEnd"/>
      <w:r w:rsidR="00123E2E" w:rsidRPr="00496C49">
        <w:t>.</w:t>
      </w:r>
    </w:p>
    <w:p w14:paraId="24A1E6E3" w14:textId="77777777" w:rsidR="00D07587" w:rsidRPr="00123E2E" w:rsidRDefault="00381F0A" w:rsidP="00D07587">
      <w:pPr>
        <w:pStyle w:val="A-Heading2"/>
      </w:pPr>
      <w:r w:rsidRPr="00123E2E">
        <w:t>Risk in children &lt;</w:t>
      </w:r>
      <w:r w:rsidR="00D07587" w:rsidRPr="00123E2E">
        <w:t>24</w:t>
      </w:r>
      <w:r w:rsidRPr="00123E2E">
        <w:t> </w:t>
      </w:r>
      <w:r w:rsidR="00D07587" w:rsidRPr="00123E2E">
        <w:t>months of age</w:t>
      </w:r>
    </w:p>
    <w:p w14:paraId="722367CE" w14:textId="19BA4F80" w:rsidR="00D07587" w:rsidRPr="00496C49" w:rsidRDefault="00381F0A" w:rsidP="00D07587">
      <w:r w:rsidRPr="00CA628B">
        <w:t xml:space="preserve">Do not administer </w:t>
      </w:r>
      <w:proofErr w:type="spellStart"/>
      <w:r w:rsidRPr="00CA628B">
        <w:t>FluM</w:t>
      </w:r>
      <w:r w:rsidR="00D07587" w:rsidRPr="00CA628B">
        <w:t>ist</w:t>
      </w:r>
      <w:proofErr w:type="spellEnd"/>
      <w:r w:rsidR="00D07587" w:rsidRPr="00CA628B">
        <w:t xml:space="preserve"> </w:t>
      </w:r>
      <w:proofErr w:type="spellStart"/>
      <w:r w:rsidR="00D07587" w:rsidRPr="00CA628B">
        <w:t>Quadrivalent</w:t>
      </w:r>
      <w:proofErr w:type="spellEnd"/>
      <w:r w:rsidR="00D07587" w:rsidRPr="00CA628B">
        <w:t xml:space="preserve"> to children younger tha</w:t>
      </w:r>
      <w:r w:rsidR="00496C49" w:rsidRPr="00CA628B">
        <w:t>n 12 </w:t>
      </w:r>
      <w:r w:rsidR="00D07587" w:rsidRPr="00CA628B">
        <w:t>months.</w:t>
      </w:r>
      <w:r w:rsidR="00B74ECF">
        <w:t xml:space="preserve"> </w:t>
      </w:r>
      <w:r w:rsidR="00D07587" w:rsidRPr="00CA628B">
        <w:t xml:space="preserve">In a clinical study, an increase in </w:t>
      </w:r>
      <w:r w:rsidR="008B4B7A" w:rsidRPr="00CA628B">
        <w:t>hospitalisations</w:t>
      </w:r>
      <w:r w:rsidR="00D07587" w:rsidRPr="00CA628B">
        <w:t xml:space="preserve"> was obser</w:t>
      </w:r>
      <w:r w:rsidR="00496C49" w:rsidRPr="00CA628B">
        <w:t>ved in children younger than 12 </w:t>
      </w:r>
      <w:r w:rsidR="00D07587" w:rsidRPr="00CA628B">
        <w:t xml:space="preserve">months after vaccination with trivalent version of </w:t>
      </w:r>
      <w:proofErr w:type="spellStart"/>
      <w:r w:rsidR="00D07587" w:rsidRPr="00CA628B">
        <w:t>Flu</w:t>
      </w:r>
      <w:r w:rsidRPr="00CA628B">
        <w:t>M</w:t>
      </w:r>
      <w:r w:rsidR="00D07587" w:rsidRPr="00CA628B">
        <w:t>ist</w:t>
      </w:r>
      <w:proofErr w:type="spellEnd"/>
      <w:r w:rsidR="00D07587" w:rsidRPr="00CA628B">
        <w:t>.</w:t>
      </w:r>
      <w:r w:rsidR="00B74ECF">
        <w:t xml:space="preserve"> </w:t>
      </w:r>
      <w:r w:rsidR="00D07587" w:rsidRPr="00CA628B">
        <w:t>It is no</w:t>
      </w:r>
      <w:r w:rsidRPr="00CA628B">
        <w:t xml:space="preserve">t recommended to administer </w:t>
      </w:r>
      <w:proofErr w:type="spellStart"/>
      <w:r w:rsidRPr="00CA628B">
        <w:t>FluM</w:t>
      </w:r>
      <w:r w:rsidR="00123E2E" w:rsidRPr="00CA628B">
        <w:t>ist</w:t>
      </w:r>
      <w:proofErr w:type="spellEnd"/>
      <w:r w:rsidR="00123E2E" w:rsidRPr="00CA628B">
        <w:t xml:space="preserve"> </w:t>
      </w:r>
      <w:proofErr w:type="spellStart"/>
      <w:r w:rsidR="00123E2E" w:rsidRPr="00CA628B">
        <w:t>Quadrivalent</w:t>
      </w:r>
      <w:proofErr w:type="spellEnd"/>
      <w:r w:rsidR="00123E2E" w:rsidRPr="00CA628B">
        <w:t xml:space="preserve"> to children 12</w:t>
      </w:r>
      <w:r w:rsidR="00123E2E" w:rsidRPr="00CA628B">
        <w:noBreakHyphen/>
      </w:r>
      <w:r w:rsidR="00D07587" w:rsidRPr="00CA628B">
        <w:t>23</w:t>
      </w:r>
      <w:r w:rsidR="003F763E" w:rsidRPr="00CA628B">
        <w:t> </w:t>
      </w:r>
      <w:r w:rsidR="00D07587" w:rsidRPr="00CA628B">
        <w:t>months of age. In a clinical study, an increased rate of wheezing was observed in children 12</w:t>
      </w:r>
      <w:r w:rsidR="00496C49" w:rsidRPr="00CA628B">
        <w:noBreakHyphen/>
      </w:r>
      <w:r w:rsidR="00D07587" w:rsidRPr="00CA628B">
        <w:t>23</w:t>
      </w:r>
      <w:r w:rsidR="003F763E" w:rsidRPr="00CA628B">
        <w:t> </w:t>
      </w:r>
      <w:r w:rsidR="00D07587" w:rsidRPr="00CA628B">
        <w:t>months of age after vaccinatio</w:t>
      </w:r>
      <w:r w:rsidRPr="00CA628B">
        <w:t xml:space="preserve">n with trivalent version of </w:t>
      </w:r>
      <w:proofErr w:type="spellStart"/>
      <w:r w:rsidRPr="00CA628B">
        <w:t>FluM</w:t>
      </w:r>
      <w:r w:rsidR="00D07587" w:rsidRPr="00CA628B">
        <w:t>ist</w:t>
      </w:r>
      <w:proofErr w:type="spellEnd"/>
      <w:r w:rsidR="00D07587" w:rsidRPr="00CA628B">
        <w:t xml:space="preserve"> (see </w:t>
      </w:r>
      <w:proofErr w:type="gramStart"/>
      <w:r w:rsidR="00F54912" w:rsidRPr="00CA628B">
        <w:rPr>
          <w:i/>
        </w:rPr>
        <w:t>Adverse</w:t>
      </w:r>
      <w:proofErr w:type="gramEnd"/>
      <w:r w:rsidR="00F54912" w:rsidRPr="00CA628B">
        <w:rPr>
          <w:i/>
        </w:rPr>
        <w:t xml:space="preserve"> e</w:t>
      </w:r>
      <w:r w:rsidR="003F763E" w:rsidRPr="00CA628B">
        <w:rPr>
          <w:i/>
        </w:rPr>
        <w:t>ffects</w:t>
      </w:r>
      <w:r w:rsidR="00D07587" w:rsidRPr="00CA628B">
        <w:t>).</w:t>
      </w:r>
    </w:p>
    <w:p w14:paraId="535245C4" w14:textId="77777777" w:rsidR="00D07587" w:rsidRPr="00CA628B" w:rsidRDefault="00D07587" w:rsidP="00D07587">
      <w:pPr>
        <w:pStyle w:val="A-Heading2"/>
      </w:pPr>
      <w:r w:rsidRPr="00CA628B">
        <w:lastRenderedPageBreak/>
        <w:t>Severe asthma or active wheezing</w:t>
      </w:r>
    </w:p>
    <w:p w14:paraId="45CBC953" w14:textId="7197CA71" w:rsidR="005D1151" w:rsidRDefault="00D07587" w:rsidP="00CA628B">
      <w:r w:rsidRPr="00CA628B">
        <w:t>Individuals with severe asthma or active wheezing have not been adequately studied in clinical studies.</w:t>
      </w:r>
    </w:p>
    <w:p w14:paraId="63E83CB2" w14:textId="77777777" w:rsidR="00D07587" w:rsidRDefault="00D07587" w:rsidP="00D07587">
      <w:pPr>
        <w:pStyle w:val="A-Heading2"/>
      </w:pPr>
      <w:r>
        <w:t>Management of acute allergic reactions</w:t>
      </w:r>
    </w:p>
    <w:p w14:paraId="5F6D7604" w14:textId="77777777" w:rsidR="00D07587" w:rsidRDefault="00D07587" w:rsidP="00D07587">
      <w:r>
        <w:t>As with all vaccines, appropriate medical treatment and supervision should always be readily available in case of an anaphylactic event following the administration of</w:t>
      </w:r>
      <w:r w:rsidRPr="00D07587">
        <w:t xml:space="preserve"> </w:t>
      </w:r>
      <w:r w:rsidR="00381F0A">
        <w:t>the vaccine</w:t>
      </w:r>
      <w:r>
        <w:t>.</w:t>
      </w:r>
    </w:p>
    <w:p w14:paraId="4364203B" w14:textId="1EF7B7AB" w:rsidR="00D07587" w:rsidRDefault="00D07587" w:rsidP="00D07587">
      <w:pPr>
        <w:pStyle w:val="A-Heading2"/>
      </w:pPr>
      <w:r>
        <w:t xml:space="preserve">Altered </w:t>
      </w:r>
      <w:proofErr w:type="spellStart"/>
      <w:r>
        <w:t>immunocompetence</w:t>
      </w:r>
      <w:proofErr w:type="spellEnd"/>
    </w:p>
    <w:p w14:paraId="729544C0" w14:textId="63ADD6A2" w:rsidR="00DE16BB" w:rsidRPr="005E143E" w:rsidRDefault="00DE16BB" w:rsidP="005E143E">
      <w:pPr>
        <w:rPr>
          <w:lang w:val="en-GB"/>
        </w:rPr>
      </w:pPr>
      <w:proofErr w:type="spellStart"/>
      <w:r w:rsidRPr="00711F73">
        <w:t>FluMist</w:t>
      </w:r>
      <w:proofErr w:type="spellEnd"/>
      <w:r w:rsidRPr="00711F73">
        <w:t xml:space="preserve"> </w:t>
      </w:r>
      <w:proofErr w:type="spellStart"/>
      <w:r w:rsidRPr="00711F73">
        <w:t>Quadrivalent</w:t>
      </w:r>
      <w:proofErr w:type="spellEnd"/>
      <w:r w:rsidRPr="00711F73">
        <w:t xml:space="preserve"> has not been studied in immunocompromised individuals. Data on the safety and shedding of trivalent version of </w:t>
      </w:r>
      <w:proofErr w:type="spellStart"/>
      <w:r w:rsidRPr="00711F73">
        <w:t>FluMist</w:t>
      </w:r>
      <w:proofErr w:type="spellEnd"/>
      <w:r w:rsidRPr="00711F73">
        <w:t xml:space="preserve"> in immunocompromised individuals are limited (see </w:t>
      </w:r>
      <w:r w:rsidRPr="00711F73">
        <w:rPr>
          <w:i/>
        </w:rPr>
        <w:t>Clinical trials</w:t>
      </w:r>
      <w:r w:rsidRPr="00711F73">
        <w:t>).</w:t>
      </w:r>
      <w:r w:rsidR="00B74ECF">
        <w:t xml:space="preserve"> </w:t>
      </w:r>
      <w:proofErr w:type="spellStart"/>
      <w:r w:rsidRPr="00711F73">
        <w:t>FluMist</w:t>
      </w:r>
      <w:proofErr w:type="spellEnd"/>
      <w:r w:rsidRPr="00711F73">
        <w:t xml:space="preserve"> </w:t>
      </w:r>
      <w:proofErr w:type="spellStart"/>
      <w:r w:rsidRPr="00711F73">
        <w:t>Quadrivalent</w:t>
      </w:r>
      <w:proofErr w:type="spellEnd"/>
      <w:r w:rsidRPr="00711F73">
        <w:t xml:space="preserve"> administration to immunocompromised individuals should be based on careful consideration of potential benefits and risks</w:t>
      </w:r>
      <w:r w:rsidR="00BF5768" w:rsidRPr="00711F73">
        <w:t xml:space="preserve"> (see</w:t>
      </w:r>
      <w:r w:rsidR="00711F73" w:rsidRPr="00711F73">
        <w:t xml:space="preserve"> also</w:t>
      </w:r>
      <w:r w:rsidR="00BF5768" w:rsidRPr="00711F73">
        <w:t xml:space="preserve"> </w:t>
      </w:r>
      <w:r w:rsidR="00BF5768" w:rsidRPr="00711F73">
        <w:rPr>
          <w:i/>
        </w:rPr>
        <w:t>Contraindications</w:t>
      </w:r>
      <w:r w:rsidR="00BF5768" w:rsidRPr="00711F73">
        <w:t>)</w:t>
      </w:r>
      <w:r w:rsidRPr="00711F73">
        <w:t>.</w:t>
      </w:r>
      <w:r w:rsidR="00BF5768" w:rsidRPr="00711F73">
        <w:t xml:space="preserve"> </w:t>
      </w:r>
      <w:proofErr w:type="spellStart"/>
      <w:r w:rsidR="00BF5768" w:rsidRPr="00711F73">
        <w:rPr>
          <w:lang w:val="en-GB"/>
        </w:rPr>
        <w:t>FluMist</w:t>
      </w:r>
      <w:proofErr w:type="spellEnd"/>
      <w:r w:rsidR="00BF5768" w:rsidRPr="00711F73">
        <w:rPr>
          <w:lang w:val="en-GB"/>
        </w:rPr>
        <w:t xml:space="preserve"> </w:t>
      </w:r>
      <w:proofErr w:type="spellStart"/>
      <w:r w:rsidR="00BF5768" w:rsidRPr="00711F73">
        <w:rPr>
          <w:lang w:val="en-GB"/>
        </w:rPr>
        <w:t>Quadrivalent</w:t>
      </w:r>
      <w:proofErr w:type="spellEnd"/>
      <w:r w:rsidR="00BF5768" w:rsidRPr="00711F73">
        <w:rPr>
          <w:lang w:val="en-GB"/>
        </w:rPr>
        <w:t xml:space="preserve"> is not contraindicated for use in individuals with asymptomatic HIV infection (</w:t>
      </w:r>
      <w:r w:rsidR="00BF5768" w:rsidRPr="00711F73">
        <w:t xml:space="preserve">see </w:t>
      </w:r>
      <w:r w:rsidR="00BF5768" w:rsidRPr="00711F73">
        <w:rPr>
          <w:i/>
        </w:rPr>
        <w:t>Clinical trials)</w:t>
      </w:r>
      <w:r w:rsidR="00BF5768" w:rsidRPr="00711F73">
        <w:rPr>
          <w:lang w:val="en-GB"/>
        </w:rPr>
        <w:t xml:space="preserve">; or individuals who are receiving topical/inhaled corticosteroids or low-dose systemic corticosteroids or those receiving corticosteroids as replacement therapy </w:t>
      </w:r>
      <w:proofErr w:type="spellStart"/>
      <w:r w:rsidR="00BF5768" w:rsidRPr="00711F73">
        <w:rPr>
          <w:lang w:val="en-GB"/>
        </w:rPr>
        <w:t>eg</w:t>
      </w:r>
      <w:proofErr w:type="spellEnd"/>
      <w:r w:rsidR="00BF5768" w:rsidRPr="00711F73">
        <w:rPr>
          <w:lang w:val="en-GB"/>
        </w:rPr>
        <w:t xml:space="preserve"> for adrenal insufficiency.</w:t>
      </w:r>
    </w:p>
    <w:p w14:paraId="3CAC5C9A" w14:textId="43AA66C0" w:rsidR="003207C8" w:rsidRDefault="00123E2E" w:rsidP="003207C8">
      <w:r>
        <w:t xml:space="preserve">Vaccine recipients/caregivers should be informed that </w:t>
      </w:r>
      <w:proofErr w:type="spellStart"/>
      <w:r>
        <w:t>FluMist</w:t>
      </w:r>
      <w:proofErr w:type="spellEnd"/>
      <w:r>
        <w:t xml:space="preserve"> </w:t>
      </w:r>
      <w:proofErr w:type="spellStart"/>
      <w:r>
        <w:t>Quadrivalent</w:t>
      </w:r>
      <w:proofErr w:type="spellEnd"/>
      <w:r>
        <w:t xml:space="preserve"> is an attenuated live virus vaccine and has the potential for transmission to immunocompromised contacts.</w:t>
      </w:r>
      <w:r w:rsidR="00B74ECF">
        <w:t xml:space="preserve"> </w:t>
      </w:r>
      <w:r>
        <w:t>Vaccine recipients should attempt, whenever possible, to avoid close association with severely immunocompromised individuals (</w:t>
      </w:r>
      <w:proofErr w:type="spellStart"/>
      <w:r>
        <w:t>eg</w:t>
      </w:r>
      <w:proofErr w:type="spellEnd"/>
      <w:r>
        <w:t xml:space="preserve"> bone marrow transplant recipients requiring isolation) for 1-2 weeks following vaccination.</w:t>
      </w:r>
    </w:p>
    <w:p w14:paraId="5DF9B00E" w14:textId="5ECD2EA0" w:rsidR="00922A50" w:rsidRDefault="00922A50">
      <w:pPr>
        <w:pStyle w:val="A-Heading2"/>
        <w:rPr>
          <w:lang w:val="en-AU"/>
        </w:rPr>
      </w:pPr>
      <w:r>
        <w:rPr>
          <w:lang w:val="en-AU"/>
        </w:rPr>
        <w:t>Effects on fertility</w:t>
      </w:r>
    </w:p>
    <w:p w14:paraId="4EE3EE8A" w14:textId="2FA3A3A4" w:rsidR="00396CC2" w:rsidRDefault="00396CC2">
      <w:proofErr w:type="spellStart"/>
      <w:r>
        <w:t>FluMist</w:t>
      </w:r>
      <w:proofErr w:type="spellEnd"/>
      <w:r>
        <w:t xml:space="preserve"> </w:t>
      </w:r>
      <w:proofErr w:type="spellStart"/>
      <w:r>
        <w:t>Quadrivalent</w:t>
      </w:r>
      <w:proofErr w:type="spellEnd"/>
      <w:r w:rsidR="00863D3A">
        <w:t xml:space="preserve"> has not been evaluated for its potential to impair </w:t>
      </w:r>
      <w:r w:rsidR="00E8575B">
        <w:t xml:space="preserve">human </w:t>
      </w:r>
      <w:r w:rsidR="00863D3A">
        <w:t>fertility.</w:t>
      </w:r>
      <w:r w:rsidR="00B74ECF">
        <w:t xml:space="preserve"> </w:t>
      </w:r>
      <w:r w:rsidR="00E8575B" w:rsidRPr="00E8575B">
        <w:t xml:space="preserve">However a reproductive and developmental toxicity study in which rats were </w:t>
      </w:r>
      <w:proofErr w:type="spellStart"/>
      <w:r w:rsidR="00E8575B" w:rsidRPr="00E8575B">
        <w:t>intranasally</w:t>
      </w:r>
      <w:proofErr w:type="spellEnd"/>
      <w:r w:rsidR="00E8575B" w:rsidRPr="00E8575B">
        <w:t xml:space="preserve"> administered the human dose of </w:t>
      </w:r>
      <w:proofErr w:type="spellStart"/>
      <w:r w:rsidR="00E8575B" w:rsidRPr="00E8575B">
        <w:t>FluMis</w:t>
      </w:r>
      <w:r w:rsidR="00E8575B">
        <w:t>t</w:t>
      </w:r>
      <w:proofErr w:type="spellEnd"/>
      <w:r w:rsidR="00E8575B">
        <w:t xml:space="preserve"> </w:t>
      </w:r>
      <w:proofErr w:type="spellStart"/>
      <w:r w:rsidR="00E8575B">
        <w:t>Quadrivalent</w:t>
      </w:r>
      <w:proofErr w:type="spellEnd"/>
      <w:r w:rsidR="00E8575B">
        <w:t xml:space="preserve"> 3 times in the 2 weeks prior to mating, and 3 </w:t>
      </w:r>
      <w:r w:rsidR="00E8575B" w:rsidRPr="00E8575B">
        <w:t>times during gestation, showed no adverse effects on female fertility.</w:t>
      </w:r>
    </w:p>
    <w:p w14:paraId="1942FBBA" w14:textId="05746998" w:rsidR="00922A50" w:rsidRDefault="00922A50">
      <w:pPr>
        <w:pStyle w:val="A-Heading2"/>
      </w:pPr>
      <w:r>
        <w:t xml:space="preserve">Use in pregnancy – Category </w:t>
      </w:r>
      <w:r w:rsidR="007975BF">
        <w:t>B1</w:t>
      </w:r>
    </w:p>
    <w:p w14:paraId="7C9E6C86" w14:textId="68265C5F" w:rsidR="00711F73" w:rsidRPr="00700868" w:rsidRDefault="00711F73" w:rsidP="00711F73">
      <w:r w:rsidRPr="00700868">
        <w:rPr>
          <w:lang w:val="en-GB"/>
        </w:rPr>
        <w:t>A</w:t>
      </w:r>
      <w:r w:rsidR="0002456E" w:rsidRPr="00700868">
        <w:rPr>
          <w:lang w:val="en-GB"/>
        </w:rPr>
        <w:t>vailable data</w:t>
      </w:r>
      <w:r w:rsidRPr="00700868">
        <w:rPr>
          <w:lang w:val="en-GB"/>
        </w:rPr>
        <w:t>,</w:t>
      </w:r>
      <w:r w:rsidR="0002456E" w:rsidRPr="00700868">
        <w:rPr>
          <w:lang w:val="en-GB"/>
        </w:rPr>
        <w:t xml:space="preserve"> </w:t>
      </w:r>
      <w:r w:rsidRPr="00700868">
        <w:rPr>
          <w:iCs/>
        </w:rPr>
        <w:t>including post-marketing reports,</w:t>
      </w:r>
      <w:r w:rsidRPr="00700868">
        <w:rPr>
          <w:lang w:val="en-GB"/>
        </w:rPr>
        <w:t xml:space="preserve"> </w:t>
      </w:r>
      <w:r w:rsidR="0002456E" w:rsidRPr="00700868">
        <w:rPr>
          <w:lang w:val="en-GB"/>
        </w:rPr>
        <w:t xml:space="preserve">suggest that </w:t>
      </w:r>
      <w:proofErr w:type="spellStart"/>
      <w:r w:rsidR="0002456E" w:rsidRPr="00700868">
        <w:rPr>
          <w:lang w:val="en-GB"/>
        </w:rPr>
        <w:t>FluMist</w:t>
      </w:r>
      <w:proofErr w:type="spellEnd"/>
      <w:r w:rsidR="0002456E" w:rsidRPr="00700868">
        <w:rPr>
          <w:lang w:val="en-GB"/>
        </w:rPr>
        <w:t xml:space="preserve"> </w:t>
      </w:r>
      <w:proofErr w:type="spellStart"/>
      <w:r w:rsidR="0002456E" w:rsidRPr="00700868">
        <w:rPr>
          <w:lang w:val="en-GB"/>
        </w:rPr>
        <w:t>Quadrivalent</w:t>
      </w:r>
      <w:proofErr w:type="spellEnd"/>
      <w:r w:rsidR="0002456E" w:rsidRPr="00700868">
        <w:rPr>
          <w:lang w:val="en-GB"/>
        </w:rPr>
        <w:t xml:space="preserve"> has not been associated with adverse maternal or </w:t>
      </w:r>
      <w:proofErr w:type="spellStart"/>
      <w:r w:rsidR="0002456E" w:rsidRPr="00700868">
        <w:rPr>
          <w:lang w:val="en-GB"/>
        </w:rPr>
        <w:t>fetal</w:t>
      </w:r>
      <w:proofErr w:type="spellEnd"/>
      <w:r w:rsidR="0002456E" w:rsidRPr="00700868">
        <w:rPr>
          <w:lang w:val="en-GB"/>
        </w:rPr>
        <w:t xml:space="preserve"> outcomes</w:t>
      </w:r>
      <w:r w:rsidRPr="00700868">
        <w:rPr>
          <w:lang w:val="en-GB"/>
        </w:rPr>
        <w:t>.</w:t>
      </w:r>
      <w:r w:rsidR="00F66B8D" w:rsidRPr="00700868">
        <w:rPr>
          <w:lang w:val="en-GB"/>
        </w:rPr>
        <w:t xml:space="preserve"> </w:t>
      </w:r>
      <w:proofErr w:type="spellStart"/>
      <w:r w:rsidR="00CA628B" w:rsidRPr="00700868">
        <w:t>FluMist</w:t>
      </w:r>
      <w:proofErr w:type="spellEnd"/>
      <w:r w:rsidR="00CA628B" w:rsidRPr="00700868">
        <w:t xml:space="preserve"> </w:t>
      </w:r>
      <w:proofErr w:type="spellStart"/>
      <w:r w:rsidR="00CA628B" w:rsidRPr="00700868">
        <w:t>Quadrivalent</w:t>
      </w:r>
      <w:proofErr w:type="spellEnd"/>
      <w:r w:rsidR="00CA628B" w:rsidRPr="00700868">
        <w:t xml:space="preserve"> </w:t>
      </w:r>
      <w:r w:rsidR="00F66B8D" w:rsidRPr="00700868">
        <w:t>is not recommended during</w:t>
      </w:r>
      <w:r w:rsidR="00946F32" w:rsidRPr="00700868">
        <w:t xml:space="preserve"> </w:t>
      </w:r>
      <w:r w:rsidR="00CA628B" w:rsidRPr="00700868">
        <w:t>pregnan</w:t>
      </w:r>
      <w:r w:rsidR="00F66B8D" w:rsidRPr="00700868">
        <w:t>cy</w:t>
      </w:r>
      <w:r w:rsidRPr="00700868">
        <w:rPr>
          <w:iCs/>
        </w:rPr>
        <w:t xml:space="preserve"> as these reports do not adequately inform the presence or absence of drug-associated risk with the use of </w:t>
      </w:r>
      <w:proofErr w:type="spellStart"/>
      <w:r w:rsidRPr="00700868">
        <w:rPr>
          <w:iCs/>
        </w:rPr>
        <w:t>FluMist</w:t>
      </w:r>
      <w:proofErr w:type="spellEnd"/>
      <w:r w:rsidRPr="00700868">
        <w:rPr>
          <w:iCs/>
        </w:rPr>
        <w:t xml:space="preserve"> </w:t>
      </w:r>
      <w:proofErr w:type="spellStart"/>
      <w:r w:rsidRPr="00700868">
        <w:rPr>
          <w:iCs/>
        </w:rPr>
        <w:t>Quadrivalent</w:t>
      </w:r>
      <w:proofErr w:type="spellEnd"/>
      <w:r w:rsidRPr="00700868">
        <w:rPr>
          <w:iCs/>
        </w:rPr>
        <w:t xml:space="preserve"> during pregnancy</w:t>
      </w:r>
      <w:r w:rsidR="00CA628B" w:rsidRPr="00700868">
        <w:t xml:space="preserve">. </w:t>
      </w:r>
      <w:r w:rsidR="00946F32" w:rsidRPr="00700868">
        <w:t>Refer to National recommendations as per the current Immunisation Handbook.</w:t>
      </w:r>
    </w:p>
    <w:p w14:paraId="0E7561A9" w14:textId="567993CA" w:rsidR="00D07587" w:rsidRPr="00CA628B" w:rsidRDefault="00D07587" w:rsidP="00D07587">
      <w:r w:rsidRPr="00CA628B">
        <w:t>There ar</w:t>
      </w:r>
      <w:r w:rsidR="007F272C" w:rsidRPr="00CA628B">
        <w:t xml:space="preserve">e limited data from the use of </w:t>
      </w:r>
      <w:proofErr w:type="spellStart"/>
      <w:r w:rsidR="00095EAF" w:rsidRPr="00CA628B">
        <w:t>FluMist</w:t>
      </w:r>
      <w:proofErr w:type="spellEnd"/>
      <w:r w:rsidR="007F272C" w:rsidRPr="00CA628B">
        <w:t xml:space="preserve"> </w:t>
      </w:r>
      <w:proofErr w:type="spellStart"/>
      <w:r w:rsidR="007F272C" w:rsidRPr="00CA628B">
        <w:t>Quadrivalent</w:t>
      </w:r>
      <w:proofErr w:type="spellEnd"/>
      <w:r w:rsidR="007F272C" w:rsidRPr="00CA628B">
        <w:t xml:space="preserve"> </w:t>
      </w:r>
      <w:r w:rsidRPr="00CA628B">
        <w:t xml:space="preserve">in pregnant women. There was no evidence of significant maternal adverse outcomes in 138 pregnant women who had a record of receiving trivalent version of </w:t>
      </w:r>
      <w:proofErr w:type="spellStart"/>
      <w:r w:rsidR="00095EAF" w:rsidRPr="00CA628B">
        <w:t>FluMist</w:t>
      </w:r>
      <w:proofErr w:type="spellEnd"/>
      <w:r w:rsidRPr="00CA628B">
        <w:t xml:space="preserve"> in a US based health insurance claims database.</w:t>
      </w:r>
      <w:r w:rsidR="00B74ECF">
        <w:t xml:space="preserve"> </w:t>
      </w:r>
      <w:r w:rsidRPr="00CA628B">
        <w:t>In 27 reports of trivalent version of</w:t>
      </w:r>
      <w:r w:rsidR="007F272C" w:rsidRPr="00CA628B">
        <w:t xml:space="preserve"> </w:t>
      </w:r>
      <w:proofErr w:type="spellStart"/>
      <w:r w:rsidR="00095EAF" w:rsidRPr="00CA628B">
        <w:t>FluMist</w:t>
      </w:r>
      <w:proofErr w:type="spellEnd"/>
      <w:r w:rsidRPr="00CA628B">
        <w:t xml:space="preserve"> administration to pregnant women from the US Vaccine Adverse Event Reporting </w:t>
      </w:r>
      <w:r w:rsidRPr="00CA628B">
        <w:lastRenderedPageBreak/>
        <w:t xml:space="preserve">System, no unusual patterns of pregnancy complications or </w:t>
      </w:r>
      <w:proofErr w:type="spellStart"/>
      <w:r w:rsidRPr="00CA628B">
        <w:t>fetal</w:t>
      </w:r>
      <w:proofErr w:type="spellEnd"/>
      <w:r w:rsidRPr="00CA628B">
        <w:t xml:space="preserve"> outcomes were observed.</w:t>
      </w:r>
    </w:p>
    <w:p w14:paraId="48305361" w14:textId="3A152555" w:rsidR="00633649" w:rsidRPr="00CA628B" w:rsidRDefault="00633649" w:rsidP="00633649">
      <w:r w:rsidRPr="00CA628B">
        <w:t xml:space="preserve">The effects of </w:t>
      </w:r>
      <w:proofErr w:type="spellStart"/>
      <w:r w:rsidRPr="00CA628B">
        <w:t>FluMist</w:t>
      </w:r>
      <w:proofErr w:type="spellEnd"/>
      <w:r w:rsidRPr="00CA628B">
        <w:t xml:space="preserve"> </w:t>
      </w:r>
      <w:proofErr w:type="spellStart"/>
      <w:r w:rsidRPr="00CA628B">
        <w:t>Quadrivalent</w:t>
      </w:r>
      <w:proofErr w:type="spellEnd"/>
      <w:r w:rsidRPr="00CA628B">
        <w:t xml:space="preserve"> on embryo-</w:t>
      </w:r>
      <w:proofErr w:type="spellStart"/>
      <w:r w:rsidRPr="00CA628B">
        <w:t>fetal</w:t>
      </w:r>
      <w:proofErr w:type="spellEnd"/>
      <w:r w:rsidRPr="00CA628B">
        <w:t xml:space="preserve"> and pre-weaning development were evaluated in a developmental toxicity study of pregnant rats.</w:t>
      </w:r>
      <w:r w:rsidR="00B74ECF">
        <w:t xml:space="preserve"> </w:t>
      </w:r>
      <w:r w:rsidR="00E8575B" w:rsidRPr="00CA628B">
        <w:t xml:space="preserve">Rats were </w:t>
      </w:r>
      <w:proofErr w:type="spellStart"/>
      <w:r w:rsidR="00E8575B" w:rsidRPr="00CA628B">
        <w:t>intranasally</w:t>
      </w:r>
      <w:proofErr w:type="spellEnd"/>
      <w:r w:rsidR="00E8575B" w:rsidRPr="00CA628B">
        <w:t xml:space="preserve"> administered the human dose of </w:t>
      </w:r>
      <w:proofErr w:type="spellStart"/>
      <w:r w:rsidR="00E8575B" w:rsidRPr="00CA628B">
        <w:t>Flu</w:t>
      </w:r>
      <w:r w:rsidR="0044017F">
        <w:t>M</w:t>
      </w:r>
      <w:r w:rsidR="00E8575B" w:rsidRPr="00CA628B">
        <w:t>ist</w:t>
      </w:r>
      <w:proofErr w:type="spellEnd"/>
      <w:r w:rsidR="00E8575B" w:rsidRPr="00CA628B">
        <w:t xml:space="preserve"> </w:t>
      </w:r>
      <w:proofErr w:type="spellStart"/>
      <w:r w:rsidR="00E8575B" w:rsidRPr="00CA628B">
        <w:t>Quadrivalent</w:t>
      </w:r>
      <w:proofErr w:type="spellEnd"/>
      <w:r w:rsidR="00E8575B" w:rsidRPr="00CA628B">
        <w:t xml:space="preserve"> on gestation days 6, 13 and 20 (and in some groups also 3 times in the 2 weeks prior to mating).</w:t>
      </w:r>
      <w:r w:rsidR="00B74ECF">
        <w:t xml:space="preserve"> </w:t>
      </w:r>
      <w:r w:rsidRPr="00CA628B">
        <w:t>No adverse effects on pregnancy, parturition, lactation or embryo-</w:t>
      </w:r>
      <w:proofErr w:type="spellStart"/>
      <w:r w:rsidRPr="00CA628B">
        <w:t>fetal</w:t>
      </w:r>
      <w:proofErr w:type="spellEnd"/>
      <w:r w:rsidRPr="00CA628B">
        <w:t xml:space="preserve"> development were observed and, in addition no adverse effects on pre-weaning development were observed. There were no </w:t>
      </w:r>
      <w:proofErr w:type="spellStart"/>
      <w:r w:rsidRPr="00CA628B">
        <w:t>fetal</w:t>
      </w:r>
      <w:proofErr w:type="spellEnd"/>
      <w:r w:rsidRPr="00CA628B">
        <w:t xml:space="preserve"> malformations or other evidence of </w:t>
      </w:r>
      <w:proofErr w:type="spellStart"/>
      <w:r w:rsidRPr="00CA628B">
        <w:t>teratogenesis</w:t>
      </w:r>
      <w:proofErr w:type="spellEnd"/>
      <w:r w:rsidRPr="00CA628B">
        <w:t xml:space="preserve"> observed.</w:t>
      </w:r>
      <w:r w:rsidR="00B74ECF">
        <w:t xml:space="preserve"> </w:t>
      </w:r>
      <w:r w:rsidR="00842346" w:rsidRPr="00CA628B">
        <w:t>A lack of adverse effects was also seen in developmental toxicity studies with the trivalent vaccine in rats and ferrets.</w:t>
      </w:r>
    </w:p>
    <w:p w14:paraId="4F261955" w14:textId="3C750562" w:rsidR="00922A50" w:rsidRDefault="00922A50">
      <w:pPr>
        <w:pStyle w:val="A-Heading2"/>
        <w:rPr>
          <w:lang w:val="en-AU"/>
        </w:rPr>
      </w:pPr>
      <w:r>
        <w:rPr>
          <w:lang w:val="en-AU"/>
        </w:rPr>
        <w:t>Use in lactation</w:t>
      </w:r>
    </w:p>
    <w:p w14:paraId="2A78A19B" w14:textId="0DC61C02" w:rsidR="00922A50" w:rsidRDefault="007F272C">
      <w:r>
        <w:t xml:space="preserve">Studies in lactating women have not been conducted with </w:t>
      </w:r>
      <w:proofErr w:type="spellStart"/>
      <w:r w:rsidR="00095EAF">
        <w:t>FluMist</w:t>
      </w:r>
      <w:proofErr w:type="spellEnd"/>
      <w:r>
        <w:t xml:space="preserve"> </w:t>
      </w:r>
      <w:proofErr w:type="spellStart"/>
      <w:r>
        <w:t>Quadrivalent</w:t>
      </w:r>
      <w:proofErr w:type="spellEnd"/>
      <w:r>
        <w:t>.</w:t>
      </w:r>
      <w:r w:rsidR="00B74ECF">
        <w:t xml:space="preserve"> </w:t>
      </w:r>
      <w:r>
        <w:t xml:space="preserve">It is not known whether </w:t>
      </w:r>
      <w:proofErr w:type="spellStart"/>
      <w:r w:rsidR="00095EAF">
        <w:t>FluMist</w:t>
      </w:r>
      <w:proofErr w:type="spellEnd"/>
      <w:r>
        <w:t xml:space="preserve"> </w:t>
      </w:r>
      <w:proofErr w:type="spellStart"/>
      <w:r>
        <w:t>Quadrivalent</w:t>
      </w:r>
      <w:proofErr w:type="spellEnd"/>
      <w:r>
        <w:t xml:space="preserve"> is excreted in human milk. Therefore, as some viruses are excreted in human milk, caution should be exercised if </w:t>
      </w:r>
      <w:proofErr w:type="spellStart"/>
      <w:r w:rsidR="00095EAF">
        <w:t>FluMist</w:t>
      </w:r>
      <w:proofErr w:type="spellEnd"/>
      <w:r>
        <w:t xml:space="preserve"> </w:t>
      </w:r>
      <w:proofErr w:type="spellStart"/>
      <w:r>
        <w:t>Quadrivalent</w:t>
      </w:r>
      <w:proofErr w:type="spellEnd"/>
      <w:r>
        <w:t xml:space="preserve"> is administered to nursing mothers.</w:t>
      </w:r>
    </w:p>
    <w:p w14:paraId="70DC744C" w14:textId="77777777" w:rsidR="00932076" w:rsidRDefault="00932076">
      <w:r w:rsidRPr="00932076">
        <w:t xml:space="preserve">Vaccine antigen-specific antibodies were transferred to rat pups via milk from dams administered </w:t>
      </w:r>
      <w:proofErr w:type="spellStart"/>
      <w:r w:rsidRPr="00932076">
        <w:t>FluMist</w:t>
      </w:r>
      <w:proofErr w:type="spellEnd"/>
      <w:r w:rsidRPr="00932076">
        <w:t xml:space="preserve"> </w:t>
      </w:r>
      <w:proofErr w:type="spellStart"/>
      <w:r w:rsidRPr="00932076">
        <w:t>Quadrivalent</w:t>
      </w:r>
      <w:proofErr w:type="spellEnd"/>
      <w:r w:rsidRPr="00932076">
        <w:t xml:space="preserve"> during gestation and lactation, with no adverse effects.</w:t>
      </w:r>
    </w:p>
    <w:p w14:paraId="54668244" w14:textId="77777777" w:rsidR="00922A50" w:rsidRDefault="00922A50">
      <w:pPr>
        <w:pStyle w:val="A-Heading2"/>
        <w:rPr>
          <w:lang w:val="en-AU"/>
        </w:rPr>
      </w:pPr>
      <w:r>
        <w:rPr>
          <w:lang w:val="en-AU"/>
        </w:rPr>
        <w:t>Paediatric use</w:t>
      </w:r>
    </w:p>
    <w:p w14:paraId="38D65524" w14:textId="4DD2C702" w:rsidR="0050789B" w:rsidRDefault="006404B6">
      <w:proofErr w:type="spellStart"/>
      <w:r>
        <w:t>FluMist</w:t>
      </w:r>
      <w:proofErr w:type="spellEnd"/>
      <w:r>
        <w:t xml:space="preserve"> </w:t>
      </w:r>
      <w:proofErr w:type="spellStart"/>
      <w:r>
        <w:t>Quadrivalent</w:t>
      </w:r>
      <w:proofErr w:type="spellEnd"/>
      <w:r w:rsidRPr="006404B6">
        <w:t xml:space="preserve"> is not recommended in children below the age of </w:t>
      </w:r>
      <w:r>
        <w:t>24</w:t>
      </w:r>
      <w:r w:rsidR="00F54912">
        <w:t> </w:t>
      </w:r>
      <w:r w:rsidRPr="006404B6">
        <w:t>months.</w:t>
      </w:r>
    </w:p>
    <w:p w14:paraId="50720326" w14:textId="705C4C94" w:rsidR="00A37369" w:rsidRDefault="00A37369" w:rsidP="00A37369">
      <w:pPr>
        <w:pStyle w:val="A-Heading2"/>
        <w:rPr>
          <w:lang w:val="en-AU"/>
        </w:rPr>
      </w:pPr>
      <w:r>
        <w:rPr>
          <w:lang w:val="en-AU"/>
        </w:rPr>
        <w:t>Genotoxicity</w:t>
      </w:r>
    </w:p>
    <w:p w14:paraId="40EF9D8D" w14:textId="23A3322B" w:rsidR="00863D3A" w:rsidRDefault="00863D3A" w:rsidP="00863D3A">
      <w:proofErr w:type="spellStart"/>
      <w:r>
        <w:t>FluMist</w:t>
      </w:r>
      <w:proofErr w:type="spellEnd"/>
      <w:r>
        <w:t xml:space="preserve"> </w:t>
      </w:r>
      <w:proofErr w:type="spellStart"/>
      <w:r>
        <w:t>Quadrivalent</w:t>
      </w:r>
      <w:proofErr w:type="spellEnd"/>
      <w:r>
        <w:t xml:space="preserve"> has not been </w:t>
      </w:r>
      <w:r w:rsidR="00932076">
        <w:t xml:space="preserve">tested </w:t>
      </w:r>
      <w:r>
        <w:t>for its genotoxic potential.</w:t>
      </w:r>
    </w:p>
    <w:p w14:paraId="437BEE68" w14:textId="1FF2AAA6" w:rsidR="00922A50" w:rsidRDefault="00922A50">
      <w:pPr>
        <w:pStyle w:val="A-Heading2"/>
        <w:rPr>
          <w:lang w:val="en-AU"/>
        </w:rPr>
      </w:pPr>
      <w:r>
        <w:rPr>
          <w:lang w:val="en-AU"/>
        </w:rPr>
        <w:t>Carcinogenicity</w:t>
      </w:r>
    </w:p>
    <w:p w14:paraId="0475F0DD" w14:textId="46C86294" w:rsidR="00863D3A" w:rsidRDefault="00863D3A" w:rsidP="00863D3A">
      <w:proofErr w:type="spellStart"/>
      <w:r>
        <w:t>FluMist</w:t>
      </w:r>
      <w:proofErr w:type="spellEnd"/>
      <w:r>
        <w:t xml:space="preserve"> </w:t>
      </w:r>
      <w:proofErr w:type="spellStart"/>
      <w:r>
        <w:t>Quadrivalent</w:t>
      </w:r>
      <w:proofErr w:type="spellEnd"/>
      <w:r>
        <w:t xml:space="preserve"> has not been </w:t>
      </w:r>
      <w:r w:rsidR="00932076">
        <w:t xml:space="preserve">tested </w:t>
      </w:r>
      <w:r>
        <w:t xml:space="preserve">for its </w:t>
      </w:r>
      <w:r w:rsidR="00C64FDD">
        <w:t>carcinogenetic</w:t>
      </w:r>
      <w:r>
        <w:t xml:space="preserve"> potential.</w:t>
      </w:r>
    </w:p>
    <w:p w14:paraId="3BA60309" w14:textId="77777777" w:rsidR="007F272C" w:rsidRDefault="007F272C" w:rsidP="007F272C">
      <w:pPr>
        <w:pStyle w:val="A-Heading2"/>
      </w:pPr>
      <w:r>
        <w:t>Effects on ability to drive and use machines</w:t>
      </w:r>
    </w:p>
    <w:p w14:paraId="6ACF4550" w14:textId="77777777" w:rsidR="007F272C" w:rsidRDefault="007F272C" w:rsidP="007F272C">
      <w:r>
        <w:t>The vaccine is not expected to have an effect on the ability to drive and use machines.</w:t>
      </w:r>
    </w:p>
    <w:p w14:paraId="2CA2EE1F" w14:textId="7FE2BDEB" w:rsidR="00A37369" w:rsidRPr="00442D55" w:rsidRDefault="00A37369" w:rsidP="008A2422">
      <w:pPr>
        <w:pStyle w:val="A-Heading1"/>
        <w:rPr>
          <w:lang w:val="en-AU"/>
        </w:rPr>
      </w:pPr>
      <w:r w:rsidRPr="00442D55">
        <w:t>I</w:t>
      </w:r>
      <w:r w:rsidR="00B74ECF">
        <w:t>NTERACTIONS WITH OTHER MEDICINES</w:t>
      </w:r>
    </w:p>
    <w:p w14:paraId="0195F002" w14:textId="53AF5C71" w:rsidR="00CF7A72" w:rsidRDefault="00CF7A72" w:rsidP="00CF7A72">
      <w:r>
        <w:t xml:space="preserve">Clinical data presented in this section includes studies conducted with the </w:t>
      </w:r>
      <w:r w:rsidRPr="00496C49">
        <w:t xml:space="preserve">trivalent version of </w:t>
      </w:r>
      <w:proofErr w:type="spellStart"/>
      <w:r w:rsidRPr="00496C49">
        <w:t>FluM</w:t>
      </w:r>
      <w:r>
        <w:t>ist</w:t>
      </w:r>
      <w:proofErr w:type="spellEnd"/>
      <w:r>
        <w:t>.</w:t>
      </w:r>
      <w:r w:rsidR="00B74ECF">
        <w:t xml:space="preserve"> </w:t>
      </w:r>
      <w:r>
        <w:t xml:space="preserve">These data are </w:t>
      </w:r>
      <w:r w:rsidRPr="00496C49">
        <w:t xml:space="preserve">relevant to </w:t>
      </w:r>
      <w:proofErr w:type="spellStart"/>
      <w:r w:rsidRPr="00496C49">
        <w:t>FluMist</w:t>
      </w:r>
      <w:proofErr w:type="spellEnd"/>
      <w:r w:rsidRPr="00496C49">
        <w:t xml:space="preserve"> </w:t>
      </w:r>
      <w:proofErr w:type="spellStart"/>
      <w:r w:rsidRPr="00496C49">
        <w:t>Quadrivalent</w:t>
      </w:r>
      <w:proofErr w:type="spellEnd"/>
      <w:r w:rsidRPr="00496C49">
        <w:t xml:space="preserve"> because </w:t>
      </w:r>
      <w:proofErr w:type="spellStart"/>
      <w:r w:rsidRPr="00496C49">
        <w:t>FluMist</w:t>
      </w:r>
      <w:proofErr w:type="spellEnd"/>
      <w:r w:rsidRPr="00496C49">
        <w:t xml:space="preserve"> </w:t>
      </w:r>
      <w:proofErr w:type="spellStart"/>
      <w:r w:rsidRPr="00496C49">
        <w:t>Quadrivalent</w:t>
      </w:r>
      <w:proofErr w:type="spellEnd"/>
      <w:r w:rsidRPr="00496C49">
        <w:t xml:space="preserve"> is identical to trivalent version of </w:t>
      </w:r>
      <w:proofErr w:type="spellStart"/>
      <w:r w:rsidRPr="00496C49">
        <w:t>FluMist</w:t>
      </w:r>
      <w:proofErr w:type="spellEnd"/>
      <w:r w:rsidRPr="00496C49">
        <w:t xml:space="preserve"> with the only difference being the addition of a fourth strain (a second B strain) to </w:t>
      </w:r>
      <w:proofErr w:type="spellStart"/>
      <w:r w:rsidRPr="00496C49">
        <w:t>FluMist</w:t>
      </w:r>
      <w:proofErr w:type="spellEnd"/>
      <w:r w:rsidRPr="00496C49">
        <w:t xml:space="preserve"> </w:t>
      </w:r>
      <w:proofErr w:type="spellStart"/>
      <w:r w:rsidRPr="00496C49">
        <w:t>Quadrivalent</w:t>
      </w:r>
      <w:proofErr w:type="spellEnd"/>
      <w:r w:rsidRPr="00496C49">
        <w:t>.</w:t>
      </w:r>
    </w:p>
    <w:p w14:paraId="702540E9" w14:textId="4712DC85" w:rsidR="00D07587" w:rsidRPr="00C7732A" w:rsidRDefault="00D07587" w:rsidP="00D07587">
      <w:pPr>
        <w:pStyle w:val="A-Heading2"/>
      </w:pPr>
      <w:r w:rsidRPr="00C7732A">
        <w:t>Aspirin</w:t>
      </w:r>
    </w:p>
    <w:p w14:paraId="3FFF328E" w14:textId="31825289" w:rsidR="00C7732A" w:rsidRPr="0035240D" w:rsidRDefault="00C7732A" w:rsidP="00C7732A">
      <w:pPr>
        <w:rPr>
          <w:lang w:val="en-GB"/>
        </w:rPr>
      </w:pPr>
      <w:r w:rsidRPr="00C7732A">
        <w:rPr>
          <w:lang w:val="en-GB"/>
        </w:rPr>
        <w:t xml:space="preserve">Do not administer </w:t>
      </w:r>
      <w:proofErr w:type="spellStart"/>
      <w:r w:rsidRPr="00C7732A">
        <w:rPr>
          <w:lang w:val="en-GB"/>
        </w:rPr>
        <w:t>FluMist</w:t>
      </w:r>
      <w:proofErr w:type="spellEnd"/>
      <w:r w:rsidRPr="00C7732A">
        <w:rPr>
          <w:lang w:val="en-GB"/>
        </w:rPr>
        <w:t xml:space="preserve"> </w:t>
      </w:r>
      <w:proofErr w:type="spellStart"/>
      <w:r w:rsidRPr="00C7732A">
        <w:rPr>
          <w:lang w:val="en-GB"/>
        </w:rPr>
        <w:t>Quadrivalent</w:t>
      </w:r>
      <w:proofErr w:type="spellEnd"/>
      <w:r w:rsidRPr="00C7732A">
        <w:rPr>
          <w:lang w:val="en-GB"/>
        </w:rPr>
        <w:t xml:space="preserve"> to c</w:t>
      </w:r>
      <w:r w:rsidR="00F54912" w:rsidRPr="00C7732A">
        <w:rPr>
          <w:lang w:val="en-GB"/>
        </w:rPr>
        <w:t>hildren and adolescents (under 18 </w:t>
      </w:r>
      <w:r w:rsidR="00D07587" w:rsidRPr="00C7732A">
        <w:rPr>
          <w:lang w:val="en-GB"/>
        </w:rPr>
        <w:t>years of age</w:t>
      </w:r>
      <w:r w:rsidR="00F54912" w:rsidRPr="00C7732A">
        <w:rPr>
          <w:lang w:val="en-GB"/>
        </w:rPr>
        <w:t>)</w:t>
      </w:r>
      <w:r w:rsidR="00D07587" w:rsidRPr="00C7732A">
        <w:rPr>
          <w:lang w:val="en-GB"/>
        </w:rPr>
        <w:t xml:space="preserve"> receiving salicylate therapy </w:t>
      </w:r>
      <w:r w:rsidR="00D07587" w:rsidRPr="00C7732A">
        <w:t xml:space="preserve">t </w:t>
      </w:r>
      <w:r w:rsidR="00D07587" w:rsidRPr="00C7732A">
        <w:rPr>
          <w:lang w:val="en-GB"/>
        </w:rPr>
        <w:t xml:space="preserve">(see </w:t>
      </w:r>
      <w:r w:rsidRPr="00C7732A">
        <w:rPr>
          <w:i/>
          <w:lang w:val="en-GB"/>
        </w:rPr>
        <w:t>Contraindications</w:t>
      </w:r>
      <w:r w:rsidR="00D07587" w:rsidRPr="00C7732A">
        <w:rPr>
          <w:lang w:val="en-GB"/>
        </w:rPr>
        <w:t>).</w:t>
      </w:r>
      <w:r w:rsidR="00B74ECF">
        <w:rPr>
          <w:lang w:val="en-GB"/>
        </w:rPr>
        <w:t xml:space="preserve"> </w:t>
      </w:r>
      <w:r w:rsidR="00D07587" w:rsidRPr="00C7732A">
        <w:rPr>
          <w:lang w:val="en-GB"/>
        </w:rPr>
        <w:t>Do not use salicyla</w:t>
      </w:r>
      <w:r w:rsidR="00F54912" w:rsidRPr="00C7732A">
        <w:rPr>
          <w:lang w:val="en-GB"/>
        </w:rPr>
        <w:t xml:space="preserve">tes in children and adolescents </w:t>
      </w:r>
      <w:r w:rsidR="006404B6" w:rsidRPr="00C7732A">
        <w:rPr>
          <w:lang w:val="en-GB"/>
        </w:rPr>
        <w:t>for 4 </w:t>
      </w:r>
      <w:r w:rsidR="00D07587" w:rsidRPr="00C7732A">
        <w:rPr>
          <w:lang w:val="en-GB"/>
        </w:rPr>
        <w:t xml:space="preserve">weeks after vaccination with </w:t>
      </w:r>
      <w:proofErr w:type="spellStart"/>
      <w:r w:rsidR="00095EAF" w:rsidRPr="00C7732A">
        <w:t>FluMist</w:t>
      </w:r>
      <w:proofErr w:type="spellEnd"/>
      <w:r w:rsidR="00D07587" w:rsidRPr="00C7732A">
        <w:t xml:space="preserve"> </w:t>
      </w:r>
      <w:proofErr w:type="spellStart"/>
      <w:r w:rsidR="00D07587" w:rsidRPr="00C7732A">
        <w:lastRenderedPageBreak/>
        <w:t>Quadrivalent</w:t>
      </w:r>
      <w:proofErr w:type="spellEnd"/>
      <w:r w:rsidR="00D07587" w:rsidRPr="00C7732A">
        <w:t xml:space="preserve"> </w:t>
      </w:r>
      <w:r w:rsidR="00D07587" w:rsidRPr="00C7732A">
        <w:rPr>
          <w:lang w:val="en-GB"/>
        </w:rPr>
        <w:t>unless medically indicated</w:t>
      </w:r>
      <w:r w:rsidRPr="00C7732A">
        <w:rPr>
          <w:lang w:val="en-GB"/>
        </w:rPr>
        <w:t xml:space="preserve"> as Reye’s syndrome has been reported following the use of salicylates during wild-type influenza infection</w:t>
      </w:r>
      <w:r w:rsidR="00D07587" w:rsidRPr="00C7732A">
        <w:rPr>
          <w:lang w:val="en-GB"/>
        </w:rPr>
        <w:t>.</w:t>
      </w:r>
    </w:p>
    <w:p w14:paraId="61C012EF" w14:textId="77777777" w:rsidR="00D07587" w:rsidRPr="0035240D" w:rsidRDefault="00D07587" w:rsidP="00D07587">
      <w:pPr>
        <w:pStyle w:val="A-Heading2"/>
      </w:pPr>
      <w:r w:rsidRPr="0035240D">
        <w:t>Other vaccines</w:t>
      </w:r>
    </w:p>
    <w:p w14:paraId="20A335CA" w14:textId="447295FA" w:rsidR="00D07587" w:rsidRPr="00D07587" w:rsidRDefault="00095EAF" w:rsidP="00D07587">
      <w:pPr>
        <w:rPr>
          <w:lang w:val="en-GB"/>
        </w:rPr>
      </w:pPr>
      <w:proofErr w:type="spellStart"/>
      <w:r w:rsidRPr="0035240D">
        <w:t>FluMist</w:t>
      </w:r>
      <w:proofErr w:type="spellEnd"/>
      <w:r w:rsidR="00D07587" w:rsidRPr="0035240D">
        <w:t xml:space="preserve"> </w:t>
      </w:r>
      <w:proofErr w:type="spellStart"/>
      <w:r w:rsidR="00D07587" w:rsidRPr="0035240D">
        <w:t>Quadrivalent</w:t>
      </w:r>
      <w:proofErr w:type="spellEnd"/>
      <w:r w:rsidR="00D07587" w:rsidRPr="0035240D">
        <w:t xml:space="preserve"> </w:t>
      </w:r>
      <w:r w:rsidR="00D07587" w:rsidRPr="0035240D">
        <w:rPr>
          <w:lang w:val="en-GB"/>
        </w:rPr>
        <w:t xml:space="preserve">may be given at the same time as other vaccines. Concurrent administration of trivalent version of </w:t>
      </w:r>
      <w:proofErr w:type="spellStart"/>
      <w:r w:rsidRPr="0035240D">
        <w:rPr>
          <w:lang w:val="en-GB"/>
        </w:rPr>
        <w:t>FluMist</w:t>
      </w:r>
      <w:proofErr w:type="spellEnd"/>
      <w:r w:rsidR="006404B6" w:rsidRPr="0035240D">
        <w:rPr>
          <w:lang w:val="en-GB"/>
        </w:rPr>
        <w:t xml:space="preserve"> with the MMR vaccine</w:t>
      </w:r>
      <w:r w:rsidR="00D07587" w:rsidRPr="0035240D">
        <w:rPr>
          <w:lang w:val="en-GB"/>
        </w:rPr>
        <w:t xml:space="preserve"> </w:t>
      </w:r>
      <w:r w:rsidR="009F2FF2" w:rsidRPr="0035240D">
        <w:rPr>
          <w:lang w:val="en-GB"/>
        </w:rPr>
        <w:t>(1233</w:t>
      </w:r>
      <w:r w:rsidR="005D6067">
        <w:rPr>
          <w:lang w:val="en-GB"/>
        </w:rPr>
        <w:t> </w:t>
      </w:r>
      <w:r w:rsidR="009F2FF2" w:rsidRPr="0035240D">
        <w:rPr>
          <w:lang w:val="en-GB"/>
        </w:rPr>
        <w:t>children 11</w:t>
      </w:r>
      <w:r w:rsidR="009F2FF2" w:rsidRPr="0035240D">
        <w:rPr>
          <w:lang w:val="en-GB"/>
        </w:rPr>
        <w:noBreakHyphen/>
        <w:t>23 </w:t>
      </w:r>
      <w:r w:rsidR="00D07587" w:rsidRPr="0035240D">
        <w:rPr>
          <w:lang w:val="en-GB"/>
        </w:rPr>
        <w:t>months of age), the M</w:t>
      </w:r>
      <w:r w:rsidR="009F2FF2" w:rsidRPr="0035240D">
        <w:rPr>
          <w:lang w:val="en-GB"/>
        </w:rPr>
        <w:t xml:space="preserve">MR </w:t>
      </w:r>
      <w:r w:rsidR="006404B6" w:rsidRPr="0035240D">
        <w:rPr>
          <w:lang w:val="en-GB"/>
        </w:rPr>
        <w:t>and varicella v</w:t>
      </w:r>
      <w:r w:rsidR="009F2FF2" w:rsidRPr="0035240D">
        <w:rPr>
          <w:lang w:val="en-GB"/>
        </w:rPr>
        <w:t>accine (1245</w:t>
      </w:r>
      <w:r w:rsidR="005D6067">
        <w:rPr>
          <w:lang w:val="en-GB"/>
        </w:rPr>
        <w:t> </w:t>
      </w:r>
      <w:r w:rsidR="009F2FF2" w:rsidRPr="0035240D">
        <w:rPr>
          <w:lang w:val="en-GB"/>
        </w:rPr>
        <w:t>children 12</w:t>
      </w:r>
      <w:r w:rsidR="009F2FF2" w:rsidRPr="0035240D">
        <w:rPr>
          <w:lang w:val="en-GB"/>
        </w:rPr>
        <w:noBreakHyphen/>
        <w:t>15 </w:t>
      </w:r>
      <w:r w:rsidR="00D07587" w:rsidRPr="0035240D">
        <w:rPr>
          <w:lang w:val="en-GB"/>
        </w:rPr>
        <w:t>months of age), and the orally adm</w:t>
      </w:r>
      <w:r w:rsidR="006404B6" w:rsidRPr="0035240D">
        <w:rPr>
          <w:lang w:val="en-GB"/>
        </w:rPr>
        <w:t>inistered poliovirus v</w:t>
      </w:r>
      <w:r w:rsidR="009F2FF2" w:rsidRPr="0035240D">
        <w:rPr>
          <w:lang w:val="en-GB"/>
        </w:rPr>
        <w:t>accine (2503</w:t>
      </w:r>
      <w:r w:rsidR="005D6067">
        <w:rPr>
          <w:lang w:val="en-GB"/>
        </w:rPr>
        <w:t> </w:t>
      </w:r>
      <w:r w:rsidR="009F2FF2" w:rsidRPr="0035240D">
        <w:rPr>
          <w:lang w:val="en-GB"/>
        </w:rPr>
        <w:t>children 6</w:t>
      </w:r>
      <w:r w:rsidR="009F2FF2" w:rsidRPr="0035240D">
        <w:rPr>
          <w:lang w:val="en-GB"/>
        </w:rPr>
        <w:noBreakHyphen/>
        <w:t>35 </w:t>
      </w:r>
      <w:r w:rsidR="00D07587" w:rsidRPr="0035240D">
        <w:rPr>
          <w:lang w:val="en-GB"/>
        </w:rPr>
        <w:t xml:space="preserve">months of age) has been studied (see </w:t>
      </w:r>
      <w:r w:rsidR="00E36254">
        <w:rPr>
          <w:i/>
          <w:lang w:val="en-GB"/>
        </w:rPr>
        <w:t>Clinical t</w:t>
      </w:r>
      <w:r w:rsidR="006404B6" w:rsidRPr="0035240D">
        <w:rPr>
          <w:i/>
          <w:lang w:val="en-GB"/>
        </w:rPr>
        <w:t>rials</w:t>
      </w:r>
      <w:r w:rsidR="00D07587" w:rsidRPr="0035240D">
        <w:rPr>
          <w:lang w:val="en-GB"/>
        </w:rPr>
        <w:t>).</w:t>
      </w:r>
      <w:r w:rsidR="00B74ECF">
        <w:rPr>
          <w:lang w:val="en-GB"/>
        </w:rPr>
        <w:t xml:space="preserve"> </w:t>
      </w:r>
      <w:r w:rsidR="00D07587" w:rsidRPr="0035240D">
        <w:rPr>
          <w:lang w:val="en-GB"/>
        </w:rPr>
        <w:t>Adverse events were similar to those seen in other</w:t>
      </w:r>
      <w:r w:rsidRPr="0035240D">
        <w:rPr>
          <w:lang w:val="en-GB"/>
        </w:rPr>
        <w:t xml:space="preserve"> </w:t>
      </w:r>
      <w:r w:rsidR="00D07587" w:rsidRPr="0035240D">
        <w:rPr>
          <w:lang w:val="en-GB"/>
        </w:rPr>
        <w:t xml:space="preserve">clinical studies with trivalent version of </w:t>
      </w:r>
      <w:proofErr w:type="spellStart"/>
      <w:r w:rsidRPr="0035240D">
        <w:t>FluMist</w:t>
      </w:r>
      <w:proofErr w:type="spellEnd"/>
      <w:r w:rsidR="00D07587" w:rsidRPr="0035240D">
        <w:t xml:space="preserve"> </w:t>
      </w:r>
      <w:proofErr w:type="spellStart"/>
      <w:r w:rsidR="00D07587" w:rsidRPr="0035240D">
        <w:t>Quadrivalent</w:t>
      </w:r>
      <w:proofErr w:type="spellEnd"/>
      <w:r w:rsidR="00D07587" w:rsidRPr="0035240D">
        <w:rPr>
          <w:lang w:val="en-GB"/>
        </w:rPr>
        <w:t>.</w:t>
      </w:r>
      <w:r w:rsidR="00B74ECF">
        <w:rPr>
          <w:lang w:val="en-GB"/>
        </w:rPr>
        <w:t xml:space="preserve"> </w:t>
      </w:r>
      <w:r w:rsidR="00D07587" w:rsidRPr="0035240D">
        <w:rPr>
          <w:lang w:val="en-GB"/>
        </w:rPr>
        <w:t xml:space="preserve">Studies did not show clinically meaningful changes in immune responses to measles, mumps, rubella, varicella, orally administered poliovirus or trivalent version of </w:t>
      </w:r>
      <w:proofErr w:type="spellStart"/>
      <w:r w:rsidRPr="0035240D">
        <w:rPr>
          <w:lang w:val="en-GB"/>
        </w:rPr>
        <w:t>FluMist</w:t>
      </w:r>
      <w:proofErr w:type="spellEnd"/>
      <w:r w:rsidR="00D07587" w:rsidRPr="0035240D">
        <w:rPr>
          <w:lang w:val="en-GB"/>
        </w:rPr>
        <w:t>.</w:t>
      </w:r>
    </w:p>
    <w:p w14:paraId="30534D7E" w14:textId="77777777" w:rsidR="00D07587" w:rsidRDefault="00D07587" w:rsidP="00D07587">
      <w:pPr>
        <w:pStyle w:val="A-Heading2"/>
      </w:pPr>
      <w:r>
        <w:t>Antiviral agents</w:t>
      </w:r>
    </w:p>
    <w:p w14:paraId="06D09CB7" w14:textId="77E5D3CD" w:rsidR="00D07587" w:rsidRPr="00D07587" w:rsidRDefault="00D07587" w:rsidP="00D07587">
      <w:pPr>
        <w:rPr>
          <w:lang w:val="en-GB"/>
        </w:rPr>
      </w:pPr>
      <w:r w:rsidRPr="00D07587">
        <w:rPr>
          <w:lang w:val="en-GB"/>
        </w:rPr>
        <w:t xml:space="preserve">The concurrent use of </w:t>
      </w:r>
      <w:proofErr w:type="spellStart"/>
      <w:r w:rsidR="00095EAF">
        <w:t>FluMist</w:t>
      </w:r>
      <w:proofErr w:type="spellEnd"/>
      <w:r>
        <w:t xml:space="preserve"> </w:t>
      </w:r>
      <w:proofErr w:type="spellStart"/>
      <w:r>
        <w:t>Quadrivalent</w:t>
      </w:r>
      <w:proofErr w:type="spellEnd"/>
      <w:r>
        <w:t xml:space="preserve"> </w:t>
      </w:r>
      <w:r w:rsidRPr="00D07587">
        <w:rPr>
          <w:lang w:val="en-GB"/>
        </w:rPr>
        <w:t>with antiviral agents that are active against influenza A</w:t>
      </w:r>
      <w:r>
        <w:rPr>
          <w:lang w:val="en-GB"/>
        </w:rPr>
        <w:t xml:space="preserve"> </w:t>
      </w:r>
      <w:r w:rsidRPr="00D07587">
        <w:rPr>
          <w:lang w:val="en-GB"/>
        </w:rPr>
        <w:t>and/or B viruses has not been evaluated.</w:t>
      </w:r>
      <w:r w:rsidR="00B74ECF">
        <w:rPr>
          <w:lang w:val="en-GB"/>
        </w:rPr>
        <w:t xml:space="preserve"> </w:t>
      </w:r>
      <w:r w:rsidRPr="00D07587">
        <w:rPr>
          <w:lang w:val="en-GB"/>
        </w:rPr>
        <w:t>However, based upon the potential for influenza</w:t>
      </w:r>
      <w:r>
        <w:rPr>
          <w:lang w:val="en-GB"/>
        </w:rPr>
        <w:t xml:space="preserve"> </w:t>
      </w:r>
      <w:r w:rsidRPr="00D07587">
        <w:rPr>
          <w:lang w:val="en-GB"/>
        </w:rPr>
        <w:t xml:space="preserve">antiviral agents to reduce the effectiveness of </w:t>
      </w:r>
      <w:proofErr w:type="spellStart"/>
      <w:r w:rsidR="00095EAF">
        <w:t>FluMist</w:t>
      </w:r>
      <w:proofErr w:type="spellEnd"/>
      <w:r>
        <w:t xml:space="preserve"> </w:t>
      </w:r>
      <w:proofErr w:type="spellStart"/>
      <w:r>
        <w:t>Quadrivalent</w:t>
      </w:r>
      <w:proofErr w:type="spellEnd"/>
      <w:r w:rsidRPr="00D07587">
        <w:rPr>
          <w:lang w:val="en-GB"/>
        </w:rPr>
        <w:t>, it is recommended:</w:t>
      </w:r>
    </w:p>
    <w:p w14:paraId="0C18C5F7" w14:textId="77777777" w:rsidR="00D07587" w:rsidRPr="00D07587" w:rsidRDefault="00D07587" w:rsidP="00D07587">
      <w:pPr>
        <w:pStyle w:val="A-ListBullet"/>
      </w:pPr>
      <w:proofErr w:type="gramStart"/>
      <w:r w:rsidRPr="00D07587">
        <w:t>not</w:t>
      </w:r>
      <w:proofErr w:type="gramEnd"/>
      <w:r w:rsidRPr="00D07587">
        <w:t xml:space="preserve"> to administer </w:t>
      </w:r>
      <w:proofErr w:type="spellStart"/>
      <w:r w:rsidR="00095EAF">
        <w:t>FluMist</w:t>
      </w:r>
      <w:proofErr w:type="spellEnd"/>
      <w:r>
        <w:t xml:space="preserve"> </w:t>
      </w:r>
      <w:proofErr w:type="spellStart"/>
      <w:r>
        <w:t>Quadrivalent</w:t>
      </w:r>
      <w:proofErr w:type="spellEnd"/>
      <w:r w:rsidR="00100288">
        <w:t xml:space="preserve"> until 48 </w:t>
      </w:r>
      <w:r w:rsidRPr="00D07587">
        <w:t>hours after the cessation of influenza antiviral</w:t>
      </w:r>
      <w:r>
        <w:t xml:space="preserve"> </w:t>
      </w:r>
      <w:r w:rsidRPr="00D07587">
        <w:t>therapy.</w:t>
      </w:r>
    </w:p>
    <w:p w14:paraId="2D6F5206" w14:textId="77777777" w:rsidR="00D07587" w:rsidRPr="00D07587" w:rsidRDefault="00D07587" w:rsidP="00D07587">
      <w:pPr>
        <w:pStyle w:val="A-ListBullet"/>
      </w:pPr>
      <w:proofErr w:type="gramStart"/>
      <w:r w:rsidRPr="00D07587">
        <w:t>not</w:t>
      </w:r>
      <w:proofErr w:type="gramEnd"/>
      <w:r w:rsidRPr="00D07587">
        <w:t xml:space="preserve"> to administer influenza antiviral agents until two weeks after administration of</w:t>
      </w:r>
      <w:r w:rsidR="002708E8">
        <w:t xml:space="preserve"> </w:t>
      </w:r>
      <w:proofErr w:type="spellStart"/>
      <w:r w:rsidR="00095EAF">
        <w:t>FluMist</w:t>
      </w:r>
      <w:proofErr w:type="spellEnd"/>
      <w:r>
        <w:t xml:space="preserve"> </w:t>
      </w:r>
      <w:proofErr w:type="spellStart"/>
      <w:r>
        <w:t>Quadrivalent</w:t>
      </w:r>
      <w:proofErr w:type="spellEnd"/>
      <w:r w:rsidRPr="00D07587">
        <w:t xml:space="preserve"> unless medically indicated.</w:t>
      </w:r>
    </w:p>
    <w:p w14:paraId="22AA79FC" w14:textId="77777777" w:rsidR="00D07587" w:rsidRDefault="00D07587" w:rsidP="00D07587">
      <w:pPr>
        <w:rPr>
          <w:lang w:val="en-GB"/>
        </w:rPr>
      </w:pPr>
      <w:r w:rsidRPr="00D07587">
        <w:rPr>
          <w:lang w:val="en-GB"/>
        </w:rPr>
        <w:t xml:space="preserve">If </w:t>
      </w:r>
      <w:r>
        <w:rPr>
          <w:lang w:val="en-GB"/>
        </w:rPr>
        <w:t xml:space="preserve">influenza antiviral agents and </w:t>
      </w:r>
      <w:proofErr w:type="spellStart"/>
      <w:r w:rsidR="00095EAF">
        <w:t>FluMist</w:t>
      </w:r>
      <w:proofErr w:type="spellEnd"/>
      <w:r>
        <w:t xml:space="preserve"> </w:t>
      </w:r>
      <w:proofErr w:type="spellStart"/>
      <w:r>
        <w:t>Quadrivalent</w:t>
      </w:r>
      <w:proofErr w:type="spellEnd"/>
      <w:r>
        <w:t xml:space="preserve"> </w:t>
      </w:r>
      <w:r w:rsidRPr="00D07587">
        <w:rPr>
          <w:lang w:val="en-GB"/>
        </w:rPr>
        <w:t>are administered concomitantly, revaccination</w:t>
      </w:r>
      <w:r>
        <w:rPr>
          <w:lang w:val="en-GB"/>
        </w:rPr>
        <w:t xml:space="preserve"> </w:t>
      </w:r>
      <w:r w:rsidRPr="00D07587">
        <w:rPr>
          <w:lang w:val="en-GB"/>
        </w:rPr>
        <w:t>should be considered when appropriate.</w:t>
      </w:r>
    </w:p>
    <w:p w14:paraId="4417200E" w14:textId="31D7CB94" w:rsidR="0050789B" w:rsidRPr="0050789B" w:rsidRDefault="00922A50" w:rsidP="00FC62AE">
      <w:pPr>
        <w:pStyle w:val="A-Heading1"/>
      </w:pPr>
      <w:r>
        <w:rPr>
          <w:lang w:val="en-AU"/>
        </w:rPr>
        <w:t>ADVERSE EFFECTS</w:t>
      </w:r>
    </w:p>
    <w:p w14:paraId="597F1732" w14:textId="4382BCA5" w:rsidR="007F272C" w:rsidRDefault="007F272C" w:rsidP="007F272C">
      <w:r>
        <w:t xml:space="preserve">The safety experience with trivalent version of </w:t>
      </w:r>
      <w:proofErr w:type="spellStart"/>
      <w:r w:rsidR="00095EAF">
        <w:t>FluMist</w:t>
      </w:r>
      <w:proofErr w:type="spellEnd"/>
      <w:r>
        <w:t xml:space="preserve"> is relevant to the use of </w:t>
      </w:r>
      <w:proofErr w:type="spellStart"/>
      <w:r w:rsidR="00095EAF">
        <w:t>FluMist</w:t>
      </w:r>
      <w:proofErr w:type="spellEnd"/>
      <w:r>
        <w:t xml:space="preserve"> </w:t>
      </w:r>
      <w:proofErr w:type="spellStart"/>
      <w:r>
        <w:t>Quadrivalent</w:t>
      </w:r>
      <w:proofErr w:type="spellEnd"/>
      <w:r>
        <w:t xml:space="preserve"> because trivalent version of </w:t>
      </w:r>
      <w:proofErr w:type="spellStart"/>
      <w:r w:rsidR="00095EAF">
        <w:t>FluMist</w:t>
      </w:r>
      <w:proofErr w:type="spellEnd"/>
      <w:r>
        <w:t xml:space="preserve"> is identical to</w:t>
      </w:r>
      <w:r w:rsidRPr="007F272C">
        <w:t xml:space="preserve"> </w:t>
      </w:r>
      <w:proofErr w:type="spellStart"/>
      <w:r w:rsidR="00095EAF">
        <w:t>FluMist</w:t>
      </w:r>
      <w:proofErr w:type="spellEnd"/>
      <w:r>
        <w:t xml:space="preserve"> </w:t>
      </w:r>
      <w:proofErr w:type="spellStart"/>
      <w:r>
        <w:t>Quadrivalent</w:t>
      </w:r>
      <w:proofErr w:type="spellEnd"/>
      <w:r>
        <w:t xml:space="preserve"> with the only difference being the addition of a fourth strain (a second B strain) to</w:t>
      </w:r>
      <w:r w:rsidRPr="007F272C">
        <w:t xml:space="preserve"> </w:t>
      </w:r>
      <w:proofErr w:type="spellStart"/>
      <w:r w:rsidR="00095EAF">
        <w:t>FluMist</w:t>
      </w:r>
      <w:proofErr w:type="spellEnd"/>
      <w:r>
        <w:t>.</w:t>
      </w:r>
    </w:p>
    <w:p w14:paraId="7BA9CA4E" w14:textId="070ADC77" w:rsidR="00FC693A" w:rsidRPr="0000456D" w:rsidRDefault="007F272C" w:rsidP="007F272C">
      <w:r w:rsidRPr="001A2306">
        <w:t xml:space="preserve">The safety of trivalent version of </w:t>
      </w:r>
      <w:proofErr w:type="spellStart"/>
      <w:r w:rsidR="00095EAF" w:rsidRPr="001A2306">
        <w:t>FluMist</w:t>
      </w:r>
      <w:proofErr w:type="spellEnd"/>
      <w:r w:rsidRPr="001A2306">
        <w:t xml:space="preserve"> was</w:t>
      </w:r>
      <w:r w:rsidR="002708E8" w:rsidRPr="001A2306">
        <w:t xml:space="preserve"> analy</w:t>
      </w:r>
      <w:r w:rsidR="00D94EA1" w:rsidRPr="001A2306">
        <w:t>sed in a total of over 29 </w:t>
      </w:r>
      <w:r w:rsidRPr="001A2306">
        <w:t>000 children and adolescen</w:t>
      </w:r>
      <w:r w:rsidR="002708E8" w:rsidRPr="001A2306">
        <w:t>ts 2-17 years of age</w:t>
      </w:r>
      <w:r w:rsidRPr="001A2306">
        <w:t>.</w:t>
      </w:r>
      <w:r w:rsidR="00B74ECF">
        <w:t xml:space="preserve"> </w:t>
      </w:r>
      <w:r w:rsidR="00D94EA1" w:rsidRPr="001A2306">
        <w:t xml:space="preserve">In addition, the safety of </w:t>
      </w:r>
      <w:proofErr w:type="spellStart"/>
      <w:r w:rsidR="00D94EA1" w:rsidRPr="001A2306">
        <w:t>FluMist</w:t>
      </w:r>
      <w:proofErr w:type="spellEnd"/>
      <w:r w:rsidR="00D94EA1" w:rsidRPr="001A2306">
        <w:t xml:space="preserve"> </w:t>
      </w:r>
      <w:proofErr w:type="spellStart"/>
      <w:r w:rsidR="00D94EA1" w:rsidRPr="001A2306">
        <w:t>Quadrivalent</w:t>
      </w:r>
      <w:proofErr w:type="spellEnd"/>
      <w:r w:rsidR="00D94EA1" w:rsidRPr="001A2306">
        <w:t xml:space="preserve"> in this population has been assessed in </w:t>
      </w:r>
      <w:r w:rsidR="00FF113B" w:rsidRPr="001A2306">
        <w:t xml:space="preserve">1382 </w:t>
      </w:r>
      <w:r w:rsidR="00D94EA1" w:rsidRPr="001A2306">
        <w:t>children and adolescents in the comparative immune response study (</w:t>
      </w:r>
      <w:r w:rsidR="00FF113B" w:rsidRPr="001A2306">
        <w:t xml:space="preserve">MI-CP208; </w:t>
      </w:r>
      <w:r w:rsidR="00D94EA1" w:rsidRPr="001A2306">
        <w:t xml:space="preserve">see </w:t>
      </w:r>
      <w:r w:rsidR="00D94EA1" w:rsidRPr="001A2306">
        <w:rPr>
          <w:i/>
        </w:rPr>
        <w:t>Clinical Trials</w:t>
      </w:r>
      <w:r w:rsidR="00D94EA1" w:rsidRPr="001A2306">
        <w:t>).</w:t>
      </w:r>
      <w:r w:rsidR="00B74ECF">
        <w:t xml:space="preserve"> </w:t>
      </w:r>
      <w:r w:rsidR="00FC693A" w:rsidRPr="001A2306">
        <w:t xml:space="preserve">In clinical studies, the safety profile of </w:t>
      </w:r>
      <w:proofErr w:type="spellStart"/>
      <w:r w:rsidR="00FC693A" w:rsidRPr="001A2306">
        <w:t>FluMist</w:t>
      </w:r>
      <w:proofErr w:type="spellEnd"/>
      <w:r w:rsidR="00FC693A" w:rsidRPr="001A2306">
        <w:t xml:space="preserve"> </w:t>
      </w:r>
      <w:proofErr w:type="spellStart"/>
      <w:r w:rsidR="00FC693A" w:rsidRPr="001A2306">
        <w:t>Quadrivalent</w:t>
      </w:r>
      <w:proofErr w:type="spellEnd"/>
      <w:r w:rsidR="00FC693A" w:rsidRPr="001A2306">
        <w:t xml:space="preserve"> was similar to the safety profile of the trivalent version of </w:t>
      </w:r>
      <w:proofErr w:type="spellStart"/>
      <w:r w:rsidR="00FC693A" w:rsidRPr="001A2306">
        <w:t>FluMist</w:t>
      </w:r>
      <w:proofErr w:type="spellEnd"/>
      <w:r w:rsidR="00FC693A" w:rsidRPr="001A2306">
        <w:t>.</w:t>
      </w:r>
    </w:p>
    <w:p w14:paraId="3BC30248" w14:textId="77777777" w:rsidR="007F272C" w:rsidRDefault="007F272C" w:rsidP="007F272C">
      <w:r>
        <w:t xml:space="preserve">Additional experience has occurred with marketed use of </w:t>
      </w:r>
      <w:proofErr w:type="spellStart"/>
      <w:r w:rsidR="00095EAF">
        <w:t>FluMist</w:t>
      </w:r>
      <w:proofErr w:type="spellEnd"/>
      <w:r>
        <w:t xml:space="preserve"> </w:t>
      </w:r>
      <w:proofErr w:type="spellStart"/>
      <w:r>
        <w:t>Quadrivalent</w:t>
      </w:r>
      <w:proofErr w:type="spellEnd"/>
      <w:r>
        <w:t xml:space="preserve"> and trivalent version of </w:t>
      </w:r>
      <w:proofErr w:type="spellStart"/>
      <w:r w:rsidR="00095EAF">
        <w:t>FluMist</w:t>
      </w:r>
      <w:proofErr w:type="spellEnd"/>
      <w:r>
        <w:t>.</w:t>
      </w:r>
    </w:p>
    <w:p w14:paraId="433B4605" w14:textId="77777777" w:rsidR="007F272C" w:rsidRDefault="007F272C" w:rsidP="00EC1327">
      <w:pPr>
        <w:pStyle w:val="A-Heading2"/>
      </w:pPr>
      <w:r>
        <w:t>Adverse</w:t>
      </w:r>
      <w:r w:rsidR="00EC1327">
        <w:t xml:space="preserve"> r</w:t>
      </w:r>
      <w:r w:rsidR="00095EAF">
        <w:t>eactions in clinical studies</w:t>
      </w:r>
      <w:r w:rsidR="00EC1327">
        <w:t xml:space="preserve"> (c</w:t>
      </w:r>
      <w:r>
        <w:t>hildren and adolescents</w:t>
      </w:r>
      <w:r w:rsidR="00EC1327">
        <w:t>)</w:t>
      </w:r>
    </w:p>
    <w:p w14:paraId="53F9FAB1" w14:textId="2B318EA5" w:rsidR="007F272C" w:rsidRDefault="007F272C" w:rsidP="007F272C">
      <w:r>
        <w:t>Seve</w:t>
      </w:r>
      <w:r w:rsidR="002708E8">
        <w:t>n placebo-controlled studies (3</w:t>
      </w:r>
      <w:r>
        <w:t xml:space="preserve">245 trivalent version of </w:t>
      </w:r>
      <w:proofErr w:type="spellStart"/>
      <w:r w:rsidR="00095EAF">
        <w:t>FluMist</w:t>
      </w:r>
      <w:proofErr w:type="spellEnd"/>
      <w:r w:rsidR="002708E8">
        <w:t xml:space="preserve"> recipients and 1</w:t>
      </w:r>
      <w:r>
        <w:t>994 placebo recipients) and fo</w:t>
      </w:r>
      <w:r w:rsidR="002708E8">
        <w:t>ur active-controlled studies (4</w:t>
      </w:r>
      <w:r>
        <w:t xml:space="preserve">108 trivalent version of </w:t>
      </w:r>
      <w:proofErr w:type="spellStart"/>
      <w:r w:rsidR="00095EAF">
        <w:t>FluMist</w:t>
      </w:r>
      <w:proofErr w:type="spellEnd"/>
      <w:r w:rsidR="002708E8">
        <w:t xml:space="preserve"> recipients and 4</w:t>
      </w:r>
      <w:r>
        <w:t xml:space="preserve">118 active-control recipients) were pooled to evaluate </w:t>
      </w:r>
      <w:r>
        <w:lastRenderedPageBreak/>
        <w:t>solicited events occurring i</w:t>
      </w:r>
      <w:r w:rsidR="002708E8">
        <w:t>n children and adolescents 2-17 </w:t>
      </w:r>
      <w:r>
        <w:t>years of age.</w:t>
      </w:r>
      <w:r w:rsidR="00B74ECF">
        <w:t xml:space="preserve"> </w:t>
      </w:r>
      <w:r w:rsidR="004A0A60">
        <w:fldChar w:fldCharType="begin"/>
      </w:r>
      <w:r w:rsidR="0035240D">
        <w:instrText xml:space="preserve"> REF _Ref411432380 \h </w:instrText>
      </w:r>
      <w:r w:rsidR="004A0A60">
        <w:fldChar w:fldCharType="separate"/>
      </w:r>
      <w:r w:rsidR="009F6AAA">
        <w:t xml:space="preserve">Table </w:t>
      </w:r>
      <w:r w:rsidR="009F6AAA">
        <w:rPr>
          <w:noProof/>
        </w:rPr>
        <w:t>5</w:t>
      </w:r>
      <w:r w:rsidR="004A0A60">
        <w:fldChar w:fldCharType="end"/>
      </w:r>
      <w:r w:rsidR="00EC1327">
        <w:t xml:space="preserve"> </w:t>
      </w:r>
      <w:r>
        <w:t xml:space="preserve">presents an analysis of solicited events post dose 1 occurring in trivalent version of </w:t>
      </w:r>
      <w:proofErr w:type="spellStart"/>
      <w:r w:rsidR="00095EAF">
        <w:t>FluMist</w:t>
      </w:r>
      <w:proofErr w:type="spellEnd"/>
      <w:r>
        <w:t xml:space="preserve"> recipients with at least 2% higher rate compared to placebo and includes rates for these solicited events from active controlled studies.</w:t>
      </w:r>
    </w:p>
    <w:p w14:paraId="38134014" w14:textId="77777777" w:rsidR="007F272C" w:rsidRDefault="007F272C" w:rsidP="00D76E3B">
      <w:pPr>
        <w:pStyle w:val="A-TableTitle"/>
      </w:pPr>
      <w:bookmarkStart w:id="8" w:name="_Ref411432380"/>
      <w:r>
        <w:t xml:space="preserve">Table </w:t>
      </w:r>
      <w:r w:rsidR="00E8575B">
        <w:fldChar w:fldCharType="begin"/>
      </w:r>
      <w:r w:rsidR="00E8575B">
        <w:instrText xml:space="preserve"> SEQ Table \* ARABIC </w:instrText>
      </w:r>
      <w:r w:rsidR="00E8575B">
        <w:fldChar w:fldCharType="separate"/>
      </w:r>
      <w:r w:rsidR="009F6AAA">
        <w:rPr>
          <w:noProof/>
        </w:rPr>
        <w:t>5</w:t>
      </w:r>
      <w:r w:rsidR="00E8575B">
        <w:rPr>
          <w:noProof/>
        </w:rPr>
        <w:fldChar w:fldCharType="end"/>
      </w:r>
      <w:bookmarkEnd w:id="8"/>
      <w:r>
        <w:tab/>
        <w:t>Summary of solicited events</w:t>
      </w:r>
      <w:r w:rsidR="00266481">
        <w:t>*</w:t>
      </w:r>
      <w:r>
        <w:t xml:space="preserve"> observed within 10 days after dose 1 for the trivalent version of </w:t>
      </w:r>
      <w:proofErr w:type="spellStart"/>
      <w:r w:rsidR="00095EAF">
        <w:t>FluMist</w:t>
      </w:r>
      <w:proofErr w:type="spellEnd"/>
      <w:r>
        <w:t xml:space="preserve"> and either placebo or active-control recipients; children and adolescents 2-17 years of age</w:t>
      </w:r>
    </w:p>
    <w:tbl>
      <w:tblPr>
        <w:tblW w:w="9039" w:type="dxa"/>
        <w:tblLayout w:type="fixed"/>
        <w:tblLook w:val="0000" w:firstRow="0" w:lastRow="0" w:firstColumn="0" w:lastColumn="0" w:noHBand="0" w:noVBand="0"/>
        <w:tblDescription w:val="Table 5 is a summary of solicited events* observed within 10 days after dose 1 for the trivalent version of FluMist and either placebo or active-control recipients; children and adolescents 2-17 years of age"/>
      </w:tblPr>
      <w:tblGrid>
        <w:gridCol w:w="1843"/>
        <w:gridCol w:w="2093"/>
        <w:gridCol w:w="1134"/>
        <w:gridCol w:w="1134"/>
        <w:gridCol w:w="1134"/>
        <w:gridCol w:w="1701"/>
      </w:tblGrid>
      <w:tr w:rsidR="00201043" w14:paraId="32B86CEF" w14:textId="77777777" w:rsidTr="00201043">
        <w:trPr>
          <w:cantSplit/>
          <w:tblHeader/>
        </w:trPr>
        <w:tc>
          <w:tcPr>
            <w:tcW w:w="1843" w:type="dxa"/>
            <w:vMerge w:val="restart"/>
            <w:tcBorders>
              <w:top w:val="single" w:sz="12" w:space="0" w:color="auto"/>
            </w:tcBorders>
            <w:shd w:val="clear" w:color="auto" w:fill="auto"/>
          </w:tcPr>
          <w:p w14:paraId="558E08B2" w14:textId="77777777" w:rsidR="00201043" w:rsidRDefault="00201043" w:rsidP="00100288">
            <w:pPr>
              <w:pStyle w:val="A-TableHeader"/>
            </w:pPr>
            <w:r>
              <w:t>Solicited Event</w:t>
            </w:r>
          </w:p>
        </w:tc>
        <w:tc>
          <w:tcPr>
            <w:tcW w:w="2093" w:type="dxa"/>
            <w:vMerge w:val="restart"/>
            <w:tcBorders>
              <w:top w:val="single" w:sz="12" w:space="0" w:color="auto"/>
              <w:right w:val="single" w:sz="2" w:space="0" w:color="auto"/>
            </w:tcBorders>
          </w:tcPr>
          <w:p w14:paraId="44F06ECE" w14:textId="77777777" w:rsidR="00201043" w:rsidRDefault="00201043" w:rsidP="00396CC2">
            <w:pPr>
              <w:pStyle w:val="A-TableHeader"/>
            </w:pPr>
            <w:r>
              <w:t xml:space="preserve">System Organ </w:t>
            </w:r>
            <w:proofErr w:type="spellStart"/>
            <w:r>
              <w:t>Class</w:t>
            </w:r>
            <w:r w:rsidRPr="00266481">
              <w:rPr>
                <w:vertAlign w:val="superscript"/>
              </w:rPr>
              <w:t>c</w:t>
            </w:r>
            <w:proofErr w:type="spellEnd"/>
          </w:p>
        </w:tc>
        <w:tc>
          <w:tcPr>
            <w:tcW w:w="2268" w:type="dxa"/>
            <w:gridSpan w:val="2"/>
            <w:tcBorders>
              <w:top w:val="single" w:sz="12" w:space="0" w:color="auto"/>
              <w:left w:val="single" w:sz="2" w:space="0" w:color="auto"/>
              <w:right w:val="single" w:sz="2" w:space="0" w:color="auto"/>
            </w:tcBorders>
            <w:shd w:val="clear" w:color="auto" w:fill="auto"/>
          </w:tcPr>
          <w:p w14:paraId="56D79C04" w14:textId="77777777" w:rsidR="00201043" w:rsidRDefault="00201043" w:rsidP="008B4B7A">
            <w:pPr>
              <w:pStyle w:val="A-TableHeader"/>
              <w:jc w:val="center"/>
            </w:pPr>
            <w:r>
              <w:t xml:space="preserve">Placebo-controlled </w:t>
            </w:r>
            <w:proofErr w:type="spellStart"/>
            <w:r>
              <w:t>studies</w:t>
            </w:r>
            <w:r w:rsidRPr="00266481">
              <w:rPr>
                <w:vertAlign w:val="superscript"/>
              </w:rPr>
              <w:t>a</w:t>
            </w:r>
            <w:proofErr w:type="spellEnd"/>
          </w:p>
        </w:tc>
        <w:tc>
          <w:tcPr>
            <w:tcW w:w="2835" w:type="dxa"/>
            <w:gridSpan w:val="2"/>
            <w:tcBorders>
              <w:top w:val="single" w:sz="12" w:space="0" w:color="auto"/>
              <w:left w:val="single" w:sz="2" w:space="0" w:color="auto"/>
            </w:tcBorders>
            <w:shd w:val="clear" w:color="auto" w:fill="auto"/>
          </w:tcPr>
          <w:p w14:paraId="288934B9" w14:textId="77777777" w:rsidR="00201043" w:rsidRDefault="00201043" w:rsidP="008B4B7A">
            <w:pPr>
              <w:pStyle w:val="A-TableHeader"/>
              <w:jc w:val="center"/>
            </w:pPr>
            <w:r>
              <w:t xml:space="preserve">Active-controlled </w:t>
            </w:r>
            <w:proofErr w:type="spellStart"/>
            <w:r>
              <w:t>studies</w:t>
            </w:r>
            <w:r w:rsidRPr="00266481">
              <w:rPr>
                <w:vertAlign w:val="superscript"/>
              </w:rPr>
              <w:t>b</w:t>
            </w:r>
            <w:proofErr w:type="spellEnd"/>
          </w:p>
        </w:tc>
      </w:tr>
      <w:tr w:rsidR="00201043" w14:paraId="4C8A74C5" w14:textId="77777777" w:rsidTr="00201043">
        <w:trPr>
          <w:cantSplit/>
          <w:tblHeader/>
        </w:trPr>
        <w:tc>
          <w:tcPr>
            <w:tcW w:w="1843" w:type="dxa"/>
            <w:vMerge/>
            <w:tcBorders>
              <w:bottom w:val="single" w:sz="6" w:space="0" w:color="auto"/>
            </w:tcBorders>
            <w:shd w:val="clear" w:color="auto" w:fill="auto"/>
          </w:tcPr>
          <w:p w14:paraId="6837CA7D" w14:textId="77777777" w:rsidR="00201043" w:rsidRDefault="00201043" w:rsidP="00100288">
            <w:pPr>
              <w:pStyle w:val="A-TableHeader"/>
            </w:pPr>
          </w:p>
        </w:tc>
        <w:tc>
          <w:tcPr>
            <w:tcW w:w="2093" w:type="dxa"/>
            <w:vMerge/>
            <w:tcBorders>
              <w:bottom w:val="single" w:sz="6" w:space="0" w:color="auto"/>
              <w:right w:val="single" w:sz="2" w:space="0" w:color="auto"/>
            </w:tcBorders>
          </w:tcPr>
          <w:p w14:paraId="3F600A0E" w14:textId="77777777" w:rsidR="00201043" w:rsidRDefault="00201043" w:rsidP="00396CC2">
            <w:pPr>
              <w:pStyle w:val="A-TableHeader"/>
            </w:pPr>
          </w:p>
        </w:tc>
        <w:tc>
          <w:tcPr>
            <w:tcW w:w="1134" w:type="dxa"/>
            <w:tcBorders>
              <w:left w:val="single" w:sz="2" w:space="0" w:color="auto"/>
              <w:bottom w:val="single" w:sz="6" w:space="0" w:color="auto"/>
            </w:tcBorders>
          </w:tcPr>
          <w:p w14:paraId="626EA376" w14:textId="77777777" w:rsidR="00201043" w:rsidRDefault="00201043" w:rsidP="00201043">
            <w:pPr>
              <w:pStyle w:val="A-TableHeader"/>
              <w:jc w:val="center"/>
            </w:pPr>
            <w:proofErr w:type="spellStart"/>
            <w:r>
              <w:t>FluMist</w:t>
            </w:r>
            <w:proofErr w:type="spellEnd"/>
            <w:r>
              <w:t xml:space="preserve"> (trivalent</w:t>
            </w:r>
            <w:proofErr w:type="gramStart"/>
            <w:r>
              <w:t>)</w:t>
            </w:r>
            <w:proofErr w:type="gramEnd"/>
            <w:r>
              <w:br/>
              <w:t>n/N (%)</w:t>
            </w:r>
          </w:p>
        </w:tc>
        <w:tc>
          <w:tcPr>
            <w:tcW w:w="1134" w:type="dxa"/>
            <w:tcBorders>
              <w:bottom w:val="single" w:sz="6" w:space="0" w:color="auto"/>
              <w:right w:val="single" w:sz="2" w:space="0" w:color="auto"/>
            </w:tcBorders>
            <w:shd w:val="clear" w:color="auto" w:fill="auto"/>
          </w:tcPr>
          <w:p w14:paraId="4981C0AE" w14:textId="77777777" w:rsidR="00201043" w:rsidRDefault="00201043" w:rsidP="00201043">
            <w:pPr>
              <w:pStyle w:val="A-TableHeader"/>
              <w:jc w:val="center"/>
            </w:pPr>
            <w:r>
              <w:t>Placebo</w:t>
            </w:r>
            <w:r>
              <w:br/>
              <w:t>n/N (%)</w:t>
            </w:r>
          </w:p>
        </w:tc>
        <w:tc>
          <w:tcPr>
            <w:tcW w:w="1134" w:type="dxa"/>
            <w:tcBorders>
              <w:left w:val="single" w:sz="2" w:space="0" w:color="auto"/>
              <w:bottom w:val="single" w:sz="6" w:space="0" w:color="auto"/>
            </w:tcBorders>
            <w:shd w:val="clear" w:color="auto" w:fill="auto"/>
          </w:tcPr>
          <w:p w14:paraId="11C9B2BF" w14:textId="77777777" w:rsidR="00201043" w:rsidRDefault="00201043" w:rsidP="00201043">
            <w:pPr>
              <w:pStyle w:val="A-TableHeader"/>
              <w:jc w:val="center"/>
            </w:pPr>
            <w:proofErr w:type="spellStart"/>
            <w:r>
              <w:t>FluMist</w:t>
            </w:r>
            <w:proofErr w:type="spellEnd"/>
            <w:r>
              <w:t xml:space="preserve"> (trivalent</w:t>
            </w:r>
            <w:proofErr w:type="gramStart"/>
            <w:r>
              <w:t>)</w:t>
            </w:r>
            <w:proofErr w:type="gramEnd"/>
            <w:r>
              <w:br/>
              <w:t>n/N (%)</w:t>
            </w:r>
          </w:p>
        </w:tc>
        <w:tc>
          <w:tcPr>
            <w:tcW w:w="1701" w:type="dxa"/>
            <w:tcBorders>
              <w:bottom w:val="single" w:sz="6" w:space="0" w:color="auto"/>
            </w:tcBorders>
            <w:shd w:val="clear" w:color="auto" w:fill="auto"/>
          </w:tcPr>
          <w:p w14:paraId="01DB1392" w14:textId="77777777" w:rsidR="00201043" w:rsidRDefault="00201043" w:rsidP="00201043">
            <w:pPr>
              <w:pStyle w:val="A-TableHeader"/>
              <w:jc w:val="center"/>
            </w:pPr>
            <w:r>
              <w:t>Inj. influenza vaccine</w:t>
            </w:r>
            <w:r>
              <w:br/>
              <w:t>n/N (%)</w:t>
            </w:r>
          </w:p>
        </w:tc>
      </w:tr>
      <w:tr w:rsidR="00201043" w:rsidRPr="00100288" w14:paraId="3FCB2B2C" w14:textId="77777777" w:rsidTr="00201043">
        <w:trPr>
          <w:cantSplit/>
        </w:trPr>
        <w:tc>
          <w:tcPr>
            <w:tcW w:w="1843" w:type="dxa"/>
            <w:tcBorders>
              <w:top w:val="single" w:sz="6" w:space="0" w:color="auto"/>
            </w:tcBorders>
            <w:shd w:val="clear" w:color="auto" w:fill="auto"/>
          </w:tcPr>
          <w:p w14:paraId="76AE9443" w14:textId="77777777" w:rsidR="00201043" w:rsidRPr="00201043" w:rsidRDefault="00201043" w:rsidP="00100288">
            <w:pPr>
              <w:pStyle w:val="A-TableText"/>
              <w:spacing w:line="240" w:lineRule="auto"/>
              <w:rPr>
                <w:sz w:val="18"/>
                <w:szCs w:val="18"/>
              </w:rPr>
            </w:pPr>
            <w:r w:rsidRPr="00201043">
              <w:rPr>
                <w:sz w:val="18"/>
                <w:szCs w:val="18"/>
              </w:rPr>
              <w:t>Nasal congestion/ rhinorrhoea</w:t>
            </w:r>
          </w:p>
        </w:tc>
        <w:tc>
          <w:tcPr>
            <w:tcW w:w="2093" w:type="dxa"/>
            <w:tcBorders>
              <w:top w:val="single" w:sz="6" w:space="0" w:color="auto"/>
              <w:right w:val="single" w:sz="2" w:space="0" w:color="auto"/>
            </w:tcBorders>
          </w:tcPr>
          <w:p w14:paraId="227AD85C" w14:textId="77777777" w:rsidR="00201043" w:rsidRPr="008B4B7A" w:rsidRDefault="00201043" w:rsidP="00396CC2">
            <w:pPr>
              <w:pStyle w:val="A-TableText"/>
              <w:spacing w:line="240" w:lineRule="auto"/>
              <w:rPr>
                <w:i/>
                <w:sz w:val="18"/>
                <w:szCs w:val="18"/>
              </w:rPr>
            </w:pPr>
            <w:r w:rsidRPr="008B4B7A">
              <w:rPr>
                <w:i/>
                <w:sz w:val="18"/>
                <w:szCs w:val="18"/>
              </w:rPr>
              <w:t>Respiratory, thoracic &amp; mediastinal disorders</w:t>
            </w:r>
          </w:p>
        </w:tc>
        <w:tc>
          <w:tcPr>
            <w:tcW w:w="1134" w:type="dxa"/>
            <w:tcBorders>
              <w:top w:val="single" w:sz="6" w:space="0" w:color="auto"/>
              <w:left w:val="single" w:sz="2" w:space="0" w:color="auto"/>
            </w:tcBorders>
          </w:tcPr>
          <w:p w14:paraId="5DCB0B60" w14:textId="77777777" w:rsidR="00201043" w:rsidRPr="00100288" w:rsidRDefault="00201043" w:rsidP="00100288">
            <w:pPr>
              <w:pStyle w:val="A-TableText"/>
              <w:spacing w:line="240" w:lineRule="auto"/>
              <w:jc w:val="center"/>
              <w:rPr>
                <w:bCs/>
                <w:sz w:val="18"/>
                <w:szCs w:val="18"/>
              </w:rPr>
            </w:pPr>
            <w:r w:rsidRPr="00100288">
              <w:rPr>
                <w:bCs/>
                <w:sz w:val="18"/>
                <w:szCs w:val="18"/>
              </w:rPr>
              <w:t>2065/3</w:t>
            </w:r>
            <w:r>
              <w:rPr>
                <w:bCs/>
                <w:sz w:val="18"/>
                <w:szCs w:val="18"/>
              </w:rPr>
              <w:t>241</w:t>
            </w:r>
            <w:r>
              <w:rPr>
                <w:bCs/>
                <w:sz w:val="18"/>
                <w:szCs w:val="18"/>
              </w:rPr>
              <w:br/>
            </w:r>
            <w:r w:rsidRPr="00100288">
              <w:rPr>
                <w:bCs/>
                <w:sz w:val="18"/>
                <w:szCs w:val="18"/>
              </w:rPr>
              <w:t>(63.7%)</w:t>
            </w:r>
          </w:p>
        </w:tc>
        <w:tc>
          <w:tcPr>
            <w:tcW w:w="1134" w:type="dxa"/>
            <w:tcBorders>
              <w:top w:val="single" w:sz="6" w:space="0" w:color="auto"/>
              <w:right w:val="single" w:sz="2" w:space="0" w:color="auto"/>
            </w:tcBorders>
            <w:shd w:val="clear" w:color="auto" w:fill="auto"/>
          </w:tcPr>
          <w:p w14:paraId="5180466E" w14:textId="77777777" w:rsidR="00201043" w:rsidRPr="00100288" w:rsidRDefault="00201043" w:rsidP="00201043">
            <w:pPr>
              <w:pStyle w:val="A-TableText"/>
              <w:spacing w:line="240" w:lineRule="auto"/>
              <w:jc w:val="center"/>
              <w:rPr>
                <w:bCs/>
                <w:sz w:val="18"/>
                <w:szCs w:val="18"/>
              </w:rPr>
            </w:pPr>
            <w:r w:rsidRPr="00100288">
              <w:rPr>
                <w:bCs/>
                <w:sz w:val="18"/>
                <w:szCs w:val="18"/>
              </w:rPr>
              <w:t>1134/1992</w:t>
            </w:r>
            <w:r>
              <w:rPr>
                <w:bCs/>
                <w:sz w:val="18"/>
                <w:szCs w:val="18"/>
              </w:rPr>
              <w:br/>
            </w:r>
            <w:r w:rsidRPr="00100288">
              <w:rPr>
                <w:bCs/>
                <w:sz w:val="18"/>
                <w:szCs w:val="18"/>
              </w:rPr>
              <w:t>(56.9%)</w:t>
            </w:r>
          </w:p>
        </w:tc>
        <w:tc>
          <w:tcPr>
            <w:tcW w:w="1134" w:type="dxa"/>
            <w:tcBorders>
              <w:top w:val="single" w:sz="6" w:space="0" w:color="auto"/>
              <w:left w:val="single" w:sz="2" w:space="0" w:color="auto"/>
            </w:tcBorders>
            <w:shd w:val="clear" w:color="auto" w:fill="auto"/>
          </w:tcPr>
          <w:p w14:paraId="411ABAA9" w14:textId="77777777" w:rsidR="00201043" w:rsidRPr="00100288" w:rsidRDefault="00201043" w:rsidP="00201043">
            <w:pPr>
              <w:pStyle w:val="A-TableText"/>
              <w:spacing w:line="240" w:lineRule="auto"/>
              <w:jc w:val="center"/>
              <w:rPr>
                <w:bCs/>
                <w:sz w:val="18"/>
                <w:szCs w:val="18"/>
              </w:rPr>
            </w:pPr>
            <w:r w:rsidRPr="00100288">
              <w:rPr>
                <w:bCs/>
                <w:sz w:val="18"/>
                <w:szCs w:val="18"/>
              </w:rPr>
              <w:t>2327/4101</w:t>
            </w:r>
            <w:r>
              <w:rPr>
                <w:bCs/>
                <w:sz w:val="18"/>
                <w:szCs w:val="18"/>
              </w:rPr>
              <w:br/>
            </w:r>
            <w:r w:rsidRPr="00100288">
              <w:rPr>
                <w:bCs/>
                <w:sz w:val="18"/>
                <w:szCs w:val="18"/>
              </w:rPr>
              <w:t>(56.7%)</w:t>
            </w:r>
          </w:p>
        </w:tc>
        <w:tc>
          <w:tcPr>
            <w:tcW w:w="1701" w:type="dxa"/>
            <w:tcBorders>
              <w:top w:val="single" w:sz="6" w:space="0" w:color="auto"/>
            </w:tcBorders>
            <w:shd w:val="clear" w:color="auto" w:fill="auto"/>
          </w:tcPr>
          <w:p w14:paraId="3977B0EC" w14:textId="77777777" w:rsidR="00201043" w:rsidRPr="00100288" w:rsidRDefault="00201043" w:rsidP="00201043">
            <w:pPr>
              <w:pStyle w:val="A-TableText"/>
              <w:spacing w:line="240" w:lineRule="auto"/>
              <w:jc w:val="center"/>
              <w:rPr>
                <w:bCs/>
                <w:sz w:val="18"/>
                <w:szCs w:val="18"/>
              </w:rPr>
            </w:pPr>
            <w:r w:rsidRPr="00100288">
              <w:rPr>
                <w:bCs/>
                <w:sz w:val="18"/>
                <w:szCs w:val="18"/>
              </w:rPr>
              <w:t>1847/4108</w:t>
            </w:r>
            <w:r>
              <w:rPr>
                <w:bCs/>
                <w:sz w:val="18"/>
                <w:szCs w:val="18"/>
              </w:rPr>
              <w:br/>
            </w:r>
            <w:r w:rsidRPr="00100288">
              <w:rPr>
                <w:bCs/>
                <w:sz w:val="18"/>
                <w:szCs w:val="18"/>
              </w:rPr>
              <w:t>(45.0%)</w:t>
            </w:r>
          </w:p>
        </w:tc>
      </w:tr>
      <w:tr w:rsidR="00201043" w:rsidRPr="00100288" w14:paraId="2674C73D" w14:textId="77777777" w:rsidTr="00201043">
        <w:trPr>
          <w:cantSplit/>
        </w:trPr>
        <w:tc>
          <w:tcPr>
            <w:tcW w:w="1843" w:type="dxa"/>
            <w:shd w:val="clear" w:color="auto" w:fill="auto"/>
          </w:tcPr>
          <w:p w14:paraId="7043FDDD" w14:textId="77777777" w:rsidR="00201043" w:rsidRPr="00201043" w:rsidRDefault="00201043" w:rsidP="00100288">
            <w:pPr>
              <w:pStyle w:val="A-TableText"/>
              <w:spacing w:line="240" w:lineRule="auto"/>
              <w:rPr>
                <w:sz w:val="18"/>
                <w:szCs w:val="18"/>
              </w:rPr>
            </w:pPr>
            <w:r w:rsidRPr="00201043">
              <w:rPr>
                <w:sz w:val="18"/>
                <w:szCs w:val="18"/>
              </w:rPr>
              <w:t>Decreased appetite</w:t>
            </w:r>
          </w:p>
        </w:tc>
        <w:tc>
          <w:tcPr>
            <w:tcW w:w="2093" w:type="dxa"/>
            <w:tcBorders>
              <w:right w:val="single" w:sz="2" w:space="0" w:color="auto"/>
            </w:tcBorders>
          </w:tcPr>
          <w:p w14:paraId="7B6F010A" w14:textId="77777777" w:rsidR="00201043" w:rsidRPr="008B4B7A" w:rsidRDefault="00201043" w:rsidP="00396CC2">
            <w:pPr>
              <w:pStyle w:val="A-TableText"/>
              <w:spacing w:line="240" w:lineRule="auto"/>
              <w:rPr>
                <w:i/>
                <w:sz w:val="18"/>
                <w:szCs w:val="18"/>
              </w:rPr>
            </w:pPr>
            <w:r w:rsidRPr="008B4B7A">
              <w:rPr>
                <w:i/>
                <w:sz w:val="18"/>
                <w:szCs w:val="18"/>
              </w:rPr>
              <w:t>Metabolism &amp; nutrition disorders</w:t>
            </w:r>
          </w:p>
        </w:tc>
        <w:tc>
          <w:tcPr>
            <w:tcW w:w="1134" w:type="dxa"/>
            <w:tcBorders>
              <w:left w:val="single" w:sz="2" w:space="0" w:color="auto"/>
            </w:tcBorders>
          </w:tcPr>
          <w:p w14:paraId="6C87E347" w14:textId="77777777" w:rsidR="00201043" w:rsidRPr="00100288" w:rsidRDefault="00201043" w:rsidP="00100288">
            <w:pPr>
              <w:pStyle w:val="A-TableText"/>
              <w:spacing w:line="240" w:lineRule="auto"/>
              <w:jc w:val="center"/>
              <w:rPr>
                <w:bCs/>
                <w:sz w:val="18"/>
                <w:szCs w:val="18"/>
              </w:rPr>
            </w:pPr>
            <w:r w:rsidRPr="00100288">
              <w:rPr>
                <w:bCs/>
                <w:sz w:val="18"/>
                <w:szCs w:val="18"/>
              </w:rPr>
              <w:t>596/2474</w:t>
            </w:r>
            <w:r>
              <w:rPr>
                <w:bCs/>
                <w:sz w:val="18"/>
                <w:szCs w:val="18"/>
              </w:rPr>
              <w:br/>
            </w:r>
            <w:r w:rsidRPr="00100288">
              <w:rPr>
                <w:bCs/>
                <w:sz w:val="18"/>
                <w:szCs w:val="18"/>
              </w:rPr>
              <w:t>(24.1%)</w:t>
            </w:r>
          </w:p>
        </w:tc>
        <w:tc>
          <w:tcPr>
            <w:tcW w:w="1134" w:type="dxa"/>
            <w:tcBorders>
              <w:right w:val="single" w:sz="2" w:space="0" w:color="auto"/>
            </w:tcBorders>
            <w:shd w:val="clear" w:color="auto" w:fill="auto"/>
          </w:tcPr>
          <w:p w14:paraId="3427045E" w14:textId="77777777" w:rsidR="00201043" w:rsidRPr="00100288" w:rsidRDefault="00201043" w:rsidP="00100288">
            <w:pPr>
              <w:pStyle w:val="A-TableText"/>
              <w:spacing w:line="240" w:lineRule="auto"/>
              <w:jc w:val="center"/>
              <w:rPr>
                <w:bCs/>
                <w:sz w:val="18"/>
                <w:szCs w:val="18"/>
              </w:rPr>
            </w:pPr>
            <w:r w:rsidRPr="00100288">
              <w:rPr>
                <w:bCs/>
                <w:sz w:val="18"/>
                <w:szCs w:val="18"/>
              </w:rPr>
              <w:t>353/1</w:t>
            </w:r>
            <w:r>
              <w:rPr>
                <w:bCs/>
                <w:sz w:val="18"/>
                <w:szCs w:val="18"/>
              </w:rPr>
              <w:t>629</w:t>
            </w:r>
            <w:r>
              <w:rPr>
                <w:bCs/>
                <w:sz w:val="18"/>
                <w:szCs w:val="18"/>
              </w:rPr>
              <w:br/>
            </w:r>
            <w:r w:rsidRPr="00100288">
              <w:rPr>
                <w:bCs/>
                <w:sz w:val="18"/>
                <w:szCs w:val="18"/>
              </w:rPr>
              <w:t>(21.7%)</w:t>
            </w:r>
          </w:p>
        </w:tc>
        <w:tc>
          <w:tcPr>
            <w:tcW w:w="1134" w:type="dxa"/>
            <w:tcBorders>
              <w:left w:val="single" w:sz="2" w:space="0" w:color="auto"/>
            </w:tcBorders>
            <w:shd w:val="clear" w:color="auto" w:fill="auto"/>
          </w:tcPr>
          <w:p w14:paraId="57DF6170" w14:textId="77777777" w:rsidR="00201043" w:rsidRPr="00100288" w:rsidRDefault="00201043" w:rsidP="00201043">
            <w:pPr>
              <w:pStyle w:val="A-TableText"/>
              <w:spacing w:line="240" w:lineRule="auto"/>
              <w:jc w:val="center"/>
              <w:rPr>
                <w:bCs/>
                <w:sz w:val="18"/>
                <w:szCs w:val="18"/>
              </w:rPr>
            </w:pPr>
            <w:r w:rsidRPr="00100288">
              <w:rPr>
                <w:bCs/>
                <w:sz w:val="18"/>
                <w:szCs w:val="18"/>
              </w:rPr>
              <w:t>650/4100</w:t>
            </w:r>
            <w:r>
              <w:rPr>
                <w:bCs/>
                <w:sz w:val="18"/>
                <w:szCs w:val="18"/>
              </w:rPr>
              <w:br/>
            </w:r>
            <w:r w:rsidRPr="00100288">
              <w:rPr>
                <w:bCs/>
                <w:sz w:val="18"/>
                <w:szCs w:val="18"/>
              </w:rPr>
              <w:t>(15.9%)</w:t>
            </w:r>
          </w:p>
        </w:tc>
        <w:tc>
          <w:tcPr>
            <w:tcW w:w="1701" w:type="dxa"/>
            <w:shd w:val="clear" w:color="auto" w:fill="auto"/>
          </w:tcPr>
          <w:p w14:paraId="2FA9F6FB" w14:textId="77777777" w:rsidR="00201043" w:rsidRPr="00100288" w:rsidRDefault="00201043" w:rsidP="00201043">
            <w:pPr>
              <w:pStyle w:val="A-TableText"/>
              <w:spacing w:line="240" w:lineRule="auto"/>
              <w:jc w:val="center"/>
              <w:rPr>
                <w:bCs/>
                <w:sz w:val="18"/>
                <w:szCs w:val="18"/>
              </w:rPr>
            </w:pPr>
            <w:r w:rsidRPr="00100288">
              <w:rPr>
                <w:bCs/>
                <w:sz w:val="18"/>
                <w:szCs w:val="18"/>
              </w:rPr>
              <w:t>623/4107</w:t>
            </w:r>
            <w:r>
              <w:rPr>
                <w:bCs/>
                <w:sz w:val="18"/>
                <w:szCs w:val="18"/>
              </w:rPr>
              <w:br/>
            </w:r>
            <w:r w:rsidRPr="00100288">
              <w:rPr>
                <w:bCs/>
                <w:sz w:val="18"/>
                <w:szCs w:val="18"/>
              </w:rPr>
              <w:t>(15.2%)</w:t>
            </w:r>
          </w:p>
        </w:tc>
      </w:tr>
      <w:tr w:rsidR="00201043" w:rsidRPr="00100288" w14:paraId="1503F6CB" w14:textId="77777777" w:rsidTr="00201043">
        <w:trPr>
          <w:cantSplit/>
        </w:trPr>
        <w:tc>
          <w:tcPr>
            <w:tcW w:w="1843" w:type="dxa"/>
            <w:shd w:val="clear" w:color="auto" w:fill="auto"/>
          </w:tcPr>
          <w:p w14:paraId="690C30A5" w14:textId="77777777" w:rsidR="00201043" w:rsidRPr="00201043" w:rsidRDefault="00201043" w:rsidP="00100288">
            <w:pPr>
              <w:pStyle w:val="A-TableText"/>
              <w:spacing w:line="240" w:lineRule="auto"/>
              <w:rPr>
                <w:sz w:val="18"/>
                <w:szCs w:val="18"/>
              </w:rPr>
            </w:pPr>
            <w:r w:rsidRPr="00201043">
              <w:rPr>
                <w:sz w:val="18"/>
                <w:szCs w:val="18"/>
              </w:rPr>
              <w:t>Malaise</w:t>
            </w:r>
          </w:p>
        </w:tc>
        <w:tc>
          <w:tcPr>
            <w:tcW w:w="2093" w:type="dxa"/>
            <w:tcBorders>
              <w:right w:val="single" w:sz="2" w:space="0" w:color="auto"/>
            </w:tcBorders>
          </w:tcPr>
          <w:p w14:paraId="13B320B5" w14:textId="77777777" w:rsidR="00201043" w:rsidRPr="008B4B7A" w:rsidRDefault="00201043" w:rsidP="00396CC2">
            <w:pPr>
              <w:pStyle w:val="A-TableText"/>
              <w:spacing w:line="240" w:lineRule="auto"/>
              <w:rPr>
                <w:i/>
                <w:sz w:val="18"/>
                <w:szCs w:val="18"/>
              </w:rPr>
            </w:pPr>
            <w:r w:rsidRPr="008B4B7A">
              <w:rPr>
                <w:i/>
                <w:sz w:val="18"/>
                <w:szCs w:val="18"/>
              </w:rPr>
              <w:t>General disorders &amp; administration site conditions</w:t>
            </w:r>
          </w:p>
        </w:tc>
        <w:tc>
          <w:tcPr>
            <w:tcW w:w="1134" w:type="dxa"/>
            <w:tcBorders>
              <w:left w:val="single" w:sz="2" w:space="0" w:color="auto"/>
            </w:tcBorders>
          </w:tcPr>
          <w:p w14:paraId="59FA6F68" w14:textId="77777777" w:rsidR="00201043" w:rsidRPr="00100288" w:rsidRDefault="00201043" w:rsidP="00100288">
            <w:pPr>
              <w:pStyle w:val="A-TableText"/>
              <w:spacing w:line="240" w:lineRule="auto"/>
              <w:jc w:val="center"/>
              <w:rPr>
                <w:bCs/>
                <w:sz w:val="18"/>
                <w:szCs w:val="18"/>
              </w:rPr>
            </w:pPr>
            <w:r w:rsidRPr="00100288">
              <w:rPr>
                <w:bCs/>
                <w:sz w:val="18"/>
                <w:szCs w:val="18"/>
              </w:rPr>
              <w:t>447/3239</w:t>
            </w:r>
            <w:r>
              <w:rPr>
                <w:bCs/>
                <w:sz w:val="18"/>
                <w:szCs w:val="18"/>
              </w:rPr>
              <w:br/>
            </w:r>
            <w:r w:rsidRPr="00100288">
              <w:rPr>
                <w:bCs/>
                <w:sz w:val="18"/>
                <w:szCs w:val="18"/>
              </w:rPr>
              <w:t>(13.8%)</w:t>
            </w:r>
          </w:p>
        </w:tc>
        <w:tc>
          <w:tcPr>
            <w:tcW w:w="1134" w:type="dxa"/>
            <w:tcBorders>
              <w:right w:val="single" w:sz="2" w:space="0" w:color="auto"/>
            </w:tcBorders>
            <w:shd w:val="clear" w:color="auto" w:fill="auto"/>
          </w:tcPr>
          <w:p w14:paraId="7790D6B3" w14:textId="77777777" w:rsidR="00201043" w:rsidRPr="00100288" w:rsidRDefault="00201043" w:rsidP="00201043">
            <w:pPr>
              <w:pStyle w:val="A-TableText"/>
              <w:spacing w:line="240" w:lineRule="auto"/>
              <w:jc w:val="center"/>
              <w:rPr>
                <w:bCs/>
                <w:sz w:val="18"/>
                <w:szCs w:val="18"/>
              </w:rPr>
            </w:pPr>
            <w:r w:rsidRPr="00100288">
              <w:rPr>
                <w:bCs/>
                <w:sz w:val="18"/>
                <w:szCs w:val="18"/>
              </w:rPr>
              <w:t>232/1991</w:t>
            </w:r>
            <w:r>
              <w:rPr>
                <w:bCs/>
                <w:sz w:val="18"/>
                <w:szCs w:val="18"/>
              </w:rPr>
              <w:br/>
            </w:r>
            <w:r w:rsidRPr="00100288">
              <w:rPr>
                <w:bCs/>
                <w:sz w:val="18"/>
                <w:szCs w:val="18"/>
              </w:rPr>
              <w:t>(11.7%)</w:t>
            </w:r>
          </w:p>
        </w:tc>
        <w:tc>
          <w:tcPr>
            <w:tcW w:w="1134" w:type="dxa"/>
            <w:tcBorders>
              <w:left w:val="single" w:sz="2" w:space="0" w:color="auto"/>
            </w:tcBorders>
            <w:shd w:val="clear" w:color="auto" w:fill="auto"/>
          </w:tcPr>
          <w:p w14:paraId="0A897CC7" w14:textId="77777777" w:rsidR="00201043" w:rsidRPr="00100288" w:rsidRDefault="00201043" w:rsidP="00201043">
            <w:pPr>
              <w:pStyle w:val="A-TableText"/>
              <w:spacing w:line="240" w:lineRule="auto"/>
              <w:jc w:val="center"/>
              <w:rPr>
                <w:bCs/>
                <w:sz w:val="18"/>
                <w:szCs w:val="18"/>
              </w:rPr>
            </w:pPr>
            <w:r w:rsidRPr="00100288">
              <w:rPr>
                <w:bCs/>
                <w:sz w:val="18"/>
                <w:szCs w:val="18"/>
              </w:rPr>
              <w:t>536/4100</w:t>
            </w:r>
            <w:r>
              <w:rPr>
                <w:bCs/>
                <w:sz w:val="18"/>
                <w:szCs w:val="18"/>
              </w:rPr>
              <w:br/>
            </w:r>
            <w:r w:rsidRPr="00100288">
              <w:rPr>
                <w:bCs/>
                <w:sz w:val="18"/>
                <w:szCs w:val="18"/>
              </w:rPr>
              <w:t>(13.1%)</w:t>
            </w:r>
          </w:p>
        </w:tc>
        <w:tc>
          <w:tcPr>
            <w:tcW w:w="1701" w:type="dxa"/>
            <w:shd w:val="clear" w:color="auto" w:fill="auto"/>
          </w:tcPr>
          <w:p w14:paraId="5784998F" w14:textId="77777777" w:rsidR="00201043" w:rsidRPr="00100288" w:rsidRDefault="00201043" w:rsidP="00201043">
            <w:pPr>
              <w:pStyle w:val="A-TableText"/>
              <w:spacing w:line="240" w:lineRule="auto"/>
              <w:jc w:val="center"/>
              <w:rPr>
                <w:bCs/>
                <w:sz w:val="18"/>
                <w:szCs w:val="18"/>
              </w:rPr>
            </w:pPr>
            <w:r w:rsidRPr="00100288">
              <w:rPr>
                <w:bCs/>
                <w:sz w:val="18"/>
                <w:szCs w:val="18"/>
              </w:rPr>
              <w:t>485/4107</w:t>
            </w:r>
            <w:r>
              <w:rPr>
                <w:bCs/>
                <w:sz w:val="18"/>
                <w:szCs w:val="18"/>
              </w:rPr>
              <w:br/>
            </w:r>
            <w:r w:rsidRPr="00100288">
              <w:rPr>
                <w:bCs/>
                <w:sz w:val="18"/>
                <w:szCs w:val="18"/>
              </w:rPr>
              <w:t>(11.8%)</w:t>
            </w:r>
          </w:p>
        </w:tc>
      </w:tr>
      <w:tr w:rsidR="00201043" w:rsidRPr="00100288" w14:paraId="41A3044B" w14:textId="77777777" w:rsidTr="00201043">
        <w:trPr>
          <w:cantSplit/>
        </w:trPr>
        <w:tc>
          <w:tcPr>
            <w:tcW w:w="1843" w:type="dxa"/>
            <w:shd w:val="clear" w:color="auto" w:fill="auto"/>
          </w:tcPr>
          <w:p w14:paraId="541F762D" w14:textId="77777777" w:rsidR="00201043" w:rsidRPr="00201043" w:rsidRDefault="00201043" w:rsidP="00100288">
            <w:pPr>
              <w:pStyle w:val="A-TableText"/>
              <w:spacing w:line="240" w:lineRule="auto"/>
              <w:rPr>
                <w:sz w:val="18"/>
                <w:szCs w:val="18"/>
              </w:rPr>
            </w:pPr>
            <w:r w:rsidRPr="00201043">
              <w:rPr>
                <w:sz w:val="18"/>
                <w:szCs w:val="18"/>
              </w:rPr>
              <w:t>Headache</w:t>
            </w:r>
          </w:p>
        </w:tc>
        <w:tc>
          <w:tcPr>
            <w:tcW w:w="2093" w:type="dxa"/>
            <w:tcBorders>
              <w:right w:val="single" w:sz="2" w:space="0" w:color="auto"/>
            </w:tcBorders>
          </w:tcPr>
          <w:p w14:paraId="56059189" w14:textId="77777777" w:rsidR="00201043" w:rsidRPr="008B4B7A" w:rsidRDefault="00201043" w:rsidP="00396CC2">
            <w:pPr>
              <w:pStyle w:val="A-TableText"/>
              <w:spacing w:line="240" w:lineRule="auto"/>
              <w:rPr>
                <w:i/>
                <w:sz w:val="18"/>
                <w:szCs w:val="18"/>
              </w:rPr>
            </w:pPr>
            <w:r w:rsidRPr="008B4B7A">
              <w:rPr>
                <w:i/>
                <w:sz w:val="18"/>
                <w:szCs w:val="18"/>
              </w:rPr>
              <w:t>Nervous system disorders</w:t>
            </w:r>
          </w:p>
        </w:tc>
        <w:tc>
          <w:tcPr>
            <w:tcW w:w="1134" w:type="dxa"/>
            <w:tcBorders>
              <w:left w:val="single" w:sz="2" w:space="0" w:color="auto"/>
            </w:tcBorders>
          </w:tcPr>
          <w:p w14:paraId="2EAD11E8" w14:textId="77777777" w:rsidR="00201043" w:rsidRPr="00100288" w:rsidRDefault="00201043" w:rsidP="00100288">
            <w:pPr>
              <w:pStyle w:val="A-TableText"/>
              <w:spacing w:line="240" w:lineRule="auto"/>
              <w:jc w:val="center"/>
              <w:rPr>
                <w:bCs/>
                <w:sz w:val="18"/>
                <w:szCs w:val="18"/>
              </w:rPr>
            </w:pPr>
            <w:r>
              <w:rPr>
                <w:bCs/>
                <w:sz w:val="18"/>
                <w:szCs w:val="18"/>
              </w:rPr>
              <w:t>36/268</w:t>
            </w:r>
            <w:r>
              <w:rPr>
                <w:bCs/>
                <w:sz w:val="18"/>
                <w:szCs w:val="18"/>
              </w:rPr>
              <w:br/>
            </w:r>
            <w:r w:rsidRPr="00100288">
              <w:rPr>
                <w:bCs/>
                <w:sz w:val="18"/>
                <w:szCs w:val="18"/>
              </w:rPr>
              <w:t>(13.4%)</w:t>
            </w:r>
          </w:p>
        </w:tc>
        <w:tc>
          <w:tcPr>
            <w:tcW w:w="1134" w:type="dxa"/>
            <w:tcBorders>
              <w:right w:val="single" w:sz="2" w:space="0" w:color="auto"/>
            </w:tcBorders>
            <w:shd w:val="clear" w:color="auto" w:fill="auto"/>
          </w:tcPr>
          <w:p w14:paraId="4094C2A7" w14:textId="77777777" w:rsidR="00201043" w:rsidRPr="00100288" w:rsidRDefault="00201043" w:rsidP="00100288">
            <w:pPr>
              <w:pStyle w:val="A-TableText"/>
              <w:spacing w:line="240" w:lineRule="auto"/>
              <w:jc w:val="center"/>
              <w:rPr>
                <w:bCs/>
                <w:sz w:val="18"/>
                <w:szCs w:val="18"/>
              </w:rPr>
            </w:pPr>
            <w:r>
              <w:rPr>
                <w:bCs/>
                <w:sz w:val="18"/>
                <w:szCs w:val="18"/>
              </w:rPr>
              <w:t>13/200</w:t>
            </w:r>
            <w:r>
              <w:rPr>
                <w:bCs/>
                <w:sz w:val="18"/>
                <w:szCs w:val="18"/>
              </w:rPr>
              <w:br/>
            </w:r>
            <w:r w:rsidRPr="00100288">
              <w:rPr>
                <w:bCs/>
                <w:sz w:val="18"/>
                <w:szCs w:val="18"/>
              </w:rPr>
              <w:t>(6.5%)</w:t>
            </w:r>
          </w:p>
        </w:tc>
        <w:tc>
          <w:tcPr>
            <w:tcW w:w="1134" w:type="dxa"/>
            <w:tcBorders>
              <w:left w:val="single" w:sz="2" w:space="0" w:color="auto"/>
            </w:tcBorders>
            <w:shd w:val="clear" w:color="auto" w:fill="auto"/>
          </w:tcPr>
          <w:p w14:paraId="25FC648D" w14:textId="77777777" w:rsidR="00201043" w:rsidRPr="00100288" w:rsidRDefault="00201043" w:rsidP="00201043">
            <w:pPr>
              <w:pStyle w:val="A-TableText"/>
              <w:spacing w:line="240" w:lineRule="auto"/>
              <w:jc w:val="center"/>
              <w:rPr>
                <w:bCs/>
                <w:sz w:val="18"/>
                <w:szCs w:val="18"/>
              </w:rPr>
            </w:pPr>
            <w:r w:rsidRPr="00100288">
              <w:rPr>
                <w:bCs/>
                <w:sz w:val="18"/>
                <w:szCs w:val="18"/>
              </w:rPr>
              <w:t>541/3933</w:t>
            </w:r>
            <w:r>
              <w:rPr>
                <w:bCs/>
                <w:sz w:val="18"/>
                <w:szCs w:val="18"/>
              </w:rPr>
              <w:br/>
            </w:r>
            <w:r w:rsidRPr="00100288">
              <w:rPr>
                <w:bCs/>
                <w:sz w:val="18"/>
                <w:szCs w:val="18"/>
              </w:rPr>
              <w:t>(13.8%)</w:t>
            </w:r>
          </w:p>
        </w:tc>
        <w:tc>
          <w:tcPr>
            <w:tcW w:w="1701" w:type="dxa"/>
            <w:shd w:val="clear" w:color="auto" w:fill="auto"/>
          </w:tcPr>
          <w:p w14:paraId="5EAA2D91" w14:textId="77777777" w:rsidR="00201043" w:rsidRPr="00100288" w:rsidRDefault="00201043" w:rsidP="00201043">
            <w:pPr>
              <w:pStyle w:val="A-TableText"/>
              <w:spacing w:line="240" w:lineRule="auto"/>
              <w:jc w:val="center"/>
              <w:rPr>
                <w:bCs/>
                <w:sz w:val="18"/>
                <w:szCs w:val="18"/>
              </w:rPr>
            </w:pPr>
            <w:r w:rsidRPr="00100288">
              <w:rPr>
                <w:bCs/>
                <w:sz w:val="18"/>
                <w:szCs w:val="18"/>
              </w:rPr>
              <w:t>489/3985</w:t>
            </w:r>
            <w:r>
              <w:rPr>
                <w:bCs/>
                <w:sz w:val="18"/>
                <w:szCs w:val="18"/>
              </w:rPr>
              <w:br/>
            </w:r>
            <w:r w:rsidRPr="00100288">
              <w:rPr>
                <w:bCs/>
                <w:sz w:val="18"/>
                <w:szCs w:val="18"/>
              </w:rPr>
              <w:t>(12.3%)</w:t>
            </w:r>
          </w:p>
        </w:tc>
      </w:tr>
      <w:tr w:rsidR="00201043" w:rsidRPr="00100288" w14:paraId="0C3C7D9A" w14:textId="77777777" w:rsidTr="00201043">
        <w:trPr>
          <w:cantSplit/>
        </w:trPr>
        <w:tc>
          <w:tcPr>
            <w:tcW w:w="1843" w:type="dxa"/>
            <w:shd w:val="clear" w:color="auto" w:fill="auto"/>
          </w:tcPr>
          <w:p w14:paraId="25E88B50" w14:textId="77777777" w:rsidR="00201043" w:rsidRPr="00100288" w:rsidRDefault="00201043" w:rsidP="00100288">
            <w:pPr>
              <w:pStyle w:val="A-TableText"/>
              <w:spacing w:line="240" w:lineRule="auto"/>
              <w:rPr>
                <w:sz w:val="18"/>
                <w:szCs w:val="18"/>
              </w:rPr>
            </w:pPr>
            <w:proofErr w:type="spellStart"/>
            <w:r w:rsidRPr="00100288">
              <w:rPr>
                <w:sz w:val="18"/>
                <w:szCs w:val="18"/>
              </w:rPr>
              <w:t>Pyrexia</w:t>
            </w:r>
            <w:r>
              <w:rPr>
                <w:sz w:val="18"/>
                <w:szCs w:val="18"/>
                <w:vertAlign w:val="superscript"/>
              </w:rPr>
              <w:t>d</w:t>
            </w:r>
            <w:proofErr w:type="spellEnd"/>
          </w:p>
        </w:tc>
        <w:tc>
          <w:tcPr>
            <w:tcW w:w="2093" w:type="dxa"/>
            <w:tcBorders>
              <w:right w:val="single" w:sz="2" w:space="0" w:color="auto"/>
            </w:tcBorders>
          </w:tcPr>
          <w:p w14:paraId="65353C46" w14:textId="77777777" w:rsidR="00201043" w:rsidRPr="008B4B7A" w:rsidRDefault="00201043" w:rsidP="00396CC2">
            <w:pPr>
              <w:pStyle w:val="A-TableText"/>
              <w:spacing w:line="240" w:lineRule="auto"/>
              <w:rPr>
                <w:i/>
                <w:sz w:val="18"/>
                <w:szCs w:val="18"/>
              </w:rPr>
            </w:pPr>
            <w:r w:rsidRPr="008B4B7A">
              <w:rPr>
                <w:i/>
                <w:sz w:val="18"/>
                <w:szCs w:val="18"/>
              </w:rPr>
              <w:t>General disorders &amp; administration site conditions</w:t>
            </w:r>
          </w:p>
        </w:tc>
        <w:tc>
          <w:tcPr>
            <w:tcW w:w="1134" w:type="dxa"/>
            <w:tcBorders>
              <w:left w:val="single" w:sz="2" w:space="0" w:color="auto"/>
            </w:tcBorders>
          </w:tcPr>
          <w:p w14:paraId="46563CD2" w14:textId="77777777" w:rsidR="00201043" w:rsidRPr="00100288" w:rsidRDefault="00201043" w:rsidP="00100288">
            <w:pPr>
              <w:pStyle w:val="A-TableText"/>
              <w:spacing w:line="240" w:lineRule="auto"/>
              <w:jc w:val="center"/>
              <w:rPr>
                <w:bCs/>
                <w:sz w:val="18"/>
                <w:szCs w:val="18"/>
              </w:rPr>
            </w:pPr>
            <w:r w:rsidRPr="00100288">
              <w:rPr>
                <w:bCs/>
                <w:sz w:val="18"/>
                <w:szCs w:val="18"/>
              </w:rPr>
              <w:t>361/3229</w:t>
            </w:r>
            <w:r>
              <w:rPr>
                <w:bCs/>
                <w:sz w:val="18"/>
                <w:szCs w:val="18"/>
              </w:rPr>
              <w:br/>
            </w:r>
            <w:r w:rsidRPr="00100288">
              <w:rPr>
                <w:bCs/>
                <w:sz w:val="18"/>
                <w:szCs w:val="18"/>
              </w:rPr>
              <w:t>(11.2%)</w:t>
            </w:r>
          </w:p>
        </w:tc>
        <w:tc>
          <w:tcPr>
            <w:tcW w:w="1134" w:type="dxa"/>
            <w:tcBorders>
              <w:right w:val="single" w:sz="2" w:space="0" w:color="auto"/>
            </w:tcBorders>
            <w:shd w:val="clear" w:color="auto" w:fill="auto"/>
          </w:tcPr>
          <w:p w14:paraId="756813A3" w14:textId="77777777" w:rsidR="00201043" w:rsidRPr="00100288" w:rsidRDefault="00201043" w:rsidP="00100288">
            <w:pPr>
              <w:pStyle w:val="A-TableText"/>
              <w:spacing w:line="240" w:lineRule="auto"/>
              <w:jc w:val="center"/>
              <w:rPr>
                <w:bCs/>
                <w:sz w:val="18"/>
                <w:szCs w:val="18"/>
              </w:rPr>
            </w:pPr>
            <w:r w:rsidRPr="00100288">
              <w:rPr>
                <w:bCs/>
                <w:sz w:val="18"/>
                <w:szCs w:val="18"/>
              </w:rPr>
              <w:t>191/1979</w:t>
            </w:r>
            <w:r>
              <w:rPr>
                <w:bCs/>
                <w:sz w:val="18"/>
                <w:szCs w:val="18"/>
              </w:rPr>
              <w:br/>
            </w:r>
            <w:r w:rsidRPr="00100288">
              <w:rPr>
                <w:bCs/>
                <w:sz w:val="18"/>
                <w:szCs w:val="18"/>
              </w:rPr>
              <w:t xml:space="preserve"> (9.7%)</w:t>
            </w:r>
          </w:p>
        </w:tc>
        <w:tc>
          <w:tcPr>
            <w:tcW w:w="1134" w:type="dxa"/>
            <w:tcBorders>
              <w:left w:val="single" w:sz="2" w:space="0" w:color="auto"/>
            </w:tcBorders>
            <w:shd w:val="clear" w:color="auto" w:fill="auto"/>
          </w:tcPr>
          <w:p w14:paraId="34C63BC4" w14:textId="77777777" w:rsidR="00201043" w:rsidRPr="00100288" w:rsidRDefault="00201043" w:rsidP="00201043">
            <w:pPr>
              <w:pStyle w:val="A-TableText"/>
              <w:spacing w:line="240" w:lineRule="auto"/>
              <w:jc w:val="center"/>
              <w:rPr>
                <w:bCs/>
                <w:sz w:val="18"/>
                <w:szCs w:val="18"/>
              </w:rPr>
            </w:pPr>
            <w:r w:rsidRPr="00100288">
              <w:rPr>
                <w:bCs/>
                <w:sz w:val="18"/>
                <w:szCs w:val="18"/>
              </w:rPr>
              <w:t>379/4073</w:t>
            </w:r>
            <w:r>
              <w:rPr>
                <w:bCs/>
                <w:sz w:val="18"/>
                <w:szCs w:val="18"/>
              </w:rPr>
              <w:br/>
            </w:r>
            <w:r w:rsidRPr="00100288">
              <w:rPr>
                <w:bCs/>
                <w:sz w:val="18"/>
                <w:szCs w:val="18"/>
              </w:rPr>
              <w:t>(9.3%)</w:t>
            </w:r>
          </w:p>
        </w:tc>
        <w:tc>
          <w:tcPr>
            <w:tcW w:w="1701" w:type="dxa"/>
            <w:shd w:val="clear" w:color="auto" w:fill="auto"/>
          </w:tcPr>
          <w:p w14:paraId="33EFA93E" w14:textId="77777777" w:rsidR="00201043" w:rsidRPr="00100288" w:rsidRDefault="00201043" w:rsidP="00201043">
            <w:pPr>
              <w:pStyle w:val="A-TableText"/>
              <w:spacing w:line="240" w:lineRule="auto"/>
              <w:jc w:val="center"/>
              <w:rPr>
                <w:bCs/>
                <w:sz w:val="18"/>
                <w:szCs w:val="18"/>
              </w:rPr>
            </w:pPr>
            <w:r w:rsidRPr="00100288">
              <w:rPr>
                <w:bCs/>
                <w:sz w:val="18"/>
                <w:szCs w:val="18"/>
              </w:rPr>
              <w:t>350/4082</w:t>
            </w:r>
            <w:r>
              <w:rPr>
                <w:bCs/>
                <w:sz w:val="18"/>
                <w:szCs w:val="18"/>
              </w:rPr>
              <w:br/>
            </w:r>
            <w:r w:rsidRPr="00100288">
              <w:rPr>
                <w:bCs/>
                <w:sz w:val="18"/>
                <w:szCs w:val="18"/>
              </w:rPr>
              <w:t>(8.6%)</w:t>
            </w:r>
          </w:p>
        </w:tc>
      </w:tr>
      <w:tr w:rsidR="00201043" w:rsidRPr="00100288" w14:paraId="70BDCBC2" w14:textId="77777777" w:rsidTr="00201043">
        <w:trPr>
          <w:cantSplit/>
        </w:trPr>
        <w:tc>
          <w:tcPr>
            <w:tcW w:w="1843" w:type="dxa"/>
            <w:tcBorders>
              <w:bottom w:val="single" w:sz="12" w:space="0" w:color="auto"/>
            </w:tcBorders>
            <w:shd w:val="clear" w:color="auto" w:fill="auto"/>
          </w:tcPr>
          <w:p w14:paraId="07AB3AC4" w14:textId="77777777" w:rsidR="00201043" w:rsidRPr="00201043" w:rsidRDefault="00201043" w:rsidP="00100288">
            <w:pPr>
              <w:pStyle w:val="A-TableText"/>
              <w:spacing w:line="240" w:lineRule="auto"/>
              <w:rPr>
                <w:sz w:val="18"/>
                <w:szCs w:val="18"/>
              </w:rPr>
            </w:pPr>
            <w:r w:rsidRPr="00201043">
              <w:rPr>
                <w:sz w:val="18"/>
                <w:szCs w:val="18"/>
              </w:rPr>
              <w:t>Myalgia</w:t>
            </w:r>
          </w:p>
        </w:tc>
        <w:tc>
          <w:tcPr>
            <w:tcW w:w="2093" w:type="dxa"/>
            <w:tcBorders>
              <w:bottom w:val="single" w:sz="12" w:space="0" w:color="auto"/>
              <w:right w:val="single" w:sz="2" w:space="0" w:color="auto"/>
            </w:tcBorders>
          </w:tcPr>
          <w:p w14:paraId="4EFA1F0F" w14:textId="77777777" w:rsidR="00201043" w:rsidRPr="00201043" w:rsidRDefault="00201043" w:rsidP="00396CC2">
            <w:pPr>
              <w:pStyle w:val="A-TableText"/>
              <w:spacing w:line="240" w:lineRule="auto"/>
              <w:rPr>
                <w:i/>
                <w:sz w:val="18"/>
                <w:szCs w:val="18"/>
              </w:rPr>
            </w:pPr>
            <w:r w:rsidRPr="00201043">
              <w:rPr>
                <w:i/>
                <w:sz w:val="18"/>
                <w:szCs w:val="18"/>
              </w:rPr>
              <w:t>Musculoskeletal &amp; connective tissue disorders</w:t>
            </w:r>
          </w:p>
        </w:tc>
        <w:tc>
          <w:tcPr>
            <w:tcW w:w="1134" w:type="dxa"/>
            <w:tcBorders>
              <w:left w:val="single" w:sz="2" w:space="0" w:color="auto"/>
              <w:bottom w:val="single" w:sz="12" w:space="0" w:color="auto"/>
            </w:tcBorders>
          </w:tcPr>
          <w:p w14:paraId="6C866294" w14:textId="77777777" w:rsidR="00201043" w:rsidRPr="00201043" w:rsidDel="00FA1750" w:rsidRDefault="00201043" w:rsidP="00100288">
            <w:pPr>
              <w:pStyle w:val="A-TableText"/>
              <w:spacing w:line="240" w:lineRule="auto"/>
              <w:jc w:val="center"/>
              <w:rPr>
                <w:bCs/>
                <w:sz w:val="18"/>
                <w:szCs w:val="18"/>
              </w:rPr>
            </w:pPr>
            <w:r w:rsidRPr="00201043">
              <w:rPr>
                <w:bCs/>
                <w:sz w:val="18"/>
                <w:szCs w:val="18"/>
              </w:rPr>
              <w:t>21/259</w:t>
            </w:r>
            <w:r w:rsidRPr="00201043">
              <w:rPr>
                <w:bCs/>
                <w:sz w:val="18"/>
                <w:szCs w:val="18"/>
              </w:rPr>
              <w:br/>
              <w:t>(8.1%)</w:t>
            </w:r>
          </w:p>
        </w:tc>
        <w:tc>
          <w:tcPr>
            <w:tcW w:w="1134" w:type="dxa"/>
            <w:tcBorders>
              <w:bottom w:val="single" w:sz="12" w:space="0" w:color="auto"/>
              <w:right w:val="single" w:sz="2" w:space="0" w:color="auto"/>
            </w:tcBorders>
            <w:shd w:val="clear" w:color="auto" w:fill="auto"/>
          </w:tcPr>
          <w:p w14:paraId="7A80C9B0" w14:textId="77777777" w:rsidR="00201043" w:rsidRPr="00201043" w:rsidDel="00FA1750" w:rsidRDefault="00201043" w:rsidP="00100288">
            <w:pPr>
              <w:pStyle w:val="A-TableText"/>
              <w:spacing w:line="240" w:lineRule="auto"/>
              <w:jc w:val="center"/>
              <w:rPr>
                <w:bCs/>
                <w:sz w:val="18"/>
                <w:szCs w:val="18"/>
              </w:rPr>
            </w:pPr>
            <w:r w:rsidRPr="00201043">
              <w:rPr>
                <w:bCs/>
                <w:sz w:val="18"/>
                <w:szCs w:val="18"/>
              </w:rPr>
              <w:t>10/191</w:t>
            </w:r>
            <w:r w:rsidRPr="00201043">
              <w:rPr>
                <w:bCs/>
                <w:sz w:val="18"/>
                <w:szCs w:val="18"/>
              </w:rPr>
              <w:br/>
              <w:t>(5.2%)</w:t>
            </w:r>
          </w:p>
        </w:tc>
        <w:tc>
          <w:tcPr>
            <w:tcW w:w="1134" w:type="dxa"/>
            <w:tcBorders>
              <w:left w:val="single" w:sz="2" w:space="0" w:color="auto"/>
              <w:bottom w:val="single" w:sz="12" w:space="0" w:color="auto"/>
            </w:tcBorders>
            <w:shd w:val="clear" w:color="auto" w:fill="auto"/>
          </w:tcPr>
          <w:p w14:paraId="39C663F1" w14:textId="77777777" w:rsidR="00201043" w:rsidRPr="00201043" w:rsidRDefault="00201043" w:rsidP="00201043">
            <w:pPr>
              <w:pStyle w:val="A-TableText"/>
              <w:spacing w:line="240" w:lineRule="auto"/>
              <w:jc w:val="center"/>
              <w:rPr>
                <w:bCs/>
                <w:sz w:val="18"/>
                <w:szCs w:val="18"/>
              </w:rPr>
            </w:pPr>
            <w:r w:rsidRPr="00201043">
              <w:rPr>
                <w:bCs/>
                <w:sz w:val="18"/>
                <w:szCs w:val="18"/>
              </w:rPr>
              <w:t>226/3931</w:t>
            </w:r>
            <w:r>
              <w:rPr>
                <w:bCs/>
                <w:sz w:val="18"/>
                <w:szCs w:val="18"/>
              </w:rPr>
              <w:br/>
            </w:r>
            <w:r w:rsidRPr="00201043">
              <w:rPr>
                <w:bCs/>
                <w:sz w:val="18"/>
                <w:szCs w:val="18"/>
              </w:rPr>
              <w:t>(5.7%)</w:t>
            </w:r>
          </w:p>
        </w:tc>
        <w:tc>
          <w:tcPr>
            <w:tcW w:w="1701" w:type="dxa"/>
            <w:tcBorders>
              <w:bottom w:val="single" w:sz="12" w:space="0" w:color="auto"/>
            </w:tcBorders>
            <w:shd w:val="clear" w:color="auto" w:fill="auto"/>
          </w:tcPr>
          <w:p w14:paraId="0AF4E9E6" w14:textId="77777777" w:rsidR="00201043" w:rsidRPr="00100288" w:rsidRDefault="00201043" w:rsidP="00201043">
            <w:pPr>
              <w:pStyle w:val="A-TableText"/>
              <w:spacing w:line="240" w:lineRule="auto"/>
              <w:jc w:val="center"/>
              <w:rPr>
                <w:bCs/>
                <w:sz w:val="18"/>
                <w:szCs w:val="18"/>
              </w:rPr>
            </w:pPr>
            <w:r w:rsidRPr="00201043">
              <w:rPr>
                <w:bCs/>
                <w:sz w:val="18"/>
                <w:szCs w:val="18"/>
              </w:rPr>
              <w:t>275/3983</w:t>
            </w:r>
            <w:r>
              <w:rPr>
                <w:bCs/>
                <w:sz w:val="18"/>
                <w:szCs w:val="18"/>
              </w:rPr>
              <w:br/>
            </w:r>
            <w:r w:rsidRPr="00201043">
              <w:rPr>
                <w:bCs/>
                <w:sz w:val="18"/>
                <w:szCs w:val="18"/>
              </w:rPr>
              <w:t>(6.9%)</w:t>
            </w:r>
          </w:p>
        </w:tc>
      </w:tr>
    </w:tbl>
    <w:p w14:paraId="3C3EBBF3" w14:textId="77777777" w:rsidR="008B4B7A" w:rsidRPr="00201043" w:rsidRDefault="008B4B7A" w:rsidP="008B4B7A">
      <w:pPr>
        <w:pStyle w:val="A-TableFootnoteText"/>
        <w:rPr>
          <w:sz w:val="16"/>
          <w:szCs w:val="16"/>
        </w:rPr>
      </w:pPr>
      <w:r w:rsidRPr="00201043">
        <w:rPr>
          <w:sz w:val="16"/>
          <w:szCs w:val="16"/>
        </w:rPr>
        <w:t>N - Number of subjects evaluated for the specific solicited event</w:t>
      </w:r>
    </w:p>
    <w:p w14:paraId="46F30114" w14:textId="77777777" w:rsidR="00B74ECF" w:rsidRDefault="00266481" w:rsidP="00266481">
      <w:pPr>
        <w:pStyle w:val="A-TableFootnoteText"/>
        <w:rPr>
          <w:sz w:val="16"/>
          <w:szCs w:val="16"/>
        </w:rPr>
      </w:pPr>
      <w:proofErr w:type="spellStart"/>
      <w:proofErr w:type="gramStart"/>
      <w:r w:rsidRPr="00100288">
        <w:rPr>
          <w:sz w:val="16"/>
          <w:szCs w:val="16"/>
          <w:vertAlign w:val="superscript"/>
        </w:rPr>
        <w:t>a</w:t>
      </w:r>
      <w:proofErr w:type="spellEnd"/>
      <w:proofErr w:type="gramEnd"/>
      <w:r w:rsidRPr="00100288">
        <w:rPr>
          <w:sz w:val="16"/>
          <w:szCs w:val="16"/>
        </w:rPr>
        <w:tab/>
        <w:t>Includes Studies D153-P002, D153-P501 (Year 1), D153-P502 (Year 1), D153-P504 (Year 1), D153-P511, D153-P513 and D153-P526. Follow-up time for Study D153-P526 was Days 0-6 post dose</w:t>
      </w:r>
    </w:p>
    <w:p w14:paraId="6F059011" w14:textId="737D3175" w:rsidR="00266481" w:rsidRPr="00100288" w:rsidRDefault="00B74ECF" w:rsidP="00266481">
      <w:pPr>
        <w:pStyle w:val="A-TableFootnoteText"/>
        <w:rPr>
          <w:sz w:val="16"/>
          <w:szCs w:val="16"/>
        </w:rPr>
      </w:pPr>
      <w:r>
        <w:rPr>
          <w:sz w:val="16"/>
          <w:szCs w:val="16"/>
        </w:rPr>
        <w:t xml:space="preserve"> </w:t>
      </w:r>
      <w:proofErr w:type="gramStart"/>
      <w:r w:rsidR="00266481" w:rsidRPr="00100288">
        <w:rPr>
          <w:sz w:val="16"/>
          <w:szCs w:val="16"/>
          <w:vertAlign w:val="superscript"/>
        </w:rPr>
        <w:t>b</w:t>
      </w:r>
      <w:proofErr w:type="gramEnd"/>
      <w:r w:rsidR="00266481" w:rsidRPr="00100288">
        <w:rPr>
          <w:sz w:val="16"/>
          <w:szCs w:val="16"/>
        </w:rPr>
        <w:tab/>
        <w:t>Includes Studies MI-CP111, D153-P002, D153-P514 and D153-P515</w:t>
      </w:r>
    </w:p>
    <w:p w14:paraId="4374D316" w14:textId="77777777" w:rsidR="00266481" w:rsidRPr="00100288" w:rsidRDefault="00266481" w:rsidP="00266481">
      <w:pPr>
        <w:pStyle w:val="A-TableFootnoteText"/>
        <w:rPr>
          <w:sz w:val="16"/>
          <w:szCs w:val="16"/>
        </w:rPr>
      </w:pPr>
      <w:proofErr w:type="gramStart"/>
      <w:r w:rsidRPr="00100288">
        <w:rPr>
          <w:sz w:val="16"/>
          <w:szCs w:val="16"/>
          <w:vertAlign w:val="superscript"/>
        </w:rPr>
        <w:t>c</w:t>
      </w:r>
      <w:proofErr w:type="gramEnd"/>
      <w:r w:rsidRPr="00100288">
        <w:rPr>
          <w:sz w:val="16"/>
          <w:szCs w:val="16"/>
        </w:rPr>
        <w:tab/>
      </w:r>
      <w:proofErr w:type="spellStart"/>
      <w:r w:rsidRPr="00100288">
        <w:rPr>
          <w:sz w:val="16"/>
          <w:szCs w:val="16"/>
        </w:rPr>
        <w:t>MedDRA</w:t>
      </w:r>
      <w:proofErr w:type="spellEnd"/>
      <w:r w:rsidRPr="00100288">
        <w:rPr>
          <w:sz w:val="16"/>
          <w:szCs w:val="16"/>
        </w:rPr>
        <w:t xml:space="preserve"> v 8.0</w:t>
      </w:r>
    </w:p>
    <w:p w14:paraId="73D2D705" w14:textId="2AD48C1B" w:rsidR="00266481" w:rsidRDefault="003F5F06" w:rsidP="00266481">
      <w:pPr>
        <w:pStyle w:val="A-TableFootnoteText"/>
        <w:rPr>
          <w:sz w:val="16"/>
          <w:szCs w:val="16"/>
        </w:rPr>
      </w:pPr>
      <w:proofErr w:type="gramStart"/>
      <w:r>
        <w:rPr>
          <w:sz w:val="16"/>
          <w:szCs w:val="16"/>
          <w:vertAlign w:val="superscript"/>
        </w:rPr>
        <w:t>d</w:t>
      </w:r>
      <w:proofErr w:type="gramEnd"/>
      <w:r w:rsidR="00266481" w:rsidRPr="00100288">
        <w:rPr>
          <w:sz w:val="16"/>
          <w:szCs w:val="16"/>
        </w:rPr>
        <w:tab/>
        <w:t xml:space="preserve">Pyrexia collected as a solicited event did not occur at a 2% higher rate compared with placebo. Pyrexia did occur at a 2% higher rate compared with placebo based on a pooled analysis of adverse events of the same placebo-controlled studies (9.6% trivalent version of </w:t>
      </w:r>
      <w:proofErr w:type="spellStart"/>
      <w:r w:rsidR="00095EAF" w:rsidRPr="00100288">
        <w:rPr>
          <w:sz w:val="16"/>
          <w:szCs w:val="16"/>
        </w:rPr>
        <w:t>FluMist</w:t>
      </w:r>
      <w:proofErr w:type="spellEnd"/>
      <w:r w:rsidR="00095EAF" w:rsidRPr="00100288">
        <w:rPr>
          <w:sz w:val="16"/>
          <w:szCs w:val="16"/>
        </w:rPr>
        <w:t xml:space="preserve"> </w:t>
      </w:r>
      <w:r w:rsidR="00266481" w:rsidRPr="00100288">
        <w:rPr>
          <w:sz w:val="16"/>
          <w:szCs w:val="16"/>
        </w:rPr>
        <w:t>versus 7.5% placebo)</w:t>
      </w:r>
    </w:p>
    <w:p w14:paraId="7E9BA3B7" w14:textId="3DA7C332" w:rsidR="0050789B" w:rsidRPr="00296AB3" w:rsidRDefault="00E632E3" w:rsidP="00794EB8">
      <w:pPr>
        <w:rPr>
          <w:sz w:val="16"/>
          <w:szCs w:val="16"/>
        </w:rPr>
      </w:pPr>
      <w:r w:rsidRPr="00116DE3">
        <w:t>In an active-controlled clinical study (MI-CP111</w:t>
      </w:r>
      <w:r w:rsidR="00CF7A72" w:rsidRPr="00116DE3">
        <w:t xml:space="preserve">; </w:t>
      </w:r>
      <w:proofErr w:type="spellStart"/>
      <w:r w:rsidR="00CF7A72" w:rsidRPr="00116DE3">
        <w:t>Belshe</w:t>
      </w:r>
      <w:proofErr w:type="spellEnd"/>
      <w:r w:rsidR="00CF7A72" w:rsidRPr="00116DE3">
        <w:t xml:space="preserve"> et al 2007</w:t>
      </w:r>
      <w:r w:rsidRPr="00116DE3">
        <w:t>), an increased</w:t>
      </w:r>
      <w:r w:rsidRPr="0035240D">
        <w:t xml:space="preserve"> rate of </w:t>
      </w:r>
      <w:r w:rsidR="008B4B7A" w:rsidRPr="0035240D">
        <w:t>hospitalisations (for any cause) through 180 </w:t>
      </w:r>
      <w:r w:rsidRPr="0035240D">
        <w:t>days after final vaccination dos</w:t>
      </w:r>
      <w:r w:rsidR="002708E8" w:rsidRPr="0035240D">
        <w:t>e was observed in children 6-11 </w:t>
      </w:r>
      <w:r w:rsidRPr="0035240D">
        <w:t xml:space="preserve">months of age [6.1% (42/684) trivalent version of </w:t>
      </w:r>
      <w:proofErr w:type="spellStart"/>
      <w:r w:rsidR="00095EAF" w:rsidRPr="0035240D">
        <w:t>FluMist</w:t>
      </w:r>
      <w:proofErr w:type="spellEnd"/>
      <w:r w:rsidR="00095EAF" w:rsidRPr="0035240D">
        <w:t xml:space="preserve"> </w:t>
      </w:r>
      <w:r w:rsidRPr="0035240D">
        <w:t>versus 2.6% (18/683) injectable influenza vaccine].</w:t>
      </w:r>
      <w:r w:rsidR="00B74ECF">
        <w:t xml:space="preserve"> </w:t>
      </w:r>
      <w:r w:rsidRPr="000B5A24">
        <w:t xml:space="preserve">The rate of </w:t>
      </w:r>
      <w:r w:rsidR="008B4B7A" w:rsidRPr="000B5A24">
        <w:t>hospitalisations</w:t>
      </w:r>
      <w:r w:rsidRPr="000B5A24">
        <w:t xml:space="preserve"> was not increased in</w:t>
      </w:r>
      <w:r w:rsidR="002700F8" w:rsidRPr="000B5A24">
        <w:t xml:space="preserve"> trivalent version of </w:t>
      </w:r>
      <w:proofErr w:type="spellStart"/>
      <w:r w:rsidR="00095EAF" w:rsidRPr="000B5A24">
        <w:t>FluMist</w:t>
      </w:r>
      <w:proofErr w:type="spellEnd"/>
      <w:r w:rsidR="00095EAF" w:rsidRPr="000B5A24">
        <w:t xml:space="preserve"> </w:t>
      </w:r>
      <w:r w:rsidR="000B5A24" w:rsidRPr="000B5A24">
        <w:t>recipients 12</w:t>
      </w:r>
      <w:r w:rsidR="000B5A24">
        <w:t> </w:t>
      </w:r>
      <w:r w:rsidR="000B5A24" w:rsidRPr="000B5A24">
        <w:t>months and older.</w:t>
      </w:r>
      <w:r w:rsidR="00B74ECF">
        <w:t xml:space="preserve"> </w:t>
      </w:r>
      <w:r w:rsidR="000B5A24" w:rsidRPr="000B5A24">
        <w:t xml:space="preserve">In the same study </w:t>
      </w:r>
      <w:r w:rsidR="000B5A24">
        <w:t>an increased rate of wheezing t</w:t>
      </w:r>
      <w:r w:rsidR="000B5A24" w:rsidRPr="000B5A24">
        <w:t>h</w:t>
      </w:r>
      <w:r w:rsidR="000B5A24">
        <w:t>r</w:t>
      </w:r>
      <w:r w:rsidR="000B5A24" w:rsidRPr="000B5A24">
        <w:t>ough 42</w:t>
      </w:r>
      <w:r w:rsidR="000B5A24">
        <w:t> </w:t>
      </w:r>
      <w:r w:rsidR="000B5A24" w:rsidRPr="000B5A24">
        <w:t xml:space="preserve">days </w:t>
      </w:r>
      <w:r w:rsidR="002708E8" w:rsidRPr="000B5A24">
        <w:t>was observed in children 6</w:t>
      </w:r>
      <w:r w:rsidR="002708E8" w:rsidRPr="000B5A24">
        <w:noBreakHyphen/>
        <w:t>23 </w:t>
      </w:r>
      <w:r w:rsidRPr="000B5A24">
        <w:t xml:space="preserve">months of age [5.9% (117/1992) trivalent version of </w:t>
      </w:r>
      <w:proofErr w:type="spellStart"/>
      <w:r w:rsidR="00095EAF" w:rsidRPr="000B5A24">
        <w:t>FluMist</w:t>
      </w:r>
      <w:proofErr w:type="spellEnd"/>
      <w:r w:rsidR="00095EAF" w:rsidRPr="000B5A24">
        <w:t xml:space="preserve"> </w:t>
      </w:r>
      <w:r w:rsidRPr="000B5A24">
        <w:t>versus 3.8% (75/1975) injectable influenza vaccine].</w:t>
      </w:r>
      <w:r w:rsidRPr="0035240D">
        <w:t xml:space="preserve"> The rate of wheezing was not increased in</w:t>
      </w:r>
      <w:r w:rsidR="002700F8" w:rsidRPr="0035240D">
        <w:t xml:space="preserve"> </w:t>
      </w:r>
      <w:r w:rsidRPr="0035240D">
        <w:t xml:space="preserve">trivalent version of </w:t>
      </w:r>
      <w:proofErr w:type="spellStart"/>
      <w:r w:rsidR="00095EAF" w:rsidRPr="0035240D">
        <w:t>FluMist</w:t>
      </w:r>
      <w:proofErr w:type="spellEnd"/>
      <w:r w:rsidR="00095EAF" w:rsidRPr="0035240D">
        <w:t xml:space="preserve"> </w:t>
      </w:r>
      <w:r w:rsidRPr="0035240D">
        <w:t>recipients 24</w:t>
      </w:r>
      <w:r w:rsidR="002708E8" w:rsidRPr="0035240D">
        <w:t> </w:t>
      </w:r>
      <w:r w:rsidRPr="0035240D">
        <w:t>months and older.</w:t>
      </w:r>
      <w:r w:rsidR="00B74ECF">
        <w:t xml:space="preserve"> </w:t>
      </w:r>
      <w:proofErr w:type="spellStart"/>
      <w:r w:rsidR="00095EAF" w:rsidRPr="0035240D">
        <w:t>FluMist</w:t>
      </w:r>
      <w:proofErr w:type="spellEnd"/>
      <w:r w:rsidR="00095EAF" w:rsidRPr="0035240D">
        <w:t xml:space="preserve"> </w:t>
      </w:r>
      <w:proofErr w:type="spellStart"/>
      <w:r w:rsidR="00095EAF" w:rsidRPr="0035240D">
        <w:t>Quadrivalent</w:t>
      </w:r>
      <w:proofErr w:type="spellEnd"/>
      <w:r w:rsidRPr="0035240D">
        <w:t xml:space="preserve"> </w:t>
      </w:r>
      <w:r w:rsidRPr="000B5A24">
        <w:t xml:space="preserve">is not </w:t>
      </w:r>
      <w:r w:rsidR="000B5A24" w:rsidRPr="000B5A24">
        <w:t xml:space="preserve">recommended </w:t>
      </w:r>
      <w:r w:rsidRPr="000B5A24">
        <w:t>for use in children younger than 24</w:t>
      </w:r>
      <w:r w:rsidR="002708E8" w:rsidRPr="000B5A24">
        <w:t> </w:t>
      </w:r>
      <w:r w:rsidRPr="000B5A24">
        <w:t>months</w:t>
      </w:r>
      <w:r w:rsidR="000B5A24" w:rsidRPr="000B5A24">
        <w:t>, and should not be used in children younger than 12 month</w:t>
      </w:r>
      <w:r w:rsidR="001D4630">
        <w:t>s</w:t>
      </w:r>
      <w:r w:rsidRPr="000B5A24">
        <w:t xml:space="preserve"> (see </w:t>
      </w:r>
      <w:r w:rsidR="008B4B7A" w:rsidRPr="000B5A24">
        <w:rPr>
          <w:i/>
        </w:rPr>
        <w:t>Precautions</w:t>
      </w:r>
      <w:r w:rsidRPr="000B5A24">
        <w:t>).</w:t>
      </w:r>
    </w:p>
    <w:p w14:paraId="78E3E264" w14:textId="77777777" w:rsidR="003265B4" w:rsidRDefault="002700F8" w:rsidP="003265B4">
      <w:pPr>
        <w:pStyle w:val="A-Heading2"/>
      </w:pPr>
      <w:r>
        <w:t>Post marketing experience</w:t>
      </w:r>
    </w:p>
    <w:p w14:paraId="5970FF27" w14:textId="3527C272" w:rsidR="003265B4" w:rsidRDefault="002700F8" w:rsidP="003265B4">
      <w:r>
        <w:t>The following adverse reactions have been identified during post</w:t>
      </w:r>
      <w:r w:rsidR="00095EAF">
        <w:t>-</w:t>
      </w:r>
      <w:r>
        <w:t xml:space="preserve">approval use of </w:t>
      </w:r>
      <w:proofErr w:type="spellStart"/>
      <w:r w:rsidR="00095EAF">
        <w:t>FluMist</w:t>
      </w:r>
      <w:proofErr w:type="spellEnd"/>
      <w:r w:rsidR="00095EAF">
        <w:t xml:space="preserve"> </w:t>
      </w:r>
      <w:proofErr w:type="spellStart"/>
      <w:r w:rsidR="00095EAF">
        <w:t>Quadrivalent</w:t>
      </w:r>
      <w:proofErr w:type="spellEnd"/>
      <w:r>
        <w:t xml:space="preserve"> or trivalent version of </w:t>
      </w:r>
      <w:proofErr w:type="spellStart"/>
      <w:r w:rsidR="00095EAF">
        <w:t>FluMist</w:t>
      </w:r>
      <w:proofErr w:type="spellEnd"/>
      <w:r>
        <w:t>.</w:t>
      </w:r>
      <w:r w:rsidR="00B74ECF">
        <w:t xml:space="preserve"> </w:t>
      </w:r>
      <w:r>
        <w:t xml:space="preserve">Because these reactions are reported voluntarily from a population of uncertain size, </w:t>
      </w:r>
      <w:r w:rsidRPr="00ED4BC1">
        <w:t xml:space="preserve">it is not always possible to </w:t>
      </w:r>
      <w:r w:rsidRPr="00ED4BC1">
        <w:lastRenderedPageBreak/>
        <w:t>reliably estimate their frequency o</w:t>
      </w:r>
      <w:r>
        <w:t>r establish a causal relationship to vaccine exposure.</w:t>
      </w:r>
    </w:p>
    <w:tbl>
      <w:tblPr>
        <w:tblW w:w="0" w:type="auto"/>
        <w:tblLayout w:type="fixed"/>
        <w:tblLook w:val="0000" w:firstRow="0" w:lastRow="0" w:firstColumn="0" w:lastColumn="0" w:noHBand="0" w:noVBand="0"/>
        <w:tblDescription w:val="This table list the post market experiences by system organ class and events."/>
      </w:tblPr>
      <w:tblGrid>
        <w:gridCol w:w="3936"/>
        <w:gridCol w:w="5070"/>
      </w:tblGrid>
      <w:tr w:rsidR="00201043" w14:paraId="4A5996E2" w14:textId="77777777" w:rsidTr="00781D90">
        <w:trPr>
          <w:cantSplit/>
          <w:tblHeader/>
        </w:trPr>
        <w:tc>
          <w:tcPr>
            <w:tcW w:w="3936" w:type="dxa"/>
            <w:tcBorders>
              <w:top w:val="single" w:sz="12" w:space="0" w:color="auto"/>
              <w:bottom w:val="single" w:sz="6" w:space="0" w:color="auto"/>
            </w:tcBorders>
            <w:shd w:val="clear" w:color="auto" w:fill="auto"/>
          </w:tcPr>
          <w:p w14:paraId="5EF95980" w14:textId="77777777" w:rsidR="00201043" w:rsidRPr="00201043" w:rsidRDefault="00201043" w:rsidP="00396CC2">
            <w:pPr>
              <w:pStyle w:val="A-TableHeader"/>
            </w:pPr>
            <w:r w:rsidRPr="00201043">
              <w:t>System Organ Class</w:t>
            </w:r>
          </w:p>
        </w:tc>
        <w:tc>
          <w:tcPr>
            <w:tcW w:w="5070" w:type="dxa"/>
            <w:tcBorders>
              <w:top w:val="single" w:sz="12" w:space="0" w:color="auto"/>
              <w:bottom w:val="single" w:sz="6" w:space="0" w:color="auto"/>
            </w:tcBorders>
            <w:shd w:val="clear" w:color="auto" w:fill="auto"/>
          </w:tcPr>
          <w:p w14:paraId="1EEB77A4" w14:textId="77777777" w:rsidR="00201043" w:rsidRPr="00201043" w:rsidRDefault="00201043" w:rsidP="00396CC2">
            <w:pPr>
              <w:pStyle w:val="A-TableHeader"/>
            </w:pPr>
            <w:r w:rsidRPr="00201043">
              <w:t>Event</w:t>
            </w:r>
          </w:p>
        </w:tc>
      </w:tr>
      <w:tr w:rsidR="00201043" w:rsidRPr="00781D90" w14:paraId="25F0CE3F" w14:textId="77777777" w:rsidTr="00781D90">
        <w:trPr>
          <w:cantSplit/>
        </w:trPr>
        <w:tc>
          <w:tcPr>
            <w:tcW w:w="3936" w:type="dxa"/>
            <w:tcBorders>
              <w:top w:val="single" w:sz="6" w:space="0" w:color="auto"/>
            </w:tcBorders>
            <w:shd w:val="clear" w:color="auto" w:fill="auto"/>
          </w:tcPr>
          <w:p w14:paraId="69FE40CE" w14:textId="77777777" w:rsidR="00201043" w:rsidRPr="00781D90" w:rsidRDefault="00201043" w:rsidP="00396CC2">
            <w:pPr>
              <w:pStyle w:val="A-TableText"/>
              <w:rPr>
                <w:i/>
                <w:sz w:val="18"/>
                <w:szCs w:val="18"/>
              </w:rPr>
            </w:pPr>
            <w:r w:rsidRPr="00781D90">
              <w:rPr>
                <w:i/>
                <w:sz w:val="18"/>
                <w:szCs w:val="18"/>
              </w:rPr>
              <w:t>Immune system disorders</w:t>
            </w:r>
          </w:p>
        </w:tc>
        <w:tc>
          <w:tcPr>
            <w:tcW w:w="5070" w:type="dxa"/>
            <w:tcBorders>
              <w:top w:val="single" w:sz="6" w:space="0" w:color="auto"/>
            </w:tcBorders>
            <w:shd w:val="clear" w:color="auto" w:fill="auto"/>
          </w:tcPr>
          <w:p w14:paraId="5A08FD78" w14:textId="77777777" w:rsidR="00201043" w:rsidRPr="00F14706" w:rsidRDefault="00201043" w:rsidP="00396CC2">
            <w:pPr>
              <w:pStyle w:val="A-TableText"/>
              <w:spacing w:line="240" w:lineRule="auto"/>
              <w:rPr>
                <w:sz w:val="18"/>
                <w:szCs w:val="18"/>
              </w:rPr>
            </w:pPr>
            <w:r w:rsidRPr="00F14706">
              <w:rPr>
                <w:sz w:val="18"/>
                <w:szCs w:val="18"/>
              </w:rPr>
              <w:t xml:space="preserve">Hypersensitivity reactions (including anaphylactic reaction, facial oedema &amp; </w:t>
            </w:r>
            <w:proofErr w:type="spellStart"/>
            <w:r w:rsidRPr="00F14706">
              <w:rPr>
                <w:sz w:val="18"/>
                <w:szCs w:val="18"/>
              </w:rPr>
              <w:t>urticaria</w:t>
            </w:r>
            <w:proofErr w:type="spellEnd"/>
            <w:r w:rsidRPr="00F14706">
              <w:rPr>
                <w:sz w:val="18"/>
                <w:szCs w:val="18"/>
              </w:rPr>
              <w:t>)</w:t>
            </w:r>
          </w:p>
        </w:tc>
      </w:tr>
      <w:tr w:rsidR="00201043" w:rsidRPr="00781D90" w14:paraId="0A0AC68E" w14:textId="77777777" w:rsidTr="00781D90">
        <w:trPr>
          <w:cantSplit/>
        </w:trPr>
        <w:tc>
          <w:tcPr>
            <w:tcW w:w="3936" w:type="dxa"/>
            <w:shd w:val="clear" w:color="auto" w:fill="auto"/>
          </w:tcPr>
          <w:p w14:paraId="2224FEB6" w14:textId="77777777" w:rsidR="00201043" w:rsidRPr="00781D90" w:rsidRDefault="00201043" w:rsidP="00396CC2">
            <w:pPr>
              <w:pStyle w:val="A-TableText"/>
              <w:rPr>
                <w:i/>
                <w:sz w:val="18"/>
                <w:szCs w:val="18"/>
              </w:rPr>
            </w:pPr>
            <w:r w:rsidRPr="00781D90">
              <w:rPr>
                <w:i/>
                <w:sz w:val="18"/>
                <w:szCs w:val="18"/>
              </w:rPr>
              <w:t>Nervous system disorders</w:t>
            </w:r>
          </w:p>
        </w:tc>
        <w:tc>
          <w:tcPr>
            <w:tcW w:w="5070" w:type="dxa"/>
            <w:shd w:val="clear" w:color="auto" w:fill="auto"/>
          </w:tcPr>
          <w:p w14:paraId="004C4BF6" w14:textId="77777777" w:rsidR="00201043" w:rsidRPr="00F14706" w:rsidRDefault="00201043" w:rsidP="00396CC2">
            <w:pPr>
              <w:pStyle w:val="A-TableText"/>
              <w:spacing w:line="240" w:lineRule="auto"/>
              <w:rPr>
                <w:sz w:val="18"/>
                <w:szCs w:val="18"/>
              </w:rPr>
            </w:pPr>
            <w:proofErr w:type="spellStart"/>
            <w:r w:rsidRPr="00F14706">
              <w:rPr>
                <w:sz w:val="18"/>
                <w:szCs w:val="18"/>
              </w:rPr>
              <w:t>Guillain-Barré</w:t>
            </w:r>
            <w:proofErr w:type="spellEnd"/>
            <w:r w:rsidRPr="00F14706">
              <w:rPr>
                <w:sz w:val="18"/>
                <w:szCs w:val="18"/>
              </w:rPr>
              <w:t xml:space="preserve"> syndrome</w:t>
            </w:r>
          </w:p>
        </w:tc>
      </w:tr>
      <w:tr w:rsidR="00201043" w:rsidRPr="00781D90" w14:paraId="52FCBCD5" w14:textId="77777777" w:rsidTr="00781D90">
        <w:trPr>
          <w:cantSplit/>
        </w:trPr>
        <w:tc>
          <w:tcPr>
            <w:tcW w:w="3936" w:type="dxa"/>
            <w:shd w:val="clear" w:color="auto" w:fill="auto"/>
          </w:tcPr>
          <w:p w14:paraId="5A6FF32D" w14:textId="77777777" w:rsidR="00201043" w:rsidRPr="00781D90" w:rsidRDefault="00201043" w:rsidP="00396CC2">
            <w:pPr>
              <w:pStyle w:val="A-TableText"/>
              <w:rPr>
                <w:i/>
                <w:sz w:val="18"/>
                <w:szCs w:val="18"/>
              </w:rPr>
            </w:pPr>
            <w:r w:rsidRPr="00781D90">
              <w:rPr>
                <w:i/>
                <w:sz w:val="18"/>
                <w:szCs w:val="18"/>
              </w:rPr>
              <w:t>Respiratory, thoracic &amp; mediastinal disorders</w:t>
            </w:r>
          </w:p>
        </w:tc>
        <w:tc>
          <w:tcPr>
            <w:tcW w:w="5070" w:type="dxa"/>
            <w:shd w:val="clear" w:color="auto" w:fill="auto"/>
          </w:tcPr>
          <w:p w14:paraId="13D0F968" w14:textId="77777777" w:rsidR="00201043" w:rsidRPr="00F14706" w:rsidRDefault="00201043" w:rsidP="00396CC2">
            <w:pPr>
              <w:pStyle w:val="A-TableText"/>
              <w:spacing w:line="240" w:lineRule="auto"/>
              <w:rPr>
                <w:sz w:val="18"/>
                <w:szCs w:val="18"/>
              </w:rPr>
            </w:pPr>
            <w:r w:rsidRPr="00F14706">
              <w:rPr>
                <w:sz w:val="18"/>
                <w:szCs w:val="18"/>
              </w:rPr>
              <w:t>Epistaxis</w:t>
            </w:r>
          </w:p>
        </w:tc>
      </w:tr>
      <w:tr w:rsidR="00201043" w:rsidRPr="00781D90" w14:paraId="137C8F0A" w14:textId="77777777" w:rsidTr="00781D90">
        <w:trPr>
          <w:cantSplit/>
        </w:trPr>
        <w:tc>
          <w:tcPr>
            <w:tcW w:w="3936" w:type="dxa"/>
            <w:shd w:val="clear" w:color="auto" w:fill="auto"/>
          </w:tcPr>
          <w:p w14:paraId="44E51E1B" w14:textId="77777777" w:rsidR="00201043" w:rsidRPr="00781D90" w:rsidRDefault="00201043" w:rsidP="00396CC2">
            <w:pPr>
              <w:pStyle w:val="A-TableText"/>
              <w:rPr>
                <w:i/>
                <w:sz w:val="18"/>
                <w:szCs w:val="18"/>
              </w:rPr>
            </w:pPr>
            <w:r w:rsidRPr="00781D90">
              <w:rPr>
                <w:i/>
                <w:sz w:val="18"/>
                <w:szCs w:val="18"/>
              </w:rPr>
              <w:t>Skin and subcutaneous tissue disorders</w:t>
            </w:r>
          </w:p>
        </w:tc>
        <w:tc>
          <w:tcPr>
            <w:tcW w:w="5070" w:type="dxa"/>
            <w:shd w:val="clear" w:color="auto" w:fill="auto"/>
          </w:tcPr>
          <w:p w14:paraId="24C0CCC6" w14:textId="77777777" w:rsidR="00201043" w:rsidRPr="00F14706" w:rsidRDefault="00201043" w:rsidP="00396CC2">
            <w:pPr>
              <w:pStyle w:val="A-TableText"/>
              <w:spacing w:line="240" w:lineRule="auto"/>
              <w:rPr>
                <w:sz w:val="18"/>
                <w:szCs w:val="18"/>
              </w:rPr>
            </w:pPr>
            <w:r w:rsidRPr="00F14706">
              <w:rPr>
                <w:sz w:val="18"/>
                <w:szCs w:val="18"/>
              </w:rPr>
              <w:t>Rash</w:t>
            </w:r>
          </w:p>
        </w:tc>
      </w:tr>
      <w:tr w:rsidR="00201043" w:rsidRPr="00781D90" w14:paraId="6ED6F9C1" w14:textId="77777777" w:rsidTr="00781D90">
        <w:trPr>
          <w:cantSplit/>
        </w:trPr>
        <w:tc>
          <w:tcPr>
            <w:tcW w:w="3936" w:type="dxa"/>
            <w:tcBorders>
              <w:bottom w:val="single" w:sz="12" w:space="0" w:color="auto"/>
            </w:tcBorders>
            <w:shd w:val="clear" w:color="auto" w:fill="auto"/>
          </w:tcPr>
          <w:p w14:paraId="2C883492" w14:textId="77777777" w:rsidR="00201043" w:rsidRPr="00781D90" w:rsidRDefault="00201043" w:rsidP="00396CC2">
            <w:pPr>
              <w:pStyle w:val="A-TableText"/>
              <w:rPr>
                <w:i/>
                <w:sz w:val="18"/>
                <w:szCs w:val="18"/>
              </w:rPr>
            </w:pPr>
            <w:r w:rsidRPr="00781D90">
              <w:rPr>
                <w:i/>
                <w:sz w:val="18"/>
                <w:szCs w:val="18"/>
              </w:rPr>
              <w:t>Congenital, familial &amp; genetic disorders</w:t>
            </w:r>
          </w:p>
        </w:tc>
        <w:tc>
          <w:tcPr>
            <w:tcW w:w="5070" w:type="dxa"/>
            <w:tcBorders>
              <w:bottom w:val="single" w:sz="12" w:space="0" w:color="auto"/>
            </w:tcBorders>
            <w:shd w:val="clear" w:color="auto" w:fill="auto"/>
          </w:tcPr>
          <w:p w14:paraId="005598E3" w14:textId="77777777" w:rsidR="00201043" w:rsidRPr="00F14706" w:rsidRDefault="00201043" w:rsidP="00396CC2">
            <w:pPr>
              <w:pStyle w:val="A-TableText"/>
              <w:spacing w:line="240" w:lineRule="auto"/>
              <w:rPr>
                <w:sz w:val="18"/>
                <w:szCs w:val="18"/>
              </w:rPr>
            </w:pPr>
            <w:r w:rsidRPr="00F14706">
              <w:rPr>
                <w:sz w:val="18"/>
                <w:szCs w:val="18"/>
              </w:rPr>
              <w:t xml:space="preserve">Exacerbation of symptoms of Leigh syndrome (mitochondrial </w:t>
            </w:r>
            <w:proofErr w:type="spellStart"/>
            <w:r w:rsidRPr="00F14706">
              <w:rPr>
                <w:sz w:val="18"/>
                <w:szCs w:val="18"/>
              </w:rPr>
              <w:t>encephalomyopathy</w:t>
            </w:r>
            <w:proofErr w:type="spellEnd"/>
            <w:r w:rsidRPr="00F14706">
              <w:rPr>
                <w:sz w:val="18"/>
                <w:szCs w:val="18"/>
              </w:rPr>
              <w:t>)</w:t>
            </w:r>
          </w:p>
        </w:tc>
      </w:tr>
    </w:tbl>
    <w:p w14:paraId="48385148" w14:textId="77777777" w:rsidR="00922A50" w:rsidRDefault="00922A50" w:rsidP="00284F9B">
      <w:pPr>
        <w:pStyle w:val="A-Heading1"/>
        <w:rPr>
          <w:lang w:val="en-AU"/>
        </w:rPr>
      </w:pPr>
      <w:r>
        <w:rPr>
          <w:lang w:val="en-AU"/>
        </w:rPr>
        <w:t>DOSAGE AND ADMINISTRATION</w:t>
      </w:r>
    </w:p>
    <w:p w14:paraId="33931C3C" w14:textId="57160638" w:rsidR="00D02D2E" w:rsidRPr="00284F9B" w:rsidRDefault="00D02D2E" w:rsidP="00284F9B">
      <w:pPr>
        <w:pStyle w:val="A-Heading2"/>
      </w:pPr>
      <w:r w:rsidRPr="00284F9B">
        <w:t>Children and adolescents (24 months to less than 18 years of age</w:t>
      </w:r>
      <w:r w:rsidR="00C56AFF">
        <w:t>)</w:t>
      </w:r>
    </w:p>
    <w:tbl>
      <w:tblPr>
        <w:tblW w:w="9039" w:type="dxa"/>
        <w:tblLayout w:type="fixed"/>
        <w:tblLook w:val="0000" w:firstRow="0" w:lastRow="0" w:firstColumn="0" w:lastColumn="0" w:noHBand="0" w:noVBand="0"/>
        <w:tblDescription w:val="This table list the Children and adolescents doses (24 months to less than 18 years of age)"/>
      </w:tblPr>
      <w:tblGrid>
        <w:gridCol w:w="3085"/>
        <w:gridCol w:w="3686"/>
        <w:gridCol w:w="2268"/>
      </w:tblGrid>
      <w:tr w:rsidR="00C11455" w14:paraId="1DA43519" w14:textId="711CB52D" w:rsidTr="00913AA8">
        <w:trPr>
          <w:cantSplit/>
          <w:tblHeader/>
        </w:trPr>
        <w:tc>
          <w:tcPr>
            <w:tcW w:w="3085" w:type="dxa"/>
            <w:tcBorders>
              <w:top w:val="single" w:sz="12" w:space="0" w:color="auto"/>
              <w:bottom w:val="single" w:sz="6" w:space="0" w:color="auto"/>
            </w:tcBorders>
            <w:shd w:val="clear" w:color="auto" w:fill="auto"/>
          </w:tcPr>
          <w:p w14:paraId="624C9E33" w14:textId="7A134425" w:rsidR="00C11455" w:rsidRPr="00201043" w:rsidRDefault="00C11455" w:rsidP="0002456E">
            <w:pPr>
              <w:pStyle w:val="A-TableHeader"/>
            </w:pPr>
            <w:r>
              <w:t>Age</w:t>
            </w:r>
          </w:p>
        </w:tc>
        <w:tc>
          <w:tcPr>
            <w:tcW w:w="3686" w:type="dxa"/>
            <w:tcBorders>
              <w:top w:val="single" w:sz="12" w:space="0" w:color="auto"/>
              <w:bottom w:val="single" w:sz="6" w:space="0" w:color="auto"/>
            </w:tcBorders>
            <w:shd w:val="clear" w:color="auto" w:fill="auto"/>
          </w:tcPr>
          <w:p w14:paraId="305DE844" w14:textId="502A3C59" w:rsidR="00C11455" w:rsidRPr="00201043" w:rsidRDefault="00C11455" w:rsidP="0002456E">
            <w:pPr>
              <w:pStyle w:val="A-TableHeader"/>
            </w:pPr>
            <w:r>
              <w:t>Dose</w:t>
            </w:r>
          </w:p>
        </w:tc>
        <w:tc>
          <w:tcPr>
            <w:tcW w:w="2268" w:type="dxa"/>
            <w:tcBorders>
              <w:top w:val="single" w:sz="12" w:space="0" w:color="auto"/>
              <w:bottom w:val="single" w:sz="6" w:space="0" w:color="auto"/>
            </w:tcBorders>
          </w:tcPr>
          <w:p w14:paraId="755F61E0" w14:textId="7F59F460" w:rsidR="00C11455" w:rsidRPr="00201043" w:rsidRDefault="00C11455" w:rsidP="0002456E">
            <w:pPr>
              <w:pStyle w:val="A-TableHeader"/>
            </w:pPr>
            <w:r>
              <w:t>Schedule</w:t>
            </w:r>
          </w:p>
        </w:tc>
      </w:tr>
      <w:tr w:rsidR="00C11455" w:rsidRPr="00C11455" w14:paraId="474950A1" w14:textId="673AC92E" w:rsidTr="00913AA8">
        <w:trPr>
          <w:cantSplit/>
        </w:trPr>
        <w:tc>
          <w:tcPr>
            <w:tcW w:w="3085" w:type="dxa"/>
            <w:tcBorders>
              <w:top w:val="single" w:sz="6" w:space="0" w:color="auto"/>
            </w:tcBorders>
            <w:shd w:val="clear" w:color="auto" w:fill="auto"/>
          </w:tcPr>
          <w:p w14:paraId="3F95C2FE" w14:textId="6641B471" w:rsidR="00C11455" w:rsidRPr="00C11455" w:rsidRDefault="00C11455" w:rsidP="0002456E">
            <w:pPr>
              <w:pStyle w:val="A-TableText"/>
              <w:rPr>
                <w:sz w:val="18"/>
                <w:szCs w:val="18"/>
              </w:rPr>
            </w:pPr>
            <w:r>
              <w:rPr>
                <w:sz w:val="18"/>
                <w:szCs w:val="18"/>
              </w:rPr>
              <w:t>24 </w:t>
            </w:r>
            <w:r w:rsidRPr="00C11455">
              <w:rPr>
                <w:sz w:val="18"/>
                <w:szCs w:val="18"/>
              </w:rPr>
              <w:t>months to 8</w:t>
            </w:r>
            <w:r>
              <w:rPr>
                <w:sz w:val="18"/>
                <w:szCs w:val="18"/>
              </w:rPr>
              <w:t> </w:t>
            </w:r>
            <w:r w:rsidRPr="00C11455">
              <w:rPr>
                <w:sz w:val="18"/>
                <w:szCs w:val="18"/>
              </w:rPr>
              <w:t>years of age</w:t>
            </w:r>
          </w:p>
        </w:tc>
        <w:tc>
          <w:tcPr>
            <w:tcW w:w="3686" w:type="dxa"/>
            <w:tcBorders>
              <w:top w:val="single" w:sz="6" w:space="0" w:color="auto"/>
            </w:tcBorders>
            <w:shd w:val="clear" w:color="auto" w:fill="auto"/>
          </w:tcPr>
          <w:p w14:paraId="5DD89FC7" w14:textId="77777777" w:rsidR="00C11455" w:rsidRDefault="00C11455" w:rsidP="0002456E">
            <w:pPr>
              <w:pStyle w:val="A-TableText"/>
              <w:spacing w:line="240" w:lineRule="auto"/>
              <w:rPr>
                <w:sz w:val="18"/>
                <w:szCs w:val="18"/>
              </w:rPr>
            </w:pPr>
            <w:r>
              <w:rPr>
                <w:sz w:val="18"/>
                <w:szCs w:val="18"/>
              </w:rPr>
              <w:t xml:space="preserve">1 or 2 </w:t>
            </w:r>
            <w:proofErr w:type="spellStart"/>
            <w:r>
              <w:rPr>
                <w:sz w:val="18"/>
                <w:szCs w:val="18"/>
              </w:rPr>
              <w:t>doses</w:t>
            </w:r>
            <w:r w:rsidRPr="00C11455">
              <w:rPr>
                <w:sz w:val="18"/>
                <w:szCs w:val="18"/>
                <w:vertAlign w:val="superscript"/>
              </w:rPr>
              <w:t>a</w:t>
            </w:r>
            <w:proofErr w:type="spellEnd"/>
          </w:p>
          <w:p w14:paraId="6F666BFA" w14:textId="6D8CB8DA" w:rsidR="00C11455" w:rsidRPr="00C11455" w:rsidRDefault="00C11455" w:rsidP="00C11455">
            <w:pPr>
              <w:pStyle w:val="A-TableText"/>
              <w:spacing w:line="240" w:lineRule="auto"/>
              <w:rPr>
                <w:sz w:val="18"/>
                <w:szCs w:val="18"/>
              </w:rPr>
            </w:pPr>
            <w:r>
              <w:rPr>
                <w:sz w:val="18"/>
                <w:szCs w:val="18"/>
              </w:rPr>
              <w:t>200 µL (administered as 100 </w:t>
            </w:r>
            <w:r w:rsidRPr="00C11455">
              <w:rPr>
                <w:sz w:val="18"/>
                <w:szCs w:val="18"/>
              </w:rPr>
              <w:t>µL per nostril)</w:t>
            </w:r>
          </w:p>
        </w:tc>
        <w:tc>
          <w:tcPr>
            <w:tcW w:w="2268" w:type="dxa"/>
            <w:tcBorders>
              <w:top w:val="single" w:sz="6" w:space="0" w:color="auto"/>
            </w:tcBorders>
          </w:tcPr>
          <w:p w14:paraId="5544DED3" w14:textId="601B9EC2" w:rsidR="00C11455" w:rsidRPr="00C11455" w:rsidRDefault="00C11455" w:rsidP="005F21CD">
            <w:pPr>
              <w:pStyle w:val="A-TableText"/>
              <w:spacing w:line="240" w:lineRule="auto"/>
              <w:rPr>
                <w:sz w:val="18"/>
                <w:szCs w:val="18"/>
              </w:rPr>
            </w:pPr>
            <w:r>
              <w:rPr>
                <w:sz w:val="18"/>
                <w:szCs w:val="18"/>
              </w:rPr>
              <w:t>If 2 doses, administer at least 4 weeks apart</w:t>
            </w:r>
          </w:p>
        </w:tc>
      </w:tr>
      <w:tr w:rsidR="00C11455" w:rsidRPr="00C11455" w14:paraId="2D0E4A89" w14:textId="45EDA943" w:rsidTr="00913AA8">
        <w:trPr>
          <w:cantSplit/>
        </w:trPr>
        <w:tc>
          <w:tcPr>
            <w:tcW w:w="3085" w:type="dxa"/>
            <w:tcBorders>
              <w:bottom w:val="single" w:sz="12" w:space="0" w:color="auto"/>
            </w:tcBorders>
            <w:shd w:val="clear" w:color="auto" w:fill="auto"/>
          </w:tcPr>
          <w:p w14:paraId="315A0955" w14:textId="07BF3F8A" w:rsidR="00C11455" w:rsidRPr="00C11455" w:rsidRDefault="00C11455" w:rsidP="0002456E">
            <w:pPr>
              <w:pStyle w:val="A-TableText"/>
              <w:rPr>
                <w:sz w:val="18"/>
                <w:szCs w:val="18"/>
              </w:rPr>
            </w:pPr>
            <w:r>
              <w:rPr>
                <w:sz w:val="18"/>
                <w:szCs w:val="18"/>
              </w:rPr>
              <w:t>9</w:t>
            </w:r>
            <w:r w:rsidR="00117591">
              <w:rPr>
                <w:sz w:val="18"/>
                <w:szCs w:val="18"/>
              </w:rPr>
              <w:t> years</w:t>
            </w:r>
            <w:r>
              <w:rPr>
                <w:sz w:val="18"/>
                <w:szCs w:val="18"/>
              </w:rPr>
              <w:t xml:space="preserve"> to less than 18 </w:t>
            </w:r>
            <w:r w:rsidRPr="00C11455">
              <w:rPr>
                <w:sz w:val="18"/>
                <w:szCs w:val="18"/>
              </w:rPr>
              <w:t>years of age</w:t>
            </w:r>
          </w:p>
        </w:tc>
        <w:tc>
          <w:tcPr>
            <w:tcW w:w="3686" w:type="dxa"/>
            <w:tcBorders>
              <w:bottom w:val="single" w:sz="12" w:space="0" w:color="auto"/>
            </w:tcBorders>
            <w:shd w:val="clear" w:color="auto" w:fill="auto"/>
          </w:tcPr>
          <w:p w14:paraId="311DA3F2" w14:textId="77777777" w:rsidR="00C11455" w:rsidRDefault="00117591" w:rsidP="0002456E">
            <w:pPr>
              <w:pStyle w:val="A-TableText"/>
              <w:spacing w:line="240" w:lineRule="auto"/>
              <w:rPr>
                <w:sz w:val="18"/>
                <w:szCs w:val="18"/>
              </w:rPr>
            </w:pPr>
            <w:r>
              <w:rPr>
                <w:sz w:val="18"/>
                <w:szCs w:val="18"/>
              </w:rPr>
              <w:t>1 dose</w:t>
            </w:r>
          </w:p>
          <w:p w14:paraId="6624CE61" w14:textId="294ADA60" w:rsidR="00117591" w:rsidRPr="00C11455" w:rsidRDefault="00117591" w:rsidP="0002456E">
            <w:pPr>
              <w:pStyle w:val="A-TableText"/>
              <w:spacing w:line="240" w:lineRule="auto"/>
              <w:rPr>
                <w:sz w:val="18"/>
                <w:szCs w:val="18"/>
              </w:rPr>
            </w:pPr>
            <w:r>
              <w:rPr>
                <w:sz w:val="18"/>
                <w:szCs w:val="18"/>
              </w:rPr>
              <w:t>200 µL (administered as 100 </w:t>
            </w:r>
            <w:r w:rsidRPr="00C11455">
              <w:rPr>
                <w:sz w:val="18"/>
                <w:szCs w:val="18"/>
              </w:rPr>
              <w:t>µL per nostril)</w:t>
            </w:r>
          </w:p>
        </w:tc>
        <w:tc>
          <w:tcPr>
            <w:tcW w:w="2268" w:type="dxa"/>
            <w:tcBorders>
              <w:bottom w:val="single" w:sz="12" w:space="0" w:color="auto"/>
            </w:tcBorders>
          </w:tcPr>
          <w:p w14:paraId="498358B0" w14:textId="7F1704BC" w:rsidR="00C11455" w:rsidRPr="00C11455" w:rsidRDefault="00117591" w:rsidP="0002456E">
            <w:pPr>
              <w:pStyle w:val="A-TableText"/>
              <w:spacing w:line="240" w:lineRule="auto"/>
              <w:rPr>
                <w:sz w:val="18"/>
                <w:szCs w:val="18"/>
              </w:rPr>
            </w:pPr>
            <w:r>
              <w:rPr>
                <w:sz w:val="18"/>
                <w:szCs w:val="18"/>
              </w:rPr>
              <w:t>N/A</w:t>
            </w:r>
          </w:p>
        </w:tc>
      </w:tr>
    </w:tbl>
    <w:p w14:paraId="7BFAE48A" w14:textId="23A96364" w:rsidR="005F21CD" w:rsidRPr="005F21CD" w:rsidRDefault="00117591" w:rsidP="005F21CD">
      <w:pPr>
        <w:pStyle w:val="A-TableFootnoteText"/>
      </w:pPr>
      <w:r>
        <w:rPr>
          <w:vertAlign w:val="superscript"/>
        </w:rPr>
        <w:t>a</w:t>
      </w:r>
      <w:r w:rsidR="005F21CD">
        <w:t xml:space="preserve"> - </w:t>
      </w:r>
      <w:r w:rsidR="003B6978" w:rsidRPr="003B6978">
        <w:t>For children 24</w:t>
      </w:r>
      <w:r w:rsidR="00826622">
        <w:t> </w:t>
      </w:r>
      <w:r w:rsidR="003B6978" w:rsidRPr="003B6978">
        <w:t>months to 8</w:t>
      </w:r>
      <w:r w:rsidR="00826622">
        <w:t> </w:t>
      </w:r>
      <w:r w:rsidR="003B6978" w:rsidRPr="003B6978">
        <w:t>years of age who have not previously been vaccinated against seasonal influenza, 2 doses are recommended. For children 24</w:t>
      </w:r>
      <w:r w:rsidR="00826622">
        <w:t> </w:t>
      </w:r>
      <w:r w:rsidR="003B6978" w:rsidRPr="003B6978">
        <w:t>months to 8</w:t>
      </w:r>
      <w:r w:rsidR="00826622">
        <w:t> </w:t>
      </w:r>
      <w:r w:rsidR="003B6978" w:rsidRPr="003B6978">
        <w:t xml:space="preserve">years of age who have been vaccinated against seasonal influenza, one dose is recommended. Refer to </w:t>
      </w:r>
      <w:r>
        <w:t xml:space="preserve">the </w:t>
      </w:r>
      <w:r w:rsidR="00BE4A16">
        <w:t xml:space="preserve">national recommendations </w:t>
      </w:r>
      <w:r w:rsidR="00832155">
        <w:t xml:space="preserve">as per the </w:t>
      </w:r>
      <w:r>
        <w:t>current Immunisation Handbook</w:t>
      </w:r>
      <w:r w:rsidR="005F21CD">
        <w:t>; N/A – not applicable</w:t>
      </w:r>
    </w:p>
    <w:p w14:paraId="2237C6FF" w14:textId="77777777" w:rsidR="002E0E90" w:rsidRDefault="002E0E90" w:rsidP="002E0E90">
      <w:pPr>
        <w:pStyle w:val="A-Heading2"/>
      </w:pPr>
      <w:r>
        <w:t>Administration</w:t>
      </w:r>
    </w:p>
    <w:p w14:paraId="50D9F93B" w14:textId="77777777" w:rsidR="00A23709" w:rsidRDefault="002E0E90" w:rsidP="00B74ECF">
      <w:pPr>
        <w:pStyle w:val="A-Heading3"/>
      </w:pPr>
      <w:r w:rsidRPr="00A23709">
        <w:t xml:space="preserve">Do not inject </w:t>
      </w:r>
      <w:proofErr w:type="spellStart"/>
      <w:r w:rsidR="00095EAF" w:rsidRPr="00A23709">
        <w:t>FluMist</w:t>
      </w:r>
      <w:proofErr w:type="spellEnd"/>
      <w:r w:rsidRPr="00A23709">
        <w:t xml:space="preserve"> </w:t>
      </w:r>
      <w:proofErr w:type="spellStart"/>
      <w:r w:rsidRPr="00A23709">
        <w:t>Quadrivalent</w:t>
      </w:r>
      <w:proofErr w:type="spellEnd"/>
      <w:r w:rsidRPr="00A23709">
        <w:t xml:space="preserve"> parenterally</w:t>
      </w:r>
      <w:r w:rsidR="00A23709">
        <w:t>.</w:t>
      </w:r>
    </w:p>
    <w:p w14:paraId="553B290B" w14:textId="379D39EB" w:rsidR="002448FF" w:rsidRDefault="00095EAF" w:rsidP="002448FF">
      <w:proofErr w:type="spellStart"/>
      <w:r w:rsidRPr="00293E19">
        <w:t>FluMist</w:t>
      </w:r>
      <w:proofErr w:type="spellEnd"/>
      <w:r w:rsidR="002E0E90" w:rsidRPr="00293E19">
        <w:t xml:space="preserve"> </w:t>
      </w:r>
      <w:proofErr w:type="spellStart"/>
      <w:r w:rsidR="002E0E90" w:rsidRPr="00293E19">
        <w:t>Quadrivalent</w:t>
      </w:r>
      <w:proofErr w:type="spellEnd"/>
      <w:r w:rsidR="002E0E90" w:rsidRPr="00293E19">
        <w:t xml:space="preserve"> is for nasal use, administered as a divided dose</w:t>
      </w:r>
      <w:r w:rsidR="0029781C">
        <w:t xml:space="preserve"> </w:t>
      </w:r>
      <w:r w:rsidR="002448FF">
        <w:t>in both nostrils</w:t>
      </w:r>
      <w:r w:rsidR="008E0EC4" w:rsidRPr="00293E19">
        <w:t xml:space="preserve">, as described </w:t>
      </w:r>
      <w:r w:rsidR="00293E19" w:rsidRPr="00293E19">
        <w:t>below</w:t>
      </w:r>
      <w:r w:rsidR="002779F4" w:rsidRPr="00293E19">
        <w:t>.</w:t>
      </w:r>
      <w:r w:rsidR="00B74ECF">
        <w:t xml:space="preserve"> </w:t>
      </w:r>
      <w:r w:rsidR="002448FF">
        <w:t xml:space="preserve">Each </w:t>
      </w:r>
      <w:proofErr w:type="spellStart"/>
      <w:r w:rsidR="002448FF">
        <w:t>FluMist</w:t>
      </w:r>
      <w:proofErr w:type="spellEnd"/>
      <w:r w:rsidR="002448FF">
        <w:t xml:space="preserve"> </w:t>
      </w:r>
      <w:proofErr w:type="spellStart"/>
      <w:r w:rsidR="002448FF">
        <w:t>Quadrivalent</w:t>
      </w:r>
      <w:proofErr w:type="spellEnd"/>
      <w:r w:rsidR="002448FF">
        <w:t xml:space="preserve"> nasal applicator is for single use in one patient only.</w:t>
      </w:r>
    </w:p>
    <w:p w14:paraId="59A27851" w14:textId="77777777" w:rsidR="00396CC2" w:rsidRPr="002E0E90" w:rsidRDefault="00396CC2" w:rsidP="00396CC2">
      <w:r>
        <w:t xml:space="preserve">In the absence of compatibility studies, this </w:t>
      </w:r>
      <w:r w:rsidR="005D6067">
        <w:t>vaccine</w:t>
      </w:r>
      <w:r>
        <w:t xml:space="preserve"> must not be mixed with other </w:t>
      </w:r>
      <w:r w:rsidR="005D6067">
        <w:t>medicines/vaccines</w:t>
      </w:r>
      <w:r>
        <w:t>.</w:t>
      </w:r>
    </w:p>
    <w:p w14:paraId="242D51DB" w14:textId="77777777" w:rsidR="00B74ECF" w:rsidRDefault="00ED4BC1" w:rsidP="00ED4BC1">
      <w:r w:rsidRPr="007A075D">
        <w:t>After use, any remaining vaccine and container must be disposed of safely, preferably by heat inactivation or incineration, according to locally agreed procedures</w:t>
      </w:r>
      <w:r w:rsidR="002E0E90" w:rsidRPr="007A075D">
        <w:t>.</w:t>
      </w:r>
    </w:p>
    <w:p w14:paraId="03F54279" w14:textId="6C5A55BD" w:rsidR="002448FF" w:rsidRDefault="002448FF" w:rsidP="002448FF">
      <w:r>
        <w:t>Refer to the following administration diagrams (</w:t>
      </w:r>
      <w:r w:rsidR="004A0A60">
        <w:fldChar w:fldCharType="begin"/>
      </w:r>
      <w:r>
        <w:instrText xml:space="preserve"> REF _Ref415143125 \h </w:instrText>
      </w:r>
      <w:r w:rsidR="004A0A60">
        <w:fldChar w:fldCharType="separate"/>
      </w:r>
      <w:r w:rsidR="009F6AAA">
        <w:t xml:space="preserve">Figure </w:t>
      </w:r>
      <w:r w:rsidR="009F6AAA">
        <w:rPr>
          <w:noProof/>
        </w:rPr>
        <w:t>1</w:t>
      </w:r>
      <w:r w:rsidR="004A0A60">
        <w:fldChar w:fldCharType="end"/>
      </w:r>
      <w:r>
        <w:t xml:space="preserve"> and </w:t>
      </w:r>
      <w:r w:rsidR="004A0A60">
        <w:fldChar w:fldCharType="begin"/>
      </w:r>
      <w:r>
        <w:instrText xml:space="preserve"> REF _Ref413313183 \h </w:instrText>
      </w:r>
      <w:r w:rsidR="004A0A60">
        <w:fldChar w:fldCharType="separate"/>
      </w:r>
      <w:r w:rsidR="009F6AAA">
        <w:t xml:space="preserve">Figure </w:t>
      </w:r>
      <w:r w:rsidR="009F6AAA">
        <w:rPr>
          <w:noProof/>
        </w:rPr>
        <w:t>2</w:t>
      </w:r>
      <w:r w:rsidR="004A0A60">
        <w:fldChar w:fldCharType="end"/>
      </w:r>
      <w:r>
        <w:t xml:space="preserve"> below) for step-by-step administration instructions.</w:t>
      </w:r>
      <w:r w:rsidRPr="002448FF">
        <w:t xml:space="preserve"> </w:t>
      </w:r>
      <w:r w:rsidRPr="00293E19">
        <w:t xml:space="preserve">Detailed administration instructions are </w:t>
      </w:r>
      <w:r>
        <w:t xml:space="preserve">also </w:t>
      </w:r>
      <w:r w:rsidRPr="00293E19">
        <w:t>provided within each pack.</w:t>
      </w:r>
    </w:p>
    <w:p w14:paraId="7303D87F" w14:textId="77777777" w:rsidR="002448FF" w:rsidRDefault="002448FF" w:rsidP="002448FF">
      <w:pPr>
        <w:pStyle w:val="A-FigureTitle"/>
      </w:pPr>
      <w:bookmarkStart w:id="9" w:name="_Ref415143125"/>
      <w:r>
        <w:lastRenderedPageBreak/>
        <w:t xml:space="preserve">Figure </w:t>
      </w:r>
      <w:r w:rsidR="00E8575B">
        <w:fldChar w:fldCharType="begin"/>
      </w:r>
      <w:r w:rsidR="00E8575B">
        <w:instrText xml:space="preserve"> SEQ Figure \* ARABIC </w:instrText>
      </w:r>
      <w:r w:rsidR="00E8575B">
        <w:fldChar w:fldCharType="separate"/>
      </w:r>
      <w:r w:rsidR="009F6AAA">
        <w:rPr>
          <w:noProof/>
        </w:rPr>
        <w:t>1</w:t>
      </w:r>
      <w:r w:rsidR="00E8575B">
        <w:rPr>
          <w:noProof/>
        </w:rPr>
        <w:fldChar w:fldCharType="end"/>
      </w:r>
      <w:bookmarkEnd w:id="9"/>
      <w:r>
        <w:tab/>
        <w:t xml:space="preserve">The </w:t>
      </w:r>
      <w:proofErr w:type="spellStart"/>
      <w:r>
        <w:t>FluMist</w:t>
      </w:r>
      <w:proofErr w:type="spellEnd"/>
      <w:r>
        <w:t xml:space="preserve"> </w:t>
      </w:r>
      <w:proofErr w:type="spellStart"/>
      <w:r>
        <w:t>Quadrivalent</w:t>
      </w:r>
      <w:proofErr w:type="spellEnd"/>
      <w:r>
        <w:t xml:space="preserve"> nasal applicator</w:t>
      </w:r>
    </w:p>
    <w:p w14:paraId="75957758" w14:textId="77777777" w:rsidR="002448FF" w:rsidRDefault="002448FF" w:rsidP="002448FF">
      <w:r>
        <w:rPr>
          <w:noProof/>
          <w:lang w:eastAsia="en-AU"/>
        </w:rPr>
        <w:drawing>
          <wp:inline distT="0" distB="0" distL="0" distR="0" wp14:anchorId="6DE5A99A" wp14:editId="15443C6A">
            <wp:extent cx="5581650" cy="1720320"/>
            <wp:effectExtent l="0" t="0" r="0" b="0"/>
            <wp:docPr id="125" name="Picture 125" descr="Figure 1 is an image of the FluMist Quadrivalent nasal appl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9" cstate="print"/>
                    <a:srcRect/>
                    <a:stretch>
                      <a:fillRect/>
                    </a:stretch>
                  </pic:blipFill>
                  <pic:spPr bwMode="auto">
                    <a:xfrm>
                      <a:off x="0" y="0"/>
                      <a:ext cx="5581650" cy="1720320"/>
                    </a:xfrm>
                    <a:prstGeom prst="rect">
                      <a:avLst/>
                    </a:prstGeom>
                    <a:noFill/>
                    <a:ln w="9525">
                      <a:noFill/>
                      <a:miter lim="800000"/>
                      <a:headEnd/>
                      <a:tailEnd/>
                    </a:ln>
                  </pic:spPr>
                </pic:pic>
              </a:graphicData>
            </a:graphic>
          </wp:inline>
        </w:drawing>
      </w:r>
    </w:p>
    <w:p w14:paraId="4AE0C940" w14:textId="77777777" w:rsidR="00A44343" w:rsidRDefault="00A44343" w:rsidP="00B74ECF">
      <w:pPr>
        <w:pStyle w:val="A-FigureTitle"/>
        <w:keepNext w:val="0"/>
        <w:ind w:left="1797" w:hanging="1797"/>
      </w:pPr>
      <w:bookmarkStart w:id="10" w:name="_Ref413313183"/>
      <w:r>
        <w:t xml:space="preserve">Figure </w:t>
      </w:r>
      <w:r w:rsidR="00E8575B">
        <w:fldChar w:fldCharType="begin"/>
      </w:r>
      <w:r w:rsidR="00E8575B">
        <w:instrText xml:space="preserve"> SEQ Figure \* ARABIC </w:instrText>
      </w:r>
      <w:r w:rsidR="00E8575B">
        <w:fldChar w:fldCharType="separate"/>
      </w:r>
      <w:r w:rsidR="009F6AAA">
        <w:rPr>
          <w:noProof/>
        </w:rPr>
        <w:t>2</w:t>
      </w:r>
      <w:r w:rsidR="00E8575B">
        <w:rPr>
          <w:noProof/>
        </w:rPr>
        <w:fldChar w:fldCharType="end"/>
      </w:r>
      <w:bookmarkEnd w:id="10"/>
      <w:r>
        <w:tab/>
      </w:r>
      <w:r w:rsidR="00CF7A72">
        <w:t xml:space="preserve">Instructions for </w:t>
      </w:r>
      <w:proofErr w:type="spellStart"/>
      <w:r w:rsidR="00CF7A72">
        <w:t>FluMist</w:t>
      </w:r>
      <w:proofErr w:type="spellEnd"/>
      <w:r w:rsidR="00CF7A72">
        <w:t xml:space="preserve"> </w:t>
      </w:r>
      <w:proofErr w:type="spellStart"/>
      <w:r w:rsidR="00CF7A72">
        <w:t>Quadrivalent</w:t>
      </w:r>
      <w:proofErr w:type="spellEnd"/>
      <w:r w:rsidR="00CF7A72">
        <w:t xml:space="preserve"> administration</w:t>
      </w:r>
    </w:p>
    <w:p w14:paraId="2C9566BC" w14:textId="0F381469" w:rsidR="00293E19" w:rsidRDefault="00293E19" w:rsidP="00B74ECF">
      <w:pPr>
        <w:keepLines/>
        <w:spacing w:line="240" w:lineRule="auto"/>
        <w:jc w:val="center"/>
      </w:pPr>
      <w:r>
        <w:rPr>
          <w:noProof/>
          <w:lang w:eastAsia="en-AU"/>
        </w:rPr>
        <w:drawing>
          <wp:inline distT="0" distB="0" distL="0" distR="0" wp14:anchorId="3F5C42A4" wp14:editId="7E9A959F">
            <wp:extent cx="1543050" cy="1123950"/>
            <wp:effectExtent l="0" t="0" r="0" b="0"/>
            <wp:docPr id="6" name="Picture 6" descr="Picture 1, Figure 2 are a set of 6 visual images on how to administer the FluMist quadriva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icture 1"/>
                    <pic:cNvPicPr>
                      <a:picLocks noChangeArrowheads="1"/>
                    </pic:cNvPicPr>
                  </pic:nvPicPr>
                  <pic:blipFill>
                    <a:blip r:embed="rId10" cstate="print"/>
                    <a:srcRect/>
                    <a:stretch>
                      <a:fillRect/>
                    </a:stretch>
                  </pic:blipFill>
                  <pic:spPr bwMode="auto">
                    <a:xfrm>
                      <a:off x="0" y="0"/>
                      <a:ext cx="1543050" cy="1123950"/>
                    </a:xfrm>
                    <a:prstGeom prst="rect">
                      <a:avLst/>
                    </a:prstGeom>
                    <a:noFill/>
                    <a:ln w="9525">
                      <a:noFill/>
                      <a:miter lim="800000"/>
                      <a:headEnd/>
                      <a:tailEnd/>
                    </a:ln>
                  </pic:spPr>
                </pic:pic>
              </a:graphicData>
            </a:graphic>
          </wp:inline>
        </w:drawing>
      </w:r>
      <w:r w:rsidR="00B74ECF">
        <w:t xml:space="preserve"> </w:t>
      </w:r>
      <w:r>
        <w:rPr>
          <w:noProof/>
          <w:lang w:eastAsia="en-AU"/>
        </w:rPr>
        <w:drawing>
          <wp:inline distT="0" distB="0" distL="0" distR="0" wp14:anchorId="1D75436B" wp14:editId="2302055C">
            <wp:extent cx="1543050" cy="1162050"/>
            <wp:effectExtent l="0" t="0" r="0" b="0"/>
            <wp:docPr id="7" name="Picture 7" descr="Picture 2, Figure 2 are a set of 6 visual images on how to administer the FluMist quadriva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icture 2"/>
                    <pic:cNvPicPr>
                      <a:picLocks noChangeArrowheads="1"/>
                    </pic:cNvPicPr>
                  </pic:nvPicPr>
                  <pic:blipFill>
                    <a:blip r:embed="rId11" cstate="print"/>
                    <a:srcRect/>
                    <a:stretch>
                      <a:fillRect/>
                    </a:stretch>
                  </pic:blipFill>
                  <pic:spPr bwMode="auto">
                    <a:xfrm>
                      <a:off x="0" y="0"/>
                      <a:ext cx="1543050" cy="1162050"/>
                    </a:xfrm>
                    <a:prstGeom prst="rect">
                      <a:avLst/>
                    </a:prstGeom>
                    <a:noFill/>
                    <a:ln w="9525">
                      <a:noFill/>
                      <a:miter lim="800000"/>
                      <a:headEnd/>
                      <a:tailEnd/>
                    </a:ln>
                  </pic:spPr>
                </pic:pic>
              </a:graphicData>
            </a:graphic>
          </wp:inline>
        </w:drawing>
      </w:r>
      <w:r w:rsidR="00B74ECF">
        <w:t xml:space="preserve"> </w:t>
      </w:r>
      <w:r>
        <w:rPr>
          <w:noProof/>
          <w:lang w:eastAsia="en-AU"/>
        </w:rPr>
        <w:drawing>
          <wp:inline distT="0" distB="0" distL="0" distR="0" wp14:anchorId="6D9879D9" wp14:editId="196E8BDB">
            <wp:extent cx="1543050" cy="1114425"/>
            <wp:effectExtent l="0" t="0" r="0" b="9525"/>
            <wp:docPr id="8" name="Picture 8" descr="Picture 3, Figure 2 are a set of 6 visual images on how to administer the FluMist quadriva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icture 3"/>
                    <pic:cNvPicPr>
                      <a:picLocks noChangeArrowheads="1"/>
                    </pic:cNvPicPr>
                  </pic:nvPicPr>
                  <pic:blipFill>
                    <a:blip r:embed="rId12" cstate="print"/>
                    <a:srcRect/>
                    <a:stretch>
                      <a:fillRect/>
                    </a:stretch>
                  </pic:blipFill>
                  <pic:spPr bwMode="auto">
                    <a:xfrm>
                      <a:off x="0" y="0"/>
                      <a:ext cx="1543050" cy="1114425"/>
                    </a:xfrm>
                    <a:prstGeom prst="rect">
                      <a:avLst/>
                    </a:prstGeom>
                    <a:noFill/>
                    <a:ln w="9525">
                      <a:noFill/>
                      <a:miter lim="800000"/>
                      <a:headEnd/>
                      <a:tailEnd/>
                    </a:ln>
                  </pic:spPr>
                </pic:pic>
              </a:graphicData>
            </a:graphic>
          </wp:inline>
        </w:drawing>
      </w:r>
    </w:p>
    <w:tbl>
      <w:tblPr>
        <w:tblW w:w="0" w:type="auto"/>
        <w:jc w:val="center"/>
        <w:tblLook w:val="01E0" w:firstRow="1" w:lastRow="1" w:firstColumn="1" w:lastColumn="1" w:noHBand="0" w:noVBand="0"/>
        <w:tblDescription w:val="Figure 2 is a set of images providing instructions on how to administer the FluMist Quadrivalent: &#10;1. Check expiration date. Product must be used before date on applicator label.&#10;2. Remove rubber tip protector. Do not remove dose-divider clip at the other end of the applicator.&#10;3. With the patient in an upright position, place the tip just inside the nostril to ensure the vaccine is delivered into the nose.&#10;4. With a single motion, depress plunger as rapidly as possible until the dose-divider clip prevents you from going further.&#10;5. Pinch and remove the dose-divider clip from plunger.&#10;6. Place the tip just inside the other nostril and with a single motion, depress plunger as rapidly as possible to deliver remaining vaccine.&#10;Note: Active inhalation (ie sniffing) is not required by the patient during vaccine administration.&#10;Do not use FluMist Quadrivalent if damaged, for example if the plunger is loose or displaced from the sprayer or if there are any signs of leakage."/>
      </w:tblPr>
      <w:tblGrid>
        <w:gridCol w:w="2520"/>
        <w:gridCol w:w="2520"/>
        <w:gridCol w:w="2520"/>
      </w:tblGrid>
      <w:tr w:rsidR="00293E19" w:rsidRPr="00760F62" w14:paraId="685D2898" w14:textId="77777777" w:rsidTr="008B69D6">
        <w:trPr>
          <w:jc w:val="center"/>
        </w:trPr>
        <w:tc>
          <w:tcPr>
            <w:tcW w:w="2520" w:type="dxa"/>
          </w:tcPr>
          <w:p w14:paraId="7A92F38A" w14:textId="77777777" w:rsidR="00293E19" w:rsidRPr="005D3668" w:rsidRDefault="00293E19" w:rsidP="00850A49">
            <w:pPr>
              <w:keepNext/>
              <w:keepLines/>
              <w:tabs>
                <w:tab w:val="left" w:pos="540"/>
                <w:tab w:val="left" w:pos="2700"/>
              </w:tabs>
              <w:autoSpaceDE w:val="0"/>
              <w:autoSpaceDN w:val="0"/>
              <w:adjustRightInd w:val="0"/>
              <w:spacing w:after="0" w:line="240" w:lineRule="auto"/>
              <w:jc w:val="center"/>
              <w:rPr>
                <w:b/>
                <w:sz w:val="20"/>
              </w:rPr>
            </w:pPr>
            <w:r w:rsidRPr="005D3668">
              <w:rPr>
                <w:b/>
                <w:sz w:val="20"/>
              </w:rPr>
              <w:t>Check expiration date.</w:t>
            </w:r>
          </w:p>
          <w:p w14:paraId="7295ECA4" w14:textId="77777777" w:rsidR="00293E19" w:rsidRPr="005D3668" w:rsidRDefault="00293E19" w:rsidP="00850A49">
            <w:pPr>
              <w:keepNext/>
              <w:keepLines/>
              <w:tabs>
                <w:tab w:val="left" w:pos="540"/>
                <w:tab w:val="left" w:pos="2700"/>
              </w:tabs>
              <w:autoSpaceDE w:val="0"/>
              <w:autoSpaceDN w:val="0"/>
              <w:adjustRightInd w:val="0"/>
              <w:spacing w:after="0" w:line="240" w:lineRule="auto"/>
              <w:jc w:val="center"/>
              <w:rPr>
                <w:b/>
                <w:sz w:val="20"/>
              </w:rPr>
            </w:pPr>
            <w:r w:rsidRPr="005D3668">
              <w:rPr>
                <w:sz w:val="20"/>
              </w:rPr>
              <w:t>Product must be used before date on applicator label.</w:t>
            </w:r>
          </w:p>
        </w:tc>
        <w:tc>
          <w:tcPr>
            <w:tcW w:w="2520" w:type="dxa"/>
          </w:tcPr>
          <w:p w14:paraId="7CA444FD" w14:textId="77777777" w:rsidR="00293E19" w:rsidRPr="005D3668" w:rsidRDefault="00293E19" w:rsidP="002448FF">
            <w:pPr>
              <w:keepNext/>
              <w:keepLines/>
              <w:tabs>
                <w:tab w:val="left" w:pos="540"/>
                <w:tab w:val="left" w:pos="2700"/>
              </w:tabs>
              <w:autoSpaceDE w:val="0"/>
              <w:autoSpaceDN w:val="0"/>
              <w:adjustRightInd w:val="0"/>
              <w:spacing w:after="0" w:line="240" w:lineRule="auto"/>
              <w:jc w:val="center"/>
              <w:rPr>
                <w:sz w:val="20"/>
              </w:rPr>
            </w:pPr>
            <w:r w:rsidRPr="005D3668">
              <w:rPr>
                <w:sz w:val="20"/>
              </w:rPr>
              <w:t xml:space="preserve">Remove rubber tip protector. Do not remove dose-divider clip at the other end of the </w:t>
            </w:r>
            <w:r w:rsidR="002448FF">
              <w:rPr>
                <w:sz w:val="20"/>
              </w:rPr>
              <w:t>applicator</w:t>
            </w:r>
            <w:r w:rsidRPr="005D3668">
              <w:rPr>
                <w:sz w:val="20"/>
              </w:rPr>
              <w:t>.</w:t>
            </w:r>
          </w:p>
        </w:tc>
        <w:tc>
          <w:tcPr>
            <w:tcW w:w="2520" w:type="dxa"/>
          </w:tcPr>
          <w:p w14:paraId="44F79007" w14:textId="77777777" w:rsidR="00293E19" w:rsidRPr="005D3668" w:rsidRDefault="00293E19" w:rsidP="00850A49">
            <w:pPr>
              <w:keepNext/>
              <w:keepLines/>
              <w:tabs>
                <w:tab w:val="left" w:pos="540"/>
                <w:tab w:val="left" w:pos="2700"/>
              </w:tabs>
              <w:autoSpaceDE w:val="0"/>
              <w:autoSpaceDN w:val="0"/>
              <w:adjustRightInd w:val="0"/>
              <w:spacing w:after="120" w:line="240" w:lineRule="auto"/>
              <w:jc w:val="center"/>
              <w:rPr>
                <w:sz w:val="20"/>
              </w:rPr>
            </w:pPr>
            <w:r w:rsidRPr="005D3668">
              <w:rPr>
                <w:sz w:val="20"/>
              </w:rPr>
              <w:t>With the patient in an upright position, place the tip just inside the nostril to ensure the vaccine is delivered into the nose.</w:t>
            </w:r>
          </w:p>
        </w:tc>
      </w:tr>
    </w:tbl>
    <w:p w14:paraId="58EB3711" w14:textId="5AF3C304" w:rsidR="00293E19" w:rsidRPr="00760F62" w:rsidRDefault="00293E19" w:rsidP="00B74ECF">
      <w:pPr>
        <w:spacing w:line="240" w:lineRule="auto"/>
        <w:jc w:val="center"/>
        <w:rPr>
          <w:sz w:val="20"/>
        </w:rPr>
      </w:pPr>
      <w:r>
        <w:rPr>
          <w:noProof/>
          <w:sz w:val="20"/>
          <w:lang w:eastAsia="en-AU"/>
        </w:rPr>
        <w:drawing>
          <wp:inline distT="0" distB="0" distL="0" distR="0" wp14:anchorId="2072E7AD" wp14:editId="63384566">
            <wp:extent cx="1552575" cy="1114425"/>
            <wp:effectExtent l="0" t="0" r="9525" b="9525"/>
            <wp:docPr id="9" name="Picture 9" descr="Picture 4, Figure 2 are a set of 6 visual images on how to administer the FluMist quadriva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Picture 4"/>
                    <pic:cNvPicPr>
                      <a:picLocks noChangeArrowheads="1"/>
                    </pic:cNvPicPr>
                  </pic:nvPicPr>
                  <pic:blipFill>
                    <a:blip r:embed="rId13" cstate="print"/>
                    <a:srcRect/>
                    <a:stretch>
                      <a:fillRect/>
                    </a:stretch>
                  </pic:blipFill>
                  <pic:spPr bwMode="auto">
                    <a:xfrm>
                      <a:off x="0" y="0"/>
                      <a:ext cx="1552575" cy="1114425"/>
                    </a:xfrm>
                    <a:prstGeom prst="rect">
                      <a:avLst/>
                    </a:prstGeom>
                    <a:noFill/>
                    <a:ln w="9525">
                      <a:noFill/>
                      <a:miter lim="800000"/>
                      <a:headEnd/>
                      <a:tailEnd/>
                    </a:ln>
                  </pic:spPr>
                </pic:pic>
              </a:graphicData>
            </a:graphic>
          </wp:inline>
        </w:drawing>
      </w:r>
      <w:r w:rsidR="00B74ECF">
        <w:rPr>
          <w:szCs w:val="22"/>
        </w:rPr>
        <w:t xml:space="preserve"> </w:t>
      </w:r>
      <w:r>
        <w:rPr>
          <w:noProof/>
          <w:sz w:val="20"/>
          <w:lang w:eastAsia="en-AU"/>
        </w:rPr>
        <w:drawing>
          <wp:inline distT="0" distB="0" distL="0" distR="0" wp14:anchorId="60D6A4F2" wp14:editId="1D752E4A">
            <wp:extent cx="1543050" cy="1114425"/>
            <wp:effectExtent l="0" t="0" r="0" b="9525"/>
            <wp:docPr id="10" name="Picture 10" descr="Picture 5, Figure 2 are a set of 6 visual images on how to administer the FluMist quadriva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Picture 5"/>
                    <pic:cNvPicPr>
                      <a:picLocks noChangeArrowheads="1"/>
                    </pic:cNvPicPr>
                  </pic:nvPicPr>
                  <pic:blipFill>
                    <a:blip r:embed="rId14" cstate="print"/>
                    <a:srcRect/>
                    <a:stretch>
                      <a:fillRect/>
                    </a:stretch>
                  </pic:blipFill>
                  <pic:spPr bwMode="auto">
                    <a:xfrm>
                      <a:off x="0" y="0"/>
                      <a:ext cx="1543050" cy="1114425"/>
                    </a:xfrm>
                    <a:prstGeom prst="rect">
                      <a:avLst/>
                    </a:prstGeom>
                    <a:noFill/>
                    <a:ln w="9525">
                      <a:noFill/>
                      <a:miter lim="800000"/>
                      <a:headEnd/>
                      <a:tailEnd/>
                    </a:ln>
                  </pic:spPr>
                </pic:pic>
              </a:graphicData>
            </a:graphic>
          </wp:inline>
        </w:drawing>
      </w:r>
      <w:r w:rsidR="00B74ECF">
        <w:rPr>
          <w:szCs w:val="22"/>
        </w:rPr>
        <w:t xml:space="preserve"> </w:t>
      </w:r>
      <w:r>
        <w:rPr>
          <w:noProof/>
          <w:sz w:val="20"/>
          <w:lang w:eastAsia="en-AU"/>
        </w:rPr>
        <w:drawing>
          <wp:inline distT="0" distB="0" distL="0" distR="0" wp14:anchorId="235FB9FA" wp14:editId="3E2E507F">
            <wp:extent cx="1543050" cy="1114425"/>
            <wp:effectExtent l="0" t="0" r="0" b="9525"/>
            <wp:docPr id="11" name="Picture 11" descr="Picture 6, Figure 2 are a set of 6 visual images on how to administer the FluMist quadrival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Picture 6"/>
                    <pic:cNvPicPr>
                      <a:picLocks noChangeArrowheads="1"/>
                    </pic:cNvPicPr>
                  </pic:nvPicPr>
                  <pic:blipFill>
                    <a:blip r:embed="rId15" cstate="print"/>
                    <a:srcRect/>
                    <a:stretch>
                      <a:fillRect/>
                    </a:stretch>
                  </pic:blipFill>
                  <pic:spPr bwMode="auto">
                    <a:xfrm>
                      <a:off x="0" y="0"/>
                      <a:ext cx="1543050" cy="1114425"/>
                    </a:xfrm>
                    <a:prstGeom prst="rect">
                      <a:avLst/>
                    </a:prstGeom>
                    <a:noFill/>
                    <a:ln w="9525">
                      <a:noFill/>
                      <a:miter lim="800000"/>
                      <a:headEnd/>
                      <a:tailEnd/>
                    </a:ln>
                  </pic:spPr>
                </pic:pic>
              </a:graphicData>
            </a:graphic>
          </wp:inline>
        </w:drawing>
      </w:r>
    </w:p>
    <w:tbl>
      <w:tblPr>
        <w:tblW w:w="0" w:type="auto"/>
        <w:jc w:val="center"/>
        <w:tblLook w:val="01E0" w:firstRow="1" w:lastRow="1" w:firstColumn="1" w:lastColumn="1" w:noHBand="0" w:noVBand="0"/>
        <w:tblDescription w:val="Figure 2 is a set of images providing instructions on how to administer the FluMist Quadrivalent: &#10;1. Check expiration date. Product must be used before date on applicator label.&#10;2. Remove rubber tip protector. Do not remove dose-divider clip at the other end of the applicator.&#10;3. With the patient in an upright position, place the tip just inside the nostril to ensure the vaccine is delivered into the nose.&#10;4. With a single motion, depress plunger as rapidly as possible until the dose-divider clip prevents you from going further.&#10;5. Pinch and remove the dose-divider clip from plunger.&#10;6. Place the tip just inside the other nostril and with a single motion, depress plunger as rapidly as possible to deliver remaining vaccine.&#10;Note: Active inhalation (ie sniffing) is not required by the patient during vaccine administration.&#10;Do not use FluMist Quadrivalent if damaged, for example if the plunger is loose or displaced from the sprayer or if there are any signs of leakage."/>
      </w:tblPr>
      <w:tblGrid>
        <w:gridCol w:w="2520"/>
        <w:gridCol w:w="2520"/>
        <w:gridCol w:w="2520"/>
      </w:tblGrid>
      <w:tr w:rsidR="00293E19" w:rsidRPr="005D3668" w14:paraId="3EB32EF2" w14:textId="77777777" w:rsidTr="008B69D6">
        <w:trPr>
          <w:jc w:val="center"/>
        </w:trPr>
        <w:tc>
          <w:tcPr>
            <w:tcW w:w="2520" w:type="dxa"/>
          </w:tcPr>
          <w:p w14:paraId="52AC7DF0" w14:textId="77777777" w:rsidR="00293E19" w:rsidRPr="005D3668" w:rsidRDefault="00293E19" w:rsidP="00B74ECF">
            <w:pPr>
              <w:tabs>
                <w:tab w:val="left" w:pos="540"/>
                <w:tab w:val="left" w:pos="2700"/>
              </w:tabs>
              <w:autoSpaceDE w:val="0"/>
              <w:autoSpaceDN w:val="0"/>
              <w:adjustRightInd w:val="0"/>
              <w:spacing w:after="0" w:line="240" w:lineRule="auto"/>
              <w:jc w:val="center"/>
              <w:rPr>
                <w:sz w:val="20"/>
              </w:rPr>
            </w:pPr>
            <w:r w:rsidRPr="005D3668">
              <w:rPr>
                <w:sz w:val="20"/>
              </w:rPr>
              <w:t xml:space="preserve">With a single motion, depress plunger </w:t>
            </w:r>
            <w:r w:rsidRPr="005D3668">
              <w:rPr>
                <w:b/>
                <w:sz w:val="20"/>
              </w:rPr>
              <w:t>as rapidly as possible</w:t>
            </w:r>
            <w:r w:rsidRPr="005D3668">
              <w:rPr>
                <w:sz w:val="20"/>
              </w:rPr>
              <w:t xml:space="preserve"> until the dose-divider clip prevents you from going further.</w:t>
            </w:r>
          </w:p>
        </w:tc>
        <w:tc>
          <w:tcPr>
            <w:tcW w:w="2520" w:type="dxa"/>
          </w:tcPr>
          <w:p w14:paraId="3E683635" w14:textId="77777777" w:rsidR="00293E19" w:rsidRPr="005D3668" w:rsidRDefault="00293E19" w:rsidP="00B74ECF">
            <w:pPr>
              <w:tabs>
                <w:tab w:val="left" w:pos="540"/>
                <w:tab w:val="left" w:pos="2700"/>
              </w:tabs>
              <w:autoSpaceDE w:val="0"/>
              <w:autoSpaceDN w:val="0"/>
              <w:adjustRightInd w:val="0"/>
              <w:spacing w:after="0" w:line="240" w:lineRule="auto"/>
              <w:jc w:val="center"/>
              <w:rPr>
                <w:sz w:val="20"/>
              </w:rPr>
            </w:pPr>
            <w:r w:rsidRPr="005D3668">
              <w:rPr>
                <w:sz w:val="20"/>
              </w:rPr>
              <w:t>Pinch and remove the dose-divider clip from plunger.</w:t>
            </w:r>
          </w:p>
        </w:tc>
        <w:tc>
          <w:tcPr>
            <w:tcW w:w="2520" w:type="dxa"/>
          </w:tcPr>
          <w:p w14:paraId="3EF456D0" w14:textId="77777777" w:rsidR="00293E19" w:rsidRPr="005D3668" w:rsidRDefault="00293E19" w:rsidP="00B74ECF">
            <w:pPr>
              <w:tabs>
                <w:tab w:val="left" w:pos="540"/>
                <w:tab w:val="left" w:pos="2700"/>
              </w:tabs>
              <w:autoSpaceDE w:val="0"/>
              <w:autoSpaceDN w:val="0"/>
              <w:adjustRightInd w:val="0"/>
              <w:spacing w:after="0" w:line="240" w:lineRule="auto"/>
              <w:jc w:val="center"/>
              <w:rPr>
                <w:sz w:val="20"/>
              </w:rPr>
            </w:pPr>
            <w:r w:rsidRPr="005D3668">
              <w:rPr>
                <w:sz w:val="20"/>
              </w:rPr>
              <w:t xml:space="preserve">Place the tip just inside the other nostril and with a single motion, depress plunger </w:t>
            </w:r>
            <w:r w:rsidRPr="005D3668">
              <w:rPr>
                <w:b/>
                <w:sz w:val="20"/>
              </w:rPr>
              <w:t>as rapidly as possible</w:t>
            </w:r>
            <w:r w:rsidRPr="005D3668">
              <w:rPr>
                <w:sz w:val="20"/>
              </w:rPr>
              <w:t xml:space="preserve"> to deliver remaining vaccine.</w:t>
            </w:r>
          </w:p>
        </w:tc>
      </w:tr>
      <w:tr w:rsidR="00A23709" w:rsidRPr="00442D55" w14:paraId="50C5A60D" w14:textId="77777777" w:rsidTr="008B69D6">
        <w:trPr>
          <w:jc w:val="center"/>
        </w:trPr>
        <w:tc>
          <w:tcPr>
            <w:tcW w:w="7560" w:type="dxa"/>
            <w:gridSpan w:val="3"/>
          </w:tcPr>
          <w:p w14:paraId="7B1CDB64" w14:textId="4AD83762" w:rsidR="004A3775" w:rsidRPr="00442D55" w:rsidRDefault="00A23709" w:rsidP="00B74ECF">
            <w:pPr>
              <w:spacing w:after="0" w:line="240" w:lineRule="auto"/>
              <w:rPr>
                <w:sz w:val="20"/>
              </w:rPr>
            </w:pPr>
            <w:r w:rsidRPr="00442D55">
              <w:rPr>
                <w:noProof/>
                <w:sz w:val="20"/>
                <w:lang w:eastAsia="en-AU"/>
              </w:rPr>
              <w:drawing>
                <wp:inline distT="0" distB="0" distL="0" distR="0" wp14:anchorId="676D36BA" wp14:editId="484C31C0">
                  <wp:extent cx="1409700" cy="371475"/>
                  <wp:effectExtent l="0" t="0" r="0" b="9525"/>
                  <wp:docPr id="4" name="Picture 3" descr="DO NOT INJECT. DO NOT USE A NEE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1409700" cy="371475"/>
                          </a:xfrm>
                          <a:prstGeom prst="rect">
                            <a:avLst/>
                          </a:prstGeom>
                          <a:noFill/>
                          <a:ln w="9525">
                            <a:noFill/>
                            <a:miter lim="800000"/>
                            <a:headEnd/>
                            <a:tailEnd/>
                          </a:ln>
                        </pic:spPr>
                      </pic:pic>
                    </a:graphicData>
                  </a:graphic>
                </wp:inline>
              </w:drawing>
            </w:r>
            <w:r w:rsidRPr="00442D55">
              <w:rPr>
                <w:b/>
                <w:sz w:val="20"/>
              </w:rPr>
              <w:t>DO NOT INJECT.</w:t>
            </w:r>
            <w:r w:rsidR="00B74ECF">
              <w:rPr>
                <w:b/>
                <w:sz w:val="20"/>
              </w:rPr>
              <w:t xml:space="preserve"> </w:t>
            </w:r>
            <w:r w:rsidRPr="00442D55">
              <w:rPr>
                <w:b/>
                <w:sz w:val="20"/>
              </w:rPr>
              <w:t>DO NOT USE A NEEDLE</w:t>
            </w:r>
            <w:r w:rsidRPr="00442D55">
              <w:rPr>
                <w:sz w:val="20"/>
              </w:rPr>
              <w:t>.</w:t>
            </w:r>
          </w:p>
          <w:p w14:paraId="1D199799" w14:textId="40F8138B" w:rsidR="00A23709" w:rsidRPr="00442D55" w:rsidRDefault="00A23709" w:rsidP="00B74ECF">
            <w:pPr>
              <w:spacing w:after="0" w:line="240" w:lineRule="auto"/>
              <w:rPr>
                <w:sz w:val="20"/>
              </w:rPr>
            </w:pPr>
            <w:r w:rsidRPr="00442D55">
              <w:rPr>
                <w:b/>
                <w:sz w:val="20"/>
              </w:rPr>
              <w:t>Note</w:t>
            </w:r>
            <w:r w:rsidRPr="00442D55">
              <w:rPr>
                <w:sz w:val="20"/>
              </w:rPr>
              <w:t>: Active inhalation (</w:t>
            </w:r>
            <w:proofErr w:type="spellStart"/>
            <w:r w:rsidRPr="00442D55">
              <w:rPr>
                <w:sz w:val="20"/>
              </w:rPr>
              <w:t>ie</w:t>
            </w:r>
            <w:proofErr w:type="spellEnd"/>
            <w:r w:rsidRPr="00442D55">
              <w:rPr>
                <w:sz w:val="20"/>
              </w:rPr>
              <w:t xml:space="preserve"> sniffing) is not required by the patient during vaccine administration.</w:t>
            </w:r>
          </w:p>
          <w:p w14:paraId="27A71B0E" w14:textId="77777777" w:rsidR="00A23709" w:rsidRPr="00442D55" w:rsidRDefault="004A3775" w:rsidP="00B74ECF">
            <w:pPr>
              <w:rPr>
                <w:sz w:val="20"/>
              </w:rPr>
            </w:pPr>
            <w:r w:rsidRPr="00442D55">
              <w:rPr>
                <w:sz w:val="20"/>
              </w:rPr>
              <w:t xml:space="preserve">Do not use </w:t>
            </w:r>
            <w:proofErr w:type="spellStart"/>
            <w:r w:rsidRPr="00442D55">
              <w:rPr>
                <w:sz w:val="20"/>
              </w:rPr>
              <w:t>FluMist</w:t>
            </w:r>
            <w:proofErr w:type="spellEnd"/>
            <w:r w:rsidRPr="00442D55">
              <w:rPr>
                <w:sz w:val="20"/>
              </w:rPr>
              <w:t xml:space="preserve"> </w:t>
            </w:r>
            <w:proofErr w:type="spellStart"/>
            <w:r w:rsidRPr="00442D55">
              <w:rPr>
                <w:sz w:val="20"/>
              </w:rPr>
              <w:t>Quadrivalent</w:t>
            </w:r>
            <w:proofErr w:type="spellEnd"/>
            <w:r w:rsidRPr="00442D55">
              <w:rPr>
                <w:sz w:val="20"/>
              </w:rPr>
              <w:t xml:space="preserve"> if damaged, for example if the plunger is loose or displaced from the sprayer or if there are any signs of leakage.</w:t>
            </w:r>
          </w:p>
        </w:tc>
      </w:tr>
    </w:tbl>
    <w:p w14:paraId="53C6E9A1" w14:textId="77777777" w:rsidR="00922A50" w:rsidRDefault="00922A50">
      <w:pPr>
        <w:pStyle w:val="A-Heading1"/>
        <w:rPr>
          <w:lang w:val="en-AU"/>
        </w:rPr>
      </w:pPr>
      <w:r>
        <w:rPr>
          <w:lang w:val="en-AU"/>
        </w:rPr>
        <w:t>OVERDOSAGE</w:t>
      </w:r>
    </w:p>
    <w:p w14:paraId="10FDA1CE" w14:textId="79E39CEC" w:rsidR="00D6121F" w:rsidRPr="00D6121F" w:rsidRDefault="00D6121F" w:rsidP="00D6121F">
      <w:r>
        <w:t xml:space="preserve">There have been occasional reports of administration of twice the recommended dose of </w:t>
      </w:r>
      <w:proofErr w:type="spellStart"/>
      <w:r w:rsidR="00095EAF">
        <w:t>FluMist</w:t>
      </w:r>
      <w:proofErr w:type="spellEnd"/>
      <w:r w:rsidR="00095EAF">
        <w:t xml:space="preserve"> </w:t>
      </w:r>
      <w:proofErr w:type="spellStart"/>
      <w:r w:rsidR="00095EAF">
        <w:t>Quadrivalent</w:t>
      </w:r>
      <w:proofErr w:type="spellEnd"/>
      <w:r>
        <w:t xml:space="preserve"> and trivalent version of </w:t>
      </w:r>
      <w:proofErr w:type="spellStart"/>
      <w:r w:rsidR="00095EAF">
        <w:t>FluMist</w:t>
      </w:r>
      <w:proofErr w:type="spellEnd"/>
      <w:r w:rsidR="00095EAF">
        <w:t xml:space="preserve"> </w:t>
      </w:r>
      <w:r>
        <w:t xml:space="preserve">in the post-marketing </w:t>
      </w:r>
      <w:r>
        <w:lastRenderedPageBreak/>
        <w:t>setting.</w:t>
      </w:r>
      <w:r w:rsidR="00B74ECF">
        <w:t xml:space="preserve"> </w:t>
      </w:r>
      <w:r>
        <w:t xml:space="preserve">The adverse reactions reported were similar to those seen with the recommended single dose of </w:t>
      </w:r>
      <w:proofErr w:type="spellStart"/>
      <w:r w:rsidR="00095EAF">
        <w:t>FluMist</w:t>
      </w:r>
      <w:proofErr w:type="spellEnd"/>
      <w:r w:rsidR="00095EAF">
        <w:t xml:space="preserve"> </w:t>
      </w:r>
      <w:proofErr w:type="spellStart"/>
      <w:r w:rsidR="00095EAF">
        <w:t>Quadrivalent</w:t>
      </w:r>
      <w:proofErr w:type="spellEnd"/>
      <w:r>
        <w:t>.</w:t>
      </w:r>
    </w:p>
    <w:p w14:paraId="6D3506EB" w14:textId="77777777" w:rsidR="00922A50" w:rsidRPr="00D6121F" w:rsidRDefault="00F52A25" w:rsidP="009F2FF2">
      <w:r w:rsidRPr="00D6121F">
        <w:t>For information on the management of overdose, c</w:t>
      </w:r>
      <w:r w:rsidR="00922A50" w:rsidRPr="00D6121F">
        <w:t>ontact the Poison Information Centre on 131126</w:t>
      </w:r>
      <w:r w:rsidRPr="00D6121F">
        <w:t xml:space="preserve"> (Australia)</w:t>
      </w:r>
      <w:r w:rsidR="009F2FF2">
        <w:t>.</w:t>
      </w:r>
    </w:p>
    <w:p w14:paraId="26575039" w14:textId="77777777" w:rsidR="00922A50" w:rsidRPr="00284F9B" w:rsidRDefault="00922A50" w:rsidP="00284F9B">
      <w:pPr>
        <w:pStyle w:val="A-Heading1"/>
        <w:rPr>
          <w:lang w:val="en-AU"/>
        </w:rPr>
      </w:pPr>
      <w:r w:rsidRPr="00284F9B">
        <w:rPr>
          <w:lang w:val="en-AU"/>
        </w:rPr>
        <w:t>PRESENTATION AND STORAGE CONDITIONS</w:t>
      </w:r>
    </w:p>
    <w:p w14:paraId="7EAD4F14" w14:textId="4CB9BF31" w:rsidR="0038024A" w:rsidRPr="00B3423A" w:rsidRDefault="00396CC2" w:rsidP="00284F9B">
      <w:proofErr w:type="spellStart"/>
      <w:r w:rsidRPr="00B3423A">
        <w:t>FluMist</w:t>
      </w:r>
      <w:proofErr w:type="spellEnd"/>
      <w:r w:rsidRPr="00B3423A">
        <w:t xml:space="preserve"> </w:t>
      </w:r>
      <w:proofErr w:type="spellStart"/>
      <w:r w:rsidRPr="00B3423A">
        <w:t>Quadrivalent</w:t>
      </w:r>
      <w:proofErr w:type="spellEnd"/>
      <w:r w:rsidRPr="00B3423A">
        <w:t xml:space="preserve"> nasal spray is a </w:t>
      </w:r>
      <w:r w:rsidR="00D06003">
        <w:t>200 </w:t>
      </w:r>
      <w:r w:rsidR="00D06003">
        <w:rPr>
          <w:rFonts w:cs="Arial"/>
        </w:rPr>
        <w:t>µ</w:t>
      </w:r>
      <w:r w:rsidR="00D06003">
        <w:t xml:space="preserve">L </w:t>
      </w:r>
      <w:r w:rsidRPr="00B3423A">
        <w:t xml:space="preserve">suspension in a </w:t>
      </w:r>
      <w:r w:rsidR="000C63B9" w:rsidRPr="00B3423A">
        <w:t xml:space="preserve">pre-filled, single-use </w:t>
      </w:r>
      <w:r w:rsidR="003B6C36" w:rsidRPr="00B3423A">
        <w:t>nasal applicator</w:t>
      </w:r>
      <w:r w:rsidR="004941C2" w:rsidRPr="00B3423A">
        <w:t xml:space="preserve"> (</w:t>
      </w:r>
      <w:r w:rsidRPr="00B3423A">
        <w:t>Type 1 glass) with a nozzle (polypropylene with polyethylene transfer valve), nozzle tip-protector cap (synthetic rubber), plunger rod, plunger-stopper (butyl rubber) and a dose-divider clip</w:t>
      </w:r>
      <w:r w:rsidR="004941C2" w:rsidRPr="00B3423A">
        <w:t>.</w:t>
      </w:r>
      <w:r w:rsidR="00B74ECF">
        <w:t xml:space="preserve"> </w:t>
      </w:r>
      <w:r w:rsidR="0038024A" w:rsidRPr="00B3423A">
        <w:t xml:space="preserve">The </w:t>
      </w:r>
      <w:r w:rsidR="003B6C36" w:rsidRPr="00B3423A">
        <w:t>nasal applicator</w:t>
      </w:r>
      <w:r w:rsidR="0038024A" w:rsidRPr="00B3423A">
        <w:t xml:space="preserve"> contains no latex.</w:t>
      </w:r>
    </w:p>
    <w:p w14:paraId="59BFB131" w14:textId="77777777" w:rsidR="00396CC2" w:rsidRPr="00B3423A" w:rsidRDefault="00396CC2" w:rsidP="00284F9B">
      <w:r w:rsidRPr="00B3423A">
        <w:t xml:space="preserve">The </w:t>
      </w:r>
      <w:r w:rsidR="004941C2" w:rsidRPr="00B3423A">
        <w:t xml:space="preserve">ingredients </w:t>
      </w:r>
      <w:r w:rsidRPr="00B3423A">
        <w:t xml:space="preserve">of the nasal </w:t>
      </w:r>
      <w:r w:rsidR="0038024A" w:rsidRPr="00B3423A">
        <w:t>spray</w:t>
      </w:r>
      <w:r w:rsidRPr="00B3423A">
        <w:t xml:space="preserve"> are</w:t>
      </w:r>
      <w:r w:rsidR="004941C2" w:rsidRPr="00B3423A">
        <w:t xml:space="preserve"> detailed in the </w:t>
      </w:r>
      <w:r w:rsidR="004941C2" w:rsidRPr="00B3423A">
        <w:rPr>
          <w:i/>
        </w:rPr>
        <w:t>Description</w:t>
      </w:r>
      <w:r w:rsidRPr="00B3423A">
        <w:t xml:space="preserve"> section above.</w:t>
      </w:r>
    </w:p>
    <w:p w14:paraId="29FD999E" w14:textId="512B0E4B" w:rsidR="004941C2" w:rsidRPr="004941C2" w:rsidRDefault="004941C2" w:rsidP="00284F9B">
      <w:r w:rsidRPr="00B3423A">
        <w:t xml:space="preserve">Packs of 1 or 10 </w:t>
      </w:r>
      <w:r w:rsidR="003B6C36" w:rsidRPr="00B3423A">
        <w:t>nasal applicators</w:t>
      </w:r>
      <w:r w:rsidR="0038024A" w:rsidRPr="00B3423A">
        <w:t xml:space="preserve"> are registered.</w:t>
      </w:r>
      <w:r w:rsidR="00B74ECF">
        <w:t xml:space="preserve"> </w:t>
      </w:r>
      <w:r w:rsidRPr="00B3423A">
        <w:t xml:space="preserve">Not all </w:t>
      </w:r>
      <w:r w:rsidR="00396CC2" w:rsidRPr="00B3423A">
        <w:t>pack sizes</w:t>
      </w:r>
      <w:r w:rsidRPr="00B3423A">
        <w:t xml:space="preserve"> may be available in Australia.</w:t>
      </w:r>
    </w:p>
    <w:p w14:paraId="00FAFCB2" w14:textId="77777777" w:rsidR="0028252C" w:rsidRPr="00567102" w:rsidRDefault="00370C18" w:rsidP="00370C18">
      <w:pPr>
        <w:pStyle w:val="A-Heading2"/>
      </w:pPr>
      <w:r w:rsidRPr="00B3423A">
        <w:t>S</w:t>
      </w:r>
      <w:r w:rsidR="0028252C" w:rsidRPr="00B3423A">
        <w:t>torage conditions</w:t>
      </w:r>
    </w:p>
    <w:p w14:paraId="37BCF847" w14:textId="7D640AE4" w:rsidR="00A8342A" w:rsidRPr="00B3423A" w:rsidRDefault="00A8342A" w:rsidP="00AC22A7">
      <w:r>
        <w:t>Store at 2</w:t>
      </w:r>
      <w:r>
        <w:rPr>
          <w:rFonts w:cs="Arial"/>
        </w:rPr>
        <w:t>º</w:t>
      </w:r>
      <w:r>
        <w:t>C to 8</w:t>
      </w:r>
      <w:r>
        <w:rPr>
          <w:rFonts w:cs="Arial"/>
        </w:rPr>
        <w:t>º</w:t>
      </w:r>
      <w:r>
        <w:t>C (Refrigerate.</w:t>
      </w:r>
      <w:r w:rsidR="00B74ECF">
        <w:t xml:space="preserve"> </w:t>
      </w:r>
      <w:r>
        <w:t>Do not freeze).</w:t>
      </w:r>
    </w:p>
    <w:p w14:paraId="678D9DCC" w14:textId="471273F4" w:rsidR="00AC22A7" w:rsidRPr="004A6AA8" w:rsidRDefault="00AC22A7" w:rsidP="00AC22A7">
      <w:r w:rsidRPr="004A6AA8">
        <w:t>A single temperat</w:t>
      </w:r>
      <w:r w:rsidR="002708E8" w:rsidRPr="004A6AA8">
        <w:t>ure excursion up to 25°C for 12 </w:t>
      </w:r>
      <w:r w:rsidRPr="004A6AA8">
        <w:t>hours has been shown to have no adverse impact on the vaccine.</w:t>
      </w:r>
      <w:r w:rsidR="00B74ECF">
        <w:t xml:space="preserve"> </w:t>
      </w:r>
      <w:r w:rsidRPr="004A6AA8">
        <w:t>After a temperature excursion, the vaccine should be returned immediately to the recommended storage condition (2°C</w:t>
      </w:r>
      <w:r w:rsidR="00A8342A" w:rsidRPr="004A6AA8">
        <w:t xml:space="preserve"> to </w:t>
      </w:r>
      <w:r w:rsidRPr="004A6AA8">
        <w:t>8°C) and used as soon as feasible.</w:t>
      </w:r>
      <w:r w:rsidR="00B74ECF">
        <w:t xml:space="preserve"> </w:t>
      </w:r>
      <w:r w:rsidRPr="004A6AA8">
        <w:t>Subsequent excursions are not permitted.</w:t>
      </w:r>
    </w:p>
    <w:p w14:paraId="3EEB96E4" w14:textId="77777777" w:rsidR="0038024A" w:rsidRDefault="00A5586A" w:rsidP="00AC22A7">
      <w:r w:rsidRPr="00B3423A">
        <w:t xml:space="preserve">Keep the nasal </w:t>
      </w:r>
      <w:r w:rsidR="003B6C36" w:rsidRPr="00B3423A">
        <w:t>applicator</w:t>
      </w:r>
      <w:r w:rsidRPr="00B3423A">
        <w:t xml:space="preserve"> in the carton in order to protect from light.</w:t>
      </w:r>
    </w:p>
    <w:p w14:paraId="6F08855D" w14:textId="77777777" w:rsidR="00922A50" w:rsidRDefault="00922A50">
      <w:pPr>
        <w:pStyle w:val="A-Heading1"/>
        <w:rPr>
          <w:lang w:val="en-AU"/>
        </w:rPr>
      </w:pPr>
      <w:r>
        <w:rPr>
          <w:lang w:val="en-AU"/>
        </w:rPr>
        <w:t xml:space="preserve">NAME AND ADDRESS OF </w:t>
      </w:r>
      <w:r w:rsidR="0028252C">
        <w:rPr>
          <w:lang w:val="en-AU"/>
        </w:rPr>
        <w:t xml:space="preserve">THE </w:t>
      </w:r>
      <w:r>
        <w:rPr>
          <w:lang w:val="en-AU"/>
        </w:rPr>
        <w:t>SPONSOR</w:t>
      </w:r>
    </w:p>
    <w:p w14:paraId="34F12723" w14:textId="3D9FD0DC" w:rsidR="00922A50" w:rsidRDefault="00922A50">
      <w:r>
        <w:t>AstraZeneca Pty Ltd</w:t>
      </w:r>
      <w:r>
        <w:br/>
        <w:t>ABN 54 009 682 311</w:t>
      </w:r>
      <w:r>
        <w:br/>
      </w:r>
      <w:r w:rsidR="00434B94">
        <w:t>66 Talavera Road</w:t>
      </w:r>
      <w:r>
        <w:br/>
      </w:r>
      <w:r w:rsidR="00434B94">
        <w:t>MACQUARIE PARK</w:t>
      </w:r>
      <w:r>
        <w:t xml:space="preserve"> NSW 2113</w:t>
      </w:r>
    </w:p>
    <w:p w14:paraId="2277485A" w14:textId="77777777" w:rsidR="00922A50" w:rsidRDefault="00922A50">
      <w:pPr>
        <w:pStyle w:val="A-Heading1"/>
        <w:rPr>
          <w:lang w:val="en-AU"/>
        </w:rPr>
      </w:pPr>
      <w:r>
        <w:rPr>
          <w:lang w:val="en-AU"/>
        </w:rPr>
        <w:t>POISON SCHEDULE OF THE MEDICINE</w:t>
      </w:r>
    </w:p>
    <w:p w14:paraId="551F67FB" w14:textId="77777777" w:rsidR="00922A50" w:rsidRDefault="00922A50">
      <w:r>
        <w:t>Prescription only medicine (Schedule 4)</w:t>
      </w:r>
    </w:p>
    <w:p w14:paraId="30E4E65F" w14:textId="77777777" w:rsidR="00922A50" w:rsidRDefault="00922A50">
      <w:pPr>
        <w:pStyle w:val="A-Heading1"/>
        <w:rPr>
          <w:lang w:val="en-AU"/>
        </w:rPr>
      </w:pPr>
      <w:r>
        <w:rPr>
          <w:lang w:val="en-AU"/>
        </w:rPr>
        <w:t xml:space="preserve">DATE OF </w:t>
      </w:r>
      <w:r w:rsidR="0028252C">
        <w:rPr>
          <w:lang w:val="en-AU"/>
        </w:rPr>
        <w:t>first inclusion in the australian register of therapeutic goods (the artg)</w:t>
      </w:r>
    </w:p>
    <w:p w14:paraId="58668A59" w14:textId="77777777" w:rsidR="00CC7382" w:rsidRDefault="00CC7382" w:rsidP="00CC7382">
      <w:r w:rsidRPr="001A0E45">
        <w:t>&lt;&lt;TBC&gt;&gt;</w:t>
      </w:r>
    </w:p>
    <w:p w14:paraId="70D66F3E" w14:textId="77777777" w:rsidR="0028252C" w:rsidRDefault="0028252C" w:rsidP="0028252C">
      <w:pPr>
        <w:pStyle w:val="A-Heading1"/>
        <w:rPr>
          <w:lang w:val="en-AU"/>
        </w:rPr>
      </w:pPr>
      <w:r>
        <w:rPr>
          <w:lang w:val="en-AU"/>
        </w:rPr>
        <w:t>DATE OF MOST RECENT AMENDMENT</w:t>
      </w:r>
    </w:p>
    <w:p w14:paraId="6D76817A" w14:textId="4F200BEF" w:rsidR="00CC7382" w:rsidRDefault="00CC7382" w:rsidP="00CC7382">
      <w:r w:rsidRPr="001A0E45">
        <w:t xml:space="preserve">N/A &lt;&lt; draft </w:t>
      </w:r>
      <w:r w:rsidR="001A0E45">
        <w:t>12 October</w:t>
      </w:r>
      <w:r w:rsidR="00932076" w:rsidRPr="001A0E45">
        <w:t xml:space="preserve"> 2016</w:t>
      </w:r>
      <w:r w:rsidRPr="001A0E45">
        <w:t>&gt;&gt;</w:t>
      </w:r>
    </w:p>
    <w:p w14:paraId="448284F3" w14:textId="77777777" w:rsidR="00922A50" w:rsidRDefault="009F2FF2">
      <w:proofErr w:type="spellStart"/>
      <w:r>
        <w:lastRenderedPageBreak/>
        <w:t>FluMist</w:t>
      </w:r>
      <w:proofErr w:type="spellEnd"/>
      <w:r w:rsidR="00922A50">
        <w:t xml:space="preserve"> is a </w:t>
      </w:r>
      <w:r>
        <w:t xml:space="preserve">registered </w:t>
      </w:r>
      <w:r w:rsidR="00922A50">
        <w:t xml:space="preserve">trade mark of the </w:t>
      </w:r>
      <w:r w:rsidR="000C63B9">
        <w:t>AstraZeneca group of companies</w:t>
      </w:r>
      <w:r>
        <w:t>.</w:t>
      </w:r>
    </w:p>
    <w:p w14:paraId="5E333784" w14:textId="4BAAA813" w:rsidR="00922A50" w:rsidRDefault="00922A50">
      <w:r>
        <w:rPr>
          <w:rFonts w:cs="Arial"/>
          <w:vertAlign w:val="superscript"/>
        </w:rPr>
        <w:t>©</w:t>
      </w:r>
      <w:r>
        <w:rPr>
          <w:rFonts w:cs="Arial"/>
        </w:rPr>
        <w:t xml:space="preserve"> </w:t>
      </w:r>
      <w:r>
        <w:t xml:space="preserve">AstraZeneca, </w:t>
      </w:r>
      <w:r w:rsidR="009F2FF2">
        <w:t>201</w:t>
      </w:r>
      <w:r w:rsidR="00932076">
        <w:t>6</w:t>
      </w:r>
    </w:p>
    <w:p w14:paraId="4B59E35D" w14:textId="12DA74DF" w:rsidR="00BE63E9" w:rsidRPr="00BE63E9" w:rsidRDefault="00BE63E9" w:rsidP="00BE63E9">
      <w:pPr>
        <w:pStyle w:val="A-Heading1"/>
      </w:pPr>
      <w:r w:rsidRPr="00BE63E9">
        <w:t>REFERENCES</w:t>
      </w:r>
    </w:p>
    <w:p w14:paraId="78B189BE" w14:textId="6792EE06" w:rsidR="00BE63E9" w:rsidRPr="00BE63E9" w:rsidRDefault="003F61E7" w:rsidP="00380F07">
      <w:pPr>
        <w:spacing w:after="120" w:line="240" w:lineRule="auto"/>
        <w:rPr>
          <w:sz w:val="20"/>
        </w:rPr>
      </w:pPr>
      <w:r w:rsidRPr="003F61E7">
        <w:rPr>
          <w:sz w:val="20"/>
        </w:rPr>
        <w:t xml:space="preserve">Ashkenazi S et al. Superior relative efficacy of live attenuated influenza vaccine compared with inactivated influenza vaccine in young children with recurrent respiratory tract infections. </w:t>
      </w:r>
      <w:proofErr w:type="spellStart"/>
      <w:r w:rsidRPr="003F61E7">
        <w:rPr>
          <w:sz w:val="20"/>
        </w:rPr>
        <w:t>Pediatr</w:t>
      </w:r>
      <w:proofErr w:type="spellEnd"/>
      <w:r w:rsidRPr="003F61E7">
        <w:rPr>
          <w:sz w:val="20"/>
        </w:rPr>
        <w:t xml:space="preserve"> Infect Dis J 2006</w:t>
      </w:r>
      <w:proofErr w:type="gramStart"/>
      <w:r w:rsidRPr="003F61E7">
        <w:rPr>
          <w:sz w:val="20"/>
        </w:rPr>
        <w:t>;25</w:t>
      </w:r>
      <w:proofErr w:type="gramEnd"/>
      <w:r w:rsidRPr="003F61E7">
        <w:rPr>
          <w:sz w:val="20"/>
        </w:rPr>
        <w:t>(10):870-879</w:t>
      </w:r>
    </w:p>
    <w:p w14:paraId="1584D469" w14:textId="49A22E30" w:rsidR="00BE63E9" w:rsidRPr="00BE63E9" w:rsidRDefault="003F61E7" w:rsidP="00380F07">
      <w:pPr>
        <w:spacing w:after="120" w:line="240" w:lineRule="auto"/>
        <w:rPr>
          <w:sz w:val="20"/>
        </w:rPr>
      </w:pPr>
      <w:proofErr w:type="spellStart"/>
      <w:proofErr w:type="gramStart"/>
      <w:r w:rsidRPr="003F61E7">
        <w:rPr>
          <w:sz w:val="20"/>
        </w:rPr>
        <w:t>Belshe</w:t>
      </w:r>
      <w:proofErr w:type="spellEnd"/>
      <w:r w:rsidRPr="003F61E7">
        <w:rPr>
          <w:sz w:val="20"/>
        </w:rPr>
        <w:t xml:space="preserve"> RB et al.</w:t>
      </w:r>
      <w:proofErr w:type="gramEnd"/>
      <w:r w:rsidRPr="003F61E7">
        <w:rPr>
          <w:sz w:val="20"/>
        </w:rPr>
        <w:t xml:space="preserve"> </w:t>
      </w:r>
      <w:proofErr w:type="gramStart"/>
      <w:r w:rsidRPr="003F61E7">
        <w:rPr>
          <w:sz w:val="20"/>
        </w:rPr>
        <w:t>The efficacy of live attenuated, cold-adapted, trivalent, intranasal influenza</w:t>
      </w:r>
      <w:r w:rsidR="00BC0C20">
        <w:rPr>
          <w:sz w:val="20"/>
        </w:rPr>
        <w:t xml:space="preserve"> </w:t>
      </w:r>
      <w:r w:rsidRPr="003F61E7">
        <w:rPr>
          <w:sz w:val="20"/>
        </w:rPr>
        <w:t>virus vaccine in children.</w:t>
      </w:r>
      <w:proofErr w:type="gramEnd"/>
      <w:r w:rsidRPr="003F61E7">
        <w:rPr>
          <w:sz w:val="20"/>
        </w:rPr>
        <w:t xml:space="preserve"> N </w:t>
      </w:r>
      <w:proofErr w:type="spellStart"/>
      <w:r w:rsidRPr="003F61E7">
        <w:rPr>
          <w:sz w:val="20"/>
        </w:rPr>
        <w:t>Engl</w:t>
      </w:r>
      <w:proofErr w:type="spellEnd"/>
      <w:r w:rsidRPr="003F61E7">
        <w:rPr>
          <w:sz w:val="20"/>
        </w:rPr>
        <w:t xml:space="preserve"> J Med 1998</w:t>
      </w:r>
      <w:proofErr w:type="gramStart"/>
      <w:r w:rsidRPr="003F61E7">
        <w:rPr>
          <w:sz w:val="20"/>
        </w:rPr>
        <w:t>;338</w:t>
      </w:r>
      <w:proofErr w:type="gramEnd"/>
      <w:r w:rsidRPr="003F61E7">
        <w:rPr>
          <w:sz w:val="20"/>
        </w:rPr>
        <w:t>(20):1405-1412</w:t>
      </w:r>
    </w:p>
    <w:p w14:paraId="23D56CE1" w14:textId="049018F9" w:rsidR="00BE63E9" w:rsidRDefault="003F61E7" w:rsidP="00380F07">
      <w:pPr>
        <w:spacing w:after="120" w:line="240" w:lineRule="auto"/>
        <w:rPr>
          <w:sz w:val="20"/>
        </w:rPr>
      </w:pPr>
      <w:proofErr w:type="spellStart"/>
      <w:r w:rsidRPr="00C56AFF">
        <w:rPr>
          <w:sz w:val="20"/>
        </w:rPr>
        <w:t>Belshe</w:t>
      </w:r>
      <w:proofErr w:type="spellEnd"/>
      <w:r w:rsidRPr="00C56AFF">
        <w:rPr>
          <w:sz w:val="20"/>
        </w:rPr>
        <w:t xml:space="preserve"> RB et al. Correlates of immune protection induced by live, attenuated, cold-adapted, trivalent, intranasal influenza virus vaccine. J Infect Dis 2000</w:t>
      </w:r>
      <w:proofErr w:type="gramStart"/>
      <w:r w:rsidRPr="00C56AFF">
        <w:rPr>
          <w:sz w:val="20"/>
        </w:rPr>
        <w:t>;181</w:t>
      </w:r>
      <w:proofErr w:type="gramEnd"/>
      <w:r w:rsidRPr="00C56AFF">
        <w:rPr>
          <w:sz w:val="20"/>
        </w:rPr>
        <w:t>(3):1133-1137</w:t>
      </w:r>
    </w:p>
    <w:p w14:paraId="235D3503" w14:textId="6F57CE51" w:rsidR="00E52406" w:rsidRPr="00C56AFF" w:rsidRDefault="00E52406" w:rsidP="00380F07">
      <w:pPr>
        <w:spacing w:after="120" w:line="240" w:lineRule="auto"/>
        <w:rPr>
          <w:sz w:val="20"/>
        </w:rPr>
      </w:pPr>
      <w:proofErr w:type="spellStart"/>
      <w:r w:rsidRPr="00E52406">
        <w:rPr>
          <w:sz w:val="20"/>
        </w:rPr>
        <w:t>Belshe</w:t>
      </w:r>
      <w:proofErr w:type="spellEnd"/>
      <w:r w:rsidRPr="00E52406">
        <w:rPr>
          <w:sz w:val="20"/>
        </w:rPr>
        <w:t xml:space="preserve"> et al. Efficacy of vaccination with live attenuated, cold-adapted, trivalent, intranasal virus vaccine against a variant (A/Sydney) not contained in the vaccine, J </w:t>
      </w:r>
      <w:proofErr w:type="spellStart"/>
      <w:r w:rsidRPr="00E52406">
        <w:rPr>
          <w:sz w:val="20"/>
        </w:rPr>
        <w:t>Pediatr</w:t>
      </w:r>
      <w:proofErr w:type="spellEnd"/>
      <w:r w:rsidRPr="00E52406">
        <w:rPr>
          <w:sz w:val="20"/>
        </w:rPr>
        <w:t xml:space="preserve"> 2000; 136(2):168-175</w:t>
      </w:r>
    </w:p>
    <w:p w14:paraId="2CBCE609" w14:textId="2469C11B" w:rsidR="003F61E7" w:rsidRDefault="003F61E7" w:rsidP="00380F07">
      <w:pPr>
        <w:spacing w:after="120" w:line="240" w:lineRule="auto"/>
        <w:rPr>
          <w:sz w:val="20"/>
        </w:rPr>
      </w:pPr>
      <w:proofErr w:type="spellStart"/>
      <w:r w:rsidRPr="003F61E7">
        <w:rPr>
          <w:sz w:val="20"/>
        </w:rPr>
        <w:t>Belshe</w:t>
      </w:r>
      <w:proofErr w:type="spellEnd"/>
      <w:r w:rsidRPr="003F61E7">
        <w:rPr>
          <w:sz w:val="20"/>
        </w:rPr>
        <w:t xml:space="preserve"> RB et al. Live attenuated versus inactivated influenza vaccine in infants and young children. N </w:t>
      </w:r>
      <w:proofErr w:type="spellStart"/>
      <w:r w:rsidRPr="003F61E7">
        <w:rPr>
          <w:sz w:val="20"/>
        </w:rPr>
        <w:t>Engl</w:t>
      </w:r>
      <w:proofErr w:type="spellEnd"/>
      <w:r w:rsidRPr="003F61E7">
        <w:rPr>
          <w:sz w:val="20"/>
        </w:rPr>
        <w:t xml:space="preserve"> J Med 2007</w:t>
      </w:r>
      <w:proofErr w:type="gramStart"/>
      <w:r w:rsidRPr="003F61E7">
        <w:rPr>
          <w:sz w:val="20"/>
        </w:rPr>
        <w:t>;356</w:t>
      </w:r>
      <w:proofErr w:type="gramEnd"/>
      <w:r w:rsidRPr="003F61E7">
        <w:rPr>
          <w:sz w:val="20"/>
        </w:rPr>
        <w:t>(7):685-696.</w:t>
      </w:r>
    </w:p>
    <w:p w14:paraId="5A04B0CB" w14:textId="77777777" w:rsidR="001B04E7" w:rsidRDefault="001B04E7" w:rsidP="00380F07">
      <w:pPr>
        <w:spacing w:after="120" w:line="240" w:lineRule="auto"/>
        <w:rPr>
          <w:sz w:val="20"/>
          <w:lang w:val="en-GB"/>
        </w:rPr>
      </w:pPr>
      <w:proofErr w:type="gramStart"/>
      <w:r>
        <w:rPr>
          <w:sz w:val="20"/>
          <w:lang w:val="en-GB"/>
        </w:rPr>
        <w:t>Block SL</w:t>
      </w:r>
      <w:r w:rsidRPr="001B04E7">
        <w:rPr>
          <w:sz w:val="20"/>
          <w:lang w:val="en-GB"/>
        </w:rPr>
        <w:t xml:space="preserve"> et al. Immunogenicity and safety of a </w:t>
      </w:r>
      <w:proofErr w:type="spellStart"/>
      <w:r w:rsidRPr="001B04E7">
        <w:rPr>
          <w:sz w:val="20"/>
          <w:lang w:val="en-GB"/>
        </w:rPr>
        <w:t>quadrivalent</w:t>
      </w:r>
      <w:proofErr w:type="spellEnd"/>
      <w:r w:rsidRPr="001B04E7">
        <w:rPr>
          <w:sz w:val="20"/>
          <w:lang w:val="en-GB"/>
        </w:rPr>
        <w:t xml:space="preserve"> live attenuated influenza vaccine in children.</w:t>
      </w:r>
      <w:proofErr w:type="gramEnd"/>
      <w:r w:rsidRPr="001B04E7">
        <w:rPr>
          <w:sz w:val="20"/>
          <w:lang w:val="en-GB"/>
        </w:rPr>
        <w:t xml:space="preserve"> </w:t>
      </w:r>
      <w:proofErr w:type="spellStart"/>
      <w:r w:rsidRPr="001B04E7">
        <w:rPr>
          <w:sz w:val="20"/>
          <w:lang w:val="en-GB"/>
        </w:rPr>
        <w:t>Pediatr</w:t>
      </w:r>
      <w:proofErr w:type="spellEnd"/>
      <w:r w:rsidRPr="001B04E7">
        <w:rPr>
          <w:sz w:val="20"/>
          <w:lang w:val="en-GB"/>
        </w:rPr>
        <w:t xml:space="preserve"> Infect Dis J 2012</w:t>
      </w:r>
      <w:proofErr w:type="gramStart"/>
      <w:r w:rsidRPr="001B04E7">
        <w:rPr>
          <w:sz w:val="20"/>
          <w:lang w:val="en-GB"/>
        </w:rPr>
        <w:t>;31</w:t>
      </w:r>
      <w:proofErr w:type="gramEnd"/>
      <w:r w:rsidRPr="001B04E7">
        <w:rPr>
          <w:sz w:val="20"/>
          <w:lang w:val="en-GB"/>
        </w:rPr>
        <w:t>(7):745-751.</w:t>
      </w:r>
    </w:p>
    <w:p w14:paraId="0B4A6CE6" w14:textId="4CAF57DC" w:rsidR="00BE63E9" w:rsidRDefault="001B04E7" w:rsidP="00380F07">
      <w:pPr>
        <w:spacing w:after="120" w:line="240" w:lineRule="auto"/>
        <w:rPr>
          <w:sz w:val="20"/>
        </w:rPr>
      </w:pPr>
      <w:proofErr w:type="spellStart"/>
      <w:proofErr w:type="gramStart"/>
      <w:r w:rsidRPr="001B04E7">
        <w:rPr>
          <w:sz w:val="20"/>
        </w:rPr>
        <w:t>Bracco</w:t>
      </w:r>
      <w:proofErr w:type="spellEnd"/>
      <w:r w:rsidRPr="001B04E7">
        <w:rPr>
          <w:sz w:val="20"/>
        </w:rPr>
        <w:t xml:space="preserve"> </w:t>
      </w:r>
      <w:proofErr w:type="spellStart"/>
      <w:r w:rsidRPr="001B04E7">
        <w:rPr>
          <w:sz w:val="20"/>
        </w:rPr>
        <w:t>Neto</w:t>
      </w:r>
      <w:proofErr w:type="spellEnd"/>
      <w:r w:rsidRPr="001B04E7">
        <w:rPr>
          <w:sz w:val="20"/>
        </w:rPr>
        <w:t xml:space="preserve"> H et al. Efficacy and safety of 1 and 2 doses of live attenuated influenza vaccine in vaccine-naive children.</w:t>
      </w:r>
      <w:proofErr w:type="gramEnd"/>
      <w:r w:rsidRPr="001B04E7">
        <w:rPr>
          <w:sz w:val="20"/>
        </w:rPr>
        <w:t xml:space="preserve"> </w:t>
      </w:r>
      <w:proofErr w:type="spellStart"/>
      <w:r w:rsidRPr="001B04E7">
        <w:rPr>
          <w:sz w:val="20"/>
        </w:rPr>
        <w:t>Pediatr</w:t>
      </w:r>
      <w:proofErr w:type="spellEnd"/>
      <w:r w:rsidRPr="001B04E7">
        <w:rPr>
          <w:sz w:val="20"/>
        </w:rPr>
        <w:t xml:space="preserve"> Infect Dis J 2009</w:t>
      </w:r>
      <w:proofErr w:type="gramStart"/>
      <w:r w:rsidRPr="001B04E7">
        <w:rPr>
          <w:sz w:val="20"/>
        </w:rPr>
        <w:t>;28</w:t>
      </w:r>
      <w:proofErr w:type="gramEnd"/>
      <w:r w:rsidRPr="001B04E7">
        <w:rPr>
          <w:sz w:val="20"/>
        </w:rPr>
        <w:t>(5):365-371</w:t>
      </w:r>
    </w:p>
    <w:p w14:paraId="7499D086" w14:textId="6DD2D56E" w:rsidR="00F5527C" w:rsidRPr="00BE63E9" w:rsidRDefault="00F5527C" w:rsidP="00380F07">
      <w:pPr>
        <w:spacing w:after="120" w:line="240" w:lineRule="auto"/>
        <w:rPr>
          <w:sz w:val="20"/>
        </w:rPr>
      </w:pPr>
      <w:proofErr w:type="spellStart"/>
      <w:r w:rsidRPr="00F5527C">
        <w:rPr>
          <w:sz w:val="20"/>
        </w:rPr>
        <w:t>Breiman</w:t>
      </w:r>
      <w:proofErr w:type="spellEnd"/>
      <w:r w:rsidRPr="00F5527C">
        <w:rPr>
          <w:sz w:val="20"/>
        </w:rPr>
        <w:t xml:space="preserve">, RF et al, A multinational, randomized, placebo-controlled trial to assess the immunogenicity, safety, and tolerability of live attenuated influenza vaccine </w:t>
      </w:r>
      <w:proofErr w:type="spellStart"/>
      <w:r w:rsidRPr="00F5527C">
        <w:rPr>
          <w:sz w:val="20"/>
        </w:rPr>
        <w:t>coadministered</w:t>
      </w:r>
      <w:proofErr w:type="spellEnd"/>
      <w:r w:rsidRPr="00F5527C">
        <w:rPr>
          <w:sz w:val="20"/>
        </w:rPr>
        <w:t xml:space="preserve"> with oral poliovirus vaccine in healthy young children, Vaccine</w:t>
      </w:r>
      <w:r>
        <w:rPr>
          <w:sz w:val="20"/>
        </w:rPr>
        <w:t xml:space="preserve"> 2009:</w:t>
      </w:r>
      <w:r w:rsidRPr="00F5527C">
        <w:rPr>
          <w:sz w:val="20"/>
        </w:rPr>
        <w:t xml:space="preserve"> 27</w:t>
      </w:r>
      <w:r w:rsidR="00BC0C20">
        <w:rPr>
          <w:sz w:val="20"/>
        </w:rPr>
        <w:t>(40)</w:t>
      </w:r>
      <w:r>
        <w:rPr>
          <w:sz w:val="20"/>
        </w:rPr>
        <w:t>:</w:t>
      </w:r>
      <w:r w:rsidRPr="00F5527C">
        <w:rPr>
          <w:sz w:val="20"/>
        </w:rPr>
        <w:t xml:space="preserve"> 5472–5479</w:t>
      </w:r>
    </w:p>
    <w:p w14:paraId="62E58374" w14:textId="4C7E4532" w:rsidR="00BE63E9" w:rsidRPr="00BE63E9" w:rsidRDefault="001B04E7" w:rsidP="00380F07">
      <w:pPr>
        <w:spacing w:after="120" w:line="240" w:lineRule="auto"/>
        <w:rPr>
          <w:sz w:val="20"/>
        </w:rPr>
      </w:pPr>
      <w:r w:rsidRPr="001B04E7">
        <w:rPr>
          <w:sz w:val="20"/>
        </w:rPr>
        <w:t xml:space="preserve">Fleming DM et al. Comparison of the efficacy and safety of live attenuated cold-adapted influenza vaccine, trivalent, with trivalent inactivated influenza virus vaccine in children and adolescents with asthma. </w:t>
      </w:r>
      <w:proofErr w:type="spellStart"/>
      <w:r w:rsidRPr="001B04E7">
        <w:rPr>
          <w:sz w:val="20"/>
        </w:rPr>
        <w:t>Pediatr</w:t>
      </w:r>
      <w:proofErr w:type="spellEnd"/>
      <w:r w:rsidRPr="001B04E7">
        <w:rPr>
          <w:sz w:val="20"/>
        </w:rPr>
        <w:t xml:space="preserve"> Infect Dis J 2006</w:t>
      </w:r>
      <w:proofErr w:type="gramStart"/>
      <w:r w:rsidRPr="001B04E7">
        <w:rPr>
          <w:sz w:val="20"/>
        </w:rPr>
        <w:t>;25</w:t>
      </w:r>
      <w:proofErr w:type="gramEnd"/>
      <w:r w:rsidRPr="001B04E7">
        <w:rPr>
          <w:sz w:val="20"/>
        </w:rPr>
        <w:t>(10):860-869.</w:t>
      </w:r>
    </w:p>
    <w:p w14:paraId="5D58BA73" w14:textId="09EF4E59" w:rsidR="00BE63E9" w:rsidRPr="00BE63E9" w:rsidRDefault="001B04E7" w:rsidP="00380F07">
      <w:pPr>
        <w:spacing w:after="120" w:line="240" w:lineRule="auto"/>
        <w:rPr>
          <w:sz w:val="20"/>
        </w:rPr>
      </w:pPr>
      <w:r w:rsidRPr="001B04E7">
        <w:rPr>
          <w:sz w:val="20"/>
        </w:rPr>
        <w:t xml:space="preserve">Forrest BD et al. Correlation of cellular immune responses with protection against culture-confirmed influenza virus in young children. </w:t>
      </w:r>
      <w:proofErr w:type="spellStart"/>
      <w:r w:rsidRPr="001B04E7">
        <w:rPr>
          <w:sz w:val="20"/>
        </w:rPr>
        <w:t>Clin</w:t>
      </w:r>
      <w:proofErr w:type="spellEnd"/>
      <w:r w:rsidRPr="001B04E7">
        <w:rPr>
          <w:sz w:val="20"/>
        </w:rPr>
        <w:t xml:space="preserve"> Vaccine </w:t>
      </w:r>
      <w:proofErr w:type="spellStart"/>
      <w:r w:rsidRPr="001B04E7">
        <w:rPr>
          <w:sz w:val="20"/>
        </w:rPr>
        <w:t>Immunol</w:t>
      </w:r>
      <w:proofErr w:type="spellEnd"/>
      <w:r w:rsidRPr="001B04E7">
        <w:rPr>
          <w:sz w:val="20"/>
        </w:rPr>
        <w:t xml:space="preserve"> 2008</w:t>
      </w:r>
      <w:proofErr w:type="gramStart"/>
      <w:r w:rsidRPr="001B04E7">
        <w:rPr>
          <w:sz w:val="20"/>
        </w:rPr>
        <w:t>;15</w:t>
      </w:r>
      <w:proofErr w:type="gramEnd"/>
      <w:r w:rsidRPr="001B04E7">
        <w:rPr>
          <w:sz w:val="20"/>
        </w:rPr>
        <w:t>(7):1042-1053</w:t>
      </w:r>
    </w:p>
    <w:p w14:paraId="05D51065" w14:textId="4A8B92D2" w:rsidR="00BE63E9" w:rsidRPr="00BE63E9" w:rsidRDefault="001B04E7" w:rsidP="00380F07">
      <w:pPr>
        <w:spacing w:after="120" w:line="240" w:lineRule="auto"/>
        <w:rPr>
          <w:sz w:val="20"/>
          <w:lang w:val="en-GB"/>
        </w:rPr>
      </w:pPr>
      <w:proofErr w:type="spellStart"/>
      <w:r w:rsidRPr="001B04E7">
        <w:rPr>
          <w:sz w:val="20"/>
          <w:lang w:val="en-GB"/>
        </w:rPr>
        <w:t>Halasa</w:t>
      </w:r>
      <w:proofErr w:type="spellEnd"/>
      <w:r w:rsidRPr="001B04E7">
        <w:rPr>
          <w:sz w:val="20"/>
          <w:lang w:val="en-GB"/>
        </w:rPr>
        <w:t xml:space="preserve"> N et al. Safety of live attenuated influenza vaccine in mild to moderately immunocompromised children with cancer. Vaccine 2011</w:t>
      </w:r>
      <w:proofErr w:type="gramStart"/>
      <w:r w:rsidRPr="001B04E7">
        <w:rPr>
          <w:sz w:val="20"/>
          <w:lang w:val="en-GB"/>
        </w:rPr>
        <w:t>;29</w:t>
      </w:r>
      <w:proofErr w:type="gramEnd"/>
      <w:r w:rsidRPr="001B04E7">
        <w:rPr>
          <w:sz w:val="20"/>
          <w:lang w:val="en-GB"/>
        </w:rPr>
        <w:t>(24):4110-4115.</w:t>
      </w:r>
    </w:p>
    <w:p w14:paraId="4BFF3DA0" w14:textId="3EC59931" w:rsidR="00BE63E9" w:rsidRPr="00BE63E9" w:rsidRDefault="001B04E7" w:rsidP="00380F07">
      <w:pPr>
        <w:spacing w:after="120" w:line="240" w:lineRule="auto"/>
        <w:rPr>
          <w:sz w:val="20"/>
          <w:lang w:val="en-GB"/>
        </w:rPr>
      </w:pPr>
      <w:r w:rsidRPr="001B04E7">
        <w:rPr>
          <w:sz w:val="20"/>
          <w:lang w:val="en-GB"/>
        </w:rPr>
        <w:t xml:space="preserve">King JC, Jr et al. Safety, vaccine virus shedding and immunogenicity of trivalent, cold-adapted, live attenuated influenza vaccine administered to human immunodeficiency virus-infected and </w:t>
      </w:r>
      <w:proofErr w:type="spellStart"/>
      <w:r w:rsidRPr="001B04E7">
        <w:rPr>
          <w:sz w:val="20"/>
          <w:lang w:val="en-GB"/>
        </w:rPr>
        <w:t>noninfected</w:t>
      </w:r>
      <w:proofErr w:type="spellEnd"/>
      <w:r w:rsidRPr="001B04E7">
        <w:rPr>
          <w:sz w:val="20"/>
          <w:lang w:val="en-GB"/>
        </w:rPr>
        <w:t xml:space="preserve"> children. </w:t>
      </w:r>
      <w:proofErr w:type="spellStart"/>
      <w:r w:rsidRPr="001B04E7">
        <w:rPr>
          <w:sz w:val="20"/>
          <w:lang w:val="en-GB"/>
        </w:rPr>
        <w:t>Pediatr</w:t>
      </w:r>
      <w:proofErr w:type="spellEnd"/>
      <w:r w:rsidRPr="001B04E7">
        <w:rPr>
          <w:sz w:val="20"/>
          <w:lang w:val="en-GB"/>
        </w:rPr>
        <w:t xml:space="preserve"> Infect Dis J 2001</w:t>
      </w:r>
      <w:proofErr w:type="gramStart"/>
      <w:r w:rsidRPr="001B04E7">
        <w:rPr>
          <w:sz w:val="20"/>
          <w:lang w:val="en-GB"/>
        </w:rPr>
        <w:t>;20</w:t>
      </w:r>
      <w:proofErr w:type="gramEnd"/>
      <w:r w:rsidRPr="001B04E7">
        <w:rPr>
          <w:sz w:val="20"/>
          <w:lang w:val="en-GB"/>
        </w:rPr>
        <w:t>(12):1124-1131.</w:t>
      </w:r>
    </w:p>
    <w:p w14:paraId="19EBF4E0" w14:textId="67854E7E" w:rsidR="00BE63E9" w:rsidRPr="00BE63E9" w:rsidRDefault="00380F07" w:rsidP="00380F07">
      <w:pPr>
        <w:spacing w:after="120" w:line="240" w:lineRule="auto"/>
        <w:rPr>
          <w:sz w:val="20"/>
          <w:lang w:val="en-GB"/>
        </w:rPr>
      </w:pPr>
      <w:r w:rsidRPr="00380F07">
        <w:rPr>
          <w:sz w:val="20"/>
          <w:lang w:val="en-GB"/>
        </w:rPr>
        <w:t xml:space="preserve">Levin MJ et al. </w:t>
      </w:r>
      <w:proofErr w:type="gramStart"/>
      <w:r w:rsidRPr="00380F07">
        <w:rPr>
          <w:sz w:val="20"/>
          <w:lang w:val="en-GB"/>
        </w:rPr>
        <w:t>Shedding</w:t>
      </w:r>
      <w:proofErr w:type="gramEnd"/>
      <w:r w:rsidRPr="00380F07">
        <w:rPr>
          <w:sz w:val="20"/>
          <w:lang w:val="en-GB"/>
        </w:rPr>
        <w:t xml:space="preserve"> of live vaccine virus, comparative safety, and influenza-specific antibody responses after administration of live attenuated and inactivated trivalent influenza vaccines to HIV-infected children. Vaccine 2008</w:t>
      </w:r>
      <w:proofErr w:type="gramStart"/>
      <w:r w:rsidRPr="00380F07">
        <w:rPr>
          <w:sz w:val="20"/>
          <w:lang w:val="en-GB"/>
        </w:rPr>
        <w:t>;26</w:t>
      </w:r>
      <w:proofErr w:type="gramEnd"/>
      <w:r w:rsidRPr="00380F07">
        <w:rPr>
          <w:sz w:val="20"/>
          <w:lang w:val="en-GB"/>
        </w:rPr>
        <w:t>(33):4210-4217</w:t>
      </w:r>
    </w:p>
    <w:p w14:paraId="53649069" w14:textId="10FAFFC6" w:rsidR="00BE63E9" w:rsidRPr="00BE63E9" w:rsidRDefault="00380F07" w:rsidP="00380F07">
      <w:pPr>
        <w:spacing w:after="120" w:line="240" w:lineRule="auto"/>
        <w:rPr>
          <w:sz w:val="20"/>
        </w:rPr>
      </w:pPr>
      <w:proofErr w:type="spellStart"/>
      <w:r>
        <w:rPr>
          <w:sz w:val="20"/>
        </w:rPr>
        <w:t>Lum</w:t>
      </w:r>
      <w:proofErr w:type="spellEnd"/>
      <w:r>
        <w:rPr>
          <w:sz w:val="20"/>
        </w:rPr>
        <w:t xml:space="preserve"> LC</w:t>
      </w:r>
      <w:r w:rsidRPr="00380F07">
        <w:rPr>
          <w:sz w:val="20"/>
        </w:rPr>
        <w:t xml:space="preserve"> et al. Influenza vaccine concurrently administered with a combination measles, mumps, and rubella vaccine to young children. Vaccine 2010</w:t>
      </w:r>
      <w:proofErr w:type="gramStart"/>
      <w:r w:rsidRPr="00380F07">
        <w:rPr>
          <w:sz w:val="20"/>
        </w:rPr>
        <w:t>;28</w:t>
      </w:r>
      <w:proofErr w:type="gramEnd"/>
      <w:r w:rsidRPr="00380F07">
        <w:rPr>
          <w:sz w:val="20"/>
        </w:rPr>
        <w:t>(6):1566-1574.</w:t>
      </w:r>
    </w:p>
    <w:p w14:paraId="7374D99D" w14:textId="3ACF93B3" w:rsidR="00BE63E9" w:rsidRPr="00BE63E9" w:rsidRDefault="00380F07" w:rsidP="00380F07">
      <w:pPr>
        <w:spacing w:after="120" w:line="240" w:lineRule="auto"/>
        <w:rPr>
          <w:sz w:val="20"/>
          <w:lang w:val="en-GB"/>
        </w:rPr>
      </w:pPr>
      <w:proofErr w:type="gramStart"/>
      <w:r w:rsidRPr="00380F07">
        <w:rPr>
          <w:sz w:val="20"/>
          <w:lang w:val="en-GB"/>
        </w:rPr>
        <w:t>Nolan T et al. Safety and immunogenicity of concurrent administration of live attenuated influenza vaccine with measles-mumps-rubella and varicella vaccines to infants 12 to 15 months of age.</w:t>
      </w:r>
      <w:proofErr w:type="gramEnd"/>
      <w:r w:rsidRPr="00380F07">
        <w:rPr>
          <w:sz w:val="20"/>
          <w:lang w:val="en-GB"/>
        </w:rPr>
        <w:t xml:space="preserve"> </w:t>
      </w:r>
      <w:proofErr w:type="spellStart"/>
      <w:r w:rsidRPr="00380F07">
        <w:rPr>
          <w:sz w:val="20"/>
          <w:lang w:val="en-GB"/>
        </w:rPr>
        <w:t>Pediatrics</w:t>
      </w:r>
      <w:proofErr w:type="spellEnd"/>
      <w:r w:rsidRPr="00380F07">
        <w:rPr>
          <w:sz w:val="20"/>
          <w:lang w:val="en-GB"/>
        </w:rPr>
        <w:t xml:space="preserve"> 2008</w:t>
      </w:r>
      <w:proofErr w:type="gramStart"/>
      <w:r w:rsidRPr="00380F07">
        <w:rPr>
          <w:sz w:val="20"/>
          <w:lang w:val="en-GB"/>
        </w:rPr>
        <w:t>;121</w:t>
      </w:r>
      <w:proofErr w:type="gramEnd"/>
      <w:r w:rsidRPr="00380F07">
        <w:rPr>
          <w:sz w:val="20"/>
          <w:lang w:val="en-GB"/>
        </w:rPr>
        <w:t>(3):508-516.</w:t>
      </w:r>
    </w:p>
    <w:p w14:paraId="64CD4E86" w14:textId="6D8AFD45" w:rsidR="00BE63E9" w:rsidRPr="00BE63E9" w:rsidRDefault="00380F07" w:rsidP="00380F07">
      <w:pPr>
        <w:spacing w:after="120" w:line="240" w:lineRule="auto"/>
        <w:rPr>
          <w:sz w:val="20"/>
          <w:lang w:val="en-GB"/>
        </w:rPr>
      </w:pPr>
      <w:proofErr w:type="gramStart"/>
      <w:r w:rsidRPr="00380F07">
        <w:rPr>
          <w:sz w:val="20"/>
          <w:lang w:val="en-GB"/>
        </w:rPr>
        <w:t>Tam JS et al. Efficacy and safety of a live attenuated, cold-adapted influenza vaccine, trivalent against culture-confirmed influenza in young children in Asia.</w:t>
      </w:r>
      <w:proofErr w:type="gramEnd"/>
      <w:r w:rsidRPr="00380F07">
        <w:rPr>
          <w:sz w:val="20"/>
          <w:lang w:val="en-GB"/>
        </w:rPr>
        <w:t xml:space="preserve"> </w:t>
      </w:r>
      <w:proofErr w:type="spellStart"/>
      <w:r w:rsidRPr="00380F07">
        <w:rPr>
          <w:sz w:val="20"/>
          <w:lang w:val="en-GB"/>
        </w:rPr>
        <w:t>Pediatr</w:t>
      </w:r>
      <w:proofErr w:type="spellEnd"/>
      <w:r w:rsidRPr="00380F07">
        <w:rPr>
          <w:sz w:val="20"/>
          <w:lang w:val="en-GB"/>
        </w:rPr>
        <w:t xml:space="preserve"> Infect Dis J 2007</w:t>
      </w:r>
      <w:proofErr w:type="gramStart"/>
      <w:r w:rsidRPr="00380F07">
        <w:rPr>
          <w:sz w:val="20"/>
          <w:lang w:val="en-GB"/>
        </w:rPr>
        <w:t>;26</w:t>
      </w:r>
      <w:proofErr w:type="gramEnd"/>
      <w:r w:rsidRPr="00380F07">
        <w:rPr>
          <w:sz w:val="20"/>
          <w:lang w:val="en-GB"/>
        </w:rPr>
        <w:t>(7):619-628.</w:t>
      </w:r>
    </w:p>
    <w:p w14:paraId="2964FCB3" w14:textId="4C462E32" w:rsidR="003F61E7" w:rsidRPr="008B69D6" w:rsidRDefault="00380F07" w:rsidP="00380F07">
      <w:pPr>
        <w:spacing w:after="120" w:line="240" w:lineRule="auto"/>
        <w:rPr>
          <w:sz w:val="20"/>
        </w:rPr>
      </w:pPr>
      <w:proofErr w:type="spellStart"/>
      <w:proofErr w:type="gramStart"/>
      <w:r w:rsidRPr="00C56AFF">
        <w:rPr>
          <w:sz w:val="20"/>
        </w:rPr>
        <w:t>Vesikari</w:t>
      </w:r>
      <w:proofErr w:type="spellEnd"/>
      <w:r w:rsidRPr="00C56AFF">
        <w:rPr>
          <w:sz w:val="20"/>
        </w:rPr>
        <w:t xml:space="preserve"> T et al. </w:t>
      </w:r>
      <w:r w:rsidR="00E52406" w:rsidRPr="00E52406">
        <w:rPr>
          <w:sz w:val="20"/>
        </w:rPr>
        <w:t>Safety, efficacy, and effectiveness of cold-adapted influenza vaccine-trivalent against community-acquired, culture-confirmed influenza in young children attending day care.</w:t>
      </w:r>
      <w:proofErr w:type="gramEnd"/>
      <w:r w:rsidR="00E52406" w:rsidRPr="00E52406">
        <w:rPr>
          <w:sz w:val="20"/>
        </w:rPr>
        <w:t xml:space="preserve"> </w:t>
      </w:r>
      <w:proofErr w:type="spellStart"/>
      <w:r w:rsidR="00E52406" w:rsidRPr="00E52406">
        <w:rPr>
          <w:sz w:val="20"/>
        </w:rPr>
        <w:t>Pediatrics</w:t>
      </w:r>
      <w:proofErr w:type="spellEnd"/>
      <w:r w:rsidR="00E52406" w:rsidRPr="00E52406">
        <w:rPr>
          <w:sz w:val="20"/>
        </w:rPr>
        <w:t xml:space="preserve"> 2006; 118(6):2298-2312.</w:t>
      </w:r>
    </w:p>
    <w:sectPr w:rsidR="003F61E7" w:rsidRPr="008B69D6" w:rsidSect="000E45CD">
      <w:headerReference w:type="default" r:id="rId17"/>
      <w:footerReference w:type="default" r:id="rId18"/>
      <w:pgSz w:w="11909" w:h="16834" w:code="9"/>
      <w:pgMar w:top="1389" w:right="1418" w:bottom="1134" w:left="1701" w:header="284"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2C602" w14:textId="77777777" w:rsidR="00B74ECF" w:rsidRDefault="00B74ECF">
      <w:pPr>
        <w:spacing w:after="0" w:line="240" w:lineRule="auto"/>
      </w:pPr>
      <w:r>
        <w:separator/>
      </w:r>
    </w:p>
  </w:endnote>
  <w:endnote w:type="continuationSeparator" w:id="0">
    <w:p w14:paraId="5F9F232C" w14:textId="77777777" w:rsidR="00B74ECF" w:rsidRDefault="00B7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F972A" w14:textId="59951DBB" w:rsidR="00B74ECF" w:rsidRDefault="00B74ECF">
    <w:pPr>
      <w:pStyle w:val="Footer"/>
      <w:tabs>
        <w:tab w:val="center" w:pos="4680"/>
      </w:tabs>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E45CD">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0E45CD">
      <w:rPr>
        <w:rStyle w:val="PageNumber"/>
        <w:noProof/>
      </w:rPr>
      <w:t>16</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87C23" w14:textId="77777777" w:rsidR="00B74ECF" w:rsidRDefault="00B74ECF">
      <w:pPr>
        <w:spacing w:after="0" w:line="240" w:lineRule="auto"/>
      </w:pPr>
      <w:r>
        <w:separator/>
      </w:r>
    </w:p>
  </w:footnote>
  <w:footnote w:type="continuationSeparator" w:id="0">
    <w:p w14:paraId="2A8AD526" w14:textId="77777777" w:rsidR="00B74ECF" w:rsidRDefault="00B74ECF">
      <w:pPr>
        <w:spacing w:after="0" w:line="240" w:lineRule="auto"/>
      </w:pPr>
      <w:r>
        <w:continuationSeparator/>
      </w:r>
    </w:p>
  </w:footnote>
  <w:footnote w:id="1">
    <w:p w14:paraId="7B9233C7" w14:textId="77777777" w:rsidR="00B74ECF" w:rsidRPr="000C17B7" w:rsidRDefault="00B74ECF">
      <w:pPr>
        <w:pStyle w:val="FootnoteText"/>
        <w:rPr>
          <w:lang w:val="en-AU"/>
        </w:rPr>
      </w:pPr>
      <w:r>
        <w:rPr>
          <w:rStyle w:val="FootnoteReference"/>
        </w:rPr>
        <w:footnoteRef/>
      </w:r>
      <w:r>
        <w:t xml:space="preserve"> </w:t>
      </w:r>
      <w:proofErr w:type="gramStart"/>
      <w:r>
        <w:rPr>
          <w:lang w:val="en-AU"/>
        </w:rPr>
        <w:t>Template section to be updated annually for strain changes.</w:t>
      </w:r>
      <w:proofErr w:type="gramEnd"/>
      <w:r>
        <w:rPr>
          <w:lang w:val="en-AU"/>
        </w:rPr>
        <w:t xml:space="preserve">  This may also mean modifications to the WHO and AIVC statement if there are differences between the two one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0C86" w14:textId="341F4E8B" w:rsidR="006132FA" w:rsidRPr="006132FA" w:rsidRDefault="006132FA" w:rsidP="006132FA">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6132FA">
      <w:rPr>
        <w:b/>
        <w:sz w:val="20"/>
      </w:rPr>
      <w:t>AusPAR</w:t>
    </w:r>
    <w:proofErr w:type="spellEnd"/>
    <w:r w:rsidRPr="006132FA">
      <w:rPr>
        <w:b/>
        <w:sz w:val="20"/>
      </w:rPr>
      <w:t xml:space="preserve"> </w:t>
    </w:r>
    <w:proofErr w:type="spellStart"/>
    <w:r w:rsidRPr="006132FA">
      <w:rPr>
        <w:b/>
        <w:sz w:val="20"/>
      </w:rPr>
      <w:t>FluMist</w:t>
    </w:r>
    <w:proofErr w:type="spellEnd"/>
    <w:r w:rsidRPr="006132FA">
      <w:rPr>
        <w:b/>
        <w:sz w:val="20"/>
      </w:rPr>
      <w:t xml:space="preserve"> </w:t>
    </w:r>
    <w:proofErr w:type="spellStart"/>
    <w:r w:rsidRPr="006132FA">
      <w:rPr>
        <w:b/>
        <w:sz w:val="20"/>
      </w:rPr>
      <w:t>Quadrivalent</w:t>
    </w:r>
    <w:proofErr w:type="spellEnd"/>
    <w:r w:rsidRPr="006132FA">
      <w:rPr>
        <w:b/>
        <w:sz w:val="20"/>
      </w:rPr>
      <w:t xml:space="preserve"> live attenuated influenza vaccine AstraZeneca Pty Ltd PM 2015 01533 1-2 Final 6 November 2017</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5C0B328"/>
    <w:lvl w:ilvl="0">
      <w:start w:val="1"/>
      <w:numFmt w:val="decimal"/>
      <w:pStyle w:val="Heading1"/>
      <w:lvlText w:val="%1."/>
      <w:lvlJc w:val="left"/>
      <w:pPr>
        <w:tabs>
          <w:tab w:val="num" w:pos="992"/>
        </w:tabs>
        <w:ind w:left="992" w:hanging="992"/>
      </w:pPr>
    </w:lvl>
    <w:lvl w:ilvl="1">
      <w:start w:val="1"/>
      <w:numFmt w:val="decimal"/>
      <w:pStyle w:val="Heading2"/>
      <w:lvlText w:val="%1.%2"/>
      <w:lvlJc w:val="left"/>
      <w:pPr>
        <w:tabs>
          <w:tab w:val="num" w:pos="992"/>
        </w:tabs>
        <w:ind w:left="992" w:hanging="992"/>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992"/>
        </w:tabs>
        <w:ind w:left="992" w:hanging="992"/>
      </w:pPr>
    </w:lvl>
    <w:lvl w:ilvl="4">
      <w:start w:val="1"/>
      <w:numFmt w:val="lowerLetter"/>
      <w:lvlText w:val="%5)"/>
      <w:lvlJc w:val="left"/>
      <w:pPr>
        <w:tabs>
          <w:tab w:val="num" w:pos="992"/>
        </w:tabs>
        <w:ind w:left="992" w:hanging="992"/>
      </w:pPr>
    </w:lvl>
    <w:lvl w:ilvl="5">
      <w:start w:val="1"/>
      <w:numFmt w:val="lowerRoman"/>
      <w:lvlText w:val="%6)"/>
      <w:lvlJc w:val="left"/>
      <w:pPr>
        <w:tabs>
          <w:tab w:val="num" w:pos="992"/>
        </w:tabs>
        <w:ind w:left="992" w:hanging="992"/>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19A62659"/>
    <w:multiLevelType w:val="singleLevel"/>
    <w:tmpl w:val="030A11AC"/>
    <w:lvl w:ilvl="0">
      <w:start w:val="1"/>
      <w:numFmt w:val="bullet"/>
      <w:pStyle w:val="A-ListSubsidiary"/>
      <w:lvlText w:val=""/>
      <w:lvlJc w:val="left"/>
      <w:pPr>
        <w:tabs>
          <w:tab w:val="num" w:pos="1987"/>
        </w:tabs>
        <w:ind w:left="1987" w:hanging="993"/>
      </w:pPr>
      <w:rPr>
        <w:rFonts w:ascii="Symbol" w:hAnsi="Symbol" w:hint="default"/>
      </w:rPr>
    </w:lvl>
  </w:abstractNum>
  <w:abstractNum w:abstractNumId="2">
    <w:nsid w:val="21976621"/>
    <w:multiLevelType w:val="hybridMultilevel"/>
    <w:tmpl w:val="B12A378C"/>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E17F4B"/>
    <w:multiLevelType w:val="hybridMultilevel"/>
    <w:tmpl w:val="8E3039B0"/>
    <w:lvl w:ilvl="0" w:tplc="0C09000F">
      <w:start w:val="1"/>
      <w:numFmt w:val="decimal"/>
      <w:lvlText w:val="%1."/>
      <w:lvlJc w:val="left"/>
      <w:pPr>
        <w:tabs>
          <w:tab w:val="num" w:pos="994"/>
        </w:tabs>
        <w:ind w:left="994" w:hanging="99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5">
    <w:nsid w:val="7375134A"/>
    <w:multiLevelType w:val="singleLevel"/>
    <w:tmpl w:val="DF72DC74"/>
    <w:lvl w:ilvl="0">
      <w:start w:val="1"/>
      <w:numFmt w:val="lowerLetter"/>
      <w:pStyle w:val="TableFootnotes"/>
      <w:lvlText w:val="%1."/>
      <w:lvlJc w:val="left"/>
      <w:pPr>
        <w:tabs>
          <w:tab w:val="num" w:pos="360"/>
        </w:tabs>
        <w:ind w:left="360" w:hanging="360"/>
      </w:pPr>
      <w:rPr>
        <w:sz w:val="20"/>
      </w:rPr>
    </w:lvl>
  </w:abstractNum>
  <w:abstractNum w:abstractNumId="6">
    <w:nsid w:val="774566F1"/>
    <w:multiLevelType w:val="hybridMultilevel"/>
    <w:tmpl w:val="11F074AA"/>
    <w:lvl w:ilvl="0" w:tplc="9D8A40F8">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PERA" w:val="1"/>
    <w:docVar w:name="CMC" w:val=" "/>
    <w:docVar w:name="Date" w:val="2000-05-09"/>
    <w:docVar w:name="dlgTitle" w:val="Blanc with TOC"/>
    <w:docVar w:name="dlgTitleFirst" w:val="Aspera "/>
    <w:docVar w:name="TOCLevels" w:val="4"/>
    <w:docVar w:name="Type" w:val="CLIN"/>
    <w:docVar w:name="Version" w:val="97.02.00"/>
  </w:docVars>
  <w:rsids>
    <w:rsidRoot w:val="00AF6E96"/>
    <w:rsid w:val="0000456D"/>
    <w:rsid w:val="00017AF9"/>
    <w:rsid w:val="0002456E"/>
    <w:rsid w:val="000463B2"/>
    <w:rsid w:val="00050B0E"/>
    <w:rsid w:val="00051D52"/>
    <w:rsid w:val="00053A6F"/>
    <w:rsid w:val="000555BC"/>
    <w:rsid w:val="00064214"/>
    <w:rsid w:val="0007415C"/>
    <w:rsid w:val="0007416F"/>
    <w:rsid w:val="00083DE1"/>
    <w:rsid w:val="00095EAF"/>
    <w:rsid w:val="000B5A24"/>
    <w:rsid w:val="000B72E7"/>
    <w:rsid w:val="000C0B64"/>
    <w:rsid w:val="000C17B7"/>
    <w:rsid w:val="000C63B9"/>
    <w:rsid w:val="000D187F"/>
    <w:rsid w:val="000D2636"/>
    <w:rsid w:val="000E45CD"/>
    <w:rsid w:val="000F3D09"/>
    <w:rsid w:val="00100288"/>
    <w:rsid w:val="0011566B"/>
    <w:rsid w:val="0011672E"/>
    <w:rsid w:val="00116DE3"/>
    <w:rsid w:val="00117591"/>
    <w:rsid w:val="00123E2E"/>
    <w:rsid w:val="0012772B"/>
    <w:rsid w:val="00133FCD"/>
    <w:rsid w:val="001529FD"/>
    <w:rsid w:val="00161619"/>
    <w:rsid w:val="00175B96"/>
    <w:rsid w:val="00180CA6"/>
    <w:rsid w:val="00182007"/>
    <w:rsid w:val="001A0E45"/>
    <w:rsid w:val="001A2306"/>
    <w:rsid w:val="001B04E7"/>
    <w:rsid w:val="001B1FE8"/>
    <w:rsid w:val="001C17B2"/>
    <w:rsid w:val="001C2FE4"/>
    <w:rsid w:val="001C3F19"/>
    <w:rsid w:val="001D4630"/>
    <w:rsid w:val="001D465B"/>
    <w:rsid w:val="001F55A1"/>
    <w:rsid w:val="001F7F33"/>
    <w:rsid w:val="00201043"/>
    <w:rsid w:val="00201DA6"/>
    <w:rsid w:val="00201FF5"/>
    <w:rsid w:val="0020751A"/>
    <w:rsid w:val="00212B37"/>
    <w:rsid w:val="0022234F"/>
    <w:rsid w:val="002247CE"/>
    <w:rsid w:val="00231D2F"/>
    <w:rsid w:val="00235D4F"/>
    <w:rsid w:val="00235F4B"/>
    <w:rsid w:val="002448FF"/>
    <w:rsid w:val="00245F6C"/>
    <w:rsid w:val="002532C0"/>
    <w:rsid w:val="00266481"/>
    <w:rsid w:val="002700F8"/>
    <w:rsid w:val="002708E8"/>
    <w:rsid w:val="00276361"/>
    <w:rsid w:val="002779F4"/>
    <w:rsid w:val="0028252C"/>
    <w:rsid w:val="00284F9B"/>
    <w:rsid w:val="00293E19"/>
    <w:rsid w:val="00296AB3"/>
    <w:rsid w:val="0029781C"/>
    <w:rsid w:val="002A6318"/>
    <w:rsid w:val="002A7CC0"/>
    <w:rsid w:val="002B2E48"/>
    <w:rsid w:val="002C7BAA"/>
    <w:rsid w:val="002D0CAB"/>
    <w:rsid w:val="002E0E90"/>
    <w:rsid w:val="002F15E9"/>
    <w:rsid w:val="00311A2B"/>
    <w:rsid w:val="00317B05"/>
    <w:rsid w:val="003207C8"/>
    <w:rsid w:val="003238B7"/>
    <w:rsid w:val="00325CC2"/>
    <w:rsid w:val="003265B4"/>
    <w:rsid w:val="00340B8D"/>
    <w:rsid w:val="0035240D"/>
    <w:rsid w:val="00356019"/>
    <w:rsid w:val="00370C18"/>
    <w:rsid w:val="00374E83"/>
    <w:rsid w:val="003758BD"/>
    <w:rsid w:val="0038024A"/>
    <w:rsid w:val="00380F07"/>
    <w:rsid w:val="00381F0A"/>
    <w:rsid w:val="00396656"/>
    <w:rsid w:val="00396C41"/>
    <w:rsid w:val="00396CC2"/>
    <w:rsid w:val="003A3B49"/>
    <w:rsid w:val="003A3EFA"/>
    <w:rsid w:val="003A6129"/>
    <w:rsid w:val="003B0F94"/>
    <w:rsid w:val="003B6978"/>
    <w:rsid w:val="003B6C36"/>
    <w:rsid w:val="003E5E56"/>
    <w:rsid w:val="003F12C0"/>
    <w:rsid w:val="003F5F06"/>
    <w:rsid w:val="003F61E7"/>
    <w:rsid w:val="003F763E"/>
    <w:rsid w:val="003F7EDA"/>
    <w:rsid w:val="0040508F"/>
    <w:rsid w:val="00420297"/>
    <w:rsid w:val="00422129"/>
    <w:rsid w:val="00433EE5"/>
    <w:rsid w:val="00434B94"/>
    <w:rsid w:val="0044017F"/>
    <w:rsid w:val="00442D55"/>
    <w:rsid w:val="00442E8B"/>
    <w:rsid w:val="00465767"/>
    <w:rsid w:val="00465FC7"/>
    <w:rsid w:val="00471684"/>
    <w:rsid w:val="00475221"/>
    <w:rsid w:val="004941C2"/>
    <w:rsid w:val="00496C49"/>
    <w:rsid w:val="004A0A60"/>
    <w:rsid w:val="004A14A1"/>
    <w:rsid w:val="004A3775"/>
    <w:rsid w:val="004A4C7B"/>
    <w:rsid w:val="004A67B5"/>
    <w:rsid w:val="004A6AA8"/>
    <w:rsid w:val="004A7718"/>
    <w:rsid w:val="004B1B6F"/>
    <w:rsid w:val="004B2211"/>
    <w:rsid w:val="004D3856"/>
    <w:rsid w:val="004D57C2"/>
    <w:rsid w:val="004F0361"/>
    <w:rsid w:val="004F3B2C"/>
    <w:rsid w:val="0050685D"/>
    <w:rsid w:val="0050789B"/>
    <w:rsid w:val="00512E41"/>
    <w:rsid w:val="005149E2"/>
    <w:rsid w:val="005165BA"/>
    <w:rsid w:val="0051790E"/>
    <w:rsid w:val="00545F24"/>
    <w:rsid w:val="00546AEA"/>
    <w:rsid w:val="00554830"/>
    <w:rsid w:val="005605E7"/>
    <w:rsid w:val="00567102"/>
    <w:rsid w:val="005731FB"/>
    <w:rsid w:val="00580680"/>
    <w:rsid w:val="005809C3"/>
    <w:rsid w:val="0059125D"/>
    <w:rsid w:val="005934D6"/>
    <w:rsid w:val="005970C5"/>
    <w:rsid w:val="00597F66"/>
    <w:rsid w:val="005A4C50"/>
    <w:rsid w:val="005B2B1E"/>
    <w:rsid w:val="005B7E97"/>
    <w:rsid w:val="005C55F4"/>
    <w:rsid w:val="005D1151"/>
    <w:rsid w:val="005D6067"/>
    <w:rsid w:val="005D79E2"/>
    <w:rsid w:val="005E143E"/>
    <w:rsid w:val="005F038C"/>
    <w:rsid w:val="005F21CD"/>
    <w:rsid w:val="006132FA"/>
    <w:rsid w:val="006151A2"/>
    <w:rsid w:val="00624EEE"/>
    <w:rsid w:val="00633649"/>
    <w:rsid w:val="006404B6"/>
    <w:rsid w:val="00641166"/>
    <w:rsid w:val="0065761D"/>
    <w:rsid w:val="00661DDB"/>
    <w:rsid w:val="0066687B"/>
    <w:rsid w:val="00667194"/>
    <w:rsid w:val="0068454B"/>
    <w:rsid w:val="00696375"/>
    <w:rsid w:val="006A3B3F"/>
    <w:rsid w:val="006A42E3"/>
    <w:rsid w:val="006B02E2"/>
    <w:rsid w:val="006B7BC2"/>
    <w:rsid w:val="006D2892"/>
    <w:rsid w:val="006E586F"/>
    <w:rsid w:val="00700868"/>
    <w:rsid w:val="00711F73"/>
    <w:rsid w:val="00731F72"/>
    <w:rsid w:val="00741752"/>
    <w:rsid w:val="00742519"/>
    <w:rsid w:val="0075701B"/>
    <w:rsid w:val="00757810"/>
    <w:rsid w:val="007629CB"/>
    <w:rsid w:val="00763807"/>
    <w:rsid w:val="00780660"/>
    <w:rsid w:val="00781D90"/>
    <w:rsid w:val="00782402"/>
    <w:rsid w:val="0078668B"/>
    <w:rsid w:val="00794EB8"/>
    <w:rsid w:val="007975BF"/>
    <w:rsid w:val="007975C8"/>
    <w:rsid w:val="007A075D"/>
    <w:rsid w:val="007B14DB"/>
    <w:rsid w:val="007B5D63"/>
    <w:rsid w:val="007B6D34"/>
    <w:rsid w:val="007B70E1"/>
    <w:rsid w:val="007F272C"/>
    <w:rsid w:val="007F2DD1"/>
    <w:rsid w:val="007F46A3"/>
    <w:rsid w:val="007F64AA"/>
    <w:rsid w:val="008141B3"/>
    <w:rsid w:val="0081465C"/>
    <w:rsid w:val="00816ED7"/>
    <w:rsid w:val="00826622"/>
    <w:rsid w:val="00826D2D"/>
    <w:rsid w:val="00830748"/>
    <w:rsid w:val="00832155"/>
    <w:rsid w:val="00835BA9"/>
    <w:rsid w:val="008362C4"/>
    <w:rsid w:val="00842346"/>
    <w:rsid w:val="00846CEC"/>
    <w:rsid w:val="00850A49"/>
    <w:rsid w:val="0086154C"/>
    <w:rsid w:val="00863D3A"/>
    <w:rsid w:val="00865042"/>
    <w:rsid w:val="008676B1"/>
    <w:rsid w:val="008765A9"/>
    <w:rsid w:val="00883C7A"/>
    <w:rsid w:val="00892053"/>
    <w:rsid w:val="00893DDF"/>
    <w:rsid w:val="00897577"/>
    <w:rsid w:val="008A2422"/>
    <w:rsid w:val="008B4B7A"/>
    <w:rsid w:val="008B5990"/>
    <w:rsid w:val="008B69D6"/>
    <w:rsid w:val="008C2E17"/>
    <w:rsid w:val="008E0BF9"/>
    <w:rsid w:val="008E0EC4"/>
    <w:rsid w:val="008F1545"/>
    <w:rsid w:val="0090797E"/>
    <w:rsid w:val="00913AA8"/>
    <w:rsid w:val="00916C50"/>
    <w:rsid w:val="009225F0"/>
    <w:rsid w:val="00922A50"/>
    <w:rsid w:val="00932076"/>
    <w:rsid w:val="00946F32"/>
    <w:rsid w:val="00954DE5"/>
    <w:rsid w:val="00965A51"/>
    <w:rsid w:val="00965AB2"/>
    <w:rsid w:val="00971BFB"/>
    <w:rsid w:val="00975A31"/>
    <w:rsid w:val="0099125E"/>
    <w:rsid w:val="009A20EE"/>
    <w:rsid w:val="009A50A1"/>
    <w:rsid w:val="009A5CB0"/>
    <w:rsid w:val="009B3FA5"/>
    <w:rsid w:val="009B7C8E"/>
    <w:rsid w:val="009C430A"/>
    <w:rsid w:val="009D1DC9"/>
    <w:rsid w:val="009D53F5"/>
    <w:rsid w:val="009E08D3"/>
    <w:rsid w:val="009F2FF2"/>
    <w:rsid w:val="009F6AAA"/>
    <w:rsid w:val="00A15462"/>
    <w:rsid w:val="00A23709"/>
    <w:rsid w:val="00A27C77"/>
    <w:rsid w:val="00A3395D"/>
    <w:rsid w:val="00A352F4"/>
    <w:rsid w:val="00A37369"/>
    <w:rsid w:val="00A44343"/>
    <w:rsid w:val="00A4731B"/>
    <w:rsid w:val="00A5586A"/>
    <w:rsid w:val="00A55A20"/>
    <w:rsid w:val="00A7084E"/>
    <w:rsid w:val="00A7688B"/>
    <w:rsid w:val="00A807E9"/>
    <w:rsid w:val="00A8342A"/>
    <w:rsid w:val="00A843A2"/>
    <w:rsid w:val="00A87B64"/>
    <w:rsid w:val="00AA1BA2"/>
    <w:rsid w:val="00AB093B"/>
    <w:rsid w:val="00AC05FE"/>
    <w:rsid w:val="00AC22A7"/>
    <w:rsid w:val="00AC5FFF"/>
    <w:rsid w:val="00AD7B5D"/>
    <w:rsid w:val="00AF4EF9"/>
    <w:rsid w:val="00AF6E96"/>
    <w:rsid w:val="00B00B1F"/>
    <w:rsid w:val="00B0181A"/>
    <w:rsid w:val="00B0251C"/>
    <w:rsid w:val="00B26E04"/>
    <w:rsid w:val="00B27BFD"/>
    <w:rsid w:val="00B3423A"/>
    <w:rsid w:val="00B65A1B"/>
    <w:rsid w:val="00B74ECF"/>
    <w:rsid w:val="00BC0C20"/>
    <w:rsid w:val="00BC1DC7"/>
    <w:rsid w:val="00BE4A16"/>
    <w:rsid w:val="00BE5A5B"/>
    <w:rsid w:val="00BE63E9"/>
    <w:rsid w:val="00BE75B2"/>
    <w:rsid w:val="00BF5768"/>
    <w:rsid w:val="00C11455"/>
    <w:rsid w:val="00C23A13"/>
    <w:rsid w:val="00C31C4D"/>
    <w:rsid w:val="00C33A4E"/>
    <w:rsid w:val="00C51F04"/>
    <w:rsid w:val="00C56AFF"/>
    <w:rsid w:val="00C6173B"/>
    <w:rsid w:val="00C64FDD"/>
    <w:rsid w:val="00C668EB"/>
    <w:rsid w:val="00C6785A"/>
    <w:rsid w:val="00C72CBA"/>
    <w:rsid w:val="00C766F6"/>
    <w:rsid w:val="00C7732A"/>
    <w:rsid w:val="00C954B0"/>
    <w:rsid w:val="00CA0C30"/>
    <w:rsid w:val="00CA628B"/>
    <w:rsid w:val="00CB05AB"/>
    <w:rsid w:val="00CB6781"/>
    <w:rsid w:val="00CC2C2D"/>
    <w:rsid w:val="00CC7382"/>
    <w:rsid w:val="00CD7CE4"/>
    <w:rsid w:val="00CE0060"/>
    <w:rsid w:val="00CF19F6"/>
    <w:rsid w:val="00CF558E"/>
    <w:rsid w:val="00CF7A72"/>
    <w:rsid w:val="00D02D2E"/>
    <w:rsid w:val="00D06003"/>
    <w:rsid w:val="00D0698C"/>
    <w:rsid w:val="00D07587"/>
    <w:rsid w:val="00D14E23"/>
    <w:rsid w:val="00D17949"/>
    <w:rsid w:val="00D325BB"/>
    <w:rsid w:val="00D34F9C"/>
    <w:rsid w:val="00D4485B"/>
    <w:rsid w:val="00D6121F"/>
    <w:rsid w:val="00D616FD"/>
    <w:rsid w:val="00D67232"/>
    <w:rsid w:val="00D715F4"/>
    <w:rsid w:val="00D724D4"/>
    <w:rsid w:val="00D76E3B"/>
    <w:rsid w:val="00D8585A"/>
    <w:rsid w:val="00D87B87"/>
    <w:rsid w:val="00D94EA1"/>
    <w:rsid w:val="00D95583"/>
    <w:rsid w:val="00DA6498"/>
    <w:rsid w:val="00DC2D83"/>
    <w:rsid w:val="00DC5616"/>
    <w:rsid w:val="00DC7951"/>
    <w:rsid w:val="00DD5786"/>
    <w:rsid w:val="00DE16BB"/>
    <w:rsid w:val="00DE38AD"/>
    <w:rsid w:val="00DF4112"/>
    <w:rsid w:val="00DF4D45"/>
    <w:rsid w:val="00E21735"/>
    <w:rsid w:val="00E36254"/>
    <w:rsid w:val="00E457C5"/>
    <w:rsid w:val="00E4697F"/>
    <w:rsid w:val="00E47930"/>
    <w:rsid w:val="00E50F6B"/>
    <w:rsid w:val="00E52406"/>
    <w:rsid w:val="00E632E3"/>
    <w:rsid w:val="00E64437"/>
    <w:rsid w:val="00E6612D"/>
    <w:rsid w:val="00E8575B"/>
    <w:rsid w:val="00E90370"/>
    <w:rsid w:val="00EB2E5F"/>
    <w:rsid w:val="00EC1327"/>
    <w:rsid w:val="00ED4BC1"/>
    <w:rsid w:val="00F05565"/>
    <w:rsid w:val="00F14706"/>
    <w:rsid w:val="00F15B62"/>
    <w:rsid w:val="00F2103E"/>
    <w:rsid w:val="00F258A8"/>
    <w:rsid w:val="00F2787B"/>
    <w:rsid w:val="00F4698F"/>
    <w:rsid w:val="00F52A25"/>
    <w:rsid w:val="00F54912"/>
    <w:rsid w:val="00F5527C"/>
    <w:rsid w:val="00F5766F"/>
    <w:rsid w:val="00F634D7"/>
    <w:rsid w:val="00F66B8D"/>
    <w:rsid w:val="00F67E48"/>
    <w:rsid w:val="00F75148"/>
    <w:rsid w:val="00F837D4"/>
    <w:rsid w:val="00FA281A"/>
    <w:rsid w:val="00FA6812"/>
    <w:rsid w:val="00FB555F"/>
    <w:rsid w:val="00FB613B"/>
    <w:rsid w:val="00FC4E96"/>
    <w:rsid w:val="00FC62AE"/>
    <w:rsid w:val="00FC693A"/>
    <w:rsid w:val="00FF062C"/>
    <w:rsid w:val="00FF113B"/>
    <w:rsid w:val="00FF27D8"/>
    <w:rsid w:val="00FF7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EF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5D"/>
    <w:pPr>
      <w:spacing w:after="240" w:line="280" w:lineRule="atLeast"/>
    </w:pPr>
    <w:rPr>
      <w:rFonts w:ascii="Arial" w:hAnsi="Arial"/>
      <w:sz w:val="24"/>
      <w:lang w:eastAsia="en-US"/>
    </w:rPr>
  </w:style>
  <w:style w:type="paragraph" w:styleId="Heading1">
    <w:name w:val="heading 1"/>
    <w:next w:val="Normal"/>
    <w:qFormat/>
    <w:rsid w:val="0059125D"/>
    <w:pPr>
      <w:keepNext/>
      <w:numPr>
        <w:numId w:val="1"/>
      </w:numPr>
      <w:spacing w:before="480" w:after="240"/>
      <w:outlineLvl w:val="0"/>
    </w:pPr>
    <w:rPr>
      <w:b/>
      <w:caps/>
      <w:sz w:val="28"/>
      <w:lang w:val="en-GB" w:eastAsia="en-US"/>
    </w:rPr>
  </w:style>
  <w:style w:type="paragraph" w:styleId="Heading2">
    <w:name w:val="heading 2"/>
    <w:next w:val="Normal"/>
    <w:qFormat/>
    <w:rsid w:val="0059125D"/>
    <w:pPr>
      <w:keepNext/>
      <w:numPr>
        <w:ilvl w:val="1"/>
        <w:numId w:val="1"/>
      </w:numPr>
      <w:spacing w:before="120" w:after="120"/>
      <w:outlineLvl w:val="1"/>
    </w:pPr>
    <w:rPr>
      <w:b/>
      <w:sz w:val="28"/>
      <w:lang w:val="en-GB" w:eastAsia="en-US"/>
    </w:rPr>
  </w:style>
  <w:style w:type="paragraph" w:styleId="Heading3">
    <w:name w:val="heading 3"/>
    <w:next w:val="Normal"/>
    <w:qFormat/>
    <w:rsid w:val="0059125D"/>
    <w:pPr>
      <w:keepNext/>
      <w:numPr>
        <w:ilvl w:val="2"/>
        <w:numId w:val="1"/>
      </w:numPr>
      <w:spacing w:after="120"/>
      <w:outlineLvl w:val="2"/>
    </w:pPr>
    <w:rPr>
      <w:i/>
      <w:sz w:val="24"/>
      <w:lang w:val="en-GB" w:eastAsia="en-US"/>
    </w:rPr>
  </w:style>
  <w:style w:type="paragraph" w:styleId="Heading4">
    <w:name w:val="heading 4"/>
    <w:next w:val="Normal"/>
    <w:qFormat/>
    <w:rsid w:val="0059125D"/>
    <w:pPr>
      <w:keepNext/>
      <w:numPr>
        <w:ilvl w:val="3"/>
        <w:numId w:val="1"/>
      </w:numPr>
      <w:spacing w:after="120"/>
      <w:outlineLvl w:val="3"/>
    </w:pPr>
    <w:rPr>
      <w:i/>
      <w:sz w:val="24"/>
      <w:lang w:val="en-GB" w:eastAsia="en-US"/>
    </w:rPr>
  </w:style>
  <w:style w:type="paragraph" w:styleId="Heading5">
    <w:name w:val="heading 5"/>
    <w:basedOn w:val="Normal"/>
    <w:next w:val="Normal"/>
    <w:qFormat/>
    <w:rsid w:val="0059125D"/>
    <w:pPr>
      <w:keepNext/>
      <w:spacing w:after="120"/>
      <w:outlineLvl w:val="4"/>
    </w:pPr>
    <w:rPr>
      <w:u w:val="single"/>
      <w:lang w:val="en-GB"/>
    </w:rPr>
  </w:style>
  <w:style w:type="paragraph" w:styleId="Heading6">
    <w:name w:val="heading 6"/>
    <w:next w:val="Normal"/>
    <w:qFormat/>
    <w:rsid w:val="0059125D"/>
    <w:pPr>
      <w:keepNext/>
      <w:spacing w:after="120"/>
      <w:outlineLvl w:val="5"/>
    </w:pPr>
    <w:rPr>
      <w:b/>
      <w:sz w:val="24"/>
      <w:lang w:val="en-GB" w:eastAsia="en-US"/>
    </w:rPr>
  </w:style>
  <w:style w:type="paragraph" w:styleId="Heading7">
    <w:name w:val="heading 7"/>
    <w:next w:val="Normal"/>
    <w:qFormat/>
    <w:rsid w:val="0059125D"/>
    <w:pPr>
      <w:keepNext/>
      <w:spacing w:after="120"/>
      <w:outlineLvl w:val="6"/>
    </w:pPr>
    <w:rPr>
      <w:b/>
      <w:sz w:val="24"/>
      <w:lang w:val="en-GB" w:eastAsia="en-US"/>
    </w:rPr>
  </w:style>
  <w:style w:type="paragraph" w:styleId="Heading8">
    <w:name w:val="heading 8"/>
    <w:next w:val="Normal"/>
    <w:qFormat/>
    <w:rsid w:val="0059125D"/>
    <w:pPr>
      <w:keepNext/>
      <w:spacing w:after="120"/>
      <w:outlineLvl w:val="7"/>
    </w:pPr>
    <w:rPr>
      <w:b/>
      <w:sz w:val="24"/>
      <w:lang w:val="en-GB" w:eastAsia="en-US"/>
    </w:rPr>
  </w:style>
  <w:style w:type="paragraph" w:styleId="Heading9">
    <w:name w:val="heading 9"/>
    <w:next w:val="Normal"/>
    <w:qFormat/>
    <w:rsid w:val="0059125D"/>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59125D"/>
    <w:rPr>
      <w:rFonts w:ascii="Arial" w:hAnsi="Arial"/>
      <w:sz w:val="16"/>
      <w:lang w:val="en-GB" w:eastAsia="en-US"/>
    </w:rPr>
  </w:style>
  <w:style w:type="paragraph" w:styleId="Footer">
    <w:name w:val="footer"/>
    <w:semiHidden/>
    <w:rsid w:val="0059125D"/>
    <w:rPr>
      <w:rFonts w:ascii="Arial" w:hAnsi="Arial"/>
      <w:sz w:val="16"/>
      <w:lang w:val="en-GB" w:eastAsia="en-US"/>
    </w:rPr>
  </w:style>
  <w:style w:type="paragraph" w:customStyle="1" w:styleId="A-Guided">
    <w:name w:val="A-Guided"/>
    <w:basedOn w:val="Normal"/>
    <w:rsid w:val="0059125D"/>
    <w:pPr>
      <w:spacing w:before="60"/>
    </w:pPr>
    <w:rPr>
      <w:lang w:val="en-GB"/>
    </w:rPr>
  </w:style>
  <w:style w:type="paragraph" w:customStyle="1" w:styleId="A-GuidedBold">
    <w:name w:val="A-Guided Bold"/>
    <w:basedOn w:val="Normal"/>
    <w:rsid w:val="0059125D"/>
    <w:pPr>
      <w:spacing w:before="60" w:after="120"/>
    </w:pPr>
    <w:rPr>
      <w:b/>
      <w:lang w:val="en-GB"/>
    </w:rPr>
  </w:style>
  <w:style w:type="character" w:customStyle="1" w:styleId="Z-RedHidden">
    <w:name w:val="Z-Red Hidden"/>
    <w:basedOn w:val="DefaultParagraphFont"/>
    <w:rsid w:val="0059125D"/>
    <w:rPr>
      <w:rFonts w:ascii="Arial" w:hAnsi="Arial"/>
      <w:vanish/>
      <w:color w:val="FF0000"/>
      <w:sz w:val="16"/>
    </w:rPr>
  </w:style>
  <w:style w:type="paragraph" w:customStyle="1" w:styleId="A-StudyTitle">
    <w:name w:val="A-Study Title"/>
    <w:basedOn w:val="Normal"/>
    <w:rsid w:val="0059125D"/>
    <w:pPr>
      <w:spacing w:after="120"/>
      <w:jc w:val="center"/>
    </w:pPr>
    <w:rPr>
      <w:b/>
      <w:sz w:val="32"/>
      <w:lang w:val="en-GB"/>
    </w:rPr>
  </w:style>
  <w:style w:type="paragraph" w:styleId="TOC1">
    <w:name w:val="toc 1"/>
    <w:next w:val="TOC2"/>
    <w:semiHidden/>
    <w:rsid w:val="0059125D"/>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59125D"/>
    <w:rPr>
      <w:caps w:val="0"/>
    </w:rPr>
  </w:style>
  <w:style w:type="paragraph" w:styleId="TOC3">
    <w:name w:val="toc 3"/>
    <w:basedOn w:val="TOC1"/>
    <w:next w:val="TOC4"/>
    <w:semiHidden/>
    <w:rsid w:val="0059125D"/>
    <w:pPr>
      <w:spacing w:before="0"/>
    </w:pPr>
    <w:rPr>
      <w:caps w:val="0"/>
    </w:rPr>
  </w:style>
  <w:style w:type="paragraph" w:styleId="TOC4">
    <w:name w:val="toc 4"/>
    <w:basedOn w:val="TOC1"/>
    <w:semiHidden/>
    <w:rsid w:val="0059125D"/>
    <w:pPr>
      <w:spacing w:before="0"/>
    </w:pPr>
    <w:rPr>
      <w:caps w:val="0"/>
    </w:rPr>
  </w:style>
  <w:style w:type="character" w:styleId="PageNumber">
    <w:name w:val="page number"/>
    <w:basedOn w:val="DefaultParagraphFont"/>
    <w:semiHidden/>
    <w:rsid w:val="0059125D"/>
    <w:rPr>
      <w:rFonts w:ascii="Arial" w:hAnsi="Arial"/>
      <w:sz w:val="20"/>
    </w:rPr>
  </w:style>
  <w:style w:type="paragraph" w:customStyle="1" w:styleId="A-TableText">
    <w:name w:val="A-Table Text"/>
    <w:basedOn w:val="Normal"/>
    <w:rsid w:val="00E50F6B"/>
    <w:pPr>
      <w:spacing w:before="60" w:after="60"/>
    </w:pPr>
    <w:rPr>
      <w:sz w:val="20"/>
      <w:lang w:val="en-GB"/>
    </w:rPr>
  </w:style>
  <w:style w:type="paragraph" w:styleId="Caption">
    <w:name w:val="caption"/>
    <w:next w:val="Normal"/>
    <w:qFormat/>
    <w:rsid w:val="0059125D"/>
    <w:pPr>
      <w:keepNext/>
      <w:spacing w:after="120" w:line="280" w:lineRule="atLeast"/>
      <w:ind w:left="1418" w:hanging="1418"/>
    </w:pPr>
    <w:rPr>
      <w:b/>
      <w:sz w:val="24"/>
      <w:lang w:val="en-GB" w:eastAsia="en-US"/>
    </w:rPr>
  </w:style>
  <w:style w:type="paragraph" w:styleId="TOC5">
    <w:name w:val="toc 5"/>
    <w:basedOn w:val="TOC1"/>
    <w:next w:val="Normal"/>
    <w:semiHidden/>
    <w:rsid w:val="0059125D"/>
    <w:pPr>
      <w:ind w:firstLine="0"/>
    </w:pPr>
  </w:style>
  <w:style w:type="paragraph" w:styleId="TOC6">
    <w:name w:val="toc 6"/>
    <w:basedOn w:val="TOC2"/>
    <w:next w:val="Normal"/>
    <w:semiHidden/>
    <w:rsid w:val="0059125D"/>
    <w:pPr>
      <w:ind w:firstLine="0"/>
    </w:pPr>
  </w:style>
  <w:style w:type="paragraph" w:styleId="TOC7">
    <w:name w:val="toc 7"/>
    <w:basedOn w:val="TOC3"/>
    <w:next w:val="Normal"/>
    <w:semiHidden/>
    <w:rsid w:val="0059125D"/>
    <w:pPr>
      <w:ind w:firstLine="0"/>
    </w:pPr>
  </w:style>
  <w:style w:type="paragraph" w:styleId="TOC8">
    <w:name w:val="toc 8"/>
    <w:basedOn w:val="TOC4"/>
    <w:next w:val="Normal"/>
    <w:semiHidden/>
    <w:rsid w:val="0059125D"/>
    <w:pPr>
      <w:ind w:firstLine="0"/>
    </w:pPr>
  </w:style>
  <w:style w:type="paragraph" w:styleId="TOC9">
    <w:name w:val="toc 9"/>
    <w:basedOn w:val="TOC1"/>
    <w:next w:val="Normal"/>
    <w:semiHidden/>
    <w:rsid w:val="0059125D"/>
    <w:pPr>
      <w:ind w:firstLine="0"/>
    </w:pPr>
  </w:style>
  <w:style w:type="paragraph" w:customStyle="1" w:styleId="A-LandscapeFont">
    <w:name w:val="A-Landscape Font"/>
    <w:rsid w:val="0059125D"/>
    <w:pPr>
      <w:spacing w:line="280" w:lineRule="atLeast"/>
    </w:pPr>
    <w:rPr>
      <w:rFonts w:ascii="Courier" w:hAnsi="Courier"/>
      <w:sz w:val="16"/>
      <w:lang w:val="en-GB" w:eastAsia="en-US"/>
    </w:rPr>
  </w:style>
  <w:style w:type="paragraph" w:customStyle="1" w:styleId="A-TableHeader">
    <w:name w:val="A-Table Header"/>
    <w:basedOn w:val="Normal"/>
    <w:next w:val="A-TableText"/>
    <w:rsid w:val="00641166"/>
    <w:pPr>
      <w:keepNext/>
      <w:spacing w:before="60" w:after="60" w:line="240" w:lineRule="auto"/>
    </w:pPr>
    <w:rPr>
      <w:b/>
      <w:sz w:val="20"/>
      <w:lang w:val="en-GB"/>
    </w:rPr>
  </w:style>
  <w:style w:type="paragraph" w:styleId="TableofFigures">
    <w:name w:val="table of figures"/>
    <w:next w:val="Normal"/>
    <w:semiHidden/>
    <w:rsid w:val="0059125D"/>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59125D"/>
    <w:pPr>
      <w:tabs>
        <w:tab w:val="left" w:pos="1800"/>
      </w:tabs>
      <w:spacing w:after="120"/>
      <w:ind w:left="1800" w:hanging="1800"/>
    </w:pPr>
    <w:rPr>
      <w:b/>
      <w:sz w:val="28"/>
      <w:lang w:val="en-GB"/>
    </w:rPr>
  </w:style>
  <w:style w:type="paragraph" w:customStyle="1" w:styleId="Z-Box">
    <w:name w:val="Z-Box"/>
    <w:basedOn w:val="Normal"/>
    <w:rsid w:val="0059125D"/>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59125D"/>
    <w:rPr>
      <w:lang w:val="en-GB"/>
    </w:rPr>
  </w:style>
  <w:style w:type="paragraph" w:customStyle="1" w:styleId="A-Unnumbered">
    <w:name w:val="A-Unnumbered"/>
    <w:basedOn w:val="Normal"/>
    <w:next w:val="Normal"/>
    <w:rsid w:val="0059125D"/>
    <w:pPr>
      <w:keepNext/>
      <w:spacing w:before="480"/>
    </w:pPr>
    <w:rPr>
      <w:b/>
      <w:caps/>
      <w:sz w:val="28"/>
      <w:lang w:val="en-GB"/>
    </w:rPr>
  </w:style>
  <w:style w:type="paragraph" w:customStyle="1" w:styleId="A-Unassigned">
    <w:name w:val="A-Unassigned"/>
    <w:basedOn w:val="Normal"/>
    <w:next w:val="Normal"/>
    <w:rsid w:val="0059125D"/>
    <w:pPr>
      <w:keepNext/>
      <w:spacing w:before="120" w:after="120"/>
    </w:pPr>
    <w:rPr>
      <w:b/>
      <w:lang w:val="en-GB"/>
    </w:rPr>
  </w:style>
  <w:style w:type="paragraph" w:customStyle="1" w:styleId="A-ListBullet">
    <w:name w:val="A-List Bullet"/>
    <w:basedOn w:val="Normal"/>
    <w:rsid w:val="0059125D"/>
    <w:pPr>
      <w:numPr>
        <w:numId w:val="2"/>
      </w:numPr>
    </w:pPr>
    <w:rPr>
      <w:lang w:val="en-GB"/>
    </w:rPr>
  </w:style>
  <w:style w:type="paragraph" w:customStyle="1" w:styleId="A-ListNumber">
    <w:name w:val="A-List Number"/>
    <w:basedOn w:val="Normal"/>
    <w:rsid w:val="0059125D"/>
    <w:pPr>
      <w:tabs>
        <w:tab w:val="left" w:pos="994"/>
      </w:tabs>
      <w:ind w:left="994" w:hanging="994"/>
    </w:pPr>
    <w:rPr>
      <w:lang w:val="en-GB"/>
    </w:rPr>
  </w:style>
  <w:style w:type="paragraph" w:customStyle="1" w:styleId="A-ListSubsidiary">
    <w:name w:val="A-List Subsidiary"/>
    <w:basedOn w:val="Normal"/>
    <w:rsid w:val="0059125D"/>
    <w:pPr>
      <w:numPr>
        <w:numId w:val="3"/>
      </w:numPr>
      <w:tabs>
        <w:tab w:val="clear" w:pos="1987"/>
        <w:tab w:val="left" w:pos="1440"/>
      </w:tabs>
      <w:ind w:left="1440" w:hanging="446"/>
    </w:pPr>
    <w:rPr>
      <w:lang w:val="en-GB"/>
    </w:rPr>
  </w:style>
  <w:style w:type="paragraph" w:customStyle="1" w:styleId="A-NormalIndent">
    <w:name w:val="A-Normal Indent"/>
    <w:basedOn w:val="Normal"/>
    <w:next w:val="Normal"/>
    <w:rsid w:val="0059125D"/>
    <w:pPr>
      <w:ind w:left="992"/>
    </w:pPr>
    <w:rPr>
      <w:lang w:val="en-GB"/>
    </w:rPr>
  </w:style>
  <w:style w:type="paragraph" w:customStyle="1" w:styleId="A-Lista">
    <w:name w:val="A-List (a)"/>
    <w:basedOn w:val="Normal"/>
    <w:next w:val="Normal"/>
    <w:rsid w:val="0059125D"/>
    <w:pPr>
      <w:numPr>
        <w:numId w:val="4"/>
      </w:numPr>
    </w:pPr>
    <w:rPr>
      <w:lang w:val="en-GB"/>
    </w:rPr>
  </w:style>
  <w:style w:type="paragraph" w:customStyle="1" w:styleId="A-Listi">
    <w:name w:val="A-List (i)"/>
    <w:basedOn w:val="Normal"/>
    <w:next w:val="Normal"/>
    <w:rsid w:val="0059125D"/>
    <w:pPr>
      <w:numPr>
        <w:numId w:val="5"/>
      </w:numPr>
    </w:pPr>
    <w:rPr>
      <w:lang w:val="en-GB"/>
    </w:rPr>
  </w:style>
  <w:style w:type="paragraph" w:customStyle="1" w:styleId="A-TableTitle">
    <w:name w:val="A-Table Title"/>
    <w:basedOn w:val="Normal"/>
    <w:next w:val="Normal"/>
    <w:rsid w:val="00D76E3B"/>
    <w:pPr>
      <w:keepNext/>
      <w:tabs>
        <w:tab w:val="left" w:pos="1800"/>
      </w:tabs>
      <w:spacing w:after="120" w:line="240" w:lineRule="auto"/>
      <w:ind w:left="1797" w:hanging="1797"/>
    </w:pPr>
    <w:rPr>
      <w:b/>
      <w:sz w:val="22"/>
      <w:szCs w:val="22"/>
      <w:lang w:val="en-GB"/>
    </w:rPr>
  </w:style>
  <w:style w:type="paragraph" w:customStyle="1" w:styleId="A-FigureTitle">
    <w:name w:val="A-Figure Title"/>
    <w:basedOn w:val="Normal"/>
    <w:next w:val="Normal"/>
    <w:rsid w:val="0059125D"/>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266481"/>
    <w:pPr>
      <w:tabs>
        <w:tab w:val="left" w:pos="432"/>
      </w:tabs>
      <w:spacing w:line="240" w:lineRule="auto"/>
      <w:ind w:left="431" w:hanging="431"/>
      <w:contextualSpacing/>
    </w:pPr>
    <w:rPr>
      <w:sz w:val="18"/>
      <w:lang w:val="en-GB"/>
    </w:rPr>
  </w:style>
  <w:style w:type="paragraph" w:customStyle="1" w:styleId="Z-LogoHeader">
    <w:name w:val="Z-Logo Header"/>
    <w:basedOn w:val="Header"/>
    <w:rsid w:val="0059125D"/>
    <w:pPr>
      <w:spacing w:before="240"/>
    </w:pPr>
  </w:style>
  <w:style w:type="paragraph" w:customStyle="1" w:styleId="Z-Signature">
    <w:name w:val="Z-Signature"/>
    <w:next w:val="Normal"/>
    <w:rsid w:val="0059125D"/>
    <w:pPr>
      <w:spacing w:before="360" w:line="280" w:lineRule="atLeast"/>
    </w:pPr>
    <w:rPr>
      <w:sz w:val="24"/>
      <w:lang w:val="en-GB" w:eastAsia="en-US"/>
    </w:rPr>
  </w:style>
  <w:style w:type="paragraph" w:customStyle="1" w:styleId="TocHeaders">
    <w:name w:val="TocHeaders"/>
    <w:next w:val="Normal"/>
    <w:rsid w:val="0059125D"/>
    <w:pPr>
      <w:keepNext/>
      <w:spacing w:before="480" w:after="240"/>
      <w:outlineLvl w:val="0"/>
    </w:pPr>
    <w:rPr>
      <w:b/>
      <w:caps/>
      <w:sz w:val="28"/>
      <w:lang w:val="en-GB" w:eastAsia="en-US"/>
    </w:rPr>
  </w:style>
  <w:style w:type="character" w:styleId="Hyperlink">
    <w:name w:val="Hyperlink"/>
    <w:basedOn w:val="DefaultParagraphFont"/>
    <w:semiHidden/>
    <w:rsid w:val="0059125D"/>
    <w:rPr>
      <w:color w:val="auto"/>
      <w:u w:val="none"/>
    </w:rPr>
  </w:style>
  <w:style w:type="character" w:styleId="FollowedHyperlink">
    <w:name w:val="FollowedHyperlink"/>
    <w:basedOn w:val="DefaultParagraphFont"/>
    <w:semiHidden/>
    <w:rsid w:val="0059125D"/>
    <w:rPr>
      <w:color w:val="auto"/>
      <w:u w:val="none"/>
    </w:rPr>
  </w:style>
  <w:style w:type="paragraph" w:customStyle="1" w:styleId="A-Heading1">
    <w:name w:val="A-Heading 1"/>
    <w:basedOn w:val="Normal"/>
    <w:next w:val="Normal"/>
    <w:rsid w:val="0059125D"/>
    <w:pPr>
      <w:keepNext/>
      <w:spacing w:before="480"/>
      <w:outlineLvl w:val="0"/>
    </w:pPr>
    <w:rPr>
      <w:b/>
      <w:caps/>
      <w:lang w:val="en-GB"/>
    </w:rPr>
  </w:style>
  <w:style w:type="paragraph" w:customStyle="1" w:styleId="A-Heading2">
    <w:name w:val="A-Heading 2"/>
    <w:basedOn w:val="Normal"/>
    <w:next w:val="Normal"/>
    <w:rsid w:val="0059125D"/>
    <w:pPr>
      <w:keepNext/>
      <w:spacing w:before="120" w:after="120"/>
      <w:outlineLvl w:val="1"/>
    </w:pPr>
    <w:rPr>
      <w:b/>
      <w:lang w:val="en-GB"/>
    </w:rPr>
  </w:style>
  <w:style w:type="paragraph" w:customStyle="1" w:styleId="A-Heading3">
    <w:name w:val="A-Heading 3"/>
    <w:basedOn w:val="Normal"/>
    <w:next w:val="Normal"/>
    <w:rsid w:val="0059125D"/>
    <w:pPr>
      <w:keepNext/>
      <w:spacing w:after="120"/>
      <w:outlineLvl w:val="2"/>
    </w:pPr>
    <w:rPr>
      <w:b/>
      <w:i/>
      <w:lang w:val="en-GB"/>
    </w:rPr>
  </w:style>
  <w:style w:type="paragraph" w:customStyle="1" w:styleId="A-Heading4">
    <w:name w:val="A-Heading 4"/>
    <w:basedOn w:val="Normal"/>
    <w:next w:val="Normal"/>
    <w:rsid w:val="0059125D"/>
    <w:pPr>
      <w:keepNext/>
      <w:spacing w:after="120"/>
      <w:outlineLvl w:val="3"/>
    </w:pPr>
    <w:rPr>
      <w:i/>
      <w:lang w:val="en-GB"/>
    </w:rPr>
  </w:style>
  <w:style w:type="paragraph" w:customStyle="1" w:styleId="Tableheading">
    <w:name w:val="Table heading"/>
    <w:basedOn w:val="Normal"/>
    <w:rsid w:val="0059125D"/>
    <w:pPr>
      <w:spacing w:line="240" w:lineRule="auto"/>
    </w:pPr>
    <w:rPr>
      <w:b/>
      <w:sz w:val="20"/>
      <w:szCs w:val="24"/>
    </w:rPr>
  </w:style>
  <w:style w:type="paragraph" w:styleId="FootnoteText">
    <w:name w:val="footnote text"/>
    <w:next w:val="Normal"/>
    <w:semiHidden/>
    <w:rsid w:val="0059125D"/>
    <w:pPr>
      <w:tabs>
        <w:tab w:val="left" w:pos="431"/>
      </w:tabs>
      <w:ind w:left="431" w:hanging="431"/>
    </w:pPr>
    <w:rPr>
      <w:rFonts w:ascii="Arial" w:hAnsi="Arial"/>
      <w:lang w:val="en-GB" w:eastAsia="en-US"/>
    </w:rPr>
  </w:style>
  <w:style w:type="paragraph" w:customStyle="1" w:styleId="Tabletext">
    <w:name w:val="Table text"/>
    <w:basedOn w:val="Normal"/>
    <w:rsid w:val="0059125D"/>
    <w:pPr>
      <w:spacing w:line="240" w:lineRule="auto"/>
    </w:pPr>
    <w:rPr>
      <w:sz w:val="20"/>
      <w:szCs w:val="24"/>
    </w:rPr>
  </w:style>
  <w:style w:type="paragraph" w:styleId="DocumentMap">
    <w:name w:val="Document Map"/>
    <w:basedOn w:val="Normal"/>
    <w:semiHidden/>
    <w:rsid w:val="0059125D"/>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76361"/>
    <w:pPr>
      <w:spacing w:after="0" w:line="240" w:lineRule="auto"/>
    </w:pPr>
    <w:rPr>
      <w:rFonts w:ascii="Tahoma" w:hAnsi="Tahoma" w:cs="Tahoma"/>
      <w:sz w:val="16"/>
      <w:szCs w:val="16"/>
    </w:rPr>
  </w:style>
  <w:style w:type="paragraph" w:customStyle="1" w:styleId="A-studytitle2">
    <w:name w:val="A-study title 2"/>
    <w:basedOn w:val="A-StudyTitle"/>
    <w:rsid w:val="0059125D"/>
    <w:rPr>
      <w:b w:val="0"/>
      <w:sz w:val="24"/>
    </w:rPr>
  </w:style>
  <w:style w:type="paragraph" w:customStyle="1" w:styleId="A-studytitle3">
    <w:name w:val="A-study title 3"/>
    <w:basedOn w:val="A-StudyTitle"/>
    <w:rsid w:val="0059125D"/>
    <w:rPr>
      <w:caps/>
      <w:sz w:val="24"/>
    </w:rPr>
  </w:style>
  <w:style w:type="paragraph" w:customStyle="1" w:styleId="A-Heading5">
    <w:name w:val="A-Heading 5"/>
    <w:basedOn w:val="A-Heading4"/>
    <w:rsid w:val="0059125D"/>
    <w:rPr>
      <w:i w:val="0"/>
      <w:u w:val="single"/>
    </w:rPr>
  </w:style>
  <w:style w:type="character" w:customStyle="1" w:styleId="BalloonTextChar">
    <w:name w:val="Balloon Text Char"/>
    <w:basedOn w:val="DefaultParagraphFont"/>
    <w:link w:val="BalloonText"/>
    <w:uiPriority w:val="99"/>
    <w:semiHidden/>
    <w:rsid w:val="00276361"/>
    <w:rPr>
      <w:rFonts w:ascii="Tahoma" w:hAnsi="Tahoma" w:cs="Tahoma"/>
      <w:sz w:val="16"/>
      <w:szCs w:val="16"/>
      <w:lang w:eastAsia="en-US"/>
    </w:rPr>
  </w:style>
  <w:style w:type="character" w:styleId="CommentReference">
    <w:name w:val="annotation reference"/>
    <w:basedOn w:val="DefaultParagraphFont"/>
    <w:semiHidden/>
    <w:unhideWhenUsed/>
    <w:rsid w:val="0065761D"/>
    <w:rPr>
      <w:sz w:val="16"/>
      <w:szCs w:val="16"/>
    </w:rPr>
  </w:style>
  <w:style w:type="paragraph" w:styleId="CommentText">
    <w:name w:val="annotation text"/>
    <w:basedOn w:val="Normal"/>
    <w:link w:val="CommentTextChar"/>
    <w:unhideWhenUsed/>
    <w:rsid w:val="0065761D"/>
    <w:pPr>
      <w:spacing w:line="240" w:lineRule="auto"/>
    </w:pPr>
    <w:rPr>
      <w:sz w:val="20"/>
    </w:rPr>
  </w:style>
  <w:style w:type="character" w:customStyle="1" w:styleId="CommentTextChar">
    <w:name w:val="Comment Text Char"/>
    <w:basedOn w:val="DefaultParagraphFont"/>
    <w:link w:val="CommentText"/>
    <w:uiPriority w:val="99"/>
    <w:rsid w:val="0065761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761D"/>
    <w:rPr>
      <w:b/>
      <w:bCs/>
    </w:rPr>
  </w:style>
  <w:style w:type="character" w:customStyle="1" w:styleId="CommentSubjectChar">
    <w:name w:val="Comment Subject Char"/>
    <w:basedOn w:val="CommentTextChar"/>
    <w:link w:val="CommentSubject"/>
    <w:uiPriority w:val="99"/>
    <w:semiHidden/>
    <w:rsid w:val="0065761D"/>
    <w:rPr>
      <w:rFonts w:ascii="Arial" w:hAnsi="Arial"/>
      <w:b/>
      <w:bCs/>
      <w:lang w:eastAsia="en-US"/>
    </w:rPr>
  </w:style>
  <w:style w:type="paragraph" w:customStyle="1" w:styleId="TableHeader">
    <w:name w:val="Table Header"/>
    <w:basedOn w:val="Normal"/>
    <w:next w:val="Normal"/>
    <w:semiHidden/>
    <w:rsid w:val="0020751A"/>
    <w:pPr>
      <w:keepNext/>
      <w:keepLines/>
      <w:spacing w:before="60" w:after="120" w:line="240" w:lineRule="auto"/>
      <w:jc w:val="center"/>
    </w:pPr>
    <w:rPr>
      <w:rFonts w:ascii="Times New Roman Bold" w:hAnsi="Times New Roman Bold"/>
      <w:b/>
      <w:sz w:val="20"/>
      <w:lang w:val="en-US"/>
    </w:rPr>
  </w:style>
  <w:style w:type="paragraph" w:customStyle="1" w:styleId="TableText0">
    <w:name w:val="Table Text"/>
    <w:basedOn w:val="Normal"/>
    <w:semiHidden/>
    <w:rsid w:val="0020751A"/>
    <w:pPr>
      <w:spacing w:before="60" w:after="60" w:line="240" w:lineRule="auto"/>
    </w:pPr>
    <w:rPr>
      <w:rFonts w:ascii="Times New Roman" w:hAnsi="Times New Roman"/>
      <w:sz w:val="20"/>
      <w:lang w:val="en-US"/>
    </w:rPr>
  </w:style>
  <w:style w:type="character" w:customStyle="1" w:styleId="TableNote">
    <w:name w:val="Table Note"/>
    <w:semiHidden/>
    <w:rsid w:val="0020751A"/>
    <w:rPr>
      <w:sz w:val="28"/>
      <w:vertAlign w:val="superscript"/>
    </w:rPr>
  </w:style>
  <w:style w:type="paragraph" w:customStyle="1" w:styleId="TableNoteInfo">
    <w:name w:val="Table Note Info"/>
    <w:basedOn w:val="Normal"/>
    <w:next w:val="Normal"/>
    <w:semiHidden/>
    <w:rsid w:val="002C7BAA"/>
    <w:pPr>
      <w:tabs>
        <w:tab w:val="left" w:pos="216"/>
      </w:tabs>
      <w:spacing w:after="0" w:line="240" w:lineRule="auto"/>
      <w:ind w:left="360" w:right="2" w:hanging="360"/>
    </w:pPr>
    <w:rPr>
      <w:rFonts w:ascii="Times New Roman" w:hAnsi="Times New Roman"/>
      <w:sz w:val="20"/>
      <w:lang w:val="en-US"/>
    </w:rPr>
  </w:style>
  <w:style w:type="paragraph" w:customStyle="1" w:styleId="TableHeading0">
    <w:name w:val="Table Heading"/>
    <w:basedOn w:val="Normal"/>
    <w:rsid w:val="00D76E3B"/>
    <w:pPr>
      <w:spacing w:after="0" w:line="240" w:lineRule="auto"/>
      <w:jc w:val="center"/>
    </w:pPr>
    <w:rPr>
      <w:b/>
      <w:snapToGrid w:val="0"/>
      <w:sz w:val="20"/>
      <w:lang w:val="en-US"/>
    </w:rPr>
  </w:style>
  <w:style w:type="paragraph" w:customStyle="1" w:styleId="TableFootnotes">
    <w:name w:val="Table Footnotes"/>
    <w:basedOn w:val="Normal"/>
    <w:rsid w:val="008F1545"/>
    <w:pPr>
      <w:numPr>
        <w:numId w:val="6"/>
      </w:numPr>
      <w:spacing w:before="120" w:after="120" w:line="300" w:lineRule="auto"/>
    </w:pPr>
    <w:rPr>
      <w:rFonts w:ascii="Times New Roman" w:hAnsi="Times New Roman"/>
      <w:sz w:val="20"/>
      <w:lang w:val="en-US"/>
    </w:rPr>
  </w:style>
  <w:style w:type="paragraph" w:customStyle="1" w:styleId="Default">
    <w:name w:val="Default"/>
    <w:rsid w:val="00100288"/>
    <w:pPr>
      <w:autoSpaceDE w:val="0"/>
      <w:autoSpaceDN w:val="0"/>
      <w:adjustRightInd w:val="0"/>
    </w:pPr>
    <w:rPr>
      <w:color w:val="000000"/>
      <w:sz w:val="24"/>
      <w:szCs w:val="24"/>
      <w:lang w:val="en-US" w:eastAsia="en-US"/>
    </w:rPr>
  </w:style>
  <w:style w:type="character" w:styleId="FootnoteReference">
    <w:name w:val="footnote reference"/>
    <w:basedOn w:val="DefaultParagraphFont"/>
    <w:uiPriority w:val="99"/>
    <w:semiHidden/>
    <w:unhideWhenUsed/>
    <w:rsid w:val="000C17B7"/>
    <w:rPr>
      <w:vertAlign w:val="superscript"/>
    </w:rPr>
  </w:style>
  <w:style w:type="paragraph" w:styleId="NormalWeb">
    <w:name w:val="Normal (Web)"/>
    <w:basedOn w:val="Normal"/>
    <w:uiPriority w:val="99"/>
    <w:unhideWhenUsed/>
    <w:rsid w:val="00633649"/>
    <w:pPr>
      <w:spacing w:before="240" w:line="240" w:lineRule="auto"/>
    </w:pPr>
    <w:rPr>
      <w:rFonts w:ascii="Times New Roman" w:hAnsi="Times New Roman"/>
      <w:szCs w:val="24"/>
      <w:lang w:eastAsia="en-AU"/>
    </w:rPr>
  </w:style>
  <w:style w:type="table" w:styleId="TableGrid">
    <w:name w:val="Table Grid"/>
    <w:basedOn w:val="TableNormal"/>
    <w:uiPriority w:val="59"/>
    <w:rsid w:val="003F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5D"/>
    <w:pPr>
      <w:spacing w:after="240" w:line="280" w:lineRule="atLeast"/>
    </w:pPr>
    <w:rPr>
      <w:rFonts w:ascii="Arial" w:hAnsi="Arial"/>
      <w:sz w:val="24"/>
      <w:lang w:eastAsia="en-US"/>
    </w:rPr>
  </w:style>
  <w:style w:type="paragraph" w:styleId="Heading1">
    <w:name w:val="heading 1"/>
    <w:next w:val="Normal"/>
    <w:qFormat/>
    <w:rsid w:val="0059125D"/>
    <w:pPr>
      <w:keepNext/>
      <w:numPr>
        <w:numId w:val="1"/>
      </w:numPr>
      <w:spacing w:before="480" w:after="240"/>
      <w:outlineLvl w:val="0"/>
    </w:pPr>
    <w:rPr>
      <w:b/>
      <w:caps/>
      <w:sz w:val="28"/>
      <w:lang w:val="en-GB" w:eastAsia="en-US"/>
    </w:rPr>
  </w:style>
  <w:style w:type="paragraph" w:styleId="Heading2">
    <w:name w:val="heading 2"/>
    <w:next w:val="Normal"/>
    <w:qFormat/>
    <w:rsid w:val="0059125D"/>
    <w:pPr>
      <w:keepNext/>
      <w:numPr>
        <w:ilvl w:val="1"/>
        <w:numId w:val="1"/>
      </w:numPr>
      <w:spacing w:before="120" w:after="120"/>
      <w:outlineLvl w:val="1"/>
    </w:pPr>
    <w:rPr>
      <w:b/>
      <w:sz w:val="28"/>
      <w:lang w:val="en-GB" w:eastAsia="en-US"/>
    </w:rPr>
  </w:style>
  <w:style w:type="paragraph" w:styleId="Heading3">
    <w:name w:val="heading 3"/>
    <w:next w:val="Normal"/>
    <w:qFormat/>
    <w:rsid w:val="0059125D"/>
    <w:pPr>
      <w:keepNext/>
      <w:numPr>
        <w:ilvl w:val="2"/>
        <w:numId w:val="1"/>
      </w:numPr>
      <w:spacing w:after="120"/>
      <w:outlineLvl w:val="2"/>
    </w:pPr>
    <w:rPr>
      <w:i/>
      <w:sz w:val="24"/>
      <w:lang w:val="en-GB" w:eastAsia="en-US"/>
    </w:rPr>
  </w:style>
  <w:style w:type="paragraph" w:styleId="Heading4">
    <w:name w:val="heading 4"/>
    <w:next w:val="Normal"/>
    <w:qFormat/>
    <w:rsid w:val="0059125D"/>
    <w:pPr>
      <w:keepNext/>
      <w:numPr>
        <w:ilvl w:val="3"/>
        <w:numId w:val="1"/>
      </w:numPr>
      <w:spacing w:after="120"/>
      <w:outlineLvl w:val="3"/>
    </w:pPr>
    <w:rPr>
      <w:i/>
      <w:sz w:val="24"/>
      <w:lang w:val="en-GB" w:eastAsia="en-US"/>
    </w:rPr>
  </w:style>
  <w:style w:type="paragraph" w:styleId="Heading5">
    <w:name w:val="heading 5"/>
    <w:basedOn w:val="Normal"/>
    <w:next w:val="Normal"/>
    <w:qFormat/>
    <w:rsid w:val="0059125D"/>
    <w:pPr>
      <w:keepNext/>
      <w:spacing w:after="120"/>
      <w:outlineLvl w:val="4"/>
    </w:pPr>
    <w:rPr>
      <w:u w:val="single"/>
      <w:lang w:val="en-GB"/>
    </w:rPr>
  </w:style>
  <w:style w:type="paragraph" w:styleId="Heading6">
    <w:name w:val="heading 6"/>
    <w:next w:val="Normal"/>
    <w:qFormat/>
    <w:rsid w:val="0059125D"/>
    <w:pPr>
      <w:keepNext/>
      <w:spacing w:after="120"/>
      <w:outlineLvl w:val="5"/>
    </w:pPr>
    <w:rPr>
      <w:b/>
      <w:sz w:val="24"/>
      <w:lang w:val="en-GB" w:eastAsia="en-US"/>
    </w:rPr>
  </w:style>
  <w:style w:type="paragraph" w:styleId="Heading7">
    <w:name w:val="heading 7"/>
    <w:next w:val="Normal"/>
    <w:qFormat/>
    <w:rsid w:val="0059125D"/>
    <w:pPr>
      <w:keepNext/>
      <w:spacing w:after="120"/>
      <w:outlineLvl w:val="6"/>
    </w:pPr>
    <w:rPr>
      <w:b/>
      <w:sz w:val="24"/>
      <w:lang w:val="en-GB" w:eastAsia="en-US"/>
    </w:rPr>
  </w:style>
  <w:style w:type="paragraph" w:styleId="Heading8">
    <w:name w:val="heading 8"/>
    <w:next w:val="Normal"/>
    <w:qFormat/>
    <w:rsid w:val="0059125D"/>
    <w:pPr>
      <w:keepNext/>
      <w:spacing w:after="120"/>
      <w:outlineLvl w:val="7"/>
    </w:pPr>
    <w:rPr>
      <w:b/>
      <w:sz w:val="24"/>
      <w:lang w:val="en-GB" w:eastAsia="en-US"/>
    </w:rPr>
  </w:style>
  <w:style w:type="paragraph" w:styleId="Heading9">
    <w:name w:val="heading 9"/>
    <w:next w:val="Normal"/>
    <w:qFormat/>
    <w:rsid w:val="0059125D"/>
    <w:pPr>
      <w:keepNext/>
      <w:outlineLvl w:val="8"/>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semiHidden/>
    <w:rsid w:val="0059125D"/>
    <w:rPr>
      <w:rFonts w:ascii="Arial" w:hAnsi="Arial"/>
      <w:sz w:val="16"/>
      <w:lang w:val="en-GB" w:eastAsia="en-US"/>
    </w:rPr>
  </w:style>
  <w:style w:type="paragraph" w:styleId="Footer">
    <w:name w:val="footer"/>
    <w:semiHidden/>
    <w:rsid w:val="0059125D"/>
    <w:rPr>
      <w:rFonts w:ascii="Arial" w:hAnsi="Arial"/>
      <w:sz w:val="16"/>
      <w:lang w:val="en-GB" w:eastAsia="en-US"/>
    </w:rPr>
  </w:style>
  <w:style w:type="paragraph" w:customStyle="1" w:styleId="A-Guided">
    <w:name w:val="A-Guided"/>
    <w:basedOn w:val="Normal"/>
    <w:rsid w:val="0059125D"/>
    <w:pPr>
      <w:spacing w:before="60"/>
    </w:pPr>
    <w:rPr>
      <w:lang w:val="en-GB"/>
    </w:rPr>
  </w:style>
  <w:style w:type="paragraph" w:customStyle="1" w:styleId="A-GuidedBold">
    <w:name w:val="A-Guided Bold"/>
    <w:basedOn w:val="Normal"/>
    <w:rsid w:val="0059125D"/>
    <w:pPr>
      <w:spacing w:before="60" w:after="120"/>
    </w:pPr>
    <w:rPr>
      <w:b/>
      <w:lang w:val="en-GB"/>
    </w:rPr>
  </w:style>
  <w:style w:type="character" w:customStyle="1" w:styleId="Z-RedHidden">
    <w:name w:val="Z-Red Hidden"/>
    <w:basedOn w:val="DefaultParagraphFont"/>
    <w:rsid w:val="0059125D"/>
    <w:rPr>
      <w:rFonts w:ascii="Arial" w:hAnsi="Arial"/>
      <w:vanish/>
      <w:color w:val="FF0000"/>
      <w:sz w:val="16"/>
    </w:rPr>
  </w:style>
  <w:style w:type="paragraph" w:customStyle="1" w:styleId="A-StudyTitle">
    <w:name w:val="A-Study Title"/>
    <w:basedOn w:val="Normal"/>
    <w:rsid w:val="0059125D"/>
    <w:pPr>
      <w:spacing w:after="120"/>
      <w:jc w:val="center"/>
    </w:pPr>
    <w:rPr>
      <w:b/>
      <w:sz w:val="32"/>
      <w:lang w:val="en-GB"/>
    </w:rPr>
  </w:style>
  <w:style w:type="paragraph" w:styleId="TOC1">
    <w:name w:val="toc 1"/>
    <w:next w:val="TOC2"/>
    <w:semiHidden/>
    <w:rsid w:val="0059125D"/>
    <w:pPr>
      <w:tabs>
        <w:tab w:val="right" w:leader="dot" w:pos="8931"/>
      </w:tabs>
      <w:spacing w:before="120"/>
      <w:ind w:left="994" w:right="864" w:hanging="994"/>
    </w:pPr>
    <w:rPr>
      <w:caps/>
      <w:sz w:val="24"/>
      <w:lang w:val="en-GB" w:eastAsia="en-US"/>
    </w:rPr>
  </w:style>
  <w:style w:type="paragraph" w:styleId="TOC2">
    <w:name w:val="toc 2"/>
    <w:basedOn w:val="TOC1"/>
    <w:next w:val="TOC3"/>
    <w:semiHidden/>
    <w:rsid w:val="0059125D"/>
    <w:rPr>
      <w:caps w:val="0"/>
    </w:rPr>
  </w:style>
  <w:style w:type="paragraph" w:styleId="TOC3">
    <w:name w:val="toc 3"/>
    <w:basedOn w:val="TOC1"/>
    <w:next w:val="TOC4"/>
    <w:semiHidden/>
    <w:rsid w:val="0059125D"/>
    <w:pPr>
      <w:spacing w:before="0"/>
    </w:pPr>
    <w:rPr>
      <w:caps w:val="0"/>
    </w:rPr>
  </w:style>
  <w:style w:type="paragraph" w:styleId="TOC4">
    <w:name w:val="toc 4"/>
    <w:basedOn w:val="TOC1"/>
    <w:semiHidden/>
    <w:rsid w:val="0059125D"/>
    <w:pPr>
      <w:spacing w:before="0"/>
    </w:pPr>
    <w:rPr>
      <w:caps w:val="0"/>
    </w:rPr>
  </w:style>
  <w:style w:type="character" w:styleId="PageNumber">
    <w:name w:val="page number"/>
    <w:basedOn w:val="DefaultParagraphFont"/>
    <w:semiHidden/>
    <w:rsid w:val="0059125D"/>
    <w:rPr>
      <w:rFonts w:ascii="Arial" w:hAnsi="Arial"/>
      <w:sz w:val="20"/>
    </w:rPr>
  </w:style>
  <w:style w:type="paragraph" w:customStyle="1" w:styleId="A-TableText">
    <w:name w:val="A-Table Text"/>
    <w:basedOn w:val="Normal"/>
    <w:rsid w:val="00E50F6B"/>
    <w:pPr>
      <w:spacing w:before="60" w:after="60"/>
    </w:pPr>
    <w:rPr>
      <w:sz w:val="20"/>
      <w:lang w:val="en-GB"/>
    </w:rPr>
  </w:style>
  <w:style w:type="paragraph" w:styleId="Caption">
    <w:name w:val="caption"/>
    <w:next w:val="Normal"/>
    <w:qFormat/>
    <w:rsid w:val="0059125D"/>
    <w:pPr>
      <w:keepNext/>
      <w:spacing w:after="120" w:line="280" w:lineRule="atLeast"/>
      <w:ind w:left="1418" w:hanging="1418"/>
    </w:pPr>
    <w:rPr>
      <w:b/>
      <w:sz w:val="24"/>
      <w:lang w:val="en-GB" w:eastAsia="en-US"/>
    </w:rPr>
  </w:style>
  <w:style w:type="paragraph" w:styleId="TOC5">
    <w:name w:val="toc 5"/>
    <w:basedOn w:val="TOC1"/>
    <w:next w:val="Normal"/>
    <w:semiHidden/>
    <w:rsid w:val="0059125D"/>
    <w:pPr>
      <w:ind w:firstLine="0"/>
    </w:pPr>
  </w:style>
  <w:style w:type="paragraph" w:styleId="TOC6">
    <w:name w:val="toc 6"/>
    <w:basedOn w:val="TOC2"/>
    <w:next w:val="Normal"/>
    <w:semiHidden/>
    <w:rsid w:val="0059125D"/>
    <w:pPr>
      <w:ind w:firstLine="0"/>
    </w:pPr>
  </w:style>
  <w:style w:type="paragraph" w:styleId="TOC7">
    <w:name w:val="toc 7"/>
    <w:basedOn w:val="TOC3"/>
    <w:next w:val="Normal"/>
    <w:semiHidden/>
    <w:rsid w:val="0059125D"/>
    <w:pPr>
      <w:ind w:firstLine="0"/>
    </w:pPr>
  </w:style>
  <w:style w:type="paragraph" w:styleId="TOC8">
    <w:name w:val="toc 8"/>
    <w:basedOn w:val="TOC4"/>
    <w:next w:val="Normal"/>
    <w:semiHidden/>
    <w:rsid w:val="0059125D"/>
    <w:pPr>
      <w:ind w:firstLine="0"/>
    </w:pPr>
  </w:style>
  <w:style w:type="paragraph" w:styleId="TOC9">
    <w:name w:val="toc 9"/>
    <w:basedOn w:val="TOC1"/>
    <w:next w:val="Normal"/>
    <w:semiHidden/>
    <w:rsid w:val="0059125D"/>
    <w:pPr>
      <w:ind w:firstLine="0"/>
    </w:pPr>
  </w:style>
  <w:style w:type="paragraph" w:customStyle="1" w:styleId="A-LandscapeFont">
    <w:name w:val="A-Landscape Font"/>
    <w:rsid w:val="0059125D"/>
    <w:pPr>
      <w:spacing w:line="280" w:lineRule="atLeast"/>
    </w:pPr>
    <w:rPr>
      <w:rFonts w:ascii="Courier" w:hAnsi="Courier"/>
      <w:sz w:val="16"/>
      <w:lang w:val="en-GB" w:eastAsia="en-US"/>
    </w:rPr>
  </w:style>
  <w:style w:type="paragraph" w:customStyle="1" w:styleId="A-TableHeader">
    <w:name w:val="A-Table Header"/>
    <w:basedOn w:val="Normal"/>
    <w:next w:val="A-TableText"/>
    <w:rsid w:val="00641166"/>
    <w:pPr>
      <w:keepNext/>
      <w:spacing w:before="60" w:after="60" w:line="240" w:lineRule="auto"/>
    </w:pPr>
    <w:rPr>
      <w:b/>
      <w:sz w:val="20"/>
      <w:lang w:val="en-GB"/>
    </w:rPr>
  </w:style>
  <w:style w:type="paragraph" w:styleId="TableofFigures">
    <w:name w:val="table of figures"/>
    <w:next w:val="Normal"/>
    <w:semiHidden/>
    <w:rsid w:val="0059125D"/>
    <w:pPr>
      <w:tabs>
        <w:tab w:val="left" w:pos="1800"/>
        <w:tab w:val="right" w:leader="dot" w:pos="8928"/>
      </w:tabs>
      <w:spacing w:before="120" w:line="280" w:lineRule="atLeast"/>
      <w:ind w:left="1800" w:right="864" w:hanging="1800"/>
    </w:pPr>
    <w:rPr>
      <w:sz w:val="24"/>
      <w:lang w:val="en-GB" w:eastAsia="en-US"/>
    </w:rPr>
  </w:style>
  <w:style w:type="paragraph" w:customStyle="1" w:styleId="A-AppendixTitle">
    <w:name w:val="A-Appendix Title"/>
    <w:basedOn w:val="Normal"/>
    <w:next w:val="Normal"/>
    <w:rsid w:val="0059125D"/>
    <w:pPr>
      <w:tabs>
        <w:tab w:val="left" w:pos="1800"/>
      </w:tabs>
      <w:spacing w:after="120"/>
      <w:ind w:left="1800" w:hanging="1800"/>
    </w:pPr>
    <w:rPr>
      <w:b/>
      <w:sz w:val="28"/>
      <w:lang w:val="en-GB"/>
    </w:rPr>
  </w:style>
  <w:style w:type="paragraph" w:customStyle="1" w:styleId="Z-Box">
    <w:name w:val="Z-Box"/>
    <w:basedOn w:val="Normal"/>
    <w:rsid w:val="0059125D"/>
    <w:pPr>
      <w:pBdr>
        <w:top w:val="single" w:sz="6" w:space="0" w:color="auto"/>
        <w:left w:val="single" w:sz="6" w:space="0" w:color="auto"/>
        <w:bottom w:val="single" w:sz="6" w:space="0" w:color="auto"/>
        <w:right w:val="single" w:sz="6" w:space="0" w:color="auto"/>
      </w:pBdr>
      <w:spacing w:before="40" w:after="40"/>
      <w:jc w:val="center"/>
    </w:pPr>
    <w:rPr>
      <w:sz w:val="20"/>
    </w:rPr>
  </w:style>
  <w:style w:type="paragraph" w:customStyle="1" w:styleId="A-Single">
    <w:name w:val="A-Single"/>
    <w:basedOn w:val="Normal"/>
    <w:rsid w:val="0059125D"/>
    <w:rPr>
      <w:lang w:val="en-GB"/>
    </w:rPr>
  </w:style>
  <w:style w:type="paragraph" w:customStyle="1" w:styleId="A-Unnumbered">
    <w:name w:val="A-Unnumbered"/>
    <w:basedOn w:val="Normal"/>
    <w:next w:val="Normal"/>
    <w:rsid w:val="0059125D"/>
    <w:pPr>
      <w:keepNext/>
      <w:spacing w:before="480"/>
    </w:pPr>
    <w:rPr>
      <w:b/>
      <w:caps/>
      <w:sz w:val="28"/>
      <w:lang w:val="en-GB"/>
    </w:rPr>
  </w:style>
  <w:style w:type="paragraph" w:customStyle="1" w:styleId="A-Unassigned">
    <w:name w:val="A-Unassigned"/>
    <w:basedOn w:val="Normal"/>
    <w:next w:val="Normal"/>
    <w:rsid w:val="0059125D"/>
    <w:pPr>
      <w:keepNext/>
      <w:spacing w:before="120" w:after="120"/>
    </w:pPr>
    <w:rPr>
      <w:b/>
      <w:lang w:val="en-GB"/>
    </w:rPr>
  </w:style>
  <w:style w:type="paragraph" w:customStyle="1" w:styleId="A-ListBullet">
    <w:name w:val="A-List Bullet"/>
    <w:basedOn w:val="Normal"/>
    <w:rsid w:val="0059125D"/>
    <w:pPr>
      <w:numPr>
        <w:numId w:val="2"/>
      </w:numPr>
    </w:pPr>
    <w:rPr>
      <w:lang w:val="en-GB"/>
    </w:rPr>
  </w:style>
  <w:style w:type="paragraph" w:customStyle="1" w:styleId="A-ListNumber">
    <w:name w:val="A-List Number"/>
    <w:basedOn w:val="Normal"/>
    <w:rsid w:val="0059125D"/>
    <w:pPr>
      <w:tabs>
        <w:tab w:val="left" w:pos="994"/>
      </w:tabs>
      <w:ind w:left="994" w:hanging="994"/>
    </w:pPr>
    <w:rPr>
      <w:lang w:val="en-GB"/>
    </w:rPr>
  </w:style>
  <w:style w:type="paragraph" w:customStyle="1" w:styleId="A-ListSubsidiary">
    <w:name w:val="A-List Subsidiary"/>
    <w:basedOn w:val="Normal"/>
    <w:rsid w:val="0059125D"/>
    <w:pPr>
      <w:numPr>
        <w:numId w:val="3"/>
      </w:numPr>
      <w:tabs>
        <w:tab w:val="clear" w:pos="1987"/>
        <w:tab w:val="left" w:pos="1440"/>
      </w:tabs>
      <w:ind w:left="1440" w:hanging="446"/>
    </w:pPr>
    <w:rPr>
      <w:lang w:val="en-GB"/>
    </w:rPr>
  </w:style>
  <w:style w:type="paragraph" w:customStyle="1" w:styleId="A-NormalIndent">
    <w:name w:val="A-Normal Indent"/>
    <w:basedOn w:val="Normal"/>
    <w:next w:val="Normal"/>
    <w:rsid w:val="0059125D"/>
    <w:pPr>
      <w:ind w:left="992"/>
    </w:pPr>
    <w:rPr>
      <w:lang w:val="en-GB"/>
    </w:rPr>
  </w:style>
  <w:style w:type="paragraph" w:customStyle="1" w:styleId="A-Lista">
    <w:name w:val="A-List (a)"/>
    <w:basedOn w:val="Normal"/>
    <w:next w:val="Normal"/>
    <w:rsid w:val="0059125D"/>
    <w:pPr>
      <w:numPr>
        <w:numId w:val="4"/>
      </w:numPr>
    </w:pPr>
    <w:rPr>
      <w:lang w:val="en-GB"/>
    </w:rPr>
  </w:style>
  <w:style w:type="paragraph" w:customStyle="1" w:styleId="A-Listi">
    <w:name w:val="A-List (i)"/>
    <w:basedOn w:val="Normal"/>
    <w:next w:val="Normal"/>
    <w:rsid w:val="0059125D"/>
    <w:pPr>
      <w:numPr>
        <w:numId w:val="5"/>
      </w:numPr>
    </w:pPr>
    <w:rPr>
      <w:lang w:val="en-GB"/>
    </w:rPr>
  </w:style>
  <w:style w:type="paragraph" w:customStyle="1" w:styleId="A-TableTitle">
    <w:name w:val="A-Table Title"/>
    <w:basedOn w:val="Normal"/>
    <w:next w:val="Normal"/>
    <w:rsid w:val="00D76E3B"/>
    <w:pPr>
      <w:keepNext/>
      <w:tabs>
        <w:tab w:val="left" w:pos="1800"/>
      </w:tabs>
      <w:spacing w:after="120" w:line="240" w:lineRule="auto"/>
      <w:ind w:left="1797" w:hanging="1797"/>
    </w:pPr>
    <w:rPr>
      <w:b/>
      <w:sz w:val="22"/>
      <w:szCs w:val="22"/>
      <w:lang w:val="en-GB"/>
    </w:rPr>
  </w:style>
  <w:style w:type="paragraph" w:customStyle="1" w:styleId="A-FigureTitle">
    <w:name w:val="A-Figure Title"/>
    <w:basedOn w:val="Normal"/>
    <w:next w:val="Normal"/>
    <w:rsid w:val="0059125D"/>
    <w:pPr>
      <w:keepNext/>
      <w:tabs>
        <w:tab w:val="left" w:pos="1800"/>
      </w:tabs>
      <w:spacing w:after="120"/>
      <w:ind w:left="1800" w:hanging="1800"/>
    </w:pPr>
    <w:rPr>
      <w:b/>
      <w:lang w:val="en-GB"/>
    </w:rPr>
  </w:style>
  <w:style w:type="paragraph" w:customStyle="1" w:styleId="A-TableFootnoteText">
    <w:name w:val="A-Table Footnote Text"/>
    <w:basedOn w:val="Normal"/>
    <w:next w:val="Normal"/>
    <w:rsid w:val="00266481"/>
    <w:pPr>
      <w:tabs>
        <w:tab w:val="left" w:pos="432"/>
      </w:tabs>
      <w:spacing w:line="240" w:lineRule="auto"/>
      <w:ind w:left="431" w:hanging="431"/>
      <w:contextualSpacing/>
    </w:pPr>
    <w:rPr>
      <w:sz w:val="18"/>
      <w:lang w:val="en-GB"/>
    </w:rPr>
  </w:style>
  <w:style w:type="paragraph" w:customStyle="1" w:styleId="Z-LogoHeader">
    <w:name w:val="Z-Logo Header"/>
    <w:basedOn w:val="Header"/>
    <w:rsid w:val="0059125D"/>
    <w:pPr>
      <w:spacing w:before="240"/>
    </w:pPr>
  </w:style>
  <w:style w:type="paragraph" w:customStyle="1" w:styleId="Z-Signature">
    <w:name w:val="Z-Signature"/>
    <w:next w:val="Normal"/>
    <w:rsid w:val="0059125D"/>
    <w:pPr>
      <w:spacing w:before="360" w:line="280" w:lineRule="atLeast"/>
    </w:pPr>
    <w:rPr>
      <w:sz w:val="24"/>
      <w:lang w:val="en-GB" w:eastAsia="en-US"/>
    </w:rPr>
  </w:style>
  <w:style w:type="paragraph" w:customStyle="1" w:styleId="TocHeaders">
    <w:name w:val="TocHeaders"/>
    <w:next w:val="Normal"/>
    <w:rsid w:val="0059125D"/>
    <w:pPr>
      <w:keepNext/>
      <w:spacing w:before="480" w:after="240"/>
      <w:outlineLvl w:val="0"/>
    </w:pPr>
    <w:rPr>
      <w:b/>
      <w:caps/>
      <w:sz w:val="28"/>
      <w:lang w:val="en-GB" w:eastAsia="en-US"/>
    </w:rPr>
  </w:style>
  <w:style w:type="character" w:styleId="Hyperlink">
    <w:name w:val="Hyperlink"/>
    <w:basedOn w:val="DefaultParagraphFont"/>
    <w:semiHidden/>
    <w:rsid w:val="0059125D"/>
    <w:rPr>
      <w:color w:val="auto"/>
      <w:u w:val="none"/>
    </w:rPr>
  </w:style>
  <w:style w:type="character" w:styleId="FollowedHyperlink">
    <w:name w:val="FollowedHyperlink"/>
    <w:basedOn w:val="DefaultParagraphFont"/>
    <w:semiHidden/>
    <w:rsid w:val="0059125D"/>
    <w:rPr>
      <w:color w:val="auto"/>
      <w:u w:val="none"/>
    </w:rPr>
  </w:style>
  <w:style w:type="paragraph" w:customStyle="1" w:styleId="A-Heading1">
    <w:name w:val="A-Heading 1"/>
    <w:basedOn w:val="Normal"/>
    <w:next w:val="Normal"/>
    <w:rsid w:val="0059125D"/>
    <w:pPr>
      <w:keepNext/>
      <w:spacing w:before="480"/>
      <w:outlineLvl w:val="0"/>
    </w:pPr>
    <w:rPr>
      <w:b/>
      <w:caps/>
      <w:lang w:val="en-GB"/>
    </w:rPr>
  </w:style>
  <w:style w:type="paragraph" w:customStyle="1" w:styleId="A-Heading2">
    <w:name w:val="A-Heading 2"/>
    <w:basedOn w:val="Normal"/>
    <w:next w:val="Normal"/>
    <w:rsid w:val="0059125D"/>
    <w:pPr>
      <w:keepNext/>
      <w:spacing w:before="120" w:after="120"/>
      <w:outlineLvl w:val="1"/>
    </w:pPr>
    <w:rPr>
      <w:b/>
      <w:lang w:val="en-GB"/>
    </w:rPr>
  </w:style>
  <w:style w:type="paragraph" w:customStyle="1" w:styleId="A-Heading3">
    <w:name w:val="A-Heading 3"/>
    <w:basedOn w:val="Normal"/>
    <w:next w:val="Normal"/>
    <w:rsid w:val="0059125D"/>
    <w:pPr>
      <w:keepNext/>
      <w:spacing w:after="120"/>
      <w:outlineLvl w:val="2"/>
    </w:pPr>
    <w:rPr>
      <w:b/>
      <w:i/>
      <w:lang w:val="en-GB"/>
    </w:rPr>
  </w:style>
  <w:style w:type="paragraph" w:customStyle="1" w:styleId="A-Heading4">
    <w:name w:val="A-Heading 4"/>
    <w:basedOn w:val="Normal"/>
    <w:next w:val="Normal"/>
    <w:rsid w:val="0059125D"/>
    <w:pPr>
      <w:keepNext/>
      <w:spacing w:after="120"/>
      <w:outlineLvl w:val="3"/>
    </w:pPr>
    <w:rPr>
      <w:i/>
      <w:lang w:val="en-GB"/>
    </w:rPr>
  </w:style>
  <w:style w:type="paragraph" w:customStyle="1" w:styleId="Tableheading">
    <w:name w:val="Table heading"/>
    <w:basedOn w:val="Normal"/>
    <w:rsid w:val="0059125D"/>
    <w:pPr>
      <w:spacing w:line="240" w:lineRule="auto"/>
    </w:pPr>
    <w:rPr>
      <w:b/>
      <w:sz w:val="20"/>
      <w:szCs w:val="24"/>
    </w:rPr>
  </w:style>
  <w:style w:type="paragraph" w:styleId="FootnoteText">
    <w:name w:val="footnote text"/>
    <w:next w:val="Normal"/>
    <w:semiHidden/>
    <w:rsid w:val="0059125D"/>
    <w:pPr>
      <w:tabs>
        <w:tab w:val="left" w:pos="431"/>
      </w:tabs>
      <w:ind w:left="431" w:hanging="431"/>
    </w:pPr>
    <w:rPr>
      <w:rFonts w:ascii="Arial" w:hAnsi="Arial"/>
      <w:lang w:val="en-GB" w:eastAsia="en-US"/>
    </w:rPr>
  </w:style>
  <w:style w:type="paragraph" w:customStyle="1" w:styleId="Tabletext">
    <w:name w:val="Table text"/>
    <w:basedOn w:val="Normal"/>
    <w:rsid w:val="0059125D"/>
    <w:pPr>
      <w:spacing w:line="240" w:lineRule="auto"/>
    </w:pPr>
    <w:rPr>
      <w:sz w:val="20"/>
      <w:szCs w:val="24"/>
    </w:rPr>
  </w:style>
  <w:style w:type="paragraph" w:styleId="DocumentMap">
    <w:name w:val="Document Map"/>
    <w:basedOn w:val="Normal"/>
    <w:semiHidden/>
    <w:rsid w:val="0059125D"/>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76361"/>
    <w:pPr>
      <w:spacing w:after="0" w:line="240" w:lineRule="auto"/>
    </w:pPr>
    <w:rPr>
      <w:rFonts w:ascii="Tahoma" w:hAnsi="Tahoma" w:cs="Tahoma"/>
      <w:sz w:val="16"/>
      <w:szCs w:val="16"/>
    </w:rPr>
  </w:style>
  <w:style w:type="paragraph" w:customStyle="1" w:styleId="A-studytitle2">
    <w:name w:val="A-study title 2"/>
    <w:basedOn w:val="A-StudyTitle"/>
    <w:rsid w:val="0059125D"/>
    <w:rPr>
      <w:b w:val="0"/>
      <w:sz w:val="24"/>
    </w:rPr>
  </w:style>
  <w:style w:type="paragraph" w:customStyle="1" w:styleId="A-studytitle3">
    <w:name w:val="A-study title 3"/>
    <w:basedOn w:val="A-StudyTitle"/>
    <w:rsid w:val="0059125D"/>
    <w:rPr>
      <w:caps/>
      <w:sz w:val="24"/>
    </w:rPr>
  </w:style>
  <w:style w:type="paragraph" w:customStyle="1" w:styleId="A-Heading5">
    <w:name w:val="A-Heading 5"/>
    <w:basedOn w:val="A-Heading4"/>
    <w:rsid w:val="0059125D"/>
    <w:rPr>
      <w:i w:val="0"/>
      <w:u w:val="single"/>
    </w:rPr>
  </w:style>
  <w:style w:type="character" w:customStyle="1" w:styleId="BalloonTextChar">
    <w:name w:val="Balloon Text Char"/>
    <w:basedOn w:val="DefaultParagraphFont"/>
    <w:link w:val="BalloonText"/>
    <w:uiPriority w:val="99"/>
    <w:semiHidden/>
    <w:rsid w:val="00276361"/>
    <w:rPr>
      <w:rFonts w:ascii="Tahoma" w:hAnsi="Tahoma" w:cs="Tahoma"/>
      <w:sz w:val="16"/>
      <w:szCs w:val="16"/>
      <w:lang w:eastAsia="en-US"/>
    </w:rPr>
  </w:style>
  <w:style w:type="character" w:styleId="CommentReference">
    <w:name w:val="annotation reference"/>
    <w:basedOn w:val="DefaultParagraphFont"/>
    <w:semiHidden/>
    <w:unhideWhenUsed/>
    <w:rsid w:val="0065761D"/>
    <w:rPr>
      <w:sz w:val="16"/>
      <w:szCs w:val="16"/>
    </w:rPr>
  </w:style>
  <w:style w:type="paragraph" w:styleId="CommentText">
    <w:name w:val="annotation text"/>
    <w:basedOn w:val="Normal"/>
    <w:link w:val="CommentTextChar"/>
    <w:unhideWhenUsed/>
    <w:rsid w:val="0065761D"/>
    <w:pPr>
      <w:spacing w:line="240" w:lineRule="auto"/>
    </w:pPr>
    <w:rPr>
      <w:sz w:val="20"/>
    </w:rPr>
  </w:style>
  <w:style w:type="character" w:customStyle="1" w:styleId="CommentTextChar">
    <w:name w:val="Comment Text Char"/>
    <w:basedOn w:val="DefaultParagraphFont"/>
    <w:link w:val="CommentText"/>
    <w:uiPriority w:val="99"/>
    <w:rsid w:val="0065761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5761D"/>
    <w:rPr>
      <w:b/>
      <w:bCs/>
    </w:rPr>
  </w:style>
  <w:style w:type="character" w:customStyle="1" w:styleId="CommentSubjectChar">
    <w:name w:val="Comment Subject Char"/>
    <w:basedOn w:val="CommentTextChar"/>
    <w:link w:val="CommentSubject"/>
    <w:uiPriority w:val="99"/>
    <w:semiHidden/>
    <w:rsid w:val="0065761D"/>
    <w:rPr>
      <w:rFonts w:ascii="Arial" w:hAnsi="Arial"/>
      <w:b/>
      <w:bCs/>
      <w:lang w:eastAsia="en-US"/>
    </w:rPr>
  </w:style>
  <w:style w:type="paragraph" w:customStyle="1" w:styleId="TableHeader">
    <w:name w:val="Table Header"/>
    <w:basedOn w:val="Normal"/>
    <w:next w:val="Normal"/>
    <w:semiHidden/>
    <w:rsid w:val="0020751A"/>
    <w:pPr>
      <w:keepNext/>
      <w:keepLines/>
      <w:spacing w:before="60" w:after="120" w:line="240" w:lineRule="auto"/>
      <w:jc w:val="center"/>
    </w:pPr>
    <w:rPr>
      <w:rFonts w:ascii="Times New Roman Bold" w:hAnsi="Times New Roman Bold"/>
      <w:b/>
      <w:sz w:val="20"/>
      <w:lang w:val="en-US"/>
    </w:rPr>
  </w:style>
  <w:style w:type="paragraph" w:customStyle="1" w:styleId="TableText0">
    <w:name w:val="Table Text"/>
    <w:basedOn w:val="Normal"/>
    <w:semiHidden/>
    <w:rsid w:val="0020751A"/>
    <w:pPr>
      <w:spacing w:before="60" w:after="60" w:line="240" w:lineRule="auto"/>
    </w:pPr>
    <w:rPr>
      <w:rFonts w:ascii="Times New Roman" w:hAnsi="Times New Roman"/>
      <w:sz w:val="20"/>
      <w:lang w:val="en-US"/>
    </w:rPr>
  </w:style>
  <w:style w:type="character" w:customStyle="1" w:styleId="TableNote">
    <w:name w:val="Table Note"/>
    <w:semiHidden/>
    <w:rsid w:val="0020751A"/>
    <w:rPr>
      <w:sz w:val="28"/>
      <w:vertAlign w:val="superscript"/>
    </w:rPr>
  </w:style>
  <w:style w:type="paragraph" w:customStyle="1" w:styleId="TableNoteInfo">
    <w:name w:val="Table Note Info"/>
    <w:basedOn w:val="Normal"/>
    <w:next w:val="Normal"/>
    <w:semiHidden/>
    <w:rsid w:val="002C7BAA"/>
    <w:pPr>
      <w:tabs>
        <w:tab w:val="left" w:pos="216"/>
      </w:tabs>
      <w:spacing w:after="0" w:line="240" w:lineRule="auto"/>
      <w:ind w:left="360" w:right="2" w:hanging="360"/>
    </w:pPr>
    <w:rPr>
      <w:rFonts w:ascii="Times New Roman" w:hAnsi="Times New Roman"/>
      <w:sz w:val="20"/>
      <w:lang w:val="en-US"/>
    </w:rPr>
  </w:style>
  <w:style w:type="paragraph" w:customStyle="1" w:styleId="TableHeading0">
    <w:name w:val="Table Heading"/>
    <w:basedOn w:val="Normal"/>
    <w:rsid w:val="00D76E3B"/>
    <w:pPr>
      <w:spacing w:after="0" w:line="240" w:lineRule="auto"/>
      <w:jc w:val="center"/>
    </w:pPr>
    <w:rPr>
      <w:b/>
      <w:snapToGrid w:val="0"/>
      <w:sz w:val="20"/>
      <w:lang w:val="en-US"/>
    </w:rPr>
  </w:style>
  <w:style w:type="paragraph" w:customStyle="1" w:styleId="TableFootnotes">
    <w:name w:val="Table Footnotes"/>
    <w:basedOn w:val="Normal"/>
    <w:rsid w:val="008F1545"/>
    <w:pPr>
      <w:numPr>
        <w:numId w:val="6"/>
      </w:numPr>
      <w:spacing w:before="120" w:after="120" w:line="300" w:lineRule="auto"/>
    </w:pPr>
    <w:rPr>
      <w:rFonts w:ascii="Times New Roman" w:hAnsi="Times New Roman"/>
      <w:sz w:val="20"/>
      <w:lang w:val="en-US"/>
    </w:rPr>
  </w:style>
  <w:style w:type="paragraph" w:customStyle="1" w:styleId="Default">
    <w:name w:val="Default"/>
    <w:rsid w:val="00100288"/>
    <w:pPr>
      <w:autoSpaceDE w:val="0"/>
      <w:autoSpaceDN w:val="0"/>
      <w:adjustRightInd w:val="0"/>
    </w:pPr>
    <w:rPr>
      <w:color w:val="000000"/>
      <w:sz w:val="24"/>
      <w:szCs w:val="24"/>
      <w:lang w:val="en-US" w:eastAsia="en-US"/>
    </w:rPr>
  </w:style>
  <w:style w:type="character" w:styleId="FootnoteReference">
    <w:name w:val="footnote reference"/>
    <w:basedOn w:val="DefaultParagraphFont"/>
    <w:uiPriority w:val="99"/>
    <w:semiHidden/>
    <w:unhideWhenUsed/>
    <w:rsid w:val="000C17B7"/>
    <w:rPr>
      <w:vertAlign w:val="superscript"/>
    </w:rPr>
  </w:style>
  <w:style w:type="paragraph" w:styleId="NormalWeb">
    <w:name w:val="Normal (Web)"/>
    <w:basedOn w:val="Normal"/>
    <w:uiPriority w:val="99"/>
    <w:unhideWhenUsed/>
    <w:rsid w:val="00633649"/>
    <w:pPr>
      <w:spacing w:before="240" w:line="240" w:lineRule="auto"/>
    </w:pPr>
    <w:rPr>
      <w:rFonts w:ascii="Times New Roman" w:hAnsi="Times New Roman"/>
      <w:szCs w:val="24"/>
      <w:lang w:eastAsia="en-AU"/>
    </w:rPr>
  </w:style>
  <w:style w:type="table" w:styleId="TableGrid">
    <w:name w:val="Table Grid"/>
    <w:basedOn w:val="TableNormal"/>
    <w:uiPriority w:val="59"/>
    <w:rsid w:val="003F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572">
      <w:bodyDiv w:val="1"/>
      <w:marLeft w:val="0"/>
      <w:marRight w:val="0"/>
      <w:marTop w:val="0"/>
      <w:marBottom w:val="0"/>
      <w:divBdr>
        <w:top w:val="none" w:sz="0" w:space="0" w:color="auto"/>
        <w:left w:val="none" w:sz="0" w:space="0" w:color="auto"/>
        <w:bottom w:val="none" w:sz="0" w:space="0" w:color="auto"/>
        <w:right w:val="none" w:sz="0" w:space="0" w:color="auto"/>
      </w:divBdr>
    </w:div>
    <w:div w:id="280302400">
      <w:bodyDiv w:val="1"/>
      <w:marLeft w:val="0"/>
      <w:marRight w:val="0"/>
      <w:marTop w:val="0"/>
      <w:marBottom w:val="0"/>
      <w:divBdr>
        <w:top w:val="none" w:sz="0" w:space="0" w:color="auto"/>
        <w:left w:val="none" w:sz="0" w:space="0" w:color="auto"/>
        <w:bottom w:val="none" w:sz="0" w:space="0" w:color="auto"/>
        <w:right w:val="none" w:sz="0" w:space="0" w:color="auto"/>
      </w:divBdr>
    </w:div>
    <w:div w:id="293298157">
      <w:bodyDiv w:val="1"/>
      <w:marLeft w:val="0"/>
      <w:marRight w:val="0"/>
      <w:marTop w:val="0"/>
      <w:marBottom w:val="0"/>
      <w:divBdr>
        <w:top w:val="none" w:sz="0" w:space="0" w:color="auto"/>
        <w:left w:val="none" w:sz="0" w:space="0" w:color="auto"/>
        <w:bottom w:val="none" w:sz="0" w:space="0" w:color="auto"/>
        <w:right w:val="none" w:sz="0" w:space="0" w:color="auto"/>
      </w:divBdr>
      <w:divsChild>
        <w:div w:id="1523742432">
          <w:marLeft w:val="0"/>
          <w:marRight w:val="0"/>
          <w:marTop w:val="0"/>
          <w:marBottom w:val="0"/>
          <w:divBdr>
            <w:top w:val="none" w:sz="0" w:space="0" w:color="auto"/>
            <w:left w:val="none" w:sz="0" w:space="0" w:color="auto"/>
            <w:bottom w:val="none" w:sz="0" w:space="0" w:color="auto"/>
            <w:right w:val="none" w:sz="0" w:space="0" w:color="auto"/>
          </w:divBdr>
          <w:divsChild>
            <w:div w:id="132991854">
              <w:marLeft w:val="0"/>
              <w:marRight w:val="0"/>
              <w:marTop w:val="0"/>
              <w:marBottom w:val="0"/>
              <w:divBdr>
                <w:top w:val="none" w:sz="0" w:space="0" w:color="auto"/>
                <w:left w:val="none" w:sz="0" w:space="0" w:color="auto"/>
                <w:bottom w:val="none" w:sz="0" w:space="0" w:color="auto"/>
                <w:right w:val="none" w:sz="0" w:space="0" w:color="auto"/>
              </w:divBdr>
              <w:divsChild>
                <w:div w:id="806624398">
                  <w:marLeft w:val="0"/>
                  <w:marRight w:val="0"/>
                  <w:marTop w:val="0"/>
                  <w:marBottom w:val="0"/>
                  <w:divBdr>
                    <w:top w:val="none" w:sz="0" w:space="0" w:color="auto"/>
                    <w:left w:val="none" w:sz="0" w:space="0" w:color="auto"/>
                    <w:bottom w:val="none" w:sz="0" w:space="0" w:color="auto"/>
                    <w:right w:val="none" w:sz="0" w:space="0" w:color="auto"/>
                  </w:divBdr>
                  <w:divsChild>
                    <w:div w:id="1865287548">
                      <w:marLeft w:val="0"/>
                      <w:marRight w:val="0"/>
                      <w:marTop w:val="0"/>
                      <w:marBottom w:val="0"/>
                      <w:divBdr>
                        <w:top w:val="none" w:sz="0" w:space="0" w:color="auto"/>
                        <w:left w:val="none" w:sz="0" w:space="0" w:color="auto"/>
                        <w:bottom w:val="none" w:sz="0" w:space="0" w:color="auto"/>
                        <w:right w:val="none" w:sz="0" w:space="0" w:color="auto"/>
                      </w:divBdr>
                      <w:divsChild>
                        <w:div w:id="238174249">
                          <w:marLeft w:val="0"/>
                          <w:marRight w:val="0"/>
                          <w:marTop w:val="0"/>
                          <w:marBottom w:val="0"/>
                          <w:divBdr>
                            <w:top w:val="none" w:sz="0" w:space="0" w:color="auto"/>
                            <w:left w:val="none" w:sz="0" w:space="0" w:color="auto"/>
                            <w:bottom w:val="none" w:sz="0" w:space="0" w:color="auto"/>
                            <w:right w:val="none" w:sz="0" w:space="0" w:color="auto"/>
                          </w:divBdr>
                          <w:divsChild>
                            <w:div w:id="12459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67772">
      <w:bodyDiv w:val="1"/>
      <w:marLeft w:val="0"/>
      <w:marRight w:val="0"/>
      <w:marTop w:val="0"/>
      <w:marBottom w:val="0"/>
      <w:divBdr>
        <w:top w:val="none" w:sz="0" w:space="0" w:color="auto"/>
        <w:left w:val="none" w:sz="0" w:space="0" w:color="auto"/>
        <w:bottom w:val="none" w:sz="0" w:space="0" w:color="auto"/>
        <w:right w:val="none" w:sz="0" w:space="0" w:color="auto"/>
      </w:divBdr>
    </w:div>
    <w:div w:id="693769245">
      <w:bodyDiv w:val="1"/>
      <w:marLeft w:val="0"/>
      <w:marRight w:val="0"/>
      <w:marTop w:val="0"/>
      <w:marBottom w:val="0"/>
      <w:divBdr>
        <w:top w:val="none" w:sz="0" w:space="0" w:color="auto"/>
        <w:left w:val="none" w:sz="0" w:space="0" w:color="auto"/>
        <w:bottom w:val="none" w:sz="0" w:space="0" w:color="auto"/>
        <w:right w:val="none" w:sz="0" w:space="0" w:color="auto"/>
      </w:divBdr>
    </w:div>
    <w:div w:id="760641083">
      <w:bodyDiv w:val="1"/>
      <w:marLeft w:val="0"/>
      <w:marRight w:val="0"/>
      <w:marTop w:val="0"/>
      <w:marBottom w:val="0"/>
      <w:divBdr>
        <w:top w:val="none" w:sz="0" w:space="0" w:color="auto"/>
        <w:left w:val="none" w:sz="0" w:space="0" w:color="auto"/>
        <w:bottom w:val="none" w:sz="0" w:space="0" w:color="auto"/>
        <w:right w:val="none" w:sz="0" w:space="0" w:color="auto"/>
      </w:divBdr>
    </w:div>
    <w:div w:id="809134797">
      <w:bodyDiv w:val="1"/>
      <w:marLeft w:val="0"/>
      <w:marRight w:val="0"/>
      <w:marTop w:val="0"/>
      <w:marBottom w:val="0"/>
      <w:divBdr>
        <w:top w:val="none" w:sz="0" w:space="0" w:color="auto"/>
        <w:left w:val="none" w:sz="0" w:space="0" w:color="auto"/>
        <w:bottom w:val="none" w:sz="0" w:space="0" w:color="auto"/>
        <w:right w:val="none" w:sz="0" w:space="0" w:color="auto"/>
      </w:divBdr>
    </w:div>
    <w:div w:id="1317954080">
      <w:bodyDiv w:val="1"/>
      <w:marLeft w:val="0"/>
      <w:marRight w:val="0"/>
      <w:marTop w:val="0"/>
      <w:marBottom w:val="0"/>
      <w:divBdr>
        <w:top w:val="none" w:sz="0" w:space="0" w:color="auto"/>
        <w:left w:val="none" w:sz="0" w:space="0" w:color="auto"/>
        <w:bottom w:val="none" w:sz="0" w:space="0" w:color="auto"/>
        <w:right w:val="none" w:sz="0" w:space="0" w:color="auto"/>
      </w:divBdr>
    </w:div>
    <w:div w:id="1456291162">
      <w:bodyDiv w:val="1"/>
      <w:marLeft w:val="0"/>
      <w:marRight w:val="0"/>
      <w:marTop w:val="0"/>
      <w:marBottom w:val="0"/>
      <w:divBdr>
        <w:top w:val="none" w:sz="0" w:space="0" w:color="auto"/>
        <w:left w:val="none" w:sz="0" w:space="0" w:color="auto"/>
        <w:bottom w:val="none" w:sz="0" w:space="0" w:color="auto"/>
        <w:right w:val="none" w:sz="0" w:space="0" w:color="auto"/>
      </w:divBdr>
    </w:div>
    <w:div w:id="1687828591">
      <w:bodyDiv w:val="1"/>
      <w:marLeft w:val="0"/>
      <w:marRight w:val="0"/>
      <w:marTop w:val="0"/>
      <w:marBottom w:val="0"/>
      <w:divBdr>
        <w:top w:val="none" w:sz="0" w:space="0" w:color="auto"/>
        <w:left w:val="none" w:sz="0" w:space="0" w:color="auto"/>
        <w:bottom w:val="none" w:sz="0" w:space="0" w:color="auto"/>
        <w:right w:val="none" w:sz="0" w:space="0" w:color="auto"/>
      </w:divBdr>
    </w:div>
    <w:div w:id="17626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5D018D-9C6E-4ED9-B443-0B9A215C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5974</Words>
  <Characters>35519</Characters>
  <Application>Microsoft Office Word</Application>
  <DocSecurity>0</DocSecurity>
  <Lines>1014</Lines>
  <Paragraphs>727</Paragraphs>
  <ScaleCrop>false</ScaleCrop>
  <HeadingPairs>
    <vt:vector size="2" baseType="variant">
      <vt:variant>
        <vt:lpstr>Title</vt:lpstr>
      </vt:variant>
      <vt:variant>
        <vt:i4>1</vt:i4>
      </vt:variant>
    </vt:vector>
  </HeadingPairs>
  <TitlesOfParts>
    <vt:vector size="1" baseType="lpstr">
      <vt:lpstr>Local Product Information - Australia</vt:lpstr>
    </vt:vector>
  </TitlesOfParts>
  <Company/>
  <LinksUpToDate>false</LinksUpToDate>
  <CharactersWithSpaces>40766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Influenza virus</dc:title>
  <dc:subject>Prescription medicines</dc:subject>
  <dc:creator>Therapeutic Goods Administration</dc:creator>
  <cp:keywords/>
  <dc:description/>
  <cp:lastModifiedBy>Therapeutic Goods Administration (TGA) </cp:lastModifiedBy>
  <cp:revision>7</cp:revision>
  <cp:lastPrinted>2016-09-15T05:17:00Z</cp:lastPrinted>
  <dcterms:created xsi:type="dcterms:W3CDTF">2017-06-12T23:43:00Z</dcterms:created>
  <dcterms:modified xsi:type="dcterms:W3CDTF">2017-11-14T03:33:00Z</dcterms:modified>
  <cp:category>ausPARs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Version">
    <vt:lpwstr>4.0</vt:lpwstr>
  </property>
  <property fmtid="{D5CDD505-2E9C-101B-9397-08002B2CF9AE}" pid="3" name="prpGSDName">
    <vt:lpwstr>GEL Core</vt:lpwstr>
  </property>
  <property fmtid="{D5CDD505-2E9C-101B-9397-08002B2CF9AE}" pid="4" name="prpGSDNo">
    <vt:lpwstr>AstraZeneca</vt:lpwstr>
  </property>
</Properties>
</file>