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3495FAEC" w14:textId="77777777" w:rsidTr="00BF1190">
        <w:trPr>
          <w:trHeight w:val="1863"/>
        </w:trPr>
        <w:tc>
          <w:tcPr>
            <w:tcW w:w="3652" w:type="dxa"/>
            <w:tcBorders>
              <w:top w:val="nil"/>
              <w:left w:val="nil"/>
              <w:bottom w:val="nil"/>
              <w:right w:val="nil"/>
            </w:tcBorders>
          </w:tcPr>
          <w:p w14:paraId="74E29C60" w14:textId="25F4F01A" w:rsidR="008E7846" w:rsidRPr="00096AA7" w:rsidRDefault="00D441A1" w:rsidP="00745F3F">
            <w:pPr>
              <w:rPr>
                <w:rFonts w:ascii="Arial" w:hAnsi="Arial" w:cs="Arial"/>
                <w:b/>
                <w:color w:val="002C47"/>
                <w:sz w:val="36"/>
                <w:szCs w:val="36"/>
              </w:rPr>
            </w:pPr>
            <w:r>
              <w:rPr>
                <w:rFonts w:ascii="Arial" w:hAnsi="Arial" w:cs="Arial"/>
                <w:b/>
                <w:color w:val="002C47"/>
                <w:sz w:val="36"/>
                <w:szCs w:val="36"/>
              </w:rPr>
              <w:t>June</w:t>
            </w:r>
            <w:r w:rsidR="00B86337">
              <w:rPr>
                <w:rFonts w:ascii="Arial" w:hAnsi="Arial" w:cs="Arial"/>
                <w:b/>
                <w:color w:val="002C47"/>
                <w:sz w:val="36"/>
                <w:szCs w:val="36"/>
              </w:rPr>
              <w:t xml:space="preserve"> </w:t>
            </w:r>
            <w:r w:rsidR="0009736E">
              <w:rPr>
                <w:rFonts w:ascii="Arial" w:hAnsi="Arial" w:cs="Arial"/>
                <w:b/>
                <w:color w:val="002C47"/>
                <w:sz w:val="36"/>
                <w:szCs w:val="36"/>
              </w:rPr>
              <w:t>2020</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2CBCA2BB" w14:textId="77777777" w:rsidTr="0032583B">
        <w:trPr>
          <w:trHeight w:val="868"/>
        </w:trPr>
        <w:tc>
          <w:tcPr>
            <w:tcW w:w="9079" w:type="dxa"/>
          </w:tcPr>
          <w:p w14:paraId="78C806DF" w14:textId="77777777" w:rsidR="0032583B" w:rsidRPr="00A964D1" w:rsidRDefault="0032583B" w:rsidP="00A964D1">
            <w:pPr>
              <w:pStyle w:val="Title"/>
              <w:rPr>
                <w:color w:val="FFFFFF" w:themeColor="background1"/>
              </w:rPr>
            </w:pPr>
            <w:r w:rsidRPr="00A964D1">
              <w:rPr>
                <w:color w:val="FFFFFF" w:themeColor="background1"/>
              </w:rPr>
              <w:t xml:space="preserve">Australian Public Assessment Report for </w:t>
            </w:r>
            <w:r w:rsidR="00B21763" w:rsidRPr="00D84AE5">
              <w:rPr>
                <w:rFonts w:asciiTheme="majorHAnsi" w:hAnsiTheme="majorHAnsi" w:cstheme="majorHAnsi"/>
                <w:color w:val="FFFFFF" w:themeColor="background1"/>
                <w:szCs w:val="22"/>
                <w:lang w:eastAsia="en-AU"/>
              </w:rPr>
              <w:t>Infliximab (rmc)</w:t>
            </w:r>
          </w:p>
        </w:tc>
      </w:tr>
      <w:tr w:rsidR="0032583B" w:rsidRPr="00B64760" w14:paraId="4B03BBEA" w14:textId="77777777" w:rsidTr="0032583B">
        <w:tc>
          <w:tcPr>
            <w:tcW w:w="9079" w:type="dxa"/>
          </w:tcPr>
          <w:p w14:paraId="5BBBB460" w14:textId="77777777" w:rsidR="0032583B" w:rsidRPr="008E7846" w:rsidRDefault="0032583B" w:rsidP="0032583B">
            <w:pPr>
              <w:pStyle w:val="Subtitle"/>
              <w:rPr>
                <w:color w:val="FFFFFF" w:themeColor="background1"/>
              </w:rPr>
            </w:pPr>
            <w:r w:rsidRPr="008E7846">
              <w:rPr>
                <w:color w:val="FFFFFF" w:themeColor="background1"/>
              </w:rPr>
              <w:t xml:space="preserve">Proprietary Product Name: </w:t>
            </w:r>
            <w:r w:rsidR="00B21763" w:rsidRPr="00D84AE5">
              <w:rPr>
                <w:rFonts w:asciiTheme="majorHAnsi" w:hAnsiTheme="majorHAnsi" w:cstheme="majorHAnsi"/>
                <w:color w:val="FFFFFF" w:themeColor="background1"/>
                <w:szCs w:val="40"/>
              </w:rPr>
              <w:t>Remsima</w:t>
            </w:r>
            <w:r w:rsidR="00B21763">
              <w:rPr>
                <w:rFonts w:asciiTheme="majorHAnsi" w:hAnsiTheme="majorHAnsi" w:cstheme="majorHAnsi"/>
                <w:color w:val="FFFFFF" w:themeColor="background1"/>
                <w:szCs w:val="40"/>
              </w:rPr>
              <w:t>,</w:t>
            </w:r>
            <w:r w:rsidR="00B21763" w:rsidRPr="00D84AE5">
              <w:rPr>
                <w:rFonts w:asciiTheme="majorHAnsi" w:hAnsiTheme="majorHAnsi" w:cstheme="majorHAnsi"/>
                <w:color w:val="FFFFFF" w:themeColor="background1"/>
                <w:szCs w:val="40"/>
              </w:rPr>
              <w:t xml:space="preserve"> </w:t>
            </w:r>
            <w:r w:rsidR="00B21763" w:rsidRPr="00D84AE5">
              <w:rPr>
                <w:rFonts w:asciiTheme="majorHAnsi" w:hAnsiTheme="majorHAnsi" w:cstheme="majorHAnsi"/>
                <w:color w:val="FFFFFF" w:themeColor="background1"/>
                <w:szCs w:val="40"/>
                <w:lang w:eastAsia="en-AU"/>
              </w:rPr>
              <w:t>Emisima, Flixceli, Inflectra</w:t>
            </w:r>
          </w:p>
        </w:tc>
      </w:tr>
      <w:tr w:rsidR="0032583B" w:rsidRPr="00B64760" w14:paraId="42B5FDDE" w14:textId="77777777" w:rsidTr="0032583B">
        <w:trPr>
          <w:trHeight w:val="486"/>
        </w:trPr>
        <w:tc>
          <w:tcPr>
            <w:tcW w:w="9079" w:type="dxa"/>
          </w:tcPr>
          <w:p w14:paraId="694CCF34" w14:textId="77777777" w:rsidR="0032583B" w:rsidRPr="008E7846" w:rsidRDefault="0032583B" w:rsidP="00891631">
            <w:pPr>
              <w:pStyle w:val="Subtitle"/>
              <w:rPr>
                <w:color w:val="FFFFFF" w:themeColor="background1"/>
              </w:rPr>
            </w:pPr>
            <w:r w:rsidRPr="008E7846">
              <w:rPr>
                <w:color w:val="FFFFFF" w:themeColor="background1"/>
              </w:rPr>
              <w:t xml:space="preserve">Sponsor: </w:t>
            </w:r>
            <w:r w:rsidR="00B21763">
              <w:rPr>
                <w:color w:val="FFFFFF" w:themeColor="background1"/>
              </w:rPr>
              <w:t>Pharmbio Pty Ltd</w:t>
            </w:r>
            <w:r w:rsidR="00891631">
              <w:rPr>
                <w:rStyle w:val="FootnoteReference"/>
                <w:color w:val="FFFFFF" w:themeColor="background1"/>
              </w:rPr>
              <w:footnoteReference w:id="1"/>
            </w:r>
          </w:p>
        </w:tc>
      </w:tr>
    </w:tbl>
    <w:p w14:paraId="5AD910C7" w14:textId="77777777" w:rsidR="008E7846" w:rsidRPr="0085156D" w:rsidRDefault="008E7846" w:rsidP="0085156D">
      <w:r w:rsidRPr="0085156D">
        <w:br w:type="page"/>
      </w:r>
    </w:p>
    <w:p w14:paraId="5465880B" w14:textId="77777777" w:rsidR="008E7846" w:rsidRPr="001F6CBA" w:rsidRDefault="008E7846" w:rsidP="008E7846">
      <w:pPr>
        <w:pStyle w:val="NonTOCHeading2"/>
      </w:pPr>
      <w:r w:rsidRPr="001F6CBA">
        <w:lastRenderedPageBreak/>
        <w:t>About the Therapeutic Goods Administration (TGA)</w:t>
      </w:r>
    </w:p>
    <w:p w14:paraId="56210176" w14:textId="77777777" w:rsidR="008E7846" w:rsidRDefault="008E7846" w:rsidP="00654E1B">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4B41E22F" w14:textId="77777777" w:rsidR="008E7846" w:rsidRDefault="00C80137" w:rsidP="00654E1B">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398F0881" w14:textId="77777777" w:rsidR="008E7846" w:rsidRDefault="008E7846" w:rsidP="00654E1B">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14:paraId="3F461820" w14:textId="77777777" w:rsidR="008E7846" w:rsidRDefault="008E7846" w:rsidP="00654E1B">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14:paraId="7F18669A" w14:textId="77777777" w:rsidR="00441C3F" w:rsidRDefault="008E7846" w:rsidP="00654E1B">
      <w:pPr>
        <w:pStyle w:val="ListBullet"/>
        <w:numPr>
          <w:ilvl w:val="0"/>
          <w:numId w:val="1"/>
        </w:numPr>
        <w:ind w:left="357" w:hanging="357"/>
      </w:pPr>
      <w:r>
        <w:t xml:space="preserve">To report a problem with a medicine or medical device, please see the information on </w:t>
      </w:r>
      <w:r w:rsidR="00441C3F">
        <w:t>the TGA website &lt;</w:t>
      </w:r>
      <w:hyperlink r:id="rId8" w:history="1">
        <w:r w:rsidR="00441C3F">
          <w:rPr>
            <w:rStyle w:val="Hyperlink"/>
          </w:rPr>
          <w:t>https://www.tga.gov.au</w:t>
        </w:r>
      </w:hyperlink>
      <w:r w:rsidR="00441C3F">
        <w:t>&gt;.</w:t>
      </w:r>
    </w:p>
    <w:p w14:paraId="6625201F" w14:textId="77777777" w:rsidR="008E7846" w:rsidRDefault="008E7846" w:rsidP="00875A6B">
      <w:pPr>
        <w:pStyle w:val="NonTOCHeading2"/>
      </w:pPr>
      <w:r>
        <w:t>About AusPARs</w:t>
      </w:r>
    </w:p>
    <w:p w14:paraId="394E40F8" w14:textId="77777777" w:rsidR="008E7846" w:rsidRDefault="008E7846" w:rsidP="00654E1B">
      <w:pPr>
        <w:pStyle w:val="ListBullet"/>
        <w:numPr>
          <w:ilvl w:val="0"/>
          <w:numId w:val="1"/>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0A1F3FAA" w14:textId="77777777" w:rsidR="008E7846" w:rsidRDefault="008E7846" w:rsidP="00654E1B">
      <w:pPr>
        <w:pStyle w:val="ListBullet"/>
        <w:numPr>
          <w:ilvl w:val="0"/>
          <w:numId w:val="1"/>
        </w:numPr>
        <w:ind w:left="357" w:hanging="357"/>
      </w:pPr>
      <w:r>
        <w:t>AusPARs are prepared and published by the TGA.</w:t>
      </w:r>
    </w:p>
    <w:p w14:paraId="6BDA20DE" w14:textId="77777777" w:rsidR="008E7846" w:rsidRDefault="008E7846" w:rsidP="00654E1B">
      <w:pPr>
        <w:pStyle w:val="ListBullet"/>
        <w:numPr>
          <w:ilvl w:val="0"/>
          <w:numId w:val="1"/>
        </w:numPr>
        <w:ind w:left="357" w:hanging="357"/>
      </w:pPr>
      <w:r>
        <w:t>An AusPAR is prepared for submissions that relate to new chemical entities, generic medicines, major variations and extensions of indications.</w:t>
      </w:r>
    </w:p>
    <w:p w14:paraId="2A2BC2C3" w14:textId="77777777" w:rsidR="008E7846" w:rsidRDefault="008E7846" w:rsidP="00654E1B">
      <w:pPr>
        <w:pStyle w:val="ListBullet"/>
        <w:numPr>
          <w:ilvl w:val="0"/>
          <w:numId w:val="1"/>
        </w:numPr>
        <w:ind w:left="357" w:hanging="357"/>
      </w:pPr>
      <w:r>
        <w:t>An AusPAR is a static document</w:t>
      </w:r>
      <w:r w:rsidR="00133A1B">
        <w:t>;</w:t>
      </w:r>
      <w:r>
        <w:t xml:space="preserve"> it provide</w:t>
      </w:r>
      <w:r w:rsidR="00133A1B">
        <w:t>s</w:t>
      </w:r>
      <w:r>
        <w:t xml:space="preserve"> information that relates to a submission at a particular point in time.</w:t>
      </w:r>
    </w:p>
    <w:p w14:paraId="6BDB6BB5" w14:textId="77777777" w:rsidR="00B452CE" w:rsidRDefault="008E7846" w:rsidP="00654E1B">
      <w:pPr>
        <w:pStyle w:val="ListBullet"/>
        <w:numPr>
          <w:ilvl w:val="0"/>
          <w:numId w:val="1"/>
        </w:numPr>
        <w:ind w:left="357" w:hanging="357"/>
      </w:pPr>
      <w:r>
        <w:t>A</w:t>
      </w:r>
      <w:bookmarkStart w:id="0" w:name="_GoBack"/>
      <w:bookmarkEnd w:id="0"/>
      <w:r>
        <w:t xml:space="preserve"> new AusPAR will be developed to reflect changes to indications and/or major variations to a prescription medicine subject to evaluation by the TGA.</w:t>
      </w:r>
    </w:p>
    <w:p w14:paraId="5BBFF9C9" w14:textId="77777777" w:rsidR="00924482" w:rsidRPr="00DF1D7F" w:rsidRDefault="00924482" w:rsidP="00F54B65">
      <w:pPr>
        <w:pStyle w:val="LegalSubheading"/>
        <w:spacing w:before="3120"/>
      </w:pPr>
      <w:r w:rsidRPr="00DF1D7F">
        <w:t>Copyright</w:t>
      </w:r>
    </w:p>
    <w:p w14:paraId="6EDE77BF" w14:textId="77777777" w:rsidR="00924482" w:rsidRDefault="00924482" w:rsidP="00924482">
      <w:pPr>
        <w:pStyle w:val="LegalCopy"/>
      </w:pPr>
      <w:r w:rsidRPr="00191B3B">
        <w:rPr>
          <w:rFonts w:cs="Arial"/>
          <w:lang w:val="en-GB"/>
        </w:rPr>
        <w:t>© Comm</w:t>
      </w:r>
      <w:r>
        <w:rPr>
          <w:rFonts w:cs="Arial"/>
          <w:lang w:val="en-GB"/>
        </w:rPr>
        <w:t xml:space="preserve">onwealth of Australia </w:t>
      </w:r>
      <w:r w:rsidR="0009736E">
        <w:rPr>
          <w:rFonts w:cs="Arial"/>
          <w:lang w:val="en-GB"/>
        </w:rPr>
        <w:t>2020</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9" w:history="1">
        <w:r w:rsidRPr="00191B3B">
          <w:rPr>
            <w:rStyle w:val="Hyperlink"/>
            <w:rFonts w:cs="Arial"/>
            <w:lang w:val="en-GB"/>
          </w:rPr>
          <w:t>tga.copyright@tga.gov.au</w:t>
        </w:r>
      </w:hyperlink>
      <w:r w:rsidRPr="00191B3B">
        <w:rPr>
          <w:rFonts w:cs="Arial"/>
        </w:rPr>
        <w:t>&gt;.</w:t>
      </w:r>
    </w:p>
    <w:p w14:paraId="67A4D185" w14:textId="77777777" w:rsidR="00924482" w:rsidRDefault="00924482" w:rsidP="00924482">
      <w:pPr>
        <w:pStyle w:val="LegalCopy"/>
        <w:sectPr w:rsidR="00924482" w:rsidSect="003D1E62">
          <w:headerReference w:type="even" r:id="rId10"/>
          <w:headerReference w:type="default" r:id="rId11"/>
          <w:footerReference w:type="even" r:id="rId12"/>
          <w:footerReference w:type="default" r:id="rId13"/>
          <w:headerReference w:type="first" r:id="rId14"/>
          <w:footerReference w:type="first" r:id="rId15"/>
          <w:pgSz w:w="11906" w:h="16838" w:code="9"/>
          <w:pgMar w:top="426" w:right="1701" w:bottom="0" w:left="1701" w:header="907" w:footer="142" w:gutter="0"/>
          <w:pgNumType w:fmt="lowerRoman" w:start="1"/>
          <w:cols w:space="708"/>
          <w:titlePg/>
          <w:docGrid w:linePitch="360"/>
        </w:sectPr>
      </w:pPr>
    </w:p>
    <w:bookmarkStart w:id="1" w:name="_Toc247691501" w:displacedByCustomXml="next"/>
    <w:bookmarkStart w:id="2"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3906D454" w14:textId="77777777" w:rsidR="0089635C" w:rsidRPr="0089635C" w:rsidRDefault="0089635C" w:rsidP="0010788A">
          <w:pPr>
            <w:pStyle w:val="Contents"/>
          </w:pPr>
          <w:r w:rsidRPr="0010788A">
            <w:t>Contents</w:t>
          </w:r>
        </w:p>
        <w:p w14:paraId="0357382A" w14:textId="5AEBCA2D" w:rsidR="00561C2D"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4576995" w:history="1">
            <w:r w:rsidR="00561C2D" w:rsidRPr="00125BCC">
              <w:rPr>
                <w:rStyle w:val="Hyperlink"/>
                <w:noProof/>
              </w:rPr>
              <w:t>Common abbreviations</w:t>
            </w:r>
            <w:r w:rsidR="00561C2D">
              <w:rPr>
                <w:noProof/>
                <w:webHidden/>
              </w:rPr>
              <w:tab/>
            </w:r>
            <w:r w:rsidR="00561C2D">
              <w:rPr>
                <w:noProof/>
                <w:webHidden/>
              </w:rPr>
              <w:fldChar w:fldCharType="begin"/>
            </w:r>
            <w:r w:rsidR="00561C2D">
              <w:rPr>
                <w:noProof/>
                <w:webHidden/>
              </w:rPr>
              <w:instrText xml:space="preserve"> PAGEREF _Toc44576995 \h </w:instrText>
            </w:r>
            <w:r w:rsidR="00561C2D">
              <w:rPr>
                <w:noProof/>
                <w:webHidden/>
              </w:rPr>
            </w:r>
            <w:r w:rsidR="00561C2D">
              <w:rPr>
                <w:noProof/>
                <w:webHidden/>
              </w:rPr>
              <w:fldChar w:fldCharType="separate"/>
            </w:r>
            <w:r w:rsidR="00561C2D">
              <w:rPr>
                <w:noProof/>
                <w:webHidden/>
              </w:rPr>
              <w:t>5</w:t>
            </w:r>
            <w:r w:rsidR="00561C2D">
              <w:rPr>
                <w:noProof/>
                <w:webHidden/>
              </w:rPr>
              <w:fldChar w:fldCharType="end"/>
            </w:r>
          </w:hyperlink>
        </w:p>
        <w:p w14:paraId="4412560F" w14:textId="2F8E29FC" w:rsidR="00561C2D" w:rsidRDefault="00561C2D">
          <w:pPr>
            <w:pStyle w:val="TOC2"/>
            <w:rPr>
              <w:rFonts w:asciiTheme="minorHAnsi" w:eastAsiaTheme="minorEastAsia" w:hAnsiTheme="minorHAnsi" w:cstheme="minorBidi"/>
              <w:b w:val="0"/>
              <w:noProof/>
              <w:sz w:val="22"/>
              <w:lang w:eastAsia="en-AU"/>
            </w:rPr>
          </w:pPr>
          <w:hyperlink w:anchor="_Toc44576996" w:history="1">
            <w:r w:rsidRPr="00125BCC">
              <w:rPr>
                <w:rStyle w:val="Hyperlink"/>
                <w:noProof/>
              </w:rPr>
              <w:t>I. Introduction to product submission</w:t>
            </w:r>
            <w:r>
              <w:rPr>
                <w:noProof/>
                <w:webHidden/>
              </w:rPr>
              <w:tab/>
            </w:r>
            <w:r>
              <w:rPr>
                <w:noProof/>
                <w:webHidden/>
              </w:rPr>
              <w:fldChar w:fldCharType="begin"/>
            </w:r>
            <w:r>
              <w:rPr>
                <w:noProof/>
                <w:webHidden/>
              </w:rPr>
              <w:instrText xml:space="preserve"> PAGEREF _Toc44576996 \h </w:instrText>
            </w:r>
            <w:r>
              <w:rPr>
                <w:noProof/>
                <w:webHidden/>
              </w:rPr>
            </w:r>
            <w:r>
              <w:rPr>
                <w:noProof/>
                <w:webHidden/>
              </w:rPr>
              <w:fldChar w:fldCharType="separate"/>
            </w:r>
            <w:r>
              <w:rPr>
                <w:noProof/>
                <w:webHidden/>
              </w:rPr>
              <w:t>9</w:t>
            </w:r>
            <w:r>
              <w:rPr>
                <w:noProof/>
                <w:webHidden/>
              </w:rPr>
              <w:fldChar w:fldCharType="end"/>
            </w:r>
          </w:hyperlink>
        </w:p>
        <w:p w14:paraId="0E7C5D23" w14:textId="2D6B61E1" w:rsidR="00561C2D" w:rsidRDefault="00561C2D">
          <w:pPr>
            <w:pStyle w:val="TOC3"/>
            <w:rPr>
              <w:rFonts w:asciiTheme="minorHAnsi" w:eastAsiaTheme="minorEastAsia" w:hAnsiTheme="minorHAnsi" w:cstheme="minorBidi"/>
              <w:noProof/>
              <w:lang w:eastAsia="en-AU"/>
            </w:rPr>
          </w:pPr>
          <w:hyperlink w:anchor="_Toc44576997" w:history="1">
            <w:r w:rsidRPr="00125BCC">
              <w:rPr>
                <w:rStyle w:val="Hyperlink"/>
                <w:noProof/>
                <w:lang w:eastAsia="en-AU"/>
              </w:rPr>
              <w:t>Submission details</w:t>
            </w:r>
            <w:r>
              <w:rPr>
                <w:noProof/>
                <w:webHidden/>
              </w:rPr>
              <w:tab/>
            </w:r>
            <w:r>
              <w:rPr>
                <w:noProof/>
                <w:webHidden/>
              </w:rPr>
              <w:fldChar w:fldCharType="begin"/>
            </w:r>
            <w:r>
              <w:rPr>
                <w:noProof/>
                <w:webHidden/>
              </w:rPr>
              <w:instrText xml:space="preserve"> PAGEREF _Toc44576997 \h </w:instrText>
            </w:r>
            <w:r>
              <w:rPr>
                <w:noProof/>
                <w:webHidden/>
              </w:rPr>
            </w:r>
            <w:r>
              <w:rPr>
                <w:noProof/>
                <w:webHidden/>
              </w:rPr>
              <w:fldChar w:fldCharType="separate"/>
            </w:r>
            <w:r>
              <w:rPr>
                <w:noProof/>
                <w:webHidden/>
              </w:rPr>
              <w:t>9</w:t>
            </w:r>
            <w:r>
              <w:rPr>
                <w:noProof/>
                <w:webHidden/>
              </w:rPr>
              <w:fldChar w:fldCharType="end"/>
            </w:r>
          </w:hyperlink>
        </w:p>
        <w:p w14:paraId="540DB977" w14:textId="573178CE" w:rsidR="00561C2D" w:rsidRDefault="00561C2D">
          <w:pPr>
            <w:pStyle w:val="TOC3"/>
            <w:rPr>
              <w:rFonts w:asciiTheme="minorHAnsi" w:eastAsiaTheme="minorEastAsia" w:hAnsiTheme="minorHAnsi" w:cstheme="minorBidi"/>
              <w:noProof/>
              <w:lang w:eastAsia="en-AU"/>
            </w:rPr>
          </w:pPr>
          <w:hyperlink w:anchor="_Toc44576998" w:history="1">
            <w:r w:rsidRPr="00125BCC">
              <w:rPr>
                <w:rStyle w:val="Hyperlink"/>
                <w:noProof/>
              </w:rPr>
              <w:t>Product background</w:t>
            </w:r>
            <w:r>
              <w:rPr>
                <w:noProof/>
                <w:webHidden/>
              </w:rPr>
              <w:tab/>
            </w:r>
            <w:r>
              <w:rPr>
                <w:noProof/>
                <w:webHidden/>
              </w:rPr>
              <w:fldChar w:fldCharType="begin"/>
            </w:r>
            <w:r>
              <w:rPr>
                <w:noProof/>
                <w:webHidden/>
              </w:rPr>
              <w:instrText xml:space="preserve"> PAGEREF _Toc44576998 \h </w:instrText>
            </w:r>
            <w:r>
              <w:rPr>
                <w:noProof/>
                <w:webHidden/>
              </w:rPr>
            </w:r>
            <w:r>
              <w:rPr>
                <w:noProof/>
                <w:webHidden/>
              </w:rPr>
              <w:fldChar w:fldCharType="separate"/>
            </w:r>
            <w:r>
              <w:rPr>
                <w:noProof/>
                <w:webHidden/>
              </w:rPr>
              <w:t>10</w:t>
            </w:r>
            <w:r>
              <w:rPr>
                <w:noProof/>
                <w:webHidden/>
              </w:rPr>
              <w:fldChar w:fldCharType="end"/>
            </w:r>
          </w:hyperlink>
        </w:p>
        <w:p w14:paraId="2D90FB73" w14:textId="7E225706" w:rsidR="00561C2D" w:rsidRDefault="00561C2D">
          <w:pPr>
            <w:pStyle w:val="TOC3"/>
            <w:rPr>
              <w:rFonts w:asciiTheme="minorHAnsi" w:eastAsiaTheme="minorEastAsia" w:hAnsiTheme="minorHAnsi" w:cstheme="minorBidi"/>
              <w:noProof/>
              <w:lang w:eastAsia="en-AU"/>
            </w:rPr>
          </w:pPr>
          <w:hyperlink w:anchor="_Toc44576999" w:history="1">
            <w:r w:rsidRPr="00125BCC">
              <w:rPr>
                <w:rStyle w:val="Hyperlink"/>
                <w:noProof/>
              </w:rPr>
              <w:t>Regulatory status</w:t>
            </w:r>
            <w:r>
              <w:rPr>
                <w:noProof/>
                <w:webHidden/>
              </w:rPr>
              <w:tab/>
            </w:r>
            <w:r>
              <w:rPr>
                <w:noProof/>
                <w:webHidden/>
              </w:rPr>
              <w:fldChar w:fldCharType="begin"/>
            </w:r>
            <w:r>
              <w:rPr>
                <w:noProof/>
                <w:webHidden/>
              </w:rPr>
              <w:instrText xml:space="preserve"> PAGEREF _Toc44576999 \h </w:instrText>
            </w:r>
            <w:r>
              <w:rPr>
                <w:noProof/>
                <w:webHidden/>
              </w:rPr>
            </w:r>
            <w:r>
              <w:rPr>
                <w:noProof/>
                <w:webHidden/>
              </w:rPr>
              <w:fldChar w:fldCharType="separate"/>
            </w:r>
            <w:r>
              <w:rPr>
                <w:noProof/>
                <w:webHidden/>
              </w:rPr>
              <w:t>12</w:t>
            </w:r>
            <w:r>
              <w:rPr>
                <w:noProof/>
                <w:webHidden/>
              </w:rPr>
              <w:fldChar w:fldCharType="end"/>
            </w:r>
          </w:hyperlink>
        </w:p>
        <w:p w14:paraId="2E0B2FDD" w14:textId="0F24062A" w:rsidR="00561C2D" w:rsidRDefault="00561C2D">
          <w:pPr>
            <w:pStyle w:val="TOC3"/>
            <w:rPr>
              <w:rFonts w:asciiTheme="minorHAnsi" w:eastAsiaTheme="minorEastAsia" w:hAnsiTheme="minorHAnsi" w:cstheme="minorBidi"/>
              <w:noProof/>
              <w:lang w:eastAsia="en-AU"/>
            </w:rPr>
          </w:pPr>
          <w:hyperlink w:anchor="_Toc44577000" w:history="1">
            <w:r w:rsidRPr="00125BCC">
              <w:rPr>
                <w:rStyle w:val="Hyperlink"/>
                <w:noProof/>
              </w:rPr>
              <w:t>Product Information</w:t>
            </w:r>
            <w:r>
              <w:rPr>
                <w:noProof/>
                <w:webHidden/>
              </w:rPr>
              <w:tab/>
            </w:r>
            <w:r>
              <w:rPr>
                <w:noProof/>
                <w:webHidden/>
              </w:rPr>
              <w:fldChar w:fldCharType="begin"/>
            </w:r>
            <w:r>
              <w:rPr>
                <w:noProof/>
                <w:webHidden/>
              </w:rPr>
              <w:instrText xml:space="preserve"> PAGEREF _Toc44577000 \h </w:instrText>
            </w:r>
            <w:r>
              <w:rPr>
                <w:noProof/>
                <w:webHidden/>
              </w:rPr>
            </w:r>
            <w:r>
              <w:rPr>
                <w:noProof/>
                <w:webHidden/>
              </w:rPr>
              <w:fldChar w:fldCharType="separate"/>
            </w:r>
            <w:r>
              <w:rPr>
                <w:noProof/>
                <w:webHidden/>
              </w:rPr>
              <w:t>12</w:t>
            </w:r>
            <w:r>
              <w:rPr>
                <w:noProof/>
                <w:webHidden/>
              </w:rPr>
              <w:fldChar w:fldCharType="end"/>
            </w:r>
          </w:hyperlink>
        </w:p>
        <w:p w14:paraId="7E37F6E4" w14:textId="3147304A" w:rsidR="00561C2D" w:rsidRDefault="00561C2D">
          <w:pPr>
            <w:pStyle w:val="TOC2"/>
            <w:rPr>
              <w:rFonts w:asciiTheme="minorHAnsi" w:eastAsiaTheme="minorEastAsia" w:hAnsiTheme="minorHAnsi" w:cstheme="minorBidi"/>
              <w:b w:val="0"/>
              <w:noProof/>
              <w:sz w:val="22"/>
              <w:lang w:eastAsia="en-AU"/>
            </w:rPr>
          </w:pPr>
          <w:hyperlink w:anchor="_Toc44577001" w:history="1">
            <w:r w:rsidRPr="00125BCC">
              <w:rPr>
                <w:rStyle w:val="Hyperlink"/>
                <w:noProof/>
              </w:rPr>
              <w:t>II. Registration time line</w:t>
            </w:r>
            <w:r>
              <w:rPr>
                <w:noProof/>
                <w:webHidden/>
              </w:rPr>
              <w:tab/>
            </w:r>
            <w:r>
              <w:rPr>
                <w:noProof/>
                <w:webHidden/>
              </w:rPr>
              <w:fldChar w:fldCharType="begin"/>
            </w:r>
            <w:r>
              <w:rPr>
                <w:noProof/>
                <w:webHidden/>
              </w:rPr>
              <w:instrText xml:space="preserve"> PAGEREF _Toc44577001 \h </w:instrText>
            </w:r>
            <w:r>
              <w:rPr>
                <w:noProof/>
                <w:webHidden/>
              </w:rPr>
            </w:r>
            <w:r>
              <w:rPr>
                <w:noProof/>
                <w:webHidden/>
              </w:rPr>
              <w:fldChar w:fldCharType="separate"/>
            </w:r>
            <w:r>
              <w:rPr>
                <w:noProof/>
                <w:webHidden/>
              </w:rPr>
              <w:t>13</w:t>
            </w:r>
            <w:r>
              <w:rPr>
                <w:noProof/>
                <w:webHidden/>
              </w:rPr>
              <w:fldChar w:fldCharType="end"/>
            </w:r>
          </w:hyperlink>
        </w:p>
        <w:p w14:paraId="44077F37" w14:textId="0A98B394" w:rsidR="00561C2D" w:rsidRDefault="00561C2D">
          <w:pPr>
            <w:pStyle w:val="TOC2"/>
            <w:rPr>
              <w:rFonts w:asciiTheme="minorHAnsi" w:eastAsiaTheme="minorEastAsia" w:hAnsiTheme="minorHAnsi" w:cstheme="minorBidi"/>
              <w:b w:val="0"/>
              <w:noProof/>
              <w:sz w:val="22"/>
              <w:lang w:eastAsia="en-AU"/>
            </w:rPr>
          </w:pPr>
          <w:hyperlink w:anchor="_Toc44577002" w:history="1">
            <w:r w:rsidRPr="00125BCC">
              <w:rPr>
                <w:rStyle w:val="Hyperlink"/>
                <w:noProof/>
              </w:rPr>
              <w:t>II. Quality findings</w:t>
            </w:r>
            <w:r>
              <w:rPr>
                <w:noProof/>
                <w:webHidden/>
              </w:rPr>
              <w:tab/>
            </w:r>
            <w:r>
              <w:rPr>
                <w:noProof/>
                <w:webHidden/>
              </w:rPr>
              <w:fldChar w:fldCharType="begin"/>
            </w:r>
            <w:r>
              <w:rPr>
                <w:noProof/>
                <w:webHidden/>
              </w:rPr>
              <w:instrText xml:space="preserve"> PAGEREF _Toc44577002 \h </w:instrText>
            </w:r>
            <w:r>
              <w:rPr>
                <w:noProof/>
                <w:webHidden/>
              </w:rPr>
            </w:r>
            <w:r>
              <w:rPr>
                <w:noProof/>
                <w:webHidden/>
              </w:rPr>
              <w:fldChar w:fldCharType="separate"/>
            </w:r>
            <w:r>
              <w:rPr>
                <w:noProof/>
                <w:webHidden/>
              </w:rPr>
              <w:t>14</w:t>
            </w:r>
            <w:r>
              <w:rPr>
                <w:noProof/>
                <w:webHidden/>
              </w:rPr>
              <w:fldChar w:fldCharType="end"/>
            </w:r>
          </w:hyperlink>
        </w:p>
        <w:p w14:paraId="6EA83A84" w14:textId="2BC4E788" w:rsidR="00561C2D" w:rsidRDefault="00561C2D">
          <w:pPr>
            <w:pStyle w:val="TOC3"/>
            <w:rPr>
              <w:rFonts w:asciiTheme="minorHAnsi" w:eastAsiaTheme="minorEastAsia" w:hAnsiTheme="minorHAnsi" w:cstheme="minorBidi"/>
              <w:noProof/>
              <w:lang w:eastAsia="en-AU"/>
            </w:rPr>
          </w:pPr>
          <w:hyperlink w:anchor="_Toc44577003" w:history="1">
            <w:r w:rsidRPr="00125BCC">
              <w:rPr>
                <w:rStyle w:val="Hyperlink"/>
                <w:noProof/>
              </w:rPr>
              <w:t>Drug substance (active ingredient)</w:t>
            </w:r>
            <w:r>
              <w:rPr>
                <w:noProof/>
                <w:webHidden/>
              </w:rPr>
              <w:tab/>
            </w:r>
            <w:r>
              <w:rPr>
                <w:noProof/>
                <w:webHidden/>
              </w:rPr>
              <w:fldChar w:fldCharType="begin"/>
            </w:r>
            <w:r>
              <w:rPr>
                <w:noProof/>
                <w:webHidden/>
              </w:rPr>
              <w:instrText xml:space="preserve"> PAGEREF _Toc44577003 \h </w:instrText>
            </w:r>
            <w:r>
              <w:rPr>
                <w:noProof/>
                <w:webHidden/>
              </w:rPr>
            </w:r>
            <w:r>
              <w:rPr>
                <w:noProof/>
                <w:webHidden/>
              </w:rPr>
              <w:fldChar w:fldCharType="separate"/>
            </w:r>
            <w:r>
              <w:rPr>
                <w:noProof/>
                <w:webHidden/>
              </w:rPr>
              <w:t>14</w:t>
            </w:r>
            <w:r>
              <w:rPr>
                <w:noProof/>
                <w:webHidden/>
              </w:rPr>
              <w:fldChar w:fldCharType="end"/>
            </w:r>
          </w:hyperlink>
        </w:p>
        <w:p w14:paraId="46D9DC7A" w14:textId="77C4158A" w:rsidR="00561C2D" w:rsidRDefault="00561C2D">
          <w:pPr>
            <w:pStyle w:val="TOC3"/>
            <w:rPr>
              <w:rFonts w:asciiTheme="minorHAnsi" w:eastAsiaTheme="minorEastAsia" w:hAnsiTheme="minorHAnsi" w:cstheme="minorBidi"/>
              <w:noProof/>
              <w:lang w:eastAsia="en-AU"/>
            </w:rPr>
          </w:pPr>
          <w:hyperlink w:anchor="_Toc44577004" w:history="1">
            <w:r w:rsidRPr="00125BCC">
              <w:rPr>
                <w:rStyle w:val="Hyperlink"/>
                <w:noProof/>
              </w:rPr>
              <w:t>Drug product</w:t>
            </w:r>
            <w:r>
              <w:rPr>
                <w:noProof/>
                <w:webHidden/>
              </w:rPr>
              <w:tab/>
            </w:r>
            <w:r>
              <w:rPr>
                <w:noProof/>
                <w:webHidden/>
              </w:rPr>
              <w:fldChar w:fldCharType="begin"/>
            </w:r>
            <w:r>
              <w:rPr>
                <w:noProof/>
                <w:webHidden/>
              </w:rPr>
              <w:instrText xml:space="preserve"> PAGEREF _Toc44577004 \h </w:instrText>
            </w:r>
            <w:r>
              <w:rPr>
                <w:noProof/>
                <w:webHidden/>
              </w:rPr>
            </w:r>
            <w:r>
              <w:rPr>
                <w:noProof/>
                <w:webHidden/>
              </w:rPr>
              <w:fldChar w:fldCharType="separate"/>
            </w:r>
            <w:r>
              <w:rPr>
                <w:noProof/>
                <w:webHidden/>
              </w:rPr>
              <w:t>14</w:t>
            </w:r>
            <w:r>
              <w:rPr>
                <w:noProof/>
                <w:webHidden/>
              </w:rPr>
              <w:fldChar w:fldCharType="end"/>
            </w:r>
          </w:hyperlink>
        </w:p>
        <w:p w14:paraId="2EEC1E58" w14:textId="454067CD" w:rsidR="00561C2D" w:rsidRDefault="00561C2D">
          <w:pPr>
            <w:pStyle w:val="TOC3"/>
            <w:rPr>
              <w:rFonts w:asciiTheme="minorHAnsi" w:eastAsiaTheme="minorEastAsia" w:hAnsiTheme="minorHAnsi" w:cstheme="minorBidi"/>
              <w:noProof/>
              <w:lang w:eastAsia="en-AU"/>
            </w:rPr>
          </w:pPr>
          <w:hyperlink w:anchor="_Toc44577005" w:history="1">
            <w:r w:rsidRPr="00125BCC">
              <w:rPr>
                <w:rStyle w:val="Hyperlink"/>
                <w:noProof/>
              </w:rPr>
              <w:t>Biopharmaceutics</w:t>
            </w:r>
            <w:r>
              <w:rPr>
                <w:noProof/>
                <w:webHidden/>
              </w:rPr>
              <w:tab/>
            </w:r>
            <w:r>
              <w:rPr>
                <w:noProof/>
                <w:webHidden/>
              </w:rPr>
              <w:fldChar w:fldCharType="begin"/>
            </w:r>
            <w:r>
              <w:rPr>
                <w:noProof/>
                <w:webHidden/>
              </w:rPr>
              <w:instrText xml:space="preserve"> PAGEREF _Toc44577005 \h </w:instrText>
            </w:r>
            <w:r>
              <w:rPr>
                <w:noProof/>
                <w:webHidden/>
              </w:rPr>
            </w:r>
            <w:r>
              <w:rPr>
                <w:noProof/>
                <w:webHidden/>
              </w:rPr>
              <w:fldChar w:fldCharType="separate"/>
            </w:r>
            <w:r>
              <w:rPr>
                <w:noProof/>
                <w:webHidden/>
              </w:rPr>
              <w:t>15</w:t>
            </w:r>
            <w:r>
              <w:rPr>
                <w:noProof/>
                <w:webHidden/>
              </w:rPr>
              <w:fldChar w:fldCharType="end"/>
            </w:r>
          </w:hyperlink>
        </w:p>
        <w:p w14:paraId="3354F0A2" w14:textId="07940439" w:rsidR="00561C2D" w:rsidRDefault="00561C2D">
          <w:pPr>
            <w:pStyle w:val="TOC3"/>
            <w:rPr>
              <w:rFonts w:asciiTheme="minorHAnsi" w:eastAsiaTheme="minorEastAsia" w:hAnsiTheme="minorHAnsi" w:cstheme="minorBidi"/>
              <w:noProof/>
              <w:lang w:eastAsia="en-AU"/>
            </w:rPr>
          </w:pPr>
          <w:hyperlink w:anchor="_Toc44577006" w:history="1">
            <w:r w:rsidRPr="00125BCC">
              <w:rPr>
                <w:rStyle w:val="Hyperlink"/>
                <w:noProof/>
              </w:rPr>
              <w:t>Quality summary and conclusions</w:t>
            </w:r>
            <w:r>
              <w:rPr>
                <w:noProof/>
                <w:webHidden/>
              </w:rPr>
              <w:tab/>
            </w:r>
            <w:r>
              <w:rPr>
                <w:noProof/>
                <w:webHidden/>
              </w:rPr>
              <w:fldChar w:fldCharType="begin"/>
            </w:r>
            <w:r>
              <w:rPr>
                <w:noProof/>
                <w:webHidden/>
              </w:rPr>
              <w:instrText xml:space="preserve"> PAGEREF _Toc44577006 \h </w:instrText>
            </w:r>
            <w:r>
              <w:rPr>
                <w:noProof/>
                <w:webHidden/>
              </w:rPr>
            </w:r>
            <w:r>
              <w:rPr>
                <w:noProof/>
                <w:webHidden/>
              </w:rPr>
              <w:fldChar w:fldCharType="separate"/>
            </w:r>
            <w:r>
              <w:rPr>
                <w:noProof/>
                <w:webHidden/>
              </w:rPr>
              <w:t>15</w:t>
            </w:r>
            <w:r>
              <w:rPr>
                <w:noProof/>
                <w:webHidden/>
              </w:rPr>
              <w:fldChar w:fldCharType="end"/>
            </w:r>
          </w:hyperlink>
        </w:p>
        <w:p w14:paraId="5CA04872" w14:textId="73296786" w:rsidR="00561C2D" w:rsidRDefault="00561C2D">
          <w:pPr>
            <w:pStyle w:val="TOC2"/>
            <w:rPr>
              <w:rFonts w:asciiTheme="minorHAnsi" w:eastAsiaTheme="minorEastAsia" w:hAnsiTheme="minorHAnsi" w:cstheme="minorBidi"/>
              <w:b w:val="0"/>
              <w:noProof/>
              <w:sz w:val="22"/>
              <w:lang w:eastAsia="en-AU"/>
            </w:rPr>
          </w:pPr>
          <w:hyperlink w:anchor="_Toc44577007" w:history="1">
            <w:r w:rsidRPr="00125BCC">
              <w:rPr>
                <w:rStyle w:val="Hyperlink"/>
                <w:noProof/>
              </w:rPr>
              <w:t>III. Nonclinical findings</w:t>
            </w:r>
            <w:r>
              <w:rPr>
                <w:noProof/>
                <w:webHidden/>
              </w:rPr>
              <w:tab/>
            </w:r>
            <w:r>
              <w:rPr>
                <w:noProof/>
                <w:webHidden/>
              </w:rPr>
              <w:fldChar w:fldCharType="begin"/>
            </w:r>
            <w:r>
              <w:rPr>
                <w:noProof/>
                <w:webHidden/>
              </w:rPr>
              <w:instrText xml:space="preserve"> PAGEREF _Toc44577007 \h </w:instrText>
            </w:r>
            <w:r>
              <w:rPr>
                <w:noProof/>
                <w:webHidden/>
              </w:rPr>
            </w:r>
            <w:r>
              <w:rPr>
                <w:noProof/>
                <w:webHidden/>
              </w:rPr>
              <w:fldChar w:fldCharType="separate"/>
            </w:r>
            <w:r>
              <w:rPr>
                <w:noProof/>
                <w:webHidden/>
              </w:rPr>
              <w:t>19</w:t>
            </w:r>
            <w:r>
              <w:rPr>
                <w:noProof/>
                <w:webHidden/>
              </w:rPr>
              <w:fldChar w:fldCharType="end"/>
            </w:r>
          </w:hyperlink>
        </w:p>
        <w:p w14:paraId="0C083634" w14:textId="37D9C291" w:rsidR="00561C2D" w:rsidRDefault="00561C2D">
          <w:pPr>
            <w:pStyle w:val="TOC3"/>
            <w:rPr>
              <w:rFonts w:asciiTheme="minorHAnsi" w:eastAsiaTheme="minorEastAsia" w:hAnsiTheme="minorHAnsi" w:cstheme="minorBidi"/>
              <w:noProof/>
              <w:lang w:eastAsia="en-AU"/>
            </w:rPr>
          </w:pPr>
          <w:hyperlink w:anchor="_Toc44577008" w:history="1">
            <w:r w:rsidRPr="00125BCC">
              <w:rPr>
                <w:rStyle w:val="Hyperlink"/>
                <w:noProof/>
              </w:rPr>
              <w:t>General comments</w:t>
            </w:r>
            <w:r>
              <w:rPr>
                <w:noProof/>
                <w:webHidden/>
              </w:rPr>
              <w:tab/>
            </w:r>
            <w:r>
              <w:rPr>
                <w:noProof/>
                <w:webHidden/>
              </w:rPr>
              <w:fldChar w:fldCharType="begin"/>
            </w:r>
            <w:r>
              <w:rPr>
                <w:noProof/>
                <w:webHidden/>
              </w:rPr>
              <w:instrText xml:space="preserve"> PAGEREF _Toc44577008 \h </w:instrText>
            </w:r>
            <w:r>
              <w:rPr>
                <w:noProof/>
                <w:webHidden/>
              </w:rPr>
            </w:r>
            <w:r>
              <w:rPr>
                <w:noProof/>
                <w:webHidden/>
              </w:rPr>
              <w:fldChar w:fldCharType="separate"/>
            </w:r>
            <w:r>
              <w:rPr>
                <w:noProof/>
                <w:webHidden/>
              </w:rPr>
              <w:t>19</w:t>
            </w:r>
            <w:r>
              <w:rPr>
                <w:noProof/>
                <w:webHidden/>
              </w:rPr>
              <w:fldChar w:fldCharType="end"/>
            </w:r>
          </w:hyperlink>
        </w:p>
        <w:p w14:paraId="321414E0" w14:textId="1309487C" w:rsidR="00561C2D" w:rsidRDefault="00561C2D">
          <w:pPr>
            <w:pStyle w:val="TOC3"/>
            <w:rPr>
              <w:rFonts w:asciiTheme="minorHAnsi" w:eastAsiaTheme="minorEastAsia" w:hAnsiTheme="minorHAnsi" w:cstheme="minorBidi"/>
              <w:noProof/>
              <w:lang w:eastAsia="en-AU"/>
            </w:rPr>
          </w:pPr>
          <w:hyperlink w:anchor="_Toc44577009" w:history="1">
            <w:r w:rsidRPr="00125BCC">
              <w:rPr>
                <w:rStyle w:val="Hyperlink"/>
                <w:noProof/>
              </w:rPr>
              <w:t>Pharmacology</w:t>
            </w:r>
            <w:r>
              <w:rPr>
                <w:noProof/>
                <w:webHidden/>
              </w:rPr>
              <w:tab/>
            </w:r>
            <w:r>
              <w:rPr>
                <w:noProof/>
                <w:webHidden/>
              </w:rPr>
              <w:fldChar w:fldCharType="begin"/>
            </w:r>
            <w:r>
              <w:rPr>
                <w:noProof/>
                <w:webHidden/>
              </w:rPr>
              <w:instrText xml:space="preserve"> PAGEREF _Toc44577009 \h </w:instrText>
            </w:r>
            <w:r>
              <w:rPr>
                <w:noProof/>
                <w:webHidden/>
              </w:rPr>
            </w:r>
            <w:r>
              <w:rPr>
                <w:noProof/>
                <w:webHidden/>
              </w:rPr>
              <w:fldChar w:fldCharType="separate"/>
            </w:r>
            <w:r>
              <w:rPr>
                <w:noProof/>
                <w:webHidden/>
              </w:rPr>
              <w:t>19</w:t>
            </w:r>
            <w:r>
              <w:rPr>
                <w:noProof/>
                <w:webHidden/>
              </w:rPr>
              <w:fldChar w:fldCharType="end"/>
            </w:r>
          </w:hyperlink>
        </w:p>
        <w:p w14:paraId="4771A0C1" w14:textId="44AC47F0" w:rsidR="00561C2D" w:rsidRDefault="00561C2D">
          <w:pPr>
            <w:pStyle w:val="TOC3"/>
            <w:rPr>
              <w:rFonts w:asciiTheme="minorHAnsi" w:eastAsiaTheme="minorEastAsia" w:hAnsiTheme="minorHAnsi" w:cstheme="minorBidi"/>
              <w:noProof/>
              <w:lang w:eastAsia="en-AU"/>
            </w:rPr>
          </w:pPr>
          <w:hyperlink w:anchor="_Toc44577010" w:history="1">
            <w:r w:rsidRPr="00125BCC">
              <w:rPr>
                <w:rStyle w:val="Hyperlink"/>
                <w:noProof/>
              </w:rPr>
              <w:t>Pharmacokinetics</w:t>
            </w:r>
            <w:r>
              <w:rPr>
                <w:noProof/>
                <w:webHidden/>
              </w:rPr>
              <w:tab/>
            </w:r>
            <w:r>
              <w:rPr>
                <w:noProof/>
                <w:webHidden/>
              </w:rPr>
              <w:fldChar w:fldCharType="begin"/>
            </w:r>
            <w:r>
              <w:rPr>
                <w:noProof/>
                <w:webHidden/>
              </w:rPr>
              <w:instrText xml:space="preserve"> PAGEREF _Toc44577010 \h </w:instrText>
            </w:r>
            <w:r>
              <w:rPr>
                <w:noProof/>
                <w:webHidden/>
              </w:rPr>
            </w:r>
            <w:r>
              <w:rPr>
                <w:noProof/>
                <w:webHidden/>
              </w:rPr>
              <w:fldChar w:fldCharType="separate"/>
            </w:r>
            <w:r>
              <w:rPr>
                <w:noProof/>
                <w:webHidden/>
              </w:rPr>
              <w:t>19</w:t>
            </w:r>
            <w:r>
              <w:rPr>
                <w:noProof/>
                <w:webHidden/>
              </w:rPr>
              <w:fldChar w:fldCharType="end"/>
            </w:r>
          </w:hyperlink>
        </w:p>
        <w:p w14:paraId="6D30DB9C" w14:textId="5ED54951" w:rsidR="00561C2D" w:rsidRDefault="00561C2D">
          <w:pPr>
            <w:pStyle w:val="TOC3"/>
            <w:rPr>
              <w:rFonts w:asciiTheme="minorHAnsi" w:eastAsiaTheme="minorEastAsia" w:hAnsiTheme="minorHAnsi" w:cstheme="minorBidi"/>
              <w:noProof/>
              <w:lang w:eastAsia="en-AU"/>
            </w:rPr>
          </w:pPr>
          <w:hyperlink w:anchor="_Toc44577011" w:history="1">
            <w:r w:rsidRPr="00125BCC">
              <w:rPr>
                <w:rStyle w:val="Hyperlink"/>
                <w:noProof/>
              </w:rPr>
              <w:t>Toxicology</w:t>
            </w:r>
            <w:r>
              <w:rPr>
                <w:noProof/>
                <w:webHidden/>
              </w:rPr>
              <w:tab/>
            </w:r>
            <w:r>
              <w:rPr>
                <w:noProof/>
                <w:webHidden/>
              </w:rPr>
              <w:fldChar w:fldCharType="begin"/>
            </w:r>
            <w:r>
              <w:rPr>
                <w:noProof/>
                <w:webHidden/>
              </w:rPr>
              <w:instrText xml:space="preserve"> PAGEREF _Toc44577011 \h </w:instrText>
            </w:r>
            <w:r>
              <w:rPr>
                <w:noProof/>
                <w:webHidden/>
              </w:rPr>
            </w:r>
            <w:r>
              <w:rPr>
                <w:noProof/>
                <w:webHidden/>
              </w:rPr>
              <w:fldChar w:fldCharType="separate"/>
            </w:r>
            <w:r>
              <w:rPr>
                <w:noProof/>
                <w:webHidden/>
              </w:rPr>
              <w:t>20</w:t>
            </w:r>
            <w:r>
              <w:rPr>
                <w:noProof/>
                <w:webHidden/>
              </w:rPr>
              <w:fldChar w:fldCharType="end"/>
            </w:r>
          </w:hyperlink>
        </w:p>
        <w:p w14:paraId="0665E52A" w14:textId="17387F58" w:rsidR="00561C2D" w:rsidRDefault="00561C2D">
          <w:pPr>
            <w:pStyle w:val="TOC3"/>
            <w:rPr>
              <w:rFonts w:asciiTheme="minorHAnsi" w:eastAsiaTheme="minorEastAsia" w:hAnsiTheme="minorHAnsi" w:cstheme="minorBidi"/>
              <w:noProof/>
              <w:lang w:eastAsia="en-AU"/>
            </w:rPr>
          </w:pPr>
          <w:hyperlink w:anchor="_Toc44577012" w:history="1">
            <w:r w:rsidRPr="00125BCC">
              <w:rPr>
                <w:rStyle w:val="Hyperlink"/>
                <w:noProof/>
              </w:rPr>
              <w:t>Nonclinical summary and conclusions</w:t>
            </w:r>
            <w:r>
              <w:rPr>
                <w:noProof/>
                <w:webHidden/>
              </w:rPr>
              <w:tab/>
            </w:r>
            <w:r>
              <w:rPr>
                <w:noProof/>
                <w:webHidden/>
              </w:rPr>
              <w:fldChar w:fldCharType="begin"/>
            </w:r>
            <w:r>
              <w:rPr>
                <w:noProof/>
                <w:webHidden/>
              </w:rPr>
              <w:instrText xml:space="preserve"> PAGEREF _Toc44577012 \h </w:instrText>
            </w:r>
            <w:r>
              <w:rPr>
                <w:noProof/>
                <w:webHidden/>
              </w:rPr>
            </w:r>
            <w:r>
              <w:rPr>
                <w:noProof/>
                <w:webHidden/>
              </w:rPr>
              <w:fldChar w:fldCharType="separate"/>
            </w:r>
            <w:r>
              <w:rPr>
                <w:noProof/>
                <w:webHidden/>
              </w:rPr>
              <w:t>20</w:t>
            </w:r>
            <w:r>
              <w:rPr>
                <w:noProof/>
                <w:webHidden/>
              </w:rPr>
              <w:fldChar w:fldCharType="end"/>
            </w:r>
          </w:hyperlink>
        </w:p>
        <w:p w14:paraId="0E15288B" w14:textId="0C8ECDF9" w:rsidR="00561C2D" w:rsidRDefault="00561C2D">
          <w:pPr>
            <w:pStyle w:val="TOC2"/>
            <w:rPr>
              <w:rFonts w:asciiTheme="minorHAnsi" w:eastAsiaTheme="minorEastAsia" w:hAnsiTheme="minorHAnsi" w:cstheme="minorBidi"/>
              <w:b w:val="0"/>
              <w:noProof/>
              <w:sz w:val="22"/>
              <w:lang w:eastAsia="en-AU"/>
            </w:rPr>
          </w:pPr>
          <w:hyperlink w:anchor="_Toc44577013" w:history="1">
            <w:r w:rsidRPr="00125BCC">
              <w:rPr>
                <w:rStyle w:val="Hyperlink"/>
                <w:noProof/>
              </w:rPr>
              <w:t>IV. Clinical findings</w:t>
            </w:r>
            <w:r>
              <w:rPr>
                <w:noProof/>
                <w:webHidden/>
              </w:rPr>
              <w:tab/>
            </w:r>
            <w:r>
              <w:rPr>
                <w:noProof/>
                <w:webHidden/>
              </w:rPr>
              <w:fldChar w:fldCharType="begin"/>
            </w:r>
            <w:r>
              <w:rPr>
                <w:noProof/>
                <w:webHidden/>
              </w:rPr>
              <w:instrText xml:space="preserve"> PAGEREF _Toc44577013 \h </w:instrText>
            </w:r>
            <w:r>
              <w:rPr>
                <w:noProof/>
                <w:webHidden/>
              </w:rPr>
            </w:r>
            <w:r>
              <w:rPr>
                <w:noProof/>
                <w:webHidden/>
              </w:rPr>
              <w:fldChar w:fldCharType="separate"/>
            </w:r>
            <w:r>
              <w:rPr>
                <w:noProof/>
                <w:webHidden/>
              </w:rPr>
              <w:t>21</w:t>
            </w:r>
            <w:r>
              <w:rPr>
                <w:noProof/>
                <w:webHidden/>
              </w:rPr>
              <w:fldChar w:fldCharType="end"/>
            </w:r>
          </w:hyperlink>
        </w:p>
        <w:p w14:paraId="5CC11D62" w14:textId="32AF5A28" w:rsidR="00561C2D" w:rsidRDefault="00561C2D">
          <w:pPr>
            <w:pStyle w:val="TOC3"/>
            <w:rPr>
              <w:rFonts w:asciiTheme="minorHAnsi" w:eastAsiaTheme="minorEastAsia" w:hAnsiTheme="minorHAnsi" w:cstheme="minorBidi"/>
              <w:noProof/>
              <w:lang w:eastAsia="en-AU"/>
            </w:rPr>
          </w:pPr>
          <w:hyperlink w:anchor="_Toc44577014" w:history="1">
            <w:r w:rsidRPr="00125BCC">
              <w:rPr>
                <w:rStyle w:val="Hyperlink"/>
                <w:noProof/>
              </w:rPr>
              <w:t>Introduction</w:t>
            </w:r>
            <w:r>
              <w:rPr>
                <w:noProof/>
                <w:webHidden/>
              </w:rPr>
              <w:tab/>
            </w:r>
            <w:r>
              <w:rPr>
                <w:noProof/>
                <w:webHidden/>
              </w:rPr>
              <w:fldChar w:fldCharType="begin"/>
            </w:r>
            <w:r>
              <w:rPr>
                <w:noProof/>
                <w:webHidden/>
              </w:rPr>
              <w:instrText xml:space="preserve"> PAGEREF _Toc44577014 \h </w:instrText>
            </w:r>
            <w:r>
              <w:rPr>
                <w:noProof/>
                <w:webHidden/>
              </w:rPr>
            </w:r>
            <w:r>
              <w:rPr>
                <w:noProof/>
                <w:webHidden/>
              </w:rPr>
              <w:fldChar w:fldCharType="separate"/>
            </w:r>
            <w:r>
              <w:rPr>
                <w:noProof/>
                <w:webHidden/>
              </w:rPr>
              <w:t>21</w:t>
            </w:r>
            <w:r>
              <w:rPr>
                <w:noProof/>
                <w:webHidden/>
              </w:rPr>
              <w:fldChar w:fldCharType="end"/>
            </w:r>
          </w:hyperlink>
        </w:p>
        <w:p w14:paraId="77911DFA" w14:textId="171A5A20" w:rsidR="00561C2D" w:rsidRDefault="00561C2D">
          <w:pPr>
            <w:pStyle w:val="TOC3"/>
            <w:rPr>
              <w:rFonts w:asciiTheme="minorHAnsi" w:eastAsiaTheme="minorEastAsia" w:hAnsiTheme="minorHAnsi" w:cstheme="minorBidi"/>
              <w:noProof/>
              <w:lang w:eastAsia="en-AU"/>
            </w:rPr>
          </w:pPr>
          <w:hyperlink w:anchor="_Toc44577015" w:history="1">
            <w:r w:rsidRPr="00125BCC">
              <w:rPr>
                <w:rStyle w:val="Hyperlink"/>
                <w:noProof/>
              </w:rPr>
              <w:t>Pharmacokinetics</w:t>
            </w:r>
            <w:r>
              <w:rPr>
                <w:noProof/>
                <w:webHidden/>
              </w:rPr>
              <w:tab/>
            </w:r>
            <w:r>
              <w:rPr>
                <w:noProof/>
                <w:webHidden/>
              </w:rPr>
              <w:fldChar w:fldCharType="begin"/>
            </w:r>
            <w:r>
              <w:rPr>
                <w:noProof/>
                <w:webHidden/>
              </w:rPr>
              <w:instrText xml:space="preserve"> PAGEREF _Toc44577015 \h </w:instrText>
            </w:r>
            <w:r>
              <w:rPr>
                <w:noProof/>
                <w:webHidden/>
              </w:rPr>
            </w:r>
            <w:r>
              <w:rPr>
                <w:noProof/>
                <w:webHidden/>
              </w:rPr>
              <w:fldChar w:fldCharType="separate"/>
            </w:r>
            <w:r>
              <w:rPr>
                <w:noProof/>
                <w:webHidden/>
              </w:rPr>
              <w:t>24</w:t>
            </w:r>
            <w:r>
              <w:rPr>
                <w:noProof/>
                <w:webHidden/>
              </w:rPr>
              <w:fldChar w:fldCharType="end"/>
            </w:r>
          </w:hyperlink>
        </w:p>
        <w:p w14:paraId="1537F6CF" w14:textId="51D6489A" w:rsidR="00561C2D" w:rsidRDefault="00561C2D">
          <w:pPr>
            <w:pStyle w:val="TOC3"/>
            <w:rPr>
              <w:rFonts w:asciiTheme="minorHAnsi" w:eastAsiaTheme="minorEastAsia" w:hAnsiTheme="minorHAnsi" w:cstheme="minorBidi"/>
              <w:noProof/>
              <w:lang w:eastAsia="en-AU"/>
            </w:rPr>
          </w:pPr>
          <w:hyperlink w:anchor="_Toc44577016" w:history="1">
            <w:r w:rsidRPr="00125BCC">
              <w:rPr>
                <w:rStyle w:val="Hyperlink"/>
                <w:noProof/>
              </w:rPr>
              <w:t>Pharmacodynamics</w:t>
            </w:r>
            <w:r>
              <w:rPr>
                <w:noProof/>
                <w:webHidden/>
              </w:rPr>
              <w:tab/>
            </w:r>
            <w:r>
              <w:rPr>
                <w:noProof/>
                <w:webHidden/>
              </w:rPr>
              <w:fldChar w:fldCharType="begin"/>
            </w:r>
            <w:r>
              <w:rPr>
                <w:noProof/>
                <w:webHidden/>
              </w:rPr>
              <w:instrText xml:space="preserve"> PAGEREF _Toc44577016 \h </w:instrText>
            </w:r>
            <w:r>
              <w:rPr>
                <w:noProof/>
                <w:webHidden/>
              </w:rPr>
            </w:r>
            <w:r>
              <w:rPr>
                <w:noProof/>
                <w:webHidden/>
              </w:rPr>
              <w:fldChar w:fldCharType="separate"/>
            </w:r>
            <w:r>
              <w:rPr>
                <w:noProof/>
                <w:webHidden/>
              </w:rPr>
              <w:t>25</w:t>
            </w:r>
            <w:r>
              <w:rPr>
                <w:noProof/>
                <w:webHidden/>
              </w:rPr>
              <w:fldChar w:fldCharType="end"/>
            </w:r>
          </w:hyperlink>
        </w:p>
        <w:p w14:paraId="1F0427C3" w14:textId="07446DF8" w:rsidR="00561C2D" w:rsidRDefault="00561C2D">
          <w:pPr>
            <w:pStyle w:val="TOC3"/>
            <w:rPr>
              <w:rFonts w:asciiTheme="minorHAnsi" w:eastAsiaTheme="minorEastAsia" w:hAnsiTheme="minorHAnsi" w:cstheme="minorBidi"/>
              <w:noProof/>
              <w:lang w:eastAsia="en-AU"/>
            </w:rPr>
          </w:pPr>
          <w:hyperlink w:anchor="_Toc44577017" w:history="1">
            <w:r w:rsidRPr="00125BCC">
              <w:rPr>
                <w:rStyle w:val="Hyperlink"/>
                <w:noProof/>
              </w:rPr>
              <w:t>Dosage selection for the pivotal studies</w:t>
            </w:r>
            <w:r>
              <w:rPr>
                <w:noProof/>
                <w:webHidden/>
              </w:rPr>
              <w:tab/>
            </w:r>
            <w:r>
              <w:rPr>
                <w:noProof/>
                <w:webHidden/>
              </w:rPr>
              <w:fldChar w:fldCharType="begin"/>
            </w:r>
            <w:r>
              <w:rPr>
                <w:noProof/>
                <w:webHidden/>
              </w:rPr>
              <w:instrText xml:space="preserve"> PAGEREF _Toc44577017 \h </w:instrText>
            </w:r>
            <w:r>
              <w:rPr>
                <w:noProof/>
                <w:webHidden/>
              </w:rPr>
            </w:r>
            <w:r>
              <w:rPr>
                <w:noProof/>
                <w:webHidden/>
              </w:rPr>
              <w:fldChar w:fldCharType="separate"/>
            </w:r>
            <w:r>
              <w:rPr>
                <w:noProof/>
                <w:webHidden/>
              </w:rPr>
              <w:t>25</w:t>
            </w:r>
            <w:r>
              <w:rPr>
                <w:noProof/>
                <w:webHidden/>
              </w:rPr>
              <w:fldChar w:fldCharType="end"/>
            </w:r>
          </w:hyperlink>
        </w:p>
        <w:p w14:paraId="7D761F08" w14:textId="3897E9A2" w:rsidR="00561C2D" w:rsidRDefault="00561C2D">
          <w:pPr>
            <w:pStyle w:val="TOC3"/>
            <w:rPr>
              <w:rFonts w:asciiTheme="minorHAnsi" w:eastAsiaTheme="minorEastAsia" w:hAnsiTheme="minorHAnsi" w:cstheme="minorBidi"/>
              <w:noProof/>
              <w:lang w:eastAsia="en-AU"/>
            </w:rPr>
          </w:pPr>
          <w:hyperlink w:anchor="_Toc44577018" w:history="1">
            <w:r w:rsidRPr="00125BCC">
              <w:rPr>
                <w:rStyle w:val="Hyperlink"/>
                <w:noProof/>
              </w:rPr>
              <w:t>Efficacy</w:t>
            </w:r>
            <w:r>
              <w:rPr>
                <w:noProof/>
                <w:webHidden/>
              </w:rPr>
              <w:tab/>
            </w:r>
            <w:r>
              <w:rPr>
                <w:noProof/>
                <w:webHidden/>
              </w:rPr>
              <w:fldChar w:fldCharType="begin"/>
            </w:r>
            <w:r>
              <w:rPr>
                <w:noProof/>
                <w:webHidden/>
              </w:rPr>
              <w:instrText xml:space="preserve"> PAGEREF _Toc44577018 \h </w:instrText>
            </w:r>
            <w:r>
              <w:rPr>
                <w:noProof/>
                <w:webHidden/>
              </w:rPr>
            </w:r>
            <w:r>
              <w:rPr>
                <w:noProof/>
                <w:webHidden/>
              </w:rPr>
              <w:fldChar w:fldCharType="separate"/>
            </w:r>
            <w:r>
              <w:rPr>
                <w:noProof/>
                <w:webHidden/>
              </w:rPr>
              <w:t>26</w:t>
            </w:r>
            <w:r>
              <w:rPr>
                <w:noProof/>
                <w:webHidden/>
              </w:rPr>
              <w:fldChar w:fldCharType="end"/>
            </w:r>
          </w:hyperlink>
        </w:p>
        <w:p w14:paraId="379162C7" w14:textId="77A68DBA" w:rsidR="00561C2D" w:rsidRDefault="00561C2D">
          <w:pPr>
            <w:pStyle w:val="TOC3"/>
            <w:rPr>
              <w:rFonts w:asciiTheme="minorHAnsi" w:eastAsiaTheme="minorEastAsia" w:hAnsiTheme="minorHAnsi" w:cstheme="minorBidi"/>
              <w:noProof/>
              <w:lang w:eastAsia="en-AU"/>
            </w:rPr>
          </w:pPr>
          <w:hyperlink w:anchor="_Toc44577019" w:history="1">
            <w:r w:rsidRPr="00125BCC">
              <w:rPr>
                <w:rStyle w:val="Hyperlink"/>
                <w:noProof/>
              </w:rPr>
              <w:t>Safety</w:t>
            </w:r>
            <w:r>
              <w:rPr>
                <w:noProof/>
                <w:webHidden/>
              </w:rPr>
              <w:tab/>
            </w:r>
            <w:r>
              <w:rPr>
                <w:noProof/>
                <w:webHidden/>
              </w:rPr>
              <w:fldChar w:fldCharType="begin"/>
            </w:r>
            <w:r>
              <w:rPr>
                <w:noProof/>
                <w:webHidden/>
              </w:rPr>
              <w:instrText xml:space="preserve"> PAGEREF _Toc44577019 \h </w:instrText>
            </w:r>
            <w:r>
              <w:rPr>
                <w:noProof/>
                <w:webHidden/>
              </w:rPr>
            </w:r>
            <w:r>
              <w:rPr>
                <w:noProof/>
                <w:webHidden/>
              </w:rPr>
              <w:fldChar w:fldCharType="separate"/>
            </w:r>
            <w:r>
              <w:rPr>
                <w:noProof/>
                <w:webHidden/>
              </w:rPr>
              <w:t>29</w:t>
            </w:r>
            <w:r>
              <w:rPr>
                <w:noProof/>
                <w:webHidden/>
              </w:rPr>
              <w:fldChar w:fldCharType="end"/>
            </w:r>
          </w:hyperlink>
        </w:p>
        <w:p w14:paraId="5F874348" w14:textId="0E33FC30" w:rsidR="00561C2D" w:rsidRDefault="00561C2D">
          <w:pPr>
            <w:pStyle w:val="TOC3"/>
            <w:rPr>
              <w:rFonts w:asciiTheme="minorHAnsi" w:eastAsiaTheme="minorEastAsia" w:hAnsiTheme="minorHAnsi" w:cstheme="minorBidi"/>
              <w:noProof/>
              <w:lang w:eastAsia="en-AU"/>
            </w:rPr>
          </w:pPr>
          <w:hyperlink w:anchor="_Toc44577020" w:history="1">
            <w:r w:rsidRPr="00125BCC">
              <w:rPr>
                <w:rStyle w:val="Hyperlink"/>
                <w:noProof/>
              </w:rPr>
              <w:t>First round benefit-risk assessment</w:t>
            </w:r>
            <w:r>
              <w:rPr>
                <w:noProof/>
                <w:webHidden/>
              </w:rPr>
              <w:tab/>
            </w:r>
            <w:r>
              <w:rPr>
                <w:noProof/>
                <w:webHidden/>
              </w:rPr>
              <w:fldChar w:fldCharType="begin"/>
            </w:r>
            <w:r>
              <w:rPr>
                <w:noProof/>
                <w:webHidden/>
              </w:rPr>
              <w:instrText xml:space="preserve"> PAGEREF _Toc44577020 \h </w:instrText>
            </w:r>
            <w:r>
              <w:rPr>
                <w:noProof/>
                <w:webHidden/>
              </w:rPr>
            </w:r>
            <w:r>
              <w:rPr>
                <w:noProof/>
                <w:webHidden/>
              </w:rPr>
              <w:fldChar w:fldCharType="separate"/>
            </w:r>
            <w:r>
              <w:rPr>
                <w:noProof/>
                <w:webHidden/>
              </w:rPr>
              <w:t>31</w:t>
            </w:r>
            <w:r>
              <w:rPr>
                <w:noProof/>
                <w:webHidden/>
              </w:rPr>
              <w:fldChar w:fldCharType="end"/>
            </w:r>
          </w:hyperlink>
        </w:p>
        <w:p w14:paraId="632D1CF0" w14:textId="2B9EA1A9" w:rsidR="00561C2D" w:rsidRDefault="00561C2D">
          <w:pPr>
            <w:pStyle w:val="TOC3"/>
            <w:rPr>
              <w:rFonts w:asciiTheme="minorHAnsi" w:eastAsiaTheme="minorEastAsia" w:hAnsiTheme="minorHAnsi" w:cstheme="minorBidi"/>
              <w:noProof/>
              <w:lang w:eastAsia="en-AU"/>
            </w:rPr>
          </w:pPr>
          <w:hyperlink w:anchor="_Toc44577021" w:history="1">
            <w:r w:rsidRPr="00125BCC">
              <w:rPr>
                <w:rStyle w:val="Hyperlink"/>
                <w:noProof/>
              </w:rPr>
              <w:t>First round recommendation regarding authorisation</w:t>
            </w:r>
            <w:r>
              <w:rPr>
                <w:noProof/>
                <w:webHidden/>
              </w:rPr>
              <w:tab/>
            </w:r>
            <w:r>
              <w:rPr>
                <w:noProof/>
                <w:webHidden/>
              </w:rPr>
              <w:fldChar w:fldCharType="begin"/>
            </w:r>
            <w:r>
              <w:rPr>
                <w:noProof/>
                <w:webHidden/>
              </w:rPr>
              <w:instrText xml:space="preserve"> PAGEREF _Toc44577021 \h </w:instrText>
            </w:r>
            <w:r>
              <w:rPr>
                <w:noProof/>
                <w:webHidden/>
              </w:rPr>
            </w:r>
            <w:r>
              <w:rPr>
                <w:noProof/>
                <w:webHidden/>
              </w:rPr>
              <w:fldChar w:fldCharType="separate"/>
            </w:r>
            <w:r>
              <w:rPr>
                <w:noProof/>
                <w:webHidden/>
              </w:rPr>
              <w:t>32</w:t>
            </w:r>
            <w:r>
              <w:rPr>
                <w:noProof/>
                <w:webHidden/>
              </w:rPr>
              <w:fldChar w:fldCharType="end"/>
            </w:r>
          </w:hyperlink>
        </w:p>
        <w:p w14:paraId="54BBFFB9" w14:textId="0A4E89DB" w:rsidR="00561C2D" w:rsidRDefault="00561C2D">
          <w:pPr>
            <w:pStyle w:val="TOC3"/>
            <w:rPr>
              <w:rFonts w:asciiTheme="minorHAnsi" w:eastAsiaTheme="minorEastAsia" w:hAnsiTheme="minorHAnsi" w:cstheme="minorBidi"/>
              <w:noProof/>
              <w:lang w:eastAsia="en-AU"/>
            </w:rPr>
          </w:pPr>
          <w:hyperlink w:anchor="_Toc44577022" w:history="1">
            <w:r w:rsidRPr="00125BCC">
              <w:rPr>
                <w:rStyle w:val="Hyperlink"/>
                <w:noProof/>
              </w:rPr>
              <w:t>Clinical questions and second round evaluation of clinical data submitted in response to questions</w:t>
            </w:r>
            <w:r>
              <w:rPr>
                <w:noProof/>
                <w:webHidden/>
              </w:rPr>
              <w:tab/>
            </w:r>
            <w:r>
              <w:rPr>
                <w:noProof/>
                <w:webHidden/>
              </w:rPr>
              <w:fldChar w:fldCharType="begin"/>
            </w:r>
            <w:r>
              <w:rPr>
                <w:noProof/>
                <w:webHidden/>
              </w:rPr>
              <w:instrText xml:space="preserve"> PAGEREF _Toc44577022 \h </w:instrText>
            </w:r>
            <w:r>
              <w:rPr>
                <w:noProof/>
                <w:webHidden/>
              </w:rPr>
            </w:r>
            <w:r>
              <w:rPr>
                <w:noProof/>
                <w:webHidden/>
              </w:rPr>
              <w:fldChar w:fldCharType="separate"/>
            </w:r>
            <w:r>
              <w:rPr>
                <w:noProof/>
                <w:webHidden/>
              </w:rPr>
              <w:t>32</w:t>
            </w:r>
            <w:r>
              <w:rPr>
                <w:noProof/>
                <w:webHidden/>
              </w:rPr>
              <w:fldChar w:fldCharType="end"/>
            </w:r>
          </w:hyperlink>
        </w:p>
        <w:p w14:paraId="4B4E428F" w14:textId="200E1E5A" w:rsidR="00561C2D" w:rsidRDefault="00561C2D">
          <w:pPr>
            <w:pStyle w:val="TOC3"/>
            <w:rPr>
              <w:rFonts w:asciiTheme="minorHAnsi" w:eastAsiaTheme="minorEastAsia" w:hAnsiTheme="minorHAnsi" w:cstheme="minorBidi"/>
              <w:noProof/>
              <w:lang w:eastAsia="en-AU"/>
            </w:rPr>
          </w:pPr>
          <w:hyperlink w:anchor="_Toc44577023" w:history="1">
            <w:r w:rsidRPr="00125BCC">
              <w:rPr>
                <w:rStyle w:val="Hyperlink"/>
                <w:noProof/>
              </w:rPr>
              <w:t>Second round benefit-risk assessment</w:t>
            </w:r>
            <w:r>
              <w:rPr>
                <w:noProof/>
                <w:webHidden/>
              </w:rPr>
              <w:tab/>
            </w:r>
            <w:r>
              <w:rPr>
                <w:noProof/>
                <w:webHidden/>
              </w:rPr>
              <w:fldChar w:fldCharType="begin"/>
            </w:r>
            <w:r>
              <w:rPr>
                <w:noProof/>
                <w:webHidden/>
              </w:rPr>
              <w:instrText xml:space="preserve"> PAGEREF _Toc44577023 \h </w:instrText>
            </w:r>
            <w:r>
              <w:rPr>
                <w:noProof/>
                <w:webHidden/>
              </w:rPr>
            </w:r>
            <w:r>
              <w:rPr>
                <w:noProof/>
                <w:webHidden/>
              </w:rPr>
              <w:fldChar w:fldCharType="separate"/>
            </w:r>
            <w:r>
              <w:rPr>
                <w:noProof/>
                <w:webHidden/>
              </w:rPr>
              <w:t>32</w:t>
            </w:r>
            <w:r>
              <w:rPr>
                <w:noProof/>
                <w:webHidden/>
              </w:rPr>
              <w:fldChar w:fldCharType="end"/>
            </w:r>
          </w:hyperlink>
        </w:p>
        <w:p w14:paraId="145C4670" w14:textId="7DD2C360" w:rsidR="00561C2D" w:rsidRDefault="00561C2D">
          <w:pPr>
            <w:pStyle w:val="TOC2"/>
            <w:rPr>
              <w:rFonts w:asciiTheme="minorHAnsi" w:eastAsiaTheme="minorEastAsia" w:hAnsiTheme="minorHAnsi" w:cstheme="minorBidi"/>
              <w:b w:val="0"/>
              <w:noProof/>
              <w:sz w:val="22"/>
              <w:lang w:eastAsia="en-AU"/>
            </w:rPr>
          </w:pPr>
          <w:hyperlink w:anchor="_Toc44577024" w:history="1">
            <w:r w:rsidRPr="00125BCC">
              <w:rPr>
                <w:rStyle w:val="Hyperlink"/>
                <w:noProof/>
              </w:rPr>
              <w:t>V. Pharmacovigilance findings</w:t>
            </w:r>
            <w:r>
              <w:rPr>
                <w:noProof/>
                <w:webHidden/>
              </w:rPr>
              <w:tab/>
            </w:r>
            <w:r>
              <w:rPr>
                <w:noProof/>
                <w:webHidden/>
              </w:rPr>
              <w:fldChar w:fldCharType="begin"/>
            </w:r>
            <w:r>
              <w:rPr>
                <w:noProof/>
                <w:webHidden/>
              </w:rPr>
              <w:instrText xml:space="preserve"> PAGEREF _Toc44577024 \h </w:instrText>
            </w:r>
            <w:r>
              <w:rPr>
                <w:noProof/>
                <w:webHidden/>
              </w:rPr>
            </w:r>
            <w:r>
              <w:rPr>
                <w:noProof/>
                <w:webHidden/>
              </w:rPr>
              <w:fldChar w:fldCharType="separate"/>
            </w:r>
            <w:r>
              <w:rPr>
                <w:noProof/>
                <w:webHidden/>
              </w:rPr>
              <w:t>33</w:t>
            </w:r>
            <w:r>
              <w:rPr>
                <w:noProof/>
                <w:webHidden/>
              </w:rPr>
              <w:fldChar w:fldCharType="end"/>
            </w:r>
          </w:hyperlink>
        </w:p>
        <w:p w14:paraId="3306EC0A" w14:textId="729ADB94" w:rsidR="00561C2D" w:rsidRDefault="00561C2D">
          <w:pPr>
            <w:pStyle w:val="TOC3"/>
            <w:rPr>
              <w:rFonts w:asciiTheme="minorHAnsi" w:eastAsiaTheme="minorEastAsia" w:hAnsiTheme="minorHAnsi" w:cstheme="minorBidi"/>
              <w:noProof/>
              <w:lang w:eastAsia="en-AU"/>
            </w:rPr>
          </w:pPr>
          <w:hyperlink w:anchor="_Toc44577025" w:history="1">
            <w:r w:rsidRPr="00125BCC">
              <w:rPr>
                <w:rStyle w:val="Hyperlink"/>
                <w:noProof/>
                <w:lang w:eastAsia="en-AU"/>
              </w:rPr>
              <w:t>Risk management plan</w:t>
            </w:r>
            <w:r>
              <w:rPr>
                <w:noProof/>
                <w:webHidden/>
              </w:rPr>
              <w:tab/>
            </w:r>
            <w:r>
              <w:rPr>
                <w:noProof/>
                <w:webHidden/>
              </w:rPr>
              <w:fldChar w:fldCharType="begin"/>
            </w:r>
            <w:r>
              <w:rPr>
                <w:noProof/>
                <w:webHidden/>
              </w:rPr>
              <w:instrText xml:space="preserve"> PAGEREF _Toc44577025 \h </w:instrText>
            </w:r>
            <w:r>
              <w:rPr>
                <w:noProof/>
                <w:webHidden/>
              </w:rPr>
            </w:r>
            <w:r>
              <w:rPr>
                <w:noProof/>
                <w:webHidden/>
              </w:rPr>
              <w:fldChar w:fldCharType="separate"/>
            </w:r>
            <w:r>
              <w:rPr>
                <w:noProof/>
                <w:webHidden/>
              </w:rPr>
              <w:t>33</w:t>
            </w:r>
            <w:r>
              <w:rPr>
                <w:noProof/>
                <w:webHidden/>
              </w:rPr>
              <w:fldChar w:fldCharType="end"/>
            </w:r>
          </w:hyperlink>
        </w:p>
        <w:p w14:paraId="2B99FBB3" w14:textId="6992C5CC" w:rsidR="00561C2D" w:rsidRDefault="00561C2D">
          <w:pPr>
            <w:pStyle w:val="TOC2"/>
            <w:rPr>
              <w:rFonts w:asciiTheme="minorHAnsi" w:eastAsiaTheme="minorEastAsia" w:hAnsiTheme="minorHAnsi" w:cstheme="minorBidi"/>
              <w:b w:val="0"/>
              <w:noProof/>
              <w:sz w:val="22"/>
              <w:lang w:eastAsia="en-AU"/>
            </w:rPr>
          </w:pPr>
          <w:hyperlink w:anchor="_Toc44577026" w:history="1">
            <w:r w:rsidRPr="00125BCC">
              <w:rPr>
                <w:rStyle w:val="Hyperlink"/>
                <w:noProof/>
              </w:rPr>
              <w:t>III. Overall conclusion and risk/benefit assessment</w:t>
            </w:r>
            <w:r>
              <w:rPr>
                <w:noProof/>
                <w:webHidden/>
              </w:rPr>
              <w:tab/>
            </w:r>
            <w:r>
              <w:rPr>
                <w:noProof/>
                <w:webHidden/>
              </w:rPr>
              <w:fldChar w:fldCharType="begin"/>
            </w:r>
            <w:r>
              <w:rPr>
                <w:noProof/>
                <w:webHidden/>
              </w:rPr>
              <w:instrText xml:space="preserve"> PAGEREF _Toc44577026 \h </w:instrText>
            </w:r>
            <w:r>
              <w:rPr>
                <w:noProof/>
                <w:webHidden/>
              </w:rPr>
            </w:r>
            <w:r>
              <w:rPr>
                <w:noProof/>
                <w:webHidden/>
              </w:rPr>
              <w:fldChar w:fldCharType="separate"/>
            </w:r>
            <w:r>
              <w:rPr>
                <w:noProof/>
                <w:webHidden/>
              </w:rPr>
              <w:t>42</w:t>
            </w:r>
            <w:r>
              <w:rPr>
                <w:noProof/>
                <w:webHidden/>
              </w:rPr>
              <w:fldChar w:fldCharType="end"/>
            </w:r>
          </w:hyperlink>
        </w:p>
        <w:p w14:paraId="4D59C11E" w14:textId="4B4E5546" w:rsidR="00561C2D" w:rsidRDefault="00561C2D">
          <w:pPr>
            <w:pStyle w:val="TOC3"/>
            <w:rPr>
              <w:rFonts w:asciiTheme="minorHAnsi" w:eastAsiaTheme="minorEastAsia" w:hAnsiTheme="minorHAnsi" w:cstheme="minorBidi"/>
              <w:noProof/>
              <w:lang w:eastAsia="en-AU"/>
            </w:rPr>
          </w:pPr>
          <w:hyperlink w:anchor="_Toc44577027" w:history="1">
            <w:r w:rsidRPr="00125BCC">
              <w:rPr>
                <w:rStyle w:val="Hyperlink"/>
                <w:noProof/>
              </w:rPr>
              <w:t>Timeline</w:t>
            </w:r>
            <w:r>
              <w:rPr>
                <w:noProof/>
                <w:webHidden/>
              </w:rPr>
              <w:tab/>
            </w:r>
            <w:r>
              <w:rPr>
                <w:noProof/>
                <w:webHidden/>
              </w:rPr>
              <w:fldChar w:fldCharType="begin"/>
            </w:r>
            <w:r>
              <w:rPr>
                <w:noProof/>
                <w:webHidden/>
              </w:rPr>
              <w:instrText xml:space="preserve"> PAGEREF _Toc44577027 \h </w:instrText>
            </w:r>
            <w:r>
              <w:rPr>
                <w:noProof/>
                <w:webHidden/>
              </w:rPr>
            </w:r>
            <w:r>
              <w:rPr>
                <w:noProof/>
                <w:webHidden/>
              </w:rPr>
              <w:fldChar w:fldCharType="separate"/>
            </w:r>
            <w:r>
              <w:rPr>
                <w:noProof/>
                <w:webHidden/>
              </w:rPr>
              <w:t>43</w:t>
            </w:r>
            <w:r>
              <w:rPr>
                <w:noProof/>
                <w:webHidden/>
              </w:rPr>
              <w:fldChar w:fldCharType="end"/>
            </w:r>
          </w:hyperlink>
        </w:p>
        <w:p w14:paraId="0752737E" w14:textId="40D4EE55" w:rsidR="00561C2D" w:rsidRDefault="00561C2D">
          <w:pPr>
            <w:pStyle w:val="TOC3"/>
            <w:rPr>
              <w:rFonts w:asciiTheme="minorHAnsi" w:eastAsiaTheme="minorEastAsia" w:hAnsiTheme="minorHAnsi" w:cstheme="minorBidi"/>
              <w:noProof/>
              <w:lang w:eastAsia="en-AU"/>
            </w:rPr>
          </w:pPr>
          <w:hyperlink w:anchor="_Toc44577028" w:history="1">
            <w:r w:rsidRPr="00125BCC">
              <w:rPr>
                <w:rStyle w:val="Hyperlink"/>
                <w:noProof/>
              </w:rPr>
              <w:t>Delegate’s overview and request for advice April 2015 ACPM</w:t>
            </w:r>
            <w:r>
              <w:rPr>
                <w:noProof/>
                <w:webHidden/>
              </w:rPr>
              <w:tab/>
            </w:r>
            <w:r>
              <w:rPr>
                <w:noProof/>
                <w:webHidden/>
              </w:rPr>
              <w:fldChar w:fldCharType="begin"/>
            </w:r>
            <w:r>
              <w:rPr>
                <w:noProof/>
                <w:webHidden/>
              </w:rPr>
              <w:instrText xml:space="preserve"> PAGEREF _Toc44577028 \h </w:instrText>
            </w:r>
            <w:r>
              <w:rPr>
                <w:noProof/>
                <w:webHidden/>
              </w:rPr>
            </w:r>
            <w:r>
              <w:rPr>
                <w:noProof/>
                <w:webHidden/>
              </w:rPr>
              <w:fldChar w:fldCharType="separate"/>
            </w:r>
            <w:r>
              <w:rPr>
                <w:noProof/>
                <w:webHidden/>
              </w:rPr>
              <w:t>43</w:t>
            </w:r>
            <w:r>
              <w:rPr>
                <w:noProof/>
                <w:webHidden/>
              </w:rPr>
              <w:fldChar w:fldCharType="end"/>
            </w:r>
          </w:hyperlink>
        </w:p>
        <w:p w14:paraId="01256937" w14:textId="3327B0B9" w:rsidR="00561C2D" w:rsidRDefault="00561C2D">
          <w:pPr>
            <w:pStyle w:val="TOC3"/>
            <w:rPr>
              <w:rFonts w:asciiTheme="minorHAnsi" w:eastAsiaTheme="minorEastAsia" w:hAnsiTheme="minorHAnsi" w:cstheme="minorBidi"/>
              <w:noProof/>
              <w:lang w:eastAsia="en-AU"/>
            </w:rPr>
          </w:pPr>
          <w:hyperlink w:anchor="_Toc44577029" w:history="1">
            <w:r w:rsidRPr="00125BCC">
              <w:rPr>
                <w:rStyle w:val="Hyperlink"/>
                <w:noProof/>
              </w:rPr>
              <w:t>Clinical</w:t>
            </w:r>
            <w:r>
              <w:rPr>
                <w:noProof/>
                <w:webHidden/>
              </w:rPr>
              <w:tab/>
            </w:r>
            <w:r>
              <w:rPr>
                <w:noProof/>
                <w:webHidden/>
              </w:rPr>
              <w:fldChar w:fldCharType="begin"/>
            </w:r>
            <w:r>
              <w:rPr>
                <w:noProof/>
                <w:webHidden/>
              </w:rPr>
              <w:instrText xml:space="preserve"> PAGEREF _Toc44577029 \h </w:instrText>
            </w:r>
            <w:r>
              <w:rPr>
                <w:noProof/>
                <w:webHidden/>
              </w:rPr>
            </w:r>
            <w:r>
              <w:rPr>
                <w:noProof/>
                <w:webHidden/>
              </w:rPr>
              <w:fldChar w:fldCharType="separate"/>
            </w:r>
            <w:r>
              <w:rPr>
                <w:noProof/>
                <w:webHidden/>
              </w:rPr>
              <w:t>49</w:t>
            </w:r>
            <w:r>
              <w:rPr>
                <w:noProof/>
                <w:webHidden/>
              </w:rPr>
              <w:fldChar w:fldCharType="end"/>
            </w:r>
          </w:hyperlink>
        </w:p>
        <w:p w14:paraId="13421E8D" w14:textId="1F757C7B" w:rsidR="00561C2D" w:rsidRDefault="00561C2D">
          <w:pPr>
            <w:pStyle w:val="TOC3"/>
            <w:rPr>
              <w:rFonts w:asciiTheme="minorHAnsi" w:eastAsiaTheme="minorEastAsia" w:hAnsiTheme="minorHAnsi" w:cstheme="minorBidi"/>
              <w:noProof/>
              <w:lang w:eastAsia="en-AU"/>
            </w:rPr>
          </w:pPr>
          <w:hyperlink w:anchor="_Toc44577030" w:history="1">
            <w:r w:rsidRPr="00125BCC">
              <w:rPr>
                <w:rStyle w:val="Hyperlink"/>
                <w:noProof/>
              </w:rPr>
              <w:t>Delegate’s review of the clinical information</w:t>
            </w:r>
            <w:r>
              <w:rPr>
                <w:noProof/>
                <w:webHidden/>
              </w:rPr>
              <w:tab/>
            </w:r>
            <w:r>
              <w:rPr>
                <w:noProof/>
                <w:webHidden/>
              </w:rPr>
              <w:fldChar w:fldCharType="begin"/>
            </w:r>
            <w:r>
              <w:rPr>
                <w:noProof/>
                <w:webHidden/>
              </w:rPr>
              <w:instrText xml:space="preserve"> PAGEREF _Toc44577030 \h </w:instrText>
            </w:r>
            <w:r>
              <w:rPr>
                <w:noProof/>
                <w:webHidden/>
              </w:rPr>
            </w:r>
            <w:r>
              <w:rPr>
                <w:noProof/>
                <w:webHidden/>
              </w:rPr>
              <w:fldChar w:fldCharType="separate"/>
            </w:r>
            <w:r>
              <w:rPr>
                <w:noProof/>
                <w:webHidden/>
              </w:rPr>
              <w:t>50</w:t>
            </w:r>
            <w:r>
              <w:rPr>
                <w:noProof/>
                <w:webHidden/>
              </w:rPr>
              <w:fldChar w:fldCharType="end"/>
            </w:r>
          </w:hyperlink>
        </w:p>
        <w:p w14:paraId="6A9ACA35" w14:textId="65F9D6E7" w:rsidR="00561C2D" w:rsidRDefault="00561C2D">
          <w:pPr>
            <w:pStyle w:val="TOC3"/>
            <w:rPr>
              <w:rFonts w:asciiTheme="minorHAnsi" w:eastAsiaTheme="minorEastAsia" w:hAnsiTheme="minorHAnsi" w:cstheme="minorBidi"/>
              <w:noProof/>
              <w:lang w:eastAsia="en-AU"/>
            </w:rPr>
          </w:pPr>
          <w:hyperlink w:anchor="_Toc44577031" w:history="1">
            <w:r w:rsidRPr="00125BCC">
              <w:rPr>
                <w:rStyle w:val="Hyperlink"/>
                <w:noProof/>
              </w:rPr>
              <w:t>Questions raised by the TGA</w:t>
            </w:r>
            <w:r>
              <w:rPr>
                <w:noProof/>
                <w:webHidden/>
              </w:rPr>
              <w:tab/>
            </w:r>
            <w:r>
              <w:rPr>
                <w:noProof/>
                <w:webHidden/>
              </w:rPr>
              <w:fldChar w:fldCharType="begin"/>
            </w:r>
            <w:r>
              <w:rPr>
                <w:noProof/>
                <w:webHidden/>
              </w:rPr>
              <w:instrText xml:space="preserve"> PAGEREF _Toc44577031 \h </w:instrText>
            </w:r>
            <w:r>
              <w:rPr>
                <w:noProof/>
                <w:webHidden/>
              </w:rPr>
            </w:r>
            <w:r>
              <w:rPr>
                <w:noProof/>
                <w:webHidden/>
              </w:rPr>
              <w:fldChar w:fldCharType="separate"/>
            </w:r>
            <w:r>
              <w:rPr>
                <w:noProof/>
                <w:webHidden/>
              </w:rPr>
              <w:t>61</w:t>
            </w:r>
            <w:r>
              <w:rPr>
                <w:noProof/>
                <w:webHidden/>
              </w:rPr>
              <w:fldChar w:fldCharType="end"/>
            </w:r>
          </w:hyperlink>
        </w:p>
        <w:p w14:paraId="4F4C476E" w14:textId="37D7E795" w:rsidR="00561C2D" w:rsidRDefault="00561C2D">
          <w:pPr>
            <w:pStyle w:val="TOC3"/>
            <w:rPr>
              <w:rFonts w:asciiTheme="minorHAnsi" w:eastAsiaTheme="minorEastAsia" w:hAnsiTheme="minorHAnsi" w:cstheme="minorBidi"/>
              <w:noProof/>
              <w:lang w:eastAsia="en-AU"/>
            </w:rPr>
          </w:pPr>
          <w:hyperlink w:anchor="_Toc44577032" w:history="1">
            <w:r w:rsidRPr="00125BCC">
              <w:rPr>
                <w:rStyle w:val="Hyperlink"/>
                <w:noProof/>
                <w:lang w:eastAsia="en-AU"/>
              </w:rPr>
              <w:t>Risk management plan</w:t>
            </w:r>
            <w:r>
              <w:rPr>
                <w:noProof/>
                <w:webHidden/>
              </w:rPr>
              <w:tab/>
            </w:r>
            <w:r>
              <w:rPr>
                <w:noProof/>
                <w:webHidden/>
              </w:rPr>
              <w:fldChar w:fldCharType="begin"/>
            </w:r>
            <w:r>
              <w:rPr>
                <w:noProof/>
                <w:webHidden/>
              </w:rPr>
              <w:instrText xml:space="preserve"> PAGEREF _Toc44577032 \h </w:instrText>
            </w:r>
            <w:r>
              <w:rPr>
                <w:noProof/>
                <w:webHidden/>
              </w:rPr>
            </w:r>
            <w:r>
              <w:rPr>
                <w:noProof/>
                <w:webHidden/>
              </w:rPr>
              <w:fldChar w:fldCharType="separate"/>
            </w:r>
            <w:r>
              <w:rPr>
                <w:noProof/>
                <w:webHidden/>
              </w:rPr>
              <w:t>71</w:t>
            </w:r>
            <w:r>
              <w:rPr>
                <w:noProof/>
                <w:webHidden/>
              </w:rPr>
              <w:fldChar w:fldCharType="end"/>
            </w:r>
          </w:hyperlink>
        </w:p>
        <w:p w14:paraId="3C5D25F8" w14:textId="4602810D" w:rsidR="00561C2D" w:rsidRDefault="00561C2D">
          <w:pPr>
            <w:pStyle w:val="TOC3"/>
            <w:rPr>
              <w:rFonts w:asciiTheme="minorHAnsi" w:eastAsiaTheme="minorEastAsia" w:hAnsiTheme="minorHAnsi" w:cstheme="minorBidi"/>
              <w:noProof/>
              <w:lang w:eastAsia="en-AU"/>
            </w:rPr>
          </w:pPr>
          <w:hyperlink w:anchor="_Toc44577033" w:history="1">
            <w:r w:rsidRPr="00125BCC">
              <w:rPr>
                <w:rStyle w:val="Hyperlink"/>
                <w:noProof/>
              </w:rPr>
              <w:t>Risk-benefit analysis</w:t>
            </w:r>
            <w:r>
              <w:rPr>
                <w:noProof/>
                <w:webHidden/>
              </w:rPr>
              <w:tab/>
            </w:r>
            <w:r>
              <w:rPr>
                <w:noProof/>
                <w:webHidden/>
              </w:rPr>
              <w:fldChar w:fldCharType="begin"/>
            </w:r>
            <w:r>
              <w:rPr>
                <w:noProof/>
                <w:webHidden/>
              </w:rPr>
              <w:instrText xml:space="preserve"> PAGEREF _Toc44577033 \h </w:instrText>
            </w:r>
            <w:r>
              <w:rPr>
                <w:noProof/>
                <w:webHidden/>
              </w:rPr>
            </w:r>
            <w:r>
              <w:rPr>
                <w:noProof/>
                <w:webHidden/>
              </w:rPr>
              <w:fldChar w:fldCharType="separate"/>
            </w:r>
            <w:r>
              <w:rPr>
                <w:noProof/>
                <w:webHidden/>
              </w:rPr>
              <w:t>72</w:t>
            </w:r>
            <w:r>
              <w:rPr>
                <w:noProof/>
                <w:webHidden/>
              </w:rPr>
              <w:fldChar w:fldCharType="end"/>
            </w:r>
          </w:hyperlink>
        </w:p>
        <w:p w14:paraId="5C868138" w14:textId="4D362824" w:rsidR="00561C2D" w:rsidRDefault="00561C2D">
          <w:pPr>
            <w:pStyle w:val="TOC3"/>
            <w:rPr>
              <w:rFonts w:asciiTheme="minorHAnsi" w:eastAsiaTheme="minorEastAsia" w:hAnsiTheme="minorHAnsi" w:cstheme="minorBidi"/>
              <w:noProof/>
              <w:lang w:eastAsia="en-AU"/>
            </w:rPr>
          </w:pPr>
          <w:hyperlink w:anchor="_Toc44577034" w:history="1">
            <w:r w:rsidRPr="00125BCC">
              <w:rPr>
                <w:rStyle w:val="Hyperlink"/>
                <w:noProof/>
              </w:rPr>
              <w:t>Delegate’s overview for June 2015 ACPM</w:t>
            </w:r>
            <w:r>
              <w:rPr>
                <w:noProof/>
                <w:webHidden/>
              </w:rPr>
              <w:tab/>
            </w:r>
            <w:r>
              <w:rPr>
                <w:noProof/>
                <w:webHidden/>
              </w:rPr>
              <w:fldChar w:fldCharType="begin"/>
            </w:r>
            <w:r>
              <w:rPr>
                <w:noProof/>
                <w:webHidden/>
              </w:rPr>
              <w:instrText xml:space="preserve"> PAGEREF _Toc44577034 \h </w:instrText>
            </w:r>
            <w:r>
              <w:rPr>
                <w:noProof/>
                <w:webHidden/>
              </w:rPr>
            </w:r>
            <w:r>
              <w:rPr>
                <w:noProof/>
                <w:webHidden/>
              </w:rPr>
              <w:fldChar w:fldCharType="separate"/>
            </w:r>
            <w:r>
              <w:rPr>
                <w:noProof/>
                <w:webHidden/>
              </w:rPr>
              <w:t>84</w:t>
            </w:r>
            <w:r>
              <w:rPr>
                <w:noProof/>
                <w:webHidden/>
              </w:rPr>
              <w:fldChar w:fldCharType="end"/>
            </w:r>
          </w:hyperlink>
        </w:p>
        <w:p w14:paraId="2F18314A" w14:textId="0441825F" w:rsidR="00561C2D" w:rsidRDefault="00561C2D">
          <w:pPr>
            <w:pStyle w:val="TOC3"/>
            <w:rPr>
              <w:rFonts w:asciiTheme="minorHAnsi" w:eastAsiaTheme="minorEastAsia" w:hAnsiTheme="minorHAnsi" w:cstheme="minorBidi"/>
              <w:noProof/>
              <w:lang w:eastAsia="en-AU"/>
            </w:rPr>
          </w:pPr>
          <w:hyperlink w:anchor="_Toc44577035" w:history="1">
            <w:r w:rsidRPr="00125BCC">
              <w:rPr>
                <w:rStyle w:val="Hyperlink"/>
                <w:noProof/>
              </w:rPr>
              <w:t>Outcome</w:t>
            </w:r>
            <w:r>
              <w:rPr>
                <w:noProof/>
                <w:webHidden/>
              </w:rPr>
              <w:tab/>
            </w:r>
            <w:r>
              <w:rPr>
                <w:noProof/>
                <w:webHidden/>
              </w:rPr>
              <w:fldChar w:fldCharType="begin"/>
            </w:r>
            <w:r>
              <w:rPr>
                <w:noProof/>
                <w:webHidden/>
              </w:rPr>
              <w:instrText xml:space="preserve"> PAGEREF _Toc44577035 \h </w:instrText>
            </w:r>
            <w:r>
              <w:rPr>
                <w:noProof/>
                <w:webHidden/>
              </w:rPr>
            </w:r>
            <w:r>
              <w:rPr>
                <w:noProof/>
                <w:webHidden/>
              </w:rPr>
              <w:fldChar w:fldCharType="separate"/>
            </w:r>
            <w:r>
              <w:rPr>
                <w:noProof/>
                <w:webHidden/>
              </w:rPr>
              <w:t>90</w:t>
            </w:r>
            <w:r>
              <w:rPr>
                <w:noProof/>
                <w:webHidden/>
              </w:rPr>
              <w:fldChar w:fldCharType="end"/>
            </w:r>
          </w:hyperlink>
        </w:p>
        <w:p w14:paraId="4E27A598" w14:textId="7D4474B2" w:rsidR="00561C2D" w:rsidRDefault="00561C2D">
          <w:pPr>
            <w:pStyle w:val="TOC3"/>
            <w:rPr>
              <w:rFonts w:asciiTheme="minorHAnsi" w:eastAsiaTheme="minorEastAsia" w:hAnsiTheme="minorHAnsi" w:cstheme="minorBidi"/>
              <w:noProof/>
              <w:lang w:eastAsia="en-AU"/>
            </w:rPr>
          </w:pPr>
          <w:hyperlink w:anchor="_Toc44577036" w:history="1">
            <w:r w:rsidRPr="00125BCC">
              <w:rPr>
                <w:rStyle w:val="Hyperlink"/>
                <w:noProof/>
              </w:rPr>
              <w:t>Final outcome</w:t>
            </w:r>
            <w:r>
              <w:rPr>
                <w:noProof/>
                <w:webHidden/>
              </w:rPr>
              <w:tab/>
            </w:r>
            <w:r>
              <w:rPr>
                <w:noProof/>
                <w:webHidden/>
              </w:rPr>
              <w:fldChar w:fldCharType="begin"/>
            </w:r>
            <w:r>
              <w:rPr>
                <w:noProof/>
                <w:webHidden/>
              </w:rPr>
              <w:instrText xml:space="preserve"> PAGEREF _Toc44577036 \h </w:instrText>
            </w:r>
            <w:r>
              <w:rPr>
                <w:noProof/>
                <w:webHidden/>
              </w:rPr>
            </w:r>
            <w:r>
              <w:rPr>
                <w:noProof/>
                <w:webHidden/>
              </w:rPr>
              <w:fldChar w:fldCharType="separate"/>
            </w:r>
            <w:r>
              <w:rPr>
                <w:noProof/>
                <w:webHidden/>
              </w:rPr>
              <w:t>91</w:t>
            </w:r>
            <w:r>
              <w:rPr>
                <w:noProof/>
                <w:webHidden/>
              </w:rPr>
              <w:fldChar w:fldCharType="end"/>
            </w:r>
          </w:hyperlink>
        </w:p>
        <w:p w14:paraId="62089D85" w14:textId="3733D859" w:rsidR="00561C2D" w:rsidRDefault="00561C2D">
          <w:pPr>
            <w:pStyle w:val="TOC2"/>
            <w:rPr>
              <w:rFonts w:asciiTheme="minorHAnsi" w:eastAsiaTheme="minorEastAsia" w:hAnsiTheme="minorHAnsi" w:cstheme="minorBidi"/>
              <w:b w:val="0"/>
              <w:noProof/>
              <w:sz w:val="22"/>
              <w:lang w:eastAsia="en-AU"/>
            </w:rPr>
          </w:pPr>
          <w:hyperlink w:anchor="_Toc44577037" w:history="1">
            <w:r w:rsidRPr="00125BCC">
              <w:rPr>
                <w:rStyle w:val="Hyperlink"/>
                <w:noProof/>
              </w:rPr>
              <w:t>Attachment 1. Product Information</w:t>
            </w:r>
            <w:r>
              <w:rPr>
                <w:noProof/>
                <w:webHidden/>
              </w:rPr>
              <w:tab/>
            </w:r>
            <w:r>
              <w:rPr>
                <w:noProof/>
                <w:webHidden/>
              </w:rPr>
              <w:fldChar w:fldCharType="begin"/>
            </w:r>
            <w:r>
              <w:rPr>
                <w:noProof/>
                <w:webHidden/>
              </w:rPr>
              <w:instrText xml:space="preserve"> PAGEREF _Toc44577037 \h </w:instrText>
            </w:r>
            <w:r>
              <w:rPr>
                <w:noProof/>
                <w:webHidden/>
              </w:rPr>
            </w:r>
            <w:r>
              <w:rPr>
                <w:noProof/>
                <w:webHidden/>
              </w:rPr>
              <w:fldChar w:fldCharType="separate"/>
            </w:r>
            <w:r>
              <w:rPr>
                <w:noProof/>
                <w:webHidden/>
              </w:rPr>
              <w:t>92</w:t>
            </w:r>
            <w:r>
              <w:rPr>
                <w:noProof/>
                <w:webHidden/>
              </w:rPr>
              <w:fldChar w:fldCharType="end"/>
            </w:r>
          </w:hyperlink>
        </w:p>
        <w:p w14:paraId="7F8FE755" w14:textId="341D0198" w:rsidR="00561C2D" w:rsidRDefault="00561C2D">
          <w:pPr>
            <w:pStyle w:val="TOC2"/>
            <w:rPr>
              <w:rFonts w:asciiTheme="minorHAnsi" w:eastAsiaTheme="minorEastAsia" w:hAnsiTheme="minorHAnsi" w:cstheme="minorBidi"/>
              <w:b w:val="0"/>
              <w:noProof/>
              <w:sz w:val="22"/>
              <w:lang w:eastAsia="en-AU"/>
            </w:rPr>
          </w:pPr>
          <w:hyperlink w:anchor="_Toc44577038" w:history="1">
            <w:r w:rsidRPr="00125BCC">
              <w:rPr>
                <w:rStyle w:val="Hyperlink"/>
                <w:noProof/>
              </w:rPr>
              <w:t>Attachment 2. Reports from Clinical Units 1 and 4</w:t>
            </w:r>
            <w:r>
              <w:rPr>
                <w:noProof/>
                <w:webHidden/>
              </w:rPr>
              <w:tab/>
            </w:r>
            <w:r>
              <w:rPr>
                <w:noProof/>
                <w:webHidden/>
              </w:rPr>
              <w:fldChar w:fldCharType="begin"/>
            </w:r>
            <w:r>
              <w:rPr>
                <w:noProof/>
                <w:webHidden/>
              </w:rPr>
              <w:instrText xml:space="preserve"> PAGEREF _Toc44577038 \h </w:instrText>
            </w:r>
            <w:r>
              <w:rPr>
                <w:noProof/>
                <w:webHidden/>
              </w:rPr>
            </w:r>
            <w:r>
              <w:rPr>
                <w:noProof/>
                <w:webHidden/>
              </w:rPr>
              <w:fldChar w:fldCharType="separate"/>
            </w:r>
            <w:r>
              <w:rPr>
                <w:noProof/>
                <w:webHidden/>
              </w:rPr>
              <w:t>92</w:t>
            </w:r>
            <w:r>
              <w:rPr>
                <w:noProof/>
                <w:webHidden/>
              </w:rPr>
              <w:fldChar w:fldCharType="end"/>
            </w:r>
          </w:hyperlink>
        </w:p>
        <w:p w14:paraId="252FA12D" w14:textId="3B0D2BD4" w:rsidR="003A7F6C" w:rsidRPr="00B811C6" w:rsidRDefault="00DB6124" w:rsidP="00B811C6">
          <w:pPr>
            <w:pStyle w:val="TOC2"/>
          </w:pPr>
          <w:r>
            <w:fldChar w:fldCharType="end"/>
          </w:r>
        </w:p>
      </w:sdtContent>
    </w:sdt>
    <w:bookmarkStart w:id="3" w:name="_Toc314842482" w:displacedByCustomXml="prev"/>
    <w:p w14:paraId="2F470A2C" w14:textId="77777777" w:rsidR="00FD119B" w:rsidRDefault="00FD119B">
      <w:pPr>
        <w:spacing w:before="0" w:after="200" w:line="0" w:lineRule="auto"/>
      </w:pPr>
      <w:r>
        <w:br w:type="page"/>
      </w:r>
    </w:p>
    <w:p w14:paraId="535E171F" w14:textId="77777777" w:rsidR="00FD119B" w:rsidRPr="00FD119B" w:rsidRDefault="00441C3F" w:rsidP="004F0C4A">
      <w:pPr>
        <w:pStyle w:val="Heading2"/>
      </w:pPr>
      <w:bookmarkStart w:id="4" w:name="_Toc351716269"/>
      <w:bookmarkStart w:id="5" w:name="_Toc351718881"/>
      <w:bookmarkStart w:id="6" w:name="_Toc355338616"/>
      <w:bookmarkStart w:id="7" w:name="_Toc356306144"/>
      <w:bookmarkStart w:id="8" w:name="_Toc44576995"/>
      <w:r>
        <w:lastRenderedPageBreak/>
        <w:t>Common</w:t>
      </w:r>
      <w:r w:rsidR="00FD119B" w:rsidRPr="00FD119B">
        <w:t xml:space="preserve"> abbreviations</w:t>
      </w:r>
      <w:bookmarkEnd w:id="4"/>
      <w:bookmarkEnd w:id="5"/>
      <w:bookmarkEnd w:id="6"/>
      <w:bookmarkEnd w:id="7"/>
      <w:bookmarkEnd w:id="8"/>
    </w:p>
    <w:tbl>
      <w:tblPr>
        <w:tblStyle w:val="TableTGAblue"/>
        <w:tblW w:w="0" w:type="auto"/>
        <w:tblLook w:val="04A0" w:firstRow="1" w:lastRow="0" w:firstColumn="1" w:lastColumn="0" w:noHBand="0" w:noVBand="1"/>
      </w:tblPr>
      <w:tblGrid>
        <w:gridCol w:w="1764"/>
        <w:gridCol w:w="6720"/>
      </w:tblGrid>
      <w:tr w:rsidR="00FD119B" w:rsidRPr="00FD119B" w14:paraId="42873FA5" w14:textId="77777777" w:rsidTr="00B21763">
        <w:trPr>
          <w:cnfStyle w:val="100000000000" w:firstRow="1" w:lastRow="0" w:firstColumn="0" w:lastColumn="0" w:oddVBand="0" w:evenVBand="0" w:oddHBand="0" w:evenHBand="0" w:firstRowFirstColumn="0" w:firstRowLastColumn="0" w:lastRowFirstColumn="0" w:lastRowLastColumn="0"/>
        </w:trPr>
        <w:tc>
          <w:tcPr>
            <w:tcW w:w="1809" w:type="dxa"/>
          </w:tcPr>
          <w:p w14:paraId="5BA9D1A2" w14:textId="77777777" w:rsidR="00FD119B" w:rsidRPr="00FD119B" w:rsidRDefault="00FD119B" w:rsidP="00FD119B">
            <w:pPr>
              <w:keepNext w:val="0"/>
              <w:ind w:left="0" w:right="0"/>
              <w:rPr>
                <w:szCs w:val="22"/>
                <w:lang w:eastAsia="en-US"/>
              </w:rPr>
            </w:pPr>
            <w:r w:rsidRPr="00FD119B">
              <w:rPr>
                <w:szCs w:val="22"/>
                <w:lang w:eastAsia="en-US"/>
              </w:rPr>
              <w:t>Abbreviation</w:t>
            </w:r>
          </w:p>
        </w:tc>
        <w:tc>
          <w:tcPr>
            <w:tcW w:w="6911" w:type="dxa"/>
          </w:tcPr>
          <w:p w14:paraId="1CDC17BC" w14:textId="77777777" w:rsidR="00FD119B" w:rsidRPr="00FD119B" w:rsidRDefault="00FD119B" w:rsidP="00FD119B">
            <w:pPr>
              <w:keepNext w:val="0"/>
              <w:ind w:left="0" w:right="0"/>
              <w:rPr>
                <w:szCs w:val="22"/>
                <w:lang w:eastAsia="en-US"/>
              </w:rPr>
            </w:pPr>
            <w:r w:rsidRPr="00FD119B">
              <w:rPr>
                <w:szCs w:val="22"/>
                <w:lang w:eastAsia="en-US"/>
              </w:rPr>
              <w:t>Meaning</w:t>
            </w:r>
          </w:p>
        </w:tc>
      </w:tr>
      <w:tr w:rsidR="00B21763" w14:paraId="584E6EA5" w14:textId="77777777" w:rsidTr="00B21763">
        <w:trPr>
          <w:trHeight w:val="267"/>
        </w:trPr>
        <w:tc>
          <w:tcPr>
            <w:tcW w:w="1809" w:type="dxa"/>
            <w:noWrap/>
          </w:tcPr>
          <w:p w14:paraId="59A16732" w14:textId="77777777"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rPr>
                <w:szCs w:val="22"/>
              </w:rPr>
              <w:t>AC</w:t>
            </w:r>
            <w:r>
              <w:t>R</w:t>
            </w:r>
          </w:p>
        </w:tc>
        <w:tc>
          <w:tcPr>
            <w:tcW w:w="6911" w:type="dxa"/>
            <w:noWrap/>
          </w:tcPr>
          <w:p w14:paraId="2000C33B" w14:textId="77777777"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rPr>
                <w:szCs w:val="22"/>
              </w:rPr>
              <w:t>American College of Rheumatology</w:t>
            </w:r>
          </w:p>
        </w:tc>
      </w:tr>
      <w:tr w:rsidR="00B21763" w14:paraId="1BEB6FA0" w14:textId="77777777" w:rsidTr="00B21763">
        <w:trPr>
          <w:trHeight w:val="267"/>
        </w:trPr>
        <w:tc>
          <w:tcPr>
            <w:tcW w:w="1809" w:type="dxa"/>
            <w:noWrap/>
          </w:tcPr>
          <w:p w14:paraId="53F7A355" w14:textId="77777777"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pPr>
            <w:r>
              <w:t>ADA</w:t>
            </w:r>
          </w:p>
        </w:tc>
        <w:tc>
          <w:tcPr>
            <w:tcW w:w="6911" w:type="dxa"/>
            <w:noWrap/>
          </w:tcPr>
          <w:p w14:paraId="5E41C33A" w14:textId="77777777"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pPr>
            <w:r>
              <w:t>Anti-drug antibodies</w:t>
            </w:r>
          </w:p>
        </w:tc>
      </w:tr>
      <w:tr w:rsidR="00B21763" w14:paraId="40DC8242" w14:textId="77777777" w:rsidTr="00B21763">
        <w:trPr>
          <w:trHeight w:val="267"/>
        </w:trPr>
        <w:tc>
          <w:tcPr>
            <w:tcW w:w="1809" w:type="dxa"/>
            <w:noWrap/>
          </w:tcPr>
          <w:p w14:paraId="322601A7" w14:textId="77777777"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pPr>
            <w:r w:rsidRPr="00435A7B">
              <w:t>ADCC</w:t>
            </w:r>
          </w:p>
        </w:tc>
        <w:tc>
          <w:tcPr>
            <w:tcW w:w="6911" w:type="dxa"/>
            <w:noWrap/>
          </w:tcPr>
          <w:p w14:paraId="771A23CE" w14:textId="77777777"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pPr>
            <w:r>
              <w:t xml:space="preserve">Antibody </w:t>
            </w:r>
            <w:r w:rsidRPr="00435A7B">
              <w:t>depen</w:t>
            </w:r>
            <w:r>
              <w:t>dent cell mediated cytotoxicity</w:t>
            </w:r>
          </w:p>
        </w:tc>
      </w:tr>
      <w:tr w:rsidR="00B21763" w14:paraId="1985AE29" w14:textId="77777777" w:rsidTr="00B21763">
        <w:trPr>
          <w:trHeight w:val="267"/>
        </w:trPr>
        <w:tc>
          <w:tcPr>
            <w:tcW w:w="1809" w:type="dxa"/>
            <w:noWrap/>
          </w:tcPr>
          <w:p w14:paraId="667DF185" w14:textId="77777777"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rPr>
                <w:szCs w:val="22"/>
              </w:rPr>
              <w:t>A</w:t>
            </w:r>
            <w:r>
              <w:t>E</w:t>
            </w:r>
          </w:p>
        </w:tc>
        <w:tc>
          <w:tcPr>
            <w:tcW w:w="6911" w:type="dxa"/>
            <w:noWrap/>
          </w:tcPr>
          <w:p w14:paraId="08A76977" w14:textId="0AB47E61"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rPr>
                <w:szCs w:val="22"/>
              </w:rPr>
              <w:t xml:space="preserve">Adverse </w:t>
            </w:r>
            <w:r w:rsidR="0043713A">
              <w:rPr>
                <w:szCs w:val="22"/>
              </w:rPr>
              <w:t>e</w:t>
            </w:r>
            <w:r>
              <w:rPr>
                <w:szCs w:val="22"/>
              </w:rPr>
              <w:t>vent</w:t>
            </w:r>
          </w:p>
        </w:tc>
      </w:tr>
      <w:tr w:rsidR="00B21763" w14:paraId="0177E95B" w14:textId="77777777" w:rsidTr="00B21763">
        <w:trPr>
          <w:trHeight w:val="267"/>
        </w:trPr>
        <w:tc>
          <w:tcPr>
            <w:tcW w:w="1809" w:type="dxa"/>
            <w:noWrap/>
          </w:tcPr>
          <w:p w14:paraId="387709A7" w14:textId="77777777"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pPr>
            <w:r>
              <w:t>ALT</w:t>
            </w:r>
          </w:p>
        </w:tc>
        <w:tc>
          <w:tcPr>
            <w:tcW w:w="6911" w:type="dxa"/>
            <w:noWrap/>
          </w:tcPr>
          <w:p w14:paraId="49BA0C55" w14:textId="77777777"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pPr>
            <w:r>
              <w:t>Alanine aminotransferase</w:t>
            </w:r>
          </w:p>
        </w:tc>
      </w:tr>
      <w:tr w:rsidR="00B21763" w14:paraId="24899B64" w14:textId="77777777" w:rsidTr="00B21763">
        <w:trPr>
          <w:trHeight w:val="267"/>
        </w:trPr>
        <w:tc>
          <w:tcPr>
            <w:tcW w:w="1809" w:type="dxa"/>
            <w:noWrap/>
            <w:hideMark/>
          </w:tcPr>
          <w:p w14:paraId="703FFEAE" w14:textId="77777777"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AS</w:t>
            </w:r>
          </w:p>
        </w:tc>
        <w:tc>
          <w:tcPr>
            <w:tcW w:w="6911" w:type="dxa"/>
            <w:noWrap/>
            <w:hideMark/>
          </w:tcPr>
          <w:p w14:paraId="621A4302" w14:textId="496109AF"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 xml:space="preserve">Ankylosing </w:t>
            </w:r>
            <w:r w:rsidR="0043713A">
              <w:t>s</w:t>
            </w:r>
            <w:r>
              <w:t>pondylitis</w:t>
            </w:r>
          </w:p>
        </w:tc>
      </w:tr>
      <w:tr w:rsidR="00B21763" w14:paraId="621DA822" w14:textId="77777777" w:rsidTr="00B21763">
        <w:trPr>
          <w:trHeight w:val="267"/>
        </w:trPr>
        <w:tc>
          <w:tcPr>
            <w:tcW w:w="1809" w:type="dxa"/>
            <w:noWrap/>
            <w:hideMark/>
          </w:tcPr>
          <w:p w14:paraId="4E1B01E0" w14:textId="77777777"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ASAS</w:t>
            </w:r>
          </w:p>
        </w:tc>
        <w:tc>
          <w:tcPr>
            <w:tcW w:w="6911" w:type="dxa"/>
            <w:noWrap/>
            <w:hideMark/>
          </w:tcPr>
          <w:p w14:paraId="7D23D134" w14:textId="77777777"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 xml:space="preserve">Assessment of </w:t>
            </w:r>
            <w:proofErr w:type="spellStart"/>
            <w:r>
              <w:t>Spondyloarthritis</w:t>
            </w:r>
            <w:proofErr w:type="spellEnd"/>
            <w:r>
              <w:t xml:space="preserve"> International Society</w:t>
            </w:r>
          </w:p>
        </w:tc>
      </w:tr>
      <w:tr w:rsidR="00B21763" w14:paraId="726AACA9" w14:textId="77777777" w:rsidTr="00B21763">
        <w:trPr>
          <w:trHeight w:val="267"/>
        </w:trPr>
        <w:tc>
          <w:tcPr>
            <w:tcW w:w="1809" w:type="dxa"/>
            <w:noWrap/>
          </w:tcPr>
          <w:p w14:paraId="26C7FE17" w14:textId="77777777"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pPr>
            <w:r>
              <w:t>AST</w:t>
            </w:r>
          </w:p>
        </w:tc>
        <w:tc>
          <w:tcPr>
            <w:tcW w:w="6911" w:type="dxa"/>
            <w:noWrap/>
          </w:tcPr>
          <w:p w14:paraId="616B74BF" w14:textId="77777777"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pPr>
            <w:r>
              <w:t>Aspartate aminotransferase</w:t>
            </w:r>
          </w:p>
        </w:tc>
      </w:tr>
      <w:tr w:rsidR="00B21763" w14:paraId="534E2781" w14:textId="77777777" w:rsidTr="00B21763">
        <w:trPr>
          <w:trHeight w:val="267"/>
        </w:trPr>
        <w:tc>
          <w:tcPr>
            <w:tcW w:w="1809" w:type="dxa"/>
            <w:noWrap/>
            <w:hideMark/>
          </w:tcPr>
          <w:p w14:paraId="016EB11B" w14:textId="77777777" w:rsidR="00B21763" w:rsidRPr="00E3765B"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vertAlign w:val="subscript"/>
              </w:rPr>
            </w:pPr>
            <w:proofErr w:type="spellStart"/>
            <w:r w:rsidRPr="00383C89">
              <w:t>AUC</w:t>
            </w:r>
            <w:r w:rsidRPr="00D90DBD">
              <w:rPr>
                <w:vertAlign w:val="subscript"/>
              </w:rPr>
              <w:t>τ</w:t>
            </w:r>
            <w:proofErr w:type="spellEnd"/>
            <w:r>
              <w:rPr>
                <w:vertAlign w:val="subscript"/>
              </w:rPr>
              <w:t xml:space="preserve"> </w:t>
            </w:r>
          </w:p>
        </w:tc>
        <w:tc>
          <w:tcPr>
            <w:tcW w:w="6911" w:type="dxa"/>
            <w:noWrap/>
            <w:hideMark/>
          </w:tcPr>
          <w:p w14:paraId="0E8D06E5" w14:textId="21FB2C24"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rPr>
                <w:rFonts w:eastAsia="MS Minngs"/>
              </w:rPr>
              <w:t xml:space="preserve">Area </w:t>
            </w:r>
            <w:r w:rsidR="0043713A">
              <w:rPr>
                <w:rFonts w:eastAsia="MS Minngs"/>
              </w:rPr>
              <w:t>under</w:t>
            </w:r>
            <w:r w:rsidR="0043713A">
              <w:rPr>
                <w:rFonts w:cs="Arial"/>
                <w:color w:val="343434"/>
                <w:szCs w:val="22"/>
                <w:lang w:val="en-US"/>
              </w:rPr>
              <w:t xml:space="preserve"> concentration time </w:t>
            </w:r>
            <w:r>
              <w:rPr>
                <w:rFonts w:cs="Arial"/>
                <w:color w:val="343434"/>
                <w:szCs w:val="22"/>
                <w:lang w:val="en-US"/>
              </w:rPr>
              <w:t>curve over the dosing interval</w:t>
            </w:r>
          </w:p>
        </w:tc>
      </w:tr>
      <w:tr w:rsidR="00B21763" w14:paraId="090A10E2" w14:textId="77777777" w:rsidTr="00B21763">
        <w:trPr>
          <w:trHeight w:val="267"/>
        </w:trPr>
        <w:tc>
          <w:tcPr>
            <w:tcW w:w="1809" w:type="dxa"/>
            <w:noWrap/>
          </w:tcPr>
          <w:p w14:paraId="784E5A90" w14:textId="77777777" w:rsidR="00B21763" w:rsidRPr="00383C89"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pPr>
            <w:r w:rsidRPr="00E3765B">
              <w:t>AUC</w:t>
            </w:r>
            <w:r w:rsidRPr="00E3765B">
              <w:rPr>
                <w:vertAlign w:val="subscript"/>
              </w:rPr>
              <w:t>0-∞</w:t>
            </w:r>
          </w:p>
        </w:tc>
        <w:tc>
          <w:tcPr>
            <w:tcW w:w="6911" w:type="dxa"/>
            <w:noWrap/>
          </w:tcPr>
          <w:p w14:paraId="70F52E9C" w14:textId="2ABD4C20" w:rsidR="00B21763" w:rsidRDefault="0043713A"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eastAsia="MS Minngs"/>
              </w:rPr>
            </w:pPr>
            <w:r>
              <w:rPr>
                <w:rFonts w:eastAsia="MS Minngs"/>
              </w:rPr>
              <w:t>A</w:t>
            </w:r>
            <w:r w:rsidRPr="00E3765B">
              <w:rPr>
                <w:rFonts w:eastAsia="MS Minngs"/>
              </w:rPr>
              <w:t>rea under</w:t>
            </w:r>
            <w:r>
              <w:rPr>
                <w:rFonts w:eastAsia="MS Minngs"/>
                <w:lang w:val="en-US"/>
              </w:rPr>
              <w:t xml:space="preserve"> concentration </w:t>
            </w:r>
            <w:r w:rsidRPr="00E3765B">
              <w:rPr>
                <w:rFonts w:eastAsia="MS Minngs"/>
                <w:lang w:val="en-US"/>
              </w:rPr>
              <w:t>time curve</w:t>
            </w:r>
            <w:r>
              <w:rPr>
                <w:rFonts w:eastAsia="MS Minngs"/>
                <w:lang w:val="en-US"/>
              </w:rPr>
              <w:t xml:space="preserve"> from time zero to infinity</w:t>
            </w:r>
          </w:p>
        </w:tc>
      </w:tr>
      <w:tr w:rsidR="00B21763" w14:paraId="264C07A5" w14:textId="77777777" w:rsidTr="00B21763">
        <w:trPr>
          <w:trHeight w:val="267"/>
        </w:trPr>
        <w:tc>
          <w:tcPr>
            <w:tcW w:w="1809" w:type="dxa"/>
            <w:noWrap/>
            <w:hideMark/>
          </w:tcPr>
          <w:p w14:paraId="62366B77" w14:textId="77777777"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rPr>
                <w:szCs w:val="22"/>
              </w:rPr>
              <w:t>BASDAI</w:t>
            </w:r>
          </w:p>
        </w:tc>
        <w:tc>
          <w:tcPr>
            <w:tcW w:w="6911" w:type="dxa"/>
            <w:noWrap/>
            <w:hideMark/>
          </w:tcPr>
          <w:p w14:paraId="5CC5AB5D" w14:textId="77777777"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rPr>
                <w:szCs w:val="22"/>
              </w:rPr>
              <w:t>Bath Ankylosing Spondylitis Disease Activity Index</w:t>
            </w:r>
          </w:p>
        </w:tc>
      </w:tr>
      <w:tr w:rsidR="00B21763" w14:paraId="74AF7AAB" w14:textId="77777777" w:rsidTr="00B21763">
        <w:trPr>
          <w:trHeight w:val="267"/>
        </w:trPr>
        <w:tc>
          <w:tcPr>
            <w:tcW w:w="1809" w:type="dxa"/>
            <w:noWrap/>
            <w:hideMark/>
          </w:tcPr>
          <w:p w14:paraId="4DCE1E41" w14:textId="77777777"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BASFI</w:t>
            </w:r>
          </w:p>
        </w:tc>
        <w:tc>
          <w:tcPr>
            <w:tcW w:w="6911" w:type="dxa"/>
            <w:noWrap/>
            <w:hideMark/>
          </w:tcPr>
          <w:p w14:paraId="776B913B" w14:textId="77777777"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rPr>
                <w:szCs w:val="22"/>
              </w:rPr>
              <w:t>Bath Ankylosing Spondylitis Functional Index</w:t>
            </w:r>
          </w:p>
        </w:tc>
      </w:tr>
      <w:tr w:rsidR="00B21763" w14:paraId="597D3377" w14:textId="77777777" w:rsidTr="00B21763">
        <w:trPr>
          <w:trHeight w:val="267"/>
        </w:trPr>
        <w:tc>
          <w:tcPr>
            <w:tcW w:w="1809" w:type="dxa"/>
            <w:noWrap/>
            <w:hideMark/>
          </w:tcPr>
          <w:p w14:paraId="0B01E43E" w14:textId="77777777"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BASMI</w:t>
            </w:r>
          </w:p>
        </w:tc>
        <w:tc>
          <w:tcPr>
            <w:tcW w:w="6911" w:type="dxa"/>
            <w:noWrap/>
            <w:hideMark/>
          </w:tcPr>
          <w:p w14:paraId="629DC436" w14:textId="77777777"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rPr>
                <w:szCs w:val="22"/>
              </w:rPr>
              <w:t>Bath Ankylosing Spondylitis Metrology Index</w:t>
            </w:r>
          </w:p>
        </w:tc>
      </w:tr>
      <w:tr w:rsidR="00B21763" w14:paraId="1F0FF4CE" w14:textId="77777777" w:rsidTr="00B21763">
        <w:trPr>
          <w:trHeight w:val="267"/>
        </w:trPr>
        <w:tc>
          <w:tcPr>
            <w:tcW w:w="1809" w:type="dxa"/>
            <w:noWrap/>
            <w:hideMark/>
          </w:tcPr>
          <w:p w14:paraId="332C52FE" w14:textId="77777777"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BMI</w:t>
            </w:r>
          </w:p>
        </w:tc>
        <w:tc>
          <w:tcPr>
            <w:tcW w:w="6911" w:type="dxa"/>
            <w:noWrap/>
            <w:hideMark/>
          </w:tcPr>
          <w:p w14:paraId="4678B04B" w14:textId="12BF6409"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 xml:space="preserve">Body </w:t>
            </w:r>
            <w:r w:rsidR="0043713A">
              <w:t>m</w:t>
            </w:r>
            <w:r>
              <w:t xml:space="preserve">ass </w:t>
            </w:r>
            <w:r w:rsidR="0043713A">
              <w:t>i</w:t>
            </w:r>
            <w:r>
              <w:t>ndex</w:t>
            </w:r>
          </w:p>
        </w:tc>
      </w:tr>
      <w:tr w:rsidR="00B21763" w14:paraId="316C1D8E" w14:textId="77777777" w:rsidTr="00B21763">
        <w:trPr>
          <w:trHeight w:val="267"/>
        </w:trPr>
        <w:tc>
          <w:tcPr>
            <w:tcW w:w="1809" w:type="dxa"/>
            <w:noWrap/>
            <w:hideMark/>
          </w:tcPr>
          <w:p w14:paraId="422F4838" w14:textId="77777777"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CCP</w:t>
            </w:r>
          </w:p>
        </w:tc>
        <w:tc>
          <w:tcPr>
            <w:tcW w:w="6911" w:type="dxa"/>
            <w:noWrap/>
            <w:hideMark/>
          </w:tcPr>
          <w:p w14:paraId="2AF26DD4" w14:textId="26B22AB9"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 xml:space="preserve">Cyclic </w:t>
            </w:r>
            <w:proofErr w:type="spellStart"/>
            <w:r w:rsidR="0043713A">
              <w:t>c</w:t>
            </w:r>
            <w:r>
              <w:t>itrullinated</w:t>
            </w:r>
            <w:proofErr w:type="spellEnd"/>
            <w:r>
              <w:t xml:space="preserve"> </w:t>
            </w:r>
            <w:r w:rsidR="0043713A">
              <w:t>p</w:t>
            </w:r>
            <w:r>
              <w:t>eptide</w:t>
            </w:r>
          </w:p>
        </w:tc>
      </w:tr>
      <w:tr w:rsidR="00B21763" w14:paraId="20CC73B5" w14:textId="77777777" w:rsidTr="00B21763">
        <w:trPr>
          <w:trHeight w:val="267"/>
        </w:trPr>
        <w:tc>
          <w:tcPr>
            <w:tcW w:w="1809" w:type="dxa"/>
            <w:noWrap/>
            <w:hideMark/>
          </w:tcPr>
          <w:p w14:paraId="1BB6ABA0" w14:textId="77777777"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CDAI</w:t>
            </w:r>
          </w:p>
        </w:tc>
        <w:tc>
          <w:tcPr>
            <w:tcW w:w="6911" w:type="dxa"/>
            <w:noWrap/>
            <w:hideMark/>
          </w:tcPr>
          <w:p w14:paraId="49E2E733" w14:textId="77777777"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Clinical Disease Activity Index</w:t>
            </w:r>
          </w:p>
        </w:tc>
      </w:tr>
      <w:tr w:rsidR="00B21763" w14:paraId="3419F66B" w14:textId="77777777" w:rsidTr="00B21763">
        <w:trPr>
          <w:trHeight w:val="267"/>
        </w:trPr>
        <w:tc>
          <w:tcPr>
            <w:tcW w:w="1809" w:type="dxa"/>
            <w:noWrap/>
            <w:hideMark/>
          </w:tcPr>
          <w:p w14:paraId="5E7FBAF9" w14:textId="77777777"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CD</w:t>
            </w:r>
          </w:p>
        </w:tc>
        <w:tc>
          <w:tcPr>
            <w:tcW w:w="6911" w:type="dxa"/>
            <w:noWrap/>
            <w:hideMark/>
          </w:tcPr>
          <w:p w14:paraId="6534C297" w14:textId="1C1DCA7C"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 xml:space="preserve">Crohn’s </w:t>
            </w:r>
            <w:r w:rsidR="0043713A">
              <w:t>d</w:t>
            </w:r>
            <w:r>
              <w:t>isease</w:t>
            </w:r>
          </w:p>
        </w:tc>
      </w:tr>
      <w:tr w:rsidR="00B21763" w14:paraId="746B47BD" w14:textId="77777777" w:rsidTr="00B21763">
        <w:trPr>
          <w:trHeight w:val="267"/>
        </w:trPr>
        <w:tc>
          <w:tcPr>
            <w:tcW w:w="1809" w:type="dxa"/>
            <w:noWrap/>
            <w:hideMark/>
          </w:tcPr>
          <w:p w14:paraId="630F3F5C" w14:textId="77777777"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rPr>
                <w:szCs w:val="22"/>
              </w:rPr>
              <w:t>CI</w:t>
            </w:r>
          </w:p>
        </w:tc>
        <w:tc>
          <w:tcPr>
            <w:tcW w:w="6911" w:type="dxa"/>
            <w:noWrap/>
            <w:hideMark/>
          </w:tcPr>
          <w:p w14:paraId="5AFE9A1E" w14:textId="77777777"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rPr>
                <w:szCs w:val="22"/>
              </w:rPr>
              <w:t>Confidence interval</w:t>
            </w:r>
          </w:p>
        </w:tc>
      </w:tr>
      <w:tr w:rsidR="00B21763" w14:paraId="608990EC" w14:textId="77777777" w:rsidTr="00B21763">
        <w:trPr>
          <w:trHeight w:val="267"/>
        </w:trPr>
        <w:tc>
          <w:tcPr>
            <w:tcW w:w="1809" w:type="dxa"/>
            <w:noWrap/>
          </w:tcPr>
          <w:p w14:paraId="52AC0B81" w14:textId="77777777" w:rsidR="00B21763" w:rsidRDefault="00B21763" w:rsidP="00B21763">
            <w:proofErr w:type="spellStart"/>
            <w:r w:rsidRPr="00BF5935">
              <w:t>CL</w:t>
            </w:r>
            <w:r w:rsidRPr="00BF5935">
              <w:rPr>
                <w:vertAlign w:val="subscript"/>
              </w:rPr>
              <w:t>ss</w:t>
            </w:r>
            <w:proofErr w:type="spellEnd"/>
          </w:p>
        </w:tc>
        <w:tc>
          <w:tcPr>
            <w:tcW w:w="6911" w:type="dxa"/>
            <w:noWrap/>
          </w:tcPr>
          <w:p w14:paraId="2D4238CB" w14:textId="77777777" w:rsidR="00B21763" w:rsidRDefault="00B21763" w:rsidP="00B21763">
            <w:r>
              <w:t>Clearance at steady state</w:t>
            </w:r>
          </w:p>
        </w:tc>
      </w:tr>
      <w:tr w:rsidR="00B21763" w14:paraId="793B8D42" w14:textId="77777777" w:rsidTr="00B21763">
        <w:trPr>
          <w:trHeight w:val="267"/>
        </w:trPr>
        <w:tc>
          <w:tcPr>
            <w:tcW w:w="1809" w:type="dxa"/>
            <w:noWrap/>
          </w:tcPr>
          <w:p w14:paraId="18898B06" w14:textId="77777777" w:rsidR="00B21763" w:rsidRDefault="00B21763" w:rsidP="00B21763">
            <w:proofErr w:type="spellStart"/>
            <w:r w:rsidRPr="004F659A">
              <w:t>C</w:t>
            </w:r>
            <w:r w:rsidRPr="004F659A">
              <w:rPr>
                <w:vertAlign w:val="subscript"/>
              </w:rPr>
              <w:t>av,ss</w:t>
            </w:r>
            <w:proofErr w:type="spellEnd"/>
          </w:p>
        </w:tc>
        <w:tc>
          <w:tcPr>
            <w:tcW w:w="6911" w:type="dxa"/>
            <w:noWrap/>
          </w:tcPr>
          <w:p w14:paraId="6FA71E1F" w14:textId="77777777" w:rsidR="00B21763" w:rsidRDefault="00B21763" w:rsidP="00B21763">
            <w:r>
              <w:t>Average serum concentration at steady state</w:t>
            </w:r>
          </w:p>
        </w:tc>
      </w:tr>
      <w:tr w:rsidR="00B21763" w14:paraId="7DD1BBA0" w14:textId="77777777" w:rsidTr="00B21763">
        <w:trPr>
          <w:trHeight w:val="267"/>
        </w:trPr>
        <w:tc>
          <w:tcPr>
            <w:tcW w:w="1809" w:type="dxa"/>
            <w:noWrap/>
            <w:hideMark/>
          </w:tcPr>
          <w:p w14:paraId="7CA722DF" w14:textId="77777777"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proofErr w:type="spellStart"/>
            <w:r>
              <w:rPr>
                <w:rFonts w:eastAsia="MS Minngs"/>
              </w:rPr>
              <w:t>C</w:t>
            </w:r>
            <w:r>
              <w:rPr>
                <w:rFonts w:eastAsia="MS Minngs"/>
                <w:vertAlign w:val="subscript"/>
              </w:rPr>
              <w:t>max,ss</w:t>
            </w:r>
            <w:proofErr w:type="spellEnd"/>
          </w:p>
        </w:tc>
        <w:tc>
          <w:tcPr>
            <w:tcW w:w="6911" w:type="dxa"/>
            <w:noWrap/>
            <w:hideMark/>
          </w:tcPr>
          <w:p w14:paraId="32F1B5A1" w14:textId="77777777"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rPr>
                <w:rFonts w:eastAsia="MS Minngs"/>
              </w:rPr>
              <w:t>Maximum serum concentration at steady state</w:t>
            </w:r>
          </w:p>
        </w:tc>
      </w:tr>
      <w:tr w:rsidR="00B21763" w14:paraId="091284DF" w14:textId="77777777" w:rsidTr="00B21763">
        <w:trPr>
          <w:trHeight w:val="267"/>
        </w:trPr>
        <w:tc>
          <w:tcPr>
            <w:tcW w:w="1809" w:type="dxa"/>
            <w:noWrap/>
          </w:tcPr>
          <w:p w14:paraId="7217D6AB" w14:textId="77777777"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eastAsia="MS Minngs"/>
              </w:rPr>
            </w:pPr>
            <w:proofErr w:type="spellStart"/>
            <w:r w:rsidRPr="00925CE2">
              <w:rPr>
                <w:rFonts w:eastAsia="MS Minngs"/>
              </w:rPr>
              <w:t>C</w:t>
            </w:r>
            <w:r w:rsidRPr="00925CE2">
              <w:rPr>
                <w:rFonts w:eastAsia="MS Minngs"/>
                <w:vertAlign w:val="subscript"/>
              </w:rPr>
              <w:t>min,ss</w:t>
            </w:r>
            <w:proofErr w:type="spellEnd"/>
          </w:p>
        </w:tc>
        <w:tc>
          <w:tcPr>
            <w:tcW w:w="6911" w:type="dxa"/>
            <w:noWrap/>
          </w:tcPr>
          <w:p w14:paraId="17934D8B" w14:textId="77777777"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eastAsia="MS Minngs"/>
              </w:rPr>
            </w:pPr>
            <w:r>
              <w:rPr>
                <w:rFonts w:eastAsia="MS Minngs"/>
              </w:rPr>
              <w:t>Trough plasma level at steady state</w:t>
            </w:r>
          </w:p>
        </w:tc>
      </w:tr>
      <w:tr w:rsidR="00B21763" w14:paraId="1D079302" w14:textId="77777777" w:rsidTr="00B21763">
        <w:trPr>
          <w:trHeight w:val="267"/>
        </w:trPr>
        <w:tc>
          <w:tcPr>
            <w:tcW w:w="1809" w:type="dxa"/>
            <w:noWrap/>
            <w:hideMark/>
          </w:tcPr>
          <w:p w14:paraId="26801B68" w14:textId="77777777"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proofErr w:type="spellStart"/>
            <w:r>
              <w:t>CrCL</w:t>
            </w:r>
            <w:proofErr w:type="spellEnd"/>
          </w:p>
        </w:tc>
        <w:tc>
          <w:tcPr>
            <w:tcW w:w="6911" w:type="dxa"/>
            <w:noWrap/>
            <w:hideMark/>
          </w:tcPr>
          <w:p w14:paraId="1BA827B2" w14:textId="3DEDB144"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 xml:space="preserve">Creatinine </w:t>
            </w:r>
            <w:r w:rsidR="0043713A">
              <w:t>c</w:t>
            </w:r>
            <w:r>
              <w:t>learance</w:t>
            </w:r>
          </w:p>
        </w:tc>
      </w:tr>
      <w:tr w:rsidR="00B21763" w14:paraId="04FFF899" w14:textId="77777777" w:rsidTr="00B21763">
        <w:trPr>
          <w:trHeight w:val="267"/>
        </w:trPr>
        <w:tc>
          <w:tcPr>
            <w:tcW w:w="1809" w:type="dxa"/>
            <w:noWrap/>
            <w:hideMark/>
          </w:tcPr>
          <w:p w14:paraId="469F882C" w14:textId="77777777"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rPr>
                <w:szCs w:val="22"/>
              </w:rPr>
              <w:t>CRP</w:t>
            </w:r>
          </w:p>
        </w:tc>
        <w:tc>
          <w:tcPr>
            <w:tcW w:w="6911" w:type="dxa"/>
            <w:noWrap/>
            <w:hideMark/>
          </w:tcPr>
          <w:p w14:paraId="7137CEA8" w14:textId="090F9840"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rPr>
                <w:szCs w:val="22"/>
              </w:rPr>
              <w:t>C-</w:t>
            </w:r>
            <w:r w:rsidR="0043713A">
              <w:rPr>
                <w:szCs w:val="22"/>
              </w:rPr>
              <w:t>r</w:t>
            </w:r>
            <w:r>
              <w:rPr>
                <w:szCs w:val="22"/>
              </w:rPr>
              <w:t xml:space="preserve">eactive </w:t>
            </w:r>
            <w:r w:rsidR="0043713A">
              <w:rPr>
                <w:szCs w:val="22"/>
              </w:rPr>
              <w:t>p</w:t>
            </w:r>
            <w:r>
              <w:rPr>
                <w:szCs w:val="22"/>
              </w:rPr>
              <w:t>rotein</w:t>
            </w:r>
          </w:p>
        </w:tc>
      </w:tr>
      <w:tr w:rsidR="00B21763" w14:paraId="061A18E0" w14:textId="77777777" w:rsidTr="00B21763">
        <w:trPr>
          <w:trHeight w:val="267"/>
        </w:trPr>
        <w:tc>
          <w:tcPr>
            <w:tcW w:w="1809" w:type="dxa"/>
            <w:noWrap/>
            <w:hideMark/>
          </w:tcPr>
          <w:p w14:paraId="6AF0B8E8" w14:textId="77777777"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rPr>
                <w:szCs w:val="22"/>
              </w:rPr>
              <w:t>CS</w:t>
            </w:r>
          </w:p>
        </w:tc>
        <w:tc>
          <w:tcPr>
            <w:tcW w:w="6911" w:type="dxa"/>
            <w:noWrap/>
            <w:hideMark/>
          </w:tcPr>
          <w:p w14:paraId="2FF28662" w14:textId="77777777"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rPr>
                <w:szCs w:val="22"/>
              </w:rPr>
              <w:t>Corticosteroids</w:t>
            </w:r>
          </w:p>
        </w:tc>
      </w:tr>
      <w:tr w:rsidR="00B21763" w14:paraId="2C83C614" w14:textId="77777777" w:rsidTr="00B21763">
        <w:trPr>
          <w:trHeight w:val="267"/>
        </w:trPr>
        <w:tc>
          <w:tcPr>
            <w:tcW w:w="1809" w:type="dxa"/>
            <w:noWrap/>
            <w:hideMark/>
          </w:tcPr>
          <w:p w14:paraId="3238F07D" w14:textId="77777777"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lastRenderedPageBreak/>
              <w:t>CTCAE</w:t>
            </w:r>
          </w:p>
        </w:tc>
        <w:tc>
          <w:tcPr>
            <w:tcW w:w="6911" w:type="dxa"/>
            <w:noWrap/>
            <w:hideMark/>
          </w:tcPr>
          <w:p w14:paraId="4D6EBE35" w14:textId="77777777"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Common Terminology Criteria for Adverse Events</w:t>
            </w:r>
          </w:p>
        </w:tc>
      </w:tr>
      <w:tr w:rsidR="00B21763" w14:paraId="42110343" w14:textId="77777777" w:rsidTr="00B21763">
        <w:trPr>
          <w:trHeight w:val="267"/>
        </w:trPr>
        <w:tc>
          <w:tcPr>
            <w:tcW w:w="1809" w:type="dxa"/>
            <w:noWrap/>
          </w:tcPr>
          <w:p w14:paraId="5652CA67" w14:textId="77777777"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pPr>
            <w:r w:rsidRPr="007F73CE">
              <w:t>CT-P13</w:t>
            </w:r>
          </w:p>
        </w:tc>
        <w:tc>
          <w:tcPr>
            <w:tcW w:w="6911" w:type="dxa"/>
            <w:noWrap/>
          </w:tcPr>
          <w:p w14:paraId="412BA2CA" w14:textId="77777777"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pPr>
            <w:r>
              <w:t>Biosimilar infliximab (rch) (</w:t>
            </w:r>
            <w:r w:rsidR="00EF0890">
              <w:t>Inflectra</w:t>
            </w:r>
            <w:r>
              <w:t>)</w:t>
            </w:r>
          </w:p>
        </w:tc>
      </w:tr>
      <w:tr w:rsidR="00B21763" w14:paraId="33239CE3" w14:textId="77777777" w:rsidTr="00B21763">
        <w:trPr>
          <w:trHeight w:val="267"/>
        </w:trPr>
        <w:tc>
          <w:tcPr>
            <w:tcW w:w="1809" w:type="dxa"/>
            <w:noWrap/>
            <w:hideMark/>
          </w:tcPr>
          <w:p w14:paraId="21B7000D" w14:textId="77777777"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rPr>
                <w:szCs w:val="22"/>
              </w:rPr>
              <w:t>CV</w:t>
            </w:r>
          </w:p>
        </w:tc>
        <w:tc>
          <w:tcPr>
            <w:tcW w:w="6911" w:type="dxa"/>
            <w:noWrap/>
            <w:hideMark/>
          </w:tcPr>
          <w:p w14:paraId="0489BCFB" w14:textId="36507278"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rPr>
                <w:szCs w:val="22"/>
              </w:rPr>
              <w:t xml:space="preserve">Coefficient of </w:t>
            </w:r>
            <w:r w:rsidR="0043713A">
              <w:rPr>
                <w:szCs w:val="22"/>
              </w:rPr>
              <w:t>v</w:t>
            </w:r>
            <w:r>
              <w:rPr>
                <w:szCs w:val="22"/>
              </w:rPr>
              <w:t>ariation</w:t>
            </w:r>
          </w:p>
        </w:tc>
      </w:tr>
      <w:tr w:rsidR="00B21763" w14:paraId="3D734382" w14:textId="77777777" w:rsidTr="00B21763">
        <w:trPr>
          <w:trHeight w:val="267"/>
        </w:trPr>
        <w:tc>
          <w:tcPr>
            <w:tcW w:w="1809" w:type="dxa"/>
            <w:noWrap/>
            <w:hideMark/>
          </w:tcPr>
          <w:p w14:paraId="784670AD" w14:textId="77777777"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DAS</w:t>
            </w:r>
          </w:p>
        </w:tc>
        <w:tc>
          <w:tcPr>
            <w:tcW w:w="6911" w:type="dxa"/>
            <w:noWrap/>
            <w:hideMark/>
          </w:tcPr>
          <w:p w14:paraId="415D903D" w14:textId="77777777"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Disease Activity Score</w:t>
            </w:r>
          </w:p>
        </w:tc>
      </w:tr>
      <w:tr w:rsidR="00B21763" w14:paraId="1AA1E537" w14:textId="77777777" w:rsidTr="00B21763">
        <w:trPr>
          <w:trHeight w:val="267"/>
        </w:trPr>
        <w:tc>
          <w:tcPr>
            <w:tcW w:w="1809" w:type="dxa"/>
            <w:noWrap/>
          </w:tcPr>
          <w:p w14:paraId="09F1B9C8" w14:textId="77777777"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pPr>
            <w:r w:rsidRPr="00C15EE6">
              <w:t>DHPL</w:t>
            </w:r>
          </w:p>
        </w:tc>
        <w:tc>
          <w:tcPr>
            <w:tcW w:w="6911" w:type="dxa"/>
            <w:noWrap/>
          </w:tcPr>
          <w:p w14:paraId="1970E22F" w14:textId="77777777"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pPr>
            <w:r w:rsidRPr="00C15EE6">
              <w:t>Dear</w:t>
            </w:r>
            <w:r>
              <w:t xml:space="preserve"> Healthcare Professional Letter</w:t>
            </w:r>
          </w:p>
        </w:tc>
      </w:tr>
      <w:tr w:rsidR="00B21763" w14:paraId="121C90A0" w14:textId="77777777" w:rsidTr="00B21763">
        <w:trPr>
          <w:trHeight w:val="267"/>
        </w:trPr>
        <w:tc>
          <w:tcPr>
            <w:tcW w:w="1809" w:type="dxa"/>
            <w:noWrap/>
            <w:hideMark/>
          </w:tcPr>
          <w:p w14:paraId="4FE3350A" w14:textId="77777777"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rPr>
                <w:szCs w:val="22"/>
              </w:rPr>
              <w:t>DMARD</w:t>
            </w:r>
          </w:p>
        </w:tc>
        <w:tc>
          <w:tcPr>
            <w:tcW w:w="6911" w:type="dxa"/>
            <w:noWrap/>
            <w:hideMark/>
          </w:tcPr>
          <w:p w14:paraId="5A76941A" w14:textId="668DB300"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rsidRPr="0033775E">
              <w:rPr>
                <w:szCs w:val="22"/>
              </w:rPr>
              <w:t xml:space="preserve">Disease </w:t>
            </w:r>
            <w:r w:rsidR="0043713A" w:rsidRPr="0033775E">
              <w:rPr>
                <w:szCs w:val="22"/>
              </w:rPr>
              <w:t>modifying anti-rheumatic drug</w:t>
            </w:r>
          </w:p>
        </w:tc>
      </w:tr>
      <w:tr w:rsidR="00B21763" w14:paraId="63879831" w14:textId="77777777" w:rsidTr="00B21763">
        <w:trPr>
          <w:trHeight w:val="267"/>
        </w:trPr>
        <w:tc>
          <w:tcPr>
            <w:tcW w:w="1809" w:type="dxa"/>
            <w:noWrap/>
          </w:tcPr>
          <w:p w14:paraId="6CE5022B" w14:textId="77777777"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pPr>
            <w:proofErr w:type="spellStart"/>
            <w:r w:rsidRPr="00E43BA2">
              <w:t>eCRF</w:t>
            </w:r>
            <w:proofErr w:type="spellEnd"/>
          </w:p>
        </w:tc>
        <w:tc>
          <w:tcPr>
            <w:tcW w:w="6911" w:type="dxa"/>
            <w:noWrap/>
          </w:tcPr>
          <w:p w14:paraId="289126BB" w14:textId="1CA4C0A4" w:rsidR="00B21763" w:rsidRPr="0033775E" w:rsidRDefault="0043713A"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pPr>
            <w:r>
              <w:t>E</w:t>
            </w:r>
            <w:r w:rsidR="00B21763" w:rsidRPr="00E43BA2">
              <w:t xml:space="preserve">lectronic </w:t>
            </w:r>
            <w:r w:rsidR="006A4296">
              <w:t>C</w:t>
            </w:r>
            <w:r w:rsidR="00B21763" w:rsidRPr="00E43BA2">
              <w:t>ase report form</w:t>
            </w:r>
          </w:p>
        </w:tc>
      </w:tr>
      <w:tr w:rsidR="00B21763" w14:paraId="13EE1613" w14:textId="77777777" w:rsidTr="00B21763">
        <w:trPr>
          <w:trHeight w:val="267"/>
        </w:trPr>
        <w:tc>
          <w:tcPr>
            <w:tcW w:w="1809" w:type="dxa"/>
            <w:noWrap/>
          </w:tcPr>
          <w:p w14:paraId="63E67BD8" w14:textId="77777777"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pPr>
            <w:r w:rsidRPr="00BD4758">
              <w:t>ELISA</w:t>
            </w:r>
          </w:p>
        </w:tc>
        <w:tc>
          <w:tcPr>
            <w:tcW w:w="6911" w:type="dxa"/>
            <w:noWrap/>
          </w:tcPr>
          <w:p w14:paraId="1C2A0AD4" w14:textId="777F1D3B" w:rsidR="00B21763" w:rsidRPr="0033775E" w:rsidRDefault="006A4296"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pPr>
            <w:r>
              <w:t>E</w:t>
            </w:r>
            <w:r w:rsidR="00B21763" w:rsidRPr="00BD4758">
              <w:t>nzyme-linked immunosorbent assay</w:t>
            </w:r>
          </w:p>
        </w:tc>
      </w:tr>
      <w:tr w:rsidR="0043713A" w14:paraId="18129353" w14:textId="77777777" w:rsidTr="00B21763">
        <w:trPr>
          <w:trHeight w:val="267"/>
        </w:trPr>
        <w:tc>
          <w:tcPr>
            <w:tcW w:w="1809" w:type="dxa"/>
            <w:noWrap/>
          </w:tcPr>
          <w:p w14:paraId="1F2B2289" w14:textId="2A0E8D33" w:rsidR="0043713A" w:rsidRPr="00BD4758" w:rsidRDefault="0043713A"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pPr>
            <w:r>
              <w:t>EMA</w:t>
            </w:r>
          </w:p>
        </w:tc>
        <w:tc>
          <w:tcPr>
            <w:tcW w:w="6911" w:type="dxa"/>
            <w:noWrap/>
          </w:tcPr>
          <w:p w14:paraId="54D8B131" w14:textId="3AA6EDF2" w:rsidR="0043713A" w:rsidRDefault="0043713A"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pPr>
            <w:r>
              <w:t>European Medicine Agency (EU)</w:t>
            </w:r>
          </w:p>
        </w:tc>
      </w:tr>
      <w:tr w:rsidR="00B21763" w14:paraId="39C9B419" w14:textId="77777777" w:rsidTr="00B21763">
        <w:trPr>
          <w:trHeight w:val="267"/>
        </w:trPr>
        <w:tc>
          <w:tcPr>
            <w:tcW w:w="1809" w:type="dxa"/>
            <w:noWrap/>
            <w:hideMark/>
          </w:tcPr>
          <w:p w14:paraId="2FD18D14" w14:textId="77777777"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EOS</w:t>
            </w:r>
          </w:p>
        </w:tc>
        <w:tc>
          <w:tcPr>
            <w:tcW w:w="6911" w:type="dxa"/>
            <w:noWrap/>
            <w:hideMark/>
          </w:tcPr>
          <w:p w14:paraId="151DF842" w14:textId="62914F7A"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End-of-</w:t>
            </w:r>
            <w:r w:rsidR="0043713A">
              <w:t>s</w:t>
            </w:r>
            <w:r>
              <w:t>tudy</w:t>
            </w:r>
          </w:p>
        </w:tc>
      </w:tr>
      <w:tr w:rsidR="00B21763" w14:paraId="6147B570" w14:textId="77777777" w:rsidTr="00B21763">
        <w:trPr>
          <w:trHeight w:val="267"/>
        </w:trPr>
        <w:tc>
          <w:tcPr>
            <w:tcW w:w="1809" w:type="dxa"/>
            <w:noWrap/>
            <w:hideMark/>
          </w:tcPr>
          <w:p w14:paraId="0A0EFECC" w14:textId="77777777"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ESR</w:t>
            </w:r>
          </w:p>
        </w:tc>
        <w:tc>
          <w:tcPr>
            <w:tcW w:w="6911" w:type="dxa"/>
            <w:noWrap/>
            <w:hideMark/>
          </w:tcPr>
          <w:p w14:paraId="7C51982B" w14:textId="31F7CAA3"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 xml:space="preserve">Erythrocyte </w:t>
            </w:r>
            <w:r w:rsidR="0043713A">
              <w:t>s</w:t>
            </w:r>
            <w:r>
              <w:t xml:space="preserve">edimentation </w:t>
            </w:r>
            <w:r w:rsidR="0043713A">
              <w:t>r</w:t>
            </w:r>
            <w:r>
              <w:t>atio</w:t>
            </w:r>
          </w:p>
        </w:tc>
      </w:tr>
      <w:tr w:rsidR="0043713A" w14:paraId="3761279A" w14:textId="77777777" w:rsidTr="00B21763">
        <w:trPr>
          <w:trHeight w:val="267"/>
        </w:trPr>
        <w:tc>
          <w:tcPr>
            <w:tcW w:w="1809" w:type="dxa"/>
            <w:noWrap/>
          </w:tcPr>
          <w:p w14:paraId="4E7D374F" w14:textId="1631CBDC" w:rsidR="0043713A" w:rsidRDefault="0043713A"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pPr>
            <w:r>
              <w:t>EU</w:t>
            </w:r>
          </w:p>
        </w:tc>
        <w:tc>
          <w:tcPr>
            <w:tcW w:w="6911" w:type="dxa"/>
            <w:noWrap/>
          </w:tcPr>
          <w:p w14:paraId="34BFA672" w14:textId="7310D0B0" w:rsidR="0043713A" w:rsidRDefault="0043713A"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pPr>
            <w:r>
              <w:t>European Union</w:t>
            </w:r>
          </w:p>
        </w:tc>
      </w:tr>
      <w:tr w:rsidR="00B21763" w14:paraId="71EAC7EE" w14:textId="77777777" w:rsidTr="00B21763">
        <w:trPr>
          <w:trHeight w:val="267"/>
        </w:trPr>
        <w:tc>
          <w:tcPr>
            <w:tcW w:w="1809" w:type="dxa"/>
            <w:noWrap/>
            <w:hideMark/>
          </w:tcPr>
          <w:p w14:paraId="1708616E" w14:textId="77777777"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EULAR</w:t>
            </w:r>
          </w:p>
        </w:tc>
        <w:tc>
          <w:tcPr>
            <w:tcW w:w="6911" w:type="dxa"/>
            <w:noWrap/>
            <w:hideMark/>
          </w:tcPr>
          <w:p w14:paraId="378E8756" w14:textId="77777777"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European League Against Rheumatism</w:t>
            </w:r>
          </w:p>
        </w:tc>
      </w:tr>
      <w:tr w:rsidR="0043713A" w14:paraId="740D8CAD" w14:textId="77777777" w:rsidTr="00B21763">
        <w:trPr>
          <w:trHeight w:val="267"/>
        </w:trPr>
        <w:tc>
          <w:tcPr>
            <w:tcW w:w="1809" w:type="dxa"/>
            <w:noWrap/>
          </w:tcPr>
          <w:p w14:paraId="46A0BCBC" w14:textId="440045A7" w:rsidR="0043713A" w:rsidRDefault="0043713A"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pPr>
            <w:r>
              <w:t>FDA</w:t>
            </w:r>
          </w:p>
        </w:tc>
        <w:tc>
          <w:tcPr>
            <w:tcW w:w="6911" w:type="dxa"/>
            <w:noWrap/>
          </w:tcPr>
          <w:p w14:paraId="1F755A15" w14:textId="3896726A" w:rsidR="0043713A" w:rsidRDefault="0043713A"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pPr>
            <w:r>
              <w:t>Food and Drug Administration (United States)</w:t>
            </w:r>
          </w:p>
        </w:tc>
      </w:tr>
      <w:tr w:rsidR="00B21763" w14:paraId="5AC9EB9A" w14:textId="77777777" w:rsidTr="00B21763">
        <w:trPr>
          <w:trHeight w:val="267"/>
        </w:trPr>
        <w:tc>
          <w:tcPr>
            <w:tcW w:w="1809" w:type="dxa"/>
            <w:noWrap/>
            <w:hideMark/>
          </w:tcPr>
          <w:p w14:paraId="5704DF8F" w14:textId="77777777"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rPr>
                <w:szCs w:val="22"/>
              </w:rPr>
              <w:t>GCP</w:t>
            </w:r>
          </w:p>
        </w:tc>
        <w:tc>
          <w:tcPr>
            <w:tcW w:w="6911" w:type="dxa"/>
            <w:noWrap/>
            <w:hideMark/>
          </w:tcPr>
          <w:p w14:paraId="71015294" w14:textId="77777777"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rPr>
                <w:szCs w:val="22"/>
              </w:rPr>
              <w:t>Good Clinical Practice</w:t>
            </w:r>
          </w:p>
        </w:tc>
      </w:tr>
      <w:tr w:rsidR="00B21763" w14:paraId="239DF5C5" w14:textId="77777777" w:rsidTr="00B21763">
        <w:trPr>
          <w:trHeight w:val="267"/>
        </w:trPr>
        <w:tc>
          <w:tcPr>
            <w:tcW w:w="1809" w:type="dxa"/>
            <w:noWrap/>
          </w:tcPr>
          <w:p w14:paraId="0F606C42" w14:textId="77777777"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pPr>
            <w:r w:rsidRPr="00E77D16">
              <w:t>GLP</w:t>
            </w:r>
          </w:p>
        </w:tc>
        <w:tc>
          <w:tcPr>
            <w:tcW w:w="6911" w:type="dxa"/>
            <w:noWrap/>
          </w:tcPr>
          <w:p w14:paraId="0125D661" w14:textId="1908C8DB" w:rsidR="00B21763" w:rsidRDefault="006A4296" w:rsidP="006A429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pPr>
            <w:r>
              <w:t>G</w:t>
            </w:r>
            <w:r w:rsidR="00B21763" w:rsidRPr="00E77D16">
              <w:t xml:space="preserve">ood </w:t>
            </w:r>
            <w:r>
              <w:t>L</w:t>
            </w:r>
            <w:r w:rsidR="00B21763" w:rsidRPr="00E77D16">
              <w:t xml:space="preserve">aboratory </w:t>
            </w:r>
            <w:r>
              <w:t>P</w:t>
            </w:r>
            <w:r w:rsidR="00B21763" w:rsidRPr="00E77D16">
              <w:t>ractice</w:t>
            </w:r>
          </w:p>
        </w:tc>
      </w:tr>
      <w:tr w:rsidR="00B21763" w14:paraId="5503A80D" w14:textId="77777777" w:rsidTr="00B21763">
        <w:trPr>
          <w:trHeight w:val="267"/>
        </w:trPr>
        <w:tc>
          <w:tcPr>
            <w:tcW w:w="1809" w:type="dxa"/>
            <w:noWrap/>
            <w:hideMark/>
          </w:tcPr>
          <w:p w14:paraId="7DEA58AF" w14:textId="77777777" w:rsidR="00B21763" w:rsidRDefault="00B139B9"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rPr>
                <w:szCs w:val="22"/>
              </w:rPr>
              <w:t>HAQ-DI</w:t>
            </w:r>
          </w:p>
        </w:tc>
        <w:tc>
          <w:tcPr>
            <w:tcW w:w="6911" w:type="dxa"/>
            <w:noWrap/>
            <w:hideMark/>
          </w:tcPr>
          <w:p w14:paraId="22594047" w14:textId="77777777"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rPr>
                <w:szCs w:val="22"/>
              </w:rPr>
              <w:t>Health Assessment Questionnaire – Disability Index</w:t>
            </w:r>
          </w:p>
        </w:tc>
      </w:tr>
      <w:tr w:rsidR="00B21763" w14:paraId="1A12455F" w14:textId="77777777" w:rsidTr="00B21763">
        <w:trPr>
          <w:trHeight w:val="267"/>
        </w:trPr>
        <w:tc>
          <w:tcPr>
            <w:tcW w:w="1809" w:type="dxa"/>
            <w:noWrap/>
          </w:tcPr>
          <w:p w14:paraId="0852E6C6" w14:textId="77777777"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pPr>
            <w:r>
              <w:t>HBI</w:t>
            </w:r>
          </w:p>
        </w:tc>
        <w:tc>
          <w:tcPr>
            <w:tcW w:w="6911" w:type="dxa"/>
            <w:noWrap/>
          </w:tcPr>
          <w:p w14:paraId="6F6BEA8E" w14:textId="77777777"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pPr>
            <w:r>
              <w:t>Harvey-Bradshaw index</w:t>
            </w:r>
          </w:p>
        </w:tc>
      </w:tr>
      <w:tr w:rsidR="00B21763" w14:paraId="29160095" w14:textId="77777777" w:rsidTr="00B21763">
        <w:trPr>
          <w:trHeight w:val="267"/>
        </w:trPr>
        <w:tc>
          <w:tcPr>
            <w:tcW w:w="1809" w:type="dxa"/>
            <w:noWrap/>
            <w:hideMark/>
          </w:tcPr>
          <w:p w14:paraId="49FC03AF" w14:textId="77777777"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Ig</w:t>
            </w:r>
          </w:p>
        </w:tc>
        <w:tc>
          <w:tcPr>
            <w:tcW w:w="6911" w:type="dxa"/>
            <w:noWrap/>
            <w:hideMark/>
          </w:tcPr>
          <w:p w14:paraId="642636ED" w14:textId="77777777"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Immunoglobulin</w:t>
            </w:r>
          </w:p>
        </w:tc>
      </w:tr>
      <w:tr w:rsidR="00B21763" w14:paraId="03BA13DD" w14:textId="77777777" w:rsidTr="00B21763">
        <w:trPr>
          <w:trHeight w:val="267"/>
        </w:trPr>
        <w:tc>
          <w:tcPr>
            <w:tcW w:w="1809" w:type="dxa"/>
            <w:noWrap/>
          </w:tcPr>
          <w:p w14:paraId="4C212FD7" w14:textId="77777777"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pPr>
            <w:r>
              <w:t>IGRA</w:t>
            </w:r>
          </w:p>
        </w:tc>
        <w:tc>
          <w:tcPr>
            <w:tcW w:w="6911" w:type="dxa"/>
            <w:noWrap/>
          </w:tcPr>
          <w:p w14:paraId="30353189" w14:textId="77777777"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pPr>
            <w:r>
              <w:t>Interferon gamma release assay (a TB blood test)</w:t>
            </w:r>
          </w:p>
        </w:tc>
      </w:tr>
      <w:tr w:rsidR="00B21763" w14:paraId="7E622C42" w14:textId="77777777" w:rsidTr="00B21763">
        <w:trPr>
          <w:trHeight w:val="267"/>
        </w:trPr>
        <w:tc>
          <w:tcPr>
            <w:tcW w:w="1809" w:type="dxa"/>
            <w:noWrap/>
            <w:hideMark/>
          </w:tcPr>
          <w:p w14:paraId="1498B684" w14:textId="77777777"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ITT</w:t>
            </w:r>
          </w:p>
        </w:tc>
        <w:tc>
          <w:tcPr>
            <w:tcW w:w="6911" w:type="dxa"/>
            <w:noWrap/>
            <w:hideMark/>
          </w:tcPr>
          <w:p w14:paraId="419EA664" w14:textId="77777777"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Intention-to-Treat</w:t>
            </w:r>
          </w:p>
        </w:tc>
      </w:tr>
      <w:tr w:rsidR="00B21763" w14:paraId="32021E15" w14:textId="77777777" w:rsidTr="00B21763">
        <w:trPr>
          <w:trHeight w:val="267"/>
        </w:trPr>
        <w:tc>
          <w:tcPr>
            <w:tcW w:w="1809" w:type="dxa"/>
            <w:noWrap/>
            <w:hideMark/>
          </w:tcPr>
          <w:p w14:paraId="1748C954" w14:textId="77777777"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IV</w:t>
            </w:r>
          </w:p>
        </w:tc>
        <w:tc>
          <w:tcPr>
            <w:tcW w:w="6911" w:type="dxa"/>
            <w:noWrap/>
            <w:hideMark/>
          </w:tcPr>
          <w:p w14:paraId="5E605DFA" w14:textId="77777777"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Intravenous</w:t>
            </w:r>
          </w:p>
        </w:tc>
      </w:tr>
      <w:tr w:rsidR="00B21763" w14:paraId="49253FDD" w14:textId="77777777" w:rsidTr="00B21763">
        <w:trPr>
          <w:trHeight w:val="267"/>
        </w:trPr>
        <w:tc>
          <w:tcPr>
            <w:tcW w:w="1809" w:type="dxa"/>
            <w:noWrap/>
            <w:hideMark/>
          </w:tcPr>
          <w:p w14:paraId="1648D270" w14:textId="77777777"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IVRS</w:t>
            </w:r>
          </w:p>
        </w:tc>
        <w:tc>
          <w:tcPr>
            <w:tcW w:w="6911" w:type="dxa"/>
            <w:noWrap/>
            <w:hideMark/>
          </w:tcPr>
          <w:p w14:paraId="02BDDF1E" w14:textId="77777777"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Interactive Voice Response System</w:t>
            </w:r>
          </w:p>
        </w:tc>
      </w:tr>
      <w:tr w:rsidR="00B21763" w14:paraId="24E89B29" w14:textId="77777777" w:rsidTr="00B21763">
        <w:trPr>
          <w:trHeight w:val="267"/>
        </w:trPr>
        <w:tc>
          <w:tcPr>
            <w:tcW w:w="1809" w:type="dxa"/>
            <w:noWrap/>
          </w:tcPr>
          <w:p w14:paraId="350FE372" w14:textId="77777777"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pPr>
            <w:r w:rsidRPr="005B5994">
              <w:t>LOCF</w:t>
            </w:r>
          </w:p>
        </w:tc>
        <w:tc>
          <w:tcPr>
            <w:tcW w:w="6911" w:type="dxa"/>
            <w:noWrap/>
          </w:tcPr>
          <w:p w14:paraId="3D9554F2" w14:textId="77777777"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pPr>
            <w:r>
              <w:t>Last observation carried forward</w:t>
            </w:r>
          </w:p>
        </w:tc>
      </w:tr>
      <w:tr w:rsidR="00B21763" w14:paraId="08EE9A88" w14:textId="77777777" w:rsidTr="00B21763">
        <w:trPr>
          <w:trHeight w:val="267"/>
        </w:trPr>
        <w:tc>
          <w:tcPr>
            <w:tcW w:w="1809" w:type="dxa"/>
            <w:noWrap/>
          </w:tcPr>
          <w:p w14:paraId="0A95462B" w14:textId="77777777"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pPr>
            <w:r>
              <w:t>LPS</w:t>
            </w:r>
          </w:p>
        </w:tc>
        <w:tc>
          <w:tcPr>
            <w:tcW w:w="6911" w:type="dxa"/>
            <w:noWrap/>
          </w:tcPr>
          <w:p w14:paraId="1BB1A408" w14:textId="010E2B04" w:rsidR="00B21763" w:rsidRDefault="006A4296"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pPr>
            <w:r>
              <w:t>L</w:t>
            </w:r>
            <w:r w:rsidR="00B21763" w:rsidRPr="005E63D5">
              <w:t>i</w:t>
            </w:r>
            <w:r w:rsidR="00B21763">
              <w:t>popolysaccharide</w:t>
            </w:r>
          </w:p>
        </w:tc>
      </w:tr>
      <w:tr w:rsidR="00B21763" w14:paraId="501A9680" w14:textId="77777777" w:rsidTr="00B21763">
        <w:trPr>
          <w:trHeight w:val="267"/>
        </w:trPr>
        <w:tc>
          <w:tcPr>
            <w:tcW w:w="1809" w:type="dxa"/>
            <w:noWrap/>
          </w:tcPr>
          <w:p w14:paraId="44AAFBCB" w14:textId="77777777"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pPr>
            <w:r w:rsidRPr="00CF0D7F">
              <w:t>LPMC</w:t>
            </w:r>
          </w:p>
        </w:tc>
        <w:tc>
          <w:tcPr>
            <w:tcW w:w="6911" w:type="dxa"/>
            <w:noWrap/>
          </w:tcPr>
          <w:p w14:paraId="6E8A70E9" w14:textId="1794E770" w:rsidR="00B21763" w:rsidRPr="005E63D5" w:rsidRDefault="006A4296"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pPr>
            <w:r>
              <w:t>L</w:t>
            </w:r>
            <w:r w:rsidR="00B21763">
              <w:t xml:space="preserve">amina </w:t>
            </w:r>
            <w:proofErr w:type="spellStart"/>
            <w:r w:rsidR="00B21763">
              <w:t>propria</w:t>
            </w:r>
            <w:proofErr w:type="spellEnd"/>
            <w:r w:rsidR="00B21763">
              <w:t xml:space="preserve"> mononuclear cells</w:t>
            </w:r>
          </w:p>
        </w:tc>
      </w:tr>
      <w:tr w:rsidR="00B21763" w14:paraId="2B8307F8" w14:textId="77777777" w:rsidTr="00B21763">
        <w:trPr>
          <w:trHeight w:val="267"/>
        </w:trPr>
        <w:tc>
          <w:tcPr>
            <w:tcW w:w="1809" w:type="dxa"/>
            <w:noWrap/>
            <w:hideMark/>
          </w:tcPr>
          <w:p w14:paraId="270C9015" w14:textId="77777777"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rPr>
                <w:szCs w:val="22"/>
              </w:rPr>
              <w:lastRenderedPageBreak/>
              <w:t>MTX</w:t>
            </w:r>
          </w:p>
        </w:tc>
        <w:tc>
          <w:tcPr>
            <w:tcW w:w="6911" w:type="dxa"/>
            <w:noWrap/>
            <w:hideMark/>
          </w:tcPr>
          <w:p w14:paraId="28003877" w14:textId="467F62E5"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rsidRPr="0004235D">
              <w:rPr>
                <w:szCs w:val="22"/>
              </w:rPr>
              <w:t>M</w:t>
            </w:r>
            <w:r w:rsidR="0043713A">
              <w:rPr>
                <w:szCs w:val="22"/>
              </w:rPr>
              <w:t>ethotrexate</w:t>
            </w:r>
          </w:p>
        </w:tc>
      </w:tr>
      <w:tr w:rsidR="00B21763" w14:paraId="60AC3162" w14:textId="77777777" w:rsidTr="00B21763">
        <w:trPr>
          <w:trHeight w:val="267"/>
        </w:trPr>
        <w:tc>
          <w:tcPr>
            <w:tcW w:w="1809" w:type="dxa"/>
            <w:noWrap/>
          </w:tcPr>
          <w:p w14:paraId="5CD58DA8" w14:textId="77777777"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pPr>
            <w:r>
              <w:t>NK</w:t>
            </w:r>
          </w:p>
        </w:tc>
        <w:tc>
          <w:tcPr>
            <w:tcW w:w="6911" w:type="dxa"/>
            <w:noWrap/>
          </w:tcPr>
          <w:p w14:paraId="07A85AB3" w14:textId="77777777"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pPr>
            <w:r>
              <w:t>Natural killer (cells)</w:t>
            </w:r>
          </w:p>
        </w:tc>
      </w:tr>
      <w:tr w:rsidR="00B21763" w14:paraId="2AB05ADC" w14:textId="77777777" w:rsidTr="00B21763">
        <w:trPr>
          <w:trHeight w:val="267"/>
        </w:trPr>
        <w:tc>
          <w:tcPr>
            <w:tcW w:w="1809" w:type="dxa"/>
            <w:noWrap/>
          </w:tcPr>
          <w:p w14:paraId="48EF6AD2" w14:textId="77777777"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pPr>
            <w:r w:rsidRPr="00BE7C54">
              <w:t>NMSCs</w:t>
            </w:r>
          </w:p>
        </w:tc>
        <w:tc>
          <w:tcPr>
            <w:tcW w:w="6911" w:type="dxa"/>
            <w:noWrap/>
          </w:tcPr>
          <w:p w14:paraId="23E1DB8C" w14:textId="2001BACE" w:rsidR="00B21763" w:rsidRPr="00BE7C54" w:rsidRDefault="006A4296"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pPr>
            <w:r>
              <w:t>N</w:t>
            </w:r>
            <w:r w:rsidR="00B21763">
              <w:t>on-melanoma skin cancers</w:t>
            </w:r>
          </w:p>
        </w:tc>
      </w:tr>
      <w:tr w:rsidR="00B21763" w14:paraId="04DF0E2C" w14:textId="77777777" w:rsidTr="00B21763">
        <w:trPr>
          <w:trHeight w:val="267"/>
        </w:trPr>
        <w:tc>
          <w:tcPr>
            <w:tcW w:w="1809" w:type="dxa"/>
            <w:noWrap/>
          </w:tcPr>
          <w:p w14:paraId="4A9A6AF6" w14:textId="77777777"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pPr>
            <w:r w:rsidRPr="00E77D16">
              <w:t>NOAEL</w:t>
            </w:r>
          </w:p>
        </w:tc>
        <w:tc>
          <w:tcPr>
            <w:tcW w:w="6911" w:type="dxa"/>
            <w:noWrap/>
          </w:tcPr>
          <w:p w14:paraId="21062C52" w14:textId="7D683744" w:rsidR="00B21763" w:rsidRDefault="006A4296"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pPr>
            <w:r>
              <w:t>N</w:t>
            </w:r>
            <w:r w:rsidR="00B21763">
              <w:t>o observable adverse effect level</w:t>
            </w:r>
          </w:p>
        </w:tc>
      </w:tr>
      <w:tr w:rsidR="00B21763" w14:paraId="5C7CA280" w14:textId="77777777" w:rsidTr="00B21763">
        <w:trPr>
          <w:trHeight w:val="267"/>
        </w:trPr>
        <w:tc>
          <w:tcPr>
            <w:tcW w:w="1809" w:type="dxa"/>
            <w:noWrap/>
            <w:hideMark/>
          </w:tcPr>
          <w:p w14:paraId="7C2F734A" w14:textId="77777777"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NSAID</w:t>
            </w:r>
          </w:p>
        </w:tc>
        <w:tc>
          <w:tcPr>
            <w:tcW w:w="6911" w:type="dxa"/>
            <w:noWrap/>
            <w:hideMark/>
          </w:tcPr>
          <w:p w14:paraId="4366DEC2" w14:textId="56EEFF1E"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Non-</w:t>
            </w:r>
            <w:r w:rsidR="0043713A">
              <w:t>steroidal anti-inflammatory drug</w:t>
            </w:r>
          </w:p>
        </w:tc>
      </w:tr>
      <w:tr w:rsidR="00B21763" w14:paraId="24120AFB" w14:textId="77777777" w:rsidTr="00B21763">
        <w:trPr>
          <w:trHeight w:val="267"/>
        </w:trPr>
        <w:tc>
          <w:tcPr>
            <w:tcW w:w="1809" w:type="dxa"/>
            <w:noWrap/>
            <w:hideMark/>
          </w:tcPr>
          <w:p w14:paraId="3472E32A" w14:textId="77777777"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NRS</w:t>
            </w:r>
          </w:p>
        </w:tc>
        <w:tc>
          <w:tcPr>
            <w:tcW w:w="6911" w:type="dxa"/>
            <w:noWrap/>
            <w:hideMark/>
          </w:tcPr>
          <w:p w14:paraId="368193DB" w14:textId="77777777"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Numerical Rating Scale</w:t>
            </w:r>
          </w:p>
        </w:tc>
      </w:tr>
      <w:tr w:rsidR="00B21763" w14:paraId="54764384" w14:textId="77777777" w:rsidTr="00B21763">
        <w:trPr>
          <w:trHeight w:val="267"/>
        </w:trPr>
        <w:tc>
          <w:tcPr>
            <w:tcW w:w="1809" w:type="dxa"/>
            <w:noWrap/>
          </w:tcPr>
          <w:p w14:paraId="633C1187" w14:textId="221D2204"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pPr>
            <w:r w:rsidRPr="007920CD">
              <w:t>PBRER</w:t>
            </w:r>
          </w:p>
        </w:tc>
        <w:tc>
          <w:tcPr>
            <w:tcW w:w="6911" w:type="dxa"/>
            <w:noWrap/>
          </w:tcPr>
          <w:p w14:paraId="127959CA" w14:textId="15F29456" w:rsidR="00B21763" w:rsidRDefault="0043713A"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pPr>
            <w:r>
              <w:t>P</w:t>
            </w:r>
            <w:r w:rsidR="00B21763" w:rsidRPr="007920CD">
              <w:t>eriodic b</w:t>
            </w:r>
            <w:r w:rsidR="00B21763">
              <w:t>enefit-risk evaluation report</w:t>
            </w:r>
          </w:p>
        </w:tc>
      </w:tr>
      <w:tr w:rsidR="00B21763" w14:paraId="1E8164EB" w14:textId="77777777" w:rsidTr="00B21763">
        <w:trPr>
          <w:trHeight w:val="267"/>
        </w:trPr>
        <w:tc>
          <w:tcPr>
            <w:tcW w:w="1809" w:type="dxa"/>
            <w:noWrap/>
          </w:tcPr>
          <w:p w14:paraId="58091471" w14:textId="77777777"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pPr>
            <w:r w:rsidRPr="00403290">
              <w:t>PBMC</w:t>
            </w:r>
          </w:p>
        </w:tc>
        <w:tc>
          <w:tcPr>
            <w:tcW w:w="6911" w:type="dxa"/>
            <w:noWrap/>
          </w:tcPr>
          <w:p w14:paraId="6F6205B2" w14:textId="16316642"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pPr>
            <w:r>
              <w:t>Peripheral blood mononuclear cell</w:t>
            </w:r>
          </w:p>
        </w:tc>
      </w:tr>
      <w:tr w:rsidR="00B21763" w14:paraId="514CA132" w14:textId="77777777" w:rsidTr="00B21763">
        <w:trPr>
          <w:trHeight w:val="267"/>
        </w:trPr>
        <w:tc>
          <w:tcPr>
            <w:tcW w:w="1809" w:type="dxa"/>
            <w:noWrap/>
          </w:tcPr>
          <w:p w14:paraId="65094A89" w14:textId="77777777" w:rsidR="00B21763" w:rsidRPr="00403290"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pPr>
            <w:r w:rsidRPr="00D3075D">
              <w:t>PCDAI</w:t>
            </w:r>
          </w:p>
        </w:tc>
        <w:tc>
          <w:tcPr>
            <w:tcW w:w="6911" w:type="dxa"/>
            <w:noWrap/>
          </w:tcPr>
          <w:p w14:paraId="307D4855" w14:textId="77777777"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pPr>
            <w:r w:rsidRPr="00D3075D">
              <w:t>Paediatric Crohn’s Disease Activity Index</w:t>
            </w:r>
          </w:p>
        </w:tc>
      </w:tr>
      <w:tr w:rsidR="00B21763" w14:paraId="1FE1454E" w14:textId="77777777" w:rsidTr="00B21763">
        <w:trPr>
          <w:trHeight w:val="267"/>
        </w:trPr>
        <w:tc>
          <w:tcPr>
            <w:tcW w:w="1809" w:type="dxa"/>
            <w:noWrap/>
            <w:hideMark/>
          </w:tcPr>
          <w:p w14:paraId="03D0DD79" w14:textId="77777777" w:rsidR="00B21763" w:rsidRDefault="00B139B9"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rPr>
                <w:szCs w:val="22"/>
              </w:rPr>
              <w:t>PD</w:t>
            </w:r>
          </w:p>
        </w:tc>
        <w:tc>
          <w:tcPr>
            <w:tcW w:w="6911" w:type="dxa"/>
            <w:noWrap/>
            <w:hideMark/>
          </w:tcPr>
          <w:p w14:paraId="7ECD2A6B" w14:textId="77777777"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rPr>
                <w:szCs w:val="22"/>
              </w:rPr>
              <w:t>Pharmacodynamic</w:t>
            </w:r>
          </w:p>
        </w:tc>
      </w:tr>
      <w:tr w:rsidR="00B21763" w14:paraId="1B7C3F24" w14:textId="77777777" w:rsidTr="00B21763">
        <w:trPr>
          <w:trHeight w:val="267"/>
        </w:trPr>
        <w:tc>
          <w:tcPr>
            <w:tcW w:w="1809" w:type="dxa"/>
            <w:noWrap/>
            <w:hideMark/>
          </w:tcPr>
          <w:p w14:paraId="202C93AF" w14:textId="77777777"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rPr>
                <w:szCs w:val="22"/>
              </w:rPr>
              <w:t>PK</w:t>
            </w:r>
          </w:p>
        </w:tc>
        <w:tc>
          <w:tcPr>
            <w:tcW w:w="6911" w:type="dxa"/>
            <w:noWrap/>
            <w:hideMark/>
          </w:tcPr>
          <w:p w14:paraId="692A6BF3" w14:textId="77777777"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rPr>
                <w:szCs w:val="22"/>
              </w:rPr>
              <w:t>Pharmacokinetic</w:t>
            </w:r>
          </w:p>
        </w:tc>
      </w:tr>
      <w:tr w:rsidR="00B21763" w14:paraId="06408706" w14:textId="77777777" w:rsidTr="00B21763">
        <w:trPr>
          <w:trHeight w:val="267"/>
        </w:trPr>
        <w:tc>
          <w:tcPr>
            <w:tcW w:w="1809" w:type="dxa"/>
            <w:noWrap/>
            <w:hideMark/>
          </w:tcPr>
          <w:p w14:paraId="088F1735" w14:textId="77777777"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PP</w:t>
            </w:r>
          </w:p>
        </w:tc>
        <w:tc>
          <w:tcPr>
            <w:tcW w:w="6911" w:type="dxa"/>
            <w:noWrap/>
            <w:hideMark/>
          </w:tcPr>
          <w:p w14:paraId="7479F889" w14:textId="77777777"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Per Protocol</w:t>
            </w:r>
          </w:p>
        </w:tc>
      </w:tr>
      <w:tr w:rsidR="00B21763" w14:paraId="0AEE63E0" w14:textId="77777777" w:rsidTr="00B21763">
        <w:trPr>
          <w:trHeight w:val="267"/>
        </w:trPr>
        <w:tc>
          <w:tcPr>
            <w:tcW w:w="1809" w:type="dxa"/>
            <w:noWrap/>
          </w:tcPr>
          <w:p w14:paraId="7488B057" w14:textId="77777777"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pPr>
            <w:r>
              <w:t>PRAC</w:t>
            </w:r>
          </w:p>
        </w:tc>
        <w:tc>
          <w:tcPr>
            <w:tcW w:w="6911" w:type="dxa"/>
            <w:noWrap/>
          </w:tcPr>
          <w:p w14:paraId="3AE1FE87" w14:textId="77777777"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pPr>
            <w:r>
              <w:t>P</w:t>
            </w:r>
            <w:r w:rsidRPr="00627E0D">
              <w:t xml:space="preserve">harmacovigilance risk assessment committee </w:t>
            </w:r>
            <w:r>
              <w:t>(EMA)</w:t>
            </w:r>
          </w:p>
        </w:tc>
      </w:tr>
      <w:tr w:rsidR="00B21763" w14:paraId="4FE12A6C" w14:textId="77777777" w:rsidTr="00B21763">
        <w:trPr>
          <w:trHeight w:val="267"/>
        </w:trPr>
        <w:tc>
          <w:tcPr>
            <w:tcW w:w="1809" w:type="dxa"/>
            <w:noWrap/>
            <w:hideMark/>
          </w:tcPr>
          <w:p w14:paraId="767A5240" w14:textId="77777777"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proofErr w:type="spellStart"/>
            <w:r>
              <w:t>PsA</w:t>
            </w:r>
            <w:proofErr w:type="spellEnd"/>
          </w:p>
        </w:tc>
        <w:tc>
          <w:tcPr>
            <w:tcW w:w="6911" w:type="dxa"/>
            <w:noWrap/>
            <w:hideMark/>
          </w:tcPr>
          <w:p w14:paraId="4DB26533" w14:textId="002CC29B"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 xml:space="preserve">Psoriatic </w:t>
            </w:r>
            <w:r w:rsidR="0043713A">
              <w:t>a</w:t>
            </w:r>
            <w:r>
              <w:t>rthritis</w:t>
            </w:r>
          </w:p>
        </w:tc>
      </w:tr>
      <w:tr w:rsidR="00B21763" w14:paraId="6B61EB0D" w14:textId="77777777" w:rsidTr="00B21763">
        <w:trPr>
          <w:trHeight w:val="267"/>
        </w:trPr>
        <w:tc>
          <w:tcPr>
            <w:tcW w:w="1809" w:type="dxa"/>
            <w:noWrap/>
          </w:tcPr>
          <w:p w14:paraId="0C25435C" w14:textId="77777777"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pPr>
            <w:r w:rsidRPr="0020580A">
              <w:t>PSURs</w:t>
            </w:r>
          </w:p>
        </w:tc>
        <w:tc>
          <w:tcPr>
            <w:tcW w:w="6911" w:type="dxa"/>
            <w:noWrap/>
          </w:tcPr>
          <w:p w14:paraId="0C95D6E6" w14:textId="77777777"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pPr>
            <w:r>
              <w:t>Periodic safety update reports</w:t>
            </w:r>
          </w:p>
        </w:tc>
      </w:tr>
      <w:tr w:rsidR="00B21763" w14:paraId="37CC5E1A" w14:textId="77777777" w:rsidTr="00B21763">
        <w:trPr>
          <w:trHeight w:val="267"/>
        </w:trPr>
        <w:tc>
          <w:tcPr>
            <w:tcW w:w="1809" w:type="dxa"/>
            <w:noWrap/>
            <w:hideMark/>
          </w:tcPr>
          <w:p w14:paraId="26834617" w14:textId="77777777"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PTF</w:t>
            </w:r>
          </w:p>
        </w:tc>
        <w:tc>
          <w:tcPr>
            <w:tcW w:w="6911" w:type="dxa"/>
            <w:noWrap/>
            <w:hideMark/>
          </w:tcPr>
          <w:p w14:paraId="15249748" w14:textId="3594006C"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 xml:space="preserve">Peak to </w:t>
            </w:r>
            <w:r w:rsidR="0043713A">
              <w:t>t</w:t>
            </w:r>
            <w:r>
              <w:t xml:space="preserve">rough </w:t>
            </w:r>
            <w:r w:rsidR="0043713A">
              <w:t>f</w:t>
            </w:r>
            <w:r>
              <w:t>luctuation ratio</w:t>
            </w:r>
          </w:p>
        </w:tc>
      </w:tr>
      <w:tr w:rsidR="00B21763" w14:paraId="28B26591" w14:textId="77777777" w:rsidTr="00B21763">
        <w:trPr>
          <w:trHeight w:val="267"/>
        </w:trPr>
        <w:tc>
          <w:tcPr>
            <w:tcW w:w="1809" w:type="dxa"/>
            <w:noWrap/>
            <w:hideMark/>
          </w:tcPr>
          <w:p w14:paraId="3642E715" w14:textId="77777777"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PY</w:t>
            </w:r>
          </w:p>
        </w:tc>
        <w:tc>
          <w:tcPr>
            <w:tcW w:w="6911" w:type="dxa"/>
            <w:noWrap/>
            <w:hideMark/>
          </w:tcPr>
          <w:p w14:paraId="3FA7F017" w14:textId="77777777"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Patient-Years</w:t>
            </w:r>
          </w:p>
        </w:tc>
      </w:tr>
      <w:tr w:rsidR="00B21763" w14:paraId="63E01B57" w14:textId="77777777" w:rsidTr="00B21763">
        <w:trPr>
          <w:trHeight w:val="267"/>
        </w:trPr>
        <w:tc>
          <w:tcPr>
            <w:tcW w:w="1809" w:type="dxa"/>
            <w:noWrap/>
            <w:hideMark/>
          </w:tcPr>
          <w:p w14:paraId="5EEF42E4" w14:textId="77777777"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QOL</w:t>
            </w:r>
          </w:p>
        </w:tc>
        <w:tc>
          <w:tcPr>
            <w:tcW w:w="6911" w:type="dxa"/>
            <w:noWrap/>
            <w:hideMark/>
          </w:tcPr>
          <w:p w14:paraId="1BE60F27" w14:textId="1868381D"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Quality</w:t>
            </w:r>
            <w:r w:rsidR="0043713A">
              <w:t xml:space="preserve"> </w:t>
            </w:r>
            <w:r>
              <w:t>of</w:t>
            </w:r>
            <w:r w:rsidR="0043713A">
              <w:t xml:space="preserve"> </w:t>
            </w:r>
            <w:r>
              <w:t>Life</w:t>
            </w:r>
          </w:p>
        </w:tc>
      </w:tr>
      <w:tr w:rsidR="00B21763" w14:paraId="55A91A7B" w14:textId="77777777" w:rsidTr="00B21763">
        <w:trPr>
          <w:trHeight w:val="267"/>
        </w:trPr>
        <w:tc>
          <w:tcPr>
            <w:tcW w:w="1809" w:type="dxa"/>
            <w:noWrap/>
            <w:hideMark/>
          </w:tcPr>
          <w:p w14:paraId="2785C015" w14:textId="77777777"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RA</w:t>
            </w:r>
          </w:p>
        </w:tc>
        <w:tc>
          <w:tcPr>
            <w:tcW w:w="6911" w:type="dxa"/>
            <w:noWrap/>
            <w:hideMark/>
          </w:tcPr>
          <w:p w14:paraId="5126B98C" w14:textId="713D6701"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 xml:space="preserve">Rheumatoid </w:t>
            </w:r>
            <w:r w:rsidR="0043713A">
              <w:t>a</w:t>
            </w:r>
            <w:r>
              <w:t>rthritis</w:t>
            </w:r>
          </w:p>
        </w:tc>
      </w:tr>
      <w:tr w:rsidR="00B21763" w14:paraId="575D7184" w14:textId="77777777" w:rsidTr="00B21763">
        <w:trPr>
          <w:trHeight w:val="267"/>
        </w:trPr>
        <w:tc>
          <w:tcPr>
            <w:tcW w:w="1809" w:type="dxa"/>
            <w:noWrap/>
            <w:hideMark/>
          </w:tcPr>
          <w:p w14:paraId="5369CCBB" w14:textId="77777777"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RF</w:t>
            </w:r>
          </w:p>
        </w:tc>
        <w:tc>
          <w:tcPr>
            <w:tcW w:w="6911" w:type="dxa"/>
            <w:noWrap/>
            <w:hideMark/>
          </w:tcPr>
          <w:p w14:paraId="1CDFF8EE" w14:textId="5BA59396"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 xml:space="preserve">Rheumatoid </w:t>
            </w:r>
            <w:r w:rsidR="0043713A">
              <w:t>f</w:t>
            </w:r>
            <w:r>
              <w:t>actor</w:t>
            </w:r>
          </w:p>
        </w:tc>
      </w:tr>
      <w:tr w:rsidR="00B21763" w14:paraId="415D8D53" w14:textId="77777777" w:rsidTr="00B21763">
        <w:trPr>
          <w:trHeight w:val="267"/>
        </w:trPr>
        <w:tc>
          <w:tcPr>
            <w:tcW w:w="1809" w:type="dxa"/>
            <w:noWrap/>
          </w:tcPr>
          <w:p w14:paraId="36D8B17E" w14:textId="77777777"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pPr>
            <w:r w:rsidRPr="007F73CE">
              <w:t>rmc</w:t>
            </w:r>
          </w:p>
        </w:tc>
        <w:tc>
          <w:tcPr>
            <w:tcW w:w="6911" w:type="dxa"/>
            <w:noWrap/>
          </w:tcPr>
          <w:p w14:paraId="321DEEC3" w14:textId="7A1BD601" w:rsidR="00B21763" w:rsidRDefault="0043713A"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pPr>
            <w:r>
              <w:t>R</w:t>
            </w:r>
            <w:r w:rsidR="00B21763">
              <w:t>ecombinant mouse cells</w:t>
            </w:r>
          </w:p>
        </w:tc>
      </w:tr>
      <w:tr w:rsidR="00B21763" w14:paraId="4BAE4392" w14:textId="77777777" w:rsidTr="00B21763">
        <w:trPr>
          <w:trHeight w:val="267"/>
        </w:trPr>
        <w:tc>
          <w:tcPr>
            <w:tcW w:w="1809" w:type="dxa"/>
            <w:noWrap/>
            <w:hideMark/>
          </w:tcPr>
          <w:p w14:paraId="3D0384DD" w14:textId="77777777"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rPr>
                <w:szCs w:val="22"/>
              </w:rPr>
              <w:t>SAE</w:t>
            </w:r>
          </w:p>
        </w:tc>
        <w:tc>
          <w:tcPr>
            <w:tcW w:w="6911" w:type="dxa"/>
            <w:noWrap/>
            <w:hideMark/>
          </w:tcPr>
          <w:p w14:paraId="4B0CF8B6" w14:textId="763EA4D6"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rPr>
                <w:szCs w:val="22"/>
              </w:rPr>
              <w:t xml:space="preserve">Serious </w:t>
            </w:r>
            <w:r w:rsidR="0043713A">
              <w:rPr>
                <w:szCs w:val="22"/>
              </w:rPr>
              <w:t>a</w:t>
            </w:r>
            <w:r>
              <w:rPr>
                <w:szCs w:val="22"/>
              </w:rPr>
              <w:t xml:space="preserve">dverse </w:t>
            </w:r>
            <w:r w:rsidR="0043713A">
              <w:rPr>
                <w:szCs w:val="22"/>
              </w:rPr>
              <w:t>e</w:t>
            </w:r>
            <w:r>
              <w:rPr>
                <w:szCs w:val="22"/>
              </w:rPr>
              <w:t>vent</w:t>
            </w:r>
          </w:p>
        </w:tc>
      </w:tr>
      <w:tr w:rsidR="00B21763" w14:paraId="066F4AD1" w14:textId="77777777" w:rsidTr="00B21763">
        <w:trPr>
          <w:trHeight w:val="267"/>
        </w:trPr>
        <w:tc>
          <w:tcPr>
            <w:tcW w:w="1809" w:type="dxa"/>
            <w:noWrap/>
          </w:tcPr>
          <w:p w14:paraId="77630FA1" w14:textId="77777777"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pPr>
            <w:r w:rsidRPr="00AB34BA">
              <w:t>SCCAI</w:t>
            </w:r>
          </w:p>
        </w:tc>
        <w:tc>
          <w:tcPr>
            <w:tcW w:w="6911" w:type="dxa"/>
            <w:noWrap/>
          </w:tcPr>
          <w:p w14:paraId="2E5B7A4B" w14:textId="5C46942F" w:rsidR="00B21763" w:rsidRDefault="006A4296"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pPr>
            <w:r>
              <w:t>S</w:t>
            </w:r>
            <w:r w:rsidR="00B21763" w:rsidRPr="00AB34BA">
              <w:t>imple c</w:t>
            </w:r>
            <w:r w:rsidR="00B21763">
              <w:t>linical colitis activity index</w:t>
            </w:r>
          </w:p>
        </w:tc>
      </w:tr>
      <w:tr w:rsidR="00B21763" w14:paraId="7126E72F" w14:textId="77777777" w:rsidTr="00B21763">
        <w:trPr>
          <w:trHeight w:val="267"/>
        </w:trPr>
        <w:tc>
          <w:tcPr>
            <w:tcW w:w="1809" w:type="dxa"/>
            <w:noWrap/>
            <w:hideMark/>
          </w:tcPr>
          <w:p w14:paraId="7695F6E9" w14:textId="77777777"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SDAI</w:t>
            </w:r>
          </w:p>
        </w:tc>
        <w:tc>
          <w:tcPr>
            <w:tcW w:w="6911" w:type="dxa"/>
            <w:noWrap/>
            <w:hideMark/>
          </w:tcPr>
          <w:p w14:paraId="722E3151" w14:textId="77777777"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Simplified Disease Activity Index</w:t>
            </w:r>
          </w:p>
        </w:tc>
      </w:tr>
      <w:tr w:rsidR="00B21763" w14:paraId="275A8709" w14:textId="77777777" w:rsidTr="00B21763">
        <w:trPr>
          <w:trHeight w:val="267"/>
        </w:trPr>
        <w:tc>
          <w:tcPr>
            <w:tcW w:w="1809" w:type="dxa"/>
            <w:noWrap/>
            <w:hideMark/>
          </w:tcPr>
          <w:p w14:paraId="7C7FF287" w14:textId="77777777"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rPr>
                <w:szCs w:val="22"/>
              </w:rPr>
              <w:t>SD</w:t>
            </w:r>
          </w:p>
        </w:tc>
        <w:tc>
          <w:tcPr>
            <w:tcW w:w="6911" w:type="dxa"/>
            <w:noWrap/>
            <w:hideMark/>
          </w:tcPr>
          <w:p w14:paraId="53881A01" w14:textId="1AAFC563"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rPr>
                <w:szCs w:val="22"/>
              </w:rPr>
              <w:t xml:space="preserve">Standard </w:t>
            </w:r>
            <w:r w:rsidR="0043713A">
              <w:rPr>
                <w:szCs w:val="22"/>
              </w:rPr>
              <w:t>d</w:t>
            </w:r>
            <w:r>
              <w:rPr>
                <w:szCs w:val="22"/>
              </w:rPr>
              <w:t>eviation</w:t>
            </w:r>
          </w:p>
        </w:tc>
      </w:tr>
      <w:tr w:rsidR="00B21763" w14:paraId="69E52EFC" w14:textId="77777777" w:rsidTr="00B21763">
        <w:trPr>
          <w:trHeight w:val="267"/>
        </w:trPr>
        <w:tc>
          <w:tcPr>
            <w:tcW w:w="1809" w:type="dxa"/>
            <w:noWrap/>
          </w:tcPr>
          <w:p w14:paraId="56FB229C" w14:textId="77777777"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pPr>
            <w:r w:rsidRPr="003858AD">
              <w:t>SLE</w:t>
            </w:r>
          </w:p>
        </w:tc>
        <w:tc>
          <w:tcPr>
            <w:tcW w:w="6911" w:type="dxa"/>
            <w:noWrap/>
          </w:tcPr>
          <w:p w14:paraId="7B6B994E" w14:textId="77777777"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pPr>
            <w:r>
              <w:t>Systemic lupus erythematosus</w:t>
            </w:r>
          </w:p>
        </w:tc>
      </w:tr>
      <w:tr w:rsidR="00B21763" w14:paraId="4A8BEE0B" w14:textId="77777777" w:rsidTr="00B21763">
        <w:trPr>
          <w:trHeight w:val="267"/>
        </w:trPr>
        <w:tc>
          <w:tcPr>
            <w:tcW w:w="1809" w:type="dxa"/>
            <w:noWrap/>
          </w:tcPr>
          <w:p w14:paraId="184857E2" w14:textId="77777777"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pPr>
            <w:proofErr w:type="spellStart"/>
            <w:r w:rsidRPr="0062050A">
              <w:lastRenderedPageBreak/>
              <w:t>SmPC</w:t>
            </w:r>
            <w:proofErr w:type="spellEnd"/>
          </w:p>
        </w:tc>
        <w:tc>
          <w:tcPr>
            <w:tcW w:w="6911" w:type="dxa"/>
            <w:noWrap/>
          </w:tcPr>
          <w:p w14:paraId="2A6046E1" w14:textId="77777777"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pPr>
            <w:r w:rsidRPr="0062050A">
              <w:t>European Summary of Product Characteristics</w:t>
            </w:r>
          </w:p>
        </w:tc>
      </w:tr>
      <w:tr w:rsidR="00B21763" w14:paraId="3DCF8A1E" w14:textId="77777777" w:rsidTr="00B21763">
        <w:trPr>
          <w:trHeight w:val="267"/>
        </w:trPr>
        <w:tc>
          <w:tcPr>
            <w:tcW w:w="1809" w:type="dxa"/>
            <w:noWrap/>
            <w:hideMark/>
          </w:tcPr>
          <w:p w14:paraId="753800B2" w14:textId="77777777"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rPr>
                <w:szCs w:val="22"/>
              </w:rPr>
              <w:t>SOC</w:t>
            </w:r>
          </w:p>
        </w:tc>
        <w:tc>
          <w:tcPr>
            <w:tcW w:w="6911" w:type="dxa"/>
            <w:noWrap/>
            <w:hideMark/>
          </w:tcPr>
          <w:p w14:paraId="007FB1AA" w14:textId="77777777"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rPr>
                <w:szCs w:val="22"/>
              </w:rPr>
              <w:t>System Organ Class</w:t>
            </w:r>
          </w:p>
        </w:tc>
      </w:tr>
      <w:tr w:rsidR="00B21763" w14:paraId="6F17B5F8" w14:textId="77777777" w:rsidTr="00B21763">
        <w:trPr>
          <w:trHeight w:val="267"/>
        </w:trPr>
        <w:tc>
          <w:tcPr>
            <w:tcW w:w="1809" w:type="dxa"/>
            <w:noWrap/>
            <w:hideMark/>
          </w:tcPr>
          <w:p w14:paraId="5DF2860D" w14:textId="77777777"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rPr>
                <w:szCs w:val="22"/>
              </w:rPr>
              <w:t>SSZ</w:t>
            </w:r>
          </w:p>
        </w:tc>
        <w:tc>
          <w:tcPr>
            <w:tcW w:w="6911" w:type="dxa"/>
            <w:noWrap/>
            <w:hideMark/>
          </w:tcPr>
          <w:p w14:paraId="3C0D8E45" w14:textId="77777777"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rPr>
                <w:szCs w:val="22"/>
              </w:rPr>
              <w:t>Sulfasalazine</w:t>
            </w:r>
          </w:p>
        </w:tc>
      </w:tr>
      <w:tr w:rsidR="00B21763" w14:paraId="7CE29061" w14:textId="77777777" w:rsidTr="00B21763">
        <w:trPr>
          <w:trHeight w:val="267"/>
        </w:trPr>
        <w:tc>
          <w:tcPr>
            <w:tcW w:w="1809" w:type="dxa"/>
            <w:noWrap/>
          </w:tcPr>
          <w:p w14:paraId="7BACE12D" w14:textId="77777777"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pPr>
            <w:proofErr w:type="spellStart"/>
            <w:r w:rsidRPr="005E63D5">
              <w:t>sTNF</w:t>
            </w:r>
            <w:proofErr w:type="spellEnd"/>
            <w:r w:rsidRPr="005E63D5">
              <w:t>α</w:t>
            </w:r>
          </w:p>
        </w:tc>
        <w:tc>
          <w:tcPr>
            <w:tcW w:w="6911" w:type="dxa"/>
            <w:noWrap/>
          </w:tcPr>
          <w:p w14:paraId="324785BE" w14:textId="64343989" w:rsidR="00B21763" w:rsidRDefault="0043713A"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pPr>
            <w:r>
              <w:t>S</w:t>
            </w:r>
            <w:r w:rsidR="00B21763">
              <w:t>oluble form of TNFα</w:t>
            </w:r>
          </w:p>
        </w:tc>
      </w:tr>
      <w:tr w:rsidR="00B21763" w14:paraId="684A61F0" w14:textId="77777777" w:rsidTr="00B21763">
        <w:trPr>
          <w:trHeight w:val="267"/>
        </w:trPr>
        <w:tc>
          <w:tcPr>
            <w:tcW w:w="1809" w:type="dxa"/>
            <w:noWrap/>
          </w:tcPr>
          <w:p w14:paraId="1AC9C896" w14:textId="77777777" w:rsidR="00B21763" w:rsidRDefault="00B21763" w:rsidP="00B21763">
            <w:r w:rsidRPr="001F0D23">
              <w:t>T</w:t>
            </w:r>
            <w:r w:rsidRPr="001F0D23">
              <w:rPr>
                <w:vertAlign w:val="subscript"/>
              </w:rPr>
              <w:t>½</w:t>
            </w:r>
          </w:p>
        </w:tc>
        <w:tc>
          <w:tcPr>
            <w:tcW w:w="6911" w:type="dxa"/>
            <w:noWrap/>
          </w:tcPr>
          <w:p w14:paraId="4A20D2F8" w14:textId="77777777" w:rsidR="00B21763" w:rsidRDefault="00B21763" w:rsidP="00B21763">
            <w:r>
              <w:t>Half-life</w:t>
            </w:r>
          </w:p>
        </w:tc>
      </w:tr>
      <w:tr w:rsidR="00B21763" w14:paraId="4D181F68" w14:textId="77777777" w:rsidTr="00B21763">
        <w:trPr>
          <w:trHeight w:val="267"/>
        </w:trPr>
        <w:tc>
          <w:tcPr>
            <w:tcW w:w="1809" w:type="dxa"/>
            <w:noWrap/>
            <w:hideMark/>
          </w:tcPr>
          <w:p w14:paraId="089C18F8" w14:textId="77777777"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TB</w:t>
            </w:r>
          </w:p>
        </w:tc>
        <w:tc>
          <w:tcPr>
            <w:tcW w:w="6911" w:type="dxa"/>
            <w:noWrap/>
            <w:hideMark/>
          </w:tcPr>
          <w:p w14:paraId="6776A155" w14:textId="77777777"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Tuberculosis</w:t>
            </w:r>
          </w:p>
        </w:tc>
      </w:tr>
      <w:tr w:rsidR="00B21763" w14:paraId="0A363DD4" w14:textId="77777777" w:rsidTr="00B21763">
        <w:trPr>
          <w:trHeight w:val="267"/>
        </w:trPr>
        <w:tc>
          <w:tcPr>
            <w:tcW w:w="1809" w:type="dxa"/>
            <w:noWrap/>
            <w:hideMark/>
          </w:tcPr>
          <w:p w14:paraId="3179B758" w14:textId="77777777"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TEAE</w:t>
            </w:r>
          </w:p>
        </w:tc>
        <w:tc>
          <w:tcPr>
            <w:tcW w:w="6911" w:type="dxa"/>
            <w:noWrap/>
            <w:hideMark/>
          </w:tcPr>
          <w:p w14:paraId="257B674A" w14:textId="0D9763C4"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 xml:space="preserve">Treatment </w:t>
            </w:r>
            <w:r w:rsidR="0043713A">
              <w:t>emergent adverse event</w:t>
            </w:r>
          </w:p>
        </w:tc>
      </w:tr>
      <w:tr w:rsidR="00B21763" w14:paraId="226F8D50" w14:textId="77777777" w:rsidTr="00B21763">
        <w:trPr>
          <w:trHeight w:val="267"/>
        </w:trPr>
        <w:tc>
          <w:tcPr>
            <w:tcW w:w="1809" w:type="dxa"/>
            <w:noWrap/>
          </w:tcPr>
          <w:p w14:paraId="5DEEAD7A" w14:textId="77777777"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pPr>
            <w:proofErr w:type="spellStart"/>
            <w:r w:rsidRPr="0046384B">
              <w:t>tmTNF</w:t>
            </w:r>
            <w:proofErr w:type="spellEnd"/>
            <w:r w:rsidRPr="0046384B">
              <w:t>α</w:t>
            </w:r>
          </w:p>
        </w:tc>
        <w:tc>
          <w:tcPr>
            <w:tcW w:w="6911" w:type="dxa"/>
            <w:noWrap/>
          </w:tcPr>
          <w:p w14:paraId="28821BC1" w14:textId="42901D0D" w:rsidR="00B21763" w:rsidRDefault="0043713A"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pPr>
            <w:r>
              <w:t>T</w:t>
            </w:r>
            <w:r w:rsidR="00B21763">
              <w:t>ransmembrane TNFα</w:t>
            </w:r>
          </w:p>
        </w:tc>
      </w:tr>
      <w:tr w:rsidR="00B21763" w14:paraId="136DCFB0" w14:textId="77777777" w:rsidTr="00B21763">
        <w:trPr>
          <w:trHeight w:val="267"/>
        </w:trPr>
        <w:tc>
          <w:tcPr>
            <w:tcW w:w="1809" w:type="dxa"/>
            <w:noWrap/>
            <w:hideMark/>
          </w:tcPr>
          <w:p w14:paraId="2C8CF381" w14:textId="77777777"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rPr>
                <w:szCs w:val="22"/>
              </w:rPr>
              <w:t>TNF</w:t>
            </w:r>
          </w:p>
        </w:tc>
        <w:tc>
          <w:tcPr>
            <w:tcW w:w="6911" w:type="dxa"/>
            <w:noWrap/>
            <w:hideMark/>
          </w:tcPr>
          <w:p w14:paraId="3666739B" w14:textId="77777777"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rPr>
                <w:szCs w:val="22"/>
              </w:rPr>
              <w:t>Tumour Necrosis Factor</w:t>
            </w:r>
          </w:p>
        </w:tc>
      </w:tr>
      <w:tr w:rsidR="00B21763" w14:paraId="7A3E4451" w14:textId="77777777" w:rsidTr="00B21763">
        <w:trPr>
          <w:trHeight w:val="267"/>
        </w:trPr>
        <w:tc>
          <w:tcPr>
            <w:tcW w:w="1809" w:type="dxa"/>
            <w:noWrap/>
          </w:tcPr>
          <w:p w14:paraId="76C54643" w14:textId="77777777"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pPr>
            <w:r w:rsidRPr="00354097">
              <w:t>TNFα</w:t>
            </w:r>
          </w:p>
        </w:tc>
        <w:tc>
          <w:tcPr>
            <w:tcW w:w="6911" w:type="dxa"/>
            <w:noWrap/>
          </w:tcPr>
          <w:p w14:paraId="09256271" w14:textId="77777777"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pPr>
            <w:r w:rsidRPr="00354097">
              <w:t>Tumour Necrosis Factor</w:t>
            </w:r>
            <w:r>
              <w:t xml:space="preserve"> alpha</w:t>
            </w:r>
          </w:p>
        </w:tc>
      </w:tr>
      <w:tr w:rsidR="00B21763" w14:paraId="66F93710" w14:textId="77777777" w:rsidTr="00B21763">
        <w:trPr>
          <w:trHeight w:val="267"/>
        </w:trPr>
        <w:tc>
          <w:tcPr>
            <w:tcW w:w="1809" w:type="dxa"/>
            <w:noWrap/>
            <w:hideMark/>
          </w:tcPr>
          <w:p w14:paraId="41CFCB44" w14:textId="77777777"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ULN</w:t>
            </w:r>
          </w:p>
        </w:tc>
        <w:tc>
          <w:tcPr>
            <w:tcW w:w="6911" w:type="dxa"/>
            <w:noWrap/>
            <w:hideMark/>
          </w:tcPr>
          <w:p w14:paraId="5BB5C2A6" w14:textId="6FB30BF4" w:rsidR="00B21763" w:rsidRDefault="00B21763" w:rsidP="00B21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 xml:space="preserve">Upper </w:t>
            </w:r>
            <w:r w:rsidR="0043713A">
              <w:t>l</w:t>
            </w:r>
            <w:r>
              <w:t xml:space="preserve">imit of </w:t>
            </w:r>
            <w:r w:rsidR="0043713A">
              <w:t>n</w:t>
            </w:r>
            <w:r>
              <w:t>ormal</w:t>
            </w:r>
          </w:p>
        </w:tc>
      </w:tr>
      <w:tr w:rsidR="00B21763" w14:paraId="40E7603C" w14:textId="77777777" w:rsidTr="00B21763">
        <w:trPr>
          <w:trHeight w:val="267"/>
        </w:trPr>
        <w:tc>
          <w:tcPr>
            <w:tcW w:w="1809" w:type="dxa"/>
            <w:noWrap/>
          </w:tcPr>
          <w:p w14:paraId="01C25C13" w14:textId="77777777" w:rsidR="00B21763" w:rsidRDefault="00B21763" w:rsidP="00B21763">
            <w:proofErr w:type="spellStart"/>
            <w:r w:rsidRPr="00C92D01">
              <w:t>V</w:t>
            </w:r>
            <w:r w:rsidRPr="00C92D01">
              <w:rPr>
                <w:vertAlign w:val="subscript"/>
              </w:rPr>
              <w:t>ss</w:t>
            </w:r>
            <w:proofErr w:type="spellEnd"/>
          </w:p>
        </w:tc>
        <w:tc>
          <w:tcPr>
            <w:tcW w:w="6911" w:type="dxa"/>
            <w:noWrap/>
          </w:tcPr>
          <w:p w14:paraId="1852F0AA" w14:textId="77777777" w:rsidR="00B21763" w:rsidRDefault="00B21763" w:rsidP="00B21763">
            <w:r>
              <w:t>Volume of distribution at steady state</w:t>
            </w:r>
          </w:p>
        </w:tc>
      </w:tr>
    </w:tbl>
    <w:p w14:paraId="0763AA4D" w14:textId="77777777" w:rsidR="00FD119B" w:rsidRDefault="00FD119B" w:rsidP="00FD119B"/>
    <w:p w14:paraId="158910E9" w14:textId="77777777" w:rsidR="00FD119B" w:rsidRPr="00FD119B" w:rsidRDefault="00FD119B" w:rsidP="00FD119B">
      <w:pPr>
        <w:spacing w:before="0" w:after="200" w:line="0" w:lineRule="auto"/>
        <w:rPr>
          <w:b/>
          <w:i/>
          <w:sz w:val="24"/>
          <w:szCs w:val="24"/>
        </w:rPr>
      </w:pPr>
      <w:r w:rsidRPr="00FD119B">
        <w:rPr>
          <w:b/>
          <w:i/>
          <w:sz w:val="24"/>
          <w:szCs w:val="24"/>
        </w:rPr>
        <w:br w:type="page"/>
      </w:r>
    </w:p>
    <w:p w14:paraId="465A7251" w14:textId="77777777" w:rsidR="008E7846" w:rsidRDefault="00F53C07" w:rsidP="008E7846">
      <w:pPr>
        <w:pStyle w:val="Heading2"/>
      </w:pPr>
      <w:bookmarkStart w:id="9" w:name="_Toc44576996"/>
      <w:r>
        <w:lastRenderedPageBreak/>
        <w:t>I.</w:t>
      </w:r>
      <w:r w:rsidR="008E7846">
        <w:t xml:space="preserve"> Introduction to product submission</w:t>
      </w:r>
      <w:bookmarkEnd w:id="1"/>
      <w:bookmarkEnd w:id="3"/>
      <w:bookmarkEnd w:id="9"/>
    </w:p>
    <w:p w14:paraId="16E065B2" w14:textId="77777777" w:rsidR="008E7846" w:rsidRDefault="008E7846" w:rsidP="008E7846">
      <w:pPr>
        <w:pStyle w:val="Heading3"/>
        <w:rPr>
          <w:lang w:eastAsia="en-AU"/>
        </w:rPr>
      </w:pPr>
      <w:bookmarkStart w:id="10" w:name="_Toc247691502"/>
      <w:bookmarkStart w:id="11" w:name="_Toc314842483"/>
      <w:bookmarkStart w:id="12" w:name="_Toc44576997"/>
      <w:r>
        <w:rPr>
          <w:lang w:eastAsia="en-AU"/>
        </w:rPr>
        <w:t>Submission details</w:t>
      </w:r>
      <w:bookmarkEnd w:id="10"/>
      <w:bookmarkEnd w:id="11"/>
      <w:bookmarkEnd w:id="12"/>
    </w:p>
    <w:tbl>
      <w:tblPr>
        <w:tblW w:w="9214" w:type="dxa"/>
        <w:tblInd w:w="108" w:type="dxa"/>
        <w:tblLook w:val="01E0" w:firstRow="1" w:lastRow="1" w:firstColumn="1" w:lastColumn="1" w:noHBand="0" w:noVBand="0"/>
      </w:tblPr>
      <w:tblGrid>
        <w:gridCol w:w="2907"/>
        <w:gridCol w:w="6307"/>
      </w:tblGrid>
      <w:tr w:rsidR="008E7846" w:rsidRPr="003D1E62" w14:paraId="2105CBAC" w14:textId="77777777" w:rsidTr="00077133">
        <w:trPr>
          <w:trHeight w:hRule="exact" w:val="454"/>
        </w:trPr>
        <w:tc>
          <w:tcPr>
            <w:tcW w:w="2907" w:type="dxa"/>
          </w:tcPr>
          <w:p w14:paraId="39AA1017" w14:textId="77777777" w:rsidR="008E7846" w:rsidRPr="003D1E62" w:rsidRDefault="001B5C90" w:rsidP="001B5C90">
            <w:pPr>
              <w:rPr>
                <w:i/>
              </w:rPr>
            </w:pPr>
            <w:r>
              <w:rPr>
                <w:i/>
              </w:rPr>
              <w:t>Type of s</w:t>
            </w:r>
            <w:r w:rsidR="008E7846" w:rsidRPr="003D1E62">
              <w:rPr>
                <w:i/>
              </w:rPr>
              <w:t>ubmission</w:t>
            </w:r>
            <w:r>
              <w:rPr>
                <w:i/>
              </w:rPr>
              <w:t>:</w:t>
            </w:r>
          </w:p>
        </w:tc>
        <w:tc>
          <w:tcPr>
            <w:tcW w:w="6307" w:type="dxa"/>
          </w:tcPr>
          <w:p w14:paraId="4C38258F" w14:textId="77777777" w:rsidR="008E7846" w:rsidRPr="003D1E62" w:rsidRDefault="00B21763" w:rsidP="001B5C90">
            <w:r>
              <w:rPr>
                <w:rFonts w:asciiTheme="minorHAnsi" w:hAnsiTheme="minorHAnsi"/>
              </w:rPr>
              <w:t>An application to register a biosimilar</w:t>
            </w:r>
          </w:p>
        </w:tc>
      </w:tr>
      <w:tr w:rsidR="008E7846" w:rsidRPr="003D1E62" w14:paraId="79449AB7" w14:textId="77777777" w:rsidTr="00077133">
        <w:trPr>
          <w:trHeight w:hRule="exact" w:val="454"/>
        </w:trPr>
        <w:tc>
          <w:tcPr>
            <w:tcW w:w="2907" w:type="dxa"/>
          </w:tcPr>
          <w:p w14:paraId="76634E76" w14:textId="77777777" w:rsidR="008E7846" w:rsidRPr="003D1E62" w:rsidRDefault="008E7846" w:rsidP="003D1E62">
            <w:r w:rsidRPr="003D1E62">
              <w:rPr>
                <w:i/>
              </w:rPr>
              <w:t>Decision</w:t>
            </w:r>
            <w:r w:rsidRPr="003D1E62">
              <w:t>:</w:t>
            </w:r>
          </w:p>
        </w:tc>
        <w:tc>
          <w:tcPr>
            <w:tcW w:w="6307" w:type="dxa"/>
          </w:tcPr>
          <w:p w14:paraId="5AC601EC" w14:textId="77777777" w:rsidR="008E7846" w:rsidRPr="003D1E62" w:rsidRDefault="00B21763" w:rsidP="001B5C90">
            <w:r w:rsidRPr="00331840">
              <w:t>Approved</w:t>
            </w:r>
          </w:p>
        </w:tc>
      </w:tr>
      <w:tr w:rsidR="008E7846" w:rsidRPr="003D1E62" w14:paraId="3031AB19" w14:textId="77777777" w:rsidTr="00077133">
        <w:trPr>
          <w:trHeight w:hRule="exact" w:val="454"/>
        </w:trPr>
        <w:tc>
          <w:tcPr>
            <w:tcW w:w="2907" w:type="dxa"/>
          </w:tcPr>
          <w:p w14:paraId="57F05278" w14:textId="77777777" w:rsidR="008E7846" w:rsidRPr="003D1E62" w:rsidRDefault="008E7846" w:rsidP="001B5C90">
            <w:pPr>
              <w:rPr>
                <w:i/>
              </w:rPr>
            </w:pPr>
            <w:r w:rsidRPr="003D1E62">
              <w:rPr>
                <w:i/>
              </w:rPr>
              <w:t xml:space="preserve">Date of </w:t>
            </w:r>
            <w:r w:rsidR="001B5C90">
              <w:rPr>
                <w:i/>
              </w:rPr>
              <w:t>d</w:t>
            </w:r>
            <w:r w:rsidRPr="003D1E62">
              <w:rPr>
                <w:i/>
              </w:rPr>
              <w:t>ecision:</w:t>
            </w:r>
          </w:p>
        </w:tc>
        <w:tc>
          <w:tcPr>
            <w:tcW w:w="6307" w:type="dxa"/>
          </w:tcPr>
          <w:p w14:paraId="3998A654" w14:textId="77777777" w:rsidR="008E7846" w:rsidRPr="003D1E62" w:rsidRDefault="00B21763" w:rsidP="001B5C90">
            <w:r w:rsidRPr="00D2492A">
              <w:t>5 August 2015</w:t>
            </w:r>
          </w:p>
        </w:tc>
      </w:tr>
      <w:tr w:rsidR="00ED2922" w:rsidRPr="003D1E62" w14:paraId="7D418743" w14:textId="77777777" w:rsidTr="00077133">
        <w:trPr>
          <w:trHeight w:hRule="exact" w:val="454"/>
        </w:trPr>
        <w:tc>
          <w:tcPr>
            <w:tcW w:w="2907" w:type="dxa"/>
          </w:tcPr>
          <w:p w14:paraId="7C7DBBF7" w14:textId="77777777" w:rsidR="00ED2922" w:rsidRPr="00441C3F" w:rsidRDefault="00ED2922" w:rsidP="001B5C90">
            <w:pPr>
              <w:rPr>
                <w:i/>
              </w:rPr>
            </w:pPr>
            <w:r w:rsidRPr="00441C3F">
              <w:rPr>
                <w:i/>
              </w:rPr>
              <w:t>Date of entry onto ARTG</w:t>
            </w:r>
          </w:p>
        </w:tc>
        <w:tc>
          <w:tcPr>
            <w:tcW w:w="6307" w:type="dxa"/>
          </w:tcPr>
          <w:p w14:paraId="7EA0E36B" w14:textId="4102B266" w:rsidR="00ED2922" w:rsidRPr="00441C3F" w:rsidRDefault="00B21763" w:rsidP="00EC463D">
            <w:pPr>
              <w:rPr>
                <w:i/>
              </w:rPr>
            </w:pPr>
            <w:r w:rsidRPr="00D97C85">
              <w:t>19 August 2015</w:t>
            </w:r>
            <w:r w:rsidR="00433EDE">
              <w:t>;</w:t>
            </w:r>
            <w:r>
              <w:rPr>
                <w:rStyle w:val="FootnoteReference"/>
              </w:rPr>
              <w:footnoteReference w:id="2"/>
            </w:r>
          </w:p>
        </w:tc>
      </w:tr>
      <w:tr w:rsidR="008E7846" w:rsidRPr="00487162" w14:paraId="7F1900B9" w14:textId="77777777" w:rsidTr="00077133">
        <w:tc>
          <w:tcPr>
            <w:tcW w:w="2907" w:type="dxa"/>
          </w:tcPr>
          <w:p w14:paraId="5167B83E" w14:textId="77777777" w:rsidR="008E7846" w:rsidRPr="00487162" w:rsidRDefault="007D09F7" w:rsidP="00E45619">
            <w:pPr>
              <w:rPr>
                <w:i/>
              </w:rPr>
            </w:pPr>
            <w:r>
              <w:rPr>
                <w:i/>
              </w:rPr>
              <w:t>Active ingredient</w:t>
            </w:r>
            <w:r w:rsidR="001B5C90">
              <w:rPr>
                <w:i/>
              </w:rPr>
              <w:t>:</w:t>
            </w:r>
          </w:p>
        </w:tc>
        <w:tc>
          <w:tcPr>
            <w:tcW w:w="6307" w:type="dxa"/>
          </w:tcPr>
          <w:p w14:paraId="1313F134" w14:textId="77777777" w:rsidR="008E7846" w:rsidRPr="00487162" w:rsidRDefault="00B21763" w:rsidP="00E45619">
            <w:r>
              <w:rPr>
                <w:rFonts w:asciiTheme="minorHAnsi" w:hAnsiTheme="minorHAnsi" w:cs="Helv"/>
                <w:color w:val="000000"/>
                <w:lang w:eastAsia="en-AU"/>
              </w:rPr>
              <w:t>Infliximab (rmc)</w:t>
            </w:r>
          </w:p>
        </w:tc>
      </w:tr>
      <w:tr w:rsidR="008E7846" w:rsidRPr="00487162" w14:paraId="54B167B8" w14:textId="77777777" w:rsidTr="00077133">
        <w:tc>
          <w:tcPr>
            <w:tcW w:w="2907" w:type="dxa"/>
          </w:tcPr>
          <w:p w14:paraId="7D3DB92E" w14:textId="77777777" w:rsidR="008E7846" w:rsidRPr="00487162" w:rsidRDefault="008E7846" w:rsidP="001B5C90">
            <w:pPr>
              <w:rPr>
                <w:i/>
              </w:rPr>
            </w:pPr>
            <w:r w:rsidRPr="00487162">
              <w:rPr>
                <w:i/>
              </w:rPr>
              <w:t>Product</w:t>
            </w:r>
            <w:r w:rsidR="007D09F7">
              <w:rPr>
                <w:i/>
              </w:rPr>
              <w:t xml:space="preserve"> names</w:t>
            </w:r>
            <w:r w:rsidR="001B5C90">
              <w:rPr>
                <w:i/>
              </w:rPr>
              <w:t>:</w:t>
            </w:r>
          </w:p>
        </w:tc>
        <w:tc>
          <w:tcPr>
            <w:tcW w:w="6307" w:type="dxa"/>
          </w:tcPr>
          <w:p w14:paraId="43F62334" w14:textId="20CFC1E0" w:rsidR="008E7846" w:rsidRPr="00487162" w:rsidRDefault="00B21763" w:rsidP="00E45619">
            <w:r>
              <w:rPr>
                <w:rFonts w:asciiTheme="minorHAnsi" w:hAnsiTheme="minorHAnsi" w:cs="Helv"/>
                <w:color w:val="000000"/>
              </w:rPr>
              <w:t>Remsima,</w:t>
            </w:r>
            <w:r>
              <w:rPr>
                <w:rFonts w:asciiTheme="minorHAnsi" w:hAnsiTheme="minorHAnsi" w:cs="Helv"/>
                <w:color w:val="000000"/>
                <w:lang w:eastAsia="en-AU"/>
              </w:rPr>
              <w:t xml:space="preserve"> Emisima, Flixceli, Inflectra</w:t>
            </w:r>
            <w:r w:rsidR="00433EDE">
              <w:rPr>
                <w:rFonts w:asciiTheme="minorHAnsi" w:hAnsiTheme="minorHAnsi" w:cs="Helv"/>
                <w:color w:val="000000"/>
                <w:lang w:eastAsia="en-AU"/>
              </w:rPr>
              <w:t>;</w:t>
            </w:r>
            <w:r>
              <w:rPr>
                <w:rStyle w:val="FootnoteReference"/>
                <w:rFonts w:asciiTheme="minorHAnsi" w:hAnsiTheme="minorHAnsi" w:cs="Helv"/>
                <w:color w:val="000000"/>
                <w:lang w:eastAsia="en-AU"/>
              </w:rPr>
              <w:footnoteReference w:id="3"/>
            </w:r>
          </w:p>
        </w:tc>
      </w:tr>
      <w:tr w:rsidR="008E7846" w:rsidRPr="00487162" w14:paraId="18EF063C" w14:textId="77777777" w:rsidTr="00077133">
        <w:tc>
          <w:tcPr>
            <w:tcW w:w="2907" w:type="dxa"/>
          </w:tcPr>
          <w:p w14:paraId="34E4D1EA"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14:paraId="4955D034" w14:textId="7F3E872F" w:rsidR="00B21763" w:rsidRDefault="00B21763" w:rsidP="00B21763">
            <w:pPr>
              <w:spacing w:before="60"/>
              <w:rPr>
                <w:rFonts w:asciiTheme="minorHAnsi" w:hAnsiTheme="minorHAnsi" w:cs="Arial"/>
              </w:rPr>
            </w:pPr>
            <w:r>
              <w:rPr>
                <w:rFonts w:asciiTheme="minorHAnsi" w:hAnsiTheme="minorHAnsi" w:cs="Arial"/>
              </w:rPr>
              <w:t>Pharmbio Pty Ltd</w:t>
            </w:r>
            <w:bookmarkStart w:id="13" w:name="_Ref456106789"/>
            <w:r w:rsidR="00433EDE">
              <w:rPr>
                <w:rFonts w:asciiTheme="minorHAnsi" w:hAnsiTheme="minorHAnsi" w:cs="Arial"/>
              </w:rPr>
              <w:t>;</w:t>
            </w:r>
            <w:r>
              <w:rPr>
                <w:rStyle w:val="FootnoteReference"/>
                <w:rFonts w:asciiTheme="minorHAnsi" w:hAnsiTheme="minorHAnsi" w:cs="Arial"/>
              </w:rPr>
              <w:footnoteReference w:id="4"/>
            </w:r>
            <w:bookmarkEnd w:id="13"/>
          </w:p>
          <w:p w14:paraId="7C213EB1" w14:textId="77777777" w:rsidR="00B21763" w:rsidRPr="00AD5D46" w:rsidRDefault="00B21763" w:rsidP="00B21763">
            <w:pPr>
              <w:spacing w:before="60"/>
              <w:rPr>
                <w:rFonts w:asciiTheme="minorHAnsi" w:hAnsiTheme="minorHAnsi" w:cs="Arial"/>
              </w:rPr>
            </w:pPr>
            <w:r w:rsidRPr="00AD5D46">
              <w:rPr>
                <w:rFonts w:asciiTheme="minorHAnsi" w:hAnsiTheme="minorHAnsi" w:cs="Arial"/>
              </w:rPr>
              <w:t>23 Blackwall Rd</w:t>
            </w:r>
          </w:p>
          <w:p w14:paraId="226F0A68" w14:textId="77777777" w:rsidR="008E7846" w:rsidRPr="00487162" w:rsidRDefault="00B21763" w:rsidP="00B21763">
            <w:r>
              <w:rPr>
                <w:rFonts w:asciiTheme="minorHAnsi" w:hAnsiTheme="minorHAnsi" w:cs="Arial"/>
              </w:rPr>
              <w:t>Woy Woy</w:t>
            </w:r>
            <w:r w:rsidRPr="00AD5D46">
              <w:rPr>
                <w:rFonts w:asciiTheme="minorHAnsi" w:hAnsiTheme="minorHAnsi" w:cs="Arial"/>
              </w:rPr>
              <w:t xml:space="preserve"> NSW 2256</w:t>
            </w:r>
          </w:p>
        </w:tc>
      </w:tr>
      <w:tr w:rsidR="008E7846" w:rsidRPr="00487162" w14:paraId="1D5A2CE3" w14:textId="77777777" w:rsidTr="00077133">
        <w:tc>
          <w:tcPr>
            <w:tcW w:w="2907" w:type="dxa"/>
          </w:tcPr>
          <w:p w14:paraId="24CEE618" w14:textId="77777777" w:rsidR="008E7846" w:rsidRPr="00487162" w:rsidRDefault="007D09F7" w:rsidP="00E45619">
            <w:pPr>
              <w:rPr>
                <w:i/>
              </w:rPr>
            </w:pPr>
            <w:r>
              <w:rPr>
                <w:i/>
              </w:rPr>
              <w:t>Dose form</w:t>
            </w:r>
            <w:r w:rsidR="001B5C90">
              <w:rPr>
                <w:i/>
              </w:rPr>
              <w:t>:</w:t>
            </w:r>
          </w:p>
        </w:tc>
        <w:tc>
          <w:tcPr>
            <w:tcW w:w="6307" w:type="dxa"/>
          </w:tcPr>
          <w:p w14:paraId="305DE656" w14:textId="77777777" w:rsidR="008E7846" w:rsidRPr="00487162" w:rsidRDefault="00B21763" w:rsidP="00E45619">
            <w:r>
              <w:rPr>
                <w:rFonts w:asciiTheme="minorHAnsi" w:hAnsiTheme="minorHAnsi"/>
              </w:rPr>
              <w:t>Lyophilised powder for Injection and Water for Injections.</w:t>
            </w:r>
          </w:p>
        </w:tc>
      </w:tr>
      <w:tr w:rsidR="008E7846" w:rsidRPr="00487162" w14:paraId="20C5D94C" w14:textId="77777777" w:rsidTr="00077133">
        <w:tc>
          <w:tcPr>
            <w:tcW w:w="2907" w:type="dxa"/>
          </w:tcPr>
          <w:p w14:paraId="2778CA6C" w14:textId="77777777" w:rsidR="008E7846" w:rsidRPr="00487162" w:rsidRDefault="00B21763" w:rsidP="00E45619">
            <w:pPr>
              <w:rPr>
                <w:i/>
              </w:rPr>
            </w:pPr>
            <w:r>
              <w:rPr>
                <w:i/>
              </w:rPr>
              <w:t>Strength</w:t>
            </w:r>
            <w:r w:rsidR="008E7846" w:rsidRPr="00487162">
              <w:rPr>
                <w:i/>
              </w:rPr>
              <w:t xml:space="preserve">: </w:t>
            </w:r>
          </w:p>
        </w:tc>
        <w:tc>
          <w:tcPr>
            <w:tcW w:w="6307" w:type="dxa"/>
          </w:tcPr>
          <w:p w14:paraId="5FFA4F6C" w14:textId="77777777" w:rsidR="008E7846" w:rsidRPr="00487162" w:rsidRDefault="00B21763" w:rsidP="00E45619">
            <w:r>
              <w:t>100mg</w:t>
            </w:r>
          </w:p>
        </w:tc>
      </w:tr>
      <w:tr w:rsidR="008E7846" w:rsidRPr="00487162" w14:paraId="62E3EF0C" w14:textId="77777777" w:rsidTr="00077133">
        <w:tc>
          <w:tcPr>
            <w:tcW w:w="2907" w:type="dxa"/>
          </w:tcPr>
          <w:p w14:paraId="612E0423" w14:textId="77777777" w:rsidR="008E7846" w:rsidRPr="00487162" w:rsidRDefault="007D09F7" w:rsidP="00E45619">
            <w:pPr>
              <w:rPr>
                <w:i/>
              </w:rPr>
            </w:pPr>
            <w:r>
              <w:rPr>
                <w:i/>
              </w:rPr>
              <w:t>Container</w:t>
            </w:r>
            <w:r w:rsidR="008E7846" w:rsidRPr="00487162">
              <w:rPr>
                <w:i/>
              </w:rPr>
              <w:t>:</w:t>
            </w:r>
          </w:p>
        </w:tc>
        <w:tc>
          <w:tcPr>
            <w:tcW w:w="6307" w:type="dxa"/>
          </w:tcPr>
          <w:p w14:paraId="3D619027" w14:textId="42DE7E16" w:rsidR="008E7846" w:rsidRPr="00487162" w:rsidRDefault="00433EDE" w:rsidP="00E45619">
            <w:r>
              <w:rPr>
                <w:rFonts w:asciiTheme="minorHAnsi" w:hAnsiTheme="minorHAnsi" w:cs="Arial"/>
                <w:szCs w:val="24"/>
              </w:rPr>
              <w:t>V</w:t>
            </w:r>
            <w:r w:rsidR="00B21763">
              <w:rPr>
                <w:rFonts w:asciiTheme="minorHAnsi" w:hAnsiTheme="minorHAnsi" w:cs="Arial"/>
                <w:szCs w:val="24"/>
              </w:rPr>
              <w:t>ial</w:t>
            </w:r>
          </w:p>
        </w:tc>
      </w:tr>
      <w:tr w:rsidR="008E7846" w:rsidRPr="00487162" w14:paraId="636D9256" w14:textId="77777777" w:rsidTr="00077133">
        <w:tc>
          <w:tcPr>
            <w:tcW w:w="2907" w:type="dxa"/>
          </w:tcPr>
          <w:p w14:paraId="5D56991E" w14:textId="77777777" w:rsidR="008E7846" w:rsidRPr="00487162" w:rsidRDefault="007D09F7" w:rsidP="00E45619">
            <w:pPr>
              <w:rPr>
                <w:i/>
              </w:rPr>
            </w:pPr>
            <w:r>
              <w:rPr>
                <w:i/>
              </w:rPr>
              <w:t>Pack size</w:t>
            </w:r>
            <w:r w:rsidR="008E7846" w:rsidRPr="00487162">
              <w:rPr>
                <w:i/>
              </w:rPr>
              <w:t>:</w:t>
            </w:r>
          </w:p>
        </w:tc>
        <w:tc>
          <w:tcPr>
            <w:tcW w:w="6307" w:type="dxa"/>
          </w:tcPr>
          <w:p w14:paraId="5E3CF41B" w14:textId="77777777" w:rsidR="008E7846" w:rsidRPr="00487162" w:rsidRDefault="00B21763" w:rsidP="00E45619">
            <w:r>
              <w:rPr>
                <w:rFonts w:asciiTheme="minorHAnsi" w:hAnsiTheme="minorHAnsi" w:cs="Arial"/>
                <w:szCs w:val="24"/>
              </w:rPr>
              <w:t>1</w:t>
            </w:r>
          </w:p>
        </w:tc>
      </w:tr>
      <w:tr w:rsidR="008E7846" w:rsidRPr="00487162" w14:paraId="20042289" w14:textId="77777777" w:rsidTr="00077133">
        <w:tc>
          <w:tcPr>
            <w:tcW w:w="2907" w:type="dxa"/>
          </w:tcPr>
          <w:p w14:paraId="7D93E7F9"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14:paraId="2E372987" w14:textId="77777777" w:rsidR="00B21763" w:rsidRPr="00861313" w:rsidRDefault="00B21763" w:rsidP="00B21763">
            <w:pPr>
              <w:rPr>
                <w:rFonts w:eastAsia="MS Mincho"/>
                <w:i/>
                <w:lang w:eastAsia="ja-JP"/>
              </w:rPr>
            </w:pPr>
            <w:r w:rsidRPr="00861313">
              <w:rPr>
                <w:rFonts w:eastAsia="MS Mincho"/>
                <w:i/>
                <w:lang w:eastAsia="ja-JP"/>
              </w:rPr>
              <w:t>Rheumatoid Arthritis in adults</w:t>
            </w:r>
          </w:p>
          <w:p w14:paraId="1540F371" w14:textId="77777777" w:rsidR="00B21763" w:rsidRPr="00861313" w:rsidRDefault="00EF0890" w:rsidP="00B21763">
            <w:pPr>
              <w:rPr>
                <w:rFonts w:eastAsia="MS Mincho"/>
                <w:i/>
                <w:lang w:eastAsia="ja-JP"/>
              </w:rPr>
            </w:pPr>
            <w:r>
              <w:rPr>
                <w:rFonts w:eastAsia="MS Mincho"/>
                <w:i/>
                <w:lang w:eastAsia="ja-JP"/>
              </w:rPr>
              <w:t>Inflectra</w:t>
            </w:r>
            <w:r w:rsidR="00B21763" w:rsidRPr="00861313">
              <w:rPr>
                <w:rFonts w:eastAsia="MS Mincho"/>
                <w:i/>
                <w:lang w:eastAsia="ja-JP"/>
              </w:rPr>
              <w:t xml:space="preserve"> in combination with methotrexate, is indicated for the reduction of signs and symptoms and prevention of structural joint damage (erosions and joint space narrowing) in:</w:t>
            </w:r>
          </w:p>
          <w:p w14:paraId="77C7EFE4" w14:textId="77777777" w:rsidR="00B21763" w:rsidRPr="00861313" w:rsidRDefault="00B21763" w:rsidP="00B21763">
            <w:pPr>
              <w:rPr>
                <w:rFonts w:eastAsia="MS Mincho"/>
                <w:i/>
                <w:lang w:eastAsia="ja-JP"/>
              </w:rPr>
            </w:pPr>
            <w:r>
              <w:rPr>
                <w:rFonts w:eastAsia="MS Mincho"/>
                <w:i/>
                <w:lang w:eastAsia="ja-JP"/>
              </w:rPr>
              <w:t>-</w:t>
            </w:r>
            <w:r w:rsidRPr="00861313">
              <w:rPr>
                <w:rFonts w:eastAsia="MS Mincho"/>
                <w:i/>
                <w:lang w:eastAsia="ja-JP"/>
              </w:rPr>
              <w:t>patients with active disease despite treatment with methotrexate</w:t>
            </w:r>
          </w:p>
          <w:p w14:paraId="4C4B06B9" w14:textId="77777777" w:rsidR="00B21763" w:rsidRPr="00861313" w:rsidRDefault="00B21763" w:rsidP="00B21763">
            <w:pPr>
              <w:rPr>
                <w:rFonts w:eastAsia="MS Mincho"/>
                <w:i/>
                <w:lang w:eastAsia="ja-JP"/>
              </w:rPr>
            </w:pPr>
            <w:r>
              <w:rPr>
                <w:rFonts w:eastAsia="MS Mincho"/>
                <w:i/>
                <w:lang w:eastAsia="ja-JP"/>
              </w:rPr>
              <w:t>-</w:t>
            </w:r>
            <w:r w:rsidRPr="00861313">
              <w:rPr>
                <w:rFonts w:eastAsia="MS Mincho"/>
                <w:i/>
                <w:lang w:eastAsia="ja-JP"/>
              </w:rPr>
              <w:t>patients with active disease who have not previously received methotrexate.</w:t>
            </w:r>
          </w:p>
          <w:p w14:paraId="754DBBA6" w14:textId="77777777" w:rsidR="00B21763" w:rsidRPr="00861313" w:rsidRDefault="00EF0890" w:rsidP="00B21763">
            <w:pPr>
              <w:rPr>
                <w:rFonts w:eastAsia="MS Mincho"/>
                <w:i/>
                <w:lang w:eastAsia="ja-JP"/>
              </w:rPr>
            </w:pPr>
            <w:r>
              <w:rPr>
                <w:rFonts w:eastAsia="MS Mincho"/>
                <w:i/>
                <w:lang w:eastAsia="ja-JP"/>
              </w:rPr>
              <w:t>Inflectra</w:t>
            </w:r>
            <w:r w:rsidR="00B21763" w:rsidRPr="00861313">
              <w:rPr>
                <w:rFonts w:eastAsia="MS Mincho"/>
                <w:i/>
                <w:lang w:eastAsia="ja-JP"/>
              </w:rPr>
              <w:t xml:space="preserve"> should be given in combination with methotrexate. Efficacy and safety in Rheumatoid Arthritis have been demonstrated only in combination with methotrexate.</w:t>
            </w:r>
          </w:p>
          <w:p w14:paraId="4224C458" w14:textId="77777777" w:rsidR="00B21763" w:rsidRPr="00861313" w:rsidRDefault="00B21763" w:rsidP="00B21763">
            <w:pPr>
              <w:rPr>
                <w:rFonts w:eastAsia="MS Mincho"/>
                <w:i/>
                <w:lang w:eastAsia="ja-JP"/>
              </w:rPr>
            </w:pPr>
            <w:r w:rsidRPr="00861313">
              <w:rPr>
                <w:rFonts w:eastAsia="MS Mincho"/>
                <w:i/>
                <w:lang w:eastAsia="ja-JP"/>
              </w:rPr>
              <w:t>Ankylosing Spondylitis</w:t>
            </w:r>
          </w:p>
          <w:p w14:paraId="178D3352" w14:textId="77777777" w:rsidR="00B21763" w:rsidRPr="00861313" w:rsidRDefault="00EF0890" w:rsidP="00B21763">
            <w:pPr>
              <w:rPr>
                <w:rFonts w:eastAsia="MS Mincho"/>
                <w:i/>
                <w:lang w:eastAsia="ja-JP"/>
              </w:rPr>
            </w:pPr>
            <w:r>
              <w:rPr>
                <w:rFonts w:eastAsia="MS Mincho"/>
                <w:i/>
                <w:lang w:eastAsia="ja-JP"/>
              </w:rPr>
              <w:t>Inflectra</w:t>
            </w:r>
            <w:r w:rsidR="00B21763" w:rsidRPr="00861313">
              <w:rPr>
                <w:rFonts w:eastAsia="MS Mincho"/>
                <w:i/>
                <w:lang w:eastAsia="ja-JP"/>
              </w:rPr>
              <w:t xml:space="preserve"> is indicated for the reduction of signs and symptoms and improvement in physical function in patients with active disease</w:t>
            </w:r>
          </w:p>
          <w:p w14:paraId="1EF691FB" w14:textId="77777777" w:rsidR="00B21763" w:rsidRPr="00861313" w:rsidRDefault="00B21763" w:rsidP="00B21763">
            <w:pPr>
              <w:rPr>
                <w:rFonts w:eastAsia="MS Mincho"/>
                <w:i/>
                <w:lang w:eastAsia="ja-JP"/>
              </w:rPr>
            </w:pPr>
            <w:r w:rsidRPr="00861313">
              <w:rPr>
                <w:rFonts w:eastAsia="MS Mincho"/>
                <w:i/>
                <w:lang w:eastAsia="ja-JP"/>
              </w:rPr>
              <w:t>Psoriatic arthritis</w:t>
            </w:r>
          </w:p>
          <w:p w14:paraId="744AFEB5" w14:textId="77777777" w:rsidR="00B21763" w:rsidRPr="00861313" w:rsidRDefault="00EF0890" w:rsidP="00B21763">
            <w:pPr>
              <w:rPr>
                <w:rFonts w:eastAsia="MS Mincho"/>
                <w:i/>
                <w:lang w:eastAsia="ja-JP"/>
              </w:rPr>
            </w:pPr>
            <w:r>
              <w:rPr>
                <w:rFonts w:eastAsia="MS Mincho"/>
                <w:i/>
                <w:lang w:eastAsia="ja-JP"/>
              </w:rPr>
              <w:t>Inflectra</w:t>
            </w:r>
            <w:r w:rsidR="00B21763" w:rsidRPr="00861313">
              <w:rPr>
                <w:rFonts w:eastAsia="MS Mincho"/>
                <w:i/>
                <w:lang w:eastAsia="ja-JP"/>
              </w:rPr>
              <w:t xml:space="preserve"> is indicated for the treatment of the signs and symptoms, as well as for the improvement in physical function in adult </w:t>
            </w:r>
            <w:r w:rsidR="00B21763" w:rsidRPr="00861313">
              <w:rPr>
                <w:rFonts w:eastAsia="MS Mincho"/>
                <w:i/>
                <w:lang w:eastAsia="ja-JP"/>
              </w:rPr>
              <w:lastRenderedPageBreak/>
              <w:t>patients with active and progressive psoriatic arthritis who have responded inadequately to disease modifying anti-rheumatic drug (DMARD) therapy.</w:t>
            </w:r>
          </w:p>
          <w:p w14:paraId="7C1A4C41" w14:textId="77777777" w:rsidR="00B21763" w:rsidRPr="00861313" w:rsidRDefault="00EF0890" w:rsidP="00B21763">
            <w:pPr>
              <w:rPr>
                <w:rFonts w:eastAsia="MS Mincho"/>
                <w:i/>
                <w:lang w:eastAsia="ja-JP"/>
              </w:rPr>
            </w:pPr>
            <w:r>
              <w:rPr>
                <w:rFonts w:eastAsia="MS Mincho"/>
                <w:i/>
                <w:lang w:eastAsia="ja-JP"/>
              </w:rPr>
              <w:t>Inflectra</w:t>
            </w:r>
            <w:r w:rsidR="00B21763" w:rsidRPr="00861313">
              <w:rPr>
                <w:rFonts w:eastAsia="MS Mincho"/>
                <w:i/>
                <w:lang w:eastAsia="ja-JP"/>
              </w:rPr>
              <w:t xml:space="preserve"> may be administered in combination with methotrexate.</w:t>
            </w:r>
          </w:p>
          <w:p w14:paraId="17EC460A" w14:textId="77777777" w:rsidR="00B21763" w:rsidRPr="00861313" w:rsidRDefault="00B21763" w:rsidP="00B21763">
            <w:pPr>
              <w:rPr>
                <w:rFonts w:eastAsia="MS Mincho"/>
                <w:i/>
                <w:lang w:eastAsia="ja-JP"/>
              </w:rPr>
            </w:pPr>
            <w:r w:rsidRPr="00861313">
              <w:rPr>
                <w:rFonts w:eastAsia="MS Mincho"/>
                <w:i/>
                <w:lang w:eastAsia="ja-JP"/>
              </w:rPr>
              <w:t>Psoriasis</w:t>
            </w:r>
          </w:p>
          <w:p w14:paraId="5E479AD0" w14:textId="77777777" w:rsidR="00B21763" w:rsidRPr="00861313" w:rsidRDefault="00EF0890" w:rsidP="00B21763">
            <w:pPr>
              <w:rPr>
                <w:rFonts w:eastAsia="MS Mincho"/>
                <w:i/>
                <w:lang w:eastAsia="ja-JP"/>
              </w:rPr>
            </w:pPr>
            <w:r>
              <w:rPr>
                <w:rFonts w:eastAsia="MS Mincho"/>
                <w:i/>
                <w:lang w:eastAsia="ja-JP"/>
              </w:rPr>
              <w:t>Inflectra</w:t>
            </w:r>
            <w:r w:rsidR="00B21763" w:rsidRPr="00861313">
              <w:rPr>
                <w:rFonts w:eastAsia="MS Mincho"/>
                <w:i/>
                <w:lang w:eastAsia="ja-JP"/>
              </w:rPr>
              <w:t xml:space="preserve"> is indicated for the treatment of adult pa</w:t>
            </w:r>
            <w:r w:rsidR="00B21763">
              <w:rPr>
                <w:rFonts w:eastAsia="MS Mincho"/>
                <w:i/>
                <w:lang w:eastAsia="ja-JP"/>
              </w:rPr>
              <w:t>tients with moderate to severe pl</w:t>
            </w:r>
            <w:r w:rsidR="00B21763" w:rsidRPr="00861313">
              <w:rPr>
                <w:rFonts w:eastAsia="MS Mincho"/>
                <w:i/>
                <w:lang w:eastAsia="ja-JP"/>
              </w:rPr>
              <w:t>aque psoriasis for whom phototherapy or conventional systemic treatments have been inadequate or are inappropriate. Safety and efficacy beyond 12 months have not been established.</w:t>
            </w:r>
          </w:p>
          <w:p w14:paraId="7C0B0BB4" w14:textId="77777777" w:rsidR="00B21763" w:rsidRPr="00861313" w:rsidRDefault="00B21763" w:rsidP="00B21763">
            <w:pPr>
              <w:rPr>
                <w:rFonts w:eastAsia="MS Mincho"/>
                <w:i/>
                <w:lang w:eastAsia="ja-JP"/>
              </w:rPr>
            </w:pPr>
            <w:r w:rsidRPr="00861313">
              <w:rPr>
                <w:rFonts w:eastAsia="MS Mincho"/>
                <w:i/>
                <w:lang w:eastAsia="ja-JP"/>
              </w:rPr>
              <w:t xml:space="preserve">Crohn's Disease in Adults and in Children and adolescents </w:t>
            </w:r>
            <w:r>
              <w:rPr>
                <w:rFonts w:eastAsia="MS Mincho"/>
                <w:i/>
                <w:lang w:eastAsia="ja-JP"/>
              </w:rPr>
              <w:t>(</w:t>
            </w:r>
            <w:r w:rsidRPr="00861313">
              <w:rPr>
                <w:rFonts w:eastAsia="MS Mincho"/>
                <w:i/>
                <w:lang w:eastAsia="ja-JP"/>
              </w:rPr>
              <w:t>6 to 17 years</w:t>
            </w:r>
            <w:r>
              <w:rPr>
                <w:rFonts w:eastAsia="MS Mincho"/>
                <w:i/>
                <w:lang w:eastAsia="ja-JP"/>
              </w:rPr>
              <w:t>)</w:t>
            </w:r>
          </w:p>
          <w:p w14:paraId="4ECCF90B" w14:textId="77777777" w:rsidR="00B21763" w:rsidRDefault="00EF0890" w:rsidP="00B21763">
            <w:pPr>
              <w:rPr>
                <w:rFonts w:eastAsia="MS Mincho"/>
                <w:i/>
                <w:lang w:eastAsia="ja-JP"/>
              </w:rPr>
            </w:pPr>
            <w:r>
              <w:rPr>
                <w:rFonts w:eastAsia="MS Mincho"/>
                <w:i/>
                <w:lang w:eastAsia="ja-JP"/>
              </w:rPr>
              <w:t>Inflectra</w:t>
            </w:r>
            <w:r w:rsidR="00B21763" w:rsidRPr="00861313">
              <w:rPr>
                <w:rFonts w:eastAsia="MS Mincho"/>
                <w:i/>
                <w:lang w:eastAsia="ja-JP"/>
              </w:rPr>
              <w:t xml:space="preserve"> is indicated for the treatment of moderate to severe Crohn's disease, to reduce the signs and symptoms and to induce and maintain clinical remission in patients who have an inadequate response to conventional therapies.</w:t>
            </w:r>
          </w:p>
          <w:p w14:paraId="287AF031" w14:textId="77777777" w:rsidR="00B21763" w:rsidRPr="002D4C7C" w:rsidRDefault="00B21763" w:rsidP="00B21763">
            <w:pPr>
              <w:rPr>
                <w:rFonts w:eastAsia="MS Mincho"/>
                <w:i/>
                <w:lang w:eastAsia="ja-JP"/>
              </w:rPr>
            </w:pPr>
            <w:r w:rsidRPr="002D4C7C">
              <w:rPr>
                <w:rFonts w:eastAsia="MS Mincho"/>
                <w:i/>
                <w:lang w:eastAsia="ja-JP"/>
              </w:rPr>
              <w:t>Refractory Fistulising Crohn’s Disease</w:t>
            </w:r>
          </w:p>
          <w:p w14:paraId="0F5D4F6F" w14:textId="77777777" w:rsidR="00B21763" w:rsidRPr="002D4C7C" w:rsidRDefault="00EF0890" w:rsidP="00B21763">
            <w:pPr>
              <w:rPr>
                <w:rFonts w:eastAsia="MS Mincho"/>
                <w:i/>
                <w:lang w:eastAsia="ja-JP"/>
              </w:rPr>
            </w:pPr>
            <w:r>
              <w:rPr>
                <w:rFonts w:eastAsia="MS Mincho"/>
                <w:i/>
                <w:lang w:eastAsia="ja-JP"/>
              </w:rPr>
              <w:t>Inflectra</w:t>
            </w:r>
            <w:r w:rsidR="00B21763" w:rsidRPr="002D4C7C">
              <w:rPr>
                <w:rFonts w:eastAsia="MS Mincho"/>
                <w:i/>
                <w:lang w:eastAsia="ja-JP"/>
              </w:rPr>
              <w:t xml:space="preserve"> is indicated for reducing the number of draining </w:t>
            </w:r>
            <w:proofErr w:type="spellStart"/>
            <w:r w:rsidR="00B21763" w:rsidRPr="002D4C7C">
              <w:rPr>
                <w:rFonts w:eastAsia="MS Mincho"/>
                <w:i/>
                <w:lang w:eastAsia="ja-JP"/>
              </w:rPr>
              <w:t>enterocutaneous</w:t>
            </w:r>
            <w:proofErr w:type="spellEnd"/>
            <w:r w:rsidR="00B21763" w:rsidRPr="002D4C7C">
              <w:rPr>
                <w:rFonts w:eastAsia="MS Mincho"/>
                <w:i/>
                <w:lang w:eastAsia="ja-JP"/>
              </w:rPr>
              <w:t xml:space="preserve"> and rectovaginal fistulas and maintaining fistula closure in adult patients.</w:t>
            </w:r>
          </w:p>
          <w:p w14:paraId="09BD21AE" w14:textId="77777777" w:rsidR="00B21763" w:rsidRPr="002D4C7C" w:rsidRDefault="00B21763" w:rsidP="00B21763">
            <w:pPr>
              <w:rPr>
                <w:rFonts w:eastAsia="MS Mincho"/>
                <w:i/>
                <w:lang w:eastAsia="ja-JP"/>
              </w:rPr>
            </w:pPr>
            <w:r w:rsidRPr="002D4C7C">
              <w:rPr>
                <w:rFonts w:eastAsia="MS Mincho"/>
                <w:i/>
                <w:lang w:eastAsia="ja-JP"/>
              </w:rPr>
              <w:t>Ulcerative colitis in Adults and in Children and adolescents (6 to 17 years)</w:t>
            </w:r>
          </w:p>
          <w:p w14:paraId="37C1C736" w14:textId="77777777" w:rsidR="008E7846" w:rsidRPr="00487162" w:rsidRDefault="00EF0890" w:rsidP="00B21763">
            <w:pPr>
              <w:rPr>
                <w:rFonts w:eastAsia="MS Mincho"/>
                <w:lang w:eastAsia="ja-JP"/>
              </w:rPr>
            </w:pPr>
            <w:r>
              <w:rPr>
                <w:rFonts w:eastAsia="MS Mincho"/>
                <w:i/>
                <w:lang w:eastAsia="ja-JP"/>
              </w:rPr>
              <w:t>Inflectra</w:t>
            </w:r>
            <w:r w:rsidR="00B21763" w:rsidRPr="002D4C7C">
              <w:rPr>
                <w:rFonts w:eastAsia="MS Mincho"/>
                <w:i/>
                <w:lang w:eastAsia="ja-JP"/>
              </w:rPr>
              <w:t xml:space="preserve"> is indicated for the treatment of moderately severe to severe active ulcerative colitis in patients who have had an inadequate response to conventional therapy.</w:t>
            </w:r>
          </w:p>
        </w:tc>
      </w:tr>
      <w:tr w:rsidR="008E7846" w:rsidRPr="00487162" w14:paraId="20C86BBB" w14:textId="77777777" w:rsidTr="00077133">
        <w:tc>
          <w:tcPr>
            <w:tcW w:w="2907" w:type="dxa"/>
          </w:tcPr>
          <w:p w14:paraId="59AD92EC" w14:textId="77777777" w:rsidR="008E7846" w:rsidRPr="00487162" w:rsidRDefault="007D09F7" w:rsidP="00E45619">
            <w:pPr>
              <w:rPr>
                <w:i/>
              </w:rPr>
            </w:pPr>
            <w:r>
              <w:rPr>
                <w:i/>
              </w:rPr>
              <w:lastRenderedPageBreak/>
              <w:t>Route</w:t>
            </w:r>
            <w:r w:rsidR="008E7846" w:rsidRPr="00487162">
              <w:rPr>
                <w:i/>
              </w:rPr>
              <w:t xml:space="preserve"> of administration:</w:t>
            </w:r>
          </w:p>
        </w:tc>
        <w:tc>
          <w:tcPr>
            <w:tcW w:w="6307" w:type="dxa"/>
          </w:tcPr>
          <w:p w14:paraId="72EA4791" w14:textId="77777777" w:rsidR="008E7846" w:rsidRPr="00487162" w:rsidRDefault="00B21763" w:rsidP="00E45619">
            <w:r>
              <w:rPr>
                <w:rFonts w:asciiTheme="minorHAnsi" w:hAnsiTheme="minorHAnsi" w:cs="Arial"/>
                <w:szCs w:val="24"/>
              </w:rPr>
              <w:t>Intravenous infusion (IV)</w:t>
            </w:r>
          </w:p>
        </w:tc>
      </w:tr>
      <w:tr w:rsidR="008E7846" w:rsidRPr="00487162" w14:paraId="64A61E02" w14:textId="77777777" w:rsidTr="00077133">
        <w:tc>
          <w:tcPr>
            <w:tcW w:w="2907" w:type="dxa"/>
          </w:tcPr>
          <w:p w14:paraId="43D9A7B2" w14:textId="77777777" w:rsidR="008E7846" w:rsidRPr="00487162" w:rsidRDefault="008E7846" w:rsidP="00E45619">
            <w:pPr>
              <w:rPr>
                <w:i/>
              </w:rPr>
            </w:pPr>
            <w:r w:rsidRPr="00487162">
              <w:rPr>
                <w:i/>
              </w:rPr>
              <w:t>Dosage:</w:t>
            </w:r>
          </w:p>
        </w:tc>
        <w:tc>
          <w:tcPr>
            <w:tcW w:w="6307" w:type="dxa"/>
          </w:tcPr>
          <w:p w14:paraId="10032B70" w14:textId="77777777" w:rsidR="008E7846" w:rsidRPr="00487162" w:rsidRDefault="00B21763" w:rsidP="00E45619">
            <w:r>
              <w:t>The dosage is the same as for the innovator product. Please see the Product Information (PI) for details.</w:t>
            </w:r>
          </w:p>
        </w:tc>
      </w:tr>
      <w:tr w:rsidR="008E7846" w:rsidRPr="00487162" w14:paraId="6B967B20" w14:textId="77777777" w:rsidTr="00077133">
        <w:tc>
          <w:tcPr>
            <w:tcW w:w="2907" w:type="dxa"/>
          </w:tcPr>
          <w:p w14:paraId="53DA2704" w14:textId="77777777" w:rsidR="008E7846" w:rsidRPr="00487162" w:rsidRDefault="008E7846" w:rsidP="001B5C90">
            <w:pPr>
              <w:rPr>
                <w:i/>
              </w:rPr>
            </w:pPr>
            <w:r w:rsidRPr="00487162">
              <w:rPr>
                <w:i/>
              </w:rPr>
              <w:t xml:space="preserve">ARTG </w:t>
            </w:r>
            <w:r w:rsidR="001B5C90">
              <w:rPr>
                <w:i/>
              </w:rPr>
              <w:t>n</w:t>
            </w:r>
            <w:r w:rsidR="007D09F7">
              <w:rPr>
                <w:i/>
              </w:rPr>
              <w:t>umbers</w:t>
            </w:r>
            <w:r w:rsidR="001B5C90">
              <w:rPr>
                <w:i/>
              </w:rPr>
              <w:t>:</w:t>
            </w:r>
          </w:p>
        </w:tc>
        <w:tc>
          <w:tcPr>
            <w:tcW w:w="6307" w:type="dxa"/>
          </w:tcPr>
          <w:p w14:paraId="73179AB1" w14:textId="77777777" w:rsidR="008E7846" w:rsidRPr="00487162" w:rsidRDefault="00B21763" w:rsidP="00E45619">
            <w:r w:rsidRPr="00331840">
              <w:t>217064, 217066, 217063, 217065</w:t>
            </w:r>
          </w:p>
        </w:tc>
      </w:tr>
    </w:tbl>
    <w:p w14:paraId="06FE5A2A" w14:textId="77777777" w:rsidR="008E7846" w:rsidRDefault="008E7846" w:rsidP="008E7846">
      <w:pPr>
        <w:pStyle w:val="Heading3"/>
      </w:pPr>
      <w:bookmarkStart w:id="14" w:name="_Toc247691503"/>
      <w:bookmarkStart w:id="15" w:name="_Toc314842484"/>
      <w:bookmarkStart w:id="16" w:name="_Toc44576998"/>
      <w:r>
        <w:t>Product background</w:t>
      </w:r>
      <w:bookmarkEnd w:id="14"/>
      <w:bookmarkEnd w:id="15"/>
      <w:bookmarkEnd w:id="16"/>
    </w:p>
    <w:p w14:paraId="66D5A125" w14:textId="6C97E1F0" w:rsidR="00B21763" w:rsidRDefault="00B21763" w:rsidP="00B21763">
      <w:bookmarkStart w:id="17" w:name="_Toc314842485"/>
      <w:bookmarkStart w:id="18" w:name="_Toc247691504"/>
      <w:r w:rsidRPr="00126465">
        <w:t xml:space="preserve">This AusPAR describes the application </w:t>
      </w:r>
      <w:r>
        <w:t>by Pharmbio Pty Ltd (the sponsor du</w:t>
      </w:r>
      <w:r w:rsidR="00891631">
        <w:t xml:space="preserve">ring the TGA evaluation process; please note the current sponsor for Inflectra is Pfizer Australia Pty Ltd and for </w:t>
      </w:r>
      <w:r w:rsidR="00891631">
        <w:rPr>
          <w:rFonts w:asciiTheme="minorHAnsi" w:hAnsiTheme="minorHAnsi" w:cs="Helv"/>
          <w:color w:val="000000"/>
        </w:rPr>
        <w:t>Remsima,</w:t>
      </w:r>
      <w:r w:rsidR="00891631">
        <w:rPr>
          <w:rFonts w:asciiTheme="minorHAnsi" w:hAnsiTheme="minorHAnsi" w:cs="Helv"/>
          <w:color w:val="000000"/>
          <w:lang w:eastAsia="en-AU"/>
        </w:rPr>
        <w:t xml:space="preserve"> Emisima, and Flixceli</w:t>
      </w:r>
      <w:r w:rsidR="00891631">
        <w:t xml:space="preserve"> is Cel</w:t>
      </w:r>
      <w:r w:rsidR="005C6586">
        <w:t>l</w:t>
      </w:r>
      <w:r w:rsidR="00891631">
        <w:t>trion Healthcare Australia Pty Ltd</w:t>
      </w:r>
      <w:r>
        <w:t>)</w:t>
      </w:r>
      <w:r w:rsidR="00891631">
        <w:t>;</w:t>
      </w:r>
      <w:r>
        <w:t xml:space="preserve"> </w:t>
      </w:r>
      <w:r w:rsidRPr="00126465">
        <w:t>to register CT</w:t>
      </w:r>
      <w:r w:rsidRPr="00126465">
        <w:noBreakHyphen/>
        <w:t xml:space="preserve">P13 </w:t>
      </w:r>
      <w:r>
        <w:t>(</w:t>
      </w:r>
      <w:r w:rsidRPr="00C636A4">
        <w:t>infliximab (rmc)</w:t>
      </w:r>
      <w:r>
        <w:t>)</w:t>
      </w:r>
      <w:r w:rsidR="00AF7DB6">
        <w:t xml:space="preserve"> </w:t>
      </w:r>
      <w:r w:rsidRPr="00126465">
        <w:t>(</w:t>
      </w:r>
      <w:r>
        <w:t xml:space="preserve">with the trade names </w:t>
      </w:r>
      <w:r w:rsidRPr="00126465">
        <w:t>Remsima</w:t>
      </w:r>
      <w:r>
        <w:t xml:space="preserve">, Emisima, Flixceli, and </w:t>
      </w:r>
      <w:r w:rsidRPr="00CD0E5C">
        <w:t>Inflectra</w:t>
      </w:r>
      <w:r w:rsidRPr="00126465">
        <w:t xml:space="preserve">) as a biosimilar medicine </w:t>
      </w:r>
      <w:r w:rsidRPr="001E371F">
        <w:t xml:space="preserve">of </w:t>
      </w:r>
      <w:r w:rsidRPr="00126465">
        <w:t>infliximab (rmc)</w:t>
      </w:r>
      <w:r w:rsidRPr="00EF08A6">
        <w:t>, for the same indications approved for the innovator product Remicade</w:t>
      </w:r>
      <w:r>
        <w:t xml:space="preserve"> (</w:t>
      </w:r>
      <w:r w:rsidRPr="008E4355">
        <w:t>the reference medicinal product</w:t>
      </w:r>
      <w:r w:rsidRPr="00956503">
        <w:t>)</w:t>
      </w:r>
      <w:r w:rsidRPr="00EF08A6">
        <w:t xml:space="preserve"> as follows</w:t>
      </w:r>
      <w:r>
        <w:t>:</w:t>
      </w:r>
    </w:p>
    <w:p w14:paraId="2C9408DF" w14:textId="77777777" w:rsidR="00AA32F8" w:rsidRPr="007E1AFF" w:rsidRDefault="00AA32F8" w:rsidP="00AA32F8">
      <w:pPr>
        <w:rPr>
          <w:i/>
        </w:rPr>
      </w:pPr>
      <w:r w:rsidRPr="007E1AFF">
        <w:rPr>
          <w:i/>
        </w:rPr>
        <w:t>Rheumatoid Arthritis in adults</w:t>
      </w:r>
    </w:p>
    <w:p w14:paraId="4625133A" w14:textId="77777777" w:rsidR="00AA32F8" w:rsidRPr="007E1AFF" w:rsidRDefault="00EF0890" w:rsidP="00AA32F8">
      <w:pPr>
        <w:ind w:left="720"/>
        <w:rPr>
          <w:i/>
        </w:rPr>
      </w:pPr>
      <w:r>
        <w:rPr>
          <w:i/>
        </w:rPr>
        <w:t>Inflectra</w:t>
      </w:r>
      <w:r w:rsidR="00AA32F8" w:rsidRPr="007E1AFF">
        <w:rPr>
          <w:i/>
        </w:rPr>
        <w:t xml:space="preserve"> in combination with </w:t>
      </w:r>
      <w:r w:rsidR="007D09F7" w:rsidRPr="007E1AFF">
        <w:rPr>
          <w:i/>
        </w:rPr>
        <w:t>methotrexate</w:t>
      </w:r>
      <w:r w:rsidR="00AA32F8" w:rsidRPr="007E1AFF">
        <w:rPr>
          <w:i/>
        </w:rPr>
        <w:t xml:space="preserve"> is indicated for the reduction of signs and symptoms and prevention of structural joint damage (erosions and joint space narrowing) in:</w:t>
      </w:r>
    </w:p>
    <w:p w14:paraId="175F6519" w14:textId="77777777" w:rsidR="00AA32F8" w:rsidRPr="007E1AFF" w:rsidRDefault="00AA32F8" w:rsidP="00AA32F8">
      <w:pPr>
        <w:ind w:left="1440"/>
        <w:rPr>
          <w:i/>
        </w:rPr>
      </w:pPr>
      <w:r w:rsidRPr="007E1AFF">
        <w:rPr>
          <w:i/>
        </w:rPr>
        <w:t>patients with active disease despite treatment with methotrexate</w:t>
      </w:r>
    </w:p>
    <w:p w14:paraId="41B63F6E" w14:textId="77777777" w:rsidR="00AA32F8" w:rsidRPr="007E1AFF" w:rsidRDefault="00AA32F8" w:rsidP="00AA32F8">
      <w:pPr>
        <w:ind w:left="1440"/>
        <w:rPr>
          <w:i/>
        </w:rPr>
      </w:pPr>
      <w:r w:rsidRPr="007E1AFF">
        <w:rPr>
          <w:i/>
        </w:rPr>
        <w:t>patients with active disease who have not previously received methotrexate.</w:t>
      </w:r>
    </w:p>
    <w:p w14:paraId="07AC4684" w14:textId="77777777" w:rsidR="00AA32F8" w:rsidRPr="007E1AFF" w:rsidRDefault="00EF0890" w:rsidP="00AA32F8">
      <w:pPr>
        <w:ind w:left="720"/>
        <w:rPr>
          <w:i/>
        </w:rPr>
      </w:pPr>
      <w:r>
        <w:rPr>
          <w:i/>
        </w:rPr>
        <w:lastRenderedPageBreak/>
        <w:t>Inflectra</w:t>
      </w:r>
      <w:r w:rsidR="00AA32F8" w:rsidRPr="007E1AFF">
        <w:rPr>
          <w:i/>
        </w:rPr>
        <w:t xml:space="preserve"> should be given in combination with methotrexate. Efficacy and safety in Rheumatoid Arthritis have been demonstrated only in combination with methotrexate.</w:t>
      </w:r>
    </w:p>
    <w:p w14:paraId="7719EA7A" w14:textId="77777777" w:rsidR="00AA32F8" w:rsidRPr="007E1AFF" w:rsidRDefault="00AA32F8" w:rsidP="00AA32F8">
      <w:pPr>
        <w:rPr>
          <w:i/>
        </w:rPr>
      </w:pPr>
      <w:r w:rsidRPr="007E1AFF">
        <w:rPr>
          <w:i/>
        </w:rPr>
        <w:t>Ankylosing Spondylitis</w:t>
      </w:r>
    </w:p>
    <w:p w14:paraId="384530D3" w14:textId="77777777" w:rsidR="00AA32F8" w:rsidRPr="007E1AFF" w:rsidRDefault="00EF0890" w:rsidP="00AA32F8">
      <w:pPr>
        <w:ind w:left="720"/>
        <w:rPr>
          <w:i/>
        </w:rPr>
      </w:pPr>
      <w:r>
        <w:rPr>
          <w:i/>
        </w:rPr>
        <w:t>Inflectra</w:t>
      </w:r>
      <w:r w:rsidR="00AA32F8" w:rsidRPr="007E1AFF">
        <w:rPr>
          <w:i/>
        </w:rPr>
        <w:t xml:space="preserve"> is indicated for the reduction of signs and symptoms and improvement in physical function in patients with active disease</w:t>
      </w:r>
    </w:p>
    <w:p w14:paraId="516ED4B6" w14:textId="77777777" w:rsidR="00AA32F8" w:rsidRPr="007E1AFF" w:rsidRDefault="00AA32F8" w:rsidP="00AA32F8">
      <w:pPr>
        <w:rPr>
          <w:i/>
        </w:rPr>
      </w:pPr>
      <w:r w:rsidRPr="007E1AFF">
        <w:rPr>
          <w:i/>
        </w:rPr>
        <w:t>Psoriatic arthritis</w:t>
      </w:r>
    </w:p>
    <w:p w14:paraId="23E31D97" w14:textId="19C3AD20" w:rsidR="00AA32F8" w:rsidRPr="007E1AFF" w:rsidRDefault="00EF0890" w:rsidP="00AA32F8">
      <w:pPr>
        <w:ind w:left="720"/>
        <w:rPr>
          <w:i/>
        </w:rPr>
      </w:pPr>
      <w:r>
        <w:rPr>
          <w:i/>
        </w:rPr>
        <w:t>Inflectra</w:t>
      </w:r>
      <w:r w:rsidR="00AA32F8" w:rsidRPr="007E1AFF">
        <w:rPr>
          <w:i/>
        </w:rPr>
        <w:t xml:space="preserve"> is indicated for the treatment of the signs and symptoms, as well as for the improvement in physical function in adult patients with active and progressive psoriatic arthritis who have responded inadequately to disease modifying anti</w:t>
      </w:r>
      <w:r w:rsidR="00433EDE">
        <w:rPr>
          <w:i/>
        </w:rPr>
        <w:noBreakHyphen/>
      </w:r>
      <w:r w:rsidR="00AA32F8" w:rsidRPr="007E1AFF">
        <w:rPr>
          <w:i/>
        </w:rPr>
        <w:t>rheumatic drug (DMARD) therapy.</w:t>
      </w:r>
    </w:p>
    <w:p w14:paraId="5AF2EAAB" w14:textId="77777777" w:rsidR="00AA32F8" w:rsidRPr="007E1AFF" w:rsidRDefault="00EF0890" w:rsidP="00AA32F8">
      <w:pPr>
        <w:ind w:left="720"/>
        <w:rPr>
          <w:i/>
        </w:rPr>
      </w:pPr>
      <w:r>
        <w:rPr>
          <w:i/>
        </w:rPr>
        <w:t>Inflectra</w:t>
      </w:r>
      <w:r w:rsidR="00AA32F8" w:rsidRPr="007E1AFF">
        <w:rPr>
          <w:i/>
        </w:rPr>
        <w:t xml:space="preserve"> may be administered in combination with methotrexate.</w:t>
      </w:r>
    </w:p>
    <w:p w14:paraId="34218088" w14:textId="77777777" w:rsidR="00AA32F8" w:rsidRPr="007E1AFF" w:rsidRDefault="00AA32F8" w:rsidP="00AA32F8">
      <w:pPr>
        <w:rPr>
          <w:i/>
        </w:rPr>
      </w:pPr>
      <w:r w:rsidRPr="007E1AFF">
        <w:rPr>
          <w:i/>
        </w:rPr>
        <w:t>Psoriasis</w:t>
      </w:r>
    </w:p>
    <w:p w14:paraId="044CB627" w14:textId="77777777" w:rsidR="00AA32F8" w:rsidRPr="007E1AFF" w:rsidRDefault="00EF0890" w:rsidP="00AA32F8">
      <w:pPr>
        <w:ind w:left="720"/>
        <w:rPr>
          <w:i/>
        </w:rPr>
      </w:pPr>
      <w:r>
        <w:rPr>
          <w:i/>
        </w:rPr>
        <w:t>Inflectra</w:t>
      </w:r>
      <w:r w:rsidR="00AA32F8" w:rsidRPr="007E1AFF">
        <w:rPr>
          <w:i/>
        </w:rPr>
        <w:t xml:space="preserve"> is indicated for the treatment of adult patients with moderate to severe plaque psoriasis for whom phototherapy or conventional systemic treatments have been inadequate or are inappropriate. Safety and efficacy beyond 12 months have not been established.</w:t>
      </w:r>
    </w:p>
    <w:p w14:paraId="0DF4BA5B" w14:textId="77777777" w:rsidR="00AA32F8" w:rsidRPr="007E1AFF" w:rsidRDefault="00AA32F8" w:rsidP="00AA32F8">
      <w:pPr>
        <w:rPr>
          <w:i/>
        </w:rPr>
      </w:pPr>
      <w:r w:rsidRPr="007E1AFF">
        <w:rPr>
          <w:i/>
        </w:rPr>
        <w:t>Crohn's Disease in Adults and in Children and adolescents 6 to 17 years</w:t>
      </w:r>
    </w:p>
    <w:p w14:paraId="009DF3C7" w14:textId="77777777" w:rsidR="00AA32F8" w:rsidRDefault="00EF0890" w:rsidP="00AA32F8">
      <w:pPr>
        <w:ind w:left="720"/>
        <w:rPr>
          <w:i/>
        </w:rPr>
      </w:pPr>
      <w:r>
        <w:rPr>
          <w:i/>
        </w:rPr>
        <w:t>Inflectra</w:t>
      </w:r>
      <w:r w:rsidR="00AA32F8" w:rsidRPr="007E1AFF">
        <w:rPr>
          <w:i/>
        </w:rPr>
        <w:t xml:space="preserve"> is indicated for the treatment of moderate to severe Crohn's disease, to reduce the signs and symptoms and to induce and maintain clinical remission in patients who have an inadequate response to conventional therapies.</w:t>
      </w:r>
    </w:p>
    <w:p w14:paraId="469DCE0B" w14:textId="77777777" w:rsidR="00AA32F8" w:rsidRPr="002D4C7C" w:rsidRDefault="00AA32F8" w:rsidP="00AA32F8">
      <w:pPr>
        <w:rPr>
          <w:i/>
        </w:rPr>
      </w:pPr>
      <w:r w:rsidRPr="002D4C7C">
        <w:rPr>
          <w:i/>
        </w:rPr>
        <w:t>Refractory Fistulising Crohn’s Disease</w:t>
      </w:r>
    </w:p>
    <w:p w14:paraId="2EF6510B" w14:textId="77777777" w:rsidR="00AA32F8" w:rsidRPr="002D4C7C" w:rsidRDefault="00EF0890" w:rsidP="00AA32F8">
      <w:pPr>
        <w:ind w:left="720"/>
        <w:rPr>
          <w:i/>
        </w:rPr>
      </w:pPr>
      <w:r>
        <w:rPr>
          <w:i/>
        </w:rPr>
        <w:t>Inflectra</w:t>
      </w:r>
      <w:r w:rsidR="00AA32F8" w:rsidRPr="002D4C7C">
        <w:rPr>
          <w:i/>
        </w:rPr>
        <w:t xml:space="preserve"> is indicated for reducing the number of draining </w:t>
      </w:r>
      <w:proofErr w:type="spellStart"/>
      <w:r w:rsidR="00AA32F8" w:rsidRPr="002D4C7C">
        <w:rPr>
          <w:i/>
        </w:rPr>
        <w:t>enterocutaneous</w:t>
      </w:r>
      <w:proofErr w:type="spellEnd"/>
      <w:r w:rsidR="00AA32F8" w:rsidRPr="002D4C7C">
        <w:rPr>
          <w:i/>
        </w:rPr>
        <w:t xml:space="preserve"> and rectovaginal fistulas and maintaining fistula closure in adult patients.</w:t>
      </w:r>
    </w:p>
    <w:p w14:paraId="3A8FD828" w14:textId="77777777" w:rsidR="00AA32F8" w:rsidRPr="002D4C7C" w:rsidRDefault="00AA32F8" w:rsidP="00AA32F8">
      <w:pPr>
        <w:rPr>
          <w:i/>
        </w:rPr>
      </w:pPr>
      <w:r w:rsidRPr="002D4C7C">
        <w:rPr>
          <w:i/>
        </w:rPr>
        <w:t xml:space="preserve">Ulcerative colitis in Adults and in Children </w:t>
      </w:r>
      <w:r>
        <w:rPr>
          <w:i/>
        </w:rPr>
        <w:t>and adolescents (6 to 17 years)</w:t>
      </w:r>
    </w:p>
    <w:p w14:paraId="3B64431C" w14:textId="460EF350" w:rsidR="00AA32F8" w:rsidRPr="007E1AFF" w:rsidRDefault="00EF0890" w:rsidP="00AA32F8">
      <w:pPr>
        <w:ind w:left="720"/>
        <w:rPr>
          <w:i/>
        </w:rPr>
      </w:pPr>
      <w:r>
        <w:rPr>
          <w:i/>
        </w:rPr>
        <w:t>Inflectra</w:t>
      </w:r>
      <w:r w:rsidR="00AA32F8" w:rsidRPr="002D4C7C">
        <w:rPr>
          <w:i/>
        </w:rPr>
        <w:t xml:space="preserve"> is indicated for the treatment of moderately severe to severe active ulcerative colitis in patients who have had an inadequate response to conventional</w:t>
      </w:r>
      <w:r w:rsidR="00C41A55">
        <w:rPr>
          <w:i/>
        </w:rPr>
        <w:t>.</w:t>
      </w:r>
      <w:r w:rsidR="00AA32F8" w:rsidRPr="002D4C7C">
        <w:rPr>
          <w:i/>
        </w:rPr>
        <w:t xml:space="preserve"> </w:t>
      </w:r>
    </w:p>
    <w:p w14:paraId="106F5514" w14:textId="1CA161B4" w:rsidR="00AA32F8" w:rsidRPr="00126465" w:rsidRDefault="00AA32F8" w:rsidP="00AA32F8">
      <w:r w:rsidRPr="00126465">
        <w:t>The sponsor is applying for the same dosage as Remicade.</w:t>
      </w:r>
    </w:p>
    <w:p w14:paraId="1A1F93D2" w14:textId="4924B8D4" w:rsidR="00AA32F8" w:rsidRPr="00E476D0" w:rsidRDefault="00AA32F8" w:rsidP="00AA32F8">
      <w:r w:rsidRPr="00E476D0">
        <w:t xml:space="preserve">The development of CT-P13 has been guided by European Union (EU) requirements, </w:t>
      </w:r>
      <w:r w:rsidR="00C41A55">
        <w:t xml:space="preserve">which are </w:t>
      </w:r>
      <w:r w:rsidRPr="000F7643">
        <w:t>adopted</w:t>
      </w:r>
      <w:r w:rsidR="00C41A55">
        <w:t xml:space="preserve"> by the TGA</w:t>
      </w:r>
      <w:r w:rsidRPr="00E476D0">
        <w:t xml:space="preserve">. </w:t>
      </w:r>
    </w:p>
    <w:p w14:paraId="48769191" w14:textId="77777777" w:rsidR="00AA32F8" w:rsidRPr="00E476D0" w:rsidRDefault="00AA32F8" w:rsidP="00AA32F8">
      <w:pPr>
        <w:pStyle w:val="Heading4"/>
      </w:pPr>
      <w:r w:rsidRPr="00E476D0">
        <w:t>Drug class and therapeutic indication</w:t>
      </w:r>
    </w:p>
    <w:p w14:paraId="07BB3CF3" w14:textId="6BA8136E" w:rsidR="00AA32F8" w:rsidRPr="00C02A51" w:rsidRDefault="00AA32F8" w:rsidP="00AA32F8">
      <w:r w:rsidRPr="00E476D0">
        <w:t xml:space="preserve">Infliximab is a chimeric immunoglobulin G1 (IgG1) monoclonal antibody that binds with high </w:t>
      </w:r>
      <w:r w:rsidRPr="00C02A51">
        <w:t>affini</w:t>
      </w:r>
      <w:r>
        <w:t xml:space="preserve">ty to both soluble and membrane </w:t>
      </w:r>
      <w:r w:rsidRPr="00C02A51">
        <w:t xml:space="preserve">bound forms of human tumour necrosis alpha (TNFα) but not to </w:t>
      </w:r>
      <w:proofErr w:type="spellStart"/>
      <w:r w:rsidRPr="00C02A51">
        <w:t>lymphotoxin</w:t>
      </w:r>
      <w:proofErr w:type="spellEnd"/>
      <w:r w:rsidRPr="00C02A51">
        <w:t xml:space="preserve"> (TNFβ). Infliximab inhibits binding of TNFα to its receptors and neutrali</w:t>
      </w:r>
      <w:r w:rsidR="00433EDE">
        <w:t>s</w:t>
      </w:r>
      <w:r w:rsidRPr="00C02A51">
        <w:t>es the biological activity of TNFα</w:t>
      </w:r>
      <w:r>
        <w:t>.</w:t>
      </w:r>
    </w:p>
    <w:p w14:paraId="351DDE84" w14:textId="60BF2443" w:rsidR="00AA32F8" w:rsidRPr="004C48DB" w:rsidRDefault="00AA32F8" w:rsidP="006B2AB7">
      <w:r w:rsidRPr="004C48DB">
        <w:t>The cytokine TNFα is produced mainly by macrophages as well as a broad range of other cell types including lymphoid cells, mast cells, endothelial cells, cardiac myoc</w:t>
      </w:r>
      <w:r w:rsidR="00433EDE">
        <w:t>y</w:t>
      </w:r>
      <w:r w:rsidRPr="004C48DB">
        <w:t>tes, adipose tissue, fibroblasts and neural tissue. TNFα exhibits a wide spectrum of activity, including coordinating host immune and inflammatory response to infectious, malignant and autoimmune conditions. Initial TNFα expression in response to infection or injury is beneficial, sustained or excessive expression has been identified in several chronic inflammatory disorders including rheumatoid arthritis</w:t>
      </w:r>
      <w:r>
        <w:t xml:space="preserve"> (RA)</w:t>
      </w:r>
      <w:r w:rsidRPr="004C48DB">
        <w:t xml:space="preserve"> and Crohn’s disease</w:t>
      </w:r>
      <w:r>
        <w:t xml:space="preserve"> (CD).</w:t>
      </w:r>
    </w:p>
    <w:p w14:paraId="55EE362F" w14:textId="77777777" w:rsidR="008E7846" w:rsidRPr="003F31A2" w:rsidRDefault="00386150" w:rsidP="00AA32F8">
      <w:pPr>
        <w:pStyle w:val="Heading3"/>
      </w:pPr>
      <w:bookmarkStart w:id="19" w:name="_Toc44576999"/>
      <w:r>
        <w:lastRenderedPageBreak/>
        <w:t>Regulatory s</w:t>
      </w:r>
      <w:r w:rsidR="008E7846">
        <w:t>tatus</w:t>
      </w:r>
      <w:bookmarkEnd w:id="17"/>
      <w:bookmarkEnd w:id="18"/>
      <w:bookmarkEnd w:id="19"/>
    </w:p>
    <w:p w14:paraId="2EA186D0" w14:textId="4927923B" w:rsidR="00AA32F8" w:rsidRDefault="00AA32F8" w:rsidP="00AA32F8">
      <w:bookmarkStart w:id="20" w:name="_Toc247691505"/>
      <w:bookmarkStart w:id="21" w:name="_Toc314842486"/>
      <w:r w:rsidRPr="00E476D0">
        <w:t>At the time the TGA considered this application, a similar application had been approved in</w:t>
      </w:r>
      <w:r>
        <w:t xml:space="preserve"> </w:t>
      </w:r>
      <w:r w:rsidR="00EE56E8">
        <w:t xml:space="preserve">numerous countries including the </w:t>
      </w:r>
      <w:r>
        <w:t>European Union</w:t>
      </w:r>
      <w:r w:rsidR="00123EE2">
        <w:t>,</w:t>
      </w:r>
      <w:r w:rsidR="00EE56E8">
        <w:t xml:space="preserve"> </w:t>
      </w:r>
      <w:r>
        <w:t>Canada</w:t>
      </w:r>
      <w:r w:rsidR="00123EE2">
        <w:t xml:space="preserve">, and </w:t>
      </w:r>
      <w:r>
        <w:t>Japan</w:t>
      </w:r>
      <w:r w:rsidR="00123EE2">
        <w:t>.</w:t>
      </w:r>
      <w:r>
        <w:t xml:space="preserve"> </w:t>
      </w:r>
      <w:r w:rsidR="00123EE2">
        <w:t>It</w:t>
      </w:r>
      <w:r w:rsidRPr="00E476D0">
        <w:t xml:space="preserve"> was </w:t>
      </w:r>
      <w:r w:rsidR="00123EE2">
        <w:t xml:space="preserve">also </w:t>
      </w:r>
      <w:r w:rsidRPr="00E476D0">
        <w:t>under consideration in</w:t>
      </w:r>
      <w:r w:rsidR="00123EE2">
        <w:t xml:space="preserve"> numerous</w:t>
      </w:r>
      <w:r w:rsidRPr="00E476D0">
        <w:t xml:space="preserve"> </w:t>
      </w:r>
      <w:r w:rsidR="00123EE2">
        <w:t xml:space="preserve">countries including </w:t>
      </w:r>
      <w:r>
        <w:t>New Zealand</w:t>
      </w:r>
      <w:r w:rsidR="00123EE2">
        <w:t xml:space="preserve"> and</w:t>
      </w:r>
      <w:r>
        <w:t xml:space="preserve"> US</w:t>
      </w:r>
      <w:r w:rsidRPr="00E476D0">
        <w:t>.</w:t>
      </w:r>
      <w:r>
        <w:t xml:space="preserve"> Table 1 shows the dose form and indications considered in a subset of the countries.</w:t>
      </w:r>
    </w:p>
    <w:p w14:paraId="05BD95F5" w14:textId="77777777" w:rsidR="00AA32F8" w:rsidRDefault="009F2F8C" w:rsidP="00AA32F8">
      <w:pPr>
        <w:pStyle w:val="TableTitle"/>
      </w:pPr>
      <w:r>
        <w:t>Table 1:</w:t>
      </w:r>
      <w:r w:rsidR="00AA32F8">
        <w:t xml:space="preserve"> Overseas regulatory status</w:t>
      </w:r>
    </w:p>
    <w:tbl>
      <w:tblPr>
        <w:tblStyle w:val="TableTGAblue"/>
        <w:tblW w:w="0" w:type="auto"/>
        <w:tblLook w:val="04A0" w:firstRow="1" w:lastRow="0" w:firstColumn="1" w:lastColumn="0" w:noHBand="0" w:noVBand="1"/>
      </w:tblPr>
      <w:tblGrid>
        <w:gridCol w:w="1527"/>
        <w:gridCol w:w="1843"/>
        <w:gridCol w:w="2990"/>
        <w:gridCol w:w="1994"/>
      </w:tblGrid>
      <w:tr w:rsidR="00AA32F8" w:rsidRPr="006B2AB7" w14:paraId="6FC2D8FF" w14:textId="77777777" w:rsidTr="006B2AB7">
        <w:trPr>
          <w:cnfStyle w:val="100000000000" w:firstRow="1" w:lastRow="0" w:firstColumn="0" w:lastColumn="0" w:oddVBand="0" w:evenVBand="0" w:oddHBand="0" w:evenHBand="0" w:firstRowFirstColumn="0" w:firstRowLastColumn="0" w:lastRowFirstColumn="0" w:lastRowLastColumn="0"/>
        </w:trPr>
        <w:tc>
          <w:tcPr>
            <w:tcW w:w="1527" w:type="dxa"/>
          </w:tcPr>
          <w:p w14:paraId="552E9AEA" w14:textId="77777777" w:rsidR="00AA32F8" w:rsidRPr="006B2AB7" w:rsidRDefault="00AA32F8" w:rsidP="00AA32F8">
            <w:pPr>
              <w:keepNext w:val="0"/>
              <w:rPr>
                <w:sz w:val="20"/>
                <w:szCs w:val="20"/>
              </w:rPr>
            </w:pPr>
            <w:r w:rsidRPr="006B2AB7">
              <w:rPr>
                <w:sz w:val="20"/>
                <w:szCs w:val="20"/>
              </w:rPr>
              <w:t>Country</w:t>
            </w:r>
          </w:p>
        </w:tc>
        <w:tc>
          <w:tcPr>
            <w:tcW w:w="1843" w:type="dxa"/>
          </w:tcPr>
          <w:p w14:paraId="77F9E4B6" w14:textId="77777777" w:rsidR="00AA32F8" w:rsidRPr="006B2AB7" w:rsidRDefault="00AA32F8" w:rsidP="00AA32F8">
            <w:pPr>
              <w:keepNext w:val="0"/>
              <w:rPr>
                <w:sz w:val="20"/>
                <w:szCs w:val="20"/>
              </w:rPr>
            </w:pPr>
            <w:r w:rsidRPr="006B2AB7">
              <w:rPr>
                <w:sz w:val="20"/>
                <w:szCs w:val="20"/>
              </w:rPr>
              <w:t>Dose form</w:t>
            </w:r>
          </w:p>
        </w:tc>
        <w:tc>
          <w:tcPr>
            <w:tcW w:w="2990" w:type="dxa"/>
          </w:tcPr>
          <w:p w14:paraId="48C814ED" w14:textId="77777777" w:rsidR="00AA32F8" w:rsidRPr="006B2AB7" w:rsidRDefault="00AA32F8" w:rsidP="00AA32F8">
            <w:pPr>
              <w:keepNext w:val="0"/>
              <w:rPr>
                <w:sz w:val="20"/>
                <w:szCs w:val="20"/>
              </w:rPr>
            </w:pPr>
            <w:r w:rsidRPr="006B2AB7">
              <w:rPr>
                <w:sz w:val="20"/>
                <w:szCs w:val="20"/>
              </w:rPr>
              <w:t>Indications</w:t>
            </w:r>
          </w:p>
        </w:tc>
        <w:tc>
          <w:tcPr>
            <w:tcW w:w="1994" w:type="dxa"/>
          </w:tcPr>
          <w:p w14:paraId="3ED796D9" w14:textId="77777777" w:rsidR="00AA32F8" w:rsidRPr="006B2AB7" w:rsidRDefault="00AA32F8" w:rsidP="00AA32F8">
            <w:pPr>
              <w:keepNext w:val="0"/>
              <w:rPr>
                <w:sz w:val="20"/>
                <w:szCs w:val="20"/>
              </w:rPr>
            </w:pPr>
            <w:r w:rsidRPr="006B2AB7">
              <w:rPr>
                <w:sz w:val="20"/>
                <w:szCs w:val="20"/>
              </w:rPr>
              <w:t>Application status and date</w:t>
            </w:r>
          </w:p>
        </w:tc>
      </w:tr>
      <w:tr w:rsidR="00AA32F8" w:rsidRPr="006B2AB7" w14:paraId="4358A7D8" w14:textId="77777777" w:rsidTr="006B2AB7">
        <w:tc>
          <w:tcPr>
            <w:tcW w:w="1527" w:type="dxa"/>
          </w:tcPr>
          <w:p w14:paraId="210BAA7F" w14:textId="77777777" w:rsidR="00AA32F8" w:rsidRPr="006B2AB7" w:rsidRDefault="00AA32F8" w:rsidP="00AA32F8">
            <w:pPr>
              <w:pStyle w:val="Tabletext"/>
              <w:rPr>
                <w:sz w:val="20"/>
                <w:szCs w:val="20"/>
              </w:rPr>
            </w:pPr>
            <w:r w:rsidRPr="006B2AB7">
              <w:rPr>
                <w:sz w:val="20"/>
                <w:szCs w:val="20"/>
              </w:rPr>
              <w:t>European Union</w:t>
            </w:r>
          </w:p>
        </w:tc>
        <w:tc>
          <w:tcPr>
            <w:tcW w:w="1843" w:type="dxa"/>
          </w:tcPr>
          <w:p w14:paraId="5798875A" w14:textId="77777777" w:rsidR="00AA32F8" w:rsidRPr="006B2AB7" w:rsidRDefault="00AA32F8" w:rsidP="00AA32F8">
            <w:pPr>
              <w:pStyle w:val="Tabletext"/>
              <w:rPr>
                <w:sz w:val="20"/>
                <w:szCs w:val="20"/>
              </w:rPr>
            </w:pPr>
            <w:r w:rsidRPr="006B2AB7">
              <w:rPr>
                <w:sz w:val="20"/>
                <w:szCs w:val="20"/>
              </w:rPr>
              <w:t>100 mg/vial powder for solution for infusion for IV administration</w:t>
            </w:r>
          </w:p>
        </w:tc>
        <w:tc>
          <w:tcPr>
            <w:tcW w:w="2990" w:type="dxa"/>
          </w:tcPr>
          <w:p w14:paraId="118D70E6" w14:textId="77777777" w:rsidR="00AA32F8" w:rsidRPr="006B2AB7" w:rsidRDefault="00AA32F8" w:rsidP="00AA32F8">
            <w:pPr>
              <w:pStyle w:val="Tabletext"/>
              <w:rPr>
                <w:sz w:val="20"/>
                <w:szCs w:val="20"/>
              </w:rPr>
            </w:pPr>
            <w:r w:rsidRPr="006B2AB7">
              <w:rPr>
                <w:sz w:val="20"/>
                <w:szCs w:val="20"/>
              </w:rPr>
              <w:t>Rheumatoid arthritis</w:t>
            </w:r>
          </w:p>
          <w:p w14:paraId="7A30DBED" w14:textId="77777777" w:rsidR="00AA32F8" w:rsidRPr="006B2AB7" w:rsidRDefault="00AA32F8" w:rsidP="00AA32F8">
            <w:pPr>
              <w:pStyle w:val="Tabletext"/>
              <w:rPr>
                <w:sz w:val="20"/>
                <w:szCs w:val="20"/>
              </w:rPr>
            </w:pPr>
            <w:r w:rsidRPr="006B2AB7">
              <w:rPr>
                <w:sz w:val="20"/>
                <w:szCs w:val="20"/>
              </w:rPr>
              <w:t>Adult Crohn’s disease</w:t>
            </w:r>
          </w:p>
          <w:p w14:paraId="3F721207" w14:textId="77777777" w:rsidR="00AA32F8" w:rsidRPr="006B2AB7" w:rsidRDefault="00AA32F8" w:rsidP="00AA32F8">
            <w:pPr>
              <w:pStyle w:val="Tabletext"/>
              <w:rPr>
                <w:sz w:val="20"/>
                <w:szCs w:val="20"/>
              </w:rPr>
            </w:pPr>
            <w:r w:rsidRPr="006B2AB7">
              <w:rPr>
                <w:sz w:val="20"/>
                <w:szCs w:val="20"/>
              </w:rPr>
              <w:t>Paediatric Crohn’s disease</w:t>
            </w:r>
          </w:p>
          <w:p w14:paraId="162A64FF" w14:textId="77777777" w:rsidR="00AA32F8" w:rsidRPr="006B2AB7" w:rsidRDefault="00AA32F8" w:rsidP="00AA32F8">
            <w:pPr>
              <w:pStyle w:val="Tabletext"/>
              <w:rPr>
                <w:sz w:val="20"/>
                <w:szCs w:val="20"/>
              </w:rPr>
            </w:pPr>
            <w:r w:rsidRPr="006B2AB7">
              <w:rPr>
                <w:sz w:val="20"/>
                <w:szCs w:val="20"/>
              </w:rPr>
              <w:t>Paediatric Ulcerative Colitis</w:t>
            </w:r>
          </w:p>
          <w:p w14:paraId="737144EE" w14:textId="77777777" w:rsidR="00AA32F8" w:rsidRPr="006B2AB7" w:rsidRDefault="00AA32F8" w:rsidP="00AA32F8">
            <w:pPr>
              <w:pStyle w:val="Tabletext"/>
              <w:rPr>
                <w:sz w:val="20"/>
                <w:szCs w:val="20"/>
              </w:rPr>
            </w:pPr>
            <w:r w:rsidRPr="006B2AB7">
              <w:rPr>
                <w:sz w:val="20"/>
                <w:szCs w:val="20"/>
              </w:rPr>
              <w:t>Ankylosing spondylitis</w:t>
            </w:r>
          </w:p>
          <w:p w14:paraId="5B6E4470" w14:textId="77777777" w:rsidR="00AA32F8" w:rsidRPr="006B2AB7" w:rsidRDefault="00AA32F8" w:rsidP="00AA32F8">
            <w:pPr>
              <w:pStyle w:val="Tabletext"/>
              <w:rPr>
                <w:sz w:val="20"/>
                <w:szCs w:val="20"/>
              </w:rPr>
            </w:pPr>
            <w:r w:rsidRPr="006B2AB7">
              <w:rPr>
                <w:sz w:val="20"/>
                <w:szCs w:val="20"/>
              </w:rPr>
              <w:t>Psoriatic Arthritis</w:t>
            </w:r>
          </w:p>
          <w:p w14:paraId="30445EC5" w14:textId="77777777" w:rsidR="00AA32F8" w:rsidRPr="006B2AB7" w:rsidRDefault="00AA32F8" w:rsidP="00AA32F8">
            <w:pPr>
              <w:pStyle w:val="Tabletext"/>
              <w:rPr>
                <w:sz w:val="20"/>
                <w:szCs w:val="20"/>
              </w:rPr>
            </w:pPr>
            <w:r w:rsidRPr="006B2AB7">
              <w:rPr>
                <w:sz w:val="20"/>
                <w:szCs w:val="20"/>
              </w:rPr>
              <w:t>Psoriasis</w:t>
            </w:r>
          </w:p>
        </w:tc>
        <w:tc>
          <w:tcPr>
            <w:tcW w:w="1994" w:type="dxa"/>
          </w:tcPr>
          <w:p w14:paraId="49F47C7D" w14:textId="0E21BECC" w:rsidR="00AA32F8" w:rsidRPr="006B2AB7" w:rsidRDefault="00AA32F8" w:rsidP="00AA32F8">
            <w:pPr>
              <w:pStyle w:val="Tabletext"/>
              <w:rPr>
                <w:sz w:val="20"/>
                <w:szCs w:val="20"/>
              </w:rPr>
            </w:pPr>
            <w:r w:rsidRPr="006B2AB7">
              <w:rPr>
                <w:sz w:val="20"/>
                <w:szCs w:val="20"/>
              </w:rPr>
              <w:t>Approved on 10</w:t>
            </w:r>
            <w:r w:rsidR="00433EDE" w:rsidRPr="006B2AB7">
              <w:rPr>
                <w:sz w:val="20"/>
                <w:szCs w:val="20"/>
              </w:rPr>
              <w:t> </w:t>
            </w:r>
            <w:r w:rsidRPr="006B2AB7">
              <w:rPr>
                <w:sz w:val="20"/>
                <w:szCs w:val="20"/>
              </w:rPr>
              <w:t>September 2013</w:t>
            </w:r>
          </w:p>
        </w:tc>
      </w:tr>
      <w:tr w:rsidR="00AA32F8" w:rsidRPr="006B2AB7" w14:paraId="43517C16" w14:textId="77777777" w:rsidTr="006B2AB7">
        <w:tc>
          <w:tcPr>
            <w:tcW w:w="1527" w:type="dxa"/>
          </w:tcPr>
          <w:p w14:paraId="3B2BDA8B" w14:textId="77777777" w:rsidR="00AA32F8" w:rsidRPr="006B2AB7" w:rsidRDefault="00AA32F8" w:rsidP="00AA32F8">
            <w:pPr>
              <w:pStyle w:val="Tabletext"/>
              <w:rPr>
                <w:sz w:val="20"/>
                <w:szCs w:val="20"/>
              </w:rPr>
            </w:pPr>
            <w:r w:rsidRPr="006B2AB7">
              <w:rPr>
                <w:sz w:val="20"/>
                <w:szCs w:val="20"/>
              </w:rPr>
              <w:t>Canada</w:t>
            </w:r>
          </w:p>
        </w:tc>
        <w:tc>
          <w:tcPr>
            <w:tcW w:w="1843" w:type="dxa"/>
          </w:tcPr>
          <w:p w14:paraId="1C6BCE81" w14:textId="77777777" w:rsidR="00AA32F8" w:rsidRPr="006B2AB7" w:rsidRDefault="00AA32F8" w:rsidP="00AA32F8">
            <w:pPr>
              <w:pStyle w:val="Tabletext"/>
              <w:rPr>
                <w:sz w:val="20"/>
                <w:szCs w:val="20"/>
              </w:rPr>
            </w:pPr>
            <w:r w:rsidRPr="006B2AB7">
              <w:rPr>
                <w:sz w:val="20"/>
                <w:szCs w:val="20"/>
              </w:rPr>
              <w:t>100 mg/vial powder for solution for infusion for IV administration</w:t>
            </w:r>
          </w:p>
        </w:tc>
        <w:tc>
          <w:tcPr>
            <w:tcW w:w="2990" w:type="dxa"/>
          </w:tcPr>
          <w:p w14:paraId="6EDDF3B1" w14:textId="77777777" w:rsidR="00AA32F8" w:rsidRPr="006B2AB7" w:rsidRDefault="00AA32F8" w:rsidP="00AA32F8">
            <w:pPr>
              <w:pStyle w:val="Tabletext"/>
              <w:rPr>
                <w:sz w:val="20"/>
                <w:szCs w:val="20"/>
              </w:rPr>
            </w:pPr>
            <w:r w:rsidRPr="006B2AB7">
              <w:rPr>
                <w:sz w:val="20"/>
                <w:szCs w:val="20"/>
              </w:rPr>
              <w:t>Rheumatoid arthritis</w:t>
            </w:r>
          </w:p>
          <w:p w14:paraId="53DABC6B" w14:textId="77777777" w:rsidR="00AA32F8" w:rsidRPr="006B2AB7" w:rsidRDefault="00AA32F8" w:rsidP="00AA32F8">
            <w:pPr>
              <w:pStyle w:val="Tabletext"/>
              <w:rPr>
                <w:sz w:val="20"/>
                <w:szCs w:val="20"/>
              </w:rPr>
            </w:pPr>
            <w:r w:rsidRPr="006B2AB7">
              <w:rPr>
                <w:sz w:val="20"/>
                <w:szCs w:val="20"/>
              </w:rPr>
              <w:t>Ankylosing spondylitis</w:t>
            </w:r>
          </w:p>
          <w:p w14:paraId="097B3D1A" w14:textId="77777777" w:rsidR="00AA32F8" w:rsidRPr="006B2AB7" w:rsidRDefault="00AA32F8" w:rsidP="00AA32F8">
            <w:pPr>
              <w:pStyle w:val="Tabletext"/>
              <w:rPr>
                <w:sz w:val="20"/>
                <w:szCs w:val="20"/>
              </w:rPr>
            </w:pPr>
            <w:r w:rsidRPr="006B2AB7">
              <w:rPr>
                <w:sz w:val="20"/>
                <w:szCs w:val="20"/>
              </w:rPr>
              <w:t>Psoriatic Arthritis</w:t>
            </w:r>
          </w:p>
          <w:p w14:paraId="6AC4A2BC" w14:textId="713309EB" w:rsidR="00AA32F8" w:rsidRPr="006B2AB7" w:rsidRDefault="00AA32F8" w:rsidP="00AA32F8">
            <w:pPr>
              <w:pStyle w:val="Tabletext"/>
              <w:rPr>
                <w:sz w:val="20"/>
                <w:szCs w:val="20"/>
              </w:rPr>
            </w:pPr>
            <w:r w:rsidRPr="006B2AB7">
              <w:rPr>
                <w:sz w:val="20"/>
                <w:szCs w:val="20"/>
              </w:rPr>
              <w:t>Psoriasis</w:t>
            </w:r>
          </w:p>
          <w:p w14:paraId="6A70BA99" w14:textId="6626B736" w:rsidR="00D73C7E" w:rsidRPr="006B2AB7" w:rsidRDefault="00D73C7E" w:rsidP="00D73C7E">
            <w:pPr>
              <w:pStyle w:val="Tabletext"/>
              <w:rPr>
                <w:sz w:val="20"/>
                <w:szCs w:val="20"/>
              </w:rPr>
            </w:pPr>
            <w:r w:rsidRPr="006B2AB7">
              <w:rPr>
                <w:sz w:val="20"/>
                <w:szCs w:val="20"/>
              </w:rPr>
              <w:t>Ulcerative Colitis*</w:t>
            </w:r>
          </w:p>
          <w:p w14:paraId="2AA275AC" w14:textId="7FB56284" w:rsidR="00D73C7E" w:rsidRPr="006B2AB7" w:rsidRDefault="00D73C7E" w:rsidP="00D73C7E">
            <w:pPr>
              <w:pStyle w:val="Tabletext"/>
              <w:rPr>
                <w:sz w:val="20"/>
                <w:szCs w:val="20"/>
              </w:rPr>
            </w:pPr>
            <w:r w:rsidRPr="006B2AB7">
              <w:rPr>
                <w:sz w:val="20"/>
                <w:szCs w:val="20"/>
              </w:rPr>
              <w:t>Paediatric Ulcerative Colitis*</w:t>
            </w:r>
          </w:p>
          <w:p w14:paraId="5A20E2E5" w14:textId="4F7248F6" w:rsidR="00D73C7E" w:rsidRPr="006B2AB7" w:rsidRDefault="00D73C7E" w:rsidP="00D73C7E">
            <w:pPr>
              <w:pStyle w:val="Tabletext"/>
              <w:rPr>
                <w:sz w:val="20"/>
                <w:szCs w:val="20"/>
              </w:rPr>
            </w:pPr>
            <w:r w:rsidRPr="006B2AB7">
              <w:rPr>
                <w:sz w:val="20"/>
                <w:szCs w:val="20"/>
              </w:rPr>
              <w:t>Crohn’s disease*</w:t>
            </w:r>
          </w:p>
          <w:p w14:paraId="57E3B4F5" w14:textId="5755CD39" w:rsidR="00D73C7E" w:rsidRPr="006B2AB7" w:rsidRDefault="00D73C7E" w:rsidP="00D73C7E">
            <w:pPr>
              <w:pStyle w:val="Tabletext"/>
              <w:rPr>
                <w:sz w:val="20"/>
                <w:szCs w:val="20"/>
              </w:rPr>
            </w:pPr>
            <w:r w:rsidRPr="006B2AB7">
              <w:rPr>
                <w:sz w:val="20"/>
                <w:szCs w:val="20"/>
              </w:rPr>
              <w:t>Paediatric Crohn’s disease*</w:t>
            </w:r>
          </w:p>
        </w:tc>
        <w:tc>
          <w:tcPr>
            <w:tcW w:w="1994" w:type="dxa"/>
          </w:tcPr>
          <w:p w14:paraId="66CE08C6" w14:textId="5C352A78" w:rsidR="00AA32F8" w:rsidRPr="006B2AB7" w:rsidRDefault="00AA32F8" w:rsidP="00AA32F8">
            <w:pPr>
              <w:pStyle w:val="Tabletext"/>
              <w:rPr>
                <w:sz w:val="20"/>
                <w:szCs w:val="20"/>
              </w:rPr>
            </w:pPr>
            <w:r w:rsidRPr="006B2AB7">
              <w:rPr>
                <w:sz w:val="20"/>
                <w:szCs w:val="20"/>
              </w:rPr>
              <w:t>Approved on 15</w:t>
            </w:r>
            <w:r w:rsidR="006B2AB7">
              <w:rPr>
                <w:sz w:val="20"/>
                <w:szCs w:val="20"/>
              </w:rPr>
              <w:t xml:space="preserve"> </w:t>
            </w:r>
            <w:r w:rsidRPr="006B2AB7">
              <w:rPr>
                <w:sz w:val="20"/>
                <w:szCs w:val="20"/>
              </w:rPr>
              <w:t>January 2014</w:t>
            </w:r>
          </w:p>
          <w:p w14:paraId="55A202C7" w14:textId="04CAAB96" w:rsidR="00D73C7E" w:rsidRPr="006B2AB7" w:rsidRDefault="00D73C7E" w:rsidP="00AA32F8">
            <w:pPr>
              <w:pStyle w:val="Tabletext"/>
              <w:rPr>
                <w:sz w:val="20"/>
                <w:szCs w:val="20"/>
              </w:rPr>
            </w:pPr>
            <w:r w:rsidRPr="006B2AB7">
              <w:rPr>
                <w:sz w:val="20"/>
                <w:szCs w:val="20"/>
              </w:rPr>
              <w:t>* approved in all indications in June 2016</w:t>
            </w:r>
          </w:p>
        </w:tc>
      </w:tr>
      <w:tr w:rsidR="00AA32F8" w:rsidRPr="006B2AB7" w14:paraId="487B383F" w14:textId="77777777" w:rsidTr="006B2AB7">
        <w:tc>
          <w:tcPr>
            <w:tcW w:w="1527" w:type="dxa"/>
          </w:tcPr>
          <w:p w14:paraId="28123222" w14:textId="77777777" w:rsidR="00AA32F8" w:rsidRPr="006B2AB7" w:rsidRDefault="00AA32F8" w:rsidP="00AA32F8">
            <w:pPr>
              <w:pStyle w:val="Tabletext"/>
              <w:rPr>
                <w:sz w:val="20"/>
                <w:szCs w:val="20"/>
              </w:rPr>
            </w:pPr>
            <w:r w:rsidRPr="006B2AB7">
              <w:rPr>
                <w:sz w:val="20"/>
                <w:szCs w:val="20"/>
              </w:rPr>
              <w:t>US</w:t>
            </w:r>
          </w:p>
        </w:tc>
        <w:tc>
          <w:tcPr>
            <w:tcW w:w="1843" w:type="dxa"/>
          </w:tcPr>
          <w:p w14:paraId="5D1A0988" w14:textId="77777777" w:rsidR="00AA32F8" w:rsidRPr="006B2AB7" w:rsidRDefault="00AA32F8" w:rsidP="00AA32F8">
            <w:pPr>
              <w:pStyle w:val="Tabletext"/>
              <w:rPr>
                <w:sz w:val="20"/>
                <w:szCs w:val="20"/>
              </w:rPr>
            </w:pPr>
            <w:r w:rsidRPr="006B2AB7">
              <w:rPr>
                <w:sz w:val="20"/>
                <w:szCs w:val="20"/>
              </w:rPr>
              <w:t>100 mg/vial powder for solution for infusion for IV administration</w:t>
            </w:r>
          </w:p>
        </w:tc>
        <w:tc>
          <w:tcPr>
            <w:tcW w:w="2990" w:type="dxa"/>
          </w:tcPr>
          <w:p w14:paraId="4AEC95AD" w14:textId="77777777" w:rsidR="00AA32F8" w:rsidRPr="006B2AB7" w:rsidRDefault="00AA32F8" w:rsidP="00AA32F8">
            <w:pPr>
              <w:pStyle w:val="Tabletext"/>
              <w:rPr>
                <w:sz w:val="20"/>
                <w:szCs w:val="20"/>
              </w:rPr>
            </w:pPr>
            <w:r w:rsidRPr="006B2AB7">
              <w:rPr>
                <w:sz w:val="20"/>
                <w:szCs w:val="20"/>
              </w:rPr>
              <w:t>Crohn’s disease</w:t>
            </w:r>
          </w:p>
          <w:p w14:paraId="7136DD92" w14:textId="77777777" w:rsidR="00AA32F8" w:rsidRPr="006B2AB7" w:rsidRDefault="00AA32F8" w:rsidP="00AA32F8">
            <w:pPr>
              <w:pStyle w:val="Tabletext"/>
              <w:rPr>
                <w:sz w:val="20"/>
                <w:szCs w:val="20"/>
              </w:rPr>
            </w:pPr>
            <w:r w:rsidRPr="006B2AB7">
              <w:rPr>
                <w:sz w:val="20"/>
                <w:szCs w:val="20"/>
              </w:rPr>
              <w:t>Paediatric Crohn’s disease</w:t>
            </w:r>
          </w:p>
          <w:p w14:paraId="60DF0E11" w14:textId="77777777" w:rsidR="00AA32F8" w:rsidRPr="006B2AB7" w:rsidRDefault="00AA32F8" w:rsidP="00AA32F8">
            <w:pPr>
              <w:pStyle w:val="Tabletext"/>
              <w:rPr>
                <w:sz w:val="20"/>
                <w:szCs w:val="20"/>
              </w:rPr>
            </w:pPr>
            <w:r w:rsidRPr="006B2AB7">
              <w:rPr>
                <w:sz w:val="20"/>
                <w:szCs w:val="20"/>
              </w:rPr>
              <w:t>Ulcerative Colitis</w:t>
            </w:r>
          </w:p>
          <w:p w14:paraId="682B8EE5" w14:textId="77777777" w:rsidR="00AA32F8" w:rsidRPr="006B2AB7" w:rsidRDefault="00AA32F8" w:rsidP="00AA32F8">
            <w:pPr>
              <w:pStyle w:val="Tabletext"/>
              <w:rPr>
                <w:sz w:val="20"/>
                <w:szCs w:val="20"/>
              </w:rPr>
            </w:pPr>
            <w:r w:rsidRPr="006B2AB7">
              <w:rPr>
                <w:sz w:val="20"/>
                <w:szCs w:val="20"/>
              </w:rPr>
              <w:t>Paediatric Ulcerative Colitis</w:t>
            </w:r>
          </w:p>
          <w:p w14:paraId="6A15D688" w14:textId="77777777" w:rsidR="00AA32F8" w:rsidRPr="006B2AB7" w:rsidRDefault="00AA32F8" w:rsidP="00AA32F8">
            <w:pPr>
              <w:pStyle w:val="Tabletext"/>
              <w:rPr>
                <w:sz w:val="20"/>
                <w:szCs w:val="20"/>
              </w:rPr>
            </w:pPr>
            <w:r w:rsidRPr="006B2AB7">
              <w:rPr>
                <w:sz w:val="20"/>
                <w:szCs w:val="20"/>
              </w:rPr>
              <w:t>Rheumatoid arthritis in combination with methotrexate</w:t>
            </w:r>
          </w:p>
          <w:p w14:paraId="62D41C76" w14:textId="77777777" w:rsidR="00AA32F8" w:rsidRPr="006B2AB7" w:rsidRDefault="00AA32F8" w:rsidP="00AA32F8">
            <w:pPr>
              <w:pStyle w:val="Tabletext"/>
              <w:rPr>
                <w:sz w:val="20"/>
                <w:szCs w:val="20"/>
              </w:rPr>
            </w:pPr>
            <w:r w:rsidRPr="006B2AB7">
              <w:rPr>
                <w:sz w:val="20"/>
                <w:szCs w:val="20"/>
              </w:rPr>
              <w:t>Ankylosing spondylitis</w:t>
            </w:r>
          </w:p>
          <w:p w14:paraId="7E54BAC6" w14:textId="77777777" w:rsidR="00AA32F8" w:rsidRPr="006B2AB7" w:rsidRDefault="00AA32F8" w:rsidP="00AA32F8">
            <w:pPr>
              <w:pStyle w:val="Tabletext"/>
              <w:rPr>
                <w:sz w:val="20"/>
                <w:szCs w:val="20"/>
              </w:rPr>
            </w:pPr>
            <w:r w:rsidRPr="006B2AB7">
              <w:rPr>
                <w:sz w:val="20"/>
                <w:szCs w:val="20"/>
              </w:rPr>
              <w:t>Psoriatic Arthritis</w:t>
            </w:r>
          </w:p>
          <w:p w14:paraId="138E2AF4" w14:textId="77777777" w:rsidR="00AA32F8" w:rsidRPr="006B2AB7" w:rsidRDefault="00AA32F8" w:rsidP="00AA32F8">
            <w:pPr>
              <w:pStyle w:val="Tabletext"/>
              <w:rPr>
                <w:sz w:val="20"/>
                <w:szCs w:val="20"/>
              </w:rPr>
            </w:pPr>
            <w:r w:rsidRPr="006B2AB7">
              <w:rPr>
                <w:sz w:val="20"/>
                <w:szCs w:val="20"/>
              </w:rPr>
              <w:t>Plaque Psoriasis</w:t>
            </w:r>
          </w:p>
        </w:tc>
        <w:tc>
          <w:tcPr>
            <w:tcW w:w="1994" w:type="dxa"/>
          </w:tcPr>
          <w:p w14:paraId="50129135" w14:textId="19C73EC1" w:rsidR="00AA32F8" w:rsidRPr="006B2AB7" w:rsidRDefault="00AA32F8" w:rsidP="00AA32F8">
            <w:pPr>
              <w:pStyle w:val="Tabletext"/>
              <w:rPr>
                <w:sz w:val="20"/>
                <w:szCs w:val="20"/>
              </w:rPr>
            </w:pPr>
            <w:r w:rsidRPr="006B2AB7">
              <w:rPr>
                <w:sz w:val="20"/>
                <w:szCs w:val="20"/>
              </w:rPr>
              <w:t>Submitted on 8</w:t>
            </w:r>
            <w:r w:rsidR="009F19A0" w:rsidRPr="006B2AB7">
              <w:rPr>
                <w:sz w:val="20"/>
                <w:szCs w:val="20"/>
              </w:rPr>
              <w:t xml:space="preserve"> </w:t>
            </w:r>
            <w:r w:rsidRPr="006B2AB7">
              <w:rPr>
                <w:sz w:val="20"/>
                <w:szCs w:val="20"/>
              </w:rPr>
              <w:t>August 2014</w:t>
            </w:r>
          </w:p>
          <w:p w14:paraId="73596B6D" w14:textId="34D94D80" w:rsidR="00AA32F8" w:rsidRPr="006B2AB7" w:rsidRDefault="00AA32F8" w:rsidP="00AA32F8">
            <w:pPr>
              <w:pStyle w:val="Tabletext"/>
              <w:rPr>
                <w:sz w:val="20"/>
                <w:szCs w:val="20"/>
              </w:rPr>
            </w:pPr>
            <w:r w:rsidRPr="006B2AB7">
              <w:rPr>
                <w:sz w:val="20"/>
                <w:szCs w:val="20"/>
              </w:rPr>
              <w:t xml:space="preserve">Approved April 2016 </w:t>
            </w:r>
          </w:p>
        </w:tc>
      </w:tr>
    </w:tbl>
    <w:p w14:paraId="3A29A845" w14:textId="77777777" w:rsidR="008E7846" w:rsidRDefault="008E7846" w:rsidP="00940A89">
      <w:pPr>
        <w:pStyle w:val="Heading3"/>
      </w:pPr>
      <w:bookmarkStart w:id="22" w:name="_Toc44577000"/>
      <w:r>
        <w:t>Product Information</w:t>
      </w:r>
      <w:bookmarkEnd w:id="20"/>
      <w:bookmarkEnd w:id="21"/>
      <w:bookmarkEnd w:id="22"/>
    </w:p>
    <w:p w14:paraId="6B2941AB" w14:textId="4AFA4E2A" w:rsidR="00940A89" w:rsidRDefault="006136D7" w:rsidP="00940A89">
      <w:bookmarkStart w:id="23" w:name="_Toc247691506"/>
      <w:bookmarkStart w:id="24" w:name="_Toc314842487"/>
      <w:r w:rsidRPr="00940A89">
        <w:t xml:space="preserve">The Product Information (PI) </w:t>
      </w:r>
      <w:r>
        <w:t xml:space="preserve">approved with the </w:t>
      </w:r>
      <w:r w:rsidR="00C41A55">
        <w:t>submission, which is described in this AusPAR,</w:t>
      </w:r>
      <w:r w:rsidRPr="00940A89">
        <w:t xml:space="preserve"> can be found as Attachment 1. For the most recent </w:t>
      </w:r>
      <w:r>
        <w:t>PI,</w:t>
      </w:r>
      <w:r w:rsidRPr="00940A89">
        <w:t xml:space="preserve"> ple</w:t>
      </w:r>
      <w:r>
        <w:t>ase refer to the TGA website</w:t>
      </w:r>
      <w:r w:rsidRPr="00441C3F">
        <w:t xml:space="preserve"> at </w:t>
      </w:r>
      <w:r w:rsidR="00441C3F" w:rsidRPr="00441C3F">
        <w:t>&lt;</w:t>
      </w:r>
      <w:hyperlink r:id="rId16" w:history="1">
        <w:r w:rsidR="00441C3F" w:rsidRPr="00441C3F">
          <w:rPr>
            <w:rStyle w:val="Hyperlink"/>
          </w:rPr>
          <w:t>https://www.tga.gov.au/product-information-pi</w:t>
        </w:r>
      </w:hyperlink>
      <w:r w:rsidR="00441C3F">
        <w:t>&gt;</w:t>
      </w:r>
      <w:r w:rsidR="00940A89" w:rsidRPr="00940A89">
        <w:t>.</w:t>
      </w:r>
    </w:p>
    <w:p w14:paraId="28C93ED3" w14:textId="77777777" w:rsidR="006B1DE3" w:rsidRDefault="00E34868" w:rsidP="00E34868">
      <w:pPr>
        <w:pStyle w:val="Heading2"/>
      </w:pPr>
      <w:bookmarkStart w:id="25" w:name="_Toc44577001"/>
      <w:r>
        <w:lastRenderedPageBreak/>
        <w:t>II. Registration time line</w:t>
      </w:r>
      <w:bookmarkEnd w:id="25"/>
    </w:p>
    <w:p w14:paraId="4B7BE850" w14:textId="55EEF04C" w:rsidR="00E34868" w:rsidRDefault="00E34868" w:rsidP="00E34868">
      <w:r>
        <w:t>The following table captures the key steps and dates for this application</w:t>
      </w:r>
      <w:r w:rsidR="006B2AB7">
        <w:t>.</w:t>
      </w:r>
    </w:p>
    <w:p w14:paraId="6B8C1FB9" w14:textId="77777777" w:rsidR="00E34868" w:rsidRPr="00E34868" w:rsidRDefault="007D09F7" w:rsidP="007D09F7">
      <w:pPr>
        <w:pStyle w:val="TableTitle"/>
      </w:pPr>
      <w:r>
        <w:t>Table 2: Registration timeline for Submission PM-2013-03247-1-3</w:t>
      </w:r>
    </w:p>
    <w:tbl>
      <w:tblPr>
        <w:tblStyle w:val="TableTGAblue"/>
        <w:tblW w:w="0" w:type="auto"/>
        <w:tblLook w:val="04A0" w:firstRow="1" w:lastRow="0" w:firstColumn="1" w:lastColumn="0" w:noHBand="0" w:noVBand="1"/>
      </w:tblPr>
      <w:tblGrid>
        <w:gridCol w:w="6086"/>
        <w:gridCol w:w="2398"/>
      </w:tblGrid>
      <w:tr w:rsidR="00E34868" w14:paraId="58BDA049" w14:textId="77777777" w:rsidTr="006B2AB7">
        <w:trPr>
          <w:cnfStyle w:val="100000000000" w:firstRow="1" w:lastRow="0" w:firstColumn="0" w:lastColumn="0" w:oddVBand="0" w:evenVBand="0" w:oddHBand="0" w:evenHBand="0" w:firstRowFirstColumn="0" w:firstRowLastColumn="0" w:lastRowFirstColumn="0" w:lastRowLastColumn="0"/>
          <w:cantSplit/>
        </w:trPr>
        <w:tc>
          <w:tcPr>
            <w:tcW w:w="6086" w:type="dxa"/>
          </w:tcPr>
          <w:p w14:paraId="79A9F42A" w14:textId="77777777" w:rsidR="00E34868" w:rsidRDefault="00E34868" w:rsidP="00536092">
            <w:pPr>
              <w:ind w:left="0" w:right="0"/>
            </w:pPr>
            <w:r>
              <w:t>Description</w:t>
            </w:r>
          </w:p>
        </w:tc>
        <w:tc>
          <w:tcPr>
            <w:tcW w:w="2398" w:type="dxa"/>
          </w:tcPr>
          <w:p w14:paraId="0808E81F" w14:textId="77777777" w:rsidR="00E34868" w:rsidRDefault="00E34868" w:rsidP="00536092">
            <w:pPr>
              <w:ind w:left="0" w:right="0"/>
            </w:pPr>
            <w:r>
              <w:t>Date</w:t>
            </w:r>
          </w:p>
        </w:tc>
      </w:tr>
      <w:tr w:rsidR="00E34868" w14:paraId="7B722626" w14:textId="77777777" w:rsidTr="006B2AB7">
        <w:tc>
          <w:tcPr>
            <w:tcW w:w="6086" w:type="dxa"/>
          </w:tcPr>
          <w:p w14:paraId="7DBB051B" w14:textId="77777777" w:rsidR="00E34868" w:rsidRDefault="00E34868" w:rsidP="00536092">
            <w:pPr>
              <w:ind w:left="0" w:right="0"/>
            </w:pPr>
            <w:r>
              <w:t>Submission dossier accepted and first round evaluation commenced</w:t>
            </w:r>
          </w:p>
        </w:tc>
        <w:tc>
          <w:tcPr>
            <w:tcW w:w="2398" w:type="dxa"/>
          </w:tcPr>
          <w:p w14:paraId="0ABFCEEE" w14:textId="77777777" w:rsidR="00E34868" w:rsidRDefault="00E34868" w:rsidP="00536092">
            <w:pPr>
              <w:ind w:left="0" w:right="0"/>
            </w:pPr>
            <w:r>
              <w:t>29 November 2013</w:t>
            </w:r>
          </w:p>
        </w:tc>
      </w:tr>
      <w:tr w:rsidR="00E34868" w14:paraId="27F7D9B9" w14:textId="77777777" w:rsidTr="006B2AB7">
        <w:tc>
          <w:tcPr>
            <w:tcW w:w="6086" w:type="dxa"/>
          </w:tcPr>
          <w:p w14:paraId="652E67A7" w14:textId="77777777" w:rsidR="00E34868" w:rsidRDefault="00E34868" w:rsidP="00536092">
            <w:pPr>
              <w:ind w:left="0" w:right="0"/>
            </w:pPr>
            <w:r>
              <w:t>First round evaluation completed</w:t>
            </w:r>
          </w:p>
        </w:tc>
        <w:tc>
          <w:tcPr>
            <w:tcW w:w="2398" w:type="dxa"/>
          </w:tcPr>
          <w:p w14:paraId="404B6894" w14:textId="77777777" w:rsidR="00E34868" w:rsidRDefault="00E34868" w:rsidP="00536092">
            <w:pPr>
              <w:ind w:left="0" w:right="0"/>
            </w:pPr>
            <w:r>
              <w:t>2 May 2014</w:t>
            </w:r>
          </w:p>
        </w:tc>
      </w:tr>
      <w:tr w:rsidR="00E34868" w14:paraId="5634AD00" w14:textId="77777777" w:rsidTr="006B2AB7">
        <w:tc>
          <w:tcPr>
            <w:tcW w:w="6086" w:type="dxa"/>
          </w:tcPr>
          <w:p w14:paraId="6A684D85" w14:textId="77777777" w:rsidR="00E34868" w:rsidRDefault="00E34868" w:rsidP="00536092">
            <w:pPr>
              <w:ind w:left="0" w:right="0"/>
            </w:pPr>
            <w:r>
              <w:t>Sponsor provides responses on questions raised in first round evaluation</w:t>
            </w:r>
          </w:p>
        </w:tc>
        <w:tc>
          <w:tcPr>
            <w:tcW w:w="2398" w:type="dxa"/>
          </w:tcPr>
          <w:p w14:paraId="3E72D3D0" w14:textId="77777777" w:rsidR="00E34868" w:rsidRDefault="00E34868" w:rsidP="00536092">
            <w:pPr>
              <w:ind w:left="0" w:right="0"/>
            </w:pPr>
            <w:r>
              <w:t>2 July 2014</w:t>
            </w:r>
          </w:p>
        </w:tc>
      </w:tr>
      <w:tr w:rsidR="00E34868" w14:paraId="332C933C" w14:textId="77777777" w:rsidTr="006B2AB7">
        <w:tc>
          <w:tcPr>
            <w:tcW w:w="6086" w:type="dxa"/>
          </w:tcPr>
          <w:p w14:paraId="3DDDBC0E" w14:textId="77777777" w:rsidR="00E34868" w:rsidRDefault="00E34868" w:rsidP="00536092">
            <w:pPr>
              <w:ind w:left="0" w:right="0"/>
            </w:pPr>
            <w:r>
              <w:t>Second round evaluation completed</w:t>
            </w:r>
          </w:p>
        </w:tc>
        <w:tc>
          <w:tcPr>
            <w:tcW w:w="2398" w:type="dxa"/>
          </w:tcPr>
          <w:p w14:paraId="7E8443DE" w14:textId="77777777" w:rsidR="00E34868" w:rsidRDefault="000F4CAB" w:rsidP="00536092">
            <w:pPr>
              <w:ind w:left="0" w:right="0"/>
            </w:pPr>
            <w:r>
              <w:t>5 November 2014</w:t>
            </w:r>
          </w:p>
        </w:tc>
      </w:tr>
      <w:tr w:rsidR="00E34868" w14:paraId="61348F8A" w14:textId="77777777" w:rsidTr="006B2AB7">
        <w:tc>
          <w:tcPr>
            <w:tcW w:w="6086" w:type="dxa"/>
          </w:tcPr>
          <w:p w14:paraId="50193ABD" w14:textId="77777777" w:rsidR="00E34868" w:rsidRDefault="00E34868" w:rsidP="00536092">
            <w:pPr>
              <w:ind w:left="0" w:right="0"/>
            </w:pPr>
            <w:r>
              <w:t>Delegate’s Overall benefit-risk assessment and request for Advisory Committee advice</w:t>
            </w:r>
          </w:p>
        </w:tc>
        <w:tc>
          <w:tcPr>
            <w:tcW w:w="2398" w:type="dxa"/>
          </w:tcPr>
          <w:p w14:paraId="72EF4B9C" w14:textId="77777777" w:rsidR="00E34868" w:rsidRDefault="00B648A0" w:rsidP="00536092">
            <w:pPr>
              <w:ind w:left="0" w:right="0"/>
            </w:pPr>
            <w:r>
              <w:t>6 November 2014</w:t>
            </w:r>
          </w:p>
        </w:tc>
      </w:tr>
      <w:tr w:rsidR="00E34868" w14:paraId="3E0578AA" w14:textId="77777777" w:rsidTr="006B2AB7">
        <w:tc>
          <w:tcPr>
            <w:tcW w:w="6086" w:type="dxa"/>
          </w:tcPr>
          <w:p w14:paraId="38738251" w14:textId="77777777" w:rsidR="00E34868" w:rsidRDefault="00E34868" w:rsidP="00536092">
            <w:pPr>
              <w:ind w:left="0" w:right="0"/>
            </w:pPr>
            <w:r>
              <w:t>Sponsor’s pre-Advisory Committee response</w:t>
            </w:r>
            <w:r w:rsidR="00B648A0">
              <w:t xml:space="preserve"> and request for mutual stop clock</w:t>
            </w:r>
          </w:p>
        </w:tc>
        <w:tc>
          <w:tcPr>
            <w:tcW w:w="2398" w:type="dxa"/>
          </w:tcPr>
          <w:p w14:paraId="425B2775" w14:textId="77777777" w:rsidR="00E34868" w:rsidRDefault="00B648A0" w:rsidP="00536092">
            <w:pPr>
              <w:ind w:left="0" w:right="0"/>
            </w:pPr>
            <w:r>
              <w:t>14 November 2014</w:t>
            </w:r>
          </w:p>
        </w:tc>
      </w:tr>
      <w:tr w:rsidR="00B648A0" w14:paraId="73F7466D" w14:textId="77777777" w:rsidTr="006B2AB7">
        <w:tc>
          <w:tcPr>
            <w:tcW w:w="6086" w:type="dxa"/>
          </w:tcPr>
          <w:p w14:paraId="72F2DE55" w14:textId="77777777" w:rsidR="00B648A0" w:rsidRDefault="00B648A0" w:rsidP="00B648A0">
            <w:pPr>
              <w:ind w:left="0" w:right="0"/>
            </w:pPr>
            <w:r>
              <w:t>Delegate’s Overall benefit-risk assessment and request for Advisory Committee advice</w:t>
            </w:r>
          </w:p>
        </w:tc>
        <w:tc>
          <w:tcPr>
            <w:tcW w:w="2398" w:type="dxa"/>
          </w:tcPr>
          <w:p w14:paraId="6A485524" w14:textId="77777777" w:rsidR="00B648A0" w:rsidRDefault="008C7345" w:rsidP="00B648A0">
            <w:pPr>
              <w:ind w:left="0" w:right="0"/>
            </w:pPr>
            <w:r>
              <w:t>6 March 2015</w:t>
            </w:r>
          </w:p>
        </w:tc>
      </w:tr>
      <w:tr w:rsidR="00B648A0" w14:paraId="1CDA7B7D" w14:textId="77777777" w:rsidTr="006B2AB7">
        <w:tc>
          <w:tcPr>
            <w:tcW w:w="6086" w:type="dxa"/>
          </w:tcPr>
          <w:p w14:paraId="7055C991" w14:textId="77777777" w:rsidR="00B648A0" w:rsidRDefault="00B648A0" w:rsidP="00B648A0">
            <w:pPr>
              <w:ind w:left="0" w:right="0"/>
            </w:pPr>
            <w:r>
              <w:t>Sponsor’s pre-Advisory Committee response</w:t>
            </w:r>
          </w:p>
        </w:tc>
        <w:tc>
          <w:tcPr>
            <w:tcW w:w="2398" w:type="dxa"/>
          </w:tcPr>
          <w:p w14:paraId="2622B730" w14:textId="77777777" w:rsidR="00B648A0" w:rsidRDefault="008C7345" w:rsidP="00B648A0">
            <w:pPr>
              <w:ind w:left="0" w:right="0"/>
            </w:pPr>
            <w:r>
              <w:t>20 March 2015</w:t>
            </w:r>
          </w:p>
        </w:tc>
      </w:tr>
      <w:tr w:rsidR="00E34868" w14:paraId="44F135CA" w14:textId="77777777" w:rsidTr="006B2AB7">
        <w:tc>
          <w:tcPr>
            <w:tcW w:w="6086" w:type="dxa"/>
          </w:tcPr>
          <w:p w14:paraId="04C03617" w14:textId="77777777" w:rsidR="00E34868" w:rsidRDefault="00E34868" w:rsidP="00536092">
            <w:pPr>
              <w:ind w:left="0" w:right="0"/>
            </w:pPr>
            <w:r>
              <w:t>Advisory Committee meeting</w:t>
            </w:r>
          </w:p>
        </w:tc>
        <w:tc>
          <w:tcPr>
            <w:tcW w:w="2398" w:type="dxa"/>
          </w:tcPr>
          <w:p w14:paraId="5CE7D55D" w14:textId="77777777" w:rsidR="00E34868" w:rsidRDefault="008C7345" w:rsidP="00B648A0">
            <w:pPr>
              <w:ind w:left="0" w:right="0"/>
            </w:pPr>
            <w:r>
              <w:t xml:space="preserve">2 </w:t>
            </w:r>
            <w:r w:rsidR="00B648A0">
              <w:t>April 2015</w:t>
            </w:r>
          </w:p>
        </w:tc>
      </w:tr>
      <w:tr w:rsidR="00B648A0" w14:paraId="257ABF17" w14:textId="77777777" w:rsidTr="006B2AB7">
        <w:tc>
          <w:tcPr>
            <w:tcW w:w="6086" w:type="dxa"/>
          </w:tcPr>
          <w:p w14:paraId="74A95A86" w14:textId="77777777" w:rsidR="00B648A0" w:rsidRDefault="00B648A0" w:rsidP="00B648A0">
            <w:pPr>
              <w:ind w:left="0" w:right="0"/>
            </w:pPr>
            <w:r>
              <w:t>Delegate’s Overall benefit-risk assessment and request for Advisory Committee advice</w:t>
            </w:r>
            <w:r w:rsidR="008C7345">
              <w:t xml:space="preserve"> (second round for further advice)</w:t>
            </w:r>
          </w:p>
        </w:tc>
        <w:tc>
          <w:tcPr>
            <w:tcW w:w="2398" w:type="dxa"/>
          </w:tcPr>
          <w:p w14:paraId="2002C636" w14:textId="77777777" w:rsidR="00B648A0" w:rsidRDefault="008C7345" w:rsidP="00B648A0">
            <w:pPr>
              <w:ind w:left="0" w:right="0"/>
            </w:pPr>
            <w:r>
              <w:t>14 May 2015</w:t>
            </w:r>
          </w:p>
        </w:tc>
      </w:tr>
      <w:tr w:rsidR="00B648A0" w14:paraId="28CEA95E" w14:textId="77777777" w:rsidTr="006B2AB7">
        <w:tc>
          <w:tcPr>
            <w:tcW w:w="6086" w:type="dxa"/>
          </w:tcPr>
          <w:p w14:paraId="7101950B" w14:textId="77777777" w:rsidR="00B648A0" w:rsidRDefault="00B648A0" w:rsidP="00B648A0">
            <w:pPr>
              <w:ind w:left="0" w:right="0"/>
            </w:pPr>
            <w:r>
              <w:t>Sponsor’s pre-Advisory Committee response</w:t>
            </w:r>
            <w:r w:rsidR="008C7345">
              <w:t xml:space="preserve"> (for second round)</w:t>
            </w:r>
          </w:p>
        </w:tc>
        <w:tc>
          <w:tcPr>
            <w:tcW w:w="2398" w:type="dxa"/>
          </w:tcPr>
          <w:p w14:paraId="64BFAFF8" w14:textId="77777777" w:rsidR="00B648A0" w:rsidRDefault="008C7345" w:rsidP="00B648A0">
            <w:pPr>
              <w:ind w:left="0" w:right="0"/>
            </w:pPr>
            <w:r>
              <w:t>25 May 2015</w:t>
            </w:r>
          </w:p>
        </w:tc>
      </w:tr>
      <w:tr w:rsidR="00B648A0" w14:paraId="4E72F826" w14:textId="77777777" w:rsidTr="006B2AB7">
        <w:tc>
          <w:tcPr>
            <w:tcW w:w="6086" w:type="dxa"/>
          </w:tcPr>
          <w:p w14:paraId="1B4440AF" w14:textId="77777777" w:rsidR="00B648A0" w:rsidRDefault="00B648A0" w:rsidP="00B648A0">
            <w:pPr>
              <w:ind w:left="0" w:right="0"/>
            </w:pPr>
            <w:r>
              <w:t>Advisory Committee meeting</w:t>
            </w:r>
          </w:p>
        </w:tc>
        <w:tc>
          <w:tcPr>
            <w:tcW w:w="2398" w:type="dxa"/>
          </w:tcPr>
          <w:p w14:paraId="247242A2" w14:textId="77777777" w:rsidR="00B648A0" w:rsidRDefault="008C7345" w:rsidP="00B648A0">
            <w:pPr>
              <w:ind w:left="0" w:right="0"/>
            </w:pPr>
            <w:r>
              <w:t xml:space="preserve">2 </w:t>
            </w:r>
            <w:r w:rsidR="00B648A0">
              <w:t>June 2015</w:t>
            </w:r>
          </w:p>
        </w:tc>
      </w:tr>
      <w:tr w:rsidR="00E34868" w14:paraId="26BD9B95" w14:textId="77777777" w:rsidTr="006B2AB7">
        <w:tc>
          <w:tcPr>
            <w:tcW w:w="6086" w:type="dxa"/>
          </w:tcPr>
          <w:p w14:paraId="2BA6A598" w14:textId="77777777" w:rsidR="00E34868" w:rsidRDefault="00E34868" w:rsidP="00536092">
            <w:pPr>
              <w:ind w:left="0" w:right="0"/>
            </w:pPr>
            <w:r>
              <w:t>Registration decision (Outcome)</w:t>
            </w:r>
          </w:p>
        </w:tc>
        <w:tc>
          <w:tcPr>
            <w:tcW w:w="2398" w:type="dxa"/>
          </w:tcPr>
          <w:p w14:paraId="332B7F40" w14:textId="77777777" w:rsidR="00E34868" w:rsidRDefault="000F4CAB" w:rsidP="00536092">
            <w:pPr>
              <w:ind w:left="0" w:right="0"/>
            </w:pPr>
            <w:r>
              <w:t>5 August 2015</w:t>
            </w:r>
          </w:p>
        </w:tc>
      </w:tr>
      <w:tr w:rsidR="00E34868" w14:paraId="54E39760" w14:textId="77777777" w:rsidTr="006B2AB7">
        <w:tc>
          <w:tcPr>
            <w:tcW w:w="6086" w:type="dxa"/>
          </w:tcPr>
          <w:p w14:paraId="53067B18" w14:textId="2C3E4B55" w:rsidR="00E34868" w:rsidRDefault="00E34868" w:rsidP="00536092">
            <w:pPr>
              <w:ind w:left="0" w:right="0"/>
            </w:pPr>
            <w:r>
              <w:t xml:space="preserve">Completion of administrative activities and registration on </w:t>
            </w:r>
            <w:r w:rsidR="00433EDE">
              <w:t xml:space="preserve">the </w:t>
            </w:r>
            <w:r>
              <w:t>ARTG</w:t>
            </w:r>
          </w:p>
        </w:tc>
        <w:tc>
          <w:tcPr>
            <w:tcW w:w="2398" w:type="dxa"/>
          </w:tcPr>
          <w:p w14:paraId="20576C54" w14:textId="3C1FB89B" w:rsidR="00E34868" w:rsidRDefault="007D09F7" w:rsidP="006B2AB7">
            <w:pPr>
              <w:ind w:left="0" w:right="0"/>
            </w:pPr>
            <w:r>
              <w:t>19 August 2015</w:t>
            </w:r>
            <w:r w:rsidR="00B86337">
              <w:rPr>
                <w:rStyle w:val="FootnoteReference"/>
              </w:rPr>
              <w:footnoteReference w:id="5"/>
            </w:r>
          </w:p>
        </w:tc>
      </w:tr>
      <w:tr w:rsidR="00E34868" w14:paraId="14CFF89B" w14:textId="77777777" w:rsidTr="006B2AB7">
        <w:tc>
          <w:tcPr>
            <w:tcW w:w="6086" w:type="dxa"/>
          </w:tcPr>
          <w:p w14:paraId="3A3314F1" w14:textId="77777777" w:rsidR="00E34868" w:rsidRDefault="00E34868" w:rsidP="00536092">
            <w:pPr>
              <w:ind w:left="0" w:right="0"/>
            </w:pPr>
            <w:r>
              <w:t>Number of working days from submission dossier acceptance to registration decision*</w:t>
            </w:r>
          </w:p>
        </w:tc>
        <w:tc>
          <w:tcPr>
            <w:tcW w:w="2398" w:type="dxa"/>
          </w:tcPr>
          <w:p w14:paraId="54B73DF0" w14:textId="77777777" w:rsidR="00E34868" w:rsidRDefault="000F4CAB" w:rsidP="00536092">
            <w:pPr>
              <w:ind w:left="0" w:right="0"/>
            </w:pPr>
            <w:r>
              <w:t>253</w:t>
            </w:r>
          </w:p>
        </w:tc>
      </w:tr>
    </w:tbl>
    <w:p w14:paraId="37B62B73" w14:textId="77777777" w:rsidR="008E7846" w:rsidRPr="003602A9" w:rsidRDefault="008E7846" w:rsidP="008E7846">
      <w:pPr>
        <w:pStyle w:val="Heading2"/>
        <w:ind w:left="-11"/>
      </w:pPr>
      <w:bookmarkStart w:id="26" w:name="_Toc44577002"/>
      <w:r>
        <w:lastRenderedPageBreak/>
        <w:t>II. Quality</w:t>
      </w:r>
      <w:bookmarkEnd w:id="2"/>
      <w:r>
        <w:t xml:space="preserve"> findings</w:t>
      </w:r>
      <w:bookmarkEnd w:id="23"/>
      <w:bookmarkEnd w:id="24"/>
      <w:bookmarkEnd w:id="26"/>
    </w:p>
    <w:p w14:paraId="62ADA1E2" w14:textId="77777777" w:rsidR="008E7846" w:rsidRDefault="008E7846" w:rsidP="00940A89">
      <w:pPr>
        <w:pStyle w:val="Heading3"/>
      </w:pPr>
      <w:bookmarkStart w:id="27" w:name="_Toc247691507"/>
      <w:bookmarkStart w:id="28" w:name="_Toc314842488"/>
      <w:bookmarkStart w:id="29" w:name="_Toc44577003"/>
      <w:r w:rsidRPr="008751DC">
        <w:t xml:space="preserve">Drug </w:t>
      </w:r>
      <w:r>
        <w:t>s</w:t>
      </w:r>
      <w:r w:rsidRPr="008751DC">
        <w:t>ubstance</w:t>
      </w:r>
      <w:r>
        <w:t xml:space="preserve"> (active ingredient)</w:t>
      </w:r>
      <w:bookmarkEnd w:id="27"/>
      <w:bookmarkEnd w:id="28"/>
      <w:bookmarkEnd w:id="29"/>
    </w:p>
    <w:p w14:paraId="3A284367" w14:textId="14CA5376" w:rsidR="00AA32F8" w:rsidRDefault="00AA32F8" w:rsidP="00AA32F8">
      <w:r>
        <w:t>T</w:t>
      </w:r>
      <w:r w:rsidRPr="006C142F">
        <w:t>he biological activity of Remicade</w:t>
      </w:r>
      <w:r>
        <w:t xml:space="preserve"> (infliximab (rmc))</w:t>
      </w:r>
      <w:r w:rsidRPr="006C142F">
        <w:t xml:space="preserve"> is considered </w:t>
      </w:r>
      <w:r w:rsidR="00C41A55" w:rsidRPr="006C142F">
        <w:t>representative</w:t>
      </w:r>
      <w:r w:rsidRPr="006C142F">
        <w:t xml:space="preserve"> of the mechanism of action and pharmacological effect of CT-P13. An extensive comparability exer</w:t>
      </w:r>
      <w:r>
        <w:t>cise using,</w:t>
      </w:r>
      <w:r w:rsidRPr="006C142F">
        <w:t xml:space="preserve"> Remicade has been performed.</w:t>
      </w:r>
    </w:p>
    <w:p w14:paraId="35AE9A44" w14:textId="77777777" w:rsidR="00AA32F8" w:rsidRPr="006C142F" w:rsidRDefault="00AA32F8" w:rsidP="00AA32F8">
      <w:r w:rsidRPr="007F73CE">
        <w:t>Infliximab bea</w:t>
      </w:r>
      <w:r>
        <w:t xml:space="preserve">rs the Fc portion of complement </w:t>
      </w:r>
      <w:r w:rsidRPr="007F73CE">
        <w:t>activating human immunoglobulin (IgG1) and binds to Fc receptors with different patterns of expression on immune cells including monocytes, macrophages, granulocytes, NK cells, B cells and platelets.</w:t>
      </w:r>
    </w:p>
    <w:p w14:paraId="0660E000" w14:textId="77777777" w:rsidR="00AA32F8" w:rsidRDefault="00AA32F8" w:rsidP="00AA32F8">
      <w:pPr>
        <w:pStyle w:val="Heading4"/>
      </w:pPr>
      <w:r>
        <w:t>Structure</w:t>
      </w:r>
    </w:p>
    <w:p w14:paraId="4D7E0371" w14:textId="77777777" w:rsidR="00AA32F8" w:rsidRPr="00B15C5E" w:rsidRDefault="00AA32F8" w:rsidP="00AA32F8">
      <w:r w:rsidRPr="00B15C5E">
        <w:t xml:space="preserve">CT-P13 drug substance is </w:t>
      </w:r>
      <w:r w:rsidRPr="004113FB">
        <w:t>a chimeric</w:t>
      </w:r>
      <w:r w:rsidRPr="00B15C5E">
        <w:t xml:space="preserve"> </w:t>
      </w:r>
      <w:r>
        <w:t xml:space="preserve">human-murine </w:t>
      </w:r>
      <w:r w:rsidRPr="00B15C5E">
        <w:t xml:space="preserve">monoclonal IgG1 antibody subclass, and like other IgG subclasses, has a glycoprotein with one N-linked glycosylation site on the Asn300 in the CH2 domain of each heavy chain. The detected oligosaccharides are mostly G0F and G1F structures. Minor species are also detected. Each heavy chain consists of 450 amino acids with 11 cysteine residues and each light chain consists of 214 amino acids with 5 cysteine residues. All cysteine residues in the heavy and light chains are involved in either intra- </w:t>
      </w:r>
      <w:r>
        <w:t xml:space="preserve">or inter- disulphide bonding. C </w:t>
      </w:r>
      <w:r w:rsidRPr="00B15C5E">
        <w:t>terminal lysine variation is also observed.</w:t>
      </w:r>
    </w:p>
    <w:p w14:paraId="7656DCAA" w14:textId="77777777" w:rsidR="00AA32F8" w:rsidRPr="00B15C5E" w:rsidRDefault="00AA32F8" w:rsidP="00AA32F8">
      <w:pPr>
        <w:pStyle w:val="Heading4"/>
      </w:pPr>
      <w:r w:rsidRPr="00B15C5E">
        <w:t>Manufacture</w:t>
      </w:r>
    </w:p>
    <w:p w14:paraId="7D5C650F" w14:textId="77777777" w:rsidR="00AA32F8" w:rsidRPr="00B15C5E" w:rsidRDefault="00AA32F8" w:rsidP="00AA32F8">
      <w:r w:rsidRPr="00B15C5E">
        <w:t xml:space="preserve">The </w:t>
      </w:r>
      <w:r>
        <w:t xml:space="preserve">drug substance, CT-P13, is produced in murine </w:t>
      </w:r>
      <w:proofErr w:type="spellStart"/>
      <w:r>
        <w:t>hybridoma</w:t>
      </w:r>
      <w:proofErr w:type="spellEnd"/>
      <w:r>
        <w:t xml:space="preserve"> cells by recombinant DNA technology. </w:t>
      </w:r>
      <w:r w:rsidRPr="00B15C5E">
        <w:t xml:space="preserve">CT-P13 protein is purified </w:t>
      </w:r>
      <w:r>
        <w:t xml:space="preserve">from the clarified cell culture broth </w:t>
      </w:r>
      <w:r w:rsidRPr="00B15C5E">
        <w:t>through a series of chroma</w:t>
      </w:r>
      <w:r>
        <w:t>tographic and filtration steps.</w:t>
      </w:r>
    </w:p>
    <w:p w14:paraId="5C9DE1AA" w14:textId="77777777" w:rsidR="00AA32F8" w:rsidRPr="00B15C5E" w:rsidRDefault="00AA32F8" w:rsidP="00AA32F8">
      <w:pPr>
        <w:pStyle w:val="Heading4"/>
      </w:pPr>
      <w:r w:rsidRPr="00B15C5E">
        <w:t>Physical</w:t>
      </w:r>
      <w:r w:rsidR="00AA1A88" w:rsidRPr="00B15C5E">
        <w:t>, chemical and biological properties</w:t>
      </w:r>
    </w:p>
    <w:p w14:paraId="2FE72248" w14:textId="3CA5F099" w:rsidR="00AA32F8" w:rsidRDefault="00AA32F8" w:rsidP="00AA32F8">
      <w:pPr>
        <w:rPr>
          <w:rFonts w:eastAsia="MS Mincho"/>
          <w:szCs w:val="20"/>
          <w:lang w:eastAsia="ja-JP"/>
        </w:rPr>
      </w:pPr>
      <w:r>
        <w:t xml:space="preserve">CT-P13 </w:t>
      </w:r>
      <w:r w:rsidR="00433EDE">
        <w:t>drug substance</w:t>
      </w:r>
      <w:r>
        <w:t xml:space="preserve"> is a colourless to light yellow and slightly opalescent to opalescent solution. It should be free of foreign particles with an approximate pH of 7.2.</w:t>
      </w:r>
    </w:p>
    <w:p w14:paraId="511AF0BB" w14:textId="77777777" w:rsidR="00AA32F8" w:rsidRDefault="00AA32F8" w:rsidP="00AA32F8">
      <w:pPr>
        <w:pStyle w:val="Heading4"/>
      </w:pPr>
      <w:r>
        <w:t>Specifications</w:t>
      </w:r>
    </w:p>
    <w:p w14:paraId="11922834" w14:textId="77777777" w:rsidR="008E7846" w:rsidRPr="00AA32F8" w:rsidRDefault="00AA32F8" w:rsidP="00617629">
      <w:pPr>
        <w:rPr>
          <w:noProof/>
          <w:szCs w:val="20"/>
          <w:lang w:eastAsia="en-AU"/>
        </w:rPr>
      </w:pPr>
      <w:r>
        <w:rPr>
          <w:rFonts w:asciiTheme="minorHAnsi" w:hAnsiTheme="minorHAnsi"/>
        </w:rPr>
        <w:t>The proposed specifications, which control identity, content, potency, purity and other biological and physical properties of the drug substance relevant to the dose form and its intended clinical use. Appropriate validation data have been submitted in support of the test procedures.</w:t>
      </w:r>
    </w:p>
    <w:p w14:paraId="2F1D0671" w14:textId="77777777" w:rsidR="008E7846" w:rsidRDefault="008E7846" w:rsidP="00510AC1">
      <w:pPr>
        <w:pStyle w:val="Heading3"/>
      </w:pPr>
      <w:bookmarkStart w:id="30" w:name="_Toc247691508"/>
      <w:bookmarkStart w:id="31" w:name="_Toc314842490"/>
      <w:bookmarkStart w:id="32" w:name="_Toc44577004"/>
      <w:r w:rsidRPr="008751DC">
        <w:t xml:space="preserve">Drug </w:t>
      </w:r>
      <w:r>
        <w:t>p</w:t>
      </w:r>
      <w:r w:rsidRPr="008751DC">
        <w:t>roduct</w:t>
      </w:r>
      <w:bookmarkEnd w:id="30"/>
      <w:bookmarkEnd w:id="31"/>
      <w:bookmarkEnd w:id="32"/>
    </w:p>
    <w:p w14:paraId="078CF5B2" w14:textId="77777777" w:rsidR="00AA32F8" w:rsidRPr="0027725E" w:rsidRDefault="00AA32F8" w:rsidP="00510AC1">
      <w:pPr>
        <w:pStyle w:val="Heading4"/>
      </w:pPr>
      <w:r>
        <w:t>Formulation</w:t>
      </w:r>
    </w:p>
    <w:p w14:paraId="45BA5C92" w14:textId="52CBD1F9" w:rsidR="00AA32F8" w:rsidRDefault="00AA32F8">
      <w:pPr>
        <w:rPr>
          <w:rFonts w:eastAsia="MS Mincho"/>
          <w:szCs w:val="20"/>
          <w:lang w:eastAsia="ja-JP"/>
        </w:rPr>
      </w:pPr>
      <w:r>
        <w:t xml:space="preserve">The sponsor has used the same pharmaceutical form and formulation throughout development, and the proposed CT-P13 drug product formulation is identical to the </w:t>
      </w:r>
      <w:r w:rsidR="00C41A55">
        <w:t>one, which</w:t>
      </w:r>
      <w:r>
        <w:t xml:space="preserve"> was clinically qualified and is also the same as</w:t>
      </w:r>
      <w:r w:rsidR="008F456C">
        <w:t xml:space="preserve"> the innovator drug product,</w:t>
      </w:r>
      <w:r>
        <w:t xml:space="preserve"> Remicade.</w:t>
      </w:r>
    </w:p>
    <w:p w14:paraId="197E1BA4" w14:textId="77777777" w:rsidR="00AA32F8" w:rsidRPr="00043934" w:rsidRDefault="00AA32F8">
      <w:r>
        <w:t xml:space="preserve">The infliximab drug product is formulated as a white lyophilised powder in a glass vial with a rubber stopper and a flip off seal. </w:t>
      </w:r>
      <w:r>
        <w:rPr>
          <w:rFonts w:asciiTheme="minorHAnsi" w:hAnsiTheme="minorHAnsi" w:cs="Arial"/>
          <w:color w:val="000000"/>
        </w:rPr>
        <w:t xml:space="preserve">The formulated drug product is composed of; 100 mg of CT-P13, </w:t>
      </w:r>
      <w:r w:rsidRPr="00043934">
        <w:rPr>
          <w:rFonts w:asciiTheme="minorHAnsi" w:hAnsiTheme="minorHAnsi" w:cs="Arial"/>
          <w:color w:val="000000"/>
        </w:rPr>
        <w:t>sodium dihydrogen phosphate monohydrate</w:t>
      </w:r>
      <w:r>
        <w:t xml:space="preserve">, </w:t>
      </w:r>
      <w:r>
        <w:rPr>
          <w:rFonts w:asciiTheme="minorHAnsi" w:hAnsiTheme="minorHAnsi" w:cs="Arial"/>
          <w:color w:val="000000"/>
        </w:rPr>
        <w:t>di-sodium hydrogen phosphate di-</w:t>
      </w:r>
      <w:r w:rsidRPr="00043934">
        <w:rPr>
          <w:rFonts w:asciiTheme="minorHAnsi" w:hAnsiTheme="minorHAnsi" w:cs="Arial"/>
          <w:color w:val="000000"/>
        </w:rPr>
        <w:t>hydrate</w:t>
      </w:r>
      <w:r>
        <w:t xml:space="preserve">, </w:t>
      </w:r>
      <w:r w:rsidRPr="00043934">
        <w:rPr>
          <w:rFonts w:asciiTheme="minorHAnsi" w:hAnsiTheme="minorHAnsi" w:cs="Arial"/>
          <w:color w:val="000000"/>
        </w:rPr>
        <w:t>sucrose</w:t>
      </w:r>
      <w:r>
        <w:rPr>
          <w:rFonts w:asciiTheme="minorHAnsi" w:hAnsiTheme="minorHAnsi" w:cs="Arial"/>
          <w:color w:val="000000"/>
        </w:rPr>
        <w:t xml:space="preserve"> and </w:t>
      </w:r>
      <w:proofErr w:type="spellStart"/>
      <w:r w:rsidRPr="00043934">
        <w:rPr>
          <w:rFonts w:asciiTheme="minorHAnsi" w:hAnsiTheme="minorHAnsi" w:cs="Arial"/>
          <w:color w:val="000000"/>
        </w:rPr>
        <w:t>polysorbate</w:t>
      </w:r>
      <w:proofErr w:type="spellEnd"/>
      <w:r w:rsidRPr="00043934">
        <w:rPr>
          <w:rFonts w:asciiTheme="minorHAnsi" w:hAnsiTheme="minorHAnsi" w:cs="Arial"/>
          <w:color w:val="000000"/>
        </w:rPr>
        <w:t xml:space="preserve"> 80</w:t>
      </w:r>
      <w:r>
        <w:rPr>
          <w:rFonts w:asciiTheme="minorHAnsi" w:hAnsiTheme="minorHAnsi" w:cs="Arial"/>
          <w:color w:val="000000"/>
        </w:rPr>
        <w:t>.</w:t>
      </w:r>
    </w:p>
    <w:p w14:paraId="15F72AD0" w14:textId="77777777" w:rsidR="00AA32F8" w:rsidRDefault="00AA32F8">
      <w:pPr>
        <w:rPr>
          <w:szCs w:val="20"/>
        </w:rPr>
      </w:pPr>
      <w:r>
        <w:lastRenderedPageBreak/>
        <w:t xml:space="preserve">The </w:t>
      </w:r>
      <w:proofErr w:type="spellStart"/>
      <w:r>
        <w:t>lyophilisate</w:t>
      </w:r>
      <w:proofErr w:type="spellEnd"/>
      <w:r>
        <w:t xml:space="preserve"> is reconstituted with 10 mL of sterile water for injection to yield a single dose formulation of 10 mg/mL infliximab at pH 7.2. Each vial is designed to deliver a single dose of 100 mg infliximab.</w:t>
      </w:r>
    </w:p>
    <w:p w14:paraId="463224EF" w14:textId="77777777" w:rsidR="00AA32F8" w:rsidRDefault="00AA32F8" w:rsidP="00AA32F8">
      <w:pPr>
        <w:pStyle w:val="Heading4"/>
      </w:pPr>
      <w:r>
        <w:t>Manufacture</w:t>
      </w:r>
    </w:p>
    <w:p w14:paraId="0CBFC795" w14:textId="77777777" w:rsidR="00AA32F8" w:rsidRDefault="00AA32F8" w:rsidP="00AA32F8">
      <w:pPr>
        <w:rPr>
          <w:szCs w:val="20"/>
        </w:rPr>
      </w:pPr>
      <w:r>
        <w:t>There is sterile filtration of the final bulk through sterile filters. The following steps take place following the final formulation;</w:t>
      </w:r>
    </w:p>
    <w:p w14:paraId="3458620A" w14:textId="77777777" w:rsidR="00AA32F8" w:rsidRDefault="00AA32F8" w:rsidP="00053448">
      <w:pPr>
        <w:pStyle w:val="ListBullet"/>
      </w:pPr>
      <w:r>
        <w:t xml:space="preserve">vial and stopper preparation process (washing, sterilisation and </w:t>
      </w:r>
      <w:proofErr w:type="spellStart"/>
      <w:r>
        <w:t>depyrogenation</w:t>
      </w:r>
      <w:proofErr w:type="spellEnd"/>
      <w:r>
        <w:t>)</w:t>
      </w:r>
    </w:p>
    <w:p w14:paraId="3DB5FB57" w14:textId="77777777" w:rsidR="00AA32F8" w:rsidRDefault="00AA32F8" w:rsidP="00053448">
      <w:pPr>
        <w:pStyle w:val="ListBullet"/>
      </w:pPr>
      <w:r>
        <w:t>aseptic filling process</w:t>
      </w:r>
    </w:p>
    <w:p w14:paraId="09780D0E" w14:textId="77777777" w:rsidR="00AA32F8" w:rsidRDefault="00AA32F8" w:rsidP="00053448">
      <w:pPr>
        <w:pStyle w:val="ListBullet"/>
      </w:pPr>
      <w:r>
        <w:t>lyophilisation process</w:t>
      </w:r>
    </w:p>
    <w:p w14:paraId="5D997A65" w14:textId="77777777" w:rsidR="00AA32F8" w:rsidRDefault="00AA32F8" w:rsidP="00053448">
      <w:pPr>
        <w:pStyle w:val="ListBullet"/>
      </w:pPr>
      <w:r>
        <w:t>capping and crimping process</w:t>
      </w:r>
    </w:p>
    <w:p w14:paraId="63F96A41" w14:textId="77777777" w:rsidR="00AA32F8" w:rsidRDefault="00AA32F8" w:rsidP="00053448">
      <w:pPr>
        <w:pStyle w:val="ListBullet"/>
      </w:pPr>
      <w:r>
        <w:t>visual inspection</w:t>
      </w:r>
    </w:p>
    <w:p w14:paraId="726E193A" w14:textId="77777777" w:rsidR="00AA32F8" w:rsidRPr="00043934" w:rsidRDefault="00AA32F8" w:rsidP="00053448">
      <w:pPr>
        <w:pStyle w:val="ListBullet"/>
      </w:pPr>
      <w:r>
        <w:t>label and packaging</w:t>
      </w:r>
      <w:r w:rsidR="00AF7DB6">
        <w:t>.</w:t>
      </w:r>
    </w:p>
    <w:p w14:paraId="04CAA934" w14:textId="77777777" w:rsidR="00AA32F8" w:rsidRDefault="00AA32F8" w:rsidP="00AA32F8">
      <w:pPr>
        <w:pStyle w:val="Heading4"/>
      </w:pPr>
      <w:r>
        <w:t>Stability</w:t>
      </w:r>
    </w:p>
    <w:p w14:paraId="6DC9EF5A" w14:textId="730DD087" w:rsidR="00AA32F8" w:rsidRPr="006A5649" w:rsidRDefault="00AA32F8" w:rsidP="00AA32F8">
      <w:r w:rsidRPr="006A5649">
        <w:t>The drug product stability data supports a shelf life of 12 months</w:t>
      </w:r>
      <w:bookmarkStart w:id="33" w:name="_Ref455679483"/>
      <w:r w:rsidR="008F456C">
        <w:t>;</w:t>
      </w:r>
      <w:r>
        <w:rPr>
          <w:rStyle w:val="FootnoteReference"/>
        </w:rPr>
        <w:footnoteReference w:id="6"/>
      </w:r>
      <w:bookmarkEnd w:id="33"/>
      <w:r w:rsidRPr="006A5649">
        <w:t xml:space="preserve"> when stored at 5 ± 3°C.</w:t>
      </w:r>
    </w:p>
    <w:p w14:paraId="76F04A20" w14:textId="77777777" w:rsidR="00AA32F8" w:rsidRDefault="00AA32F8" w:rsidP="00053448">
      <w:pPr>
        <w:pStyle w:val="Heading5"/>
        <w:rPr>
          <w:szCs w:val="20"/>
        </w:rPr>
      </w:pPr>
      <w:r>
        <w:t>In use stability</w:t>
      </w:r>
    </w:p>
    <w:p w14:paraId="7B58A655" w14:textId="77777777" w:rsidR="00940A89" w:rsidRPr="00940A89" w:rsidRDefault="00AA32F8" w:rsidP="00940A89">
      <w:r>
        <w:t>The stability data support the reconstituted and diluted drug product is stable both in refrigerated and at room temperature for up to 48 hours.</w:t>
      </w:r>
    </w:p>
    <w:p w14:paraId="12F1FCB3" w14:textId="77777777" w:rsidR="008E7846" w:rsidRDefault="008E7846" w:rsidP="008E7846">
      <w:pPr>
        <w:pStyle w:val="Heading3"/>
      </w:pPr>
      <w:bookmarkStart w:id="34" w:name="_Toc314842491"/>
      <w:bookmarkStart w:id="35" w:name="_Toc44577005"/>
      <w:r>
        <w:t>Biopharmaceutics</w:t>
      </w:r>
      <w:bookmarkEnd w:id="34"/>
      <w:bookmarkEnd w:id="35"/>
    </w:p>
    <w:p w14:paraId="68780F34" w14:textId="77777777" w:rsidR="00AA32F8" w:rsidRDefault="00AA32F8" w:rsidP="00AA32F8">
      <w:pPr>
        <w:rPr>
          <w:rFonts w:asciiTheme="minorHAnsi" w:hAnsiTheme="minorHAnsi"/>
        </w:rPr>
      </w:pPr>
      <w:bookmarkStart w:id="36" w:name="_Toc314842492"/>
      <w:proofErr w:type="spellStart"/>
      <w:r>
        <w:rPr>
          <w:rFonts w:asciiTheme="minorHAnsi" w:hAnsiTheme="minorHAnsi"/>
        </w:rPr>
        <w:t>Biopharmaceutic</w:t>
      </w:r>
      <w:proofErr w:type="spellEnd"/>
      <w:r>
        <w:rPr>
          <w:rFonts w:asciiTheme="minorHAnsi" w:hAnsiTheme="minorHAnsi"/>
        </w:rPr>
        <w:t xml:space="preserve"> data are not usually required for this product because the medicine is administered intravenously via infusion. Since this product is being assessed as a biosimilar, a comparability study with the reference product Remicade has been performed, which includes equivalent pharmacokinetic profiles in a clinical study.</w:t>
      </w:r>
    </w:p>
    <w:p w14:paraId="60EC3639" w14:textId="77777777" w:rsidR="008E7846" w:rsidRPr="008751DC" w:rsidRDefault="008E7846" w:rsidP="008E7846">
      <w:pPr>
        <w:pStyle w:val="Heading3"/>
      </w:pPr>
      <w:bookmarkStart w:id="37" w:name="_Toc247691509"/>
      <w:bookmarkStart w:id="38" w:name="_Toc314842493"/>
      <w:bookmarkStart w:id="39" w:name="_Toc44577006"/>
      <w:bookmarkEnd w:id="36"/>
      <w:r>
        <w:t>Quality s</w:t>
      </w:r>
      <w:r w:rsidRPr="008751DC">
        <w:t>ummary</w:t>
      </w:r>
      <w:r>
        <w:t xml:space="preserve"> and conclusions</w:t>
      </w:r>
      <w:bookmarkEnd w:id="37"/>
      <w:bookmarkEnd w:id="38"/>
      <w:bookmarkEnd w:id="39"/>
    </w:p>
    <w:p w14:paraId="60E91DF8" w14:textId="77777777" w:rsidR="00546601" w:rsidRPr="0027725E" w:rsidRDefault="00546601" w:rsidP="00546601">
      <w:pPr>
        <w:pStyle w:val="Heading4"/>
      </w:pPr>
      <w:r w:rsidRPr="0027725E">
        <w:t xml:space="preserve">Summary of </w:t>
      </w:r>
      <w:r>
        <w:t>e</w:t>
      </w:r>
      <w:r w:rsidRPr="0027725E">
        <w:t xml:space="preserve">valuation and </w:t>
      </w:r>
      <w:r>
        <w:t>i</w:t>
      </w:r>
      <w:r w:rsidRPr="0027725E">
        <w:t xml:space="preserve">ssues of </w:t>
      </w:r>
      <w:r>
        <w:t>i</w:t>
      </w:r>
      <w:r w:rsidRPr="0027725E">
        <w:t>mportance</w:t>
      </w:r>
    </w:p>
    <w:p w14:paraId="6A2F9732" w14:textId="77777777" w:rsidR="00546601" w:rsidRPr="0027725E" w:rsidRDefault="00EF0890" w:rsidP="00546601">
      <w:r>
        <w:t>Inflectra</w:t>
      </w:r>
      <w:r w:rsidR="00546601">
        <w:t xml:space="preserve">, infliximab </w:t>
      </w:r>
      <w:r w:rsidR="00546601" w:rsidRPr="0027725E">
        <w:t xml:space="preserve">(rmc), </w:t>
      </w:r>
      <w:r w:rsidR="00546601">
        <w:t>(</w:t>
      </w:r>
      <w:r w:rsidR="00546601" w:rsidRPr="0027725E">
        <w:t>CT-P13</w:t>
      </w:r>
      <w:r w:rsidR="00546601">
        <w:t>)</w:t>
      </w:r>
      <w:r w:rsidR="00546601" w:rsidRPr="0027725E">
        <w:t xml:space="preserve"> has been developed as a biosimilar medical product to the reference product Remicade</w:t>
      </w:r>
      <w:r w:rsidR="00546601">
        <w:t>.</w:t>
      </w:r>
    </w:p>
    <w:p w14:paraId="3EC84CC7" w14:textId="4C07C394" w:rsidR="00546601" w:rsidRPr="0027725E" w:rsidRDefault="00546601" w:rsidP="00546601">
      <w:bookmarkStart w:id="40" w:name="_Hlk35932327"/>
      <w:r w:rsidRPr="0027725E">
        <w:t xml:space="preserve">The sponsor has adequately addressed many of the issues that </w:t>
      </w:r>
      <w:r>
        <w:t>were raised in response in the q</w:t>
      </w:r>
      <w:r w:rsidRPr="0027725E">
        <w:t xml:space="preserve">uality evaluation. </w:t>
      </w:r>
      <w:bookmarkEnd w:id="40"/>
      <w:r w:rsidRPr="0027725E">
        <w:t>Various hold times, process validations, and tightening of product release specifications have been implemented by the sp</w:t>
      </w:r>
      <w:r>
        <w:t>onsor at the request of the TGA. [Information redacted]</w:t>
      </w:r>
      <w:r w:rsidR="008F456C">
        <w:t>.</w:t>
      </w:r>
      <w:r>
        <w:rPr>
          <w:rStyle w:val="FootnoteReference"/>
        </w:rPr>
        <w:footnoteReference w:id="7"/>
      </w:r>
    </w:p>
    <w:p w14:paraId="2536528D" w14:textId="40405AF5" w:rsidR="00546601" w:rsidRPr="0027725E" w:rsidRDefault="00546601" w:rsidP="00546601">
      <w:r>
        <w:t>However, the overall q</w:t>
      </w:r>
      <w:r w:rsidRPr="0027725E">
        <w:t xml:space="preserve">uality assessment of CT-P13 gives assurance that the product is of a similarly high quality to other monoclonal antibodies. The submitted documentation with regards to chemical, pharmaceutical and biological documentation comply with the relevant guidelines, while the fermentation and purification of the drug substance are well described, adequately controlled and appropriately validated. The physicochemical and biological characteristics of the drug substance have been well characterised using </w:t>
      </w:r>
      <w:r w:rsidRPr="0027725E">
        <w:lastRenderedPageBreak/>
        <w:t>appropriate methods and have appropriate in-process controls and specifications to control the process. The manufacturing process of the final drug product has been described and validated to a satisfactory level, while the quality of the finished product is adequately controlled by appropriate test methods, in-process controls and release specifications. Appropriate stability studies have been performed to support the shelf l</w:t>
      </w:r>
      <w:r>
        <w:t>ife of the product (12 months).</w:t>
      </w:r>
      <w:r w:rsidRPr="00A91701">
        <w:rPr>
          <w:vertAlign w:val="superscript"/>
        </w:rPr>
        <w:fldChar w:fldCharType="begin"/>
      </w:r>
      <w:r w:rsidRPr="00A91701">
        <w:rPr>
          <w:vertAlign w:val="superscript"/>
        </w:rPr>
        <w:instrText xml:space="preserve"> NOTEREF _Ref455679483 \h </w:instrText>
      </w:r>
      <w:r>
        <w:rPr>
          <w:vertAlign w:val="superscript"/>
        </w:rPr>
        <w:instrText xml:space="preserve"> \* MERGEFORMAT </w:instrText>
      </w:r>
      <w:r w:rsidRPr="00A91701">
        <w:rPr>
          <w:vertAlign w:val="superscript"/>
        </w:rPr>
      </w:r>
      <w:r w:rsidRPr="00A91701">
        <w:rPr>
          <w:vertAlign w:val="superscript"/>
        </w:rPr>
        <w:fldChar w:fldCharType="separate"/>
      </w:r>
      <w:r w:rsidR="00B461DE">
        <w:rPr>
          <w:vertAlign w:val="superscript"/>
        </w:rPr>
        <w:t>6</w:t>
      </w:r>
      <w:r w:rsidRPr="00A91701">
        <w:rPr>
          <w:vertAlign w:val="superscript"/>
        </w:rPr>
        <w:fldChar w:fldCharType="end"/>
      </w:r>
    </w:p>
    <w:p w14:paraId="3009A00C" w14:textId="77777777" w:rsidR="00546601" w:rsidRDefault="00546601" w:rsidP="00546601">
      <w:r>
        <w:t>From a q</w:t>
      </w:r>
      <w:r w:rsidRPr="0027725E">
        <w:t xml:space="preserve">uality aspect, </w:t>
      </w:r>
      <w:proofErr w:type="spellStart"/>
      <w:r w:rsidRPr="0027725E">
        <w:t>biosimilarity</w:t>
      </w:r>
      <w:proofErr w:type="spellEnd"/>
      <w:r w:rsidRPr="0027725E">
        <w:t xml:space="preserve"> with the reference product Remicade has been sufficiently demonstrated. There are notable observable differences that have been relatively well studied and described, and these differences are noted for the Delegate below. The following table</w:t>
      </w:r>
      <w:r w:rsidR="00EC703E">
        <w:t xml:space="preserve"> (Table 3</w:t>
      </w:r>
      <w:r>
        <w:t>)</w:t>
      </w:r>
      <w:r w:rsidRPr="0027725E">
        <w:t xml:space="preserve"> summarises the physicochemical and biolo</w:t>
      </w:r>
      <w:r>
        <w:t>gical test methods used in the c</w:t>
      </w:r>
      <w:r w:rsidRPr="0027725E">
        <w:t>omparability between CT-P13 and Remicade</w:t>
      </w:r>
      <w:r>
        <w:t>.</w:t>
      </w:r>
    </w:p>
    <w:p w14:paraId="7C4DC85E" w14:textId="77777777" w:rsidR="00546601" w:rsidRPr="00C07BE2" w:rsidRDefault="00EC703E" w:rsidP="00546601">
      <w:pPr>
        <w:pStyle w:val="TableTitle"/>
      </w:pPr>
      <w:r>
        <w:t>Table 3</w:t>
      </w:r>
      <w:r w:rsidR="00546601">
        <w:t xml:space="preserve">: </w:t>
      </w:r>
      <w:r w:rsidR="00546601" w:rsidRPr="00C07BE2">
        <w:t>Comparability between CT-P13 and Remicade</w:t>
      </w:r>
    </w:p>
    <w:tbl>
      <w:tblPr>
        <w:tblStyle w:val="TableTGAblue"/>
        <w:tblW w:w="0" w:type="auto"/>
        <w:tblLook w:val="04A0" w:firstRow="1" w:lastRow="0" w:firstColumn="1" w:lastColumn="0" w:noHBand="0" w:noVBand="1"/>
      </w:tblPr>
      <w:tblGrid>
        <w:gridCol w:w="2518"/>
        <w:gridCol w:w="3645"/>
        <w:gridCol w:w="2084"/>
      </w:tblGrid>
      <w:tr w:rsidR="00546601" w:rsidRPr="00425192" w14:paraId="3CF072ED" w14:textId="77777777" w:rsidTr="00AF7DB6">
        <w:trPr>
          <w:cnfStyle w:val="100000000000" w:firstRow="1" w:lastRow="0" w:firstColumn="0" w:lastColumn="0" w:oddVBand="0" w:evenVBand="0" w:oddHBand="0" w:evenHBand="0" w:firstRowFirstColumn="0" w:firstRowLastColumn="0" w:lastRowFirstColumn="0" w:lastRowLastColumn="0"/>
          <w:trHeight w:val="143"/>
        </w:trPr>
        <w:tc>
          <w:tcPr>
            <w:tcW w:w="2518" w:type="dxa"/>
            <w:hideMark/>
          </w:tcPr>
          <w:p w14:paraId="4F0CC073" w14:textId="77777777" w:rsidR="00546601" w:rsidRPr="00425192" w:rsidRDefault="00546601" w:rsidP="00AF7DB6">
            <w:pPr>
              <w:pStyle w:val="Tabletext"/>
            </w:pPr>
            <w:r w:rsidRPr="00425192">
              <w:t>Test Method</w:t>
            </w:r>
          </w:p>
        </w:tc>
        <w:tc>
          <w:tcPr>
            <w:tcW w:w="3645" w:type="dxa"/>
            <w:hideMark/>
          </w:tcPr>
          <w:p w14:paraId="373FD0D2" w14:textId="77777777" w:rsidR="00546601" w:rsidRPr="00425192" w:rsidRDefault="00546601" w:rsidP="00AF7DB6">
            <w:pPr>
              <w:pStyle w:val="Tabletext"/>
            </w:pPr>
            <w:r w:rsidRPr="00425192">
              <w:t>Aim of Method</w:t>
            </w:r>
          </w:p>
        </w:tc>
        <w:tc>
          <w:tcPr>
            <w:tcW w:w="2084" w:type="dxa"/>
            <w:hideMark/>
          </w:tcPr>
          <w:p w14:paraId="263AE859" w14:textId="77777777" w:rsidR="00546601" w:rsidRPr="00425192" w:rsidRDefault="00546601" w:rsidP="00AF7DB6">
            <w:pPr>
              <w:pStyle w:val="Tabletext"/>
              <w:rPr>
                <w:i/>
              </w:rPr>
            </w:pPr>
            <w:r w:rsidRPr="00425192">
              <w:t>Comparability</w:t>
            </w:r>
          </w:p>
        </w:tc>
      </w:tr>
      <w:tr w:rsidR="00546601" w:rsidRPr="00425192" w14:paraId="14EE6F14" w14:textId="77777777" w:rsidTr="00AF7DB6">
        <w:trPr>
          <w:trHeight w:val="143"/>
        </w:trPr>
        <w:tc>
          <w:tcPr>
            <w:tcW w:w="8247" w:type="dxa"/>
            <w:gridSpan w:val="3"/>
            <w:hideMark/>
          </w:tcPr>
          <w:p w14:paraId="6F75CAB5" w14:textId="77777777" w:rsidR="00546601" w:rsidRPr="00425192" w:rsidRDefault="00546601" w:rsidP="00AF7DB6">
            <w:pPr>
              <w:pStyle w:val="Tabletext"/>
              <w:rPr>
                <w:b/>
              </w:rPr>
            </w:pPr>
            <w:r w:rsidRPr="00425192">
              <w:rPr>
                <w:b/>
              </w:rPr>
              <w:t>Primary structure</w:t>
            </w:r>
          </w:p>
        </w:tc>
      </w:tr>
      <w:tr w:rsidR="00546601" w:rsidRPr="00425192" w14:paraId="5B6E49EF" w14:textId="77777777" w:rsidTr="00AF7DB6">
        <w:trPr>
          <w:trHeight w:val="143"/>
        </w:trPr>
        <w:tc>
          <w:tcPr>
            <w:tcW w:w="2518" w:type="dxa"/>
            <w:hideMark/>
          </w:tcPr>
          <w:p w14:paraId="1A280658" w14:textId="77777777" w:rsidR="00546601" w:rsidRPr="00425192" w:rsidRDefault="00546601" w:rsidP="00AF7DB6">
            <w:pPr>
              <w:pStyle w:val="Tabletext"/>
              <w:ind w:left="0" w:right="0"/>
            </w:pPr>
            <w:r w:rsidRPr="00425192">
              <w:t>Amino acid analysis</w:t>
            </w:r>
          </w:p>
        </w:tc>
        <w:tc>
          <w:tcPr>
            <w:tcW w:w="3645" w:type="dxa"/>
            <w:hideMark/>
          </w:tcPr>
          <w:p w14:paraId="0C881AAA" w14:textId="77777777" w:rsidR="00546601" w:rsidRPr="00425192" w:rsidRDefault="00546601" w:rsidP="00AF7DB6">
            <w:pPr>
              <w:pStyle w:val="Tabletext"/>
              <w:ind w:left="0" w:right="0"/>
            </w:pPr>
            <w:r w:rsidRPr="00425192">
              <w:t>Determination of amino acid composition</w:t>
            </w:r>
          </w:p>
        </w:tc>
        <w:tc>
          <w:tcPr>
            <w:tcW w:w="2084" w:type="dxa"/>
            <w:hideMark/>
          </w:tcPr>
          <w:p w14:paraId="5C73A42D" w14:textId="77777777" w:rsidR="00546601" w:rsidRPr="00425192" w:rsidRDefault="00546601" w:rsidP="00AF7DB6">
            <w:pPr>
              <w:pStyle w:val="Tabletext"/>
              <w:ind w:left="0" w:right="0"/>
            </w:pPr>
            <w:r w:rsidRPr="00425192">
              <w:t>No notable difference</w:t>
            </w:r>
          </w:p>
        </w:tc>
      </w:tr>
      <w:tr w:rsidR="00546601" w:rsidRPr="00425192" w14:paraId="7E7BAF60" w14:textId="77777777" w:rsidTr="00AF7DB6">
        <w:trPr>
          <w:trHeight w:val="143"/>
        </w:trPr>
        <w:tc>
          <w:tcPr>
            <w:tcW w:w="2518" w:type="dxa"/>
            <w:hideMark/>
          </w:tcPr>
          <w:p w14:paraId="31172BC5" w14:textId="77777777" w:rsidR="00546601" w:rsidRPr="00425192" w:rsidRDefault="00546601" w:rsidP="00AF7DB6">
            <w:pPr>
              <w:pStyle w:val="Tabletext"/>
              <w:ind w:left="0" w:right="0"/>
            </w:pPr>
            <w:r w:rsidRPr="00425192">
              <w:t>Peptide mapping (LC-MS) in combination with MS/MS</w:t>
            </w:r>
          </w:p>
        </w:tc>
        <w:tc>
          <w:tcPr>
            <w:tcW w:w="3645" w:type="dxa"/>
            <w:hideMark/>
          </w:tcPr>
          <w:p w14:paraId="60F6E527" w14:textId="77777777" w:rsidR="00546601" w:rsidRPr="00425192" w:rsidRDefault="00546601" w:rsidP="00AF7DB6">
            <w:pPr>
              <w:pStyle w:val="Tabletext"/>
              <w:ind w:left="0" w:right="0"/>
            </w:pPr>
            <w:r w:rsidRPr="00425192">
              <w:t>Comparison of peptide coverage and chemical modifications</w:t>
            </w:r>
          </w:p>
        </w:tc>
        <w:tc>
          <w:tcPr>
            <w:tcW w:w="2084" w:type="dxa"/>
            <w:hideMark/>
          </w:tcPr>
          <w:p w14:paraId="7AC1F908" w14:textId="77777777" w:rsidR="00546601" w:rsidRPr="00425192" w:rsidRDefault="00546601" w:rsidP="00AF7DB6">
            <w:pPr>
              <w:pStyle w:val="Tabletext"/>
              <w:ind w:left="0" w:right="0"/>
            </w:pPr>
            <w:r w:rsidRPr="00425192">
              <w:t xml:space="preserve">No notable difference </w:t>
            </w:r>
          </w:p>
        </w:tc>
      </w:tr>
      <w:tr w:rsidR="00546601" w:rsidRPr="00425192" w14:paraId="46A3D63E" w14:textId="77777777" w:rsidTr="00AF7DB6">
        <w:trPr>
          <w:trHeight w:val="143"/>
        </w:trPr>
        <w:tc>
          <w:tcPr>
            <w:tcW w:w="2518" w:type="dxa"/>
            <w:hideMark/>
          </w:tcPr>
          <w:p w14:paraId="6A03DF4C" w14:textId="77777777" w:rsidR="00546601" w:rsidRPr="00425192" w:rsidRDefault="00546601" w:rsidP="00AF7DB6">
            <w:pPr>
              <w:pStyle w:val="Tabletext"/>
              <w:ind w:left="0" w:right="0"/>
            </w:pPr>
            <w:r w:rsidRPr="00425192">
              <w:t>Peptide mapping (HPLC)</w:t>
            </w:r>
          </w:p>
        </w:tc>
        <w:tc>
          <w:tcPr>
            <w:tcW w:w="3645" w:type="dxa"/>
            <w:hideMark/>
          </w:tcPr>
          <w:p w14:paraId="319A5654" w14:textId="77777777" w:rsidR="00546601" w:rsidRPr="00425192" w:rsidRDefault="00546601" w:rsidP="00AF7DB6">
            <w:pPr>
              <w:pStyle w:val="Tabletext"/>
              <w:ind w:left="0" w:right="0"/>
            </w:pPr>
            <w:r w:rsidRPr="00425192">
              <w:t>Comparison of tryptic peptide map by visual inspection</w:t>
            </w:r>
          </w:p>
        </w:tc>
        <w:tc>
          <w:tcPr>
            <w:tcW w:w="2084" w:type="dxa"/>
            <w:hideMark/>
          </w:tcPr>
          <w:p w14:paraId="08EEA7B1" w14:textId="77777777" w:rsidR="00546601" w:rsidRPr="00425192" w:rsidRDefault="00546601" w:rsidP="00AF7DB6">
            <w:pPr>
              <w:pStyle w:val="Tabletext"/>
              <w:ind w:left="0" w:right="0"/>
            </w:pPr>
            <w:r w:rsidRPr="00425192">
              <w:t>No notable difference</w:t>
            </w:r>
          </w:p>
        </w:tc>
      </w:tr>
      <w:tr w:rsidR="00546601" w:rsidRPr="00425192" w14:paraId="5BAAF093" w14:textId="77777777" w:rsidTr="00AF7DB6">
        <w:trPr>
          <w:trHeight w:val="143"/>
        </w:trPr>
        <w:tc>
          <w:tcPr>
            <w:tcW w:w="2518" w:type="dxa"/>
            <w:hideMark/>
          </w:tcPr>
          <w:p w14:paraId="165ED10F" w14:textId="77777777" w:rsidR="00546601" w:rsidRPr="00425192" w:rsidRDefault="00546601" w:rsidP="00AF7DB6">
            <w:pPr>
              <w:pStyle w:val="Tabletext"/>
              <w:ind w:left="0" w:right="0"/>
            </w:pPr>
            <w:r w:rsidRPr="00425192">
              <w:t>N-terminal Sequencing</w:t>
            </w:r>
          </w:p>
        </w:tc>
        <w:tc>
          <w:tcPr>
            <w:tcW w:w="3645" w:type="dxa"/>
            <w:hideMark/>
          </w:tcPr>
          <w:p w14:paraId="4E86D955" w14:textId="77777777" w:rsidR="00546601" w:rsidRPr="00425192" w:rsidRDefault="00546601" w:rsidP="00AF7DB6">
            <w:pPr>
              <w:pStyle w:val="Tabletext"/>
              <w:ind w:left="0" w:right="0"/>
            </w:pPr>
            <w:r w:rsidRPr="00425192">
              <w:t>Comparison of N-terminal sequences</w:t>
            </w:r>
          </w:p>
        </w:tc>
        <w:tc>
          <w:tcPr>
            <w:tcW w:w="2084" w:type="dxa"/>
            <w:hideMark/>
          </w:tcPr>
          <w:p w14:paraId="264C6427" w14:textId="77777777" w:rsidR="00546601" w:rsidRPr="00425192" w:rsidRDefault="00546601" w:rsidP="00AF7DB6">
            <w:pPr>
              <w:pStyle w:val="Tabletext"/>
              <w:ind w:left="0" w:right="0"/>
            </w:pPr>
            <w:r w:rsidRPr="00425192">
              <w:t>No notable difference</w:t>
            </w:r>
          </w:p>
        </w:tc>
      </w:tr>
      <w:tr w:rsidR="00546601" w:rsidRPr="00425192" w14:paraId="4FEE68CC" w14:textId="77777777" w:rsidTr="00AF7DB6">
        <w:trPr>
          <w:trHeight w:val="143"/>
        </w:trPr>
        <w:tc>
          <w:tcPr>
            <w:tcW w:w="2518" w:type="dxa"/>
            <w:hideMark/>
          </w:tcPr>
          <w:p w14:paraId="47DC3163" w14:textId="77777777" w:rsidR="00546601" w:rsidRPr="00425192" w:rsidRDefault="00546601" w:rsidP="00AF7DB6">
            <w:pPr>
              <w:pStyle w:val="Tabletext"/>
              <w:ind w:left="0" w:right="0"/>
            </w:pPr>
            <w:r w:rsidRPr="00425192">
              <w:t>C-terminal sequencing</w:t>
            </w:r>
          </w:p>
        </w:tc>
        <w:tc>
          <w:tcPr>
            <w:tcW w:w="3645" w:type="dxa"/>
            <w:hideMark/>
          </w:tcPr>
          <w:p w14:paraId="655F71B6" w14:textId="77777777" w:rsidR="00546601" w:rsidRPr="00425192" w:rsidRDefault="00546601" w:rsidP="00AF7DB6">
            <w:pPr>
              <w:pStyle w:val="Tabletext"/>
              <w:ind w:left="0" w:right="0"/>
            </w:pPr>
            <w:r w:rsidRPr="00425192">
              <w:t>Comparison of C-terminal sequences</w:t>
            </w:r>
          </w:p>
        </w:tc>
        <w:tc>
          <w:tcPr>
            <w:tcW w:w="2084" w:type="dxa"/>
            <w:hideMark/>
          </w:tcPr>
          <w:p w14:paraId="199A4FA7" w14:textId="77777777" w:rsidR="00546601" w:rsidRPr="00425192" w:rsidRDefault="00546601" w:rsidP="00AF7DB6">
            <w:pPr>
              <w:pStyle w:val="Tabletext"/>
              <w:ind w:left="0" w:right="0"/>
            </w:pPr>
            <w:r w:rsidRPr="00425192">
              <w:t xml:space="preserve">No notable difference </w:t>
            </w:r>
          </w:p>
        </w:tc>
      </w:tr>
      <w:tr w:rsidR="00546601" w:rsidRPr="00425192" w14:paraId="7E948180" w14:textId="77777777" w:rsidTr="00AF7DB6">
        <w:trPr>
          <w:trHeight w:val="143"/>
        </w:trPr>
        <w:tc>
          <w:tcPr>
            <w:tcW w:w="2518" w:type="dxa"/>
            <w:hideMark/>
          </w:tcPr>
          <w:p w14:paraId="08373D9E" w14:textId="77777777" w:rsidR="00546601" w:rsidRPr="00425192" w:rsidRDefault="00546601" w:rsidP="00AF7DB6">
            <w:pPr>
              <w:pStyle w:val="Tabletext"/>
              <w:ind w:left="0" w:right="0"/>
            </w:pPr>
            <w:r w:rsidRPr="00425192">
              <w:t>Reduced Mass</w:t>
            </w:r>
          </w:p>
        </w:tc>
        <w:tc>
          <w:tcPr>
            <w:tcW w:w="3645" w:type="dxa"/>
            <w:hideMark/>
          </w:tcPr>
          <w:p w14:paraId="4A439244" w14:textId="77777777" w:rsidR="00546601" w:rsidRPr="00425192" w:rsidRDefault="00546601" w:rsidP="00AF7DB6">
            <w:pPr>
              <w:pStyle w:val="Tabletext"/>
              <w:ind w:left="0" w:right="0"/>
            </w:pPr>
            <w:r w:rsidRPr="00425192">
              <w:t>Comparison of molecular weights by mass spectrometry</w:t>
            </w:r>
          </w:p>
        </w:tc>
        <w:tc>
          <w:tcPr>
            <w:tcW w:w="2084" w:type="dxa"/>
            <w:hideMark/>
          </w:tcPr>
          <w:p w14:paraId="1D4F1991" w14:textId="77777777" w:rsidR="00546601" w:rsidRPr="00425192" w:rsidRDefault="00546601" w:rsidP="00AF7DB6">
            <w:pPr>
              <w:pStyle w:val="Tabletext"/>
              <w:ind w:left="0" w:right="0"/>
            </w:pPr>
            <w:r w:rsidRPr="00425192">
              <w:t>No notable difference</w:t>
            </w:r>
          </w:p>
        </w:tc>
      </w:tr>
      <w:tr w:rsidR="00546601" w:rsidRPr="00425192" w14:paraId="004F37E8" w14:textId="77777777" w:rsidTr="00AF7DB6">
        <w:trPr>
          <w:trHeight w:val="143"/>
        </w:trPr>
        <w:tc>
          <w:tcPr>
            <w:tcW w:w="8247" w:type="dxa"/>
            <w:gridSpan w:val="3"/>
            <w:hideMark/>
          </w:tcPr>
          <w:p w14:paraId="223903B0" w14:textId="77777777" w:rsidR="00546601" w:rsidRPr="00425192" w:rsidRDefault="00546601" w:rsidP="00AF7DB6">
            <w:pPr>
              <w:pStyle w:val="Tabletext"/>
              <w:ind w:left="0" w:right="0"/>
              <w:rPr>
                <w:b/>
              </w:rPr>
            </w:pPr>
            <w:r w:rsidRPr="00425192">
              <w:rPr>
                <w:b/>
              </w:rPr>
              <w:t>Higher order structure</w:t>
            </w:r>
          </w:p>
        </w:tc>
      </w:tr>
      <w:tr w:rsidR="00546601" w:rsidRPr="00425192" w14:paraId="5888CAB2" w14:textId="77777777" w:rsidTr="00510AC1">
        <w:trPr>
          <w:trHeight w:val="143"/>
        </w:trPr>
        <w:tc>
          <w:tcPr>
            <w:tcW w:w="2518" w:type="dxa"/>
          </w:tcPr>
          <w:p w14:paraId="7A205EE6" w14:textId="77777777" w:rsidR="00546601" w:rsidRPr="00425192" w:rsidRDefault="00546601" w:rsidP="00AF7DB6">
            <w:pPr>
              <w:pStyle w:val="Tabletext"/>
              <w:ind w:left="0" w:right="0"/>
            </w:pPr>
            <w:r w:rsidRPr="00425192">
              <w:t>Disulphide bonds</w:t>
            </w:r>
          </w:p>
        </w:tc>
        <w:tc>
          <w:tcPr>
            <w:tcW w:w="3645" w:type="dxa"/>
          </w:tcPr>
          <w:p w14:paraId="46E5906C" w14:textId="77777777" w:rsidR="00546601" w:rsidRPr="00425192" w:rsidRDefault="00546601" w:rsidP="00AF7DB6">
            <w:pPr>
              <w:pStyle w:val="Tabletext"/>
              <w:ind w:left="0" w:right="0"/>
            </w:pPr>
            <w:r w:rsidRPr="00425192">
              <w:t>Comparison of disulphide bond location</w:t>
            </w:r>
          </w:p>
        </w:tc>
        <w:tc>
          <w:tcPr>
            <w:tcW w:w="2084" w:type="dxa"/>
          </w:tcPr>
          <w:p w14:paraId="6FE252A1" w14:textId="77777777" w:rsidR="00546601" w:rsidRPr="00425192" w:rsidRDefault="00546601" w:rsidP="00AF7DB6">
            <w:pPr>
              <w:pStyle w:val="Tabletext"/>
              <w:ind w:left="0" w:right="0"/>
            </w:pPr>
            <w:r w:rsidRPr="00425192">
              <w:t>No notable difference</w:t>
            </w:r>
          </w:p>
        </w:tc>
      </w:tr>
      <w:tr w:rsidR="00546601" w:rsidRPr="00425192" w14:paraId="36E1E5A4" w14:textId="77777777" w:rsidTr="00510AC1">
        <w:trPr>
          <w:trHeight w:val="143"/>
        </w:trPr>
        <w:tc>
          <w:tcPr>
            <w:tcW w:w="2518" w:type="dxa"/>
          </w:tcPr>
          <w:p w14:paraId="12D4F133" w14:textId="77777777" w:rsidR="00546601" w:rsidRPr="00425192" w:rsidRDefault="00546601" w:rsidP="00AF7DB6">
            <w:pPr>
              <w:pStyle w:val="Tabletext"/>
              <w:ind w:left="0" w:right="0"/>
            </w:pPr>
            <w:r w:rsidRPr="00425192">
              <w:t>Free thiol analysis</w:t>
            </w:r>
          </w:p>
        </w:tc>
        <w:tc>
          <w:tcPr>
            <w:tcW w:w="3645" w:type="dxa"/>
          </w:tcPr>
          <w:p w14:paraId="0E35DF89" w14:textId="77777777" w:rsidR="00546601" w:rsidRPr="00425192" w:rsidRDefault="00546601" w:rsidP="00AF7DB6">
            <w:pPr>
              <w:pStyle w:val="Tabletext"/>
              <w:ind w:left="0" w:right="0"/>
            </w:pPr>
            <w:r w:rsidRPr="00425192">
              <w:t>Comparison of the amount of free-</w:t>
            </w:r>
            <w:proofErr w:type="spellStart"/>
            <w:r w:rsidRPr="00425192">
              <w:t>sulph</w:t>
            </w:r>
            <w:proofErr w:type="spellEnd"/>
            <w:r w:rsidRPr="00425192">
              <w:t>-</w:t>
            </w:r>
            <w:proofErr w:type="spellStart"/>
            <w:r w:rsidRPr="00425192">
              <w:t>hydryl</w:t>
            </w:r>
            <w:proofErr w:type="spellEnd"/>
            <w:r w:rsidRPr="00425192">
              <w:t xml:space="preserve"> groups</w:t>
            </w:r>
          </w:p>
        </w:tc>
        <w:tc>
          <w:tcPr>
            <w:tcW w:w="2084" w:type="dxa"/>
          </w:tcPr>
          <w:p w14:paraId="43CD527A" w14:textId="77777777" w:rsidR="00546601" w:rsidRPr="00425192" w:rsidRDefault="00546601" w:rsidP="00AF7DB6">
            <w:pPr>
              <w:pStyle w:val="Tabletext"/>
              <w:ind w:left="0" w:right="0"/>
            </w:pPr>
            <w:r w:rsidRPr="00425192">
              <w:t xml:space="preserve">No notable difference </w:t>
            </w:r>
          </w:p>
        </w:tc>
      </w:tr>
      <w:tr w:rsidR="00546601" w:rsidRPr="00425192" w14:paraId="05C16A12" w14:textId="77777777" w:rsidTr="00510AC1">
        <w:trPr>
          <w:trHeight w:val="143"/>
        </w:trPr>
        <w:tc>
          <w:tcPr>
            <w:tcW w:w="2518" w:type="dxa"/>
          </w:tcPr>
          <w:p w14:paraId="13339DD2" w14:textId="77777777" w:rsidR="00546601" w:rsidRPr="00425192" w:rsidRDefault="00546601" w:rsidP="00AF7DB6">
            <w:pPr>
              <w:pStyle w:val="Tabletext"/>
              <w:ind w:left="0" w:right="0"/>
            </w:pPr>
            <w:r w:rsidRPr="00425192">
              <w:t>FTIR</w:t>
            </w:r>
          </w:p>
        </w:tc>
        <w:tc>
          <w:tcPr>
            <w:tcW w:w="3645" w:type="dxa"/>
          </w:tcPr>
          <w:p w14:paraId="3E3A4194" w14:textId="77777777" w:rsidR="00546601" w:rsidRPr="00425192" w:rsidRDefault="00546601" w:rsidP="00AF7DB6">
            <w:pPr>
              <w:pStyle w:val="Tabletext"/>
              <w:ind w:left="0" w:right="0"/>
            </w:pPr>
            <w:r w:rsidRPr="00425192">
              <w:t>Comparison of secondary structures</w:t>
            </w:r>
          </w:p>
        </w:tc>
        <w:tc>
          <w:tcPr>
            <w:tcW w:w="2084" w:type="dxa"/>
          </w:tcPr>
          <w:p w14:paraId="5BF29EC2" w14:textId="77777777" w:rsidR="00546601" w:rsidRPr="00425192" w:rsidRDefault="00546601" w:rsidP="00AF7DB6">
            <w:pPr>
              <w:pStyle w:val="Tabletext"/>
              <w:ind w:left="0" w:right="0"/>
            </w:pPr>
            <w:r w:rsidRPr="00425192">
              <w:t>No notable difference</w:t>
            </w:r>
          </w:p>
        </w:tc>
      </w:tr>
      <w:tr w:rsidR="00546601" w:rsidRPr="00425192" w14:paraId="5B11C9CC" w14:textId="77777777" w:rsidTr="00510AC1">
        <w:trPr>
          <w:trHeight w:val="143"/>
        </w:trPr>
        <w:tc>
          <w:tcPr>
            <w:tcW w:w="2518" w:type="dxa"/>
          </w:tcPr>
          <w:p w14:paraId="680EF619" w14:textId="77777777" w:rsidR="00546601" w:rsidRPr="00425192" w:rsidRDefault="00546601" w:rsidP="00AF7DB6">
            <w:pPr>
              <w:pStyle w:val="Tabletext"/>
              <w:ind w:left="0" w:right="0"/>
            </w:pPr>
            <w:r w:rsidRPr="00425192">
              <w:t>CD</w:t>
            </w:r>
          </w:p>
        </w:tc>
        <w:tc>
          <w:tcPr>
            <w:tcW w:w="3645" w:type="dxa"/>
          </w:tcPr>
          <w:p w14:paraId="21041AD0" w14:textId="77777777" w:rsidR="00546601" w:rsidRPr="00425192" w:rsidRDefault="00546601" w:rsidP="00AF7DB6">
            <w:pPr>
              <w:pStyle w:val="Tabletext"/>
              <w:ind w:left="0" w:right="0"/>
            </w:pPr>
            <w:r w:rsidRPr="00425192">
              <w:t>Comparison of secondary structure</w:t>
            </w:r>
          </w:p>
        </w:tc>
        <w:tc>
          <w:tcPr>
            <w:tcW w:w="2084" w:type="dxa"/>
          </w:tcPr>
          <w:p w14:paraId="35856F76" w14:textId="77777777" w:rsidR="00546601" w:rsidRPr="00425192" w:rsidRDefault="00546601" w:rsidP="00AF7DB6">
            <w:pPr>
              <w:pStyle w:val="Tabletext"/>
              <w:ind w:left="0" w:right="0"/>
            </w:pPr>
            <w:r w:rsidRPr="00425192">
              <w:t>No notable difference</w:t>
            </w:r>
          </w:p>
        </w:tc>
      </w:tr>
      <w:tr w:rsidR="00546601" w:rsidRPr="00425192" w14:paraId="42456F47" w14:textId="77777777" w:rsidTr="00510AC1">
        <w:trPr>
          <w:trHeight w:val="143"/>
        </w:trPr>
        <w:tc>
          <w:tcPr>
            <w:tcW w:w="2518" w:type="dxa"/>
          </w:tcPr>
          <w:p w14:paraId="54777F55" w14:textId="77777777" w:rsidR="00546601" w:rsidRPr="00425192" w:rsidRDefault="00546601" w:rsidP="00AF7DB6">
            <w:pPr>
              <w:pStyle w:val="Tabletext"/>
              <w:ind w:left="0" w:right="0"/>
            </w:pPr>
            <w:r w:rsidRPr="00425192">
              <w:t>DSC</w:t>
            </w:r>
          </w:p>
        </w:tc>
        <w:tc>
          <w:tcPr>
            <w:tcW w:w="3645" w:type="dxa"/>
          </w:tcPr>
          <w:p w14:paraId="075CD31F" w14:textId="77777777" w:rsidR="00546601" w:rsidRPr="00425192" w:rsidRDefault="00546601" w:rsidP="00AF7DB6">
            <w:pPr>
              <w:pStyle w:val="Tabletext"/>
              <w:ind w:left="0" w:right="0"/>
            </w:pPr>
            <w:r w:rsidRPr="00425192">
              <w:t xml:space="preserve">Comparison of thermal stability and determination of thermal transition temperatures </w:t>
            </w:r>
          </w:p>
        </w:tc>
        <w:tc>
          <w:tcPr>
            <w:tcW w:w="2084" w:type="dxa"/>
          </w:tcPr>
          <w:p w14:paraId="0F1C0DAD" w14:textId="77777777" w:rsidR="00546601" w:rsidRPr="00425192" w:rsidRDefault="00546601" w:rsidP="00AF7DB6">
            <w:pPr>
              <w:pStyle w:val="Tabletext"/>
              <w:ind w:left="0" w:right="0"/>
            </w:pPr>
            <w:r w:rsidRPr="00425192">
              <w:t>No notable difference</w:t>
            </w:r>
          </w:p>
        </w:tc>
      </w:tr>
      <w:tr w:rsidR="00546601" w:rsidRPr="00425192" w14:paraId="53DEDF51" w14:textId="77777777" w:rsidTr="00510AC1">
        <w:trPr>
          <w:trHeight w:val="143"/>
        </w:trPr>
        <w:tc>
          <w:tcPr>
            <w:tcW w:w="2518" w:type="dxa"/>
          </w:tcPr>
          <w:p w14:paraId="7CCAD0EE" w14:textId="77777777" w:rsidR="00546601" w:rsidRPr="00425192" w:rsidRDefault="00546601" w:rsidP="00AF7DB6">
            <w:pPr>
              <w:pStyle w:val="Tabletext"/>
              <w:ind w:left="0" w:right="0"/>
            </w:pPr>
            <w:r>
              <w:t>SEC-HPLC</w:t>
            </w:r>
          </w:p>
        </w:tc>
        <w:tc>
          <w:tcPr>
            <w:tcW w:w="3645" w:type="dxa"/>
          </w:tcPr>
          <w:p w14:paraId="0BBE2802" w14:textId="77777777" w:rsidR="00546601" w:rsidRPr="00425192" w:rsidRDefault="00546601" w:rsidP="00AF7DB6">
            <w:pPr>
              <w:pStyle w:val="Tabletext"/>
              <w:ind w:left="0" w:right="0"/>
            </w:pPr>
            <w:r w:rsidRPr="00425192">
              <w:t>Comparison of aggregate content and monomeric purity</w:t>
            </w:r>
          </w:p>
        </w:tc>
        <w:tc>
          <w:tcPr>
            <w:tcW w:w="2084" w:type="dxa"/>
          </w:tcPr>
          <w:p w14:paraId="19119DC9" w14:textId="77777777" w:rsidR="00546601" w:rsidRPr="00425192" w:rsidRDefault="00546601" w:rsidP="00AF7DB6">
            <w:pPr>
              <w:pStyle w:val="Tabletext"/>
              <w:ind w:left="0" w:right="0"/>
            </w:pPr>
            <w:r w:rsidRPr="00425192">
              <w:t>Possible</w:t>
            </w:r>
            <w:r>
              <w:t xml:space="preserve"> </w:t>
            </w:r>
            <w:r w:rsidRPr="00425192">
              <w:t>higher %HMW species in CT-P13 compared to Remicade</w:t>
            </w:r>
          </w:p>
        </w:tc>
      </w:tr>
      <w:tr w:rsidR="00546601" w:rsidRPr="00425192" w14:paraId="2D008247" w14:textId="77777777" w:rsidTr="00510AC1">
        <w:trPr>
          <w:trHeight w:val="143"/>
        </w:trPr>
        <w:tc>
          <w:tcPr>
            <w:tcW w:w="2518" w:type="dxa"/>
          </w:tcPr>
          <w:p w14:paraId="282A0237" w14:textId="77777777" w:rsidR="00546601" w:rsidRPr="00425192" w:rsidRDefault="00546601" w:rsidP="00AF7DB6">
            <w:pPr>
              <w:pStyle w:val="Tabletext"/>
              <w:ind w:left="0" w:right="0"/>
            </w:pPr>
            <w:r w:rsidRPr="00425192">
              <w:lastRenderedPageBreak/>
              <w:t>CE-SDS (reduced/non-reduced)</w:t>
            </w:r>
          </w:p>
        </w:tc>
        <w:tc>
          <w:tcPr>
            <w:tcW w:w="3645" w:type="dxa"/>
          </w:tcPr>
          <w:p w14:paraId="6EA3BF03" w14:textId="77777777" w:rsidR="00546601" w:rsidRPr="00425192" w:rsidRDefault="00546601" w:rsidP="00AF7DB6">
            <w:pPr>
              <w:pStyle w:val="Tabletext"/>
              <w:ind w:left="0" w:right="0"/>
            </w:pPr>
            <w:r w:rsidRPr="00425192">
              <w:t>Comparison of electrophoretic mobility and purity under non-reducing and reducing conditions</w:t>
            </w:r>
          </w:p>
        </w:tc>
        <w:tc>
          <w:tcPr>
            <w:tcW w:w="2084" w:type="dxa"/>
          </w:tcPr>
          <w:p w14:paraId="1AE3B76D" w14:textId="77777777" w:rsidR="00546601" w:rsidRPr="00425192" w:rsidRDefault="00546601" w:rsidP="00AF7DB6">
            <w:pPr>
              <w:pStyle w:val="Tabletext"/>
              <w:ind w:left="0" w:right="0"/>
            </w:pPr>
            <w:r w:rsidRPr="00425192">
              <w:t>Observable increase in monomer IgG compared to Remicade</w:t>
            </w:r>
          </w:p>
        </w:tc>
      </w:tr>
      <w:tr w:rsidR="00546601" w:rsidRPr="00425192" w14:paraId="1F51596B" w14:textId="77777777" w:rsidTr="00510AC1">
        <w:trPr>
          <w:trHeight w:val="143"/>
        </w:trPr>
        <w:tc>
          <w:tcPr>
            <w:tcW w:w="8247" w:type="dxa"/>
            <w:gridSpan w:val="3"/>
          </w:tcPr>
          <w:p w14:paraId="0792A1AF" w14:textId="77777777" w:rsidR="00546601" w:rsidRPr="00425192" w:rsidRDefault="00546601" w:rsidP="00AF7DB6">
            <w:pPr>
              <w:pStyle w:val="Tabletext"/>
              <w:ind w:left="0" w:right="0"/>
              <w:rPr>
                <w:b/>
              </w:rPr>
            </w:pPr>
            <w:r w:rsidRPr="00425192">
              <w:rPr>
                <w:b/>
              </w:rPr>
              <w:t>Charged isoforms</w:t>
            </w:r>
          </w:p>
        </w:tc>
      </w:tr>
      <w:tr w:rsidR="00546601" w:rsidRPr="00425192" w14:paraId="341C5A65" w14:textId="77777777" w:rsidTr="00510AC1">
        <w:trPr>
          <w:trHeight w:val="469"/>
        </w:trPr>
        <w:tc>
          <w:tcPr>
            <w:tcW w:w="2518" w:type="dxa"/>
          </w:tcPr>
          <w:p w14:paraId="0EE0231C" w14:textId="77777777" w:rsidR="00546601" w:rsidRPr="00425192" w:rsidRDefault="00546601" w:rsidP="00AF7DB6">
            <w:pPr>
              <w:pStyle w:val="Tabletext"/>
              <w:ind w:left="0" w:right="0"/>
            </w:pPr>
            <w:r w:rsidRPr="00425192">
              <w:t>IEC</w:t>
            </w:r>
          </w:p>
        </w:tc>
        <w:tc>
          <w:tcPr>
            <w:tcW w:w="3645" w:type="dxa"/>
          </w:tcPr>
          <w:p w14:paraId="47AF965A" w14:textId="77777777" w:rsidR="00546601" w:rsidRPr="00425192" w:rsidRDefault="00546601" w:rsidP="00AF7DB6">
            <w:pPr>
              <w:pStyle w:val="Tabletext"/>
              <w:ind w:left="0" w:right="0"/>
            </w:pPr>
            <w:r w:rsidRPr="00425192">
              <w:t>Comparison of isoelectric points</w:t>
            </w:r>
          </w:p>
        </w:tc>
        <w:tc>
          <w:tcPr>
            <w:tcW w:w="2084" w:type="dxa"/>
          </w:tcPr>
          <w:p w14:paraId="3627E8D7" w14:textId="77777777" w:rsidR="00546601" w:rsidRPr="00425192" w:rsidRDefault="00546601" w:rsidP="00AF7DB6">
            <w:pPr>
              <w:pStyle w:val="Tabletext"/>
              <w:ind w:left="0" w:right="0"/>
            </w:pPr>
            <w:r w:rsidRPr="00425192">
              <w:t>No notable difference</w:t>
            </w:r>
          </w:p>
        </w:tc>
      </w:tr>
      <w:tr w:rsidR="00546601" w:rsidRPr="00425192" w14:paraId="22AF277C" w14:textId="77777777" w:rsidTr="00510AC1">
        <w:trPr>
          <w:trHeight w:val="1190"/>
        </w:trPr>
        <w:tc>
          <w:tcPr>
            <w:tcW w:w="2518" w:type="dxa"/>
          </w:tcPr>
          <w:p w14:paraId="3EC4A9CF" w14:textId="77777777" w:rsidR="00546601" w:rsidRPr="00425192" w:rsidRDefault="00546601" w:rsidP="00AF7DB6">
            <w:pPr>
              <w:pStyle w:val="Tabletext"/>
              <w:ind w:left="0" w:right="0"/>
            </w:pPr>
            <w:r w:rsidRPr="00425192">
              <w:t>IEC-HPLC</w:t>
            </w:r>
          </w:p>
        </w:tc>
        <w:tc>
          <w:tcPr>
            <w:tcW w:w="3645" w:type="dxa"/>
          </w:tcPr>
          <w:p w14:paraId="19B3513A" w14:textId="77777777" w:rsidR="00546601" w:rsidRPr="00425192" w:rsidRDefault="00546601" w:rsidP="00AF7DB6">
            <w:pPr>
              <w:pStyle w:val="Tabletext"/>
              <w:ind w:left="0" w:right="0"/>
            </w:pPr>
            <w:r w:rsidRPr="00425192">
              <w:t>Comparison of charged variant distribution</w:t>
            </w:r>
          </w:p>
        </w:tc>
        <w:tc>
          <w:tcPr>
            <w:tcW w:w="2084" w:type="dxa"/>
          </w:tcPr>
          <w:p w14:paraId="0F3FEE8C" w14:textId="77777777" w:rsidR="00546601" w:rsidRPr="00425192" w:rsidRDefault="00546601" w:rsidP="00AF7DB6">
            <w:pPr>
              <w:pStyle w:val="Tabletext"/>
              <w:ind w:left="0" w:right="0"/>
            </w:pPr>
            <w:r w:rsidRPr="00425192">
              <w:t>Possible increase in oxidation levels in CT-P13 compared to Remicade</w:t>
            </w:r>
          </w:p>
        </w:tc>
      </w:tr>
      <w:tr w:rsidR="00546601" w:rsidRPr="00425192" w14:paraId="40E2F1CE" w14:textId="77777777" w:rsidTr="00510AC1">
        <w:trPr>
          <w:trHeight w:val="469"/>
        </w:trPr>
        <w:tc>
          <w:tcPr>
            <w:tcW w:w="8247" w:type="dxa"/>
            <w:gridSpan w:val="3"/>
          </w:tcPr>
          <w:p w14:paraId="348A837C" w14:textId="77777777" w:rsidR="00546601" w:rsidRPr="00425192" w:rsidRDefault="00546601" w:rsidP="00AF7DB6">
            <w:pPr>
              <w:pStyle w:val="Tabletext"/>
              <w:ind w:left="0" w:right="0"/>
            </w:pPr>
            <w:r w:rsidRPr="00425192">
              <w:t>Glycosylation</w:t>
            </w:r>
          </w:p>
        </w:tc>
      </w:tr>
      <w:tr w:rsidR="00546601" w:rsidRPr="00425192" w14:paraId="7688FB21" w14:textId="77777777" w:rsidTr="00510AC1">
        <w:trPr>
          <w:trHeight w:val="481"/>
        </w:trPr>
        <w:tc>
          <w:tcPr>
            <w:tcW w:w="2518" w:type="dxa"/>
          </w:tcPr>
          <w:p w14:paraId="5D6349CB" w14:textId="77777777" w:rsidR="00546601" w:rsidRPr="00425192" w:rsidRDefault="00546601" w:rsidP="00AF7DB6">
            <w:pPr>
              <w:pStyle w:val="Tabletext"/>
              <w:ind w:left="0" w:right="0"/>
            </w:pPr>
            <w:r w:rsidRPr="00425192">
              <w:t>Sialic acid analysis</w:t>
            </w:r>
          </w:p>
        </w:tc>
        <w:tc>
          <w:tcPr>
            <w:tcW w:w="3645" w:type="dxa"/>
          </w:tcPr>
          <w:p w14:paraId="4512E868" w14:textId="77777777" w:rsidR="00546601" w:rsidRPr="00425192" w:rsidRDefault="00546601" w:rsidP="00AF7DB6">
            <w:pPr>
              <w:pStyle w:val="Tabletext"/>
              <w:ind w:left="0" w:right="0"/>
            </w:pPr>
            <w:r w:rsidRPr="00425192">
              <w:t>Comparison of sialic acid content</w:t>
            </w:r>
          </w:p>
        </w:tc>
        <w:tc>
          <w:tcPr>
            <w:tcW w:w="2084" w:type="dxa"/>
          </w:tcPr>
          <w:p w14:paraId="016ABAB2" w14:textId="77777777" w:rsidR="00546601" w:rsidRPr="00425192" w:rsidRDefault="00546601" w:rsidP="00AF7DB6">
            <w:pPr>
              <w:pStyle w:val="Tabletext"/>
              <w:ind w:left="0" w:right="0"/>
            </w:pPr>
            <w:r w:rsidRPr="00425192">
              <w:t>No notable difference</w:t>
            </w:r>
          </w:p>
        </w:tc>
      </w:tr>
      <w:tr w:rsidR="00546601" w:rsidRPr="00425192" w14:paraId="27CF2F30" w14:textId="77777777" w:rsidTr="00510AC1">
        <w:trPr>
          <w:trHeight w:val="710"/>
        </w:trPr>
        <w:tc>
          <w:tcPr>
            <w:tcW w:w="2518" w:type="dxa"/>
          </w:tcPr>
          <w:p w14:paraId="0017113C" w14:textId="77777777" w:rsidR="00546601" w:rsidRPr="00425192" w:rsidRDefault="00546601" w:rsidP="00AF7DB6">
            <w:pPr>
              <w:pStyle w:val="Tabletext"/>
              <w:ind w:left="0" w:right="0"/>
            </w:pPr>
            <w:r w:rsidRPr="00425192">
              <w:t>Monosaccharide analysis</w:t>
            </w:r>
          </w:p>
        </w:tc>
        <w:tc>
          <w:tcPr>
            <w:tcW w:w="3645" w:type="dxa"/>
          </w:tcPr>
          <w:p w14:paraId="0FFCED90" w14:textId="77777777" w:rsidR="00546601" w:rsidRPr="00425192" w:rsidRDefault="00546601" w:rsidP="00AF7DB6">
            <w:pPr>
              <w:pStyle w:val="Tabletext"/>
              <w:ind w:left="0" w:right="0"/>
            </w:pPr>
            <w:r w:rsidRPr="00425192">
              <w:t>Comparison of neutral and amino sugar composition</w:t>
            </w:r>
          </w:p>
        </w:tc>
        <w:tc>
          <w:tcPr>
            <w:tcW w:w="2084" w:type="dxa"/>
          </w:tcPr>
          <w:p w14:paraId="75325AB8" w14:textId="77777777" w:rsidR="00546601" w:rsidRPr="00425192" w:rsidRDefault="00546601" w:rsidP="00AF7DB6">
            <w:pPr>
              <w:pStyle w:val="Tabletext"/>
              <w:ind w:left="0" w:right="0"/>
            </w:pPr>
            <w:r w:rsidRPr="00425192">
              <w:t>No notable difference</w:t>
            </w:r>
          </w:p>
        </w:tc>
      </w:tr>
      <w:tr w:rsidR="00546601" w:rsidRPr="00425192" w14:paraId="64CB9BF1" w14:textId="77777777" w:rsidTr="00510AC1">
        <w:trPr>
          <w:trHeight w:val="481"/>
        </w:trPr>
        <w:tc>
          <w:tcPr>
            <w:tcW w:w="2518" w:type="dxa"/>
          </w:tcPr>
          <w:p w14:paraId="52520CE4" w14:textId="77777777" w:rsidR="00546601" w:rsidRPr="00425192" w:rsidRDefault="00546601" w:rsidP="00AF7DB6">
            <w:pPr>
              <w:pStyle w:val="Tabletext"/>
              <w:ind w:left="0" w:right="0"/>
            </w:pPr>
            <w:r w:rsidRPr="00425192">
              <w:t>Oligosaccharide profiling</w:t>
            </w:r>
          </w:p>
        </w:tc>
        <w:tc>
          <w:tcPr>
            <w:tcW w:w="3645" w:type="dxa"/>
          </w:tcPr>
          <w:p w14:paraId="30C57978" w14:textId="77777777" w:rsidR="00546601" w:rsidRPr="00425192" w:rsidRDefault="00546601" w:rsidP="00AF7DB6">
            <w:pPr>
              <w:pStyle w:val="Tabletext"/>
              <w:ind w:left="0" w:right="0"/>
            </w:pPr>
            <w:r w:rsidRPr="00425192">
              <w:t xml:space="preserve">Comparison of glycosylation pattern </w:t>
            </w:r>
          </w:p>
        </w:tc>
        <w:tc>
          <w:tcPr>
            <w:tcW w:w="2084" w:type="dxa"/>
          </w:tcPr>
          <w:p w14:paraId="22D1C6FD" w14:textId="77777777" w:rsidR="00546601" w:rsidRPr="00425192" w:rsidRDefault="00546601" w:rsidP="00AF7DB6">
            <w:pPr>
              <w:pStyle w:val="Tabletext"/>
              <w:ind w:left="0" w:right="0"/>
            </w:pPr>
            <w:r w:rsidRPr="00425192">
              <w:t>No notable difference</w:t>
            </w:r>
          </w:p>
        </w:tc>
      </w:tr>
      <w:tr w:rsidR="00546601" w:rsidRPr="00425192" w14:paraId="6E559BCF" w14:textId="77777777" w:rsidTr="00510AC1">
        <w:trPr>
          <w:trHeight w:val="950"/>
        </w:trPr>
        <w:tc>
          <w:tcPr>
            <w:tcW w:w="2518" w:type="dxa"/>
          </w:tcPr>
          <w:p w14:paraId="722A6A0E" w14:textId="77777777" w:rsidR="00546601" w:rsidRPr="00425192" w:rsidRDefault="00546601" w:rsidP="00AF7DB6">
            <w:pPr>
              <w:pStyle w:val="Tabletext"/>
              <w:ind w:left="0" w:right="0"/>
            </w:pPr>
            <w:r w:rsidRPr="00425192">
              <w:t>N-linked glycan analysis</w:t>
            </w:r>
          </w:p>
        </w:tc>
        <w:tc>
          <w:tcPr>
            <w:tcW w:w="3645" w:type="dxa"/>
          </w:tcPr>
          <w:p w14:paraId="60337E70" w14:textId="77777777" w:rsidR="00546601" w:rsidRPr="00425192" w:rsidRDefault="00546601" w:rsidP="00AF7DB6">
            <w:pPr>
              <w:pStyle w:val="Tabletext"/>
              <w:ind w:left="0" w:right="0"/>
            </w:pPr>
            <w:r w:rsidRPr="00425192">
              <w:t>Comparison of oligosaccharide structures, attachment sites and distribution</w:t>
            </w:r>
          </w:p>
        </w:tc>
        <w:tc>
          <w:tcPr>
            <w:tcW w:w="2084" w:type="dxa"/>
          </w:tcPr>
          <w:p w14:paraId="3286897F" w14:textId="77777777" w:rsidR="00546601" w:rsidRPr="00425192" w:rsidRDefault="00546601" w:rsidP="00AF7DB6">
            <w:pPr>
              <w:pStyle w:val="Tabletext"/>
              <w:ind w:left="0" w:right="0"/>
            </w:pPr>
            <w:r w:rsidRPr="00425192">
              <w:t>No notable difference</w:t>
            </w:r>
          </w:p>
        </w:tc>
      </w:tr>
      <w:tr w:rsidR="00546601" w:rsidRPr="00425192" w14:paraId="7AE59787" w14:textId="77777777" w:rsidTr="00510AC1">
        <w:trPr>
          <w:trHeight w:val="469"/>
        </w:trPr>
        <w:tc>
          <w:tcPr>
            <w:tcW w:w="8247" w:type="dxa"/>
            <w:gridSpan w:val="3"/>
          </w:tcPr>
          <w:p w14:paraId="654749C2" w14:textId="77777777" w:rsidR="00546601" w:rsidRPr="00425192" w:rsidRDefault="00546601" w:rsidP="00AF7DB6">
            <w:pPr>
              <w:pStyle w:val="Tabletext"/>
              <w:rPr>
                <w:b/>
              </w:rPr>
            </w:pPr>
            <w:r w:rsidRPr="00425192">
              <w:rPr>
                <w:b/>
              </w:rPr>
              <w:t>Content</w:t>
            </w:r>
          </w:p>
        </w:tc>
      </w:tr>
      <w:tr w:rsidR="00546601" w:rsidRPr="00425192" w14:paraId="654A7703" w14:textId="77777777" w:rsidTr="00510AC1">
        <w:trPr>
          <w:trHeight w:val="710"/>
        </w:trPr>
        <w:tc>
          <w:tcPr>
            <w:tcW w:w="2518" w:type="dxa"/>
          </w:tcPr>
          <w:p w14:paraId="54F30024" w14:textId="77777777" w:rsidR="00546601" w:rsidRPr="00425192" w:rsidRDefault="00546601" w:rsidP="00AF7DB6">
            <w:pPr>
              <w:pStyle w:val="Tabletext"/>
              <w:ind w:left="0" w:right="0"/>
            </w:pPr>
            <w:r w:rsidRPr="00425192">
              <w:t>Protein concentration (UV)</w:t>
            </w:r>
          </w:p>
        </w:tc>
        <w:tc>
          <w:tcPr>
            <w:tcW w:w="3645" w:type="dxa"/>
          </w:tcPr>
          <w:p w14:paraId="095946B7" w14:textId="77777777" w:rsidR="00546601" w:rsidRPr="00425192" w:rsidRDefault="00546601" w:rsidP="00AF7DB6">
            <w:pPr>
              <w:pStyle w:val="Tabletext"/>
              <w:ind w:left="0" w:right="0"/>
            </w:pPr>
            <w:r w:rsidRPr="00425192">
              <w:t>Comparison of protein concentration</w:t>
            </w:r>
          </w:p>
        </w:tc>
        <w:tc>
          <w:tcPr>
            <w:tcW w:w="2084" w:type="dxa"/>
          </w:tcPr>
          <w:p w14:paraId="40FA8198" w14:textId="77777777" w:rsidR="00546601" w:rsidRPr="00425192" w:rsidRDefault="00546601" w:rsidP="00AF7DB6">
            <w:pPr>
              <w:pStyle w:val="Tabletext"/>
              <w:ind w:left="0" w:right="0"/>
            </w:pPr>
            <w:r w:rsidRPr="00425192">
              <w:t>Possible</w:t>
            </w:r>
            <w:r>
              <w:t xml:space="preserve"> </w:t>
            </w:r>
            <w:r w:rsidRPr="00425192">
              <w:t>higher protein content in CT-P13</w:t>
            </w:r>
          </w:p>
        </w:tc>
      </w:tr>
      <w:tr w:rsidR="00546601" w:rsidRPr="00425192" w14:paraId="0D310D22" w14:textId="77777777" w:rsidTr="00510AC1">
        <w:trPr>
          <w:trHeight w:val="481"/>
        </w:trPr>
        <w:tc>
          <w:tcPr>
            <w:tcW w:w="2518" w:type="dxa"/>
          </w:tcPr>
          <w:p w14:paraId="74C4A346" w14:textId="77777777" w:rsidR="00546601" w:rsidRPr="00425192" w:rsidRDefault="00546601" w:rsidP="00AF7DB6">
            <w:pPr>
              <w:pStyle w:val="Tabletext"/>
              <w:ind w:left="0" w:right="0"/>
            </w:pPr>
            <w:r w:rsidRPr="00425192">
              <w:t>Product specific ELISA</w:t>
            </w:r>
          </w:p>
        </w:tc>
        <w:tc>
          <w:tcPr>
            <w:tcW w:w="3645" w:type="dxa"/>
          </w:tcPr>
          <w:p w14:paraId="36B8B7EE" w14:textId="77777777" w:rsidR="00546601" w:rsidRPr="00425192" w:rsidRDefault="00546601" w:rsidP="00AF7DB6">
            <w:pPr>
              <w:pStyle w:val="Tabletext"/>
              <w:ind w:left="0" w:right="0"/>
            </w:pPr>
            <w:r w:rsidRPr="00425192">
              <w:t>Comparison of infliximab DS content</w:t>
            </w:r>
          </w:p>
        </w:tc>
        <w:tc>
          <w:tcPr>
            <w:tcW w:w="2084" w:type="dxa"/>
          </w:tcPr>
          <w:p w14:paraId="6774F6E8" w14:textId="77777777" w:rsidR="00546601" w:rsidRPr="00425192" w:rsidRDefault="00546601" w:rsidP="00AF7DB6">
            <w:pPr>
              <w:pStyle w:val="Tabletext"/>
              <w:ind w:left="0" w:right="0"/>
            </w:pPr>
            <w:r w:rsidRPr="00425192">
              <w:t>No notable difference</w:t>
            </w:r>
          </w:p>
        </w:tc>
      </w:tr>
      <w:tr w:rsidR="00546601" w:rsidRPr="00425192" w14:paraId="59FE4965" w14:textId="77777777" w:rsidTr="00510AC1">
        <w:trPr>
          <w:trHeight w:val="469"/>
        </w:trPr>
        <w:tc>
          <w:tcPr>
            <w:tcW w:w="8247" w:type="dxa"/>
            <w:gridSpan w:val="3"/>
          </w:tcPr>
          <w:p w14:paraId="2DD18594" w14:textId="77777777" w:rsidR="00546601" w:rsidRPr="00425192" w:rsidRDefault="00546601" w:rsidP="00AF7DB6">
            <w:pPr>
              <w:pStyle w:val="Tabletext"/>
              <w:rPr>
                <w:b/>
              </w:rPr>
            </w:pPr>
            <w:r w:rsidRPr="00425192">
              <w:rPr>
                <w:b/>
              </w:rPr>
              <w:t>Biological activity</w:t>
            </w:r>
          </w:p>
        </w:tc>
      </w:tr>
      <w:tr w:rsidR="00546601" w:rsidRPr="00425192" w14:paraId="6FFC8041" w14:textId="77777777" w:rsidTr="00510AC1">
        <w:trPr>
          <w:trHeight w:val="3938"/>
        </w:trPr>
        <w:tc>
          <w:tcPr>
            <w:tcW w:w="2518" w:type="dxa"/>
          </w:tcPr>
          <w:p w14:paraId="0B527E3D" w14:textId="77777777" w:rsidR="00546601" w:rsidRPr="00425192" w:rsidRDefault="00546601" w:rsidP="00AF7DB6">
            <w:pPr>
              <w:pStyle w:val="Tabletext"/>
              <w:ind w:left="0" w:right="0"/>
            </w:pPr>
            <w:r w:rsidRPr="00425192">
              <w:t>Binding to various Receptors (SPR and ELISA)</w:t>
            </w:r>
          </w:p>
          <w:p w14:paraId="76C195C4" w14:textId="77777777" w:rsidR="00546601" w:rsidRPr="00425192" w:rsidRDefault="00546601" w:rsidP="00AF7DB6">
            <w:pPr>
              <w:pStyle w:val="Tabletext"/>
              <w:ind w:left="0" w:right="0"/>
            </w:pPr>
            <w:proofErr w:type="spellStart"/>
            <w:r w:rsidRPr="00425192">
              <w:t>FcγRI</w:t>
            </w:r>
            <w:proofErr w:type="spellEnd"/>
          </w:p>
          <w:p w14:paraId="7B9B7576" w14:textId="77777777" w:rsidR="00546601" w:rsidRPr="00425192" w:rsidRDefault="00546601" w:rsidP="00AF7DB6">
            <w:pPr>
              <w:pStyle w:val="Tabletext"/>
              <w:ind w:left="0" w:right="0"/>
            </w:pPr>
            <w:proofErr w:type="spellStart"/>
            <w:r w:rsidRPr="00425192">
              <w:t>FcγRIIa</w:t>
            </w:r>
            <w:proofErr w:type="spellEnd"/>
          </w:p>
          <w:p w14:paraId="15F63A6A" w14:textId="77777777" w:rsidR="00546601" w:rsidRPr="00425192" w:rsidRDefault="00546601" w:rsidP="00AF7DB6">
            <w:pPr>
              <w:pStyle w:val="Tabletext"/>
              <w:ind w:left="0" w:right="0"/>
            </w:pPr>
            <w:proofErr w:type="spellStart"/>
            <w:r w:rsidRPr="00425192">
              <w:t>FcγRIIb</w:t>
            </w:r>
            <w:proofErr w:type="spellEnd"/>
          </w:p>
          <w:p w14:paraId="222BA271" w14:textId="77777777" w:rsidR="00546601" w:rsidRPr="00425192" w:rsidRDefault="00546601" w:rsidP="00AF7DB6">
            <w:pPr>
              <w:pStyle w:val="Tabletext"/>
              <w:ind w:left="0" w:right="0"/>
            </w:pPr>
            <w:proofErr w:type="spellStart"/>
            <w:r w:rsidRPr="00425192">
              <w:t>FcγRIIIa</w:t>
            </w:r>
            <w:proofErr w:type="spellEnd"/>
          </w:p>
          <w:p w14:paraId="7F0389C9" w14:textId="77777777" w:rsidR="00546601" w:rsidRPr="00425192" w:rsidRDefault="00546601" w:rsidP="00AF7DB6">
            <w:pPr>
              <w:pStyle w:val="Tabletext"/>
              <w:ind w:left="0" w:right="0"/>
            </w:pPr>
            <w:proofErr w:type="spellStart"/>
            <w:r w:rsidRPr="00425192">
              <w:t>FcγRIIIb</w:t>
            </w:r>
            <w:proofErr w:type="spellEnd"/>
          </w:p>
          <w:p w14:paraId="45C9E1D3" w14:textId="77777777" w:rsidR="00546601" w:rsidRPr="00425192" w:rsidRDefault="00546601" w:rsidP="00AF7DB6">
            <w:pPr>
              <w:pStyle w:val="Tabletext"/>
              <w:ind w:left="0" w:right="0"/>
            </w:pPr>
            <w:proofErr w:type="spellStart"/>
            <w:r w:rsidRPr="00425192">
              <w:t>FcRn</w:t>
            </w:r>
            <w:proofErr w:type="spellEnd"/>
          </w:p>
          <w:p w14:paraId="6CE93497" w14:textId="77777777" w:rsidR="00546601" w:rsidRPr="00425192" w:rsidRDefault="00546601" w:rsidP="00AF7DB6">
            <w:pPr>
              <w:pStyle w:val="Tabletext"/>
              <w:ind w:left="0" w:right="0"/>
            </w:pPr>
            <w:proofErr w:type="spellStart"/>
            <w:r w:rsidRPr="00425192">
              <w:t>hTNF</w:t>
            </w:r>
            <w:proofErr w:type="spellEnd"/>
            <w:r w:rsidRPr="00425192">
              <w:t>α</w:t>
            </w:r>
          </w:p>
          <w:p w14:paraId="499375FF" w14:textId="77777777" w:rsidR="00546601" w:rsidRPr="00425192" w:rsidRDefault="00546601" w:rsidP="00AF7DB6">
            <w:pPr>
              <w:pStyle w:val="Tabletext"/>
              <w:ind w:left="0" w:right="0"/>
            </w:pPr>
            <w:proofErr w:type="spellStart"/>
            <w:r w:rsidRPr="00425192">
              <w:t>hTNF</w:t>
            </w:r>
            <w:proofErr w:type="spellEnd"/>
            <w:r w:rsidRPr="00425192">
              <w:t>β</w:t>
            </w:r>
          </w:p>
          <w:p w14:paraId="39229C44" w14:textId="77777777" w:rsidR="00546601" w:rsidRPr="00425192" w:rsidRDefault="00546601" w:rsidP="00AF7DB6">
            <w:pPr>
              <w:pStyle w:val="Tabletext"/>
              <w:ind w:left="0" w:right="0"/>
            </w:pPr>
            <w:r w:rsidRPr="00425192">
              <w:t>C1q</w:t>
            </w:r>
          </w:p>
        </w:tc>
        <w:tc>
          <w:tcPr>
            <w:tcW w:w="3645" w:type="dxa"/>
          </w:tcPr>
          <w:p w14:paraId="7FD1B45E" w14:textId="77777777" w:rsidR="00546601" w:rsidRPr="00425192" w:rsidRDefault="00546601" w:rsidP="00AF7DB6">
            <w:pPr>
              <w:pStyle w:val="Tabletext"/>
              <w:ind w:left="0" w:right="0"/>
            </w:pPr>
            <w:r w:rsidRPr="00425192">
              <w:t xml:space="preserve">Comparison of binding to different receptors using surface </w:t>
            </w:r>
            <w:proofErr w:type="spellStart"/>
            <w:r w:rsidRPr="00425192">
              <w:t>plasmon</w:t>
            </w:r>
            <w:proofErr w:type="spellEnd"/>
            <w:r w:rsidRPr="00425192">
              <w:t xml:space="preserve"> resonance and/or ELISA</w:t>
            </w:r>
          </w:p>
        </w:tc>
        <w:tc>
          <w:tcPr>
            <w:tcW w:w="2084" w:type="dxa"/>
          </w:tcPr>
          <w:p w14:paraId="2B0167EC" w14:textId="77777777" w:rsidR="00546601" w:rsidRPr="00425192" w:rsidRDefault="00546601" w:rsidP="00AF7DB6">
            <w:pPr>
              <w:pStyle w:val="Tabletext"/>
              <w:ind w:left="0" w:right="0"/>
            </w:pPr>
            <w:r w:rsidRPr="00425192">
              <w:t xml:space="preserve">Significantly different binding of CT-P13 (102%) to </w:t>
            </w:r>
            <w:proofErr w:type="spellStart"/>
            <w:r w:rsidRPr="00425192">
              <w:t>FcγRI</w:t>
            </w:r>
            <w:r>
              <w:t>IIa</w:t>
            </w:r>
            <w:proofErr w:type="spellEnd"/>
            <w:r>
              <w:t xml:space="preserve"> compared to Remicade (130%)</w:t>
            </w:r>
          </w:p>
        </w:tc>
      </w:tr>
      <w:tr w:rsidR="00546601" w:rsidRPr="00425192" w14:paraId="3B1CDEB6" w14:textId="77777777" w:rsidTr="00510AC1">
        <w:trPr>
          <w:trHeight w:val="710"/>
        </w:trPr>
        <w:tc>
          <w:tcPr>
            <w:tcW w:w="2518" w:type="dxa"/>
          </w:tcPr>
          <w:p w14:paraId="44D12E4E" w14:textId="77777777" w:rsidR="00546601" w:rsidRPr="00425192" w:rsidRDefault="00546601" w:rsidP="00AF7DB6">
            <w:pPr>
              <w:pStyle w:val="Tabletext"/>
              <w:ind w:left="0" w:right="0"/>
            </w:pPr>
            <w:r w:rsidRPr="00425192">
              <w:lastRenderedPageBreak/>
              <w:t>CDC (complement –dependent cytotoxicity)</w:t>
            </w:r>
          </w:p>
        </w:tc>
        <w:tc>
          <w:tcPr>
            <w:tcW w:w="3645" w:type="dxa"/>
          </w:tcPr>
          <w:p w14:paraId="27EA475F" w14:textId="77777777" w:rsidR="00546601" w:rsidRPr="00425192" w:rsidRDefault="00546601" w:rsidP="00AF7DB6">
            <w:pPr>
              <w:pStyle w:val="Tabletext"/>
              <w:ind w:left="0" w:right="0"/>
            </w:pPr>
            <w:r w:rsidRPr="00425192">
              <w:t xml:space="preserve">Comparison of CDC effect on </w:t>
            </w:r>
            <w:proofErr w:type="spellStart"/>
            <w:r w:rsidRPr="00425192">
              <w:t>Jurkat</w:t>
            </w:r>
            <w:proofErr w:type="spellEnd"/>
            <w:r w:rsidRPr="00425192">
              <w:t xml:space="preserve"> cells by lysis</w:t>
            </w:r>
          </w:p>
        </w:tc>
        <w:tc>
          <w:tcPr>
            <w:tcW w:w="2084" w:type="dxa"/>
          </w:tcPr>
          <w:p w14:paraId="61C0C39A" w14:textId="77777777" w:rsidR="00546601" w:rsidRPr="00425192" w:rsidRDefault="00546601" w:rsidP="00AF7DB6">
            <w:pPr>
              <w:pStyle w:val="Tabletext"/>
              <w:ind w:left="0" w:right="0"/>
            </w:pPr>
            <w:r w:rsidRPr="00425192">
              <w:t>No notable difference</w:t>
            </w:r>
          </w:p>
        </w:tc>
      </w:tr>
      <w:tr w:rsidR="00546601" w:rsidRPr="00425192" w14:paraId="4100EB78" w14:textId="77777777" w:rsidTr="00510AC1">
        <w:trPr>
          <w:trHeight w:val="962"/>
        </w:trPr>
        <w:tc>
          <w:tcPr>
            <w:tcW w:w="2518" w:type="dxa"/>
          </w:tcPr>
          <w:p w14:paraId="5D98B7F1" w14:textId="7C3C11FF" w:rsidR="00546601" w:rsidRPr="00425192" w:rsidRDefault="00546601" w:rsidP="00AF7DB6">
            <w:pPr>
              <w:pStyle w:val="Tabletext"/>
              <w:ind w:left="0" w:right="0"/>
            </w:pPr>
            <w:r w:rsidRPr="00425192">
              <w:t>ADCC (</w:t>
            </w:r>
            <w:r w:rsidR="008F456C">
              <w:t>a</w:t>
            </w:r>
            <w:r w:rsidRPr="00425192">
              <w:t>ntibody dependent cell-mediated cytotoxicity)</w:t>
            </w:r>
          </w:p>
        </w:tc>
        <w:tc>
          <w:tcPr>
            <w:tcW w:w="3645" w:type="dxa"/>
          </w:tcPr>
          <w:p w14:paraId="46D591DC" w14:textId="77777777" w:rsidR="00546601" w:rsidRPr="00425192" w:rsidRDefault="00546601" w:rsidP="00AF7DB6">
            <w:pPr>
              <w:pStyle w:val="Tabletext"/>
              <w:ind w:left="0" w:right="0"/>
            </w:pPr>
            <w:r w:rsidRPr="00425192">
              <w:t xml:space="preserve">Comparison of ADCC effect on </w:t>
            </w:r>
            <w:proofErr w:type="spellStart"/>
            <w:r w:rsidRPr="00425192">
              <w:t>Jurkat</w:t>
            </w:r>
            <w:proofErr w:type="spellEnd"/>
            <w:r w:rsidRPr="00425192">
              <w:t xml:space="preserve"> cells as target cells and NK cells from healthy donor as effector cells</w:t>
            </w:r>
          </w:p>
        </w:tc>
        <w:tc>
          <w:tcPr>
            <w:tcW w:w="2084" w:type="dxa"/>
          </w:tcPr>
          <w:p w14:paraId="0A4981B0" w14:textId="77777777" w:rsidR="00546601" w:rsidRPr="00425192" w:rsidRDefault="00546601" w:rsidP="00AF7DB6">
            <w:pPr>
              <w:pStyle w:val="Tabletext"/>
              <w:ind w:left="0" w:right="0"/>
            </w:pPr>
            <w:r w:rsidRPr="00425192">
              <w:t>No notable difference</w:t>
            </w:r>
          </w:p>
        </w:tc>
      </w:tr>
    </w:tbl>
    <w:p w14:paraId="5B562CB7" w14:textId="77777777" w:rsidR="00546601" w:rsidRPr="009E1723" w:rsidRDefault="00546601" w:rsidP="00546601">
      <w:pPr>
        <w:pStyle w:val="Heading4"/>
      </w:pPr>
      <w:r w:rsidRPr="009E1723">
        <w:t>Conclusions and recommendations</w:t>
      </w:r>
    </w:p>
    <w:p w14:paraId="13FE4552" w14:textId="77777777" w:rsidR="00546601" w:rsidRPr="0027725E" w:rsidRDefault="00546601" w:rsidP="00546601">
      <w:r w:rsidRPr="00425192">
        <w:t xml:space="preserve">The overall quality of </w:t>
      </w:r>
      <w:r w:rsidR="00EF0890">
        <w:t>Inflectra</w:t>
      </w:r>
      <w:r w:rsidRPr="00425192">
        <w:t xml:space="preserve"> infliximab </w:t>
      </w:r>
      <w:r>
        <w:t xml:space="preserve">(rmc) is considered acceptable. </w:t>
      </w:r>
      <w:r w:rsidRPr="0027725E">
        <w:t xml:space="preserve">From a biosimilar perspective, the overall comparability of </w:t>
      </w:r>
      <w:r w:rsidR="00EF0890">
        <w:t>Inflectra</w:t>
      </w:r>
      <w:r w:rsidRPr="0027725E">
        <w:t xml:space="preserve"> infliximab (rmc) with the reference product Remicade has been suitably demonstrated.</w:t>
      </w:r>
    </w:p>
    <w:p w14:paraId="1CB6104A" w14:textId="77777777" w:rsidR="00546601" w:rsidRPr="00710B96" w:rsidRDefault="00546601" w:rsidP="00546601">
      <w:r w:rsidRPr="00EA7838">
        <w:t xml:space="preserve">It is recommended that approval for registration of </w:t>
      </w:r>
      <w:r w:rsidR="00EF0890">
        <w:t>Inflectra</w:t>
      </w:r>
      <w:r w:rsidRPr="005D4A8B">
        <w:t xml:space="preserve"> </w:t>
      </w:r>
      <w:r w:rsidRPr="00E132F9">
        <w:t>infliximab (rmc</w:t>
      </w:r>
      <w:r w:rsidRPr="00B96912">
        <w:t>) be given.</w:t>
      </w:r>
    </w:p>
    <w:p w14:paraId="0F9BB4E3" w14:textId="77777777" w:rsidR="00546601" w:rsidRPr="00A91701" w:rsidRDefault="00546601" w:rsidP="00546601">
      <w:r w:rsidRPr="00A91701">
        <w:t>Additional points for the Delegate to consider</w:t>
      </w:r>
      <w:r>
        <w:t>:</w:t>
      </w:r>
    </w:p>
    <w:p w14:paraId="63771F4F" w14:textId="0578F092" w:rsidR="00546601" w:rsidRPr="0027725E" w:rsidRDefault="00546601" w:rsidP="00546601">
      <w:r w:rsidRPr="009E1723">
        <w:t xml:space="preserve">The Delegate </w:t>
      </w:r>
      <w:r w:rsidR="00DB318B">
        <w:t>was</w:t>
      </w:r>
      <w:r w:rsidRPr="009E1723">
        <w:t xml:space="preserve"> informed that the comparability </w:t>
      </w:r>
      <w:r w:rsidR="009329BF" w:rsidRPr="009E1723">
        <w:t xml:space="preserve">study that was performed to demonstrate </w:t>
      </w:r>
      <w:proofErr w:type="spellStart"/>
      <w:r w:rsidR="009329BF" w:rsidRPr="009E1723">
        <w:t>biosimilarity</w:t>
      </w:r>
      <w:proofErr w:type="spellEnd"/>
      <w:r w:rsidR="009329BF" w:rsidRPr="009E1723">
        <w:t xml:space="preserve"> between Inflectra and the reference product Remicade</w:t>
      </w:r>
      <w:r w:rsidRPr="009E1723">
        <w:t xml:space="preserve"> has characterised some small but notable differences between the two products. The evaluator considers it is important for the Delegate to note this when considering the overall decision. This is particularly relevant given that the ‘biosimilar medicine’ registration pathway allows the proposed indications for the biosimilar product to be identical to that of the already registered reference product, despite the clinical studies for the biosimilar product to have been only performed in one of the indications. In this particular submission, clinical trials for the biosimilar were conducted in a Phase I ankylosing spondylitis </w:t>
      </w:r>
      <w:r>
        <w:t xml:space="preserve">(AS) </w:t>
      </w:r>
      <w:r w:rsidRPr="009E1723">
        <w:t xml:space="preserve">group, and a Phase III </w:t>
      </w:r>
      <w:r>
        <w:t>rheumatoid arthritis (RA)</w:t>
      </w:r>
      <w:r w:rsidRPr="009E1723">
        <w:t xml:space="preserve"> group, whereas the sponsor is claiming all of the indications for Remicade (</w:t>
      </w:r>
      <w:r>
        <w:t>RA</w:t>
      </w:r>
      <w:r w:rsidRPr="009E1723">
        <w:t xml:space="preserve">, </w:t>
      </w:r>
      <w:r>
        <w:t>AS</w:t>
      </w:r>
      <w:r w:rsidRPr="009E1723">
        <w:t xml:space="preserve">, </w:t>
      </w:r>
      <w:proofErr w:type="spellStart"/>
      <w:r>
        <w:t>PsA</w:t>
      </w:r>
      <w:proofErr w:type="spellEnd"/>
      <w:r w:rsidRPr="009E1723">
        <w:t>, psoriasis, Crohn’s disease</w:t>
      </w:r>
      <w:r>
        <w:t xml:space="preserve"> (CD)</w:t>
      </w:r>
      <w:r w:rsidRPr="009E1723">
        <w:t xml:space="preserve">, refractory fistulising </w:t>
      </w:r>
      <w:r>
        <w:t>CD</w:t>
      </w:r>
      <w:r w:rsidRPr="009E1723">
        <w:t>, ulcerative colitis</w:t>
      </w:r>
      <w:r>
        <w:t xml:space="preserve"> (UC)</w:t>
      </w:r>
      <w:r w:rsidRPr="009E1723">
        <w:t>) for the biosimilar product. Considering this claim for common indications, it is important that physicochemical and biological differences between the reference product and biosimilar product that might have different downstream clinical effects, depending on the indication, should be considered from a clinical perspective.</w:t>
      </w:r>
    </w:p>
    <w:p w14:paraId="6BF91867" w14:textId="0CA4C64D" w:rsidR="00546601" w:rsidRPr="0027725E" w:rsidRDefault="00546601" w:rsidP="00546601">
      <w:r w:rsidRPr="0027725E">
        <w:t>The mechanism of action of infliximab is complex, it is currently widely accepted that neutralisation of soluble TNF</w:t>
      </w:r>
      <w:r>
        <w:t xml:space="preserve"> (</w:t>
      </w:r>
      <w:proofErr w:type="spellStart"/>
      <w:r>
        <w:t>sTNF</w:t>
      </w:r>
      <w:proofErr w:type="spellEnd"/>
      <w:r>
        <w:t>)</w:t>
      </w:r>
      <w:r w:rsidRPr="0027725E">
        <w:t xml:space="preserve"> and transmembrane TNF</w:t>
      </w:r>
      <w:r>
        <w:t xml:space="preserve"> (</w:t>
      </w:r>
      <w:proofErr w:type="spellStart"/>
      <w:r>
        <w:t>tmTNF</w:t>
      </w:r>
      <w:proofErr w:type="spellEnd"/>
      <w:r>
        <w:t>)</w:t>
      </w:r>
      <w:r w:rsidRPr="0027725E">
        <w:t xml:space="preserve"> is responsible for the efficacy in </w:t>
      </w:r>
      <w:r>
        <w:t>RA</w:t>
      </w:r>
      <w:r w:rsidRPr="0027725E">
        <w:t xml:space="preserve"> by preventing TNF from binding to its receptor and mediating downstream cellular functions. However, other mechanisms are likely to be involved in inflammatory bowel </w:t>
      </w:r>
      <w:r w:rsidR="009329BF" w:rsidRPr="0027725E">
        <w:t>diseases</w:t>
      </w:r>
      <w:r w:rsidR="009329BF">
        <w:t xml:space="preserve"> </w:t>
      </w:r>
      <w:r w:rsidR="009329BF" w:rsidRPr="0027725E">
        <w:t>that</w:t>
      </w:r>
      <w:r w:rsidRPr="0027725E">
        <w:t xml:space="preserve"> are related to binding to the transmembrane form of TNF and include reverse signalling in addition to Fc related effector functions. The relative contribution of both TNF blocking and Fc mediated effector functions in each indication is not well understood.</w:t>
      </w:r>
    </w:p>
    <w:p w14:paraId="4E2A072D" w14:textId="77777777" w:rsidR="00546601" w:rsidRPr="0027725E" w:rsidRDefault="00546601" w:rsidP="00546601">
      <w:r w:rsidRPr="0027725E">
        <w:t xml:space="preserve">A minor difference identified between </w:t>
      </w:r>
      <w:r w:rsidR="00EF0890">
        <w:t>Inflectra</w:t>
      </w:r>
      <w:r>
        <w:t xml:space="preserve"> (CT-P13)</w:t>
      </w:r>
      <w:r w:rsidRPr="0027725E">
        <w:t xml:space="preserve"> and Remicade is the affinity of </w:t>
      </w:r>
      <w:proofErr w:type="spellStart"/>
      <w:r w:rsidRPr="0027725E">
        <w:t>FcγRIIIa</w:t>
      </w:r>
      <w:proofErr w:type="spellEnd"/>
      <w:r w:rsidRPr="0027725E">
        <w:t xml:space="preserve"> binding (CT-P13 = 102% versus Re</w:t>
      </w:r>
      <w:r>
        <w:t>micade = 130% (p &lt; 0.0001). The q</w:t>
      </w:r>
      <w:r w:rsidRPr="0027725E">
        <w:t xml:space="preserve">uality evaluator is unable to make a critical clinical assessment, however the data and justification supplied by the sponsor does support the notion that the difference in </w:t>
      </w:r>
      <w:proofErr w:type="spellStart"/>
      <w:r w:rsidRPr="0027725E">
        <w:t>FcγRIIIa</w:t>
      </w:r>
      <w:proofErr w:type="spellEnd"/>
      <w:r w:rsidRPr="0027725E">
        <w:t xml:space="preserve"> binding probably does not have a significant impact on the antibody dependent cell mediated cytotoxicity.</w:t>
      </w:r>
    </w:p>
    <w:p w14:paraId="3D622895" w14:textId="77777777" w:rsidR="008E7846" w:rsidRDefault="008E7846" w:rsidP="00617629">
      <w:pPr>
        <w:pStyle w:val="Heading2"/>
      </w:pPr>
      <w:bookmarkStart w:id="41" w:name="_Toc196046439"/>
      <w:bookmarkStart w:id="42" w:name="_Toc247691510"/>
      <w:bookmarkStart w:id="43" w:name="_Toc314842494"/>
      <w:bookmarkStart w:id="44" w:name="_Toc44577007"/>
      <w:r>
        <w:lastRenderedPageBreak/>
        <w:t>III. Nonclinical</w:t>
      </w:r>
      <w:bookmarkEnd w:id="41"/>
      <w:r>
        <w:t xml:space="preserve"> findings</w:t>
      </w:r>
      <w:bookmarkEnd w:id="42"/>
      <w:bookmarkEnd w:id="43"/>
      <w:bookmarkEnd w:id="44"/>
    </w:p>
    <w:p w14:paraId="79BBB0CB" w14:textId="77777777" w:rsidR="00584E17" w:rsidRPr="00E77D16" w:rsidRDefault="00584E17" w:rsidP="00510AC1">
      <w:pPr>
        <w:pStyle w:val="Heading3"/>
      </w:pPr>
      <w:bookmarkStart w:id="45" w:name="_Toc392775052"/>
      <w:bookmarkStart w:id="46" w:name="_Toc295290864"/>
      <w:bookmarkStart w:id="47" w:name="_Toc294861722"/>
      <w:bookmarkStart w:id="48" w:name="_Toc455678960"/>
      <w:bookmarkStart w:id="49" w:name="_Toc44577008"/>
      <w:r w:rsidRPr="00E77D16">
        <w:t>General comments</w:t>
      </w:r>
      <w:bookmarkEnd w:id="45"/>
      <w:bookmarkEnd w:id="46"/>
      <w:bookmarkEnd w:id="47"/>
      <w:bookmarkEnd w:id="48"/>
      <w:bookmarkEnd w:id="49"/>
    </w:p>
    <w:p w14:paraId="307A65B1" w14:textId="71A03485" w:rsidR="00584E17" w:rsidRDefault="00584E17" w:rsidP="00510AC1">
      <w:r w:rsidRPr="00E77D16">
        <w:t>The nonclinical dossier contained comparative studies on pharmacolo</w:t>
      </w:r>
      <w:r>
        <w:t xml:space="preserve">gy, pharmacokinetics and repeat </w:t>
      </w:r>
      <w:r w:rsidRPr="00E77D16">
        <w:t>dose toxicity. The sc</w:t>
      </w:r>
      <w:r>
        <w:t>ope of the nonclinical program,</w:t>
      </w:r>
      <w:r w:rsidRPr="00E77D16">
        <w:t xml:space="preserve"> in terms of the to</w:t>
      </w:r>
      <w:r>
        <w:t>pics covered</w:t>
      </w:r>
      <w:r w:rsidRPr="00E77D16">
        <w:t xml:space="preserve"> is adequate according to </w:t>
      </w:r>
      <w:r w:rsidRPr="007C3582">
        <w:t>the EMA Guideline</w:t>
      </w:r>
      <w:bookmarkStart w:id="50" w:name="_Ref442780189"/>
      <w:r w:rsidR="008F456C">
        <w:t>;</w:t>
      </w:r>
      <w:r w:rsidRPr="007C3582">
        <w:rPr>
          <w:rStyle w:val="FootnoteReference"/>
        </w:rPr>
        <w:footnoteReference w:id="8"/>
      </w:r>
      <w:bookmarkEnd w:id="50"/>
      <w:r w:rsidRPr="007C3582">
        <w:t xml:space="preserve"> but </w:t>
      </w:r>
      <w:r w:rsidRPr="00E77D16">
        <w:t>some aspects are noted to be inconsistent with the guideline.</w:t>
      </w:r>
    </w:p>
    <w:p w14:paraId="629BFA36" w14:textId="77777777" w:rsidR="004334C7" w:rsidRPr="004334C7" w:rsidRDefault="00584E17" w:rsidP="00510AC1">
      <w:r>
        <w:t xml:space="preserve">EU </w:t>
      </w:r>
      <w:r w:rsidRPr="00E77D16">
        <w:t xml:space="preserve">sourced Remicade was used as the comparator (reference) product in all of the </w:t>
      </w:r>
      <w:r>
        <w:t xml:space="preserve">nonclinical studies. Australian </w:t>
      </w:r>
      <w:r w:rsidRPr="00E77D16">
        <w:t>sourced Remicade was not used, and the nonclinical component of the dossier contained no information or claim regarding the comparability of the EU and Australian reference product(s).</w:t>
      </w:r>
    </w:p>
    <w:p w14:paraId="14DACB54" w14:textId="77777777" w:rsidR="008E7846" w:rsidRDefault="008E7846" w:rsidP="00510AC1">
      <w:pPr>
        <w:pStyle w:val="Heading3"/>
      </w:pPr>
      <w:bookmarkStart w:id="51" w:name="_Toc247691512"/>
      <w:bookmarkStart w:id="52" w:name="_Toc314842496"/>
      <w:bookmarkStart w:id="53" w:name="_Toc44577009"/>
      <w:r w:rsidRPr="00020030">
        <w:t>Pharmacology</w:t>
      </w:r>
      <w:bookmarkEnd w:id="51"/>
      <w:bookmarkEnd w:id="52"/>
      <w:bookmarkEnd w:id="53"/>
    </w:p>
    <w:p w14:paraId="28B70399" w14:textId="77777777" w:rsidR="00584E17" w:rsidRPr="00E77D16" w:rsidRDefault="00584E17" w:rsidP="00584E17">
      <w:r w:rsidRPr="00E77D16">
        <w:t>Overall comparability of the sponsor’s infliximab drug product and (</w:t>
      </w:r>
      <w:r>
        <w:t>EU sourced</w:t>
      </w:r>
      <w:r w:rsidRPr="00E77D16">
        <w:t>) Remicade was demonstrated in a set of in vitro assays that examined:</w:t>
      </w:r>
    </w:p>
    <w:p w14:paraId="1011D343" w14:textId="77777777" w:rsidR="00584E17" w:rsidRPr="00584E17" w:rsidRDefault="00584E17" w:rsidP="00584E17">
      <w:pPr>
        <w:pStyle w:val="ListBullet"/>
      </w:pPr>
      <w:r w:rsidRPr="00584E17">
        <w:t>binding affinity for human TNFα</w:t>
      </w:r>
    </w:p>
    <w:p w14:paraId="16E25A2E" w14:textId="77777777" w:rsidR="00584E17" w:rsidRPr="00584E17" w:rsidRDefault="00584E17" w:rsidP="00584E17">
      <w:pPr>
        <w:pStyle w:val="ListBullet"/>
      </w:pPr>
      <w:r w:rsidRPr="00584E17">
        <w:t xml:space="preserve">binding to </w:t>
      </w:r>
      <w:proofErr w:type="spellStart"/>
      <w:r w:rsidRPr="00584E17">
        <w:t>FcγRI</w:t>
      </w:r>
      <w:proofErr w:type="spellEnd"/>
      <w:r w:rsidRPr="00584E17">
        <w:t xml:space="preserve">, </w:t>
      </w:r>
      <w:proofErr w:type="spellStart"/>
      <w:r w:rsidRPr="00584E17">
        <w:t>FcγRIIa</w:t>
      </w:r>
      <w:proofErr w:type="spellEnd"/>
      <w:r w:rsidRPr="00584E17">
        <w:t xml:space="preserve">, </w:t>
      </w:r>
      <w:proofErr w:type="spellStart"/>
      <w:r w:rsidRPr="00584E17">
        <w:t>FcγRIIIa</w:t>
      </w:r>
      <w:proofErr w:type="spellEnd"/>
      <w:r w:rsidRPr="00584E17">
        <w:t xml:space="preserve"> receptors, to </w:t>
      </w:r>
      <w:proofErr w:type="spellStart"/>
      <w:r w:rsidRPr="00584E17">
        <w:t>FcRn</w:t>
      </w:r>
      <w:proofErr w:type="spellEnd"/>
      <w:r w:rsidRPr="00584E17">
        <w:t xml:space="preserve"> (neonatal Fc receptor), and to C1q (a subcomponent of complement C1)</w:t>
      </w:r>
    </w:p>
    <w:p w14:paraId="04AA49F7" w14:textId="77777777" w:rsidR="00584E17" w:rsidRPr="00584E17" w:rsidRDefault="00584E17" w:rsidP="00584E17">
      <w:pPr>
        <w:pStyle w:val="ListBullet"/>
      </w:pPr>
      <w:r w:rsidRPr="00584E17">
        <w:t>neutralisation of human TNFα in a cell based functional assay; and</w:t>
      </w:r>
    </w:p>
    <w:p w14:paraId="13E44580" w14:textId="77777777" w:rsidR="00584E17" w:rsidRPr="00584E17" w:rsidRDefault="00584E17" w:rsidP="00584E17">
      <w:pPr>
        <w:pStyle w:val="ListBullet"/>
      </w:pPr>
      <w:r w:rsidRPr="00584E17">
        <w:t>induction of complement dependent cytotoxicity, apoptosis, and antibody dependent cell mediated cytotoxicity.</w:t>
      </w:r>
    </w:p>
    <w:p w14:paraId="374AFEE4" w14:textId="714AF85D" w:rsidR="00584E17" w:rsidRPr="00E77D16" w:rsidRDefault="00584E17" w:rsidP="00584E17">
      <w:r w:rsidRPr="00E77D16">
        <w:t xml:space="preserve">The range of assays conducted fulfils that recommended in </w:t>
      </w:r>
      <w:r>
        <w:t>the EU guideline.</w:t>
      </w:r>
      <w:r w:rsidRPr="004D4616">
        <w:rPr>
          <w:vertAlign w:val="superscript"/>
        </w:rPr>
        <w:fldChar w:fldCharType="begin"/>
      </w:r>
      <w:r w:rsidRPr="004D4616">
        <w:rPr>
          <w:vertAlign w:val="superscript"/>
        </w:rPr>
        <w:instrText xml:space="preserve"> NOTEREF _Ref442780189 \h </w:instrText>
      </w:r>
      <w:r>
        <w:rPr>
          <w:vertAlign w:val="superscript"/>
        </w:rPr>
        <w:instrText xml:space="preserve"> \* MERGEFORMAT </w:instrText>
      </w:r>
      <w:r w:rsidRPr="004D4616">
        <w:rPr>
          <w:vertAlign w:val="superscript"/>
        </w:rPr>
      </w:r>
      <w:r w:rsidRPr="004D4616">
        <w:rPr>
          <w:vertAlign w:val="superscript"/>
        </w:rPr>
        <w:fldChar w:fldCharType="separate"/>
      </w:r>
      <w:r w:rsidR="00B461DE">
        <w:rPr>
          <w:vertAlign w:val="superscript"/>
        </w:rPr>
        <w:t>8</w:t>
      </w:r>
      <w:r w:rsidRPr="004D4616">
        <w:rPr>
          <w:vertAlign w:val="superscript"/>
        </w:rPr>
        <w:fldChar w:fldCharType="end"/>
      </w:r>
      <w:r>
        <w:t xml:space="preserve"> </w:t>
      </w:r>
      <w:r w:rsidRPr="00E77D16">
        <w:t xml:space="preserve">These experiments were performed in phases using various batches of the sponsor’s form of infliximab, including, ultimately, drug product manufactured by the proposed commercial process and at the proposed commercial site. Some statistically significant differences between the </w:t>
      </w:r>
      <w:r w:rsidR="00EF0890">
        <w:t>Inflectra</w:t>
      </w:r>
      <w:r w:rsidRPr="00E77D16">
        <w:t xml:space="preserve"> and Remicade forms were seen in some of the binding experiments, but any differences were small in magnitude, not consistently seen across studies and not confirmed in functional assays.</w:t>
      </w:r>
    </w:p>
    <w:p w14:paraId="53213DEE" w14:textId="77777777" w:rsidR="00584E17" w:rsidRDefault="00584E17" w:rsidP="00584E17">
      <w:r w:rsidRPr="00E77D16">
        <w:t>Like Remicade, the sponsor’s form of infliximab did not show affinity for human TNFβ or TNFα from mouse, rat, dog, pig or rhesus monkey, and showed very limited and equivalent cr</w:t>
      </w:r>
      <w:r>
        <w:t xml:space="preserve">oss </w:t>
      </w:r>
      <w:r w:rsidRPr="00E77D16">
        <w:t>reactivity across a panel of 40 human tissues.</w:t>
      </w:r>
    </w:p>
    <w:p w14:paraId="3D51A9C7" w14:textId="7EF72055" w:rsidR="004334C7" w:rsidRPr="004334C7" w:rsidRDefault="00584E17" w:rsidP="004334C7">
      <w:r w:rsidRPr="00E77D16">
        <w:t xml:space="preserve">No </w:t>
      </w:r>
      <w:r w:rsidRPr="00C636A4">
        <w:t>in vivo</w:t>
      </w:r>
      <w:r w:rsidRPr="00E77D16">
        <w:t xml:space="preserve"> pharmacological comparability study was submitted. This is considered </w:t>
      </w:r>
      <w:r w:rsidR="009329BF" w:rsidRPr="00E77D16">
        <w:t>acceptable</w:t>
      </w:r>
      <w:r w:rsidRPr="00E77D16">
        <w:t xml:space="preserve"> given the findings from the </w:t>
      </w:r>
      <w:r w:rsidRPr="00C636A4">
        <w:t>in vitro</w:t>
      </w:r>
      <w:r w:rsidRPr="00E77D16">
        <w:t xml:space="preserve"> studies.</w:t>
      </w:r>
    </w:p>
    <w:p w14:paraId="00EB1ABA" w14:textId="77777777" w:rsidR="008E7846" w:rsidRDefault="008E7846" w:rsidP="008E7846">
      <w:pPr>
        <w:pStyle w:val="Heading3"/>
      </w:pPr>
      <w:bookmarkStart w:id="54" w:name="_Toc247691513"/>
      <w:bookmarkStart w:id="55" w:name="_Toc314842497"/>
      <w:bookmarkStart w:id="56" w:name="_Toc44577010"/>
      <w:r>
        <w:t>Pharmacokinetics</w:t>
      </w:r>
      <w:bookmarkEnd w:id="54"/>
      <w:bookmarkEnd w:id="55"/>
      <w:bookmarkEnd w:id="56"/>
    </w:p>
    <w:p w14:paraId="566D0678" w14:textId="40CB5191" w:rsidR="004334C7" w:rsidRDefault="00584E17" w:rsidP="004334C7">
      <w:bookmarkStart w:id="57" w:name="_Toc247691514"/>
      <w:bookmarkStart w:id="58" w:name="_Toc314842498"/>
      <w:proofErr w:type="spellStart"/>
      <w:r w:rsidRPr="00E77D16">
        <w:t>Toxicokinetic</w:t>
      </w:r>
      <w:proofErr w:type="spellEnd"/>
      <w:r w:rsidRPr="00E77D16">
        <w:t xml:space="preserve"> data in rats showed lower systemic exposure (by </w:t>
      </w:r>
      <w:r>
        <w:t>approximately</w:t>
      </w:r>
      <w:r w:rsidR="009329BF">
        <w:t xml:space="preserve"> </w:t>
      </w:r>
      <w:r w:rsidRPr="00E77D16">
        <w:t xml:space="preserve">20% on average) following IV administration of the </w:t>
      </w:r>
      <w:r w:rsidR="00EF0890">
        <w:t>Inflectra</w:t>
      </w:r>
      <w:r w:rsidRPr="00E77D16">
        <w:t xml:space="preserve"> </w:t>
      </w:r>
      <w:r>
        <w:t>compared to</w:t>
      </w:r>
      <w:r w:rsidRPr="00E77D16">
        <w:t xml:space="preserve"> Remicade</w:t>
      </w:r>
      <w:r>
        <w:t>.</w:t>
      </w:r>
      <w:r w:rsidRPr="00E77D16">
        <w:t xml:space="preserve"> The sponsor argues that this result appears to have been due to the sparse sampling regimen employed (just six time points over a week), but given that the same sampling regimen was used and that there was only a single instance out of 48 (six time points, two occasions, two dose levels, two sexes) when the mean serum concentration in the </w:t>
      </w:r>
      <w:r w:rsidR="00EF0890">
        <w:t>Inflectra</w:t>
      </w:r>
      <w:r w:rsidRPr="00E77D16">
        <w:t xml:space="preserve"> group exceeded that in the analogous Remicade group, it seems more likely that the difference is real. Serum </w:t>
      </w:r>
      <w:r w:rsidR="008F456C">
        <w:t>maximal concentrations (</w:t>
      </w:r>
      <w:proofErr w:type="spellStart"/>
      <w:r w:rsidRPr="00E77D16">
        <w:t>C</w:t>
      </w:r>
      <w:r w:rsidRPr="00E77D16">
        <w:rPr>
          <w:vertAlign w:val="subscript"/>
        </w:rPr>
        <w:t>max</w:t>
      </w:r>
      <w:proofErr w:type="spellEnd"/>
      <w:r w:rsidR="008F456C">
        <w:t xml:space="preserve">) </w:t>
      </w:r>
      <w:r>
        <w:t>and</w:t>
      </w:r>
      <w:r w:rsidR="008F456C">
        <w:t xml:space="preserve"> areas under the curve (</w:t>
      </w:r>
      <w:r>
        <w:t>AUC</w:t>
      </w:r>
      <w:r w:rsidR="008F456C">
        <w:t>)</w:t>
      </w:r>
      <w:r>
        <w:t xml:space="preserve"> were both lower </w:t>
      </w:r>
      <w:r>
        <w:lastRenderedPageBreak/>
        <w:t xml:space="preserve">(by 7 to </w:t>
      </w:r>
      <w:r w:rsidRPr="00E77D16">
        <w:t>35%) on both dosing occasions investigated (</w:t>
      </w:r>
      <w:r>
        <w:t>Day</w:t>
      </w:r>
      <w:r w:rsidRPr="00E77D16">
        <w:t xml:space="preserve"> 1 and </w:t>
      </w:r>
      <w:r>
        <w:t>Day</w:t>
      </w:r>
      <w:r w:rsidRPr="00E77D16">
        <w:t xml:space="preserve"> 8), in both sexes and at both dose levels. The difference is not considered to impact the validity of the comparative t</w:t>
      </w:r>
      <w:r>
        <w:t>oxicity studies (such as it is)</w:t>
      </w:r>
      <w:r w:rsidRPr="00E77D16">
        <w:t xml:space="preserve"> and in any case, bioequivalence in humans was claimed to have been demonstrated.</w:t>
      </w:r>
    </w:p>
    <w:p w14:paraId="2F9E0C94" w14:textId="77777777" w:rsidR="001B5C90" w:rsidRDefault="008E7846" w:rsidP="001B5C90">
      <w:pPr>
        <w:pStyle w:val="Heading3"/>
      </w:pPr>
      <w:bookmarkStart w:id="59" w:name="_Toc44577011"/>
      <w:r>
        <w:t>Toxicology</w:t>
      </w:r>
      <w:bookmarkEnd w:id="57"/>
      <w:bookmarkEnd w:id="58"/>
      <w:bookmarkEnd w:id="59"/>
    </w:p>
    <w:p w14:paraId="5D5546AE" w14:textId="77777777" w:rsidR="00584E17" w:rsidRPr="0027725E" w:rsidRDefault="00584E17" w:rsidP="00584E17">
      <w:r>
        <w:t xml:space="preserve">Two comparative repeat </w:t>
      </w:r>
      <w:r w:rsidRPr="0027725E">
        <w:t>dose toxicity studies of 2 weeks duration were co</w:t>
      </w:r>
      <w:r>
        <w:t xml:space="preserve">nducted in rats. These were good laboratory practice (GLP) </w:t>
      </w:r>
      <w:r w:rsidRPr="0027725E">
        <w:t xml:space="preserve">compliant, and involved administration by the clinical route (IV) once weekly (that is, animals received a total of two doses). They were conducted with drug material not manufactured by the proposed commercial process, although </w:t>
      </w:r>
      <w:r w:rsidRPr="00C636A4">
        <w:t>in vitro</w:t>
      </w:r>
      <w:r w:rsidRPr="0027725E">
        <w:t xml:space="preserve"> pharmacology data (and apparently also physicochemical data in </w:t>
      </w:r>
      <w:r>
        <w:t>the quality dossier</w:t>
      </w:r>
      <w:r w:rsidRPr="0027725E">
        <w:t xml:space="preserve">) support the material being representative of it. Findings with the two forms of infliximab were comparable in all cases, and comprised transient </w:t>
      </w:r>
      <w:proofErr w:type="spellStart"/>
      <w:r w:rsidRPr="0027725E">
        <w:t>hypoactivity</w:t>
      </w:r>
      <w:proofErr w:type="spellEnd"/>
      <w:r w:rsidRPr="0027725E">
        <w:t xml:space="preserve">, reduced body weight gain, slight increases in platelets and reticulocytes, slight changes in serum protein and </w:t>
      </w:r>
      <w:proofErr w:type="spellStart"/>
      <w:r w:rsidRPr="0027725E">
        <w:t>creatine</w:t>
      </w:r>
      <w:proofErr w:type="spellEnd"/>
      <w:r w:rsidRPr="0027725E">
        <w:t xml:space="preserve"> phosphokinase levels, increased liver weight, and histopathological changes in liver (</w:t>
      </w:r>
      <w:proofErr w:type="spellStart"/>
      <w:r w:rsidRPr="0027725E">
        <w:t>Kupffer</w:t>
      </w:r>
      <w:proofErr w:type="spellEnd"/>
      <w:r w:rsidRPr="0027725E">
        <w:t xml:space="preserve"> cell hyperplasia) and thymus (increased lymphocyte necrosis) that were always of minimal severity. These findings, including the histopathological changes, were not always consistently observed across studies. The </w:t>
      </w:r>
      <w:r w:rsidRPr="00E77D16">
        <w:t xml:space="preserve">no observable adverse effect level </w:t>
      </w:r>
      <w:r>
        <w:t>(</w:t>
      </w:r>
      <w:r w:rsidRPr="0027725E">
        <w:t>NOAEL</w:t>
      </w:r>
      <w:r>
        <w:t>)</w:t>
      </w:r>
      <w:r w:rsidRPr="0027725E">
        <w:t xml:space="preserve"> is considered to be the highest dose studied, 50 mg/kg/week, estimated to yield &gt;</w:t>
      </w:r>
      <w:r>
        <w:t xml:space="preserve"> </w:t>
      </w:r>
      <w:r w:rsidRPr="0027725E">
        <w:t>20 times the se</w:t>
      </w:r>
      <w:r>
        <w:t>rum AUC in patients receiving 5 </w:t>
      </w:r>
      <w:r w:rsidRPr="0027725E">
        <w:t xml:space="preserve">mg/kg </w:t>
      </w:r>
      <w:r w:rsidR="00EF0890">
        <w:t>Inflectra</w:t>
      </w:r>
      <w:r w:rsidRPr="0027725E">
        <w:t xml:space="preserve"> every 8 weeks (taking into account the different dosing frequency).</w:t>
      </w:r>
    </w:p>
    <w:p w14:paraId="2B8574E7" w14:textId="474AD397" w:rsidR="00584E17" w:rsidRPr="008F78EE" w:rsidRDefault="00584E17" w:rsidP="00584E17">
      <w:r w:rsidRPr="0027725E">
        <w:t xml:space="preserve">It must be noted, however, that these studies are of little predictive value given their short duration and their conduct in a species lacking pharmacodynamic responsiveness to the drug. The sponsor </w:t>
      </w:r>
      <w:r>
        <w:t>‘</w:t>
      </w:r>
      <w:r>
        <w:rPr>
          <w:i/>
        </w:rPr>
        <w:t xml:space="preserve">considered that repeat </w:t>
      </w:r>
      <w:r w:rsidRPr="008F78EE">
        <w:rPr>
          <w:i/>
        </w:rPr>
        <w:t xml:space="preserve">dose toxicity studies performed in the rat were relevant to compare the general off-target product toxicity (including immunogenicity) of </w:t>
      </w:r>
      <w:r>
        <w:rPr>
          <w:i/>
        </w:rPr>
        <w:t>(</w:t>
      </w:r>
      <w:r w:rsidRPr="008F78EE">
        <w:rPr>
          <w:i/>
        </w:rPr>
        <w:t>the sponsor’s drug product</w:t>
      </w:r>
      <w:r>
        <w:rPr>
          <w:i/>
        </w:rPr>
        <w:t>)</w:t>
      </w:r>
      <w:r w:rsidRPr="008F78EE">
        <w:rPr>
          <w:i/>
        </w:rPr>
        <w:t xml:space="preserve"> with the reference medicinal product, Remicade</w:t>
      </w:r>
      <w:r>
        <w:t>’</w:t>
      </w:r>
      <w:r w:rsidRPr="0027725E">
        <w:t>. Th</w:t>
      </w:r>
      <w:r>
        <w:t>is is in conflict with the EMA g</w:t>
      </w:r>
      <w:r w:rsidRPr="0027725E">
        <w:t>uideline</w:t>
      </w:r>
      <w:r w:rsidR="008F456C">
        <w:t>;</w:t>
      </w:r>
      <w:r w:rsidRPr="008F78EE">
        <w:rPr>
          <w:vertAlign w:val="superscript"/>
        </w:rPr>
        <w:fldChar w:fldCharType="begin"/>
      </w:r>
      <w:r w:rsidRPr="008F78EE">
        <w:rPr>
          <w:vertAlign w:val="superscript"/>
        </w:rPr>
        <w:instrText xml:space="preserve"> NOTEREF _Ref442780189 \h </w:instrText>
      </w:r>
      <w:r>
        <w:rPr>
          <w:vertAlign w:val="superscript"/>
        </w:rPr>
        <w:instrText xml:space="preserve"> \* MERGEFORMAT </w:instrText>
      </w:r>
      <w:r w:rsidRPr="008F78EE">
        <w:rPr>
          <w:vertAlign w:val="superscript"/>
        </w:rPr>
      </w:r>
      <w:r w:rsidRPr="008F78EE">
        <w:rPr>
          <w:vertAlign w:val="superscript"/>
        </w:rPr>
        <w:fldChar w:fldCharType="separate"/>
      </w:r>
      <w:r w:rsidR="00B461DE">
        <w:rPr>
          <w:vertAlign w:val="superscript"/>
        </w:rPr>
        <w:t>8</w:t>
      </w:r>
      <w:r w:rsidRPr="008F78EE">
        <w:rPr>
          <w:vertAlign w:val="superscript"/>
        </w:rPr>
        <w:fldChar w:fldCharType="end"/>
      </w:r>
      <w:r w:rsidRPr="0027725E">
        <w:t xml:space="preserve"> which explicitly recommends against toxicity studies in non-relevant species, including to assess unspecific toxicity, and also recommends against animal studies conducted to predict immunogenicity in humans (given their general lack </w:t>
      </w:r>
      <w:r w:rsidRPr="008F78EE">
        <w:t xml:space="preserve">of </w:t>
      </w:r>
      <w:proofErr w:type="spellStart"/>
      <w:r w:rsidRPr="008F78EE">
        <w:t>predictivity</w:t>
      </w:r>
      <w:proofErr w:type="spellEnd"/>
      <w:r w:rsidRPr="008F78EE">
        <w:t>).</w:t>
      </w:r>
    </w:p>
    <w:p w14:paraId="39E286C7" w14:textId="5F2C2127" w:rsidR="00584E17" w:rsidRPr="0027725E" w:rsidRDefault="00584E17" w:rsidP="00584E17">
      <w:r w:rsidRPr="0027725E">
        <w:t xml:space="preserve">No comparative toxicity study in a relevant species has been submitted, but this type of study is not required under </w:t>
      </w:r>
      <w:r>
        <w:t xml:space="preserve">the </w:t>
      </w:r>
      <w:r w:rsidRPr="0027725E">
        <w:t>EMA</w:t>
      </w:r>
      <w:r>
        <w:t xml:space="preserve"> guideline.</w:t>
      </w:r>
      <w:r w:rsidRPr="008F78EE">
        <w:rPr>
          <w:vertAlign w:val="superscript"/>
        </w:rPr>
        <w:fldChar w:fldCharType="begin"/>
      </w:r>
      <w:r w:rsidRPr="008F78EE">
        <w:rPr>
          <w:vertAlign w:val="superscript"/>
        </w:rPr>
        <w:instrText xml:space="preserve"> NOTEREF _Ref442780189 \h </w:instrText>
      </w:r>
      <w:r>
        <w:rPr>
          <w:vertAlign w:val="superscript"/>
        </w:rPr>
        <w:instrText xml:space="preserve"> \* MERGEFORMAT </w:instrText>
      </w:r>
      <w:r w:rsidRPr="008F78EE">
        <w:rPr>
          <w:vertAlign w:val="superscript"/>
        </w:rPr>
      </w:r>
      <w:r w:rsidRPr="008F78EE">
        <w:rPr>
          <w:vertAlign w:val="superscript"/>
        </w:rPr>
        <w:fldChar w:fldCharType="separate"/>
      </w:r>
      <w:r w:rsidR="00B461DE">
        <w:rPr>
          <w:vertAlign w:val="superscript"/>
        </w:rPr>
        <w:t>8</w:t>
      </w:r>
      <w:r w:rsidRPr="008F78EE">
        <w:rPr>
          <w:vertAlign w:val="superscript"/>
        </w:rPr>
        <w:fldChar w:fldCharType="end"/>
      </w:r>
      <w:r w:rsidRPr="008F78EE">
        <w:rPr>
          <w:vertAlign w:val="superscript"/>
        </w:rPr>
        <w:t xml:space="preserve"> </w:t>
      </w:r>
      <w:r w:rsidRPr="0027725E">
        <w:t xml:space="preserve">Such a study would pose ethical concerns and questions regarding </w:t>
      </w:r>
      <w:r w:rsidR="009329BF" w:rsidRPr="0027725E">
        <w:t>feasibility,</w:t>
      </w:r>
      <w:r w:rsidRPr="0027725E">
        <w:t xml:space="preserve"> as it would need to involve chimpanzees, the only currently iden</w:t>
      </w:r>
      <w:r>
        <w:t>tified suitable animal species.</w:t>
      </w:r>
    </w:p>
    <w:p w14:paraId="4259575C" w14:textId="77777777" w:rsidR="00584E17" w:rsidRPr="0027725E" w:rsidRDefault="00584E17" w:rsidP="00584E17">
      <w:pPr>
        <w:pStyle w:val="Heading4"/>
      </w:pPr>
      <w:r w:rsidRPr="0027725E">
        <w:t>Pregnancy classification</w:t>
      </w:r>
    </w:p>
    <w:p w14:paraId="787940CE" w14:textId="396A0268" w:rsidR="00C9747E" w:rsidRDefault="00584E17" w:rsidP="00C9747E">
      <w:r w:rsidRPr="0027725E">
        <w:t>The sponsor has proposed Pregnancy Category C</w:t>
      </w:r>
      <w:r w:rsidR="008F456C">
        <w:t>.</w:t>
      </w:r>
      <w:r>
        <w:rPr>
          <w:rStyle w:val="FootnoteReference"/>
        </w:rPr>
        <w:footnoteReference w:id="9"/>
      </w:r>
      <w:r w:rsidRPr="0027725E">
        <w:t xml:space="preserve"> This matches the existing category for Remicade and is considered appropriate.</w:t>
      </w:r>
    </w:p>
    <w:p w14:paraId="5EB81D9D" w14:textId="77777777" w:rsidR="00584E17" w:rsidRPr="0027725E" w:rsidRDefault="00584E17" w:rsidP="00584E17">
      <w:pPr>
        <w:pStyle w:val="Heading3"/>
      </w:pPr>
      <w:bookmarkStart w:id="60" w:name="_Toc455678964"/>
      <w:bookmarkStart w:id="61" w:name="_Toc196046462"/>
      <w:bookmarkStart w:id="62" w:name="_Toc247691516"/>
      <w:bookmarkStart w:id="63" w:name="_Toc314842500"/>
      <w:bookmarkStart w:id="64" w:name="_Toc163441353"/>
      <w:bookmarkStart w:id="65" w:name="_Toc163441348"/>
      <w:bookmarkStart w:id="66" w:name="_Toc44577012"/>
      <w:r w:rsidRPr="0027725E">
        <w:t>Nonclinical summary and conclusions</w:t>
      </w:r>
      <w:bookmarkEnd w:id="60"/>
      <w:bookmarkEnd w:id="66"/>
    </w:p>
    <w:p w14:paraId="5854F6C3" w14:textId="77777777" w:rsidR="00584E17" w:rsidRPr="00814B1E" w:rsidRDefault="00584E17" w:rsidP="00584E17">
      <w:pPr>
        <w:pStyle w:val="ListBullet"/>
        <w:numPr>
          <w:ilvl w:val="0"/>
          <w:numId w:val="0"/>
        </w:numPr>
      </w:pPr>
      <w:r w:rsidRPr="00814B1E">
        <w:t>The nonclinical dossier contained comparative studies on pharmacology, pharmacokinetics and repeat</w:t>
      </w:r>
      <w:r>
        <w:t xml:space="preserve"> </w:t>
      </w:r>
      <w:r w:rsidRPr="00814B1E">
        <w:t>dose toxicity. The scope of the nonclinical program is adequate under the relevant EU guideline.</w:t>
      </w:r>
    </w:p>
    <w:p w14:paraId="4E8B71CD" w14:textId="77777777" w:rsidR="00584E17" w:rsidRPr="00814B1E" w:rsidRDefault="00584E17" w:rsidP="00584E17">
      <w:pPr>
        <w:pStyle w:val="ListBullet"/>
        <w:numPr>
          <w:ilvl w:val="0"/>
          <w:numId w:val="0"/>
        </w:numPr>
      </w:pPr>
      <w:r w:rsidRPr="00814B1E">
        <w:lastRenderedPageBreak/>
        <w:t>These studies were conducted using EU sourced Remicade as the reference product. No nonclinical study involving comparability against Australian sourced Remicade was submitted.</w:t>
      </w:r>
    </w:p>
    <w:p w14:paraId="5699B2F1" w14:textId="77777777" w:rsidR="00584E17" w:rsidRPr="00814B1E" w:rsidRDefault="00584E17" w:rsidP="00617629">
      <w:pPr>
        <w:pStyle w:val="ListBullet"/>
        <w:numPr>
          <w:ilvl w:val="0"/>
          <w:numId w:val="0"/>
        </w:numPr>
      </w:pPr>
      <w:r w:rsidRPr="00814B1E">
        <w:t xml:space="preserve">Comparability between the form of infliximab in </w:t>
      </w:r>
      <w:r w:rsidR="00EF0890">
        <w:t>Inflectra</w:t>
      </w:r>
      <w:r w:rsidRPr="00814B1E">
        <w:t xml:space="preserve"> (and associated products) and the form of the drug in EU sourced batches of Remicade was shown in terms of pharmacological activity in a comprehensive set of in vitro binding and functional assays.</w:t>
      </w:r>
    </w:p>
    <w:p w14:paraId="6172AFD9" w14:textId="77777777" w:rsidR="00584E17" w:rsidRPr="00814B1E" w:rsidRDefault="00584E17" w:rsidP="00617629">
      <w:pPr>
        <w:pStyle w:val="ListBullet"/>
        <w:numPr>
          <w:ilvl w:val="0"/>
          <w:numId w:val="0"/>
        </w:numPr>
      </w:pPr>
      <w:r w:rsidRPr="00814B1E">
        <w:t xml:space="preserve">Two comparative repeat dose toxicity studies were submitted, both involving once weekly IV administration to rats for 2 weeks. Similar findings were seen between the </w:t>
      </w:r>
      <w:r w:rsidR="00EF0890">
        <w:t>Inflectra</w:t>
      </w:r>
      <w:r w:rsidRPr="00814B1E">
        <w:t xml:space="preserve"> and Remicade forms of the drug. However, the short duration of these studies and the fact that the animal species used lacks pharmacodynamic responsiveness to infliximab does not allow a credible establishment of a comparable toxicological profile. Nevertheless, in accordance with the EU guideline on biosimilar monoclonal antibodies, the absence of a properly conducted comparative toxicity study is not considered a deficiency of the application.</w:t>
      </w:r>
    </w:p>
    <w:p w14:paraId="07D1120B" w14:textId="77777777" w:rsidR="00584E17" w:rsidRPr="00814B1E" w:rsidRDefault="00584E17" w:rsidP="00617629">
      <w:pPr>
        <w:pStyle w:val="ListBullet"/>
        <w:numPr>
          <w:ilvl w:val="0"/>
          <w:numId w:val="0"/>
        </w:numPr>
      </w:pPr>
      <w:r w:rsidRPr="00814B1E">
        <w:t>The ability of the nonclinical studies to support comparability to Australian Remicade depends on the conclusion of the quality evaluator regarding the identity/comparability of Remicade products across jurisdictions. Provided that EU sourced Remicade is considered to be identical or highly comparable to the Australian product, there are no nonclinical objections to the regis</w:t>
      </w:r>
      <w:r>
        <w:t xml:space="preserve">tration of </w:t>
      </w:r>
      <w:r w:rsidR="00EF0890">
        <w:t>Inflectra</w:t>
      </w:r>
      <w:r>
        <w:t xml:space="preserve"> </w:t>
      </w:r>
      <w:r w:rsidRPr="00814B1E">
        <w:t>for the proposed indications.</w:t>
      </w:r>
    </w:p>
    <w:p w14:paraId="7AADED49" w14:textId="7263A8C8" w:rsidR="00584E17" w:rsidRPr="008F78EE" w:rsidRDefault="00584E17" w:rsidP="00E700EB">
      <w:pPr>
        <w:pStyle w:val="ListBullet"/>
        <w:numPr>
          <w:ilvl w:val="0"/>
          <w:numId w:val="0"/>
        </w:numPr>
      </w:pPr>
      <w:r w:rsidRPr="008F78EE">
        <w:t xml:space="preserve">The nonclinical evaluator also made recommendations with regard to the draft PI and the </w:t>
      </w:r>
      <w:r w:rsidR="008F456C">
        <w:t>risk management plan (</w:t>
      </w:r>
      <w:r w:rsidRPr="008F78EE">
        <w:t>RMP</w:t>
      </w:r>
      <w:r w:rsidR="008F456C">
        <w:t>)</w:t>
      </w:r>
      <w:r w:rsidRPr="008F78EE">
        <w:t xml:space="preserve"> but these are beyond the scope of the AusPAR.</w:t>
      </w:r>
    </w:p>
    <w:p w14:paraId="7D74F9AF" w14:textId="77777777" w:rsidR="008E7846" w:rsidRPr="00254787" w:rsidRDefault="008E7846" w:rsidP="00E700EB">
      <w:pPr>
        <w:pStyle w:val="Heading2"/>
      </w:pPr>
      <w:bookmarkStart w:id="67" w:name="_Toc44577013"/>
      <w:r>
        <w:t xml:space="preserve">IV. </w:t>
      </w:r>
      <w:r w:rsidRPr="00254787">
        <w:t>Clinical</w:t>
      </w:r>
      <w:bookmarkEnd w:id="61"/>
      <w:r>
        <w:t xml:space="preserve"> </w:t>
      </w:r>
      <w:r w:rsidR="003A7F6C">
        <w:t>f</w:t>
      </w:r>
      <w:r>
        <w:t>indings</w:t>
      </w:r>
      <w:bookmarkEnd w:id="62"/>
      <w:bookmarkEnd w:id="63"/>
      <w:bookmarkEnd w:id="67"/>
    </w:p>
    <w:p w14:paraId="0B9BABA2" w14:textId="0EB9E42C" w:rsidR="00C80137" w:rsidRDefault="00C80137" w:rsidP="00510AC1">
      <w:bookmarkStart w:id="68" w:name="_Toc196046463"/>
      <w:r>
        <w:t xml:space="preserve">A summary of the </w:t>
      </w:r>
      <w:r w:rsidRPr="00FD70B8">
        <w:t>clinical findings is presented in this section.</w:t>
      </w:r>
    </w:p>
    <w:p w14:paraId="6E141F78" w14:textId="77777777" w:rsidR="00584E17" w:rsidRDefault="00584E17" w:rsidP="00510AC1">
      <w:pPr>
        <w:pStyle w:val="Heading3"/>
      </w:pPr>
      <w:bookmarkStart w:id="69" w:name="_Toc44577014"/>
      <w:r w:rsidRPr="00254787">
        <w:t>Introduction</w:t>
      </w:r>
      <w:bookmarkEnd w:id="69"/>
    </w:p>
    <w:p w14:paraId="15083296" w14:textId="77777777" w:rsidR="00584E17" w:rsidRDefault="00584E17" w:rsidP="00510AC1">
      <w:pPr>
        <w:pStyle w:val="Heading4"/>
      </w:pPr>
      <w:r w:rsidRPr="00605AD4">
        <w:t>Clinical Rationale</w:t>
      </w:r>
    </w:p>
    <w:p w14:paraId="76895EDC" w14:textId="05C911FB" w:rsidR="00584E17" w:rsidRPr="00712B11" w:rsidRDefault="00584E17" w:rsidP="00510AC1">
      <w:r w:rsidRPr="00CC2307">
        <w:t xml:space="preserve">TNFα plays a central role in the molecular and cellular events occurring in the pathogenesis of several autoimmune inflammatory conditions. Elevated concentrations of TNFα have been found in the sera and stools of patients with </w:t>
      </w:r>
      <w:r>
        <w:t>inflammatory bowel disease</w:t>
      </w:r>
      <w:r w:rsidRPr="00CC2307">
        <w:t>, in the joints of those with active RA</w:t>
      </w:r>
      <w:r>
        <w:t xml:space="preserve"> and </w:t>
      </w:r>
      <w:proofErr w:type="spellStart"/>
      <w:r>
        <w:t>PsA</w:t>
      </w:r>
      <w:proofErr w:type="spellEnd"/>
      <w:r w:rsidRPr="00CC2307">
        <w:t xml:space="preserve">, and in the </w:t>
      </w:r>
      <w:r>
        <w:t xml:space="preserve">skin lesions of psoriasis. Anti </w:t>
      </w:r>
      <w:r w:rsidRPr="00CC2307">
        <w:t xml:space="preserve">TNF medicines work by neutralising the activity of soluble TNF and preventing its binding to the 2 main TNF receptors. These receptors are expressed on </w:t>
      </w:r>
      <w:r>
        <w:t>the membrane of monocytes and T </w:t>
      </w:r>
      <w:r w:rsidRPr="00CC2307">
        <w:t>lymphocy</w:t>
      </w:r>
      <w:r>
        <w:t>t</w:t>
      </w:r>
      <w:r w:rsidRPr="00CC2307">
        <w:t>es, and circulate in the blood in s</w:t>
      </w:r>
      <w:r>
        <w:t xml:space="preserve">oluble forms. In addition, anti </w:t>
      </w:r>
      <w:r w:rsidRPr="00CC2307">
        <w:t xml:space="preserve">TNF drugs also bind to </w:t>
      </w:r>
      <w:proofErr w:type="spellStart"/>
      <w:r>
        <w:t>tm</w:t>
      </w:r>
      <w:r w:rsidRPr="00CC2307">
        <w:t>TNF</w:t>
      </w:r>
      <w:proofErr w:type="spellEnd"/>
      <w:r w:rsidRPr="00CC2307">
        <w:t>, thus inhibiting its binding on</w:t>
      </w:r>
      <w:r>
        <w:t xml:space="preserve"> the surface of cells such as T </w:t>
      </w:r>
      <w:r w:rsidRPr="00CC2307">
        <w:t xml:space="preserve">lymphocytes in the bowel wall and synovial macrophages in RA. Transmembrane TNFα plays an important role in the formation of granulomas, which is seen in the pathology of </w:t>
      </w:r>
      <w:r>
        <w:t>CD</w:t>
      </w:r>
      <w:r w:rsidRPr="00CC2307">
        <w:t>. Remicade is approved for use in 7 treatment indications. The central therapeutic effect of Remicade in all these indication</w:t>
      </w:r>
      <w:r>
        <w:t>s is mediated by TNFα blockade.</w:t>
      </w:r>
    </w:p>
    <w:p w14:paraId="0F090ADF" w14:textId="77777777" w:rsidR="00584E17" w:rsidRDefault="00584E17" w:rsidP="00510AC1">
      <w:pPr>
        <w:pStyle w:val="Heading4"/>
      </w:pPr>
      <w:r w:rsidRPr="00605AD4">
        <w:t>Guidance</w:t>
      </w:r>
    </w:p>
    <w:p w14:paraId="68F2C4AE" w14:textId="2900DAF4" w:rsidR="00584E17" w:rsidRDefault="00584E17">
      <w:r w:rsidRPr="00CC2307">
        <w:t>The submission is consistent with the pre-submission guidance given by the TGA. In addition, much of the development program for CT-P13 was pre-approved after discussions with the EMA. When developing the clinical program for CT-P13, the sponsor specifically considered the EU guidelines for clinical trials and biotechnology products. In particular the Guideline on Similar Biological Medicinal Products containing Biotechnology-Derived Proteins as Active Substance: Non-Clinical and Clinical Issues</w:t>
      </w:r>
      <w:r w:rsidRPr="008F78EE">
        <w:rPr>
          <w:vertAlign w:val="superscript"/>
        </w:rPr>
        <w:fldChar w:fldCharType="begin"/>
      </w:r>
      <w:r w:rsidRPr="008F78EE">
        <w:rPr>
          <w:vertAlign w:val="superscript"/>
        </w:rPr>
        <w:instrText xml:space="preserve"> NOTEREF _Ref442780189 \h </w:instrText>
      </w:r>
      <w:r>
        <w:rPr>
          <w:vertAlign w:val="superscript"/>
        </w:rPr>
        <w:instrText xml:space="preserve"> \* MERGEFORMAT </w:instrText>
      </w:r>
      <w:r w:rsidRPr="008F78EE">
        <w:rPr>
          <w:vertAlign w:val="superscript"/>
        </w:rPr>
      </w:r>
      <w:r w:rsidRPr="008F78EE">
        <w:rPr>
          <w:vertAlign w:val="superscript"/>
        </w:rPr>
        <w:fldChar w:fldCharType="separate"/>
      </w:r>
      <w:r w:rsidR="00B461DE">
        <w:rPr>
          <w:vertAlign w:val="superscript"/>
        </w:rPr>
        <w:t>8</w:t>
      </w:r>
      <w:r w:rsidRPr="008F78EE">
        <w:rPr>
          <w:vertAlign w:val="superscript"/>
        </w:rPr>
        <w:fldChar w:fldCharType="end"/>
      </w:r>
      <w:r w:rsidRPr="00CC2307">
        <w:t xml:space="preserve"> and </w:t>
      </w:r>
      <w:r>
        <w:lastRenderedPageBreak/>
        <w:t xml:space="preserve">the </w:t>
      </w:r>
      <w:r w:rsidRPr="00CC2307">
        <w:t>Guideline on Similar Biological Medicinal Products</w:t>
      </w:r>
      <w:r w:rsidR="008F456C">
        <w:t>;</w:t>
      </w:r>
      <w:r>
        <w:rPr>
          <w:rStyle w:val="FootnoteReference"/>
        </w:rPr>
        <w:footnoteReference w:id="10"/>
      </w:r>
      <w:r w:rsidRPr="00CC2307">
        <w:t xml:space="preserve"> were taken into account. Although the planning phase of the clinical development program was completed before the </w:t>
      </w:r>
      <w:r>
        <w:t>‘</w:t>
      </w:r>
      <w:r w:rsidRPr="00CC2307">
        <w:t>Guideline on similar biological medicinal products containing monoclonal antibodies</w:t>
      </w:r>
      <w:r>
        <w:t>’</w:t>
      </w:r>
      <w:bookmarkStart w:id="70" w:name="_Ref442874734"/>
      <w:r>
        <w:rPr>
          <w:rStyle w:val="FootnoteReference"/>
        </w:rPr>
        <w:footnoteReference w:id="11"/>
      </w:r>
      <w:bookmarkEnd w:id="70"/>
      <w:r w:rsidRPr="00CC2307">
        <w:t xml:space="preserve"> was published, the clinical trial program is in accordance with the principles of this document. Indication-specific guidelines with respect to RA</w:t>
      </w:r>
      <w:bookmarkStart w:id="71" w:name="_Ref442876395"/>
      <w:r w:rsidR="008F456C">
        <w:t>;</w:t>
      </w:r>
      <w:r>
        <w:rPr>
          <w:rStyle w:val="FootnoteReference"/>
        </w:rPr>
        <w:footnoteReference w:id="12"/>
      </w:r>
      <w:bookmarkEnd w:id="71"/>
      <w:r>
        <w:t xml:space="preserve"> and the AS g</w:t>
      </w:r>
      <w:r w:rsidRPr="00CC2307">
        <w:t>uideline</w:t>
      </w:r>
      <w:r w:rsidR="008F456C">
        <w:t>;</w:t>
      </w:r>
      <w:r>
        <w:rPr>
          <w:rStyle w:val="FootnoteReference"/>
        </w:rPr>
        <w:footnoteReference w:id="13"/>
      </w:r>
      <w:r w:rsidRPr="00CC2307">
        <w:t xml:space="preserve"> </w:t>
      </w:r>
      <w:r>
        <w:t>were also taken into account.</w:t>
      </w:r>
    </w:p>
    <w:p w14:paraId="447045D7" w14:textId="77777777" w:rsidR="00584E17" w:rsidRPr="00CC2307" w:rsidRDefault="00584E17">
      <w:r w:rsidRPr="00CC2307">
        <w:t xml:space="preserve">The TGA </w:t>
      </w:r>
      <w:r>
        <w:t>Delegate</w:t>
      </w:r>
      <w:r w:rsidRPr="00CC2307">
        <w:t xml:space="preserve"> has recommended review and consideration of several EU regulatory guidelines pertaining to the submission, all of whic</w:t>
      </w:r>
      <w:r>
        <w:t>h have been adopted by the TGA:</w:t>
      </w:r>
    </w:p>
    <w:p w14:paraId="223421E6" w14:textId="77777777" w:rsidR="00584E17" w:rsidRPr="00584E17" w:rsidRDefault="00584E17" w:rsidP="00510AC1">
      <w:pPr>
        <w:pStyle w:val="ListBullet"/>
      </w:pPr>
      <w:r w:rsidRPr="00584E17">
        <w:t>CPMP/EWP/556/95 Rev 1 ‘Points to Consider on Clinical Investigation of Medicinal Products other than NSAIDS for Treatment of Rheumatoid Arthritis.’ Replaces: CPMP/EWP/556/95 (Adopted by TGA February 2001) Effective: 29 January 2007</w:t>
      </w:r>
    </w:p>
    <w:p w14:paraId="45053165" w14:textId="77777777" w:rsidR="00584E17" w:rsidRPr="00584E17" w:rsidRDefault="00584E17" w:rsidP="00510AC1">
      <w:pPr>
        <w:pStyle w:val="ListBullet"/>
      </w:pPr>
      <w:r w:rsidRPr="00584E17">
        <w:t>EMEA/CHMP/EWP/438/04 ‘Guideline on Clinical Investigation of Medicinal Products for the Treatment of Psoriatic Arthritis.’ Effective: 5 February 2008</w:t>
      </w:r>
    </w:p>
    <w:p w14:paraId="7344DC69" w14:textId="77777777" w:rsidR="00584E17" w:rsidRPr="00584E17" w:rsidRDefault="00584E17" w:rsidP="00510AC1">
      <w:pPr>
        <w:pStyle w:val="ListBullet"/>
      </w:pPr>
      <w:r w:rsidRPr="00584E17">
        <w:t>CPMP/EWP/4891/03 ‘Guideline on Clinical Investigation of Medicinal Products for the Treatment of Ankylosing Spondylitis.’ Effective: 23 February 2010</w:t>
      </w:r>
    </w:p>
    <w:p w14:paraId="33C8977D" w14:textId="77777777" w:rsidR="00584E17" w:rsidRPr="00584E17" w:rsidRDefault="00584E17" w:rsidP="00510AC1">
      <w:pPr>
        <w:pStyle w:val="ListBullet"/>
      </w:pPr>
      <w:r w:rsidRPr="00584E17">
        <w:t>CHMP/EWP/2454/02 ‘Guideline on clinical investigation of medicinal products indicated for the treatment of Psoriasis.’ Effective: 28 July 2005 Adopted by the TGA with the following notation: Section 5.2.5 on this guideline suggests that regulatory approval requires a comparison with an active comparator (for example cyclosporine and methotrexate). Placebo controlled studies may also be acceptable in Australia.</w:t>
      </w:r>
    </w:p>
    <w:p w14:paraId="31686D41" w14:textId="77777777" w:rsidR="00584E17" w:rsidRPr="00584E17" w:rsidRDefault="00584E17" w:rsidP="00510AC1">
      <w:pPr>
        <w:pStyle w:val="ListBullet"/>
      </w:pPr>
      <w:r w:rsidRPr="00584E17">
        <w:t>CPMP/EWP/2284/99 Rev 1 ‘Guideline on the Development of New Medicinal Products for the Treatment of Crohn's Disease.’ Replaces: CPMP/EWP/2284/99 (Adopted by TGA on 10 January 2002) Effective: 25 February 2009</w:t>
      </w:r>
    </w:p>
    <w:p w14:paraId="0E341E19" w14:textId="77777777" w:rsidR="00584E17" w:rsidRPr="00584E17" w:rsidRDefault="00584E17" w:rsidP="00510AC1">
      <w:pPr>
        <w:pStyle w:val="ListBullet"/>
      </w:pPr>
      <w:r w:rsidRPr="00584E17">
        <w:t>CHMP/EWP/18463/2006 ‘Guideline on the Development of New Medicinal Products for the Treatment of Ulcerative Colitis.’ Effective: 8 April 2009</w:t>
      </w:r>
    </w:p>
    <w:p w14:paraId="00736380" w14:textId="77777777" w:rsidR="00584E17" w:rsidRPr="00584E17" w:rsidRDefault="00584E17" w:rsidP="00510AC1">
      <w:pPr>
        <w:pStyle w:val="ListBullet"/>
      </w:pPr>
      <w:r w:rsidRPr="00584E17">
        <w:t>CHMP/437/04 (pdf, 109kb) ‘Guideline on Similar Biological Medicinal Products.’ Effective: 15 June 2006</w:t>
      </w:r>
    </w:p>
    <w:p w14:paraId="65BCE4BD" w14:textId="77777777" w:rsidR="00584E17" w:rsidRPr="00584E17" w:rsidRDefault="00584E17" w:rsidP="00510AC1">
      <w:pPr>
        <w:pStyle w:val="ListBullet"/>
      </w:pPr>
      <w:r w:rsidRPr="00584E17">
        <w:t>EMEA/CHMP/BMWP/14327/2006 ‘Guideline on Immunogenicity Assessment of Biotechnology Derived Therapeutic Proteins.’ Effective: 22 June 2009</w:t>
      </w:r>
    </w:p>
    <w:p w14:paraId="1AA00C31" w14:textId="77777777" w:rsidR="00584E17" w:rsidRPr="00584E17" w:rsidRDefault="00584E17" w:rsidP="00510AC1">
      <w:pPr>
        <w:pStyle w:val="ListBullet"/>
      </w:pPr>
      <w:r w:rsidRPr="00584E17">
        <w:t>EMEA/CHMP/BMWP/42832/2005 ‘Guideline on Similar Biological Medicinal Products Containing Biotechnology-Derived Proteins as Active Substances: Non-Clinical and Clinical Issues.’ Effective: 29 September 2006</w:t>
      </w:r>
    </w:p>
    <w:p w14:paraId="09007777" w14:textId="77777777" w:rsidR="00584E17" w:rsidRPr="00584E17" w:rsidRDefault="00584E17" w:rsidP="00510AC1">
      <w:pPr>
        <w:pStyle w:val="ListBullet"/>
      </w:pPr>
      <w:r w:rsidRPr="00584E17">
        <w:t>EMEA/CHMP/BMWP/114720/2009 ‘Concept Paper on Immunogenicity Assessment of Monoclonal Antibodies Intended for In Vivo Clinical Use.’ For information only, effective: 15 July 2009</w:t>
      </w:r>
    </w:p>
    <w:p w14:paraId="71F3C487" w14:textId="77777777" w:rsidR="00584E17" w:rsidRPr="00584E17" w:rsidRDefault="00584E17" w:rsidP="00510AC1">
      <w:pPr>
        <w:pStyle w:val="ListBullet"/>
      </w:pPr>
      <w:r w:rsidRPr="00584E17">
        <w:t>EMEA/CHMP/BMWP/632613/2009 ‘Concept Paper on Development of a Guideline on Similar Biological Medicinal Products Containing Monoclonal Antibodies.’ For information only, effective: 26 March 2010</w:t>
      </w:r>
    </w:p>
    <w:p w14:paraId="2FC76701" w14:textId="77777777" w:rsidR="00584E17" w:rsidRPr="00584E17" w:rsidRDefault="00584E17" w:rsidP="00510AC1">
      <w:pPr>
        <w:pStyle w:val="ListBullet"/>
      </w:pPr>
      <w:r w:rsidRPr="00584E17">
        <w:t>CPMP/ICH/2711/99 ‘Note for Guidance on Clinical Investigation of Medicinal Products in the Paediatric Population.’ Effective: 19 April 2001</w:t>
      </w:r>
    </w:p>
    <w:p w14:paraId="0FC763DD" w14:textId="77777777" w:rsidR="00584E17" w:rsidRPr="00584E17" w:rsidRDefault="00584E17" w:rsidP="00510AC1">
      <w:pPr>
        <w:pStyle w:val="ListBullet"/>
      </w:pPr>
      <w:r w:rsidRPr="00584E17">
        <w:lastRenderedPageBreak/>
        <w:t>CHMP/EWP/89249/2004 ‘Guideline on the Clinical Investigation of the Pharmacokinetics of Therapeutic Proteins.’ Effective: 6 January 2009</w:t>
      </w:r>
    </w:p>
    <w:p w14:paraId="6F4EC83C" w14:textId="77777777" w:rsidR="00584E17" w:rsidRPr="00584E17" w:rsidRDefault="00584E17" w:rsidP="00510AC1">
      <w:pPr>
        <w:pStyle w:val="ListBullet"/>
      </w:pPr>
      <w:r w:rsidRPr="00584E17">
        <w:t>CPMP/EWP/QWP/1401/98 Rev 1 ‘Guideline on the Investigation of Bioequivalence.’ Replaces: pp. 231 - 244 of Rules 1998 (3C). (Adopted by TGA 12 February 2002) Replaces: CPMP/QWP/EWP/1401/98 (Adopted by TGA 10 April 2002) Effective: 16 June 2011 Adopted by TGA with the following notation: ‘While this guidance suggests that the design and conduct of the study should follow EU regulations on Good Clinical Practice, sponsors should note that the EU Note for Guidance on Good Clinical Practice (CPMP/ICH/135/95) has been adopted in Australia with TGA annotations. The procedure for abridged applications claiming essential similarity to a reference product (that is, generics), which allows applications to be made to numerous Member States of the EU, based on bioequivalence with a reference product from one Member State, does not apply in Australia. An application for registration of a generic product in Australia should generally include a bioequivalence study versus a leading brand obtained in Australia.’</w:t>
      </w:r>
    </w:p>
    <w:p w14:paraId="3C64936B" w14:textId="77777777" w:rsidR="00584E17" w:rsidRPr="00584E17" w:rsidRDefault="00584E17" w:rsidP="00510AC1">
      <w:pPr>
        <w:pStyle w:val="ListBullet"/>
      </w:pPr>
      <w:r w:rsidRPr="00584E17">
        <w:t>EMEA/CPMP/EWP/2158/99 ‘Guideline on the Choice of the Non-Inferiority Margin.’ Effective: January 2006</w:t>
      </w:r>
    </w:p>
    <w:p w14:paraId="79783FD1" w14:textId="77777777" w:rsidR="00584E17" w:rsidRDefault="00584E17">
      <w:r>
        <w:t>In general, the sponsor has adhered to the relevant regulatory guidelines (that is EU developed guidelines adopted by the TGA) in this submission. At various times in this report, the relevant regulatory guideline will be referred to for consideration.</w:t>
      </w:r>
    </w:p>
    <w:p w14:paraId="15352DDD" w14:textId="77777777" w:rsidR="00584E17" w:rsidRDefault="00584E17" w:rsidP="00510AC1">
      <w:pPr>
        <w:pStyle w:val="Heading4"/>
      </w:pPr>
      <w:r w:rsidRPr="00605AD4">
        <w:t>Contents of the clinical dossier</w:t>
      </w:r>
    </w:p>
    <w:p w14:paraId="342D315B" w14:textId="77777777" w:rsidR="00584E17" w:rsidRPr="003C07A3" w:rsidRDefault="00584E17">
      <w:r w:rsidRPr="003C07A3">
        <w:t>The submission contained the following clinical information:</w:t>
      </w:r>
    </w:p>
    <w:p w14:paraId="44CB4122" w14:textId="77E6A8A7" w:rsidR="00584E17" w:rsidRPr="00584E17" w:rsidRDefault="00584E17" w:rsidP="00510AC1">
      <w:pPr>
        <w:pStyle w:val="ListBullet"/>
      </w:pPr>
      <w:r w:rsidRPr="00584E17">
        <w:t>2 clinical pharmacology studies (</w:t>
      </w:r>
      <w:r w:rsidR="008F456C">
        <w:t xml:space="preserve">Studies </w:t>
      </w:r>
      <w:r w:rsidRPr="00584E17">
        <w:t>CT-P13 1.1 and CT-P13 1.2). Both trials provided pharmacokinetic data, and 1 of the studies (</w:t>
      </w:r>
      <w:r w:rsidR="008F456C">
        <w:t xml:space="preserve">Study </w:t>
      </w:r>
      <w:r w:rsidRPr="00584E17">
        <w:t>CT-P13 1.2) contributed pharmacodynamic data.</w:t>
      </w:r>
    </w:p>
    <w:p w14:paraId="448E7D5C" w14:textId="378E8726" w:rsidR="00584E17" w:rsidRPr="00584E17" w:rsidRDefault="00584E17" w:rsidP="00510AC1">
      <w:pPr>
        <w:pStyle w:val="ListBullet"/>
      </w:pPr>
      <w:r w:rsidRPr="00584E17">
        <w:t>1 pivotal efficacy/safety study (</w:t>
      </w:r>
      <w:r w:rsidR="008F456C">
        <w:t xml:space="preserve">Study </w:t>
      </w:r>
      <w:r w:rsidRPr="00584E17">
        <w:t>CT-P13 3.1) in adult patients with active RA. This study also collected clinical pharmacology data in a subset of treated patients.</w:t>
      </w:r>
    </w:p>
    <w:p w14:paraId="296BFB41" w14:textId="1BF92803" w:rsidR="00584E17" w:rsidRDefault="00584E17" w:rsidP="00510AC1">
      <w:pPr>
        <w:pStyle w:val="ListBullet"/>
      </w:pPr>
      <w:r w:rsidRPr="00584E17">
        <w:t>2 clinical pharmacology studies (listed above) also provided data on efficacy and safety.</w:t>
      </w:r>
    </w:p>
    <w:p w14:paraId="010B3145" w14:textId="104EA313" w:rsidR="00BC1FC7" w:rsidRPr="00584E17" w:rsidRDefault="008F456C" w:rsidP="00053448">
      <w:pPr>
        <w:pStyle w:val="ListBullet"/>
        <w:numPr>
          <w:ilvl w:val="0"/>
          <w:numId w:val="0"/>
        </w:numPr>
        <w:ind w:left="360"/>
      </w:pPr>
      <w:r>
        <w:t xml:space="preserve">In </w:t>
      </w:r>
      <w:r w:rsidR="00E034A2">
        <w:t>addition,</w:t>
      </w:r>
      <w:r>
        <w:t xml:space="preserve"> the sponsor submitted a </w:t>
      </w:r>
      <w:r w:rsidR="00BC1FC7" w:rsidRPr="003C07A3">
        <w:t>Clinical Overview, Summary of Biopharmaceutical Studies and associated Analytical Methods, Summary of Clinical Efficacy, Summary of Clinical Safety, Summary of Clinical Pharmacology and literature references.</w:t>
      </w:r>
    </w:p>
    <w:p w14:paraId="2E92B55F" w14:textId="145F5484" w:rsidR="00584E17" w:rsidRDefault="00584E17" w:rsidP="00053448">
      <w:pPr>
        <w:pStyle w:val="ListBullet"/>
      </w:pPr>
      <w:r w:rsidRPr="00D24785">
        <w:t>The sponsor has also mentioned in this submission 2 additional small studies (</w:t>
      </w:r>
      <w:r w:rsidR="008F456C">
        <w:t>Study </w:t>
      </w:r>
      <w:r w:rsidRPr="00D24785">
        <w:t xml:space="preserve">CT-P13 3.3 (involving 10 Russian patients) and </w:t>
      </w:r>
      <w:r w:rsidR="008F456C">
        <w:t xml:space="preserve">Study </w:t>
      </w:r>
      <w:r w:rsidRPr="00D24785">
        <w:t xml:space="preserve">B1P13101 (Japanese ethnicity study)), but for </w:t>
      </w:r>
      <w:r w:rsidR="006720A9" w:rsidRPr="00D24785">
        <w:t>both</w:t>
      </w:r>
      <w:r w:rsidRPr="00D24785">
        <w:t xml:space="preserve"> trials only a study protocol synopsis was included in the dossier. In addition, there was no English translation of the Japanese ethnicity trial.</w:t>
      </w:r>
    </w:p>
    <w:p w14:paraId="616BB2E1" w14:textId="77777777" w:rsidR="00584E17" w:rsidRDefault="00584E17" w:rsidP="00510AC1">
      <w:pPr>
        <w:pStyle w:val="Heading4"/>
      </w:pPr>
      <w:r w:rsidRPr="00605AD4">
        <w:t>Paediatric data</w:t>
      </w:r>
    </w:p>
    <w:p w14:paraId="7BBA4DA2" w14:textId="77777777" w:rsidR="00584E17" w:rsidRPr="00383C89" w:rsidRDefault="00584E17">
      <w:r w:rsidRPr="00383C89">
        <w:t>The submission did not include any</w:t>
      </w:r>
      <w:r>
        <w:t xml:space="preserve"> </w:t>
      </w:r>
      <w:r w:rsidRPr="00383C89">
        <w:t>paediatric data.</w:t>
      </w:r>
    </w:p>
    <w:p w14:paraId="35412F45" w14:textId="77777777" w:rsidR="00584E17" w:rsidRDefault="00584E17" w:rsidP="00510AC1">
      <w:pPr>
        <w:pStyle w:val="Heading4"/>
      </w:pPr>
      <w:bookmarkStart w:id="72" w:name="_Toc401925239"/>
      <w:bookmarkStart w:id="73" w:name="_Toc290846236"/>
      <w:bookmarkStart w:id="74" w:name="_Toc272414612"/>
      <w:r w:rsidRPr="00605AD4">
        <w:t>Good clinical practice</w:t>
      </w:r>
    </w:p>
    <w:bookmarkEnd w:id="72"/>
    <w:bookmarkEnd w:id="73"/>
    <w:bookmarkEnd w:id="74"/>
    <w:p w14:paraId="20BF47CE" w14:textId="38FDC372" w:rsidR="00584E17" w:rsidRDefault="00584E17">
      <w:r w:rsidRPr="00383C89">
        <w:t xml:space="preserve">All </w:t>
      </w:r>
      <w:r w:rsidR="00EF0890">
        <w:t>three</w:t>
      </w:r>
      <w:r w:rsidRPr="00383C89">
        <w:t xml:space="preserve"> studies in this submission were conducted in acc</w:t>
      </w:r>
      <w:r>
        <w:t xml:space="preserve">ordance with the principles of </w:t>
      </w:r>
      <w:r w:rsidR="008F456C">
        <w:t>G</w:t>
      </w:r>
      <w:r>
        <w:t xml:space="preserve">ood </w:t>
      </w:r>
      <w:r w:rsidR="008F456C">
        <w:t>C</w:t>
      </w:r>
      <w:r>
        <w:t xml:space="preserve">linical </w:t>
      </w:r>
      <w:r w:rsidR="008F456C">
        <w:t>P</w:t>
      </w:r>
      <w:r w:rsidRPr="00383C89">
        <w:t>ractice (GCP) and compliance with ethical requirements was met.</w:t>
      </w:r>
    </w:p>
    <w:p w14:paraId="6532663A" w14:textId="77777777" w:rsidR="008E7846" w:rsidRDefault="008E7846" w:rsidP="00510AC1">
      <w:pPr>
        <w:pStyle w:val="Heading3"/>
      </w:pPr>
      <w:bookmarkStart w:id="75" w:name="_Toc196046464"/>
      <w:bookmarkStart w:id="76" w:name="_Toc247691518"/>
      <w:bookmarkStart w:id="77" w:name="_Toc314842502"/>
      <w:bookmarkStart w:id="78" w:name="_Toc44577015"/>
      <w:bookmarkEnd w:id="68"/>
      <w:r w:rsidRPr="00254787">
        <w:lastRenderedPageBreak/>
        <w:t>Pharmacokinetics</w:t>
      </w:r>
      <w:bookmarkEnd w:id="64"/>
      <w:bookmarkEnd w:id="75"/>
      <w:bookmarkEnd w:id="76"/>
      <w:bookmarkEnd w:id="77"/>
      <w:bookmarkEnd w:id="78"/>
    </w:p>
    <w:p w14:paraId="5988A858" w14:textId="77777777" w:rsidR="00605AD4" w:rsidRDefault="00605AD4" w:rsidP="00510AC1">
      <w:pPr>
        <w:pStyle w:val="Heading4"/>
      </w:pPr>
      <w:r>
        <w:t>Studies</w:t>
      </w:r>
      <w:r w:rsidR="00584E17">
        <w:t xml:space="preserve"> providing pharmacokinetic data</w:t>
      </w:r>
    </w:p>
    <w:p w14:paraId="6AAF19AC" w14:textId="5A83F821" w:rsidR="00584E17" w:rsidRPr="00BD0297" w:rsidRDefault="009940A8">
      <w:r>
        <w:t>There were no</w:t>
      </w:r>
      <w:r w:rsidR="00584E17" w:rsidRPr="00BD0297">
        <w:t xml:space="preserve"> deficiencies that excluded the results</w:t>
      </w:r>
      <w:r>
        <w:t xml:space="preserve"> of the submitted PK studies</w:t>
      </w:r>
      <w:r w:rsidR="00584E17" w:rsidRPr="00BD0297">
        <w:t xml:space="preserve"> from consideration.</w:t>
      </w:r>
    </w:p>
    <w:p w14:paraId="6D6C31EE" w14:textId="77777777" w:rsidR="00605AD4" w:rsidRDefault="00605AD4" w:rsidP="00510AC1">
      <w:pPr>
        <w:pStyle w:val="Heading4"/>
      </w:pPr>
      <w:r>
        <w:t>Evaluator’s conclusions on pharmacokinetics</w:t>
      </w:r>
    </w:p>
    <w:p w14:paraId="6AC47770" w14:textId="69AA9ECE" w:rsidR="00584E17" w:rsidRPr="00BD0297" w:rsidRDefault="00584E17">
      <w:r w:rsidRPr="00BD0297">
        <w:t xml:space="preserve">The PK of CT-P13 and Remicade were investigated in 3 clinical trials. Study CT-P13 1.1 was specifically designed to evaluate the PK of CT-P13, and to demonstrate equivalence of CT-P13 with Remicade for the co-primary endpoints being </w:t>
      </w:r>
      <w:r w:rsidR="00530084">
        <w:t>area under the plasma-concentration time curve over dosing interval (</w:t>
      </w:r>
      <w:proofErr w:type="spellStart"/>
      <w:r w:rsidRPr="00BD0297">
        <w:t>AUC</w:t>
      </w:r>
      <w:r w:rsidRPr="00BD0297">
        <w:rPr>
          <w:vertAlign w:val="subscript"/>
        </w:rPr>
        <w:t>τ</w:t>
      </w:r>
      <w:proofErr w:type="spellEnd"/>
      <w:r w:rsidR="00530084">
        <w:t xml:space="preserve">) </w:t>
      </w:r>
      <w:r w:rsidRPr="00BD0297">
        <w:t xml:space="preserve">and </w:t>
      </w:r>
      <w:proofErr w:type="spellStart"/>
      <w:r w:rsidRPr="00BD0297">
        <w:t>C</w:t>
      </w:r>
      <w:r w:rsidRPr="00BD0297">
        <w:rPr>
          <w:vertAlign w:val="subscript"/>
        </w:rPr>
        <w:t>max</w:t>
      </w:r>
      <w:proofErr w:type="spellEnd"/>
      <w:r w:rsidRPr="00BD0297">
        <w:rPr>
          <w:vertAlign w:val="subscript"/>
        </w:rPr>
        <w:t xml:space="preserve"> </w:t>
      </w:r>
      <w:r w:rsidRPr="00BD0297">
        <w:t xml:space="preserve">at steady state. These co-primary endpoints are appropriate. It was agreed with the EMA to determine PK equivalence between Week 22 (Dose 5) and Week 30 (Dose 6) as it was predicted that </w:t>
      </w:r>
      <w:r w:rsidR="00AE0794">
        <w:t xml:space="preserve">the </w:t>
      </w:r>
      <w:proofErr w:type="spellStart"/>
      <w:r w:rsidRPr="00BD0297">
        <w:t>AUC</w:t>
      </w:r>
      <w:r w:rsidRPr="00BD0297">
        <w:rPr>
          <w:vertAlign w:val="subscript"/>
        </w:rPr>
        <w:t>τ</w:t>
      </w:r>
      <w:proofErr w:type="spellEnd"/>
      <w:r w:rsidR="00530084">
        <w:t xml:space="preserve"> </w:t>
      </w:r>
      <w:r w:rsidRPr="00BD0297">
        <w:t xml:space="preserve">would cover at least 80% of </w:t>
      </w:r>
      <w:r w:rsidR="00530084">
        <w:t>the area under the plasma concentration-time curve from time zero (dosing) extrapolated to infinity (</w:t>
      </w:r>
      <w:r w:rsidRPr="00BD0297">
        <w:t>AUC</w:t>
      </w:r>
      <w:r w:rsidRPr="00BD0297">
        <w:rPr>
          <w:vertAlign w:val="subscript"/>
        </w:rPr>
        <w:t>0-∞</w:t>
      </w:r>
      <w:r w:rsidR="00530084">
        <w:t xml:space="preserve">) </w:t>
      </w:r>
      <w:r w:rsidRPr="00BD0297">
        <w:t>during this time period with serum infliximab concentration falling below 10% prior to Dose 5 and returning to below 10% before Dose 6. This was observed to be correct for St</w:t>
      </w:r>
      <w:r w:rsidR="00EC703E">
        <w:t xml:space="preserve">udy CT-P13 1.1 (refer to Table </w:t>
      </w:r>
      <w:r w:rsidR="007F306E">
        <w:t>4</w:t>
      </w:r>
      <w:r w:rsidRPr="00BD0297">
        <w:t>). These assessments are appropriate, given the long half-life of infliximab and the potential for interference by anti-drug antibodies.</w:t>
      </w:r>
    </w:p>
    <w:p w14:paraId="0E26E6D2" w14:textId="519B426A" w:rsidR="00C80CB2" w:rsidRPr="00BD0297" w:rsidRDefault="00C80CB2" w:rsidP="00510AC1">
      <w:pPr>
        <w:pStyle w:val="TableTitle"/>
      </w:pPr>
      <w:bookmarkStart w:id="79" w:name="_Ref375647023"/>
      <w:bookmarkStart w:id="80" w:name="_Ref375647020"/>
      <w:bookmarkStart w:id="81" w:name="_Toc401925326"/>
      <w:r w:rsidRPr="00BD0297">
        <w:t xml:space="preserve">Table </w:t>
      </w:r>
      <w:bookmarkEnd w:id="79"/>
      <w:r w:rsidR="007F306E">
        <w:t>4</w:t>
      </w:r>
      <w:r w:rsidR="00EF0890">
        <w:t>:</w:t>
      </w:r>
      <w:r w:rsidRPr="00BD0297">
        <w:t xml:space="preserve"> Pre-dose and </w:t>
      </w:r>
      <w:proofErr w:type="spellStart"/>
      <w:r w:rsidRPr="00BD0297">
        <w:t>C</w:t>
      </w:r>
      <w:r w:rsidRPr="00BD0297">
        <w:rPr>
          <w:vertAlign w:val="subscript"/>
        </w:rPr>
        <w:t>max</w:t>
      </w:r>
      <w:proofErr w:type="spellEnd"/>
      <w:r w:rsidRPr="00BD0297">
        <w:t xml:space="preserve"> concentrations of CT-P13 and Remicade from PK Population over dosing interval between Week 22 and Week 30</w:t>
      </w:r>
      <w:bookmarkEnd w:id="80"/>
      <w:bookmarkEnd w:id="81"/>
    </w:p>
    <w:p w14:paraId="0571C5C2" w14:textId="77777777" w:rsidR="00584E17" w:rsidRDefault="00C80CB2">
      <w:r>
        <w:rPr>
          <w:noProof/>
          <w:lang w:eastAsia="en-AU"/>
        </w:rPr>
        <w:drawing>
          <wp:inline distT="0" distB="0" distL="0" distR="0" wp14:anchorId="5C60A08A" wp14:editId="01FBB709">
            <wp:extent cx="5400040" cy="1211547"/>
            <wp:effectExtent l="0" t="0" r="0" b="8255"/>
            <wp:docPr id="1" name="Picture 1" descr="Pre-dose and Cmax concentrations of CT-P13 and Remicade from PK Population over dosing interval between Week 22 and We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00040" cy="1211547"/>
                    </a:xfrm>
                    <a:prstGeom prst="rect">
                      <a:avLst/>
                    </a:prstGeom>
                  </pic:spPr>
                </pic:pic>
              </a:graphicData>
            </a:graphic>
          </wp:inline>
        </w:drawing>
      </w:r>
    </w:p>
    <w:p w14:paraId="78BC512E" w14:textId="27F46DB3" w:rsidR="00C80CB2" w:rsidRPr="00BD0297" w:rsidRDefault="00C80CB2">
      <w:r w:rsidRPr="00BD0297">
        <w:t xml:space="preserve">Furthermore Study CT-P13 1.1 showed that CT-P13 was bioequivalent to the reference product Remicade in terms of </w:t>
      </w:r>
      <w:proofErr w:type="spellStart"/>
      <w:r w:rsidRPr="00BD0297">
        <w:t>AUC</w:t>
      </w:r>
      <w:r w:rsidRPr="00BD0297">
        <w:rPr>
          <w:vertAlign w:val="subscript"/>
        </w:rPr>
        <w:t>τ</w:t>
      </w:r>
      <w:proofErr w:type="spellEnd"/>
      <w:r w:rsidRPr="00BD0297">
        <w:t xml:space="preserve"> and </w:t>
      </w:r>
      <w:proofErr w:type="spellStart"/>
      <w:r w:rsidRPr="00BD0297">
        <w:t>C</w:t>
      </w:r>
      <w:r w:rsidRPr="00BD0297">
        <w:rPr>
          <w:vertAlign w:val="subscript"/>
        </w:rPr>
        <w:t>max</w:t>
      </w:r>
      <w:proofErr w:type="spellEnd"/>
      <w:r w:rsidR="00530084">
        <w:rPr>
          <w:vertAlign w:val="subscript"/>
        </w:rPr>
        <w:t xml:space="preserve"> </w:t>
      </w:r>
      <w:r w:rsidR="00530084">
        <w:t>at steady state</w:t>
      </w:r>
      <w:r w:rsidRPr="00BD0297">
        <w:t xml:space="preserve"> between Weeks 22 and 30 with the 90% CIs of the ratio of geometric means for both area under the concentration versus time curve during a dosage interval (τ) (</w:t>
      </w:r>
      <w:proofErr w:type="spellStart"/>
      <w:r w:rsidRPr="00BD0297">
        <w:t>AUC</w:t>
      </w:r>
      <w:r w:rsidRPr="00BD0297">
        <w:rPr>
          <w:vertAlign w:val="subscript"/>
        </w:rPr>
        <w:t>τ</w:t>
      </w:r>
      <w:proofErr w:type="spellEnd"/>
      <w:r w:rsidRPr="00BD0297">
        <w:t>) and peak plasma concentration at steady state (</w:t>
      </w:r>
      <w:proofErr w:type="spellStart"/>
      <w:r w:rsidRPr="00BD0297">
        <w:t>C</w:t>
      </w:r>
      <w:r w:rsidRPr="00BD0297">
        <w:rPr>
          <w:vertAlign w:val="subscript"/>
        </w:rPr>
        <w:t>max,ss</w:t>
      </w:r>
      <w:proofErr w:type="spellEnd"/>
      <w:r w:rsidRPr="00BD0297">
        <w:t>) falling within the reference range of 80% to 125% for the entire PK population (which included patients that developed anti-drug antibodies). In addition, bioequivalence was also established in the antibody negative subset of the PK population.</w:t>
      </w:r>
    </w:p>
    <w:p w14:paraId="6B834A45" w14:textId="77777777" w:rsidR="00C80CB2" w:rsidRPr="00BD0297" w:rsidRDefault="00C80CB2">
      <w:r w:rsidRPr="00BD0297">
        <w:t>In addition, the results of secondary PK parameters including average plasma concentration at steady state (</w:t>
      </w:r>
      <w:proofErr w:type="spellStart"/>
      <w:r w:rsidRPr="00BD0297">
        <w:t>C</w:t>
      </w:r>
      <w:r w:rsidRPr="00BD0297">
        <w:rPr>
          <w:vertAlign w:val="subscript"/>
        </w:rPr>
        <w:t>av,ss</w:t>
      </w:r>
      <w:proofErr w:type="spellEnd"/>
      <w:r w:rsidRPr="00BD0297">
        <w:t>), trough plasma concentration at steady state (</w:t>
      </w:r>
      <w:proofErr w:type="spellStart"/>
      <w:r w:rsidRPr="00BD0297">
        <w:t>C</w:t>
      </w:r>
      <w:r w:rsidRPr="00BD0297">
        <w:rPr>
          <w:vertAlign w:val="subscript"/>
        </w:rPr>
        <w:t>min,ss</w:t>
      </w:r>
      <w:proofErr w:type="spellEnd"/>
      <w:r w:rsidRPr="00BD0297">
        <w:t>), swing, mean residence time (MRT), peak trough fluctuation (PTF), half-life (T</w:t>
      </w:r>
      <w:r w:rsidRPr="00BD0297">
        <w:rPr>
          <w:vertAlign w:val="subscript"/>
        </w:rPr>
        <w:t>½</w:t>
      </w:r>
      <w:r w:rsidRPr="00BD0297">
        <w:t>), clearance at steady state (</w:t>
      </w:r>
      <w:proofErr w:type="spellStart"/>
      <w:r w:rsidRPr="00BD0297">
        <w:t>CL</w:t>
      </w:r>
      <w:r w:rsidRPr="00BD0297">
        <w:rPr>
          <w:vertAlign w:val="subscript"/>
        </w:rPr>
        <w:t>ss</w:t>
      </w:r>
      <w:proofErr w:type="spellEnd"/>
      <w:r w:rsidRPr="00BD0297">
        <w:t>), volume of distribution at steady state (</w:t>
      </w:r>
      <w:proofErr w:type="spellStart"/>
      <w:r w:rsidRPr="00BD0297">
        <w:t>V</w:t>
      </w:r>
      <w:r w:rsidRPr="00BD0297">
        <w:rPr>
          <w:vertAlign w:val="subscript"/>
        </w:rPr>
        <w:t>ss</w:t>
      </w:r>
      <w:proofErr w:type="spellEnd"/>
      <w:r w:rsidRPr="00BD0297">
        <w:t xml:space="preserve">) determined in the CT-P13 group were comparable to those of the Remicade arm. These results are supported by the PK evaluation in RA patients (Study CT-P13 3.1). The analyses of the secondary PK parameters (including </w:t>
      </w:r>
      <w:proofErr w:type="spellStart"/>
      <w:r w:rsidRPr="00BD0297">
        <w:t>C</w:t>
      </w:r>
      <w:r w:rsidRPr="00BD0297">
        <w:rPr>
          <w:vertAlign w:val="subscript"/>
        </w:rPr>
        <w:t>max</w:t>
      </w:r>
      <w:proofErr w:type="spellEnd"/>
      <w:r w:rsidRPr="00BD0297">
        <w:t xml:space="preserve">, </w:t>
      </w:r>
      <w:proofErr w:type="spellStart"/>
      <w:r w:rsidRPr="00BD0297">
        <w:t>C</w:t>
      </w:r>
      <w:r w:rsidRPr="00BD0297">
        <w:rPr>
          <w:vertAlign w:val="subscript"/>
        </w:rPr>
        <w:t>min</w:t>
      </w:r>
      <w:proofErr w:type="spellEnd"/>
      <w:r w:rsidRPr="00BD0297">
        <w:t xml:space="preserve">, </w:t>
      </w:r>
      <w:proofErr w:type="spellStart"/>
      <w:r w:rsidRPr="00BD0297">
        <w:t>C</w:t>
      </w:r>
      <w:r w:rsidRPr="00BD0297">
        <w:rPr>
          <w:vertAlign w:val="subscript"/>
        </w:rPr>
        <w:t>av,ss</w:t>
      </w:r>
      <w:proofErr w:type="spellEnd"/>
      <w:r w:rsidRPr="00BD0297">
        <w:t xml:space="preserve">, </w:t>
      </w:r>
      <w:proofErr w:type="spellStart"/>
      <w:r w:rsidRPr="00BD0297">
        <w:t>T</w:t>
      </w:r>
      <w:r w:rsidRPr="00BD0297">
        <w:rPr>
          <w:vertAlign w:val="subscript"/>
        </w:rPr>
        <w:t>max</w:t>
      </w:r>
      <w:proofErr w:type="spellEnd"/>
      <w:r w:rsidRPr="00BD0297">
        <w:t>, and PTF) showed that the PK profile of CT-P13 is comparable to Remicade in this patient population as well.</w:t>
      </w:r>
    </w:p>
    <w:p w14:paraId="26C51CF3" w14:textId="77777777" w:rsidR="00C80CB2" w:rsidRPr="00BD0297" w:rsidRDefault="00C80CB2">
      <w:r w:rsidRPr="00BD0297">
        <w:t>As expected, overall exposure to infliximab was lower in the patients that developed anti-drug antibodies (that were predominantly neutralising), but the effects were comparable across both groups.</w:t>
      </w:r>
    </w:p>
    <w:p w14:paraId="72F44EB2" w14:textId="7B1783CF" w:rsidR="00C80CB2" w:rsidRPr="00BD0297" w:rsidRDefault="00C80CB2">
      <w:r w:rsidRPr="00BD0297">
        <w:t>The submission does not contain any PK data obtained in children. As such, it is unknown whether or not there any significant PK differences between Remicade and CT-P13 exist, although it would seem unlikely.</w:t>
      </w:r>
    </w:p>
    <w:p w14:paraId="217BFA40" w14:textId="7DFDA63D" w:rsidR="00C80CB2" w:rsidRPr="00584E17" w:rsidRDefault="00C80CB2">
      <w:r w:rsidRPr="00BD0297">
        <w:lastRenderedPageBreak/>
        <w:t xml:space="preserve">The PK assessments involved 2 major indications of use for infliximab (RA and AS) and included patients who were taking concomitant </w:t>
      </w:r>
      <w:r w:rsidR="00530084">
        <w:t>methotrexate (</w:t>
      </w:r>
      <w:r w:rsidRPr="00BD0297">
        <w:t>MTX</w:t>
      </w:r>
      <w:r w:rsidR="00530084">
        <w:t>)</w:t>
      </w:r>
      <w:r w:rsidRPr="00BD0297">
        <w:t xml:space="preserve"> (</w:t>
      </w:r>
      <w:r w:rsidR="00530084">
        <w:t xml:space="preserve">Study </w:t>
      </w:r>
      <w:r w:rsidRPr="00BD0297">
        <w:t>CT-P13 3.1) and those not on concomitant immunosuppression (</w:t>
      </w:r>
      <w:r w:rsidR="00530084">
        <w:t xml:space="preserve">Study </w:t>
      </w:r>
      <w:r w:rsidRPr="00BD0297">
        <w:t>CT-P13 1.1). The sponsor provided evidence from a literature review that there is no clear difference in the PK of infliximab across its various indications. Therefore, overall, the PK assessments provided are appropriate and the data provided by the sponsor provides sufficient evidence for PK bioequivalence. However, one of the deficiencies of the current PK dataset for CT-P13 is that comparative data has only been obtained over a limited dose range (3 to 5 mg/kg every 8 weeks). The dose of infliximab can be increased up to 10 mg/kg (every 6 to 8 weeks) in patients with CD, and it remains unclear whether PK differences may occur at higher infliximab doses.</w:t>
      </w:r>
    </w:p>
    <w:p w14:paraId="2C3C3F32" w14:textId="77777777" w:rsidR="008E7846" w:rsidRDefault="008E7846" w:rsidP="00510AC1">
      <w:pPr>
        <w:pStyle w:val="Heading3"/>
      </w:pPr>
      <w:bookmarkStart w:id="82" w:name="_Toc196046481"/>
      <w:bookmarkStart w:id="83" w:name="_Toc247691520"/>
      <w:bookmarkStart w:id="84" w:name="_Toc314842503"/>
      <w:bookmarkStart w:id="85" w:name="_Toc44577016"/>
      <w:r w:rsidRPr="00254787">
        <w:t>Pharmacodynamics</w:t>
      </w:r>
      <w:bookmarkEnd w:id="65"/>
      <w:bookmarkEnd w:id="82"/>
      <w:bookmarkEnd w:id="83"/>
      <w:bookmarkEnd w:id="84"/>
      <w:bookmarkEnd w:id="85"/>
    </w:p>
    <w:p w14:paraId="1E5121C1" w14:textId="77777777" w:rsidR="00C80CB2" w:rsidRPr="00BD0297" w:rsidRDefault="00C80CB2" w:rsidP="00510AC1">
      <w:pPr>
        <w:pStyle w:val="Heading4"/>
      </w:pPr>
      <w:r w:rsidRPr="00BD0297">
        <w:t>Studies providing pharmacodynamic data</w:t>
      </w:r>
    </w:p>
    <w:p w14:paraId="2988B29F" w14:textId="6FAE1403" w:rsidR="00C80CB2" w:rsidRPr="00C80CB2" w:rsidRDefault="00C80CB2">
      <w:r w:rsidRPr="00BD0297">
        <w:t>Two of the 3 studies (</w:t>
      </w:r>
      <w:r w:rsidR="00530084">
        <w:t xml:space="preserve">Studies </w:t>
      </w:r>
      <w:r w:rsidRPr="00BD0297">
        <w:t>CT-P13 3.1 and CT-P13 1.2, both enrolling adult subjects with active RA) in this submission contributed pharmacodynamic (PD) data.</w:t>
      </w:r>
      <w:r>
        <w:t xml:space="preserve"> </w:t>
      </w:r>
    </w:p>
    <w:p w14:paraId="7C393881" w14:textId="77777777" w:rsidR="00C80CB2" w:rsidRPr="00BD0297" w:rsidRDefault="00C80CB2" w:rsidP="00510AC1">
      <w:pPr>
        <w:pStyle w:val="Heading4"/>
      </w:pPr>
      <w:r w:rsidRPr="00BD0297">
        <w:t>Evaluator’s conclusions on pharmacodynamics</w:t>
      </w:r>
    </w:p>
    <w:p w14:paraId="3A39964A" w14:textId="46E7DF82" w:rsidR="00C80CB2" w:rsidRPr="00BD0297" w:rsidRDefault="00C80CB2">
      <w:r w:rsidRPr="00BD0297">
        <w:t>Data collected for PD assessments were part of the 2 studies (</w:t>
      </w:r>
      <w:r w:rsidR="00530084">
        <w:t xml:space="preserve">Studies </w:t>
      </w:r>
      <w:r w:rsidRPr="00BD0297">
        <w:t>CT-P13 3.1 and CT</w:t>
      </w:r>
      <w:r w:rsidR="00530084">
        <w:noBreakHyphen/>
      </w:r>
      <w:r w:rsidRPr="00BD0297">
        <w:t>P13</w:t>
      </w:r>
      <w:r w:rsidR="00530084">
        <w:t> </w:t>
      </w:r>
      <w:r w:rsidRPr="00BD0297">
        <w:t xml:space="preserve">1.2) which evaluated the effect of CT-P13 in adult patients with active RA. These trials measured changes from baseline to Weeks 14, 30 and 54 in serum inflammatory markers (CRP and ESR), anti-cyclic </w:t>
      </w:r>
      <w:proofErr w:type="spellStart"/>
      <w:r w:rsidRPr="00BD0297">
        <w:t>citrullinated</w:t>
      </w:r>
      <w:proofErr w:type="spellEnd"/>
      <w:r w:rsidRPr="00BD0297">
        <w:t xml:space="preserve"> peptide</w:t>
      </w:r>
      <w:r w:rsidRPr="00BD0297">
        <w:rPr>
          <w:rStyle w:val="st1"/>
          <w:rFonts w:ascii="Arial" w:hAnsi="Arial" w:cs="Arial"/>
          <w:color w:val="545454"/>
        </w:rPr>
        <w:t xml:space="preserve"> (</w:t>
      </w:r>
      <w:r w:rsidRPr="00BD0297">
        <w:t>CCP) antibody levels, and rheumatoid factor (RF) (IgA, IgG and IgM) titres and compared the results between those treated with CT-P13 to Remicade. Although there was considerable inter-individual variation in the results, the mean PD parameter concentrations in both treatment groups decreased from baseline at each time point measured up to Week 54. There was no evidence of a difference between CT-P13 and Remicade for the mean change from baseline in serum inflammatory markers (CRP and ESR), or RF levels (any Ig class). Statistical analysis indicated a difference (at the 5% level) between the CT-P13 and Remicade treatment groups for the mean change from baseline in anti-CCP antibody levels at Week 30 in Study</w:t>
      </w:r>
      <w:r w:rsidR="00530084">
        <w:t> </w:t>
      </w:r>
      <w:r w:rsidRPr="00BD0297">
        <w:t>CT-P13 3.1, but this difference was only observed at a single time point and is not of clinical significance on its own.</w:t>
      </w:r>
    </w:p>
    <w:p w14:paraId="4E475E3D" w14:textId="77777777" w:rsidR="00C80CB2" w:rsidRPr="00C80CB2" w:rsidRDefault="00C80CB2">
      <w:r w:rsidRPr="00BD0297">
        <w:t>In summary, the PD results included in this submission are of limited value when comparing CT-P13 and Remicade for similarity of effect but no overt differences between the 2 formulations of infliximab were observed in adult RA treatment population.</w:t>
      </w:r>
    </w:p>
    <w:p w14:paraId="22F71D55" w14:textId="77777777" w:rsidR="008E7846" w:rsidRDefault="00605AD4" w:rsidP="00510AC1">
      <w:pPr>
        <w:pStyle w:val="Heading3"/>
      </w:pPr>
      <w:bookmarkStart w:id="86" w:name="_Toc44577017"/>
      <w:r>
        <w:t>Dosage selection for the pivotal studies</w:t>
      </w:r>
      <w:bookmarkEnd w:id="86"/>
    </w:p>
    <w:p w14:paraId="44F9009B" w14:textId="00153848" w:rsidR="00C80CB2" w:rsidRPr="00BD0297" w:rsidRDefault="00C80CB2" w:rsidP="00B46B14">
      <w:r w:rsidRPr="00BD0297">
        <w:t xml:space="preserve">The dose and regimen of infliximab selected for the pivotal and supporting studies was based on the doses used in the Remicade registration trials. This is appropriate rationale for a biosimilar submission. </w:t>
      </w:r>
    </w:p>
    <w:p w14:paraId="1F990D8E" w14:textId="491CC526" w:rsidR="00C80CB2" w:rsidRPr="00C80CB2" w:rsidRDefault="00C80CB2">
      <w:r w:rsidRPr="00BD0297">
        <w:t xml:space="preserve">In </w:t>
      </w:r>
      <w:r w:rsidR="00B46B14" w:rsidRPr="00BD0297">
        <w:t>all</w:t>
      </w:r>
      <w:r w:rsidRPr="00BD0297">
        <w:t xml:space="preserve"> the trials (both indications), the dosing regimen of infliximab involved an initial dose loading phase (at Weeks 0, 2 and 6) followed by a maintenance treatment phase whereby infliximab was administered every 8 weeks. The dosing regimen is consistent with clinical practice and the current approved posology for Remicade.</w:t>
      </w:r>
    </w:p>
    <w:p w14:paraId="4DA9D2DB" w14:textId="77777777" w:rsidR="008E7846" w:rsidRPr="00254787" w:rsidRDefault="008E7846" w:rsidP="00510AC1">
      <w:pPr>
        <w:pStyle w:val="Heading3"/>
      </w:pPr>
      <w:bookmarkStart w:id="87" w:name="_Toc163441372"/>
      <w:bookmarkStart w:id="88" w:name="_Toc196046485"/>
      <w:bookmarkStart w:id="89" w:name="_Toc247691521"/>
      <w:bookmarkStart w:id="90" w:name="_Toc314842504"/>
      <w:bookmarkStart w:id="91" w:name="_Toc44577018"/>
      <w:r w:rsidRPr="00254787">
        <w:lastRenderedPageBreak/>
        <w:t>Efficacy</w:t>
      </w:r>
      <w:bookmarkEnd w:id="87"/>
      <w:bookmarkEnd w:id="88"/>
      <w:bookmarkEnd w:id="89"/>
      <w:bookmarkEnd w:id="90"/>
      <w:bookmarkEnd w:id="91"/>
    </w:p>
    <w:p w14:paraId="070B0656" w14:textId="295C7660" w:rsidR="00C80CB2" w:rsidRPr="00BD0297" w:rsidRDefault="00C80CB2" w:rsidP="00510AC1">
      <w:pPr>
        <w:pStyle w:val="Heading4"/>
      </w:pPr>
      <w:bookmarkStart w:id="92" w:name="_Toc184439992"/>
      <w:bookmarkStart w:id="93" w:name="_Toc184440279"/>
      <w:bookmarkStart w:id="94" w:name="_Toc184444657"/>
      <w:bookmarkStart w:id="95" w:name="_Toc196046487"/>
      <w:r w:rsidRPr="00BD0297">
        <w:t>Studies providing efficacy data</w:t>
      </w:r>
      <w:bookmarkStart w:id="96" w:name="_Toc401925254"/>
      <w:r w:rsidRPr="00BD0297">
        <w:t xml:space="preserve">; </w:t>
      </w:r>
      <w:r w:rsidR="00530084" w:rsidRPr="00BD0297">
        <w:t>rheumatoid arthritis</w:t>
      </w:r>
      <w:bookmarkEnd w:id="96"/>
    </w:p>
    <w:p w14:paraId="4CFEBE80" w14:textId="77777777" w:rsidR="00C80CB2" w:rsidRPr="00BD0297" w:rsidRDefault="00C80CB2" w:rsidP="00510AC1">
      <w:pPr>
        <w:pStyle w:val="Heading5"/>
      </w:pPr>
      <w:bookmarkStart w:id="97" w:name="_Ref243301615"/>
      <w:bookmarkStart w:id="98" w:name="_Ref271040927"/>
      <w:bookmarkStart w:id="99" w:name="_Ref271040932"/>
      <w:bookmarkStart w:id="100" w:name="_Toc272414653"/>
      <w:bookmarkStart w:id="101" w:name="_Toc290846275"/>
      <w:bookmarkStart w:id="102" w:name="_Ref376178293"/>
      <w:bookmarkStart w:id="103" w:name="_Toc401925256"/>
      <w:r w:rsidRPr="00BD0297">
        <w:t xml:space="preserve">Study </w:t>
      </w:r>
      <w:bookmarkEnd w:id="97"/>
      <w:bookmarkEnd w:id="98"/>
      <w:bookmarkEnd w:id="99"/>
      <w:bookmarkEnd w:id="100"/>
      <w:bookmarkEnd w:id="101"/>
      <w:r w:rsidRPr="00BD0297">
        <w:t>CT-P13 3.1</w:t>
      </w:r>
      <w:bookmarkEnd w:id="102"/>
      <w:bookmarkEnd w:id="103"/>
    </w:p>
    <w:p w14:paraId="63DF033F" w14:textId="6FC415F9" w:rsidR="00C80CB2" w:rsidRPr="00BD0297" w:rsidRDefault="00C80CB2">
      <w:r w:rsidRPr="00BD0297">
        <w:t>Study CT-P13 3.1 was a randomised, double blind, parallel group, comparative equivalence trial. The primary objective of Study CT-P13 3.1 was to demonstrate that CT</w:t>
      </w:r>
      <w:r w:rsidRPr="00BD0297">
        <w:noBreakHyphen/>
        <w:t>P13 was equivalent in terms of efficacy to Remicade up to 30 weeks of treatment as determined by clinical response according to the American College of Rheumatology (ACR) definition of a 20% improvement (ACR 20)</w:t>
      </w:r>
      <w:r w:rsidR="00530084">
        <w:t>.</w:t>
      </w:r>
      <w:r w:rsidRPr="00BD0297">
        <w:rPr>
          <w:rStyle w:val="FootnoteReference"/>
        </w:rPr>
        <w:footnoteReference w:id="14"/>
      </w:r>
      <w:r w:rsidRPr="00BD0297">
        <w:t xml:space="preserve"> The secondary efficacy objective of the trial was to evaluate the comparative efficacy of CT-P13 and Remicade up to Week 54.</w:t>
      </w:r>
    </w:p>
    <w:p w14:paraId="7D8C846A" w14:textId="77777777" w:rsidR="00C80CB2" w:rsidRPr="00BD0297" w:rsidRDefault="00C80CB2" w:rsidP="00510AC1">
      <w:pPr>
        <w:pStyle w:val="Comment"/>
        <w:ind w:left="1134" w:hanging="1134"/>
      </w:pPr>
      <w:r w:rsidRPr="00C80CB2">
        <w:rPr>
          <w:b/>
        </w:rPr>
        <w:t>Comment:</w:t>
      </w:r>
      <w:r>
        <w:t xml:space="preserve"> </w:t>
      </w:r>
      <w:r w:rsidRPr="00BD0297">
        <w:t>The rationale provided by the sponsor for evaluating this patient group as the pivotal clinical trial population relates to RA being a major treatment indication for infliximab with the largest numbers of potential patients. The choice of this population (that is, patients with active RA that have not responded to MTX) and the inclusion and exclusion criteria reflects those of the pivotal registration trial (ATTRACT) for the originator product Remicade. The other pivotal RA licensing study for infliximab (ASPIRE) also recruited patients with active RA, but was somewhat different in design in that infliximab was given as first line therapy in combination with MTX. A larger treatment effect with infliximab versus control treatment was observed in the ATTRACT trial compared to the ASPIRE trial. Nonetheless, the choice of the patient population examined in Study CT-P13 3.1 was appropriately sensitive to detect a potential treatment difference between CT-P13 and Remicade.</w:t>
      </w:r>
    </w:p>
    <w:p w14:paraId="12C0D25E" w14:textId="77777777" w:rsidR="00C80CB2" w:rsidRPr="00BD0297" w:rsidRDefault="00C80CB2" w:rsidP="00510AC1">
      <w:pPr>
        <w:pStyle w:val="Heading5"/>
      </w:pPr>
      <w:bookmarkStart w:id="104" w:name="_Ref271037188"/>
      <w:bookmarkStart w:id="105" w:name="_Ref271037210"/>
      <w:bookmarkStart w:id="106" w:name="_Toc272414655"/>
      <w:bookmarkStart w:id="107" w:name="_Toc290846277"/>
      <w:bookmarkStart w:id="108" w:name="_Toc401925257"/>
      <w:bookmarkStart w:id="109" w:name="_Toc241374311"/>
      <w:bookmarkStart w:id="110" w:name="_Ref243294291"/>
      <w:r w:rsidRPr="00BD0297">
        <w:t>Other efficacy studies</w:t>
      </w:r>
      <w:bookmarkEnd w:id="104"/>
      <w:bookmarkEnd w:id="105"/>
      <w:bookmarkEnd w:id="106"/>
      <w:bookmarkEnd w:id="107"/>
      <w:bookmarkEnd w:id="108"/>
    </w:p>
    <w:p w14:paraId="0A531D5E" w14:textId="77777777" w:rsidR="00C80CB2" w:rsidRPr="00BD0297" w:rsidRDefault="00C80CB2" w:rsidP="00510AC1">
      <w:pPr>
        <w:pStyle w:val="Heading6"/>
      </w:pPr>
      <w:bookmarkStart w:id="111" w:name="_Toc290846279"/>
      <w:bookmarkStart w:id="112" w:name="_Toc401925258"/>
      <w:bookmarkEnd w:id="109"/>
      <w:bookmarkEnd w:id="110"/>
      <w:r w:rsidRPr="00BD0297">
        <w:t xml:space="preserve">Study </w:t>
      </w:r>
      <w:bookmarkEnd w:id="111"/>
      <w:r w:rsidRPr="00BD0297">
        <w:t>CT-P13 1.2</w:t>
      </w:r>
      <w:bookmarkEnd w:id="112"/>
    </w:p>
    <w:p w14:paraId="319A61FC" w14:textId="35ECBCBE" w:rsidR="00C80CB2" w:rsidRPr="00BD0297" w:rsidRDefault="00C80CB2">
      <w:r w:rsidRPr="00BD0297">
        <w:t xml:space="preserve">Study CT-P13 1.2 was a supporting trial in this submission. It was a pilot Phase I </w:t>
      </w:r>
      <w:r w:rsidR="00E034A2" w:rsidRPr="00BD0297">
        <w:t>study that</w:t>
      </w:r>
      <w:r w:rsidRPr="00BD0297">
        <w:t xml:space="preserve"> investigated the pharmacology and clinical effects (preliminary efficacy and safety) of CT-P13 compared to Remicade in the treatment of active RA in 19 adult patients in the Philippines.</w:t>
      </w:r>
    </w:p>
    <w:p w14:paraId="0AADDB4A" w14:textId="53EBF8BF" w:rsidR="00C80CB2" w:rsidRPr="00BD0297" w:rsidRDefault="00C80CB2" w:rsidP="00510AC1">
      <w:pPr>
        <w:pStyle w:val="Heading5"/>
      </w:pPr>
      <w:bookmarkStart w:id="113" w:name="_Ref271126605"/>
      <w:bookmarkStart w:id="114" w:name="_Toc272414657"/>
      <w:bookmarkStart w:id="115" w:name="_Toc290846282"/>
      <w:bookmarkStart w:id="116" w:name="_Toc401925260"/>
      <w:r w:rsidRPr="00BD0297">
        <w:t xml:space="preserve">Evaluator’s conclusions on clinical efficacy for </w:t>
      </w:r>
      <w:bookmarkEnd w:id="113"/>
      <w:bookmarkEnd w:id="114"/>
      <w:bookmarkEnd w:id="115"/>
      <w:r w:rsidR="00530084">
        <w:t>r</w:t>
      </w:r>
      <w:r w:rsidRPr="00BD0297">
        <w:t>heumatoid</w:t>
      </w:r>
      <w:r w:rsidR="00530084">
        <w:t xml:space="preserve"> a</w:t>
      </w:r>
      <w:r w:rsidRPr="00BD0297">
        <w:t>rthritis</w:t>
      </w:r>
      <w:bookmarkEnd w:id="116"/>
    </w:p>
    <w:p w14:paraId="4AC25816" w14:textId="1EB2A35C" w:rsidR="00C80CB2" w:rsidRPr="00BD0297" w:rsidRDefault="00C80CB2">
      <w:r w:rsidRPr="00BD0297">
        <w:t xml:space="preserve">The pivotal Phase III study in RA patients (Study CT-P13 3.1) was a well-designed trial that recruited an appropriate patient cohort (similar to the pivotal registration trial </w:t>
      </w:r>
      <w:r w:rsidR="00530084">
        <w:t xml:space="preserve">(the </w:t>
      </w:r>
      <w:r w:rsidRPr="00BD0297">
        <w:t>ATTRACT</w:t>
      </w:r>
      <w:r w:rsidR="00530084">
        <w:t xml:space="preserve"> trial)</w:t>
      </w:r>
      <w:r w:rsidRPr="00BD0297">
        <w:t>, of the originator product), had an appropriate primary endpoint (ACR20 response rate at Week 30, that was agreed to by the EMA and the TGA in pre-submission discussions), was appropriately powered for the stated equivalence margin and applied an appropriate statistical analysis (both intent-to-treat (ITT) and per protocol (PP) analyses). Although the pre-defined equivalence margin of ± 15% is at the upper limit of acceptability, the sponsor justified it. Furthermore, the equivalence margin was discussed prior to submission with the TGA and EMEA.</w:t>
      </w:r>
    </w:p>
    <w:p w14:paraId="1CBA124B" w14:textId="4631D072" w:rsidR="00C80CB2" w:rsidRDefault="00C80CB2">
      <w:r w:rsidRPr="00BD0297">
        <w:t xml:space="preserve">In the pivotal efficacy study (Study CT-P13 3.1), CT-P13 and Remicade demonstrated similar outcomes for the primary endpoint of the rate of ACR20 response at 30 weeks. This outcome was shown in both the ITT as well as in the PP population. The 95% CI for the treatment difference was within the predefined equivalence margin of - 15% to + 15%, </w:t>
      </w:r>
      <w:r w:rsidRPr="00BD0297">
        <w:lastRenderedPageBreak/>
        <w:t xml:space="preserve">thereby supporting the therapeutic equivalence of CT-P13 to the reference product, </w:t>
      </w:r>
      <w:r w:rsidRPr="00C80CB2">
        <w:t xml:space="preserve">Remicade (see </w:t>
      </w:r>
      <w:r w:rsidR="009F2F8C">
        <w:t xml:space="preserve">Table </w:t>
      </w:r>
      <w:r w:rsidR="007F306E">
        <w:t>5</w:t>
      </w:r>
      <w:r w:rsidRPr="00C80CB2">
        <w:t>).</w:t>
      </w:r>
    </w:p>
    <w:p w14:paraId="295C99F8" w14:textId="00167EF5" w:rsidR="00C80CB2" w:rsidRPr="00C80CB2" w:rsidRDefault="00C80CB2" w:rsidP="00510AC1">
      <w:pPr>
        <w:pStyle w:val="TableTitle"/>
      </w:pPr>
      <w:bookmarkStart w:id="117" w:name="_Ref376247397"/>
      <w:bookmarkStart w:id="118" w:name="_Toc401925351"/>
      <w:r w:rsidRPr="00C80CB2">
        <w:t xml:space="preserve">Table </w:t>
      </w:r>
      <w:bookmarkEnd w:id="117"/>
      <w:r w:rsidR="007F306E">
        <w:t>5</w:t>
      </w:r>
      <w:r w:rsidR="00EF0890">
        <w:t>:</w:t>
      </w:r>
      <w:r w:rsidRPr="00C80CB2">
        <w:t xml:space="preserve"> Proportion of patients achieving clinical response according to the ACR20 criteria at Week 30 (Exact Binomial Method): All-randomised and PP populations. Study CT-P13 3.1</w:t>
      </w:r>
      <w:bookmarkEnd w:id="118"/>
    </w:p>
    <w:p w14:paraId="608B86F3" w14:textId="77777777" w:rsidR="00C80CB2" w:rsidRPr="00C80CB2" w:rsidRDefault="00C80CB2">
      <w:r>
        <w:rPr>
          <w:noProof/>
          <w:lang w:eastAsia="en-AU"/>
        </w:rPr>
        <w:drawing>
          <wp:inline distT="0" distB="0" distL="0" distR="0" wp14:anchorId="30A99323" wp14:editId="747E6867">
            <wp:extent cx="5400040" cy="2139247"/>
            <wp:effectExtent l="0" t="0" r="0" b="0"/>
            <wp:docPr id="2" name="Picture 2" descr="Proportion of patients achieving clinical response according to the ACR20 criteria at Week 30 (Exact Binomial Method): All-randomised and PP populations. Study CT-P13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00040" cy="2139247"/>
                    </a:xfrm>
                    <a:prstGeom prst="rect">
                      <a:avLst/>
                    </a:prstGeom>
                  </pic:spPr>
                </pic:pic>
              </a:graphicData>
            </a:graphic>
          </wp:inline>
        </w:drawing>
      </w:r>
    </w:p>
    <w:p w14:paraId="63C4F988" w14:textId="7A1132CD" w:rsidR="00C80CB2" w:rsidRPr="00BD0297" w:rsidRDefault="00C80CB2">
      <w:r w:rsidRPr="00BD0297">
        <w:t>Similar efficacy could also be shown for all secondary efficacy endpoints including the individual components of the ACR response, rate of ACR50 and ACR70 response at Weeks 14, 30 and 54, quality of life (QOL) measurements based on the SF-36 questionnaire</w:t>
      </w:r>
      <w:bookmarkStart w:id="119" w:name="_Ref445203188"/>
      <w:r w:rsidR="00530084">
        <w:t>;</w:t>
      </w:r>
      <w:r w:rsidRPr="00BD0297">
        <w:rPr>
          <w:rStyle w:val="FootnoteReference"/>
        </w:rPr>
        <w:footnoteReference w:id="15"/>
      </w:r>
      <w:bookmarkEnd w:id="119"/>
      <w:r w:rsidRPr="00BD0297">
        <w:t xml:space="preserve"> as well as the DAS28</w:t>
      </w:r>
      <w:bookmarkStart w:id="120" w:name="_Ref445203235"/>
      <w:r w:rsidR="00530084">
        <w:t>;</w:t>
      </w:r>
      <w:r w:rsidRPr="00BD0297">
        <w:rPr>
          <w:rStyle w:val="FootnoteReference"/>
        </w:rPr>
        <w:footnoteReference w:id="16"/>
      </w:r>
      <w:bookmarkEnd w:id="120"/>
      <w:r w:rsidRPr="00BD0297">
        <w:t xml:space="preserve"> and EULAR</w:t>
      </w:r>
      <w:bookmarkStart w:id="121" w:name="_Ref445203329"/>
      <w:r w:rsidR="00530084">
        <w:t>;</w:t>
      </w:r>
      <w:r w:rsidRPr="00BD0297">
        <w:rPr>
          <w:rStyle w:val="FootnoteReference"/>
        </w:rPr>
        <w:footnoteReference w:id="17"/>
      </w:r>
      <w:bookmarkEnd w:id="121"/>
      <w:r w:rsidRPr="00BD0297">
        <w:t xml:space="preserve"> response criteria. The median time to the onset of ACR20 response was statistically shorter in CT-P13 group (99 days versus 100 days), but the difference was not clinically meaningful. In addition, the multiplicity of outcome measures that were analysed may have affected this observation.</w:t>
      </w:r>
    </w:p>
    <w:p w14:paraId="16A5CDC5" w14:textId="77777777" w:rsidR="00C80CB2" w:rsidRPr="00BD0297" w:rsidRDefault="00C80CB2">
      <w:r w:rsidRPr="00BD0297">
        <w:t>The comparison of the primary endpoint result (that is, ACR20 response rate at Week 30) of Study CT-P13 3.1 with the ATTRACT Study shows a slightly higher proportion of patients in the CT-P13 (60.9%) and Remicade group (58.6%) achieving clinical response in Study CT-P13 3.1. However, when comparing the results of Study CT-P13 3.1 with the results of other prospective trials, the rates of ACR20 response are within the range reported in published trials involving anti TNF medicines.</w:t>
      </w:r>
    </w:p>
    <w:p w14:paraId="71D3BF9A" w14:textId="77777777" w:rsidR="00C80CB2" w:rsidRPr="00BD0297" w:rsidRDefault="00C80CB2">
      <w:r w:rsidRPr="00BD0297">
        <w:t>Supportive efficacy data from the pilot study (CT-P13 1.2) did not identify any clear differences in the outcomes of patients treated with CT-P13 compared to Remicade, but the overall number of subjects in this study was too small for any definitive conclusions to be drawn.</w:t>
      </w:r>
    </w:p>
    <w:p w14:paraId="636A6A42" w14:textId="77777777" w:rsidR="00C80CB2" w:rsidRPr="00BD0297" w:rsidRDefault="00C80CB2">
      <w:r w:rsidRPr="00BD0297">
        <w:t>Overall, the efficacy data provided by the sponsor is sufficient to establish therapeutic equivalence between CT-P13 and Remicade for the indication of adult patients with active RA.</w:t>
      </w:r>
    </w:p>
    <w:p w14:paraId="047B54CD" w14:textId="4B6A4CC5" w:rsidR="00C80CB2" w:rsidRPr="00BD0297" w:rsidRDefault="00C80CB2" w:rsidP="00510AC1">
      <w:pPr>
        <w:pStyle w:val="Heading4"/>
      </w:pPr>
      <w:r w:rsidRPr="00BD0297">
        <w:lastRenderedPageBreak/>
        <w:t xml:space="preserve">Studies providing efficacy data; </w:t>
      </w:r>
      <w:r w:rsidR="00530084">
        <w:t>a</w:t>
      </w:r>
      <w:r w:rsidRPr="00BD0297">
        <w:t xml:space="preserve">nkylosing </w:t>
      </w:r>
      <w:r w:rsidR="00530084">
        <w:t>s</w:t>
      </w:r>
      <w:r w:rsidRPr="00BD0297">
        <w:t>pondylitis</w:t>
      </w:r>
    </w:p>
    <w:p w14:paraId="0A70E264" w14:textId="77777777" w:rsidR="00C80CB2" w:rsidRPr="00BD0297" w:rsidRDefault="00C80CB2" w:rsidP="00510AC1">
      <w:pPr>
        <w:pStyle w:val="Heading5"/>
      </w:pPr>
      <w:bookmarkStart w:id="122" w:name="_Toc401925262"/>
      <w:r w:rsidRPr="00BD0297">
        <w:t>Study CT-P13 1.1</w:t>
      </w:r>
      <w:bookmarkEnd w:id="122"/>
    </w:p>
    <w:p w14:paraId="27A9C65C" w14:textId="4810049F" w:rsidR="00C80CB2" w:rsidRPr="00BD0297" w:rsidRDefault="00C80CB2">
      <w:r w:rsidRPr="00BD0297">
        <w:t>Study CT-P13 1.1 was a randomi</w:t>
      </w:r>
      <w:r w:rsidR="00530084">
        <w:t>s</w:t>
      </w:r>
      <w:r w:rsidRPr="00BD0297">
        <w:t>ed, double blind, parallel group Phase I study primarily designed to assess the PK equivalence and safety of multiple doses of CT-P13 (5 mg/kg) with the reference product, Remicade (5 mg/kg) administered by a 2 hour IV infusion per dose in patients with active AS. Efficacy endpoints were a secondary objective of the trial.</w:t>
      </w:r>
    </w:p>
    <w:p w14:paraId="372B7B75" w14:textId="77777777" w:rsidR="00C80CB2" w:rsidRPr="00BD0297" w:rsidRDefault="00C80CB2">
      <w:r w:rsidRPr="00BD0297">
        <w:t>Study CT-P13 1.1 did not observe any treatment related differences in efficacy for CT-P13 compared with Remicade. However, this study was powered for demonstration of PK bioequivalence and not as a non-inferiority efficacy trial. Nonetheless, Study CT-P13 1.1 provides supportive evidence to the assertion of therapeutic equivalence of CT-P13 to Remicade in adult patients with active AS.</w:t>
      </w:r>
    </w:p>
    <w:p w14:paraId="1A2C0EA6" w14:textId="77777777" w:rsidR="00C80CB2" w:rsidRPr="00BD0297" w:rsidRDefault="00C80CB2" w:rsidP="00510AC1">
      <w:pPr>
        <w:pStyle w:val="Heading4"/>
      </w:pPr>
      <w:bookmarkStart w:id="123" w:name="_Toc401925263"/>
      <w:bookmarkStart w:id="124" w:name="_Toc455678971"/>
      <w:r w:rsidRPr="00BD0297">
        <w:t>Justification for extension of approval to all approved Remicade indications</w:t>
      </w:r>
      <w:bookmarkEnd w:id="123"/>
      <w:bookmarkEnd w:id="124"/>
    </w:p>
    <w:p w14:paraId="273AB34C" w14:textId="3F18F9E0" w:rsidR="00C80CB2" w:rsidRPr="00BD0297" w:rsidRDefault="00C80CB2">
      <w:r w:rsidRPr="00BD0297">
        <w:t>The Guideline on similar biological medicinal products containing monoclonal antibodies</w:t>
      </w:r>
      <w:r w:rsidR="00530084">
        <w:t>;</w:t>
      </w:r>
      <w:r w:rsidRPr="00BD0297">
        <w:rPr>
          <w:vertAlign w:val="superscript"/>
        </w:rPr>
        <w:fldChar w:fldCharType="begin"/>
      </w:r>
      <w:r w:rsidRPr="00BD0297">
        <w:rPr>
          <w:vertAlign w:val="superscript"/>
        </w:rPr>
        <w:instrText xml:space="preserve"> NOTEREF _Ref442874734 \h  \* MERGEFORMAT </w:instrText>
      </w:r>
      <w:r w:rsidRPr="00BD0297">
        <w:rPr>
          <w:vertAlign w:val="superscript"/>
        </w:rPr>
      </w:r>
      <w:r w:rsidRPr="00BD0297">
        <w:rPr>
          <w:vertAlign w:val="superscript"/>
        </w:rPr>
        <w:fldChar w:fldCharType="separate"/>
      </w:r>
      <w:r w:rsidR="00B461DE">
        <w:rPr>
          <w:vertAlign w:val="superscript"/>
        </w:rPr>
        <w:t>11</w:t>
      </w:r>
      <w:r w:rsidRPr="00BD0297">
        <w:rPr>
          <w:vertAlign w:val="superscript"/>
        </w:rPr>
        <w:fldChar w:fldCharType="end"/>
      </w:r>
      <w:r w:rsidRPr="00BD0297">
        <w:t xml:space="preserve"> notes that ‘</w:t>
      </w:r>
      <w:r w:rsidRPr="00BD0297">
        <w:rPr>
          <w:i/>
        </w:rPr>
        <w:t>extrapolation of clinical efficacy and safety data to other indications of the reference monoclonal antibody (</w:t>
      </w:r>
      <w:proofErr w:type="spellStart"/>
      <w:r w:rsidRPr="00BD0297">
        <w:rPr>
          <w:i/>
        </w:rPr>
        <w:t>mAb</w:t>
      </w:r>
      <w:proofErr w:type="spellEnd"/>
      <w:r w:rsidRPr="00BD0297">
        <w:rPr>
          <w:i/>
        </w:rPr>
        <w:t xml:space="preserve">), not specifically studied during the clinical development of the biosimilar </w:t>
      </w:r>
      <w:proofErr w:type="spellStart"/>
      <w:r w:rsidRPr="00BD0297">
        <w:rPr>
          <w:i/>
        </w:rPr>
        <w:t>mAb</w:t>
      </w:r>
      <w:proofErr w:type="spellEnd"/>
      <w:r w:rsidRPr="00BD0297">
        <w:rPr>
          <w:i/>
        </w:rPr>
        <w:t xml:space="preserve">, is possible based on the overall evidence of </w:t>
      </w:r>
      <w:proofErr w:type="spellStart"/>
      <w:r w:rsidRPr="00BD0297">
        <w:rPr>
          <w:i/>
        </w:rPr>
        <w:t>biosimilarity</w:t>
      </w:r>
      <w:proofErr w:type="spellEnd"/>
      <w:r w:rsidRPr="00BD0297">
        <w:rPr>
          <w:i/>
        </w:rPr>
        <w:t xml:space="preserve"> provided from the comparability exercise and with adequate justification. Applicants should support such extrapolations with a comprehensive discussion of available literature on the involved antigen receptor(s), and mechanism(s) of action</w:t>
      </w:r>
      <w:r w:rsidRPr="00BD0297">
        <w:t>.’</w:t>
      </w:r>
    </w:p>
    <w:p w14:paraId="3B630B05" w14:textId="77777777" w:rsidR="008E7846" w:rsidRDefault="00605AD4" w:rsidP="00510AC1">
      <w:pPr>
        <w:pStyle w:val="Heading4"/>
      </w:pPr>
      <w:r>
        <w:t>Evaluator’s conclusions on efficacy</w:t>
      </w:r>
    </w:p>
    <w:p w14:paraId="61AA9642" w14:textId="77777777" w:rsidR="00C80CB2" w:rsidRPr="00BD0297" w:rsidRDefault="00C80CB2">
      <w:r w:rsidRPr="00BD0297">
        <w:t>The sponsor has provided substantial evidence from nonclinical studies (not assessed as part of this report) that show similarity in structure for CT-P13 compared to Remicade, as well as the comparable binding of CT-P13 and Remicade to soluble and transmembrane TNF.</w:t>
      </w:r>
    </w:p>
    <w:p w14:paraId="68533AD7" w14:textId="77777777" w:rsidR="00C80CB2" w:rsidRPr="00BD0297" w:rsidRDefault="00C80CB2">
      <w:r w:rsidRPr="00BD0297">
        <w:t>The efficacy data provide in patients with AS (Study CT-P13 1.1) provides supportive evidence to suggest similar responses for CT-P13 and Remicade, but the trial was not designed as a powered non-inferiority study. Nonetheless, the sponsor’s submission provides a compelling argument, based on the nonclinical findings of CT-P13 structure and function, in conjunction with bioequivalence data from PK studies and a single Phase III efficacy study in RA (Study CT-P13 3.1) that CT-P13 and Remicade are therapeutically equivalent. Extrapolation of the PK and efficacy data generated in the 3 trials in this submission which examined adult patients with RA and AS to other approved indications for Remicade such as active CD is justifiable on the basis of the results of the extensive pre-clinical studies (that is, in vitro and ex vivo comparability data on the functionalities of the infliximab molecule) supported by the evidence that AS and CD share similar and overlapping pathophysiological immunological mechanisms and clinical features.</w:t>
      </w:r>
    </w:p>
    <w:p w14:paraId="5C053447" w14:textId="208F2C4B" w:rsidR="00C80CB2" w:rsidRPr="00C80CB2" w:rsidRDefault="00C80CB2">
      <w:r w:rsidRPr="00BD0297">
        <w:t>The extent and type of data submitted to justify approval of CT-P13 is in keeping with the guideline on similar biological medicinal products containing monoclonal antibodies.</w:t>
      </w:r>
      <w:r w:rsidRPr="00BD0297">
        <w:rPr>
          <w:vertAlign w:val="superscript"/>
        </w:rPr>
        <w:fldChar w:fldCharType="begin"/>
      </w:r>
      <w:r w:rsidRPr="00BD0297">
        <w:rPr>
          <w:vertAlign w:val="superscript"/>
        </w:rPr>
        <w:instrText xml:space="preserve"> NOTEREF _Ref442874734 \h  \* MERGEFORMAT </w:instrText>
      </w:r>
      <w:r w:rsidRPr="00BD0297">
        <w:rPr>
          <w:vertAlign w:val="superscript"/>
        </w:rPr>
      </w:r>
      <w:r w:rsidRPr="00BD0297">
        <w:rPr>
          <w:vertAlign w:val="superscript"/>
        </w:rPr>
        <w:fldChar w:fldCharType="separate"/>
      </w:r>
      <w:r w:rsidR="00B461DE">
        <w:rPr>
          <w:vertAlign w:val="superscript"/>
        </w:rPr>
        <w:t>11</w:t>
      </w:r>
      <w:r w:rsidRPr="00BD0297">
        <w:rPr>
          <w:vertAlign w:val="superscript"/>
        </w:rPr>
        <w:fldChar w:fldCharType="end"/>
      </w:r>
      <w:r w:rsidRPr="00BD0297">
        <w:t xml:space="preserve"> Therefore, the evaluator concurs with the sponsor that there is sufficient evidence to approve CT-P13 for all indications that Remicade is currently approved for in Australia. This recommendation is consistent with the recent decision of the EMA (and a number of other jurisdictions worldwide).</w:t>
      </w:r>
    </w:p>
    <w:p w14:paraId="4EB37064" w14:textId="77777777" w:rsidR="008E7846" w:rsidRPr="002E238E" w:rsidRDefault="008E7846" w:rsidP="00510AC1">
      <w:pPr>
        <w:pStyle w:val="Heading3"/>
      </w:pPr>
      <w:bookmarkStart w:id="125" w:name="_Toc163441378"/>
      <w:bookmarkStart w:id="126" w:name="_Toc196046495"/>
      <w:bookmarkStart w:id="127" w:name="_Toc247691522"/>
      <w:bookmarkStart w:id="128" w:name="_Toc314842505"/>
      <w:bookmarkStart w:id="129" w:name="_Toc44577019"/>
      <w:bookmarkEnd w:id="92"/>
      <w:bookmarkEnd w:id="93"/>
      <w:bookmarkEnd w:id="94"/>
      <w:bookmarkEnd w:id="95"/>
      <w:r w:rsidRPr="002E238E">
        <w:lastRenderedPageBreak/>
        <w:t>Safety</w:t>
      </w:r>
      <w:bookmarkEnd w:id="125"/>
      <w:bookmarkEnd w:id="126"/>
      <w:bookmarkEnd w:id="127"/>
      <w:bookmarkEnd w:id="128"/>
      <w:bookmarkEnd w:id="129"/>
    </w:p>
    <w:p w14:paraId="54EB9C0C" w14:textId="77777777" w:rsidR="00605AD4" w:rsidRDefault="00605AD4" w:rsidP="00510AC1">
      <w:pPr>
        <w:pStyle w:val="Heading4"/>
      </w:pPr>
      <w:bookmarkStart w:id="130" w:name="_Toc247691524"/>
      <w:bookmarkStart w:id="131" w:name="_Toc314842508"/>
      <w:bookmarkStart w:id="132" w:name="_Toc196046504"/>
      <w:bookmarkStart w:id="133" w:name="_Toc163441390"/>
      <w:r w:rsidRPr="00605AD4">
        <w:t>Studies providing safety data</w:t>
      </w:r>
    </w:p>
    <w:p w14:paraId="6DCE4B87" w14:textId="3035C9AB" w:rsidR="00C80CB2" w:rsidRPr="00C80CB2" w:rsidRDefault="00C80CB2">
      <w:bookmarkStart w:id="134" w:name="_Ref268776745"/>
      <w:r w:rsidRPr="00C80CB2">
        <w:t>All 3 studies included in this submission provided safety data. In all 3 clinical trials, the safety population consisted of all patients who received at least 1 (full or partial) dose of either of the study treatments during any dosing period. In total, the safety population includes 439 patients who received at least 1 (full or partial) infusion of CT-P13. This is considered a sufficient number of patients obtaining several cycles of therapy in line with the EMA guideline.</w:t>
      </w:r>
      <w:r w:rsidRPr="00C80CB2">
        <w:rPr>
          <w:vertAlign w:val="superscript"/>
        </w:rPr>
        <w:fldChar w:fldCharType="begin"/>
      </w:r>
      <w:r w:rsidRPr="00C80CB2">
        <w:rPr>
          <w:vertAlign w:val="superscript"/>
        </w:rPr>
        <w:instrText xml:space="preserve"> NOTEREF _Ref442876395 \h  \* MERGEFORMAT </w:instrText>
      </w:r>
      <w:r w:rsidRPr="00C80CB2">
        <w:rPr>
          <w:vertAlign w:val="superscript"/>
        </w:rPr>
      </w:r>
      <w:r w:rsidRPr="00C80CB2">
        <w:rPr>
          <w:vertAlign w:val="superscript"/>
        </w:rPr>
        <w:fldChar w:fldCharType="separate"/>
      </w:r>
      <w:r w:rsidR="00B461DE">
        <w:rPr>
          <w:vertAlign w:val="superscript"/>
        </w:rPr>
        <w:t>12</w:t>
      </w:r>
      <w:r w:rsidRPr="00C80CB2">
        <w:rPr>
          <w:vertAlign w:val="superscript"/>
        </w:rPr>
        <w:fldChar w:fldCharType="end"/>
      </w:r>
      <w:r w:rsidRPr="00C80CB2">
        <w:t xml:space="preserve"> </w:t>
      </w:r>
      <w:bookmarkEnd w:id="134"/>
    </w:p>
    <w:p w14:paraId="1E346BB6" w14:textId="77777777" w:rsidR="00605AD4" w:rsidRPr="00605AD4" w:rsidRDefault="00605AD4" w:rsidP="00510AC1">
      <w:pPr>
        <w:pStyle w:val="Heading4"/>
      </w:pPr>
      <w:r w:rsidRPr="00605AD4">
        <w:t>Evaluator’s conclusions on safety</w:t>
      </w:r>
    </w:p>
    <w:p w14:paraId="5C14EDB9" w14:textId="4EDD0795" w:rsidR="00C80CB2" w:rsidRPr="008E4355" w:rsidRDefault="00C80CB2">
      <w:r w:rsidRPr="008E4355">
        <w:t>The safety profile of TNF inhibitors, including infliximab, is well characterised in the published literature</w:t>
      </w:r>
      <w:r w:rsidR="00EF0890" w:rsidRPr="00530084">
        <w:t>.</w:t>
      </w:r>
      <w:r w:rsidRPr="00530084">
        <w:rPr>
          <w:rStyle w:val="FootnoteReference"/>
        </w:rPr>
        <w:footnoteReference w:id="18"/>
      </w:r>
      <w:r w:rsidRPr="00053448">
        <w:rPr>
          <w:vertAlign w:val="superscript"/>
        </w:rPr>
        <w:t>,</w:t>
      </w:r>
      <w:r w:rsidRPr="00530084">
        <w:rPr>
          <w:rStyle w:val="FootnoteReference"/>
        </w:rPr>
        <w:footnoteReference w:id="19"/>
      </w:r>
      <w:r w:rsidRPr="00530084">
        <w:rPr>
          <w:rStyle w:val="FootnoteReference"/>
        </w:rPr>
        <w:footnoteReference w:id="20"/>
      </w:r>
      <w:r w:rsidRPr="00053448">
        <w:rPr>
          <w:vertAlign w:val="superscript"/>
        </w:rPr>
        <w:t>,</w:t>
      </w:r>
      <w:r w:rsidRPr="00530084">
        <w:rPr>
          <w:rStyle w:val="FootnoteReference"/>
        </w:rPr>
        <w:footnoteReference w:id="21"/>
      </w:r>
      <w:r w:rsidRPr="00053448">
        <w:rPr>
          <w:vertAlign w:val="superscript"/>
        </w:rPr>
        <w:t>,</w:t>
      </w:r>
      <w:r w:rsidRPr="00530084">
        <w:rPr>
          <w:rStyle w:val="FootnoteReference"/>
        </w:rPr>
        <w:footnoteReference w:id="22"/>
      </w:r>
      <w:r w:rsidRPr="00053448">
        <w:rPr>
          <w:vertAlign w:val="superscript"/>
        </w:rPr>
        <w:t>,</w:t>
      </w:r>
      <w:r w:rsidRPr="00530084">
        <w:rPr>
          <w:rStyle w:val="FootnoteReference"/>
        </w:rPr>
        <w:footnoteReference w:id="23"/>
      </w:r>
      <w:r w:rsidRPr="00053448">
        <w:rPr>
          <w:vertAlign w:val="superscript"/>
        </w:rPr>
        <w:t>,</w:t>
      </w:r>
      <w:r w:rsidRPr="00530084">
        <w:rPr>
          <w:rStyle w:val="FootnoteReference"/>
        </w:rPr>
        <w:footnoteReference w:id="24"/>
      </w:r>
    </w:p>
    <w:p w14:paraId="29F0AC6C" w14:textId="322972EA" w:rsidR="00C80CB2" w:rsidRPr="008E4355" w:rsidRDefault="00C80CB2">
      <w:r w:rsidRPr="008E4355">
        <w:t>In this submission for the registration of CT-P13, the safety population consisted of 871 patients who were treated with at least 1 dose (full or partial) CT-P13 or Remicade during any dosing period. Of these patients, 621 were adult subjects with active RA (311 of whom received treatment with CT-P13, and 310 were given Remicade). In addition, 250 adult patients with active AS were evaluated in Study CT-P13 1.1 (128 treated with CT-P13, and 122 received Remicade). Overall, 242 patients with RA and 106 patients with AS have been exposed to CT-P13 for 54 weeks. The size of the safety population, and the duration of exposure to CT-P13 are acceptable, and are in keeping with EMA guidelines</w:t>
      </w:r>
      <w:r w:rsidR="001956F4">
        <w:t>;</w:t>
      </w:r>
      <w:r w:rsidRPr="008E4355">
        <w:rPr>
          <w:vertAlign w:val="superscript"/>
        </w:rPr>
        <w:fldChar w:fldCharType="begin"/>
      </w:r>
      <w:r w:rsidRPr="008E4355">
        <w:rPr>
          <w:vertAlign w:val="superscript"/>
        </w:rPr>
        <w:instrText xml:space="preserve"> NOTEREF _Ref442876395 \h  \* MERGEFORMAT </w:instrText>
      </w:r>
      <w:r w:rsidRPr="008E4355">
        <w:rPr>
          <w:vertAlign w:val="superscript"/>
        </w:rPr>
      </w:r>
      <w:r w:rsidRPr="008E4355">
        <w:rPr>
          <w:vertAlign w:val="superscript"/>
        </w:rPr>
        <w:fldChar w:fldCharType="separate"/>
      </w:r>
      <w:r w:rsidR="00B461DE">
        <w:rPr>
          <w:vertAlign w:val="superscript"/>
        </w:rPr>
        <w:t>12</w:t>
      </w:r>
      <w:r w:rsidRPr="008E4355">
        <w:rPr>
          <w:vertAlign w:val="superscript"/>
        </w:rPr>
        <w:fldChar w:fldCharType="end"/>
      </w:r>
      <w:r w:rsidRPr="008E4355">
        <w:t xml:space="preserve"> for presenting a safety population of sufficient size and follow-up duration to assess for possible registration.</w:t>
      </w:r>
    </w:p>
    <w:p w14:paraId="11137963" w14:textId="1C6E56FD" w:rsidR="00C80CB2" w:rsidRPr="008E4355" w:rsidRDefault="00C80CB2">
      <w:r w:rsidRPr="008E4355">
        <w:t xml:space="preserve">The most frequently reported drug related treatment emergent </w:t>
      </w:r>
      <w:r w:rsidR="001956F4">
        <w:t>adverse events</w:t>
      </w:r>
      <w:r w:rsidRPr="008E4355">
        <w:t xml:space="preserve"> (TEAEs) (experienced by ≥ 3% of patients) were mainly in the SOCs of infection and abnormal investigations (for example raised liver enzymes, haematological abnormalities). The frequency and severity of drug related TEAEs in all 3 studies was generally comparable between CT-P13 and Remicade. The same pattern of most commonly reported TEAEs was observed in both the RA and AS patient populations.</w:t>
      </w:r>
    </w:p>
    <w:p w14:paraId="33248FC0" w14:textId="5C5BB030" w:rsidR="00C80CB2" w:rsidRPr="008E4355" w:rsidRDefault="00C80CB2">
      <w:r w:rsidRPr="008E4355">
        <w:t xml:space="preserve">Given the mechanism of action of infliximab, infection is an </w:t>
      </w:r>
      <w:r w:rsidR="001956F4">
        <w:t>adverse event</w:t>
      </w:r>
      <w:r w:rsidRPr="008E4355">
        <w:t xml:space="preserve"> of special interest. The overall number of TEAEs due to infections was comparable between the treatment groups receiving either formulation of infliximab. However</w:t>
      </w:r>
      <w:r w:rsidR="00B421CC">
        <w:t>,</w:t>
      </w:r>
      <w:r w:rsidRPr="008E4355">
        <w:t xml:space="preserve"> when the safety results (up to Week 54) of the 3 studies are combined there is a higher number of serious infections in the CT</w:t>
      </w:r>
      <w:r w:rsidRPr="008E4355">
        <w:noBreakHyphen/>
        <w:t>P13 treated subjects versus those who received Remicade. In total, 18 serious infections were reported across all studies in 16 patients treated with CT-P13 compared with 12 serious infections in 10 patients treated with Remicade. In particular, these serious infections included 5 cases of pneumonia in patients treated with CT-P13 versus no reports in those receiving Remicade. In addition, a total of 7 cases of active</w:t>
      </w:r>
      <w:r w:rsidR="001956F4">
        <w:t xml:space="preserve"> </w:t>
      </w:r>
      <w:r w:rsidR="001956F4">
        <w:lastRenderedPageBreak/>
        <w:t>tuberculosis (</w:t>
      </w:r>
      <w:r w:rsidRPr="008E4355">
        <w:t>TB</w:t>
      </w:r>
      <w:r w:rsidR="001956F4">
        <w:t>)</w:t>
      </w:r>
      <w:r w:rsidRPr="008E4355">
        <w:t xml:space="preserve"> (including 3 cases of disseminated </w:t>
      </w:r>
      <w:r w:rsidR="001956F4">
        <w:t>TB</w:t>
      </w:r>
      <w:r w:rsidRPr="008E4355">
        <w:t>) occurred in patients treated with CT-P13 (1.6% of 437) compared with 1 case (0.2% of 431) in patients treated with Remicade. Infections including disseminated and extra-pulmonary cases of TB have been previously reported with Remicade. Although the overall numbers of events is low and it is difficult to draw a clear conclusion from this observation, the sponsor should provide further clarification on this issue.</w:t>
      </w:r>
    </w:p>
    <w:p w14:paraId="1CAB88DA" w14:textId="065721CC" w:rsidR="00C80CB2" w:rsidRPr="008E4355" w:rsidRDefault="003C187F">
      <w:r w:rsidRPr="008E4355">
        <w:t>Deaths that occurred in the studies conducted with CT-P13</w:t>
      </w:r>
      <w:r w:rsidR="00C80CB2" w:rsidRPr="008E4355">
        <w:t xml:space="preserve"> were considered by the investigators to be not related to study medication. The observed drug related, treatment emergent SAEs were similar in RA and AS patients for both treatment groups. The most frequent drug related treatment emergent SAEs in RA and AS patients were infusion related reactions and disseminated TB.</w:t>
      </w:r>
    </w:p>
    <w:p w14:paraId="7BADCD56" w14:textId="4AF948FE" w:rsidR="00C80CB2" w:rsidRPr="008E4355" w:rsidRDefault="00C80CB2">
      <w:r w:rsidRPr="008E4355">
        <w:t xml:space="preserve">The frequency of RA and AS patients who were discontinued due to drug related TEAEs was similar in both treatment groups. The most frequent drug related TEAEs leading to permanent study treatment discontinuation were infusion related reactions, latent TB, drug hypersensitivity and increased </w:t>
      </w:r>
      <w:r w:rsidR="001956F4">
        <w:t>alanine transaminase (</w:t>
      </w:r>
      <w:r w:rsidRPr="008E4355">
        <w:t>ALT</w:t>
      </w:r>
      <w:r w:rsidR="001956F4">
        <w:t>)</w:t>
      </w:r>
      <w:r w:rsidRPr="008E4355">
        <w:t>.</w:t>
      </w:r>
    </w:p>
    <w:p w14:paraId="55AB5AA5" w14:textId="6925F5AE" w:rsidR="00C80CB2" w:rsidRPr="008E4355" w:rsidRDefault="00C80CB2">
      <w:r w:rsidRPr="008E4355">
        <w:t xml:space="preserve">Reactions related to infusion of study medication occurred in Study CT-P13 3.1 (both treatment groups), and Study CT-P13 1.1 (Remicade group only). None of the SAEs </w:t>
      </w:r>
      <w:r w:rsidR="003C187F" w:rsidRPr="008E4355">
        <w:t>was</w:t>
      </w:r>
      <w:r w:rsidRPr="008E4355">
        <w:t xml:space="preserve"> indicative of delayed hypersensitivity reactions. Drug related infections occurred at a similar rate in patients receiving CT-P13 and Remicade in all 3 studies. However, in Study</w:t>
      </w:r>
      <w:r w:rsidR="001956F4">
        <w:t> </w:t>
      </w:r>
      <w:r w:rsidRPr="008E4355">
        <w:t>CT-P 3.1 a higher number of subjects treated with CT-P13 (4 out of 302) were reported to have experienced anaphylactic reactions compared to Remicade (1 out of 300) and the significance of this observation remains unclear.</w:t>
      </w:r>
    </w:p>
    <w:p w14:paraId="29C15644" w14:textId="77777777" w:rsidR="00C80CB2" w:rsidRPr="008E4355" w:rsidRDefault="00C80CB2">
      <w:r w:rsidRPr="008E4355">
        <w:t>One case of drug related serious neutropenia and 1 case of serious hepatobiliary events were reported. These cases are consistent with the Australian PI for Remicade and published literature.</w:t>
      </w:r>
    </w:p>
    <w:p w14:paraId="79173EE0" w14:textId="77777777" w:rsidR="00C80CB2" w:rsidRPr="008E4355" w:rsidRDefault="00C80CB2">
      <w:r w:rsidRPr="008E4355">
        <w:t>In both infliximab treatment groups, single cases of malignancies were reported. However, no lymphoproliferative disorders were reported. This is an identified risk for infliximab that is outlined in the RMP and the proposed Australian PI. Other previously identified safety concerns with infliximab such as heart failure, systemic lupus erythematosus or lupus like syndrome, and demyelinating disorders were not reported in any of the studies in the CT-P13 trial program.</w:t>
      </w:r>
    </w:p>
    <w:p w14:paraId="0BD3FEDB" w14:textId="77777777" w:rsidR="00C80CB2" w:rsidRPr="008E4355" w:rsidRDefault="00C80CB2">
      <w:r w:rsidRPr="008E4355">
        <w:t>The current safety dataset for CT-P13 is limited to 54 weeks of treatment follow-up and it would be important to continue collecting data beyond this time frame as part of post-marketing pharmacovigilance if approval was granted. Nonetheless, the safety data for Remicade exceeds 10 years of treatment follow-up and it is likely that CT-P13 will demonstrate a similar safety profile over longer term follow-up based on the similar short term safety experience between the 2 formulations of infliximab. In addition, it is likely that both formulations of infliximab will demonstrate a similar safety profile in all of the patient populations for which Remicade is currently approved.</w:t>
      </w:r>
    </w:p>
    <w:p w14:paraId="5EE4C530" w14:textId="77777777" w:rsidR="00C80CB2" w:rsidRPr="00435921" w:rsidRDefault="00C80CB2">
      <w:r w:rsidRPr="008E4355">
        <w:t>In conclusion, the analysis of AEs reported during treatment with CT-P13 and the reference product Remicade have not revealed any significant differences in the incidence and type of AEs. In addition, no new safety signals have emerged from the submitted dataset to indicate the known risk profile of infliximab has altered.</w:t>
      </w:r>
    </w:p>
    <w:p w14:paraId="096DB408" w14:textId="2B2CDE1D" w:rsidR="00605AD4" w:rsidRPr="00605AD4" w:rsidRDefault="00605AD4" w:rsidP="006B2AB7">
      <w:pPr>
        <w:pStyle w:val="Heading3"/>
        <w:pageBreakBefore/>
      </w:pPr>
      <w:bookmarkStart w:id="135" w:name="_Toc44577020"/>
      <w:r w:rsidRPr="00605AD4">
        <w:lastRenderedPageBreak/>
        <w:t xml:space="preserve">First </w:t>
      </w:r>
      <w:r w:rsidR="006B2AB7" w:rsidRPr="00605AD4">
        <w:t>round benefit-risk assessment</w:t>
      </w:r>
      <w:bookmarkEnd w:id="135"/>
    </w:p>
    <w:p w14:paraId="50A05878" w14:textId="77777777" w:rsidR="00605AD4" w:rsidRDefault="00605AD4" w:rsidP="00510AC1">
      <w:pPr>
        <w:pStyle w:val="Heading4"/>
      </w:pPr>
      <w:r w:rsidRPr="00605AD4">
        <w:t>First round assessment of benefits</w:t>
      </w:r>
    </w:p>
    <w:p w14:paraId="326ECAF6" w14:textId="77777777" w:rsidR="00EF0890" w:rsidRPr="00435921" w:rsidRDefault="00EF0890">
      <w:r w:rsidRPr="00435921">
        <w:t>The benefits of CT-P13 in the proposed usage are:</w:t>
      </w:r>
    </w:p>
    <w:p w14:paraId="5F6D1143" w14:textId="77777777" w:rsidR="00EF0890" w:rsidRPr="00EF0890" w:rsidRDefault="00EF0890" w:rsidP="00510AC1">
      <w:pPr>
        <w:pStyle w:val="ListBullet"/>
      </w:pPr>
      <w:r w:rsidRPr="00EF0890">
        <w:t>Comparable efficacy response rates to Remicade in improving the symptoms and signs, function and QOL of adult patients with active RA</w:t>
      </w:r>
    </w:p>
    <w:p w14:paraId="763C25A2" w14:textId="77777777" w:rsidR="00EF0890" w:rsidRPr="00EF0890" w:rsidRDefault="00EF0890" w:rsidP="00510AC1">
      <w:pPr>
        <w:pStyle w:val="ListBullet"/>
      </w:pPr>
      <w:r w:rsidRPr="00EF0890">
        <w:t>Comparable efficacy response rates to Remicade in improving the symptoms and signs, function and QOL of adult patients with active AS</w:t>
      </w:r>
    </w:p>
    <w:p w14:paraId="7C7CA013" w14:textId="77777777" w:rsidR="00EF0890" w:rsidRPr="00EF0890" w:rsidRDefault="00EF0890" w:rsidP="00510AC1">
      <w:pPr>
        <w:pStyle w:val="ListBullet"/>
      </w:pPr>
      <w:r w:rsidRPr="00EF0890">
        <w:t>Provision of an alternative formulation of infliximab to treat various autoimmune inflammatory conditions such as inflammatory arthritis, CD and psoriasis.</w:t>
      </w:r>
    </w:p>
    <w:p w14:paraId="5415EC37" w14:textId="77777777" w:rsidR="00605AD4" w:rsidRDefault="00605AD4" w:rsidP="00510AC1">
      <w:pPr>
        <w:pStyle w:val="Heading4"/>
      </w:pPr>
      <w:r w:rsidRPr="00605AD4">
        <w:t>First round assessment of risks</w:t>
      </w:r>
    </w:p>
    <w:p w14:paraId="6813E8CC" w14:textId="77777777" w:rsidR="00EF0890" w:rsidRPr="00435921" w:rsidRDefault="00EF0890">
      <w:r w:rsidRPr="00435921">
        <w:t>The risks of CT-P13 in the proposed usage are:</w:t>
      </w:r>
    </w:p>
    <w:p w14:paraId="5ED6CCC0" w14:textId="77777777" w:rsidR="00EF0890" w:rsidRPr="00EF0890" w:rsidRDefault="00EF0890" w:rsidP="00510AC1">
      <w:pPr>
        <w:pStyle w:val="ListBullet"/>
      </w:pPr>
      <w:r w:rsidRPr="00EF0890">
        <w:t>Increased risk of infection (serious, opportunistic and tuberculosis) which is comparable to alternative infliximab therapy Remicade</w:t>
      </w:r>
    </w:p>
    <w:p w14:paraId="7179B824" w14:textId="77777777" w:rsidR="00EF0890" w:rsidRPr="00EF0890" w:rsidRDefault="00EF0890" w:rsidP="00510AC1">
      <w:pPr>
        <w:pStyle w:val="ListBullet"/>
      </w:pPr>
      <w:r w:rsidRPr="00EF0890">
        <w:t>Increased risk of infusion related reactions, which occurred at a similar frequency to those who received Remicade in the clinical trials</w:t>
      </w:r>
    </w:p>
    <w:p w14:paraId="659A2779" w14:textId="77777777" w:rsidR="00EF0890" w:rsidRPr="00EF0890" w:rsidRDefault="00EF0890" w:rsidP="00510AC1">
      <w:pPr>
        <w:pStyle w:val="ListBullet"/>
      </w:pPr>
      <w:r w:rsidRPr="00EF0890">
        <w:t>Safety not established in those with a high risk of infection as these patients were excluded from the trial populations (that is some limitations to external validity)</w:t>
      </w:r>
    </w:p>
    <w:p w14:paraId="65E94A76" w14:textId="77777777" w:rsidR="00EF0890" w:rsidRPr="00EF0890" w:rsidRDefault="00EF0890" w:rsidP="00510AC1">
      <w:pPr>
        <w:pStyle w:val="ListBullet"/>
      </w:pPr>
      <w:r w:rsidRPr="00EF0890">
        <w:t>In general, safety data in patients with inflammatory arthritis limited to &lt; 54 weeks of follow-up.</w:t>
      </w:r>
    </w:p>
    <w:p w14:paraId="41DA7439" w14:textId="77777777" w:rsidR="00605AD4" w:rsidRPr="00605AD4" w:rsidRDefault="00605AD4" w:rsidP="00510AC1">
      <w:pPr>
        <w:pStyle w:val="Heading4"/>
      </w:pPr>
      <w:r w:rsidRPr="00605AD4">
        <w:t>First round assessment of benefit-risk balance</w:t>
      </w:r>
    </w:p>
    <w:p w14:paraId="74A98300" w14:textId="77777777" w:rsidR="00882603" w:rsidRDefault="00882603">
      <w:r w:rsidRPr="00435921">
        <w:t xml:space="preserve">The benefit-risk balance of CT-P13 is favourable for the treatment of active RA and AS in adult patients. However, there is no direct data currently available on the risk-balance of CT-P13 beyond 54 weeks of treatment. This submission contains robust data to support the claim that CT-P13 is clinically equivalent to the reference product, Remicade for treating adult patients with active RA and AS. Both conditions are sensitive clinical models for assessing the efficacy and safety profile of </w:t>
      </w:r>
      <w:r>
        <w:t>infliximab</w:t>
      </w:r>
      <w:r w:rsidRPr="00435921">
        <w:t xml:space="preserve"> therapy. The sponsor has provided a review of the literature on the role of TNFα in the disorders covered by the therapeutic indications of Remicade and the potential mechanisms of action of th</w:t>
      </w:r>
      <w:r>
        <w:t>e various anti TNF medications.</w:t>
      </w:r>
    </w:p>
    <w:p w14:paraId="26137E1A" w14:textId="4701FB32" w:rsidR="00882603" w:rsidRPr="00435921" w:rsidRDefault="00882603">
      <w:r w:rsidRPr="00435921">
        <w:t xml:space="preserve">The mechanism of action of </w:t>
      </w:r>
      <w:r>
        <w:t>infliximab</w:t>
      </w:r>
      <w:r w:rsidRPr="00435921">
        <w:t xml:space="preserve"> is complex but the primary mode of action results from </w:t>
      </w:r>
      <w:r>
        <w:t xml:space="preserve">direct blocking of TNF receptor </w:t>
      </w:r>
      <w:r w:rsidRPr="00435921">
        <w:t xml:space="preserve">mediated biological activities. </w:t>
      </w:r>
      <w:r>
        <w:t>Infliximab</w:t>
      </w:r>
      <w:r w:rsidRPr="00435921">
        <w:t xml:space="preserve"> binds to both soluble and </w:t>
      </w:r>
      <w:proofErr w:type="spellStart"/>
      <w:r>
        <w:t>tm</w:t>
      </w:r>
      <w:r w:rsidRPr="00435921">
        <w:t>TNF</w:t>
      </w:r>
      <w:proofErr w:type="spellEnd"/>
      <w:r w:rsidRPr="00435921">
        <w:t>, thereby blocking its capacity to bind TNF receptors, and hence preventing various pro-inflammatory cellular responses that are recognised to occur in autoimmune conditions ranging from RA to CD and psoriasis. The sponsor has justified the extrapolation of indications for CT-P13 to include t</w:t>
      </w:r>
      <w:r w:rsidR="003C187F">
        <w:t>hose</w:t>
      </w:r>
      <w:r w:rsidRPr="00435921">
        <w:t xml:space="preserve"> approved for Remicade on the basis of </w:t>
      </w:r>
      <w:proofErr w:type="spellStart"/>
      <w:r w:rsidRPr="00435921">
        <w:t>biosimilarity</w:t>
      </w:r>
      <w:proofErr w:type="spellEnd"/>
      <w:r w:rsidRPr="00435921">
        <w:t>. Extrapolation of the PK, efficacy and safety data generated in the 3 trials in this submission which examined adult patients with RA and AS to other approved indications for Remicade such as active CD is justifiable on the basis of the results of the extensive pre-clinical studies (</w:t>
      </w:r>
      <w:r>
        <w:t>that is,</w:t>
      </w:r>
      <w:r w:rsidRPr="00435921">
        <w:t xml:space="preserve"> in vitro and ex vivo comparability data on the functionalities of the </w:t>
      </w:r>
      <w:r>
        <w:t>infliximab</w:t>
      </w:r>
      <w:r w:rsidRPr="00435921">
        <w:t xml:space="preserve"> molecule) supported by the evidence that AS and CD share similar and overlapping pathophysiological immunological mechanisms and clinical features</w:t>
      </w:r>
      <w:r>
        <w:t>.</w:t>
      </w:r>
    </w:p>
    <w:p w14:paraId="54D982E3" w14:textId="5DF655EE" w:rsidR="00605AD4" w:rsidRPr="00605AD4" w:rsidRDefault="00882603" w:rsidP="006B2AB7">
      <w:pPr>
        <w:pageBreakBefore/>
      </w:pPr>
      <w:r w:rsidRPr="00435921">
        <w:lastRenderedPageBreak/>
        <w:t xml:space="preserve">There is an increased risk of infection (serious, opportunistic and TB) with CT-P13 which is comparable to Remicade. The 3 submitted studies also show a risk of infusion related reactions with </w:t>
      </w:r>
      <w:r>
        <w:t>infliximab</w:t>
      </w:r>
      <w:r w:rsidRPr="00435921">
        <w:t xml:space="preserve">. However, there are some limitations to the current </w:t>
      </w:r>
      <w:r w:rsidR="003C187F" w:rsidRPr="00435921">
        <w:t>dataset that</w:t>
      </w:r>
      <w:r w:rsidRPr="00435921">
        <w:t xml:space="preserve"> will require ongoing pharmacovigilance. The efficacy and safety of CT-P13 in patients at a high risk of infection is not established. In addition, there is no information about the safety and efficacy of switching to CT-P13 from Remicade, or vice versa. Furthermore, the current dataset has evaluated CT-P13 use in adult subjects over a lim</w:t>
      </w:r>
      <w:r>
        <w:t xml:space="preserve">ited dose range (3 to </w:t>
      </w:r>
      <w:r w:rsidRPr="00435921">
        <w:t xml:space="preserve">5 mg/kg every 8 weeks), and the submission has not provided any information (clinical or pharmacokinetic) on the use of CT-P13 in children and adolescents or those with inflammatory bowel disease where the dose of </w:t>
      </w:r>
      <w:r>
        <w:t>infliximab</w:t>
      </w:r>
      <w:r w:rsidRPr="00435921">
        <w:t xml:space="preserve"> can be incre</w:t>
      </w:r>
      <w:r>
        <w:t xml:space="preserve">ased up to 10 mg/kg every 6 to </w:t>
      </w:r>
      <w:r w:rsidRPr="00435921">
        <w:t>8 weeks</w:t>
      </w:r>
      <w:r>
        <w:t>.</w:t>
      </w:r>
    </w:p>
    <w:p w14:paraId="377F1755" w14:textId="3CB947B0" w:rsidR="00605AD4" w:rsidRPr="00605AD4" w:rsidRDefault="00605AD4" w:rsidP="00510AC1">
      <w:pPr>
        <w:pStyle w:val="Heading3"/>
      </w:pPr>
      <w:bookmarkStart w:id="136" w:name="_Toc44577021"/>
      <w:r w:rsidRPr="00605AD4">
        <w:t xml:space="preserve">First </w:t>
      </w:r>
      <w:r w:rsidR="006B2AB7" w:rsidRPr="00605AD4">
        <w:t>round recommendation regarding authorisation</w:t>
      </w:r>
      <w:bookmarkEnd w:id="136"/>
    </w:p>
    <w:p w14:paraId="21AEDBB1" w14:textId="77777777" w:rsidR="00882603" w:rsidRPr="00435921" w:rsidRDefault="00882603">
      <w:r>
        <w:t>The clinical evaluator</w:t>
      </w:r>
      <w:r w:rsidRPr="00435921">
        <w:t xml:space="preserve"> recommend</w:t>
      </w:r>
      <w:r>
        <w:t>s</w:t>
      </w:r>
      <w:r w:rsidRPr="00435921">
        <w:t xml:space="preserve"> acceptance of the sponsor’s proposed registration of CT-P13 to include all the current treatment indications for Remicade. The current submission provides robust evidence that CT-P13 is therapeutically equivalent to Remicade in improving the signs and symptoms, as well as function and QOL in adult </w:t>
      </w:r>
      <w:r>
        <w:t>patients with active RA and AS.</w:t>
      </w:r>
    </w:p>
    <w:p w14:paraId="4C2ED789" w14:textId="77777777" w:rsidR="00605AD4" w:rsidRPr="00605AD4" w:rsidRDefault="00882603">
      <w:r>
        <w:t>The clinical evaluator</w:t>
      </w:r>
      <w:r w:rsidRPr="00435921">
        <w:t xml:space="preserve"> recommend</w:t>
      </w:r>
      <w:r>
        <w:t>s</w:t>
      </w:r>
      <w:r w:rsidRPr="00435921">
        <w:t xml:space="preserve"> that approval of the sponsor’s proposed registration of CT-P13 be subject to satisfactory response to the questions </w:t>
      </w:r>
      <w:r>
        <w:t>raised (below)</w:t>
      </w:r>
      <w:r w:rsidRPr="00435921">
        <w:t>, and regular periodic safety update reports</w:t>
      </w:r>
      <w:r>
        <w:t>.</w:t>
      </w:r>
    </w:p>
    <w:p w14:paraId="3C0F927D" w14:textId="77777777" w:rsidR="00605AD4" w:rsidRPr="00605AD4" w:rsidRDefault="00605AD4" w:rsidP="00510AC1">
      <w:pPr>
        <w:pStyle w:val="Heading3"/>
      </w:pPr>
      <w:bookmarkStart w:id="137" w:name="_Toc44577022"/>
      <w:r w:rsidRPr="00605AD4">
        <w:t xml:space="preserve">Clinical </w:t>
      </w:r>
      <w:r w:rsidR="001F37C3" w:rsidRPr="00605AD4">
        <w:t>questions</w:t>
      </w:r>
      <w:r w:rsidR="001F37C3">
        <w:t xml:space="preserve"> and </w:t>
      </w:r>
      <w:r w:rsidR="001F37C3" w:rsidRPr="00605AD4">
        <w:t>second round evaluation of clin</w:t>
      </w:r>
      <w:r w:rsidR="00882603" w:rsidRPr="00605AD4">
        <w:t>ical data submitted in response to questions</w:t>
      </w:r>
      <w:bookmarkEnd w:id="137"/>
    </w:p>
    <w:p w14:paraId="3C739895" w14:textId="14E3AF08" w:rsidR="00605AD4" w:rsidRPr="00605AD4" w:rsidRDefault="00882603">
      <w:r>
        <w:t xml:space="preserve">For questions raised in the first round clinical evaluation </w:t>
      </w:r>
      <w:r w:rsidR="007D09F7">
        <w:t>and</w:t>
      </w:r>
      <w:r>
        <w:t xml:space="preserve"> the evaluation of the sponsor’s </w:t>
      </w:r>
      <w:r w:rsidR="003C187F">
        <w:t>response,</w:t>
      </w:r>
      <w:r>
        <w:t xml:space="preserve"> please see </w:t>
      </w:r>
      <w:r w:rsidR="001956F4">
        <w:t xml:space="preserve">Section </w:t>
      </w:r>
      <w:r w:rsidR="007F306E">
        <w:t>VI</w:t>
      </w:r>
      <w:r w:rsidR="001956F4">
        <w:t>:</w:t>
      </w:r>
      <w:r w:rsidR="007F306E">
        <w:t xml:space="preserve"> Overall Conclusion and risk/benefit assessment </w:t>
      </w:r>
      <w:r w:rsidR="001956F4">
        <w:t>(</w:t>
      </w:r>
      <w:r w:rsidR="007F306E">
        <w:t>below</w:t>
      </w:r>
      <w:r w:rsidR="001956F4">
        <w:t>)</w:t>
      </w:r>
      <w:r>
        <w:t>.</w:t>
      </w:r>
    </w:p>
    <w:p w14:paraId="39B1576F" w14:textId="77777777" w:rsidR="00605AD4" w:rsidRPr="00605AD4" w:rsidRDefault="00605AD4" w:rsidP="00510AC1">
      <w:pPr>
        <w:pStyle w:val="Heading3"/>
      </w:pPr>
      <w:bookmarkStart w:id="138" w:name="_Toc44577023"/>
      <w:r w:rsidRPr="00605AD4">
        <w:t xml:space="preserve">Second </w:t>
      </w:r>
      <w:r w:rsidR="001F37C3" w:rsidRPr="00605AD4">
        <w:t>round benefit-risk assessment</w:t>
      </w:r>
      <w:bookmarkEnd w:id="138"/>
    </w:p>
    <w:p w14:paraId="637405DA" w14:textId="77777777" w:rsidR="00882603" w:rsidRPr="00435921" w:rsidRDefault="00882603" w:rsidP="00510AC1">
      <w:pPr>
        <w:pStyle w:val="Heading4"/>
      </w:pPr>
      <w:bookmarkStart w:id="139" w:name="_Toc401925311"/>
      <w:bookmarkStart w:id="140" w:name="_Toc290846349"/>
      <w:bookmarkStart w:id="141" w:name="_Toc272414709"/>
      <w:r w:rsidRPr="00435921">
        <w:t>Second round assessment of benefits</w:t>
      </w:r>
      <w:bookmarkEnd w:id="139"/>
      <w:bookmarkEnd w:id="140"/>
      <w:bookmarkEnd w:id="141"/>
    </w:p>
    <w:p w14:paraId="751175CD" w14:textId="77777777" w:rsidR="00882603" w:rsidRPr="00435921" w:rsidRDefault="00882603">
      <w:r w:rsidRPr="00435921">
        <w:t xml:space="preserve">After consideration of the responses to the clinical questions, the benefits of CT-P13 in the proposed usage are unchanged from those identified in </w:t>
      </w:r>
      <w:r>
        <w:t>the first round assessment of benefits.</w:t>
      </w:r>
    </w:p>
    <w:p w14:paraId="39E1321C" w14:textId="77777777" w:rsidR="00882603" w:rsidRPr="006C0455" w:rsidRDefault="00882603" w:rsidP="00510AC1">
      <w:pPr>
        <w:pStyle w:val="Heading4"/>
      </w:pPr>
      <w:bookmarkStart w:id="142" w:name="_Toc401925312"/>
      <w:bookmarkStart w:id="143" w:name="_Toc290846350"/>
      <w:bookmarkStart w:id="144" w:name="_Toc272414710"/>
      <w:r w:rsidRPr="006C0455">
        <w:t>Second round assessment of risks</w:t>
      </w:r>
      <w:bookmarkEnd w:id="142"/>
      <w:bookmarkEnd w:id="143"/>
      <w:bookmarkEnd w:id="144"/>
    </w:p>
    <w:p w14:paraId="0F4C20BC" w14:textId="06BFF149" w:rsidR="00882603" w:rsidRPr="006C0455" w:rsidRDefault="00882603">
      <w:r w:rsidRPr="006C0455">
        <w:t xml:space="preserve">After consideration of the responses to the clinical questions, the risks of CT-P13 in the proposed usage are unchanged from those identified in </w:t>
      </w:r>
      <w:r>
        <w:t>the first round assessment of risks</w:t>
      </w:r>
      <w:r w:rsidRPr="006C0455">
        <w:t>. Reassuringly, the sponsor has provided data with longer durations of treatment follow-</w:t>
      </w:r>
      <w:r w:rsidR="003C187F" w:rsidRPr="006C0455">
        <w:t>up (up to 2 years)</w:t>
      </w:r>
      <w:r w:rsidR="003C187F">
        <w:t>,</w:t>
      </w:r>
      <w:r w:rsidR="003C187F" w:rsidRPr="006C0455">
        <w:t xml:space="preserve"> which</w:t>
      </w:r>
      <w:r w:rsidRPr="006C0455">
        <w:t xml:space="preserve"> do not appear to indicate any new safety concerns (incidence or type) with CT-P13. Furthermore, a limited number of patients who have switched from Remicade to CT-P13 after 1 year of therapy appear to have no additional safety concerns for up to 12 months after switching </w:t>
      </w:r>
      <w:r>
        <w:t>infliximab</w:t>
      </w:r>
      <w:r w:rsidRPr="006C0455">
        <w:t xml:space="preserve"> formulations.</w:t>
      </w:r>
    </w:p>
    <w:p w14:paraId="7690877D" w14:textId="77777777" w:rsidR="00882603" w:rsidRPr="006C0455" w:rsidRDefault="00882603">
      <w:r w:rsidRPr="006C0455">
        <w:t xml:space="preserve">After consideration of the responses to the clinical questions, the benefit-risk balance of CT-P13, given the proposed usage, is favourable. There is no change to the opinion expressed in </w:t>
      </w:r>
      <w:r>
        <w:t>the first round assessment of benefit-risk balance</w:t>
      </w:r>
      <w:r w:rsidRPr="006C0455">
        <w:t>.</w:t>
      </w:r>
    </w:p>
    <w:p w14:paraId="21AAB348" w14:textId="77777777" w:rsidR="00882603" w:rsidRDefault="00882603">
      <w:r>
        <w:lastRenderedPageBreak/>
        <w:t>The clinical evaluator</w:t>
      </w:r>
      <w:r w:rsidRPr="006C0455">
        <w:t xml:space="preserve"> recommend</w:t>
      </w:r>
      <w:r>
        <w:t>s</w:t>
      </w:r>
      <w:r w:rsidRPr="006C0455">
        <w:t xml:space="preserve"> acceptance of the sponsor’s proposed registration of CT-P13 to include all of the 6 current treatment indications for Remicade. The current submission provides robust evidence that CT-P13 is therapeutically equivalent to Remicade in improving the signs and symptoms, as well as function and QOL in adult patients with active RA and AS. In terms of safety, the 2 formulations of </w:t>
      </w:r>
      <w:r>
        <w:t>infliximab</w:t>
      </w:r>
      <w:r w:rsidRPr="006C0455">
        <w:t xml:space="preserve"> appear to be clinically equivalent for the majority of safety concerns; however, the CT-P13 clinical study program does show a higher incidence of active TB and serious pneumonia in patients treated with CT-P13 compared to Remicade, which remains of unclear explanation. Nonetheless, the incidence of these 2 serious infection related events is within historical expectations fo</w:t>
      </w:r>
      <w:r>
        <w:t>r infliximab in the target population.</w:t>
      </w:r>
    </w:p>
    <w:p w14:paraId="2CACA826" w14:textId="77777777" w:rsidR="00882603" w:rsidRPr="006C0455" w:rsidRDefault="00882603">
      <w:r>
        <w:t>The clinical evaluator</w:t>
      </w:r>
      <w:r w:rsidRPr="006C0455">
        <w:t xml:space="preserve"> recommend</w:t>
      </w:r>
      <w:r>
        <w:t>s</w:t>
      </w:r>
      <w:r w:rsidRPr="006C0455">
        <w:t xml:space="preserve"> that approval of the sponsor’s proposed registration be subject to regular periodic safety update reports, the provision by the sponsor to the TGA of the final clinical study reports for the proposed post-marketing studies (as outlined in the updated RMP) and an undertaking to perform a post-marketing study in paediatric</w:t>
      </w:r>
      <w:r>
        <w:t xml:space="preserve"> </w:t>
      </w:r>
      <w:r w:rsidRPr="006C0455">
        <w:t xml:space="preserve">patients with </w:t>
      </w:r>
      <w:r>
        <w:t>inflammatory bowel diseases</w:t>
      </w:r>
      <w:r w:rsidRPr="006C0455">
        <w:t xml:space="preserve"> (collecting PK and clinical data). At present, there is no data for CT-P13 therapy in children and this represents a significant area of missing information (contained within RMP). However, based on the demonstration of </w:t>
      </w:r>
      <w:proofErr w:type="spellStart"/>
      <w:r w:rsidRPr="006C0455">
        <w:t>biosimilarity</w:t>
      </w:r>
      <w:proofErr w:type="spellEnd"/>
      <w:r w:rsidRPr="006C0455">
        <w:t xml:space="preserve"> between CT-P13 and Remicade, no new specific safety concerns with </w:t>
      </w:r>
      <w:r>
        <w:t>infliximab</w:t>
      </w:r>
      <w:r w:rsidRPr="006C0455">
        <w:t xml:space="preserve"> use in children and adolescents would be anticipated wi</w:t>
      </w:r>
      <w:r>
        <w:t>th CT-P13 compared to Remicade.</w:t>
      </w:r>
    </w:p>
    <w:p w14:paraId="76BB8F38" w14:textId="77777777" w:rsidR="00605AD4" w:rsidRPr="00605AD4" w:rsidRDefault="00882603">
      <w:r w:rsidRPr="006C0455">
        <w:t>In the RMP, the sponsor has stated that it plans to conduct a non-inferiority study in adult patients with CD (Study CT-P13 3.4), which is c</w:t>
      </w:r>
      <w:r>
        <w:t>omparing CT-P13 with Remicade. The clinical evaluator</w:t>
      </w:r>
      <w:r w:rsidRPr="006C0455">
        <w:t xml:space="preserve"> do</w:t>
      </w:r>
      <w:r>
        <w:t>es</w:t>
      </w:r>
      <w:r w:rsidRPr="006C0455">
        <w:t xml:space="preserve"> not recommend the conduct of this trial as a condition of registration in Australia as there is a sufficient volume of safety information in adults. Although there are some minor differences in the safety profile of </w:t>
      </w:r>
      <w:r>
        <w:t>infliximab</w:t>
      </w:r>
      <w:r w:rsidRPr="006C0455">
        <w:t xml:space="preserve"> between adult patients with inflammatory arthritis compared to those with </w:t>
      </w:r>
      <w:r>
        <w:t>inflammatory bowel diseases</w:t>
      </w:r>
      <w:r w:rsidRPr="006C0455">
        <w:t xml:space="preserve">, no new major safety concerns with CT-P13 versus Remicade would be expected. Furthermore, RA and AS are sufficiently sensitive clinical models to allow the extrapolation of biosimilar medicine data to other treatment indications (such as </w:t>
      </w:r>
      <w:r>
        <w:t>inflammatory bowel diseases</w:t>
      </w:r>
      <w:r w:rsidRPr="006C0455">
        <w:t>), which have similar clinically relevant pathophysiology. Nonetheless, the sponsor should be asked to provide the interim and clinical study reports from Study CT-P13 3.4 in a timely manner to the TGA</w:t>
      </w:r>
      <w:r>
        <w:t>.</w:t>
      </w:r>
    </w:p>
    <w:p w14:paraId="14725A3F" w14:textId="77777777" w:rsidR="008E7846" w:rsidRPr="00E41208" w:rsidRDefault="008E7846">
      <w:pPr>
        <w:pStyle w:val="Heading2"/>
      </w:pPr>
      <w:bookmarkStart w:id="145" w:name="_Toc44577024"/>
      <w:r w:rsidRPr="00E41208">
        <w:t xml:space="preserve">V. Pharmacovigilance </w:t>
      </w:r>
      <w:r>
        <w:t>f</w:t>
      </w:r>
      <w:r w:rsidRPr="00E41208">
        <w:t>indings</w:t>
      </w:r>
      <w:bookmarkEnd w:id="130"/>
      <w:bookmarkEnd w:id="131"/>
      <w:bookmarkEnd w:id="145"/>
    </w:p>
    <w:p w14:paraId="01FCE2F4" w14:textId="77777777" w:rsidR="008E7846" w:rsidRDefault="00386150" w:rsidP="00510AC1">
      <w:pPr>
        <w:pStyle w:val="Heading3"/>
        <w:rPr>
          <w:lang w:eastAsia="en-AU"/>
        </w:rPr>
      </w:pPr>
      <w:bookmarkStart w:id="146" w:name="_Toc247691526"/>
      <w:bookmarkStart w:id="147" w:name="_Toc314842509"/>
      <w:bookmarkStart w:id="148" w:name="_Toc44577025"/>
      <w:r>
        <w:rPr>
          <w:lang w:eastAsia="en-AU"/>
        </w:rPr>
        <w:t>Risk m</w:t>
      </w:r>
      <w:r w:rsidR="008E7846">
        <w:rPr>
          <w:lang w:eastAsia="en-AU"/>
        </w:rPr>
        <w:t xml:space="preserve">anagement </w:t>
      </w:r>
      <w:r>
        <w:rPr>
          <w:lang w:eastAsia="en-AU"/>
        </w:rPr>
        <w:t>p</w:t>
      </w:r>
      <w:r w:rsidR="008E7846">
        <w:rPr>
          <w:lang w:eastAsia="en-AU"/>
        </w:rPr>
        <w:t>lan</w:t>
      </w:r>
      <w:bookmarkEnd w:id="146"/>
      <w:bookmarkEnd w:id="147"/>
      <w:bookmarkEnd w:id="148"/>
    </w:p>
    <w:p w14:paraId="5D9B69BB" w14:textId="77777777" w:rsidR="00C1578B" w:rsidRPr="006C0455" w:rsidRDefault="00C1578B" w:rsidP="00510AC1">
      <w:r w:rsidRPr="006C0455">
        <w:t>The sponsor submitted a Risk Management Plan (EU Risk Management Plan Version 4.0 (dated May 2013, D</w:t>
      </w:r>
      <w:r>
        <w:t xml:space="preserve">ata </w:t>
      </w:r>
      <w:r w:rsidRPr="006C0455">
        <w:t>L</w:t>
      </w:r>
      <w:r>
        <w:t xml:space="preserve">ock </w:t>
      </w:r>
      <w:r w:rsidRPr="006C0455">
        <w:t>P</w:t>
      </w:r>
      <w:r>
        <w:t>oint</w:t>
      </w:r>
      <w:r w:rsidRPr="006C0455">
        <w:t xml:space="preserve"> 15</w:t>
      </w:r>
      <w:r>
        <w:t xml:space="preserve"> April </w:t>
      </w:r>
      <w:r w:rsidRPr="006C0455">
        <w:t>2013) and Australian Specific Annex Version (no version given, undated)) which was reviewed by the RMP evaluator.</w:t>
      </w:r>
    </w:p>
    <w:p w14:paraId="2E340287" w14:textId="77777777" w:rsidR="008E7846" w:rsidRDefault="003A7F6C" w:rsidP="00510AC1">
      <w:pPr>
        <w:pStyle w:val="Heading4"/>
        <w:rPr>
          <w:lang w:eastAsia="en-AU"/>
        </w:rPr>
      </w:pPr>
      <w:r>
        <w:rPr>
          <w:lang w:eastAsia="en-AU"/>
        </w:rPr>
        <w:t>Safety s</w:t>
      </w:r>
      <w:r w:rsidR="008E7846">
        <w:rPr>
          <w:lang w:eastAsia="en-AU"/>
        </w:rPr>
        <w:t>pecification</w:t>
      </w:r>
    </w:p>
    <w:p w14:paraId="1C51CC7D" w14:textId="6090A8F2" w:rsidR="00C1578B" w:rsidRDefault="00C1578B" w:rsidP="00510AC1">
      <w:r w:rsidRPr="006C0455">
        <w:t xml:space="preserve">The sponsor provided a summary of ongoing safety </w:t>
      </w:r>
      <w:r w:rsidR="003C187F" w:rsidRPr="006C0455">
        <w:t>concerns that</w:t>
      </w:r>
      <w:r w:rsidRPr="006C0455">
        <w:t xml:space="preserve"> are shown </w:t>
      </w:r>
      <w:r w:rsidR="00EC703E">
        <w:t xml:space="preserve">at Table </w:t>
      </w:r>
      <w:r w:rsidR="007F306E">
        <w:t>6</w:t>
      </w:r>
      <w:r w:rsidRPr="006C0455">
        <w:t>.</w:t>
      </w:r>
    </w:p>
    <w:p w14:paraId="091E89EA" w14:textId="48EEC15F" w:rsidR="00C1578B" w:rsidRDefault="00EC703E" w:rsidP="006B2AB7">
      <w:pPr>
        <w:pStyle w:val="TableTitle"/>
        <w:pageBreakBefore/>
      </w:pPr>
      <w:r>
        <w:lastRenderedPageBreak/>
        <w:t xml:space="preserve">Table </w:t>
      </w:r>
      <w:r w:rsidR="007F306E">
        <w:t>6</w:t>
      </w:r>
      <w:r w:rsidR="00C1578B">
        <w:t>:</w:t>
      </w:r>
      <w:r w:rsidR="00C1578B" w:rsidRPr="006C0455">
        <w:t xml:space="preserve"> Ongoing safety concerns provided by the </w:t>
      </w:r>
      <w:r w:rsidR="00C1578B">
        <w:t>sponsor in their RMP submission</w:t>
      </w:r>
    </w:p>
    <w:tbl>
      <w:tblPr>
        <w:tblStyle w:val="TableTGAblue"/>
        <w:tblW w:w="0" w:type="auto"/>
        <w:tblLook w:val="04A0" w:firstRow="1" w:lastRow="0" w:firstColumn="1" w:lastColumn="0" w:noHBand="0" w:noVBand="1"/>
      </w:tblPr>
      <w:tblGrid>
        <w:gridCol w:w="3146"/>
        <w:gridCol w:w="5338"/>
      </w:tblGrid>
      <w:tr w:rsidR="00C1578B" w:rsidRPr="006B2AB7" w14:paraId="52803766" w14:textId="77777777" w:rsidTr="00C1578B">
        <w:trPr>
          <w:cnfStyle w:val="100000000000" w:firstRow="1" w:lastRow="0" w:firstColumn="0" w:lastColumn="0" w:oddVBand="0" w:evenVBand="0" w:oddHBand="0" w:evenHBand="0" w:firstRowFirstColumn="0" w:firstRowLastColumn="0" w:lastRowFirstColumn="0" w:lastRowLastColumn="0"/>
        </w:trPr>
        <w:tc>
          <w:tcPr>
            <w:tcW w:w="3227" w:type="dxa"/>
          </w:tcPr>
          <w:p w14:paraId="739D99D1" w14:textId="77777777" w:rsidR="00C1578B" w:rsidRPr="006B2AB7" w:rsidRDefault="00C1578B" w:rsidP="00510AC1">
            <w:pPr>
              <w:rPr>
                <w:sz w:val="20"/>
                <w:szCs w:val="20"/>
              </w:rPr>
            </w:pPr>
            <w:r w:rsidRPr="006B2AB7">
              <w:rPr>
                <w:sz w:val="20"/>
                <w:szCs w:val="20"/>
              </w:rPr>
              <w:t>Identified or potential risks or missing information</w:t>
            </w:r>
          </w:p>
        </w:tc>
        <w:tc>
          <w:tcPr>
            <w:tcW w:w="5493" w:type="dxa"/>
          </w:tcPr>
          <w:p w14:paraId="0022CF88" w14:textId="77777777" w:rsidR="00C1578B" w:rsidRPr="006B2AB7" w:rsidRDefault="00C1578B" w:rsidP="00510AC1">
            <w:pPr>
              <w:rPr>
                <w:sz w:val="20"/>
                <w:szCs w:val="20"/>
              </w:rPr>
            </w:pPr>
            <w:r w:rsidRPr="006B2AB7">
              <w:rPr>
                <w:sz w:val="20"/>
                <w:szCs w:val="20"/>
              </w:rPr>
              <w:t>Description of risk category</w:t>
            </w:r>
          </w:p>
        </w:tc>
      </w:tr>
      <w:tr w:rsidR="00C1578B" w:rsidRPr="006B2AB7" w14:paraId="6AD7E73E" w14:textId="77777777" w:rsidTr="00C1578B">
        <w:tc>
          <w:tcPr>
            <w:tcW w:w="3227" w:type="dxa"/>
          </w:tcPr>
          <w:p w14:paraId="1BDA173B" w14:textId="77777777" w:rsidR="00C1578B" w:rsidRPr="006B2AB7" w:rsidRDefault="00C1578B" w:rsidP="00510AC1">
            <w:pPr>
              <w:rPr>
                <w:sz w:val="20"/>
                <w:szCs w:val="20"/>
              </w:rPr>
            </w:pPr>
            <w:r w:rsidRPr="006B2AB7">
              <w:rPr>
                <w:sz w:val="20"/>
                <w:szCs w:val="20"/>
              </w:rPr>
              <w:t>Important identified risks</w:t>
            </w:r>
          </w:p>
        </w:tc>
        <w:tc>
          <w:tcPr>
            <w:tcW w:w="5493" w:type="dxa"/>
          </w:tcPr>
          <w:p w14:paraId="18B9E5C3" w14:textId="77777777" w:rsidR="00C1578B" w:rsidRPr="006B2AB7" w:rsidRDefault="00C1578B" w:rsidP="00510AC1">
            <w:pPr>
              <w:spacing w:before="0" w:after="0" w:line="240" w:lineRule="auto"/>
              <w:rPr>
                <w:sz w:val="20"/>
                <w:szCs w:val="20"/>
              </w:rPr>
            </w:pPr>
            <w:r w:rsidRPr="006B2AB7">
              <w:rPr>
                <w:sz w:val="20"/>
                <w:szCs w:val="20"/>
              </w:rPr>
              <w:t>HBV reactivation</w:t>
            </w:r>
          </w:p>
          <w:p w14:paraId="2EB02D94" w14:textId="77777777" w:rsidR="00C1578B" w:rsidRPr="006B2AB7" w:rsidRDefault="00C1578B" w:rsidP="00510AC1">
            <w:pPr>
              <w:spacing w:before="0" w:after="0" w:line="240" w:lineRule="auto"/>
              <w:rPr>
                <w:sz w:val="20"/>
                <w:szCs w:val="20"/>
              </w:rPr>
            </w:pPr>
            <w:r w:rsidRPr="006B2AB7">
              <w:rPr>
                <w:sz w:val="20"/>
                <w:szCs w:val="20"/>
              </w:rPr>
              <w:t>Congestive heart failure</w:t>
            </w:r>
          </w:p>
          <w:p w14:paraId="37D14209" w14:textId="77777777" w:rsidR="00C1578B" w:rsidRPr="006B2AB7" w:rsidRDefault="00C1578B" w:rsidP="00510AC1">
            <w:pPr>
              <w:spacing w:before="0" w:after="0" w:line="240" w:lineRule="auto"/>
              <w:rPr>
                <w:sz w:val="20"/>
                <w:szCs w:val="20"/>
              </w:rPr>
            </w:pPr>
            <w:r w:rsidRPr="006B2AB7">
              <w:rPr>
                <w:sz w:val="20"/>
                <w:szCs w:val="20"/>
              </w:rPr>
              <w:t>Opportunistic infections</w:t>
            </w:r>
          </w:p>
          <w:p w14:paraId="71DF20BE" w14:textId="77777777" w:rsidR="00C1578B" w:rsidRPr="006B2AB7" w:rsidRDefault="00C1578B" w:rsidP="00510AC1">
            <w:pPr>
              <w:spacing w:before="0" w:after="0" w:line="240" w:lineRule="auto"/>
              <w:rPr>
                <w:sz w:val="20"/>
                <w:szCs w:val="20"/>
              </w:rPr>
            </w:pPr>
            <w:r w:rsidRPr="006B2AB7">
              <w:rPr>
                <w:sz w:val="20"/>
                <w:szCs w:val="20"/>
              </w:rPr>
              <w:t>Serious infections including sepsis (excluding opportunistic infections and tuberculosis)</w:t>
            </w:r>
          </w:p>
          <w:p w14:paraId="17F8122F" w14:textId="77777777" w:rsidR="00C1578B" w:rsidRPr="006B2AB7" w:rsidRDefault="00C1578B" w:rsidP="00510AC1">
            <w:pPr>
              <w:spacing w:before="0" w:after="0" w:line="240" w:lineRule="auto"/>
              <w:rPr>
                <w:sz w:val="20"/>
                <w:szCs w:val="20"/>
              </w:rPr>
            </w:pPr>
            <w:r w:rsidRPr="006B2AB7">
              <w:rPr>
                <w:sz w:val="20"/>
                <w:szCs w:val="20"/>
              </w:rPr>
              <w:t>Tuberculosis</w:t>
            </w:r>
          </w:p>
          <w:p w14:paraId="22DE63FA" w14:textId="77777777" w:rsidR="00C1578B" w:rsidRPr="006B2AB7" w:rsidRDefault="00C1578B" w:rsidP="00510AC1">
            <w:pPr>
              <w:spacing w:before="0" w:after="0" w:line="240" w:lineRule="auto"/>
              <w:rPr>
                <w:sz w:val="20"/>
                <w:szCs w:val="20"/>
              </w:rPr>
            </w:pPr>
            <w:r w:rsidRPr="006B2AB7">
              <w:rPr>
                <w:sz w:val="20"/>
                <w:szCs w:val="20"/>
              </w:rPr>
              <w:t>Serum sickness (delayed hypersensitivity reactions)</w:t>
            </w:r>
          </w:p>
          <w:p w14:paraId="48AE2B90" w14:textId="77777777" w:rsidR="00C1578B" w:rsidRPr="006B2AB7" w:rsidRDefault="00C1578B" w:rsidP="00510AC1">
            <w:pPr>
              <w:spacing w:before="0" w:after="0" w:line="240" w:lineRule="auto"/>
              <w:rPr>
                <w:sz w:val="20"/>
                <w:szCs w:val="20"/>
              </w:rPr>
            </w:pPr>
            <w:r w:rsidRPr="006B2AB7">
              <w:rPr>
                <w:sz w:val="20"/>
                <w:szCs w:val="20"/>
              </w:rPr>
              <w:t>Hematologic reactions</w:t>
            </w:r>
          </w:p>
          <w:p w14:paraId="5CCA0090" w14:textId="77777777" w:rsidR="00C1578B" w:rsidRPr="006B2AB7" w:rsidRDefault="00C1578B" w:rsidP="00510AC1">
            <w:pPr>
              <w:spacing w:before="0" w:after="0" w:line="240" w:lineRule="auto"/>
              <w:rPr>
                <w:sz w:val="20"/>
                <w:szCs w:val="20"/>
              </w:rPr>
            </w:pPr>
            <w:r w:rsidRPr="006B2AB7">
              <w:rPr>
                <w:sz w:val="20"/>
                <w:szCs w:val="20"/>
              </w:rPr>
              <w:t>Systemic lupus erythematosus/Lupus-like syndrome</w:t>
            </w:r>
          </w:p>
          <w:p w14:paraId="4C847891" w14:textId="77777777" w:rsidR="00C1578B" w:rsidRPr="006B2AB7" w:rsidRDefault="00C1578B" w:rsidP="00510AC1">
            <w:pPr>
              <w:spacing w:before="0" w:after="0" w:line="240" w:lineRule="auto"/>
              <w:rPr>
                <w:sz w:val="20"/>
                <w:szCs w:val="20"/>
              </w:rPr>
            </w:pPr>
            <w:r w:rsidRPr="006B2AB7">
              <w:rPr>
                <w:sz w:val="20"/>
                <w:szCs w:val="20"/>
              </w:rPr>
              <w:t>Demyelinating disorders</w:t>
            </w:r>
          </w:p>
          <w:p w14:paraId="11122DDE" w14:textId="77777777" w:rsidR="00C1578B" w:rsidRPr="006B2AB7" w:rsidRDefault="00C1578B" w:rsidP="00510AC1">
            <w:pPr>
              <w:spacing w:before="0" w:after="0" w:line="240" w:lineRule="auto"/>
              <w:rPr>
                <w:sz w:val="20"/>
                <w:szCs w:val="20"/>
              </w:rPr>
            </w:pPr>
            <w:r w:rsidRPr="006B2AB7">
              <w:rPr>
                <w:sz w:val="20"/>
                <w:szCs w:val="20"/>
              </w:rPr>
              <w:t>Lymphoma (not HSTCL)</w:t>
            </w:r>
          </w:p>
          <w:p w14:paraId="0176534D" w14:textId="77777777" w:rsidR="00C1578B" w:rsidRPr="006B2AB7" w:rsidRDefault="00C1578B" w:rsidP="00510AC1">
            <w:pPr>
              <w:spacing w:before="0" w:after="0" w:line="240" w:lineRule="auto"/>
              <w:rPr>
                <w:sz w:val="20"/>
                <w:szCs w:val="20"/>
              </w:rPr>
            </w:pPr>
            <w:r w:rsidRPr="006B2AB7">
              <w:rPr>
                <w:sz w:val="20"/>
                <w:szCs w:val="20"/>
              </w:rPr>
              <w:t>Hepatobiliary events</w:t>
            </w:r>
          </w:p>
          <w:p w14:paraId="3366668C" w14:textId="77777777" w:rsidR="00C1578B" w:rsidRPr="006B2AB7" w:rsidRDefault="00C1578B" w:rsidP="00510AC1">
            <w:pPr>
              <w:spacing w:before="0" w:after="0" w:line="240" w:lineRule="auto"/>
              <w:rPr>
                <w:sz w:val="20"/>
                <w:szCs w:val="20"/>
              </w:rPr>
            </w:pPr>
            <w:proofErr w:type="spellStart"/>
            <w:r w:rsidRPr="006B2AB7">
              <w:rPr>
                <w:sz w:val="20"/>
                <w:szCs w:val="20"/>
              </w:rPr>
              <w:t>Hepatosplenic</w:t>
            </w:r>
            <w:proofErr w:type="spellEnd"/>
            <w:r w:rsidRPr="006B2AB7">
              <w:rPr>
                <w:sz w:val="20"/>
                <w:szCs w:val="20"/>
              </w:rPr>
              <w:t xml:space="preserve"> T cell lymphoma (HSTLC)</w:t>
            </w:r>
          </w:p>
          <w:p w14:paraId="7A78DDD3" w14:textId="77777777" w:rsidR="00C1578B" w:rsidRPr="006B2AB7" w:rsidRDefault="00C1578B" w:rsidP="00510AC1">
            <w:pPr>
              <w:spacing w:before="0" w:after="0" w:line="240" w:lineRule="auto"/>
              <w:rPr>
                <w:sz w:val="20"/>
                <w:szCs w:val="20"/>
              </w:rPr>
            </w:pPr>
            <w:r w:rsidRPr="006B2AB7">
              <w:rPr>
                <w:sz w:val="20"/>
                <w:szCs w:val="20"/>
              </w:rPr>
              <w:t>Intestinal or perianal abscess (in Crohn’s disease)</w:t>
            </w:r>
          </w:p>
          <w:p w14:paraId="09E2F29C" w14:textId="77777777" w:rsidR="00C1578B" w:rsidRPr="006B2AB7" w:rsidRDefault="00C1578B" w:rsidP="00510AC1">
            <w:pPr>
              <w:spacing w:before="0" w:after="0" w:line="240" w:lineRule="auto"/>
              <w:rPr>
                <w:sz w:val="20"/>
                <w:szCs w:val="20"/>
              </w:rPr>
            </w:pPr>
            <w:r w:rsidRPr="006B2AB7">
              <w:rPr>
                <w:sz w:val="20"/>
                <w:szCs w:val="20"/>
              </w:rPr>
              <w:t>Serious infusion reactions during a re-induction regimen following disease flare</w:t>
            </w:r>
          </w:p>
          <w:p w14:paraId="62820BC8" w14:textId="77777777" w:rsidR="00C1578B" w:rsidRPr="006B2AB7" w:rsidRDefault="00C1578B" w:rsidP="00510AC1">
            <w:pPr>
              <w:spacing w:before="0" w:after="0" w:line="240" w:lineRule="auto"/>
              <w:rPr>
                <w:sz w:val="20"/>
                <w:szCs w:val="20"/>
              </w:rPr>
            </w:pPr>
            <w:r w:rsidRPr="006B2AB7">
              <w:rPr>
                <w:sz w:val="20"/>
                <w:szCs w:val="20"/>
              </w:rPr>
              <w:t>Sarcoidosis sarcoid-like reactions</w:t>
            </w:r>
          </w:p>
          <w:p w14:paraId="320AF1F1" w14:textId="77777777" w:rsidR="00C1578B" w:rsidRPr="006B2AB7" w:rsidRDefault="00C1578B" w:rsidP="00510AC1">
            <w:pPr>
              <w:spacing w:before="0" w:after="0" w:line="240" w:lineRule="auto"/>
              <w:rPr>
                <w:sz w:val="20"/>
                <w:szCs w:val="20"/>
              </w:rPr>
            </w:pPr>
            <w:r w:rsidRPr="006B2AB7">
              <w:rPr>
                <w:sz w:val="20"/>
                <w:szCs w:val="20"/>
              </w:rPr>
              <w:t>Paediatric malignancy</w:t>
            </w:r>
          </w:p>
          <w:p w14:paraId="68F06ECF" w14:textId="77777777" w:rsidR="00C1578B" w:rsidRPr="006B2AB7" w:rsidRDefault="00C1578B" w:rsidP="00510AC1">
            <w:pPr>
              <w:spacing w:before="0" w:after="0" w:line="240" w:lineRule="auto"/>
              <w:rPr>
                <w:sz w:val="20"/>
                <w:szCs w:val="20"/>
              </w:rPr>
            </w:pPr>
            <w:r w:rsidRPr="006B2AB7">
              <w:rPr>
                <w:sz w:val="20"/>
                <w:szCs w:val="20"/>
              </w:rPr>
              <w:t>Leukaemia</w:t>
            </w:r>
          </w:p>
        </w:tc>
      </w:tr>
      <w:tr w:rsidR="00C1578B" w:rsidRPr="006B2AB7" w14:paraId="67632002" w14:textId="77777777" w:rsidTr="00C1578B">
        <w:tc>
          <w:tcPr>
            <w:tcW w:w="3227" w:type="dxa"/>
          </w:tcPr>
          <w:p w14:paraId="77CF32E0" w14:textId="77777777" w:rsidR="00C1578B" w:rsidRPr="006B2AB7" w:rsidRDefault="00C1578B" w:rsidP="00510AC1">
            <w:pPr>
              <w:rPr>
                <w:sz w:val="20"/>
                <w:szCs w:val="20"/>
              </w:rPr>
            </w:pPr>
            <w:r w:rsidRPr="006B2AB7">
              <w:rPr>
                <w:sz w:val="20"/>
                <w:szCs w:val="20"/>
              </w:rPr>
              <w:t>Important Potential Risks</w:t>
            </w:r>
          </w:p>
        </w:tc>
        <w:tc>
          <w:tcPr>
            <w:tcW w:w="5493" w:type="dxa"/>
          </w:tcPr>
          <w:p w14:paraId="62DFB73B" w14:textId="77777777" w:rsidR="00C1578B" w:rsidRPr="006B2AB7" w:rsidRDefault="00C1578B" w:rsidP="00510AC1">
            <w:pPr>
              <w:spacing w:before="0" w:after="0" w:line="240" w:lineRule="auto"/>
              <w:rPr>
                <w:sz w:val="20"/>
                <w:szCs w:val="20"/>
              </w:rPr>
            </w:pPr>
            <w:r w:rsidRPr="006B2AB7">
              <w:rPr>
                <w:sz w:val="20"/>
                <w:szCs w:val="20"/>
              </w:rPr>
              <w:t>Malignancy (excluding lymphoma)</w:t>
            </w:r>
          </w:p>
          <w:p w14:paraId="3B853604" w14:textId="77777777" w:rsidR="00C1578B" w:rsidRPr="006B2AB7" w:rsidRDefault="00C1578B" w:rsidP="00510AC1">
            <w:pPr>
              <w:spacing w:before="0" w:after="0" w:line="240" w:lineRule="auto"/>
              <w:rPr>
                <w:sz w:val="20"/>
                <w:szCs w:val="20"/>
              </w:rPr>
            </w:pPr>
            <w:r w:rsidRPr="006B2AB7">
              <w:rPr>
                <w:sz w:val="20"/>
                <w:szCs w:val="20"/>
              </w:rPr>
              <w:t>Colon carcinoma/dysplasia (in ulcerative colitis)</w:t>
            </w:r>
          </w:p>
          <w:p w14:paraId="0075FA4B" w14:textId="77777777" w:rsidR="00C1578B" w:rsidRPr="006B2AB7" w:rsidRDefault="00C1578B" w:rsidP="00510AC1">
            <w:pPr>
              <w:spacing w:before="0" w:after="0" w:line="240" w:lineRule="auto"/>
              <w:rPr>
                <w:sz w:val="20"/>
                <w:szCs w:val="20"/>
              </w:rPr>
            </w:pPr>
            <w:r w:rsidRPr="006B2AB7">
              <w:rPr>
                <w:sz w:val="20"/>
                <w:szCs w:val="20"/>
              </w:rPr>
              <w:t>Skin cancer</w:t>
            </w:r>
          </w:p>
          <w:p w14:paraId="490FC39F" w14:textId="77777777" w:rsidR="00C1578B" w:rsidRPr="006B2AB7" w:rsidRDefault="00C1578B" w:rsidP="00510AC1">
            <w:pPr>
              <w:spacing w:before="0" w:after="0" w:line="240" w:lineRule="auto"/>
              <w:rPr>
                <w:sz w:val="20"/>
                <w:szCs w:val="20"/>
              </w:rPr>
            </w:pPr>
            <w:r w:rsidRPr="006B2AB7">
              <w:rPr>
                <w:sz w:val="20"/>
                <w:szCs w:val="20"/>
              </w:rPr>
              <w:t>Pregnancy exposure</w:t>
            </w:r>
          </w:p>
          <w:p w14:paraId="7CD08353" w14:textId="77777777" w:rsidR="00C1578B" w:rsidRPr="006B2AB7" w:rsidRDefault="00C1578B" w:rsidP="00510AC1">
            <w:pPr>
              <w:spacing w:before="0" w:after="0" w:line="240" w:lineRule="auto"/>
              <w:rPr>
                <w:sz w:val="20"/>
                <w:szCs w:val="20"/>
              </w:rPr>
            </w:pPr>
            <w:r w:rsidRPr="006B2AB7">
              <w:rPr>
                <w:sz w:val="20"/>
                <w:szCs w:val="20"/>
              </w:rPr>
              <w:t>Infusion reaction associated with shortened infusion duration (in RA)</w:t>
            </w:r>
          </w:p>
          <w:p w14:paraId="664B0747" w14:textId="77777777" w:rsidR="00C1578B" w:rsidRPr="006B2AB7" w:rsidRDefault="00C1578B" w:rsidP="00510AC1">
            <w:pPr>
              <w:spacing w:before="0" w:after="0" w:line="240" w:lineRule="auto"/>
              <w:rPr>
                <w:sz w:val="20"/>
                <w:szCs w:val="20"/>
              </w:rPr>
            </w:pPr>
            <w:r w:rsidRPr="006B2AB7">
              <w:rPr>
                <w:sz w:val="20"/>
                <w:szCs w:val="20"/>
              </w:rPr>
              <w:t>Bowel stenosis, stricture, obstruction (in Crohn’s disease)</w:t>
            </w:r>
          </w:p>
        </w:tc>
      </w:tr>
      <w:tr w:rsidR="00C1578B" w:rsidRPr="006B2AB7" w14:paraId="1B91C77A" w14:textId="77777777" w:rsidTr="00C1578B">
        <w:tc>
          <w:tcPr>
            <w:tcW w:w="3227" w:type="dxa"/>
          </w:tcPr>
          <w:p w14:paraId="60CFD82C" w14:textId="77777777" w:rsidR="00C1578B" w:rsidRPr="006B2AB7" w:rsidRDefault="00C1578B" w:rsidP="00510AC1">
            <w:pPr>
              <w:rPr>
                <w:sz w:val="20"/>
                <w:szCs w:val="20"/>
              </w:rPr>
            </w:pPr>
            <w:r w:rsidRPr="006B2AB7">
              <w:rPr>
                <w:sz w:val="20"/>
                <w:szCs w:val="20"/>
              </w:rPr>
              <w:t>Important missing information</w:t>
            </w:r>
          </w:p>
        </w:tc>
        <w:tc>
          <w:tcPr>
            <w:tcW w:w="5493" w:type="dxa"/>
          </w:tcPr>
          <w:p w14:paraId="20A4FBF5" w14:textId="77777777" w:rsidR="00C1578B" w:rsidRPr="006B2AB7" w:rsidRDefault="00C1578B" w:rsidP="00510AC1">
            <w:pPr>
              <w:spacing w:before="0" w:after="0" w:line="240" w:lineRule="auto"/>
              <w:rPr>
                <w:sz w:val="20"/>
                <w:szCs w:val="20"/>
              </w:rPr>
            </w:pPr>
            <w:r w:rsidRPr="006B2AB7">
              <w:rPr>
                <w:sz w:val="20"/>
                <w:szCs w:val="20"/>
              </w:rPr>
              <w:t>Long-term safety in adult patients with ulcerative colitis, psoriatic arthritis, or psoriasis</w:t>
            </w:r>
          </w:p>
          <w:p w14:paraId="7462B606" w14:textId="77777777" w:rsidR="00C1578B" w:rsidRPr="006B2AB7" w:rsidRDefault="00C1578B" w:rsidP="00510AC1">
            <w:pPr>
              <w:spacing w:before="0" w:after="0" w:line="240" w:lineRule="auto"/>
              <w:rPr>
                <w:sz w:val="20"/>
                <w:szCs w:val="20"/>
              </w:rPr>
            </w:pPr>
            <w:r w:rsidRPr="006B2AB7">
              <w:rPr>
                <w:sz w:val="20"/>
                <w:szCs w:val="20"/>
              </w:rPr>
              <w:t>Long-term safety in children with Crohn’s disease and ulcerative colitis</w:t>
            </w:r>
          </w:p>
          <w:p w14:paraId="09EE0416" w14:textId="77777777" w:rsidR="00C1578B" w:rsidRPr="006B2AB7" w:rsidRDefault="00C1578B" w:rsidP="00510AC1">
            <w:pPr>
              <w:spacing w:before="0" w:after="0" w:line="240" w:lineRule="auto"/>
              <w:rPr>
                <w:sz w:val="20"/>
                <w:szCs w:val="20"/>
              </w:rPr>
            </w:pPr>
            <w:r w:rsidRPr="006B2AB7">
              <w:rPr>
                <w:sz w:val="20"/>
                <w:szCs w:val="20"/>
              </w:rPr>
              <w:t>Long-term safety in children</w:t>
            </w:r>
          </w:p>
          <w:p w14:paraId="0B1F75DF" w14:textId="77777777" w:rsidR="00C1578B" w:rsidRPr="006B2AB7" w:rsidRDefault="00C1578B" w:rsidP="00510AC1">
            <w:pPr>
              <w:spacing w:before="0" w:after="0" w:line="240" w:lineRule="auto"/>
              <w:rPr>
                <w:sz w:val="20"/>
                <w:szCs w:val="20"/>
              </w:rPr>
            </w:pPr>
            <w:r w:rsidRPr="006B2AB7">
              <w:rPr>
                <w:sz w:val="20"/>
                <w:szCs w:val="20"/>
              </w:rPr>
              <w:t>Safety in very young children (&lt; 6 years)</w:t>
            </w:r>
          </w:p>
          <w:p w14:paraId="50F99020" w14:textId="77777777" w:rsidR="00C1578B" w:rsidRPr="006B2AB7" w:rsidRDefault="00C1578B" w:rsidP="00510AC1">
            <w:pPr>
              <w:spacing w:before="0" w:after="0" w:line="240" w:lineRule="auto"/>
              <w:rPr>
                <w:sz w:val="20"/>
                <w:szCs w:val="20"/>
              </w:rPr>
            </w:pPr>
            <w:r w:rsidRPr="006B2AB7">
              <w:rPr>
                <w:sz w:val="20"/>
                <w:szCs w:val="20"/>
              </w:rPr>
              <w:t>Use of infliximab during lactation</w:t>
            </w:r>
          </w:p>
          <w:p w14:paraId="111B0A99" w14:textId="77777777" w:rsidR="00C1578B" w:rsidRPr="006B2AB7" w:rsidRDefault="00C1578B" w:rsidP="00510AC1">
            <w:pPr>
              <w:spacing w:before="0" w:after="0" w:line="240" w:lineRule="auto"/>
              <w:rPr>
                <w:sz w:val="20"/>
                <w:szCs w:val="20"/>
              </w:rPr>
            </w:pPr>
            <w:r w:rsidRPr="006B2AB7">
              <w:rPr>
                <w:sz w:val="20"/>
                <w:szCs w:val="20"/>
              </w:rPr>
              <w:t>Lack of efficacy</w:t>
            </w:r>
          </w:p>
          <w:p w14:paraId="5572436E" w14:textId="77777777" w:rsidR="00C1578B" w:rsidRPr="006B2AB7" w:rsidRDefault="00C1578B" w:rsidP="00510AC1">
            <w:pPr>
              <w:spacing w:before="0" w:after="0" w:line="240" w:lineRule="auto"/>
              <w:rPr>
                <w:sz w:val="20"/>
                <w:szCs w:val="20"/>
              </w:rPr>
            </w:pPr>
            <w:r w:rsidRPr="006B2AB7">
              <w:rPr>
                <w:sz w:val="20"/>
                <w:szCs w:val="20"/>
              </w:rPr>
              <w:t>Hypersensitivity</w:t>
            </w:r>
          </w:p>
        </w:tc>
      </w:tr>
    </w:tbl>
    <w:p w14:paraId="4FA6D3E8" w14:textId="77777777" w:rsidR="008E7846" w:rsidRDefault="008E7846" w:rsidP="00510AC1">
      <w:pPr>
        <w:pStyle w:val="Heading4"/>
        <w:rPr>
          <w:lang w:eastAsia="en-AU"/>
        </w:rPr>
      </w:pPr>
      <w:r>
        <w:rPr>
          <w:lang w:eastAsia="en-AU"/>
        </w:rPr>
        <w:t xml:space="preserve">Pharmacovigilance </w:t>
      </w:r>
      <w:r w:rsidR="003A7F6C">
        <w:rPr>
          <w:lang w:eastAsia="en-AU"/>
        </w:rPr>
        <w:t>p</w:t>
      </w:r>
      <w:r>
        <w:rPr>
          <w:lang w:eastAsia="en-AU"/>
        </w:rPr>
        <w:t>lan</w:t>
      </w:r>
    </w:p>
    <w:p w14:paraId="4E1C4BCA" w14:textId="77777777" w:rsidR="00C1578B" w:rsidRPr="006C0455" w:rsidRDefault="00C1578B" w:rsidP="00510AC1">
      <w:r w:rsidRPr="006C0455">
        <w:t>The sponsor proposes routine and additional pharmacovigilance activities.</w:t>
      </w:r>
    </w:p>
    <w:p w14:paraId="2E945C6D" w14:textId="0A7D39F3" w:rsidR="00C1578B" w:rsidRPr="00437150" w:rsidRDefault="00C1578B" w:rsidP="00510AC1">
      <w:r w:rsidRPr="00437150">
        <w:t>The presentation of the submitted EU-RMP document is considered acceptable, but qualified</w:t>
      </w:r>
      <w:r w:rsidR="00EC703E">
        <w:t xml:space="preserve"> (see Table </w:t>
      </w:r>
      <w:r w:rsidR="007F306E">
        <w:t>8</w:t>
      </w:r>
      <w:r>
        <w:t xml:space="preserve"> below).</w:t>
      </w:r>
    </w:p>
    <w:p w14:paraId="0CAA857C" w14:textId="77777777" w:rsidR="00C1578B" w:rsidRPr="00437150" w:rsidRDefault="00C1578B" w:rsidP="00510AC1">
      <w:r w:rsidRPr="00437150">
        <w:t>Annex V does not contain any study protocols, in particular none for the planned studies. A small number of protocols were submitted with the clinical module. The sponsor is advised to submit the missing protocols of the studies listed in Annex V of the RMP.</w:t>
      </w:r>
    </w:p>
    <w:p w14:paraId="04CFAF41" w14:textId="77777777" w:rsidR="00C1578B" w:rsidRPr="008B3C47" w:rsidRDefault="00C1578B" w:rsidP="00510AC1">
      <w:r w:rsidRPr="008B3C47">
        <w:t>It is noted that the submitted PI does not match the currently approved PI of the reference product, in particular in the ‘dosage and administration’ section. This may be related to recent changes to the reference product PI. The sponsor should provide a compelling justification for the discrepancy.</w:t>
      </w:r>
    </w:p>
    <w:p w14:paraId="2E8315D9" w14:textId="77777777" w:rsidR="00C1578B" w:rsidRDefault="00C1578B" w:rsidP="00510AC1">
      <w:r w:rsidRPr="00437150">
        <w:lastRenderedPageBreak/>
        <w:t>The Australian Specific Annex to the EU-RMP Version 4.0 makes reference to additional risk minimisation activities (such as the patient card and the education programme), but does not provide details to the same extent as the EU-RMP does.</w:t>
      </w:r>
    </w:p>
    <w:p w14:paraId="75E9F960" w14:textId="0124C9FE" w:rsidR="00C1578B" w:rsidRDefault="00C1578B" w:rsidP="00510AC1">
      <w:r>
        <w:t>The additional pharmacovigilance acti</w:t>
      </w:r>
      <w:r w:rsidR="00EC703E">
        <w:t xml:space="preserve">vities are summarised in Table </w:t>
      </w:r>
      <w:r w:rsidR="007F306E">
        <w:t>7</w:t>
      </w:r>
      <w:r>
        <w:t>.</w:t>
      </w:r>
    </w:p>
    <w:p w14:paraId="2C10C605" w14:textId="7B65B6EA" w:rsidR="00C1578B" w:rsidRDefault="00C1578B" w:rsidP="00510AC1">
      <w:pPr>
        <w:pStyle w:val="TableTitle"/>
      </w:pPr>
      <w:r>
        <w:t xml:space="preserve">Table </w:t>
      </w:r>
      <w:r w:rsidR="007F306E">
        <w:t>7</w:t>
      </w:r>
      <w:r>
        <w:t>: Additional pharmacovigilance activities</w:t>
      </w:r>
    </w:p>
    <w:tbl>
      <w:tblPr>
        <w:tblStyle w:val="TableTGAblue"/>
        <w:tblW w:w="8731" w:type="dxa"/>
        <w:tblLayout w:type="fixed"/>
        <w:tblLook w:val="04A0" w:firstRow="1" w:lastRow="0" w:firstColumn="1" w:lastColumn="0" w:noHBand="0" w:noVBand="1"/>
      </w:tblPr>
      <w:tblGrid>
        <w:gridCol w:w="4034"/>
        <w:gridCol w:w="2793"/>
        <w:gridCol w:w="1904"/>
      </w:tblGrid>
      <w:tr w:rsidR="00C1578B" w:rsidRPr="00004B67" w14:paraId="16B2A382" w14:textId="77777777" w:rsidTr="00C1578B">
        <w:trPr>
          <w:cnfStyle w:val="100000000000" w:firstRow="1" w:lastRow="0" w:firstColumn="0" w:lastColumn="0" w:oddVBand="0" w:evenVBand="0" w:oddHBand="0" w:evenHBand="0" w:firstRowFirstColumn="0" w:firstRowLastColumn="0" w:lastRowFirstColumn="0" w:lastRowLastColumn="0"/>
          <w:trHeight w:val="144"/>
        </w:trPr>
        <w:tc>
          <w:tcPr>
            <w:tcW w:w="4034" w:type="dxa"/>
          </w:tcPr>
          <w:p w14:paraId="1A898842" w14:textId="77777777" w:rsidR="00C1578B" w:rsidRPr="00004B67" w:rsidRDefault="00C1578B" w:rsidP="00510AC1">
            <w:pPr>
              <w:ind w:left="0"/>
              <w:rPr>
                <w:sz w:val="18"/>
                <w:szCs w:val="18"/>
              </w:rPr>
            </w:pPr>
            <w:r w:rsidRPr="00004B67">
              <w:rPr>
                <w:sz w:val="18"/>
                <w:szCs w:val="18"/>
              </w:rPr>
              <w:t>Additional activity</w:t>
            </w:r>
          </w:p>
        </w:tc>
        <w:tc>
          <w:tcPr>
            <w:tcW w:w="2793" w:type="dxa"/>
          </w:tcPr>
          <w:p w14:paraId="293D08AC" w14:textId="77777777" w:rsidR="00C1578B" w:rsidRPr="00004B67" w:rsidRDefault="00C1578B" w:rsidP="00510AC1">
            <w:pPr>
              <w:ind w:left="0"/>
              <w:rPr>
                <w:sz w:val="18"/>
                <w:szCs w:val="18"/>
              </w:rPr>
            </w:pPr>
            <w:r w:rsidRPr="00004B67">
              <w:rPr>
                <w:sz w:val="18"/>
                <w:szCs w:val="18"/>
              </w:rPr>
              <w:t>Assigned safety concern</w:t>
            </w:r>
          </w:p>
        </w:tc>
        <w:tc>
          <w:tcPr>
            <w:tcW w:w="1904" w:type="dxa"/>
          </w:tcPr>
          <w:p w14:paraId="258266E8" w14:textId="77777777" w:rsidR="00C1578B" w:rsidRPr="00004B67" w:rsidRDefault="00C1578B" w:rsidP="00510AC1">
            <w:pPr>
              <w:ind w:left="0"/>
              <w:rPr>
                <w:sz w:val="18"/>
                <w:szCs w:val="18"/>
              </w:rPr>
            </w:pPr>
            <w:r w:rsidRPr="00004B67">
              <w:rPr>
                <w:sz w:val="18"/>
                <w:szCs w:val="18"/>
              </w:rPr>
              <w:t>Estimated p</w:t>
            </w:r>
            <w:r>
              <w:rPr>
                <w:sz w:val="18"/>
                <w:szCs w:val="18"/>
              </w:rPr>
              <w:t>lanned submission of final data</w:t>
            </w:r>
          </w:p>
        </w:tc>
      </w:tr>
      <w:tr w:rsidR="00C1578B" w:rsidRPr="00004B67" w14:paraId="1139FF0F" w14:textId="77777777" w:rsidTr="00C1578B">
        <w:trPr>
          <w:trHeight w:val="144"/>
        </w:trPr>
        <w:tc>
          <w:tcPr>
            <w:tcW w:w="4034" w:type="dxa"/>
          </w:tcPr>
          <w:p w14:paraId="5E3761CE" w14:textId="77777777" w:rsidR="00C1578B" w:rsidRPr="00004B67" w:rsidRDefault="00C1578B" w:rsidP="00510AC1">
            <w:pPr>
              <w:ind w:left="0"/>
              <w:rPr>
                <w:sz w:val="18"/>
                <w:szCs w:val="18"/>
              </w:rPr>
            </w:pPr>
            <w:r w:rsidRPr="00004B67">
              <w:rPr>
                <w:sz w:val="18"/>
                <w:szCs w:val="18"/>
              </w:rPr>
              <w:t>Study CT-P13 1.2: A randomized, double-blind, parallel-group, Phase 1 study to evaluate the initial pharmacokinetics, efficacy, and safety of CT-P13 compared with Remicade when co-administered with</w:t>
            </w:r>
            <w:r>
              <w:rPr>
                <w:sz w:val="18"/>
                <w:szCs w:val="18"/>
              </w:rPr>
              <w:t xml:space="preserve"> </w:t>
            </w:r>
            <w:r w:rsidRPr="00004B67">
              <w:rPr>
                <w:sz w:val="18"/>
                <w:szCs w:val="18"/>
              </w:rPr>
              <w:t>methotrexate in patients with active rheumatoid arthritis (Philippines)</w:t>
            </w:r>
          </w:p>
        </w:tc>
        <w:tc>
          <w:tcPr>
            <w:tcW w:w="2793" w:type="dxa"/>
          </w:tcPr>
          <w:p w14:paraId="0DB002CA" w14:textId="77777777" w:rsidR="00C1578B" w:rsidRPr="00004B67" w:rsidRDefault="00C1578B" w:rsidP="00510AC1">
            <w:pPr>
              <w:spacing w:before="0" w:after="0" w:line="240" w:lineRule="auto"/>
              <w:ind w:left="0"/>
              <w:rPr>
                <w:sz w:val="18"/>
                <w:szCs w:val="18"/>
              </w:rPr>
            </w:pPr>
            <w:r w:rsidRPr="00004B67">
              <w:rPr>
                <w:sz w:val="18"/>
                <w:szCs w:val="18"/>
              </w:rPr>
              <w:t>HBV reactivation</w:t>
            </w:r>
          </w:p>
          <w:p w14:paraId="3467C8E3" w14:textId="77777777" w:rsidR="00C1578B" w:rsidRPr="00004B67" w:rsidRDefault="00C1578B" w:rsidP="00510AC1">
            <w:pPr>
              <w:spacing w:before="0" w:after="0" w:line="240" w:lineRule="auto"/>
              <w:ind w:left="0"/>
              <w:rPr>
                <w:sz w:val="18"/>
                <w:szCs w:val="18"/>
              </w:rPr>
            </w:pPr>
            <w:r w:rsidRPr="00004B67">
              <w:rPr>
                <w:sz w:val="18"/>
                <w:szCs w:val="18"/>
              </w:rPr>
              <w:t>Congestive heart failure</w:t>
            </w:r>
          </w:p>
          <w:p w14:paraId="0C928D93" w14:textId="77777777" w:rsidR="00C1578B" w:rsidRPr="00004B67" w:rsidRDefault="00C1578B" w:rsidP="00510AC1">
            <w:pPr>
              <w:spacing w:before="0" w:after="0" w:line="240" w:lineRule="auto"/>
              <w:ind w:left="0"/>
              <w:rPr>
                <w:sz w:val="18"/>
                <w:szCs w:val="18"/>
              </w:rPr>
            </w:pPr>
            <w:r w:rsidRPr="00004B67">
              <w:rPr>
                <w:sz w:val="18"/>
                <w:szCs w:val="18"/>
              </w:rPr>
              <w:t>Opportunistic infections</w:t>
            </w:r>
          </w:p>
          <w:p w14:paraId="6D4E0376" w14:textId="77777777" w:rsidR="00C1578B" w:rsidRPr="00004B67" w:rsidRDefault="00C1578B" w:rsidP="00510AC1">
            <w:pPr>
              <w:spacing w:before="0" w:after="0" w:line="240" w:lineRule="auto"/>
              <w:ind w:left="0"/>
              <w:rPr>
                <w:sz w:val="18"/>
                <w:szCs w:val="18"/>
              </w:rPr>
            </w:pPr>
            <w:r w:rsidRPr="00004B67">
              <w:rPr>
                <w:sz w:val="18"/>
                <w:szCs w:val="18"/>
              </w:rPr>
              <w:t>Serious infections</w:t>
            </w:r>
          </w:p>
          <w:p w14:paraId="64E7B582" w14:textId="77777777" w:rsidR="00C1578B" w:rsidRPr="00004B67" w:rsidRDefault="00C1578B" w:rsidP="00510AC1">
            <w:pPr>
              <w:spacing w:before="0" w:after="0" w:line="240" w:lineRule="auto"/>
              <w:ind w:left="0"/>
              <w:rPr>
                <w:sz w:val="18"/>
                <w:szCs w:val="18"/>
              </w:rPr>
            </w:pPr>
            <w:r w:rsidRPr="00004B67">
              <w:rPr>
                <w:sz w:val="18"/>
                <w:szCs w:val="18"/>
              </w:rPr>
              <w:t>Tuberculosis</w:t>
            </w:r>
          </w:p>
          <w:p w14:paraId="282B2EF2" w14:textId="77777777" w:rsidR="00C1578B" w:rsidRPr="00004B67" w:rsidRDefault="00C1578B" w:rsidP="00510AC1">
            <w:pPr>
              <w:spacing w:before="0" w:after="0" w:line="240" w:lineRule="auto"/>
              <w:ind w:left="0"/>
              <w:rPr>
                <w:sz w:val="18"/>
                <w:szCs w:val="18"/>
              </w:rPr>
            </w:pPr>
            <w:r w:rsidRPr="00004B67">
              <w:rPr>
                <w:sz w:val="18"/>
                <w:szCs w:val="18"/>
              </w:rPr>
              <w:t>Serum sickness</w:t>
            </w:r>
          </w:p>
          <w:p w14:paraId="1BB4B0EA" w14:textId="77777777" w:rsidR="00C1578B" w:rsidRPr="00004B67" w:rsidRDefault="00C1578B" w:rsidP="00510AC1">
            <w:pPr>
              <w:spacing w:before="0" w:after="0" w:line="240" w:lineRule="auto"/>
              <w:ind w:left="0"/>
              <w:rPr>
                <w:sz w:val="18"/>
                <w:szCs w:val="18"/>
              </w:rPr>
            </w:pPr>
            <w:r w:rsidRPr="00004B67">
              <w:rPr>
                <w:sz w:val="18"/>
                <w:szCs w:val="18"/>
              </w:rPr>
              <w:t>Hematologic reactions</w:t>
            </w:r>
          </w:p>
          <w:p w14:paraId="7DF3C0EB" w14:textId="77777777" w:rsidR="00C1578B" w:rsidRPr="00004B67" w:rsidRDefault="00C1578B" w:rsidP="00510AC1">
            <w:pPr>
              <w:spacing w:before="0" w:after="0" w:line="240" w:lineRule="auto"/>
              <w:ind w:left="0"/>
              <w:rPr>
                <w:sz w:val="18"/>
                <w:szCs w:val="18"/>
              </w:rPr>
            </w:pPr>
            <w:r w:rsidRPr="00004B67">
              <w:rPr>
                <w:sz w:val="18"/>
                <w:szCs w:val="18"/>
              </w:rPr>
              <w:t>SLE/lupus-like syndrome</w:t>
            </w:r>
          </w:p>
          <w:p w14:paraId="0B3CF541" w14:textId="77777777" w:rsidR="00C1578B" w:rsidRPr="00004B67" w:rsidRDefault="00C1578B" w:rsidP="00510AC1">
            <w:pPr>
              <w:spacing w:before="0" w:after="0" w:line="240" w:lineRule="auto"/>
              <w:ind w:left="0"/>
              <w:rPr>
                <w:sz w:val="18"/>
                <w:szCs w:val="18"/>
              </w:rPr>
            </w:pPr>
            <w:r w:rsidRPr="00004B67">
              <w:rPr>
                <w:sz w:val="18"/>
                <w:szCs w:val="18"/>
              </w:rPr>
              <w:t>Demyelinating disorders</w:t>
            </w:r>
          </w:p>
          <w:p w14:paraId="3C997815" w14:textId="77777777" w:rsidR="00C1578B" w:rsidRPr="00004B67" w:rsidRDefault="00C1578B" w:rsidP="00510AC1">
            <w:pPr>
              <w:spacing w:before="0" w:after="0" w:line="240" w:lineRule="auto"/>
              <w:ind w:left="0"/>
              <w:rPr>
                <w:sz w:val="18"/>
                <w:szCs w:val="18"/>
              </w:rPr>
            </w:pPr>
            <w:r w:rsidRPr="00004B67">
              <w:rPr>
                <w:sz w:val="18"/>
                <w:szCs w:val="18"/>
              </w:rPr>
              <w:t>Lymphoma (not HSTCL)</w:t>
            </w:r>
          </w:p>
          <w:p w14:paraId="66A0A3AE" w14:textId="77777777" w:rsidR="00C1578B" w:rsidRPr="00004B67" w:rsidRDefault="00C1578B" w:rsidP="00510AC1">
            <w:pPr>
              <w:spacing w:before="0" w:after="0" w:line="240" w:lineRule="auto"/>
              <w:ind w:left="0"/>
              <w:rPr>
                <w:sz w:val="18"/>
                <w:szCs w:val="18"/>
              </w:rPr>
            </w:pPr>
            <w:r w:rsidRPr="00004B67">
              <w:rPr>
                <w:sz w:val="18"/>
                <w:szCs w:val="18"/>
              </w:rPr>
              <w:t>Hepatobiliary events</w:t>
            </w:r>
          </w:p>
          <w:p w14:paraId="3BB43330" w14:textId="77777777" w:rsidR="00C1578B" w:rsidRPr="00004B67" w:rsidRDefault="00C1578B" w:rsidP="00510AC1">
            <w:pPr>
              <w:spacing w:before="0" w:after="0" w:line="240" w:lineRule="auto"/>
              <w:ind w:left="0"/>
              <w:rPr>
                <w:sz w:val="18"/>
                <w:szCs w:val="18"/>
              </w:rPr>
            </w:pPr>
            <w:r w:rsidRPr="00004B67">
              <w:rPr>
                <w:sz w:val="18"/>
                <w:szCs w:val="18"/>
              </w:rPr>
              <w:t>HSTCL</w:t>
            </w:r>
          </w:p>
          <w:p w14:paraId="0B1C7E46" w14:textId="77777777" w:rsidR="00C1578B" w:rsidRPr="00004B67" w:rsidRDefault="00C1578B" w:rsidP="00510AC1">
            <w:pPr>
              <w:spacing w:before="0" w:after="0" w:line="240" w:lineRule="auto"/>
              <w:ind w:left="0"/>
              <w:rPr>
                <w:sz w:val="18"/>
                <w:szCs w:val="18"/>
              </w:rPr>
            </w:pPr>
            <w:proofErr w:type="spellStart"/>
            <w:r w:rsidRPr="00004B67">
              <w:rPr>
                <w:sz w:val="18"/>
                <w:szCs w:val="18"/>
              </w:rPr>
              <w:t>Sarcoidiosis</w:t>
            </w:r>
            <w:proofErr w:type="spellEnd"/>
            <w:r w:rsidRPr="00004B67">
              <w:rPr>
                <w:sz w:val="18"/>
                <w:szCs w:val="18"/>
              </w:rPr>
              <w:t>/sarcoid-like reactions</w:t>
            </w:r>
          </w:p>
          <w:p w14:paraId="5F2501FE" w14:textId="77777777" w:rsidR="00C1578B" w:rsidRPr="00004B67" w:rsidRDefault="00C1578B" w:rsidP="00510AC1">
            <w:pPr>
              <w:spacing w:before="0" w:after="0" w:line="240" w:lineRule="auto"/>
              <w:ind w:left="0"/>
              <w:rPr>
                <w:sz w:val="18"/>
                <w:szCs w:val="18"/>
              </w:rPr>
            </w:pPr>
            <w:r w:rsidRPr="00004B67">
              <w:rPr>
                <w:sz w:val="18"/>
                <w:szCs w:val="18"/>
              </w:rPr>
              <w:t>Leukaemia</w:t>
            </w:r>
          </w:p>
          <w:p w14:paraId="29CA60D1" w14:textId="77777777" w:rsidR="00C1578B" w:rsidRPr="00004B67" w:rsidRDefault="00C1578B" w:rsidP="00510AC1">
            <w:pPr>
              <w:spacing w:before="0" w:after="0" w:line="240" w:lineRule="auto"/>
              <w:ind w:left="0"/>
              <w:rPr>
                <w:sz w:val="18"/>
                <w:szCs w:val="18"/>
              </w:rPr>
            </w:pPr>
            <w:r w:rsidRPr="00004B67">
              <w:rPr>
                <w:sz w:val="18"/>
                <w:szCs w:val="18"/>
              </w:rPr>
              <w:t>Malignancy (excluding lymphoma)</w:t>
            </w:r>
          </w:p>
          <w:p w14:paraId="53F0E8D9" w14:textId="77777777" w:rsidR="00C1578B" w:rsidRPr="00004B67" w:rsidRDefault="00C1578B" w:rsidP="00510AC1">
            <w:pPr>
              <w:spacing w:before="0" w:after="0" w:line="240" w:lineRule="auto"/>
              <w:ind w:left="0"/>
              <w:rPr>
                <w:sz w:val="18"/>
                <w:szCs w:val="18"/>
              </w:rPr>
            </w:pPr>
            <w:r w:rsidRPr="00004B67">
              <w:rPr>
                <w:sz w:val="18"/>
                <w:szCs w:val="18"/>
              </w:rPr>
              <w:t>Skin cancer</w:t>
            </w:r>
          </w:p>
          <w:p w14:paraId="5C21AC24" w14:textId="77777777" w:rsidR="00C1578B" w:rsidRPr="00004B67" w:rsidRDefault="00C1578B" w:rsidP="00510AC1">
            <w:pPr>
              <w:spacing w:before="0" w:after="0" w:line="240" w:lineRule="auto"/>
              <w:ind w:left="0"/>
              <w:rPr>
                <w:sz w:val="18"/>
                <w:szCs w:val="18"/>
              </w:rPr>
            </w:pPr>
            <w:r w:rsidRPr="00004B67">
              <w:rPr>
                <w:sz w:val="18"/>
                <w:szCs w:val="18"/>
              </w:rPr>
              <w:t>Pregnancy exposure</w:t>
            </w:r>
          </w:p>
          <w:p w14:paraId="12D5BCB8" w14:textId="77777777" w:rsidR="00C1578B" w:rsidRPr="00004B67" w:rsidRDefault="00C1578B" w:rsidP="00510AC1">
            <w:pPr>
              <w:spacing w:before="0" w:after="0" w:line="240" w:lineRule="auto"/>
              <w:ind w:left="0"/>
              <w:rPr>
                <w:sz w:val="18"/>
                <w:szCs w:val="18"/>
              </w:rPr>
            </w:pPr>
            <w:r w:rsidRPr="00004B67">
              <w:rPr>
                <w:sz w:val="18"/>
                <w:szCs w:val="18"/>
              </w:rPr>
              <w:t>Lack of efficacy</w:t>
            </w:r>
          </w:p>
          <w:p w14:paraId="2CB597F1" w14:textId="77777777" w:rsidR="00C1578B" w:rsidRPr="00004B67" w:rsidRDefault="00C1578B" w:rsidP="00510AC1">
            <w:pPr>
              <w:spacing w:before="0" w:after="0" w:line="240" w:lineRule="auto"/>
              <w:ind w:left="0"/>
              <w:rPr>
                <w:sz w:val="18"/>
                <w:szCs w:val="18"/>
              </w:rPr>
            </w:pPr>
            <w:r w:rsidRPr="00004B67">
              <w:rPr>
                <w:sz w:val="18"/>
                <w:szCs w:val="18"/>
              </w:rPr>
              <w:t>Hypersensitivity</w:t>
            </w:r>
          </w:p>
        </w:tc>
        <w:tc>
          <w:tcPr>
            <w:tcW w:w="1904" w:type="dxa"/>
          </w:tcPr>
          <w:p w14:paraId="4D92BBC3" w14:textId="77777777" w:rsidR="00C1578B" w:rsidRPr="00004B67" w:rsidRDefault="00C1578B" w:rsidP="00510AC1">
            <w:pPr>
              <w:ind w:left="0"/>
              <w:rPr>
                <w:sz w:val="18"/>
                <w:szCs w:val="18"/>
              </w:rPr>
            </w:pPr>
            <w:r w:rsidRPr="00004B67">
              <w:rPr>
                <w:sz w:val="18"/>
                <w:szCs w:val="18"/>
              </w:rPr>
              <w:t>September 2013</w:t>
            </w:r>
          </w:p>
        </w:tc>
      </w:tr>
      <w:tr w:rsidR="00C1578B" w:rsidRPr="00004B67" w14:paraId="7C24FD93" w14:textId="77777777" w:rsidTr="00C1578B">
        <w:trPr>
          <w:trHeight w:val="144"/>
        </w:trPr>
        <w:tc>
          <w:tcPr>
            <w:tcW w:w="4034" w:type="dxa"/>
          </w:tcPr>
          <w:p w14:paraId="78FAA668" w14:textId="77777777" w:rsidR="00C1578B" w:rsidRPr="00004B67" w:rsidRDefault="00C1578B" w:rsidP="00510AC1">
            <w:pPr>
              <w:ind w:left="0"/>
              <w:rPr>
                <w:sz w:val="18"/>
                <w:szCs w:val="18"/>
              </w:rPr>
            </w:pPr>
            <w:r w:rsidRPr="00004B67">
              <w:rPr>
                <w:sz w:val="18"/>
                <w:szCs w:val="18"/>
              </w:rPr>
              <w:t>Study CT-P13 1.3: An open-label, single-arm, extension study to demonstrate long-term efficacy and safety of CT-P13 in patients with ankylosing spondylitis who were treated with Infliximab (Remicade or CT-P13) in Study CT-P13 1.1 (Global)</w:t>
            </w:r>
          </w:p>
        </w:tc>
        <w:tc>
          <w:tcPr>
            <w:tcW w:w="2793" w:type="dxa"/>
          </w:tcPr>
          <w:p w14:paraId="42CEDA51" w14:textId="77777777" w:rsidR="00C1578B" w:rsidRPr="00004B67" w:rsidRDefault="00C1578B" w:rsidP="00510AC1">
            <w:pPr>
              <w:spacing w:before="0" w:after="0" w:line="240" w:lineRule="auto"/>
              <w:ind w:left="0"/>
              <w:rPr>
                <w:sz w:val="18"/>
                <w:szCs w:val="18"/>
              </w:rPr>
            </w:pPr>
            <w:r>
              <w:rPr>
                <w:sz w:val="18"/>
                <w:szCs w:val="18"/>
              </w:rPr>
              <w:t>Same as for Study CT-P13 1.2</w:t>
            </w:r>
          </w:p>
        </w:tc>
        <w:tc>
          <w:tcPr>
            <w:tcW w:w="1904" w:type="dxa"/>
          </w:tcPr>
          <w:p w14:paraId="149A3D0E" w14:textId="77777777" w:rsidR="00C1578B" w:rsidRPr="00004B67" w:rsidRDefault="00C1578B" w:rsidP="00510AC1">
            <w:pPr>
              <w:ind w:left="0"/>
              <w:rPr>
                <w:sz w:val="18"/>
                <w:szCs w:val="18"/>
              </w:rPr>
            </w:pPr>
            <w:r w:rsidRPr="00004B67">
              <w:rPr>
                <w:sz w:val="18"/>
                <w:szCs w:val="18"/>
              </w:rPr>
              <w:t>December 2013</w:t>
            </w:r>
          </w:p>
        </w:tc>
      </w:tr>
      <w:tr w:rsidR="00C1578B" w:rsidRPr="00004B67" w14:paraId="06CE27A3" w14:textId="77777777" w:rsidTr="00C1578B">
        <w:trPr>
          <w:trHeight w:val="144"/>
        </w:trPr>
        <w:tc>
          <w:tcPr>
            <w:tcW w:w="4034" w:type="dxa"/>
          </w:tcPr>
          <w:p w14:paraId="3220F926" w14:textId="77777777" w:rsidR="00C1578B" w:rsidRPr="00004B67" w:rsidRDefault="00C1578B" w:rsidP="00510AC1">
            <w:pPr>
              <w:ind w:left="0"/>
              <w:rPr>
                <w:sz w:val="18"/>
                <w:szCs w:val="18"/>
              </w:rPr>
            </w:pPr>
            <w:r w:rsidRPr="00004B67">
              <w:rPr>
                <w:sz w:val="18"/>
                <w:szCs w:val="18"/>
              </w:rPr>
              <w:t>Study CT-P13 3.2: An open-label, single-arm, extension study to demonstrate long-term efficacy and safety of CT-P13 when co-administered with methotrexate in patients with rheumatoid arthritis who were treated with infliximab (Remicade or CT-P13) in Study CT-P13 3.1 (Global)</w:t>
            </w:r>
          </w:p>
        </w:tc>
        <w:tc>
          <w:tcPr>
            <w:tcW w:w="2793" w:type="dxa"/>
          </w:tcPr>
          <w:p w14:paraId="3602ED50" w14:textId="77777777" w:rsidR="00C1578B" w:rsidRPr="00004B67" w:rsidRDefault="00C1578B" w:rsidP="00510AC1">
            <w:pPr>
              <w:spacing w:before="0" w:after="0" w:line="240" w:lineRule="auto"/>
              <w:ind w:left="0"/>
              <w:rPr>
                <w:sz w:val="18"/>
                <w:szCs w:val="18"/>
              </w:rPr>
            </w:pPr>
            <w:r w:rsidRPr="009852E9">
              <w:rPr>
                <w:sz w:val="18"/>
                <w:szCs w:val="18"/>
              </w:rPr>
              <w:t>Same as for Study CT-P13 1.2</w:t>
            </w:r>
          </w:p>
        </w:tc>
        <w:tc>
          <w:tcPr>
            <w:tcW w:w="1904" w:type="dxa"/>
          </w:tcPr>
          <w:p w14:paraId="2956ECFB" w14:textId="77777777" w:rsidR="00C1578B" w:rsidRPr="00004B67" w:rsidRDefault="00C1578B" w:rsidP="00510AC1">
            <w:pPr>
              <w:ind w:left="0"/>
              <w:rPr>
                <w:sz w:val="18"/>
                <w:szCs w:val="18"/>
              </w:rPr>
            </w:pPr>
            <w:r w:rsidRPr="00004B67">
              <w:rPr>
                <w:sz w:val="18"/>
                <w:szCs w:val="18"/>
              </w:rPr>
              <w:t>December 2013</w:t>
            </w:r>
          </w:p>
        </w:tc>
      </w:tr>
      <w:tr w:rsidR="00C1578B" w:rsidRPr="00004B67" w14:paraId="29738083" w14:textId="77777777" w:rsidTr="00C1578B">
        <w:trPr>
          <w:trHeight w:val="144"/>
        </w:trPr>
        <w:tc>
          <w:tcPr>
            <w:tcW w:w="4034" w:type="dxa"/>
          </w:tcPr>
          <w:p w14:paraId="2DD35283" w14:textId="77777777" w:rsidR="00C1578B" w:rsidRPr="00004B67" w:rsidRDefault="00C1578B" w:rsidP="00510AC1">
            <w:pPr>
              <w:ind w:left="0"/>
              <w:rPr>
                <w:sz w:val="18"/>
                <w:szCs w:val="18"/>
              </w:rPr>
            </w:pPr>
            <w:r w:rsidRPr="00004B67">
              <w:rPr>
                <w:sz w:val="18"/>
                <w:szCs w:val="18"/>
              </w:rPr>
              <w:t>Study CT-P13 3.3: Phase 3 study to demonstrate equivalence in efficacy and safety of CT-P13 Compared With Remicade when co-administered with methotrexate in patients with active rheumatoid arthritis (Russia)</w:t>
            </w:r>
          </w:p>
        </w:tc>
        <w:tc>
          <w:tcPr>
            <w:tcW w:w="2793" w:type="dxa"/>
          </w:tcPr>
          <w:p w14:paraId="1F112B35" w14:textId="77777777" w:rsidR="00C1578B" w:rsidRPr="00004B67" w:rsidRDefault="00C1578B" w:rsidP="00510AC1">
            <w:pPr>
              <w:spacing w:before="0" w:after="0" w:line="240" w:lineRule="auto"/>
              <w:ind w:left="0"/>
              <w:rPr>
                <w:sz w:val="18"/>
                <w:szCs w:val="18"/>
              </w:rPr>
            </w:pPr>
            <w:r w:rsidRPr="009852E9">
              <w:rPr>
                <w:sz w:val="18"/>
                <w:szCs w:val="18"/>
              </w:rPr>
              <w:t>Same as for Study CT-P13 1.2</w:t>
            </w:r>
          </w:p>
        </w:tc>
        <w:tc>
          <w:tcPr>
            <w:tcW w:w="1904" w:type="dxa"/>
          </w:tcPr>
          <w:p w14:paraId="70B34BE5" w14:textId="77777777" w:rsidR="00C1578B" w:rsidRPr="00004B67" w:rsidRDefault="00C1578B" w:rsidP="00510AC1">
            <w:pPr>
              <w:ind w:left="0"/>
              <w:rPr>
                <w:sz w:val="18"/>
                <w:szCs w:val="18"/>
              </w:rPr>
            </w:pPr>
            <w:r w:rsidRPr="00004B67">
              <w:rPr>
                <w:sz w:val="18"/>
                <w:szCs w:val="18"/>
              </w:rPr>
              <w:t>August 2014</w:t>
            </w:r>
          </w:p>
        </w:tc>
      </w:tr>
      <w:tr w:rsidR="00C1578B" w:rsidRPr="00004B67" w14:paraId="33FFCA22" w14:textId="77777777" w:rsidTr="00C1578B">
        <w:trPr>
          <w:trHeight w:val="144"/>
        </w:trPr>
        <w:tc>
          <w:tcPr>
            <w:tcW w:w="4034" w:type="dxa"/>
          </w:tcPr>
          <w:p w14:paraId="4F15DFDB" w14:textId="77777777" w:rsidR="00C1578B" w:rsidRPr="00004B67" w:rsidRDefault="00C1578B" w:rsidP="00510AC1">
            <w:pPr>
              <w:ind w:left="0"/>
              <w:rPr>
                <w:sz w:val="18"/>
                <w:szCs w:val="18"/>
              </w:rPr>
            </w:pPr>
            <w:r w:rsidRPr="00004B67">
              <w:rPr>
                <w:sz w:val="18"/>
                <w:szCs w:val="18"/>
              </w:rPr>
              <w:t>Study B1P13101: Double-blind, Parallel-group, Comparative study of CT-P13 and Remicade in Treatment of Patients wi</w:t>
            </w:r>
            <w:r>
              <w:rPr>
                <w:sz w:val="18"/>
                <w:szCs w:val="18"/>
              </w:rPr>
              <w:t>th Rheumatoid Arthritis (Japan)</w:t>
            </w:r>
          </w:p>
        </w:tc>
        <w:tc>
          <w:tcPr>
            <w:tcW w:w="2793" w:type="dxa"/>
          </w:tcPr>
          <w:p w14:paraId="1539AC3A" w14:textId="77777777" w:rsidR="00C1578B" w:rsidRPr="00004B67" w:rsidRDefault="00C1578B" w:rsidP="00510AC1">
            <w:pPr>
              <w:spacing w:before="0" w:after="0" w:line="240" w:lineRule="auto"/>
              <w:ind w:left="0"/>
              <w:rPr>
                <w:sz w:val="18"/>
                <w:szCs w:val="18"/>
              </w:rPr>
            </w:pPr>
            <w:r w:rsidRPr="009852E9">
              <w:rPr>
                <w:sz w:val="18"/>
                <w:szCs w:val="18"/>
              </w:rPr>
              <w:t>Same as for Study CT-P13 1.2</w:t>
            </w:r>
          </w:p>
        </w:tc>
        <w:tc>
          <w:tcPr>
            <w:tcW w:w="1904" w:type="dxa"/>
          </w:tcPr>
          <w:p w14:paraId="6090F47A" w14:textId="77777777" w:rsidR="00C1578B" w:rsidRPr="00004B67" w:rsidRDefault="00C1578B" w:rsidP="00510AC1">
            <w:pPr>
              <w:ind w:left="0"/>
              <w:rPr>
                <w:sz w:val="18"/>
                <w:szCs w:val="18"/>
              </w:rPr>
            </w:pPr>
            <w:r w:rsidRPr="00004B67">
              <w:rPr>
                <w:sz w:val="18"/>
                <w:szCs w:val="18"/>
              </w:rPr>
              <w:t>September 2013</w:t>
            </w:r>
          </w:p>
        </w:tc>
      </w:tr>
      <w:tr w:rsidR="00C1578B" w:rsidRPr="00004B67" w14:paraId="0DD1EB8C" w14:textId="77777777" w:rsidTr="00C1578B">
        <w:trPr>
          <w:trHeight w:val="144"/>
        </w:trPr>
        <w:tc>
          <w:tcPr>
            <w:tcW w:w="4034" w:type="dxa"/>
          </w:tcPr>
          <w:p w14:paraId="76FA3DB6" w14:textId="77777777" w:rsidR="00C1578B" w:rsidRPr="00004B67" w:rsidRDefault="00C1578B" w:rsidP="00510AC1">
            <w:pPr>
              <w:ind w:left="0"/>
              <w:rPr>
                <w:sz w:val="18"/>
                <w:szCs w:val="18"/>
              </w:rPr>
            </w:pPr>
            <w:r w:rsidRPr="00004B67">
              <w:rPr>
                <w:sz w:val="18"/>
                <w:szCs w:val="18"/>
              </w:rPr>
              <w:lastRenderedPageBreak/>
              <w:t>Study B2P13111 Extension Study of the Phase I/II Clinical Study of CT-P13 in Treatment of Patients with Rheumatoid Arthritis (Japan)</w:t>
            </w:r>
          </w:p>
        </w:tc>
        <w:tc>
          <w:tcPr>
            <w:tcW w:w="2793" w:type="dxa"/>
          </w:tcPr>
          <w:p w14:paraId="791E5444" w14:textId="77777777" w:rsidR="00C1578B" w:rsidRPr="00004B67" w:rsidRDefault="00C1578B" w:rsidP="00510AC1">
            <w:pPr>
              <w:spacing w:before="0" w:after="0" w:line="240" w:lineRule="auto"/>
              <w:ind w:left="0"/>
              <w:rPr>
                <w:sz w:val="18"/>
                <w:szCs w:val="18"/>
              </w:rPr>
            </w:pPr>
            <w:r w:rsidRPr="009852E9">
              <w:rPr>
                <w:sz w:val="18"/>
                <w:szCs w:val="18"/>
              </w:rPr>
              <w:t>Same as for Study CT-P13 1.2</w:t>
            </w:r>
          </w:p>
        </w:tc>
        <w:tc>
          <w:tcPr>
            <w:tcW w:w="1904" w:type="dxa"/>
          </w:tcPr>
          <w:p w14:paraId="1B93BD4D" w14:textId="77777777" w:rsidR="00C1578B" w:rsidRPr="00004B67" w:rsidRDefault="00C1578B" w:rsidP="00510AC1">
            <w:pPr>
              <w:ind w:left="0"/>
              <w:rPr>
                <w:sz w:val="18"/>
                <w:szCs w:val="18"/>
              </w:rPr>
            </w:pPr>
            <w:r w:rsidRPr="00004B67">
              <w:rPr>
                <w:sz w:val="18"/>
                <w:szCs w:val="18"/>
              </w:rPr>
              <w:t>February 2015</w:t>
            </w:r>
          </w:p>
        </w:tc>
      </w:tr>
      <w:tr w:rsidR="00C1578B" w:rsidRPr="00004B67" w14:paraId="56F5405A" w14:textId="77777777" w:rsidTr="00C1578B">
        <w:trPr>
          <w:trHeight w:val="144"/>
        </w:trPr>
        <w:tc>
          <w:tcPr>
            <w:tcW w:w="4034" w:type="dxa"/>
          </w:tcPr>
          <w:p w14:paraId="494612A8" w14:textId="77777777" w:rsidR="00C1578B" w:rsidRPr="00004B67" w:rsidRDefault="00C1578B" w:rsidP="00510AC1">
            <w:pPr>
              <w:ind w:left="0"/>
              <w:rPr>
                <w:sz w:val="18"/>
                <w:szCs w:val="18"/>
              </w:rPr>
            </w:pPr>
            <w:r w:rsidRPr="00004B67">
              <w:rPr>
                <w:sz w:val="18"/>
                <w:szCs w:val="18"/>
              </w:rPr>
              <w:t xml:space="preserve">Registry CT-P13 4.2: An Observational, Prospective Cohort Study to Evaluate Safety and Efficacy of </w:t>
            </w:r>
            <w:r w:rsidR="00525466">
              <w:rPr>
                <w:sz w:val="18"/>
                <w:szCs w:val="18"/>
              </w:rPr>
              <w:t>Inflectra</w:t>
            </w:r>
            <w:r w:rsidRPr="00004B67">
              <w:rPr>
                <w:sz w:val="18"/>
                <w:szCs w:val="18"/>
              </w:rPr>
              <w:t xml:space="preserve"> in Patients with Rheu</w:t>
            </w:r>
            <w:r>
              <w:rPr>
                <w:sz w:val="18"/>
                <w:szCs w:val="18"/>
              </w:rPr>
              <w:t xml:space="preserve">matoid Arthritis (EU and Korea). </w:t>
            </w:r>
            <w:r w:rsidRPr="00004B67">
              <w:rPr>
                <w:sz w:val="18"/>
                <w:szCs w:val="18"/>
              </w:rPr>
              <w:t>Protocol available</w:t>
            </w:r>
          </w:p>
        </w:tc>
        <w:tc>
          <w:tcPr>
            <w:tcW w:w="2793" w:type="dxa"/>
          </w:tcPr>
          <w:p w14:paraId="204684BC" w14:textId="77777777" w:rsidR="00C1578B" w:rsidRPr="00004B67" w:rsidRDefault="00C1578B" w:rsidP="00510AC1">
            <w:pPr>
              <w:spacing w:before="0" w:after="0" w:line="240" w:lineRule="auto"/>
              <w:ind w:left="0"/>
              <w:rPr>
                <w:sz w:val="18"/>
                <w:szCs w:val="18"/>
              </w:rPr>
            </w:pPr>
            <w:r w:rsidRPr="0068358E">
              <w:rPr>
                <w:sz w:val="18"/>
                <w:szCs w:val="18"/>
              </w:rPr>
              <w:t>Same as for Study CT-P13 1.2</w:t>
            </w:r>
            <w:r>
              <w:rPr>
                <w:sz w:val="18"/>
                <w:szCs w:val="18"/>
              </w:rPr>
              <w:t xml:space="preserve"> with the following additional;</w:t>
            </w:r>
          </w:p>
          <w:p w14:paraId="4C5EE1A2" w14:textId="77777777" w:rsidR="00C1578B" w:rsidRPr="00004B67" w:rsidRDefault="00C1578B" w:rsidP="00510AC1">
            <w:pPr>
              <w:spacing w:before="0" w:after="0" w:line="240" w:lineRule="auto"/>
              <w:ind w:left="0"/>
              <w:rPr>
                <w:sz w:val="18"/>
                <w:szCs w:val="18"/>
              </w:rPr>
            </w:pPr>
            <w:r w:rsidRPr="00004B67">
              <w:rPr>
                <w:sz w:val="18"/>
                <w:szCs w:val="18"/>
              </w:rPr>
              <w:t>Serious infusion reactions during a re</w:t>
            </w:r>
            <w:r>
              <w:rPr>
                <w:sz w:val="18"/>
                <w:szCs w:val="18"/>
              </w:rPr>
              <w:t>-</w:t>
            </w:r>
            <w:r w:rsidRPr="00004B67">
              <w:rPr>
                <w:sz w:val="18"/>
                <w:szCs w:val="18"/>
              </w:rPr>
              <w:t>induction regimen following a disease flare</w:t>
            </w:r>
          </w:p>
          <w:p w14:paraId="6F02ECAC" w14:textId="77777777" w:rsidR="00C1578B" w:rsidRPr="00004B67" w:rsidRDefault="00C1578B" w:rsidP="00510AC1">
            <w:pPr>
              <w:spacing w:before="0" w:after="0" w:line="240" w:lineRule="auto"/>
              <w:ind w:left="0"/>
              <w:rPr>
                <w:sz w:val="18"/>
                <w:szCs w:val="18"/>
              </w:rPr>
            </w:pPr>
            <w:r w:rsidRPr="00004B67">
              <w:rPr>
                <w:sz w:val="18"/>
                <w:szCs w:val="18"/>
              </w:rPr>
              <w:t>Infusion reaction associated with shortened infusion duration (in RA)</w:t>
            </w:r>
          </w:p>
          <w:p w14:paraId="5E3E871B" w14:textId="77777777" w:rsidR="00C1578B" w:rsidRPr="00004B67" w:rsidRDefault="00C1578B" w:rsidP="00510AC1">
            <w:pPr>
              <w:spacing w:before="0" w:after="0" w:line="240" w:lineRule="auto"/>
              <w:ind w:left="0"/>
              <w:rPr>
                <w:sz w:val="18"/>
                <w:szCs w:val="18"/>
              </w:rPr>
            </w:pPr>
            <w:r w:rsidRPr="00004B67">
              <w:rPr>
                <w:sz w:val="18"/>
                <w:szCs w:val="18"/>
              </w:rPr>
              <w:t>Use of infliximab during lactation</w:t>
            </w:r>
          </w:p>
        </w:tc>
        <w:tc>
          <w:tcPr>
            <w:tcW w:w="1904" w:type="dxa"/>
          </w:tcPr>
          <w:p w14:paraId="1FD20422" w14:textId="77777777" w:rsidR="00C1578B" w:rsidRPr="00004B67" w:rsidRDefault="00C1578B" w:rsidP="00510AC1">
            <w:pPr>
              <w:ind w:left="0"/>
              <w:rPr>
                <w:sz w:val="18"/>
                <w:szCs w:val="18"/>
              </w:rPr>
            </w:pPr>
            <w:r w:rsidRPr="00004B67">
              <w:rPr>
                <w:sz w:val="18"/>
                <w:szCs w:val="18"/>
              </w:rPr>
              <w:t>May 2026</w:t>
            </w:r>
          </w:p>
        </w:tc>
      </w:tr>
      <w:tr w:rsidR="00C1578B" w:rsidRPr="00004B67" w14:paraId="1F332F23" w14:textId="77777777" w:rsidTr="00C1578B">
        <w:trPr>
          <w:trHeight w:val="144"/>
        </w:trPr>
        <w:tc>
          <w:tcPr>
            <w:tcW w:w="4034" w:type="dxa"/>
          </w:tcPr>
          <w:p w14:paraId="19B298C9" w14:textId="08271E35" w:rsidR="00C1578B" w:rsidRPr="00004B67" w:rsidRDefault="00C1578B" w:rsidP="00510AC1">
            <w:pPr>
              <w:ind w:left="0"/>
              <w:rPr>
                <w:sz w:val="18"/>
                <w:szCs w:val="18"/>
              </w:rPr>
            </w:pPr>
            <w:r w:rsidRPr="00004B67">
              <w:rPr>
                <w:sz w:val="18"/>
                <w:szCs w:val="18"/>
              </w:rPr>
              <w:t xml:space="preserve">Post Marketing Surveillance of </w:t>
            </w:r>
            <w:r w:rsidR="00525466">
              <w:rPr>
                <w:sz w:val="18"/>
                <w:szCs w:val="18"/>
              </w:rPr>
              <w:t>Inflectra</w:t>
            </w:r>
            <w:r w:rsidRPr="00004B67">
              <w:rPr>
                <w:sz w:val="18"/>
                <w:szCs w:val="18"/>
              </w:rPr>
              <w:t xml:space="preserve"> 100</w:t>
            </w:r>
            <w:r w:rsidR="001638EC">
              <w:rPr>
                <w:sz w:val="18"/>
                <w:szCs w:val="18"/>
              </w:rPr>
              <w:t> </w:t>
            </w:r>
            <w:r w:rsidRPr="00004B67">
              <w:rPr>
                <w:sz w:val="18"/>
                <w:szCs w:val="18"/>
              </w:rPr>
              <w:t>mg (Infliximab) (Monoclonal antibody recombinant DNA product) to Evaluate Safety and Efficacy in Korea.</w:t>
            </w:r>
          </w:p>
        </w:tc>
        <w:tc>
          <w:tcPr>
            <w:tcW w:w="2793" w:type="dxa"/>
          </w:tcPr>
          <w:p w14:paraId="739C138F" w14:textId="77777777" w:rsidR="00C1578B" w:rsidRPr="00004B67" w:rsidRDefault="00C1578B" w:rsidP="00510AC1">
            <w:pPr>
              <w:spacing w:before="0" w:after="0" w:line="240" w:lineRule="auto"/>
              <w:ind w:left="0"/>
              <w:rPr>
                <w:sz w:val="18"/>
                <w:szCs w:val="18"/>
              </w:rPr>
            </w:pPr>
            <w:r w:rsidRPr="0068358E">
              <w:rPr>
                <w:sz w:val="18"/>
                <w:szCs w:val="18"/>
              </w:rPr>
              <w:t>Same as for Study CT-P13 1.2</w:t>
            </w:r>
            <w:r>
              <w:rPr>
                <w:sz w:val="18"/>
                <w:szCs w:val="18"/>
              </w:rPr>
              <w:t xml:space="preserve"> with the following additional;</w:t>
            </w:r>
          </w:p>
          <w:p w14:paraId="45A74C29" w14:textId="77777777" w:rsidR="00C1578B" w:rsidRPr="00004B67" w:rsidRDefault="00C1578B" w:rsidP="00510AC1">
            <w:pPr>
              <w:spacing w:before="0" w:after="0" w:line="240" w:lineRule="auto"/>
              <w:ind w:left="0"/>
              <w:rPr>
                <w:sz w:val="18"/>
                <w:szCs w:val="18"/>
              </w:rPr>
            </w:pPr>
            <w:r w:rsidRPr="00004B67">
              <w:rPr>
                <w:sz w:val="18"/>
                <w:szCs w:val="18"/>
              </w:rPr>
              <w:t>Intestinal and perianal abscess (in CD)</w:t>
            </w:r>
          </w:p>
          <w:p w14:paraId="3E219A6F" w14:textId="77777777" w:rsidR="00C1578B" w:rsidRPr="00004B67" w:rsidRDefault="00C1578B" w:rsidP="00510AC1">
            <w:pPr>
              <w:spacing w:before="0" w:after="0" w:line="240" w:lineRule="auto"/>
              <w:ind w:left="0"/>
              <w:rPr>
                <w:sz w:val="18"/>
                <w:szCs w:val="18"/>
              </w:rPr>
            </w:pPr>
            <w:r w:rsidRPr="00004B67">
              <w:rPr>
                <w:sz w:val="18"/>
                <w:szCs w:val="18"/>
              </w:rPr>
              <w:t>Serious infusion reactions during a re</w:t>
            </w:r>
            <w:r>
              <w:rPr>
                <w:sz w:val="18"/>
                <w:szCs w:val="18"/>
              </w:rPr>
              <w:t>-</w:t>
            </w:r>
            <w:r w:rsidRPr="00004B67">
              <w:rPr>
                <w:sz w:val="18"/>
                <w:szCs w:val="18"/>
              </w:rPr>
              <w:t>induction regimen following a disease flare</w:t>
            </w:r>
          </w:p>
          <w:p w14:paraId="2A2E707D" w14:textId="77777777" w:rsidR="00C1578B" w:rsidRPr="00004B67" w:rsidRDefault="00C1578B" w:rsidP="00510AC1">
            <w:pPr>
              <w:spacing w:before="0" w:after="0" w:line="240" w:lineRule="auto"/>
              <w:ind w:left="0"/>
              <w:rPr>
                <w:sz w:val="18"/>
                <w:szCs w:val="18"/>
              </w:rPr>
            </w:pPr>
            <w:r w:rsidRPr="00004B67">
              <w:rPr>
                <w:sz w:val="18"/>
                <w:szCs w:val="18"/>
              </w:rPr>
              <w:t>Colon carcinoma/dysplasia (in UC)</w:t>
            </w:r>
          </w:p>
          <w:p w14:paraId="529E2EEB" w14:textId="77777777" w:rsidR="00C1578B" w:rsidRPr="00004B67" w:rsidRDefault="00C1578B" w:rsidP="00510AC1">
            <w:pPr>
              <w:spacing w:before="0" w:after="0" w:line="240" w:lineRule="auto"/>
              <w:ind w:left="0"/>
              <w:rPr>
                <w:sz w:val="18"/>
                <w:szCs w:val="18"/>
              </w:rPr>
            </w:pPr>
            <w:r w:rsidRPr="00004B67">
              <w:rPr>
                <w:sz w:val="18"/>
                <w:szCs w:val="18"/>
              </w:rPr>
              <w:t>Infusion reaction associated with shortened infusion duration (in RA)</w:t>
            </w:r>
          </w:p>
          <w:p w14:paraId="197AE077" w14:textId="77777777" w:rsidR="00C1578B" w:rsidRPr="00004B67" w:rsidRDefault="00C1578B" w:rsidP="00510AC1">
            <w:pPr>
              <w:spacing w:before="0" w:after="0" w:line="240" w:lineRule="auto"/>
              <w:ind w:left="0"/>
              <w:rPr>
                <w:sz w:val="18"/>
                <w:szCs w:val="18"/>
              </w:rPr>
            </w:pPr>
            <w:r w:rsidRPr="00004B67">
              <w:rPr>
                <w:sz w:val="18"/>
                <w:szCs w:val="18"/>
              </w:rPr>
              <w:t>Bowel stenosis, stricture, obstruction (in CD)</w:t>
            </w:r>
          </w:p>
          <w:p w14:paraId="1A01E8B5" w14:textId="77777777" w:rsidR="00C1578B" w:rsidRPr="00004B67" w:rsidRDefault="00C1578B" w:rsidP="00510AC1">
            <w:pPr>
              <w:spacing w:before="0" w:after="0" w:line="240" w:lineRule="auto"/>
              <w:ind w:left="0"/>
              <w:rPr>
                <w:sz w:val="18"/>
                <w:szCs w:val="18"/>
              </w:rPr>
            </w:pPr>
            <w:r w:rsidRPr="00004B67">
              <w:rPr>
                <w:sz w:val="18"/>
                <w:szCs w:val="18"/>
              </w:rPr>
              <w:t>Long-term safety in adult patients with ulcerative colitis, psoriatic arthritis, or psoriasis</w:t>
            </w:r>
          </w:p>
          <w:p w14:paraId="5649396D" w14:textId="77777777" w:rsidR="00C1578B" w:rsidRPr="00004B67" w:rsidRDefault="00C1578B" w:rsidP="00510AC1">
            <w:pPr>
              <w:spacing w:before="0" w:after="0" w:line="240" w:lineRule="auto"/>
              <w:ind w:left="0"/>
              <w:rPr>
                <w:sz w:val="18"/>
                <w:szCs w:val="18"/>
              </w:rPr>
            </w:pPr>
            <w:r w:rsidRPr="00004B67">
              <w:rPr>
                <w:sz w:val="18"/>
                <w:szCs w:val="18"/>
              </w:rPr>
              <w:t>Use of infliximab during lactation</w:t>
            </w:r>
          </w:p>
        </w:tc>
        <w:tc>
          <w:tcPr>
            <w:tcW w:w="1904" w:type="dxa"/>
          </w:tcPr>
          <w:p w14:paraId="522CE3FC" w14:textId="77777777" w:rsidR="00C1578B" w:rsidRPr="00004B67" w:rsidRDefault="00C1578B" w:rsidP="00510AC1">
            <w:pPr>
              <w:ind w:left="0"/>
              <w:rPr>
                <w:sz w:val="18"/>
                <w:szCs w:val="18"/>
              </w:rPr>
            </w:pPr>
            <w:r w:rsidRPr="00004B67">
              <w:rPr>
                <w:sz w:val="18"/>
                <w:szCs w:val="18"/>
              </w:rPr>
              <w:t>October 2016</w:t>
            </w:r>
          </w:p>
        </w:tc>
      </w:tr>
      <w:tr w:rsidR="00C1578B" w:rsidRPr="00004B67" w14:paraId="6A681F53" w14:textId="77777777" w:rsidTr="00C1578B">
        <w:trPr>
          <w:trHeight w:val="144"/>
        </w:trPr>
        <w:tc>
          <w:tcPr>
            <w:tcW w:w="4034" w:type="dxa"/>
          </w:tcPr>
          <w:p w14:paraId="09A41D79" w14:textId="77777777" w:rsidR="00C1578B" w:rsidRPr="00004B67" w:rsidRDefault="00C1578B" w:rsidP="00510AC1">
            <w:pPr>
              <w:ind w:left="0"/>
              <w:rPr>
                <w:sz w:val="18"/>
                <w:szCs w:val="18"/>
              </w:rPr>
            </w:pPr>
            <w:r w:rsidRPr="00004B67">
              <w:rPr>
                <w:sz w:val="18"/>
                <w:szCs w:val="18"/>
              </w:rPr>
              <w:t>British Society for Rheumatology Biologics Register – Rheumatoid Arthritis (BSRBRRA): A longitudinal observational study of patients with rheumatoid arthritis treated with biologic and other new a</w:t>
            </w:r>
            <w:r>
              <w:rPr>
                <w:sz w:val="18"/>
                <w:szCs w:val="18"/>
              </w:rPr>
              <w:t xml:space="preserve">dvanced targeted therapies (UK). </w:t>
            </w:r>
            <w:r w:rsidRPr="00004B67">
              <w:rPr>
                <w:sz w:val="18"/>
                <w:szCs w:val="18"/>
              </w:rPr>
              <w:t>Protocol available</w:t>
            </w:r>
          </w:p>
        </w:tc>
        <w:tc>
          <w:tcPr>
            <w:tcW w:w="2793" w:type="dxa"/>
          </w:tcPr>
          <w:p w14:paraId="780B5091" w14:textId="77777777" w:rsidR="00C1578B" w:rsidRPr="00004B67" w:rsidRDefault="00C1578B" w:rsidP="00510AC1">
            <w:pPr>
              <w:spacing w:before="0" w:after="0" w:line="240" w:lineRule="auto"/>
              <w:ind w:left="0"/>
              <w:rPr>
                <w:sz w:val="18"/>
                <w:szCs w:val="18"/>
              </w:rPr>
            </w:pPr>
            <w:r w:rsidRPr="0068358E">
              <w:rPr>
                <w:sz w:val="18"/>
                <w:szCs w:val="18"/>
              </w:rPr>
              <w:t>Same as for Study CT-P13 4.2</w:t>
            </w:r>
            <w:r>
              <w:rPr>
                <w:sz w:val="18"/>
                <w:szCs w:val="18"/>
              </w:rPr>
              <w:t>.</w:t>
            </w:r>
          </w:p>
        </w:tc>
        <w:tc>
          <w:tcPr>
            <w:tcW w:w="1904" w:type="dxa"/>
          </w:tcPr>
          <w:p w14:paraId="651ED1EB" w14:textId="77777777" w:rsidR="00C1578B" w:rsidRPr="00004B67" w:rsidRDefault="00C1578B" w:rsidP="00510AC1">
            <w:pPr>
              <w:ind w:left="0"/>
              <w:rPr>
                <w:sz w:val="18"/>
                <w:szCs w:val="18"/>
              </w:rPr>
            </w:pPr>
            <w:r w:rsidRPr="00004B67">
              <w:rPr>
                <w:sz w:val="18"/>
                <w:szCs w:val="18"/>
              </w:rPr>
              <w:t>March 2026</w:t>
            </w:r>
          </w:p>
        </w:tc>
      </w:tr>
      <w:tr w:rsidR="00C1578B" w:rsidRPr="00004B67" w14:paraId="5365CEC8" w14:textId="77777777" w:rsidTr="00C1578B">
        <w:trPr>
          <w:trHeight w:val="144"/>
        </w:trPr>
        <w:tc>
          <w:tcPr>
            <w:tcW w:w="4034" w:type="dxa"/>
          </w:tcPr>
          <w:p w14:paraId="3786B621" w14:textId="77777777" w:rsidR="00C1578B" w:rsidRPr="00004B67" w:rsidRDefault="00C1578B" w:rsidP="00510AC1">
            <w:pPr>
              <w:ind w:left="0"/>
              <w:rPr>
                <w:sz w:val="18"/>
                <w:szCs w:val="18"/>
              </w:rPr>
            </w:pPr>
            <w:r w:rsidRPr="00004B67">
              <w:rPr>
                <w:sz w:val="18"/>
                <w:szCs w:val="18"/>
              </w:rPr>
              <w:t xml:space="preserve">Registry CT-P13 4.3: An observational, prospective cohort study to evaluate the safety and efficacy of </w:t>
            </w:r>
            <w:r w:rsidR="00525466">
              <w:rPr>
                <w:sz w:val="18"/>
                <w:szCs w:val="18"/>
              </w:rPr>
              <w:t>Inflectra</w:t>
            </w:r>
            <w:r w:rsidRPr="00004B67">
              <w:rPr>
                <w:sz w:val="18"/>
                <w:szCs w:val="18"/>
              </w:rPr>
              <w:t xml:space="preserve"> in patients with Crohn’s disease (CD), and Ulcerat</w:t>
            </w:r>
            <w:r>
              <w:rPr>
                <w:sz w:val="18"/>
                <w:szCs w:val="18"/>
              </w:rPr>
              <w:t xml:space="preserve">ive Colitis (UC) (EU and Korea). </w:t>
            </w:r>
            <w:r w:rsidRPr="00004B67">
              <w:rPr>
                <w:sz w:val="18"/>
                <w:szCs w:val="18"/>
              </w:rPr>
              <w:t>Planned</w:t>
            </w:r>
          </w:p>
        </w:tc>
        <w:tc>
          <w:tcPr>
            <w:tcW w:w="2793" w:type="dxa"/>
          </w:tcPr>
          <w:p w14:paraId="4605D6F2" w14:textId="77777777" w:rsidR="00C1578B" w:rsidRPr="00004B67" w:rsidRDefault="00C1578B" w:rsidP="00510AC1">
            <w:pPr>
              <w:spacing w:before="0" w:after="0" w:line="240" w:lineRule="auto"/>
              <w:ind w:left="0"/>
              <w:rPr>
                <w:sz w:val="18"/>
                <w:szCs w:val="18"/>
              </w:rPr>
            </w:pPr>
            <w:r w:rsidRPr="0068358E">
              <w:rPr>
                <w:sz w:val="18"/>
                <w:szCs w:val="18"/>
              </w:rPr>
              <w:t>Same as for Study CT-P13 1.2</w:t>
            </w:r>
            <w:r>
              <w:rPr>
                <w:sz w:val="18"/>
                <w:szCs w:val="18"/>
              </w:rPr>
              <w:t xml:space="preserve"> with the following additional </w:t>
            </w:r>
          </w:p>
          <w:p w14:paraId="6913DC47" w14:textId="77777777" w:rsidR="00C1578B" w:rsidRPr="00004B67" w:rsidRDefault="00C1578B" w:rsidP="00510AC1">
            <w:pPr>
              <w:spacing w:before="0" w:after="0" w:line="240" w:lineRule="auto"/>
              <w:ind w:left="0"/>
              <w:rPr>
                <w:sz w:val="18"/>
                <w:szCs w:val="18"/>
              </w:rPr>
            </w:pPr>
            <w:r w:rsidRPr="00004B67">
              <w:rPr>
                <w:sz w:val="18"/>
                <w:szCs w:val="18"/>
              </w:rPr>
              <w:t>Intestinal and perianal abscess (in CD)</w:t>
            </w:r>
          </w:p>
          <w:p w14:paraId="39F66BE1" w14:textId="77777777" w:rsidR="00C1578B" w:rsidRPr="00004B67" w:rsidRDefault="00C1578B" w:rsidP="00510AC1">
            <w:pPr>
              <w:spacing w:before="0" w:after="0" w:line="240" w:lineRule="auto"/>
              <w:ind w:left="0"/>
              <w:rPr>
                <w:sz w:val="18"/>
                <w:szCs w:val="18"/>
              </w:rPr>
            </w:pPr>
            <w:r w:rsidRPr="00004B67">
              <w:rPr>
                <w:sz w:val="18"/>
                <w:szCs w:val="18"/>
              </w:rPr>
              <w:t>Serious infusion reactions during a re</w:t>
            </w:r>
            <w:r>
              <w:rPr>
                <w:sz w:val="18"/>
                <w:szCs w:val="18"/>
              </w:rPr>
              <w:t>-</w:t>
            </w:r>
            <w:r w:rsidRPr="00004B67">
              <w:rPr>
                <w:sz w:val="18"/>
                <w:szCs w:val="18"/>
              </w:rPr>
              <w:t>induction regimen following a disease flare</w:t>
            </w:r>
          </w:p>
          <w:p w14:paraId="3D9579A5" w14:textId="77777777" w:rsidR="00C1578B" w:rsidRPr="00004B67" w:rsidRDefault="00C1578B" w:rsidP="00510AC1">
            <w:pPr>
              <w:spacing w:before="0" w:after="0" w:line="240" w:lineRule="auto"/>
              <w:ind w:left="0"/>
              <w:rPr>
                <w:sz w:val="18"/>
                <w:szCs w:val="18"/>
              </w:rPr>
            </w:pPr>
            <w:r w:rsidRPr="00004B67">
              <w:rPr>
                <w:sz w:val="18"/>
                <w:szCs w:val="18"/>
              </w:rPr>
              <w:t>Paediatric malignancy</w:t>
            </w:r>
          </w:p>
          <w:p w14:paraId="2A687FCA" w14:textId="77777777" w:rsidR="00C1578B" w:rsidRPr="00004B67" w:rsidRDefault="00C1578B" w:rsidP="00510AC1">
            <w:pPr>
              <w:spacing w:before="0" w:after="0" w:line="240" w:lineRule="auto"/>
              <w:ind w:left="0"/>
              <w:rPr>
                <w:sz w:val="18"/>
                <w:szCs w:val="18"/>
              </w:rPr>
            </w:pPr>
            <w:r w:rsidRPr="00004B67">
              <w:rPr>
                <w:sz w:val="18"/>
                <w:szCs w:val="18"/>
              </w:rPr>
              <w:t>Colon carcinoma/dysplasia (in UC)</w:t>
            </w:r>
          </w:p>
          <w:p w14:paraId="05FB41DA" w14:textId="77777777" w:rsidR="00C1578B" w:rsidRPr="00004B67" w:rsidRDefault="00C1578B" w:rsidP="00510AC1">
            <w:pPr>
              <w:spacing w:before="0" w:after="0" w:line="240" w:lineRule="auto"/>
              <w:ind w:left="0"/>
              <w:rPr>
                <w:sz w:val="18"/>
                <w:szCs w:val="18"/>
              </w:rPr>
            </w:pPr>
            <w:r w:rsidRPr="00004B67">
              <w:rPr>
                <w:sz w:val="18"/>
                <w:szCs w:val="18"/>
              </w:rPr>
              <w:t>Bowel stenosis, stricture, obstruction (in CD)</w:t>
            </w:r>
          </w:p>
          <w:p w14:paraId="1319F707" w14:textId="77777777" w:rsidR="00C1578B" w:rsidRPr="00004B67" w:rsidRDefault="00C1578B" w:rsidP="00510AC1">
            <w:pPr>
              <w:spacing w:before="0" w:after="0" w:line="240" w:lineRule="auto"/>
              <w:ind w:left="0"/>
              <w:rPr>
                <w:sz w:val="18"/>
                <w:szCs w:val="18"/>
              </w:rPr>
            </w:pPr>
            <w:r w:rsidRPr="00004B67">
              <w:rPr>
                <w:sz w:val="18"/>
                <w:szCs w:val="18"/>
              </w:rPr>
              <w:t>Long-term safety in adult patients with ulcerative colitis, psoriatic arthritis, or psoriasis</w:t>
            </w:r>
          </w:p>
          <w:p w14:paraId="66268F2C" w14:textId="77777777" w:rsidR="00C1578B" w:rsidRPr="00004B67" w:rsidRDefault="00C1578B" w:rsidP="00510AC1">
            <w:pPr>
              <w:spacing w:before="0" w:after="0" w:line="240" w:lineRule="auto"/>
              <w:ind w:left="0"/>
              <w:rPr>
                <w:sz w:val="18"/>
                <w:szCs w:val="18"/>
              </w:rPr>
            </w:pPr>
            <w:r w:rsidRPr="00004B67">
              <w:rPr>
                <w:sz w:val="18"/>
                <w:szCs w:val="18"/>
              </w:rPr>
              <w:t>Long-term safety in children with Crohn's disease and ulcerative colitis</w:t>
            </w:r>
          </w:p>
          <w:p w14:paraId="704F7DB2" w14:textId="77777777" w:rsidR="00C1578B" w:rsidRPr="00004B67" w:rsidRDefault="00C1578B" w:rsidP="00510AC1">
            <w:pPr>
              <w:spacing w:before="0" w:after="0" w:line="240" w:lineRule="auto"/>
              <w:ind w:left="0"/>
              <w:rPr>
                <w:sz w:val="18"/>
                <w:szCs w:val="18"/>
              </w:rPr>
            </w:pPr>
            <w:r w:rsidRPr="00004B67">
              <w:rPr>
                <w:sz w:val="18"/>
                <w:szCs w:val="18"/>
              </w:rPr>
              <w:t>Long-term safety in children</w:t>
            </w:r>
          </w:p>
          <w:p w14:paraId="34961964" w14:textId="77777777" w:rsidR="00C1578B" w:rsidRPr="00004B67" w:rsidRDefault="00C1578B" w:rsidP="00510AC1">
            <w:pPr>
              <w:spacing w:before="0" w:after="0" w:line="240" w:lineRule="auto"/>
              <w:ind w:left="0"/>
              <w:rPr>
                <w:sz w:val="18"/>
                <w:szCs w:val="18"/>
              </w:rPr>
            </w:pPr>
            <w:r w:rsidRPr="00004B67">
              <w:rPr>
                <w:sz w:val="18"/>
                <w:szCs w:val="18"/>
              </w:rPr>
              <w:lastRenderedPageBreak/>
              <w:t>Use of infliximab during lactation</w:t>
            </w:r>
          </w:p>
        </w:tc>
        <w:tc>
          <w:tcPr>
            <w:tcW w:w="1904" w:type="dxa"/>
          </w:tcPr>
          <w:p w14:paraId="7D58D163" w14:textId="77777777" w:rsidR="00C1578B" w:rsidRPr="00004B67" w:rsidRDefault="00C1578B" w:rsidP="00510AC1">
            <w:pPr>
              <w:ind w:left="0"/>
              <w:rPr>
                <w:sz w:val="18"/>
                <w:szCs w:val="18"/>
              </w:rPr>
            </w:pPr>
            <w:r w:rsidRPr="00004B67">
              <w:rPr>
                <w:sz w:val="18"/>
                <w:szCs w:val="18"/>
              </w:rPr>
              <w:lastRenderedPageBreak/>
              <w:t>May 2026</w:t>
            </w:r>
          </w:p>
        </w:tc>
      </w:tr>
      <w:tr w:rsidR="00C1578B" w:rsidRPr="00004B67" w14:paraId="3F09E533" w14:textId="77777777" w:rsidTr="00C1578B">
        <w:trPr>
          <w:trHeight w:val="144"/>
        </w:trPr>
        <w:tc>
          <w:tcPr>
            <w:tcW w:w="4034" w:type="dxa"/>
          </w:tcPr>
          <w:p w14:paraId="03BAA667" w14:textId="77777777" w:rsidR="00C1578B" w:rsidRPr="00004B67" w:rsidRDefault="00C1578B" w:rsidP="00510AC1">
            <w:pPr>
              <w:ind w:left="0"/>
              <w:rPr>
                <w:sz w:val="18"/>
                <w:szCs w:val="18"/>
              </w:rPr>
            </w:pPr>
            <w:r w:rsidRPr="00004B67">
              <w:rPr>
                <w:sz w:val="18"/>
                <w:szCs w:val="18"/>
              </w:rPr>
              <w:t>Study CT-P13 3.4: A Randomized, Double-Blind, Parallel-Group, Phase 1/3 Study to Demonstrate Comparable Efficacy, Pharmacokinetic Profile, and Safety of CT-P13 to Remicade in Patients with Active Crohn’s Disease (Global)</w:t>
            </w:r>
            <w:r>
              <w:rPr>
                <w:sz w:val="18"/>
                <w:szCs w:val="18"/>
              </w:rPr>
              <w:t xml:space="preserve">. </w:t>
            </w:r>
            <w:r w:rsidRPr="00004B67">
              <w:rPr>
                <w:sz w:val="18"/>
                <w:szCs w:val="18"/>
              </w:rPr>
              <w:t>Planned</w:t>
            </w:r>
          </w:p>
        </w:tc>
        <w:tc>
          <w:tcPr>
            <w:tcW w:w="2793" w:type="dxa"/>
          </w:tcPr>
          <w:p w14:paraId="33D606A7" w14:textId="7130A28E" w:rsidR="00C1578B" w:rsidRPr="00004B67" w:rsidRDefault="00C1578B" w:rsidP="00510AC1">
            <w:pPr>
              <w:spacing w:before="0" w:after="0" w:line="240" w:lineRule="auto"/>
              <w:ind w:left="0"/>
              <w:rPr>
                <w:sz w:val="18"/>
                <w:szCs w:val="18"/>
              </w:rPr>
            </w:pPr>
            <w:r w:rsidRPr="0068358E">
              <w:rPr>
                <w:sz w:val="18"/>
                <w:szCs w:val="18"/>
              </w:rPr>
              <w:t>Same as for Study CT-P13 1.2</w:t>
            </w:r>
            <w:r>
              <w:rPr>
                <w:sz w:val="18"/>
                <w:szCs w:val="18"/>
              </w:rPr>
              <w:t xml:space="preserve"> with the following additional: </w:t>
            </w:r>
            <w:r w:rsidRPr="00004B67">
              <w:rPr>
                <w:sz w:val="18"/>
                <w:szCs w:val="18"/>
              </w:rPr>
              <w:t>Intestinal and perianal abscess (in CD)</w:t>
            </w:r>
          </w:p>
          <w:p w14:paraId="34C9F867" w14:textId="77777777" w:rsidR="00C1578B" w:rsidRPr="00004B67" w:rsidRDefault="00C1578B" w:rsidP="00510AC1">
            <w:pPr>
              <w:spacing w:before="0" w:after="0" w:line="240" w:lineRule="auto"/>
              <w:ind w:left="0"/>
              <w:rPr>
                <w:sz w:val="18"/>
                <w:szCs w:val="18"/>
              </w:rPr>
            </w:pPr>
            <w:r w:rsidRPr="00004B67">
              <w:rPr>
                <w:sz w:val="18"/>
                <w:szCs w:val="18"/>
              </w:rPr>
              <w:t>Bowel stenosis, stricture, obstruction (in CD)</w:t>
            </w:r>
          </w:p>
        </w:tc>
        <w:tc>
          <w:tcPr>
            <w:tcW w:w="1904" w:type="dxa"/>
          </w:tcPr>
          <w:p w14:paraId="434B690D" w14:textId="77777777" w:rsidR="00C1578B" w:rsidRPr="00004B67" w:rsidRDefault="00C1578B" w:rsidP="00510AC1">
            <w:pPr>
              <w:ind w:left="0"/>
              <w:rPr>
                <w:sz w:val="18"/>
                <w:szCs w:val="18"/>
              </w:rPr>
            </w:pPr>
            <w:r w:rsidRPr="00004B67">
              <w:rPr>
                <w:sz w:val="18"/>
                <w:szCs w:val="18"/>
              </w:rPr>
              <w:t>June 2016</w:t>
            </w:r>
          </w:p>
        </w:tc>
      </w:tr>
      <w:tr w:rsidR="00C1578B" w:rsidRPr="00004B67" w14:paraId="4BF8A560" w14:textId="77777777" w:rsidTr="00C1578B">
        <w:trPr>
          <w:trHeight w:val="144"/>
        </w:trPr>
        <w:tc>
          <w:tcPr>
            <w:tcW w:w="4034" w:type="dxa"/>
          </w:tcPr>
          <w:p w14:paraId="79AAA852" w14:textId="77777777" w:rsidR="00C1578B" w:rsidRPr="00004B67" w:rsidRDefault="00C1578B" w:rsidP="00510AC1">
            <w:pPr>
              <w:ind w:left="0"/>
              <w:rPr>
                <w:sz w:val="18"/>
                <w:szCs w:val="18"/>
              </w:rPr>
            </w:pPr>
            <w:r w:rsidRPr="00004B67">
              <w:rPr>
                <w:sz w:val="18"/>
                <w:szCs w:val="18"/>
              </w:rPr>
              <w:t>Rheumatoid Arthritis Observation of Biologic Therapy (RABBIT) Long-term Observation of Treatment with Biologics in Rheumatoid Arthritis (Germany)</w:t>
            </w:r>
            <w:r>
              <w:rPr>
                <w:sz w:val="18"/>
                <w:szCs w:val="18"/>
              </w:rPr>
              <w:t xml:space="preserve">. </w:t>
            </w:r>
            <w:r w:rsidRPr="00004B67">
              <w:rPr>
                <w:sz w:val="18"/>
                <w:szCs w:val="18"/>
              </w:rPr>
              <w:t>Planned</w:t>
            </w:r>
            <w:r>
              <w:rPr>
                <w:sz w:val="18"/>
                <w:szCs w:val="18"/>
              </w:rPr>
              <w:t xml:space="preserve">. </w:t>
            </w:r>
            <w:r w:rsidRPr="00004B67">
              <w:rPr>
                <w:sz w:val="18"/>
                <w:szCs w:val="18"/>
              </w:rPr>
              <w:t>Protocol available</w:t>
            </w:r>
          </w:p>
        </w:tc>
        <w:tc>
          <w:tcPr>
            <w:tcW w:w="2793" w:type="dxa"/>
          </w:tcPr>
          <w:p w14:paraId="230846FB" w14:textId="77777777" w:rsidR="00C1578B" w:rsidRPr="00004B67" w:rsidRDefault="00C1578B" w:rsidP="00510AC1">
            <w:pPr>
              <w:spacing w:before="0" w:after="0" w:line="240" w:lineRule="auto"/>
              <w:ind w:left="0"/>
              <w:rPr>
                <w:sz w:val="18"/>
                <w:szCs w:val="18"/>
              </w:rPr>
            </w:pPr>
            <w:r w:rsidRPr="0068358E">
              <w:rPr>
                <w:sz w:val="18"/>
                <w:szCs w:val="18"/>
              </w:rPr>
              <w:t xml:space="preserve">Same as for Study CT-P13 </w:t>
            </w:r>
            <w:r>
              <w:rPr>
                <w:sz w:val="18"/>
                <w:szCs w:val="18"/>
              </w:rPr>
              <w:t>4</w:t>
            </w:r>
            <w:r w:rsidRPr="0068358E">
              <w:rPr>
                <w:sz w:val="18"/>
                <w:szCs w:val="18"/>
              </w:rPr>
              <w:t>.2</w:t>
            </w:r>
          </w:p>
        </w:tc>
        <w:tc>
          <w:tcPr>
            <w:tcW w:w="1904" w:type="dxa"/>
          </w:tcPr>
          <w:p w14:paraId="0F97C1F6" w14:textId="77777777" w:rsidR="00C1578B" w:rsidRPr="00004B67" w:rsidRDefault="00C1578B" w:rsidP="00510AC1">
            <w:pPr>
              <w:ind w:left="0"/>
              <w:rPr>
                <w:sz w:val="18"/>
                <w:szCs w:val="18"/>
              </w:rPr>
            </w:pPr>
            <w:r w:rsidRPr="00004B67">
              <w:rPr>
                <w:sz w:val="18"/>
                <w:szCs w:val="18"/>
              </w:rPr>
              <w:t>March 2026</w:t>
            </w:r>
          </w:p>
        </w:tc>
      </w:tr>
    </w:tbl>
    <w:p w14:paraId="5380C5D2" w14:textId="77777777" w:rsidR="008E7846" w:rsidRDefault="008E7846" w:rsidP="00510AC1">
      <w:pPr>
        <w:pStyle w:val="Heading4"/>
        <w:rPr>
          <w:lang w:eastAsia="en-AU"/>
        </w:rPr>
      </w:pPr>
      <w:r>
        <w:rPr>
          <w:lang w:eastAsia="en-AU"/>
        </w:rPr>
        <w:t xml:space="preserve">Risk </w:t>
      </w:r>
      <w:r w:rsidR="003A7F6C">
        <w:rPr>
          <w:lang w:eastAsia="en-AU"/>
        </w:rPr>
        <w:t>m</w:t>
      </w:r>
      <w:r>
        <w:rPr>
          <w:lang w:eastAsia="en-AU"/>
        </w:rPr>
        <w:t xml:space="preserve">inimisation </w:t>
      </w:r>
      <w:r w:rsidR="003A7F6C">
        <w:rPr>
          <w:lang w:eastAsia="en-AU"/>
        </w:rPr>
        <w:t>a</w:t>
      </w:r>
      <w:r>
        <w:rPr>
          <w:lang w:eastAsia="en-AU"/>
        </w:rPr>
        <w:t>ctivities</w:t>
      </w:r>
    </w:p>
    <w:p w14:paraId="0E31F9E9" w14:textId="77777777" w:rsidR="00C1578B" w:rsidRPr="008434C4" w:rsidRDefault="00C1578B" w:rsidP="00510AC1">
      <w:bookmarkStart w:id="149" w:name="_Toc247691527"/>
      <w:r w:rsidRPr="006C0455">
        <w:t>The sponsor proposes routine and additional risk minimisation a</w:t>
      </w:r>
      <w:r>
        <w:t>ctivities</w:t>
      </w:r>
      <w:r w:rsidRPr="008434C4">
        <w:t>.</w:t>
      </w:r>
    </w:p>
    <w:p w14:paraId="2E4D1359" w14:textId="77777777" w:rsidR="00C1578B" w:rsidRPr="008434C4" w:rsidRDefault="00C1578B" w:rsidP="00510AC1">
      <w:r w:rsidRPr="008434C4">
        <w:t xml:space="preserve">Although the safety profile of reference medicinal product Remicade, and thus also for </w:t>
      </w:r>
      <w:r>
        <w:rPr>
          <w:rFonts w:asciiTheme="minorHAnsi" w:hAnsiTheme="minorHAnsi" w:cs="Helv"/>
          <w:color w:val="000000"/>
          <w:lang w:eastAsia="en-AU"/>
        </w:rPr>
        <w:t>Inflectra</w:t>
      </w:r>
      <w:r>
        <w:t>, is favourable, the s</w:t>
      </w:r>
      <w:r w:rsidRPr="008434C4">
        <w:t xml:space="preserve">ponsor recognises the need to manage risks that may occur during the course of treatment with </w:t>
      </w:r>
      <w:r>
        <w:rPr>
          <w:rFonts w:asciiTheme="minorHAnsi" w:hAnsiTheme="minorHAnsi" w:cs="Helv"/>
          <w:color w:val="000000"/>
          <w:lang w:eastAsia="en-AU"/>
        </w:rPr>
        <w:t>Inflectra</w:t>
      </w:r>
      <w:r w:rsidRPr="008434C4">
        <w:t>.</w:t>
      </w:r>
    </w:p>
    <w:p w14:paraId="5DEBFD8B" w14:textId="0E5EEEDD" w:rsidR="00C1578B" w:rsidRDefault="00C1578B" w:rsidP="00510AC1">
      <w:r w:rsidRPr="00A91701">
        <w:t xml:space="preserve">Besides </w:t>
      </w:r>
      <w:r w:rsidRPr="008434C4">
        <w:t xml:space="preserve">the identified risks, heart failure and serious infections (including TB, reactivation of </w:t>
      </w:r>
      <w:r w:rsidR="001638EC">
        <w:t>hepatitis B virus (</w:t>
      </w:r>
      <w:r w:rsidRPr="008434C4">
        <w:t>HBV</w:t>
      </w:r>
      <w:r w:rsidR="001638EC">
        <w:t>)</w:t>
      </w:r>
      <w:r w:rsidRPr="008434C4">
        <w:t xml:space="preserve">, sepsis and opportunistic infections), all other identified safety concerns will be managed by routine </w:t>
      </w:r>
      <w:r>
        <w:t>pharmacovigilance</w:t>
      </w:r>
      <w:r w:rsidRPr="008434C4">
        <w:t xml:space="preserve"> activities, labelling (</w:t>
      </w:r>
      <w:r>
        <w:t>that is</w:t>
      </w:r>
      <w:r w:rsidRPr="008434C4">
        <w:t xml:space="preserve">, the warnings and information contained within the </w:t>
      </w:r>
      <w:r w:rsidR="001638EC">
        <w:t>European Summary of Product Characteristics (</w:t>
      </w:r>
      <w:proofErr w:type="spellStart"/>
      <w:r w:rsidRPr="008434C4">
        <w:t>SmPC</w:t>
      </w:r>
      <w:proofErr w:type="spellEnd"/>
      <w:r w:rsidR="001638EC">
        <w:t>)</w:t>
      </w:r>
      <w:r w:rsidRPr="008434C4">
        <w:t xml:space="preserve"> and package leaflet), which aim to reduce the probability of an adverse reaction occurring or its severity should it occur. The safety database is proposed to be supplemented, along with long term extension study data</w:t>
      </w:r>
      <w:r>
        <w:t>.</w:t>
      </w:r>
    </w:p>
    <w:p w14:paraId="416AB0E3" w14:textId="77777777" w:rsidR="00C1578B" w:rsidRPr="006C0455" w:rsidRDefault="00C1578B" w:rsidP="00510AC1">
      <w:r w:rsidRPr="008434C4">
        <w:t xml:space="preserve">Risk minimisation activities in the form of a patient alert card and educational programmes for </w:t>
      </w:r>
      <w:r>
        <w:t>health care provider</w:t>
      </w:r>
      <w:r w:rsidRPr="008434C4">
        <w:t>s will be made available in printed format and online and reflect those provided for the reference product in the EU. Additionally, the risk minimisation measures will serve to facilitate and encourage the recording of batch number and brand name of products administered to patients to assist in the gathering and assessment of safety information following product switching.</w:t>
      </w:r>
    </w:p>
    <w:p w14:paraId="3510C3D1" w14:textId="77777777" w:rsidR="006F25B8" w:rsidRDefault="006F25B8" w:rsidP="00510AC1">
      <w:pPr>
        <w:pStyle w:val="Heading4"/>
        <w:rPr>
          <w:lang w:eastAsia="en-AU"/>
        </w:rPr>
      </w:pPr>
      <w:r w:rsidRPr="006F25B8">
        <w:rPr>
          <w:lang w:eastAsia="en-AU"/>
        </w:rPr>
        <w:t>Reconciliation of is</w:t>
      </w:r>
      <w:r w:rsidR="00C1578B">
        <w:rPr>
          <w:lang w:eastAsia="en-AU"/>
        </w:rPr>
        <w:t>sues outlined in the RMP report</w:t>
      </w:r>
    </w:p>
    <w:p w14:paraId="5F34EA1D" w14:textId="5FBE852F" w:rsidR="00C1578B" w:rsidRDefault="00EC703E" w:rsidP="00510AC1">
      <w:pPr>
        <w:rPr>
          <w:lang w:eastAsia="en-AU"/>
        </w:rPr>
      </w:pPr>
      <w:r>
        <w:rPr>
          <w:lang w:eastAsia="en-AU"/>
        </w:rPr>
        <w:t xml:space="preserve">Table </w:t>
      </w:r>
      <w:r w:rsidR="007F306E">
        <w:rPr>
          <w:lang w:eastAsia="en-AU"/>
        </w:rPr>
        <w:t>8</w:t>
      </w:r>
      <w:r w:rsidR="00C1578B">
        <w:rPr>
          <w:lang w:eastAsia="en-AU"/>
        </w:rPr>
        <w:t xml:space="preserve"> summarises the first round evaluation of the RMP, the sponsor’s responses to issues raised by the evaluator and the evaluation of the sponsor’s responses.</w:t>
      </w:r>
    </w:p>
    <w:p w14:paraId="0C06356D" w14:textId="1E266590" w:rsidR="00C1578B" w:rsidRDefault="00EC703E" w:rsidP="006B2AB7">
      <w:pPr>
        <w:pStyle w:val="TableTitle"/>
        <w:pageBreakBefore/>
        <w:rPr>
          <w:lang w:eastAsia="en-AU"/>
        </w:rPr>
      </w:pPr>
      <w:r>
        <w:rPr>
          <w:lang w:eastAsia="en-AU"/>
        </w:rPr>
        <w:lastRenderedPageBreak/>
        <w:t xml:space="preserve">Table </w:t>
      </w:r>
      <w:r w:rsidR="007F306E">
        <w:rPr>
          <w:lang w:eastAsia="en-AU"/>
        </w:rPr>
        <w:t>8</w:t>
      </w:r>
      <w:r w:rsidR="009F2F8C">
        <w:rPr>
          <w:lang w:eastAsia="en-AU"/>
        </w:rPr>
        <w:t>:</w:t>
      </w:r>
      <w:r w:rsidR="00C1578B">
        <w:rPr>
          <w:lang w:eastAsia="en-AU"/>
        </w:rPr>
        <w:t xml:space="preserve"> Reconciliation of issues outlined in the RMP report</w:t>
      </w:r>
    </w:p>
    <w:tbl>
      <w:tblPr>
        <w:tblStyle w:val="TableTGAblue"/>
        <w:tblW w:w="5000" w:type="pct"/>
        <w:tblLayout w:type="fixed"/>
        <w:tblLook w:val="04A0" w:firstRow="1" w:lastRow="0" w:firstColumn="1" w:lastColumn="0" w:noHBand="0" w:noVBand="1"/>
      </w:tblPr>
      <w:tblGrid>
        <w:gridCol w:w="3002"/>
        <w:gridCol w:w="3310"/>
        <w:gridCol w:w="2172"/>
      </w:tblGrid>
      <w:tr w:rsidR="00C1578B" w:rsidRPr="006B2AB7" w14:paraId="0943783E" w14:textId="77777777" w:rsidTr="00C1578B">
        <w:trPr>
          <w:cnfStyle w:val="100000000000" w:firstRow="1" w:lastRow="0" w:firstColumn="0" w:lastColumn="0" w:oddVBand="0" w:evenVBand="0" w:oddHBand="0" w:evenHBand="0" w:firstRowFirstColumn="0" w:firstRowLastColumn="0" w:lastRowFirstColumn="0" w:lastRowLastColumn="0"/>
          <w:cantSplit/>
        </w:trPr>
        <w:tc>
          <w:tcPr>
            <w:tcW w:w="1769" w:type="pct"/>
            <w:noWrap/>
          </w:tcPr>
          <w:p w14:paraId="653C56BC" w14:textId="77777777" w:rsidR="00C1578B" w:rsidRPr="006B2AB7" w:rsidRDefault="00C1578B" w:rsidP="006B2AB7">
            <w:pPr>
              <w:rPr>
                <w:sz w:val="20"/>
                <w:szCs w:val="20"/>
              </w:rPr>
            </w:pPr>
            <w:r w:rsidRPr="006B2AB7">
              <w:rPr>
                <w:sz w:val="20"/>
                <w:szCs w:val="20"/>
              </w:rPr>
              <w:t>Recommendation in RMP advice document</w:t>
            </w:r>
          </w:p>
        </w:tc>
        <w:tc>
          <w:tcPr>
            <w:tcW w:w="1951" w:type="pct"/>
            <w:noWrap/>
          </w:tcPr>
          <w:p w14:paraId="56D856B8" w14:textId="77777777" w:rsidR="00C1578B" w:rsidRPr="006B2AB7" w:rsidRDefault="00C1578B" w:rsidP="006B2AB7">
            <w:pPr>
              <w:rPr>
                <w:sz w:val="20"/>
                <w:szCs w:val="20"/>
              </w:rPr>
            </w:pPr>
            <w:r w:rsidRPr="006B2AB7">
              <w:rPr>
                <w:sz w:val="20"/>
                <w:szCs w:val="20"/>
              </w:rPr>
              <w:t>Sponsor’s response (or summary of the response)</w:t>
            </w:r>
          </w:p>
        </w:tc>
        <w:tc>
          <w:tcPr>
            <w:tcW w:w="1280" w:type="pct"/>
            <w:noWrap/>
          </w:tcPr>
          <w:p w14:paraId="4483A450" w14:textId="77777777" w:rsidR="00C1578B" w:rsidRPr="006B2AB7" w:rsidRDefault="00C1578B" w:rsidP="006B2AB7">
            <w:pPr>
              <w:rPr>
                <w:sz w:val="20"/>
                <w:szCs w:val="20"/>
              </w:rPr>
            </w:pPr>
            <w:r w:rsidRPr="006B2AB7">
              <w:rPr>
                <w:sz w:val="20"/>
                <w:szCs w:val="20"/>
              </w:rPr>
              <w:t>RMP evaluator’s comment</w:t>
            </w:r>
          </w:p>
        </w:tc>
      </w:tr>
      <w:tr w:rsidR="00C1578B" w:rsidRPr="006B2AB7" w14:paraId="649A25D6" w14:textId="77777777" w:rsidTr="00C1578B">
        <w:tc>
          <w:tcPr>
            <w:tcW w:w="1769" w:type="pct"/>
            <w:noWrap/>
          </w:tcPr>
          <w:p w14:paraId="7C689A91" w14:textId="77777777" w:rsidR="00C1578B" w:rsidRPr="006B2AB7" w:rsidRDefault="00C1578B" w:rsidP="006B2AB7">
            <w:pPr>
              <w:rPr>
                <w:sz w:val="20"/>
                <w:szCs w:val="20"/>
              </w:rPr>
            </w:pPr>
            <w:r w:rsidRPr="006B2AB7">
              <w:rPr>
                <w:sz w:val="20"/>
                <w:szCs w:val="20"/>
              </w:rPr>
              <w:t>The sponsor should make the changes to the nonclinical part of the Safety Specification, as recommended by the nonclinical evaluator.</w:t>
            </w:r>
          </w:p>
        </w:tc>
        <w:tc>
          <w:tcPr>
            <w:tcW w:w="1951" w:type="pct"/>
            <w:noWrap/>
          </w:tcPr>
          <w:p w14:paraId="53FEA7C8" w14:textId="77777777" w:rsidR="00C1578B" w:rsidRPr="006B2AB7" w:rsidRDefault="00C1578B" w:rsidP="006B2AB7">
            <w:pPr>
              <w:rPr>
                <w:sz w:val="20"/>
                <w:szCs w:val="20"/>
              </w:rPr>
            </w:pPr>
            <w:r w:rsidRPr="006B2AB7">
              <w:rPr>
                <w:sz w:val="20"/>
                <w:szCs w:val="20"/>
              </w:rPr>
              <w:t>The sponsor will submit a revised RMP accordingly.</w:t>
            </w:r>
          </w:p>
        </w:tc>
        <w:tc>
          <w:tcPr>
            <w:tcW w:w="1280" w:type="pct"/>
            <w:noWrap/>
          </w:tcPr>
          <w:p w14:paraId="6B778E47" w14:textId="77777777" w:rsidR="00C1578B" w:rsidRPr="006B2AB7" w:rsidRDefault="00C1578B" w:rsidP="006B2AB7">
            <w:pPr>
              <w:rPr>
                <w:sz w:val="20"/>
                <w:szCs w:val="20"/>
              </w:rPr>
            </w:pPr>
            <w:r w:rsidRPr="006B2AB7">
              <w:rPr>
                <w:sz w:val="20"/>
                <w:szCs w:val="20"/>
              </w:rPr>
              <w:t>It is noted the appropriate changes have been made. This is acceptable.</w:t>
            </w:r>
          </w:p>
        </w:tc>
      </w:tr>
      <w:tr w:rsidR="00C1578B" w:rsidRPr="006B2AB7" w14:paraId="06899308" w14:textId="77777777" w:rsidTr="00C1578B">
        <w:tc>
          <w:tcPr>
            <w:tcW w:w="1769" w:type="pct"/>
            <w:noWrap/>
          </w:tcPr>
          <w:p w14:paraId="08AA8040" w14:textId="77777777" w:rsidR="00C1578B" w:rsidRPr="006B2AB7" w:rsidRDefault="00C1578B" w:rsidP="006B2AB7">
            <w:pPr>
              <w:rPr>
                <w:sz w:val="20"/>
                <w:szCs w:val="20"/>
              </w:rPr>
            </w:pPr>
            <w:r w:rsidRPr="006B2AB7">
              <w:rPr>
                <w:sz w:val="20"/>
                <w:szCs w:val="20"/>
              </w:rPr>
              <w:t>The sponsor should provide a version number and date for the current and any subsequent ASA documents.</w:t>
            </w:r>
          </w:p>
        </w:tc>
        <w:tc>
          <w:tcPr>
            <w:tcW w:w="1951" w:type="pct"/>
            <w:noWrap/>
          </w:tcPr>
          <w:p w14:paraId="1006D43F" w14:textId="77777777" w:rsidR="00C1578B" w:rsidRPr="006B2AB7" w:rsidRDefault="00C1578B" w:rsidP="006B2AB7">
            <w:pPr>
              <w:rPr>
                <w:sz w:val="20"/>
                <w:szCs w:val="20"/>
              </w:rPr>
            </w:pPr>
            <w:r w:rsidRPr="006B2AB7">
              <w:rPr>
                <w:sz w:val="20"/>
                <w:szCs w:val="20"/>
              </w:rPr>
              <w:t>The sponsor will submit a revised ASA and this document will be dated and a version number included for documents control.</w:t>
            </w:r>
          </w:p>
        </w:tc>
        <w:tc>
          <w:tcPr>
            <w:tcW w:w="1280" w:type="pct"/>
            <w:noWrap/>
          </w:tcPr>
          <w:p w14:paraId="710922D1" w14:textId="77777777" w:rsidR="00C1578B" w:rsidRPr="006B2AB7" w:rsidRDefault="00C1578B" w:rsidP="006B2AB7">
            <w:pPr>
              <w:rPr>
                <w:sz w:val="20"/>
                <w:szCs w:val="20"/>
              </w:rPr>
            </w:pPr>
            <w:r w:rsidRPr="006B2AB7">
              <w:rPr>
                <w:sz w:val="20"/>
                <w:szCs w:val="20"/>
              </w:rPr>
              <w:t>It is noted the appropriate changes have been made. This is acceptable.</w:t>
            </w:r>
          </w:p>
        </w:tc>
      </w:tr>
      <w:tr w:rsidR="00C1578B" w:rsidRPr="006B2AB7" w14:paraId="5B214806" w14:textId="77777777" w:rsidTr="00C1578B">
        <w:tc>
          <w:tcPr>
            <w:tcW w:w="1769" w:type="pct"/>
            <w:noWrap/>
          </w:tcPr>
          <w:p w14:paraId="66DA4AFB" w14:textId="77777777" w:rsidR="00C1578B" w:rsidRPr="006B2AB7" w:rsidRDefault="00C1578B" w:rsidP="006B2AB7">
            <w:pPr>
              <w:rPr>
                <w:sz w:val="20"/>
                <w:szCs w:val="20"/>
              </w:rPr>
            </w:pPr>
            <w:r w:rsidRPr="006B2AB7">
              <w:rPr>
                <w:sz w:val="20"/>
                <w:szCs w:val="20"/>
              </w:rPr>
              <w:t>With regard to the response to consolidated questions raised by the TGA, it appears that only one table has been changed in the EU-RMP and as a result the document now lacks internal consistency (for example in other parts of the EU-RMP and the ASA, the change has not been made). The sponsor should update EU-RMP and the ASA accordingly and supply updated versions.</w:t>
            </w:r>
          </w:p>
        </w:tc>
        <w:tc>
          <w:tcPr>
            <w:tcW w:w="1951" w:type="pct"/>
            <w:noWrap/>
          </w:tcPr>
          <w:p w14:paraId="5F7B7E69" w14:textId="77777777" w:rsidR="00C1578B" w:rsidRPr="006B2AB7" w:rsidRDefault="00C1578B" w:rsidP="006B2AB7">
            <w:pPr>
              <w:rPr>
                <w:sz w:val="20"/>
                <w:szCs w:val="20"/>
              </w:rPr>
            </w:pPr>
            <w:r w:rsidRPr="006B2AB7">
              <w:rPr>
                <w:sz w:val="20"/>
                <w:szCs w:val="20"/>
              </w:rPr>
              <w:t>The sponsor will submit revised RMP and update the ASA accordingly.</w:t>
            </w:r>
          </w:p>
        </w:tc>
        <w:tc>
          <w:tcPr>
            <w:tcW w:w="1280" w:type="pct"/>
            <w:noWrap/>
          </w:tcPr>
          <w:p w14:paraId="1FAD6C52" w14:textId="77777777" w:rsidR="00C1578B" w:rsidRPr="006B2AB7" w:rsidRDefault="00C1578B" w:rsidP="006B2AB7">
            <w:pPr>
              <w:rPr>
                <w:sz w:val="20"/>
                <w:szCs w:val="20"/>
              </w:rPr>
            </w:pPr>
            <w:r w:rsidRPr="006B2AB7">
              <w:rPr>
                <w:sz w:val="20"/>
                <w:szCs w:val="20"/>
              </w:rPr>
              <w:t>It is noted the appropriate changes have been made. This is acceptable.</w:t>
            </w:r>
          </w:p>
        </w:tc>
      </w:tr>
      <w:tr w:rsidR="00C1578B" w:rsidRPr="006B2AB7" w14:paraId="28C426E8" w14:textId="77777777" w:rsidTr="00C1578B">
        <w:tc>
          <w:tcPr>
            <w:tcW w:w="1769" w:type="pct"/>
            <w:noWrap/>
          </w:tcPr>
          <w:p w14:paraId="26D4FDE6" w14:textId="77777777" w:rsidR="00C1578B" w:rsidRPr="006B2AB7" w:rsidRDefault="00C1578B" w:rsidP="006B2AB7">
            <w:pPr>
              <w:rPr>
                <w:sz w:val="20"/>
                <w:szCs w:val="20"/>
              </w:rPr>
            </w:pPr>
            <w:r w:rsidRPr="006B2AB7">
              <w:rPr>
                <w:sz w:val="20"/>
                <w:szCs w:val="20"/>
              </w:rPr>
              <w:t>The proposed Australian educational materials are not attached to the response to consolidated questions raised by the TGA, but the EU educational materials that contain the black triangle symbol. Furthermore, the RMP evaluator was unable to locate the ‘patient material’ to which the sponsor referred in the response. The sponsor should provide the actual materials to be used as additional risk minimisation items.</w:t>
            </w:r>
          </w:p>
        </w:tc>
        <w:tc>
          <w:tcPr>
            <w:tcW w:w="1951" w:type="pct"/>
            <w:noWrap/>
          </w:tcPr>
          <w:p w14:paraId="541D33B9" w14:textId="77777777" w:rsidR="00C1578B" w:rsidRPr="006B2AB7" w:rsidRDefault="00C1578B" w:rsidP="006B2AB7">
            <w:pPr>
              <w:rPr>
                <w:sz w:val="20"/>
                <w:szCs w:val="20"/>
              </w:rPr>
            </w:pPr>
            <w:r w:rsidRPr="006B2AB7">
              <w:rPr>
                <w:sz w:val="20"/>
                <w:szCs w:val="20"/>
              </w:rPr>
              <w:t>The draft Australian educational materials (based on the EU material) will be provided separately.</w:t>
            </w:r>
          </w:p>
        </w:tc>
        <w:tc>
          <w:tcPr>
            <w:tcW w:w="1280" w:type="pct"/>
            <w:noWrap/>
          </w:tcPr>
          <w:p w14:paraId="7F5631DF" w14:textId="77777777" w:rsidR="00C1578B" w:rsidRPr="006B2AB7" w:rsidRDefault="00C1578B" w:rsidP="006B2AB7">
            <w:pPr>
              <w:rPr>
                <w:sz w:val="20"/>
                <w:szCs w:val="20"/>
              </w:rPr>
            </w:pPr>
            <w:r w:rsidRPr="006B2AB7">
              <w:rPr>
                <w:sz w:val="20"/>
                <w:szCs w:val="20"/>
              </w:rPr>
              <w:t>This is acceptable.</w:t>
            </w:r>
          </w:p>
        </w:tc>
      </w:tr>
      <w:tr w:rsidR="00C1578B" w:rsidRPr="006B2AB7" w14:paraId="2A61FE5D" w14:textId="77777777" w:rsidTr="00C1578B">
        <w:tc>
          <w:tcPr>
            <w:tcW w:w="1769" w:type="pct"/>
            <w:noWrap/>
          </w:tcPr>
          <w:p w14:paraId="08156588" w14:textId="77777777" w:rsidR="00C1578B" w:rsidRPr="006B2AB7" w:rsidRDefault="00C1578B" w:rsidP="006B2AB7">
            <w:pPr>
              <w:rPr>
                <w:sz w:val="20"/>
                <w:szCs w:val="20"/>
              </w:rPr>
            </w:pPr>
            <w:r w:rsidRPr="006B2AB7">
              <w:rPr>
                <w:sz w:val="20"/>
                <w:szCs w:val="20"/>
              </w:rPr>
              <w:t xml:space="preserve">‘Skin cancer’ should be reclassified and become an important identified risk. </w:t>
            </w:r>
          </w:p>
        </w:tc>
        <w:tc>
          <w:tcPr>
            <w:tcW w:w="1951" w:type="pct"/>
            <w:noWrap/>
          </w:tcPr>
          <w:p w14:paraId="37E4BE51" w14:textId="77777777" w:rsidR="00C1578B" w:rsidRPr="006B2AB7" w:rsidRDefault="00C1578B" w:rsidP="006B2AB7">
            <w:pPr>
              <w:rPr>
                <w:sz w:val="20"/>
                <w:szCs w:val="20"/>
              </w:rPr>
            </w:pPr>
            <w:r w:rsidRPr="006B2AB7">
              <w:rPr>
                <w:sz w:val="20"/>
                <w:szCs w:val="20"/>
              </w:rPr>
              <w:t xml:space="preserve">The sponsor has reviewed the Innovator/Reference Product Remicade PI, and noted that safety updates were made in September 2014 and the </w:t>
            </w:r>
            <w:r w:rsidRPr="006B2AB7">
              <w:rPr>
                <w:sz w:val="20"/>
                <w:szCs w:val="20"/>
              </w:rPr>
              <w:lastRenderedPageBreak/>
              <w:t xml:space="preserve">proposed </w:t>
            </w:r>
            <w:proofErr w:type="spellStart"/>
            <w:r w:rsidRPr="006B2AB7">
              <w:rPr>
                <w:sz w:val="20"/>
                <w:szCs w:val="20"/>
              </w:rPr>
              <w:t>biosimilars</w:t>
            </w:r>
            <w:proofErr w:type="spellEnd"/>
            <w:r w:rsidRPr="006B2AB7">
              <w:rPr>
                <w:sz w:val="20"/>
                <w:szCs w:val="20"/>
              </w:rPr>
              <w:t xml:space="preserve"> has been updated accordingly.</w:t>
            </w:r>
          </w:p>
        </w:tc>
        <w:tc>
          <w:tcPr>
            <w:tcW w:w="1280" w:type="pct"/>
            <w:noWrap/>
          </w:tcPr>
          <w:p w14:paraId="5D65EDD5" w14:textId="77777777" w:rsidR="00C1578B" w:rsidRPr="006B2AB7" w:rsidRDefault="00C1578B" w:rsidP="006B2AB7">
            <w:pPr>
              <w:rPr>
                <w:sz w:val="20"/>
                <w:szCs w:val="20"/>
              </w:rPr>
            </w:pPr>
            <w:r w:rsidRPr="006B2AB7">
              <w:rPr>
                <w:sz w:val="20"/>
                <w:szCs w:val="20"/>
              </w:rPr>
              <w:lastRenderedPageBreak/>
              <w:t xml:space="preserve">It is noted the appropriate changes have been made to the RMP. However, updates </w:t>
            </w:r>
            <w:r w:rsidRPr="006B2AB7">
              <w:rPr>
                <w:sz w:val="20"/>
                <w:szCs w:val="20"/>
              </w:rPr>
              <w:lastRenderedPageBreak/>
              <w:t>have not been made to the ASA.</w:t>
            </w:r>
          </w:p>
        </w:tc>
      </w:tr>
      <w:tr w:rsidR="00C1578B" w:rsidRPr="006B2AB7" w14:paraId="592C2BB7" w14:textId="77777777" w:rsidTr="00C1578B">
        <w:tc>
          <w:tcPr>
            <w:tcW w:w="1769" w:type="pct"/>
            <w:noWrap/>
          </w:tcPr>
          <w:p w14:paraId="0C68048A" w14:textId="77777777" w:rsidR="00C1578B" w:rsidRPr="006B2AB7" w:rsidRDefault="00C1578B" w:rsidP="006B2AB7">
            <w:pPr>
              <w:rPr>
                <w:sz w:val="20"/>
                <w:szCs w:val="20"/>
              </w:rPr>
            </w:pPr>
            <w:r w:rsidRPr="006B2AB7">
              <w:rPr>
                <w:sz w:val="20"/>
                <w:szCs w:val="20"/>
              </w:rPr>
              <w:lastRenderedPageBreak/>
              <w:t>‘Off-label use’ should be added an Important Potential Risk.</w:t>
            </w:r>
          </w:p>
        </w:tc>
        <w:tc>
          <w:tcPr>
            <w:tcW w:w="1951" w:type="pct"/>
            <w:noWrap/>
          </w:tcPr>
          <w:p w14:paraId="0D82D1F1" w14:textId="77777777" w:rsidR="00C1578B" w:rsidRPr="006B2AB7" w:rsidRDefault="00C1578B" w:rsidP="006B2AB7">
            <w:pPr>
              <w:rPr>
                <w:sz w:val="20"/>
                <w:szCs w:val="20"/>
              </w:rPr>
            </w:pPr>
            <w:r w:rsidRPr="006B2AB7">
              <w:rPr>
                <w:sz w:val="20"/>
                <w:szCs w:val="20"/>
              </w:rPr>
              <w:t>It is premature to create such a letter at this point in time. The sponsor will work with the TGA after ACPM to develop an appropriate dear health care professional (DHPL) letter if required.</w:t>
            </w:r>
          </w:p>
        </w:tc>
        <w:tc>
          <w:tcPr>
            <w:tcW w:w="1280" w:type="pct"/>
            <w:noWrap/>
          </w:tcPr>
          <w:p w14:paraId="6EBCB9AE" w14:textId="77777777" w:rsidR="00C1578B" w:rsidRPr="006B2AB7" w:rsidRDefault="00C1578B" w:rsidP="006B2AB7">
            <w:pPr>
              <w:rPr>
                <w:sz w:val="20"/>
                <w:szCs w:val="20"/>
              </w:rPr>
            </w:pPr>
            <w:r w:rsidRPr="006B2AB7">
              <w:rPr>
                <w:sz w:val="20"/>
                <w:szCs w:val="20"/>
              </w:rPr>
              <w:t>It is noted the appropriate changes have been made to the RMP. However, updates have not been made to the ASA.</w:t>
            </w:r>
          </w:p>
        </w:tc>
      </w:tr>
      <w:tr w:rsidR="00C1578B" w:rsidRPr="006B2AB7" w14:paraId="063BDCEA" w14:textId="77777777" w:rsidTr="00C1578B">
        <w:tc>
          <w:tcPr>
            <w:tcW w:w="1769" w:type="pct"/>
            <w:noWrap/>
          </w:tcPr>
          <w:p w14:paraId="0E95EDB7" w14:textId="77777777" w:rsidR="00C1578B" w:rsidRPr="006B2AB7" w:rsidRDefault="00C1578B" w:rsidP="006B2AB7">
            <w:pPr>
              <w:rPr>
                <w:sz w:val="20"/>
                <w:szCs w:val="20"/>
              </w:rPr>
            </w:pPr>
            <w:r w:rsidRPr="006B2AB7">
              <w:rPr>
                <w:sz w:val="20"/>
                <w:szCs w:val="20"/>
              </w:rPr>
              <w:t>‘Medication errors’ should be added an Important Potential Risk.</w:t>
            </w:r>
          </w:p>
        </w:tc>
        <w:tc>
          <w:tcPr>
            <w:tcW w:w="1951" w:type="pct"/>
            <w:noWrap/>
          </w:tcPr>
          <w:p w14:paraId="28CD3DFA" w14:textId="77777777" w:rsidR="00C1578B" w:rsidRPr="006B2AB7" w:rsidRDefault="00C1578B" w:rsidP="006B2AB7">
            <w:pPr>
              <w:rPr>
                <w:sz w:val="20"/>
                <w:szCs w:val="20"/>
              </w:rPr>
            </w:pPr>
            <w:r w:rsidRPr="006B2AB7">
              <w:rPr>
                <w:sz w:val="20"/>
                <w:szCs w:val="20"/>
              </w:rPr>
              <w:t>It is premature to create such a letter. The sponsor will work with the TGA following post-ACPM to develop an appropriate DHPL if required.</w:t>
            </w:r>
          </w:p>
        </w:tc>
        <w:tc>
          <w:tcPr>
            <w:tcW w:w="1280" w:type="pct"/>
            <w:noWrap/>
          </w:tcPr>
          <w:p w14:paraId="64CF7802" w14:textId="77777777" w:rsidR="00C1578B" w:rsidRPr="006B2AB7" w:rsidRDefault="00C1578B" w:rsidP="006B2AB7">
            <w:pPr>
              <w:rPr>
                <w:sz w:val="20"/>
                <w:szCs w:val="20"/>
              </w:rPr>
            </w:pPr>
            <w:r w:rsidRPr="006B2AB7">
              <w:rPr>
                <w:sz w:val="20"/>
                <w:szCs w:val="20"/>
              </w:rPr>
              <w:t>It is noted the appropriate changes have been made to the RMP. However, updates have not been made to the ASA.</w:t>
            </w:r>
          </w:p>
        </w:tc>
      </w:tr>
      <w:tr w:rsidR="00C1578B" w:rsidRPr="006B2AB7" w14:paraId="6FDBF284" w14:textId="77777777" w:rsidTr="00C1578B">
        <w:tc>
          <w:tcPr>
            <w:tcW w:w="1769" w:type="pct"/>
            <w:noWrap/>
          </w:tcPr>
          <w:p w14:paraId="4196BDF9" w14:textId="77777777" w:rsidR="00C1578B" w:rsidRPr="006B2AB7" w:rsidRDefault="00C1578B" w:rsidP="006B2AB7">
            <w:pPr>
              <w:rPr>
                <w:sz w:val="20"/>
                <w:szCs w:val="20"/>
              </w:rPr>
            </w:pPr>
            <w:r w:rsidRPr="006B2AB7">
              <w:rPr>
                <w:sz w:val="20"/>
                <w:szCs w:val="20"/>
              </w:rPr>
              <w:t>In the ‘Name of the medicine’ section, or in another prominent place at the beginning of the PI document, the PI should include a statement that infliximab (</w:t>
            </w:r>
            <w:r w:rsidR="00525466" w:rsidRPr="006B2AB7">
              <w:rPr>
                <w:sz w:val="20"/>
                <w:szCs w:val="20"/>
              </w:rPr>
              <w:t>Inflectra</w:t>
            </w:r>
            <w:r w:rsidRPr="006B2AB7">
              <w:rPr>
                <w:sz w:val="20"/>
                <w:szCs w:val="20"/>
              </w:rPr>
              <w:t>) is a biosimilar to infliximab (Remicade) and should not be used interchangeably with other infliximab products (or a statement to that effect).</w:t>
            </w:r>
          </w:p>
        </w:tc>
        <w:tc>
          <w:tcPr>
            <w:tcW w:w="1951" w:type="pct"/>
            <w:noWrap/>
          </w:tcPr>
          <w:p w14:paraId="4F02BF71" w14:textId="77777777" w:rsidR="00C1578B" w:rsidRPr="006B2AB7" w:rsidRDefault="00C1578B" w:rsidP="006B2AB7">
            <w:pPr>
              <w:rPr>
                <w:sz w:val="20"/>
                <w:szCs w:val="20"/>
              </w:rPr>
            </w:pPr>
            <w:r w:rsidRPr="006B2AB7">
              <w:rPr>
                <w:sz w:val="20"/>
                <w:szCs w:val="20"/>
              </w:rPr>
              <w:t>The sponsor has addressed all requested changes to the PI.</w:t>
            </w:r>
          </w:p>
        </w:tc>
        <w:tc>
          <w:tcPr>
            <w:tcW w:w="1280" w:type="pct"/>
            <w:noWrap/>
          </w:tcPr>
          <w:p w14:paraId="37771E8E" w14:textId="77777777" w:rsidR="00C1578B" w:rsidRPr="006B2AB7" w:rsidRDefault="00C1578B" w:rsidP="006B2AB7">
            <w:pPr>
              <w:rPr>
                <w:sz w:val="20"/>
                <w:szCs w:val="20"/>
              </w:rPr>
            </w:pPr>
            <w:r w:rsidRPr="006B2AB7">
              <w:rPr>
                <w:sz w:val="20"/>
                <w:szCs w:val="20"/>
              </w:rPr>
              <w:t>It is noted the appropriate changes have been made. This is acceptable, pending approval by the Delegate.</w:t>
            </w:r>
          </w:p>
        </w:tc>
      </w:tr>
      <w:tr w:rsidR="00C1578B" w:rsidRPr="006B2AB7" w14:paraId="78FCBE2A" w14:textId="77777777" w:rsidTr="00C1578B">
        <w:tc>
          <w:tcPr>
            <w:tcW w:w="1769" w:type="pct"/>
            <w:noWrap/>
          </w:tcPr>
          <w:p w14:paraId="63F3B659" w14:textId="77777777" w:rsidR="00C1578B" w:rsidRPr="006B2AB7" w:rsidRDefault="00C1578B" w:rsidP="006B2AB7">
            <w:pPr>
              <w:rPr>
                <w:sz w:val="20"/>
                <w:szCs w:val="20"/>
              </w:rPr>
            </w:pPr>
            <w:r w:rsidRPr="006B2AB7">
              <w:rPr>
                <w:sz w:val="20"/>
                <w:szCs w:val="20"/>
              </w:rPr>
              <w:t>In the ‘Precautions’ section, the PI should include a statement that psoriasis patients should be monitored for non-melanoma skin cancers, in particular those exposed to prior prolonged phototherapy treatment (or a statement to that effect).</w:t>
            </w:r>
          </w:p>
        </w:tc>
        <w:tc>
          <w:tcPr>
            <w:tcW w:w="1951" w:type="pct"/>
            <w:noWrap/>
          </w:tcPr>
          <w:p w14:paraId="17A7730A" w14:textId="77777777" w:rsidR="00C1578B" w:rsidRPr="006B2AB7" w:rsidRDefault="00C1578B" w:rsidP="006B2AB7">
            <w:pPr>
              <w:rPr>
                <w:sz w:val="20"/>
                <w:szCs w:val="20"/>
              </w:rPr>
            </w:pPr>
            <w:r w:rsidRPr="006B2AB7">
              <w:rPr>
                <w:sz w:val="20"/>
                <w:szCs w:val="20"/>
              </w:rPr>
              <w:t>The sponsor has addressed all requested changes to the PI</w:t>
            </w:r>
          </w:p>
          <w:p w14:paraId="0DF50008" w14:textId="77D86D07" w:rsidR="00C1578B" w:rsidRPr="006B2AB7" w:rsidRDefault="00C1578B" w:rsidP="006B2AB7">
            <w:pPr>
              <w:rPr>
                <w:sz w:val="20"/>
                <w:szCs w:val="20"/>
              </w:rPr>
            </w:pPr>
            <w:r w:rsidRPr="006B2AB7">
              <w:rPr>
                <w:sz w:val="20"/>
                <w:szCs w:val="20"/>
              </w:rPr>
              <w:t>The proposed PI has been amended as requested to include the additional statement. The proposed text has been made identical to the reference product</w:t>
            </w:r>
            <w:r w:rsidR="003C187F" w:rsidRPr="006B2AB7">
              <w:rPr>
                <w:sz w:val="20"/>
                <w:szCs w:val="20"/>
              </w:rPr>
              <w:t>,</w:t>
            </w:r>
            <w:r w:rsidRPr="006B2AB7">
              <w:rPr>
                <w:sz w:val="20"/>
                <w:szCs w:val="20"/>
              </w:rPr>
              <w:t xml:space="preserve"> which the sponsor notes has also updated this information following a recent safety related change to its PI.</w:t>
            </w:r>
          </w:p>
          <w:p w14:paraId="0B0EEBA1" w14:textId="77777777" w:rsidR="00C1578B" w:rsidRPr="006B2AB7" w:rsidRDefault="00C1578B" w:rsidP="006B2AB7">
            <w:pPr>
              <w:rPr>
                <w:sz w:val="20"/>
                <w:szCs w:val="20"/>
              </w:rPr>
            </w:pPr>
            <w:r w:rsidRPr="006B2AB7">
              <w:rPr>
                <w:sz w:val="20"/>
                <w:szCs w:val="20"/>
              </w:rPr>
              <w:t>Updated marked and clean copies of the proposed PI are provided.</w:t>
            </w:r>
          </w:p>
        </w:tc>
        <w:tc>
          <w:tcPr>
            <w:tcW w:w="1280" w:type="pct"/>
            <w:noWrap/>
          </w:tcPr>
          <w:p w14:paraId="56724638" w14:textId="77777777" w:rsidR="00C1578B" w:rsidRPr="006B2AB7" w:rsidRDefault="00C1578B" w:rsidP="006B2AB7">
            <w:pPr>
              <w:rPr>
                <w:sz w:val="20"/>
                <w:szCs w:val="20"/>
              </w:rPr>
            </w:pPr>
            <w:r w:rsidRPr="006B2AB7">
              <w:rPr>
                <w:sz w:val="20"/>
                <w:szCs w:val="20"/>
              </w:rPr>
              <w:t>It is noted the appropriate changes have been made. This is acceptable, pending approval by the Delegate.</w:t>
            </w:r>
          </w:p>
        </w:tc>
      </w:tr>
      <w:tr w:rsidR="00C1578B" w:rsidRPr="006B2AB7" w14:paraId="7C2E5B91" w14:textId="77777777" w:rsidTr="00C1578B">
        <w:tc>
          <w:tcPr>
            <w:tcW w:w="1769" w:type="pct"/>
            <w:noWrap/>
          </w:tcPr>
          <w:p w14:paraId="131839B6" w14:textId="7705ECC9" w:rsidR="00C1578B" w:rsidRPr="006B2AB7" w:rsidRDefault="00C1578B" w:rsidP="006B2AB7">
            <w:pPr>
              <w:rPr>
                <w:sz w:val="20"/>
                <w:szCs w:val="20"/>
              </w:rPr>
            </w:pPr>
            <w:r w:rsidRPr="006B2AB7">
              <w:rPr>
                <w:sz w:val="20"/>
                <w:szCs w:val="20"/>
              </w:rPr>
              <w:t xml:space="preserve">Legionella infections associated with infliximab have been reported in the </w:t>
            </w:r>
            <w:r w:rsidRPr="006B2AB7">
              <w:rPr>
                <w:sz w:val="20"/>
                <w:szCs w:val="20"/>
              </w:rPr>
              <w:lastRenderedPageBreak/>
              <w:t>medical literature</w:t>
            </w:r>
            <w:r w:rsidR="001638EC" w:rsidRPr="006B2AB7">
              <w:rPr>
                <w:sz w:val="20"/>
                <w:szCs w:val="20"/>
              </w:rPr>
              <w:t>;</w:t>
            </w:r>
            <w:r w:rsidRPr="006B2AB7">
              <w:rPr>
                <w:sz w:val="20"/>
                <w:szCs w:val="20"/>
                <w:vertAlign w:val="superscript"/>
              </w:rPr>
              <w:footnoteReference w:id="25"/>
            </w:r>
            <w:r w:rsidRPr="006B2AB7">
              <w:rPr>
                <w:sz w:val="20"/>
                <w:szCs w:val="20"/>
              </w:rPr>
              <w:t xml:space="preserve"> a 2011 FDA safety communication</w:t>
            </w:r>
            <w:r w:rsidR="001638EC" w:rsidRPr="006B2AB7">
              <w:rPr>
                <w:sz w:val="20"/>
                <w:szCs w:val="20"/>
              </w:rPr>
              <w:t>;</w:t>
            </w:r>
            <w:r w:rsidRPr="006B2AB7">
              <w:rPr>
                <w:sz w:val="20"/>
                <w:szCs w:val="20"/>
                <w:vertAlign w:val="superscript"/>
              </w:rPr>
              <w:footnoteReference w:id="26"/>
            </w:r>
            <w:r w:rsidRPr="006B2AB7">
              <w:rPr>
                <w:sz w:val="20"/>
                <w:szCs w:val="20"/>
              </w:rPr>
              <w:t xml:space="preserve"> and the current FDA label for Remicade. It is recommended to the Delegate to consider adding this information to the proposed PI.</w:t>
            </w:r>
          </w:p>
        </w:tc>
        <w:tc>
          <w:tcPr>
            <w:tcW w:w="1951" w:type="pct"/>
            <w:noWrap/>
          </w:tcPr>
          <w:p w14:paraId="236AB6B0" w14:textId="77777777" w:rsidR="00C1578B" w:rsidRPr="006B2AB7" w:rsidRDefault="00C1578B" w:rsidP="006B2AB7">
            <w:pPr>
              <w:rPr>
                <w:sz w:val="20"/>
                <w:szCs w:val="20"/>
              </w:rPr>
            </w:pPr>
            <w:r w:rsidRPr="006B2AB7">
              <w:rPr>
                <w:sz w:val="20"/>
                <w:szCs w:val="20"/>
              </w:rPr>
              <w:lastRenderedPageBreak/>
              <w:t xml:space="preserve">The sponsor disagrees with the insertion of this request. The sponsor’s infliximab is a biosimilar of Remicade and the PI is based upon the Australian </w:t>
            </w:r>
            <w:r w:rsidRPr="006B2AB7">
              <w:rPr>
                <w:sz w:val="20"/>
                <w:szCs w:val="20"/>
              </w:rPr>
              <w:lastRenderedPageBreak/>
              <w:t>reference product PI. It is noted Remicade Australian PI does not include this in their PI.</w:t>
            </w:r>
          </w:p>
          <w:p w14:paraId="4FEF40EC" w14:textId="77777777" w:rsidR="00C1578B" w:rsidRPr="006B2AB7" w:rsidRDefault="00C1578B" w:rsidP="006B2AB7">
            <w:pPr>
              <w:rPr>
                <w:sz w:val="20"/>
                <w:szCs w:val="20"/>
              </w:rPr>
            </w:pPr>
            <w:r w:rsidRPr="006B2AB7">
              <w:rPr>
                <w:sz w:val="20"/>
                <w:szCs w:val="20"/>
              </w:rPr>
              <w:t>The sponsor provided a response to this recommendation as part of its initial response dated 29 June 2014 as follows:</w:t>
            </w:r>
          </w:p>
          <w:p w14:paraId="289A8669" w14:textId="77777777" w:rsidR="00C1578B" w:rsidRPr="006B2AB7" w:rsidRDefault="00C1578B" w:rsidP="006B2AB7">
            <w:pPr>
              <w:rPr>
                <w:sz w:val="20"/>
                <w:szCs w:val="20"/>
              </w:rPr>
            </w:pPr>
            <w:r w:rsidRPr="006B2AB7">
              <w:rPr>
                <w:sz w:val="20"/>
                <w:szCs w:val="20"/>
              </w:rPr>
              <w:t xml:space="preserve">‘The current proposed PI has been prepared in accordance with the innovator PI as required. The requested additional infection is not included in the current Remicade PI and there was no pneumonia caused by bacteria belonging to the genus Legionella in </w:t>
            </w:r>
            <w:r w:rsidR="00525466" w:rsidRPr="006B2AB7">
              <w:rPr>
                <w:sz w:val="20"/>
                <w:szCs w:val="20"/>
              </w:rPr>
              <w:t>Inflectra</w:t>
            </w:r>
            <w:r w:rsidRPr="006B2AB7">
              <w:rPr>
                <w:sz w:val="20"/>
                <w:szCs w:val="20"/>
              </w:rPr>
              <w:t xml:space="preserve"> study, registry and PMS so far.’</w:t>
            </w:r>
          </w:p>
          <w:p w14:paraId="4B233A78" w14:textId="77777777" w:rsidR="00C1578B" w:rsidRPr="006B2AB7" w:rsidRDefault="00C1578B" w:rsidP="006B2AB7">
            <w:pPr>
              <w:rPr>
                <w:sz w:val="20"/>
                <w:szCs w:val="20"/>
              </w:rPr>
            </w:pPr>
            <w:r w:rsidRPr="006B2AB7">
              <w:rPr>
                <w:sz w:val="20"/>
                <w:szCs w:val="20"/>
              </w:rPr>
              <w:t>This information remains the same at this time. The company has conducted a comprehensive review of the Remicade PI updated in September 2014, and notes that ‘Legionella infections’ has not been included on the Remicade PI.</w:t>
            </w:r>
          </w:p>
          <w:p w14:paraId="2186DCA5" w14:textId="77777777" w:rsidR="00C1578B" w:rsidRPr="006B2AB7" w:rsidRDefault="00C1578B" w:rsidP="006B2AB7">
            <w:pPr>
              <w:rPr>
                <w:sz w:val="20"/>
                <w:szCs w:val="20"/>
              </w:rPr>
            </w:pPr>
            <w:r w:rsidRPr="006B2AB7">
              <w:rPr>
                <w:sz w:val="20"/>
                <w:szCs w:val="20"/>
              </w:rPr>
              <w:t xml:space="preserve">Post marketing data for </w:t>
            </w:r>
            <w:r w:rsidR="00525466" w:rsidRPr="006B2AB7">
              <w:rPr>
                <w:sz w:val="20"/>
                <w:szCs w:val="20"/>
              </w:rPr>
              <w:t>Inflectra</w:t>
            </w:r>
            <w:r w:rsidRPr="006B2AB7">
              <w:rPr>
                <w:sz w:val="20"/>
                <w:szCs w:val="20"/>
              </w:rPr>
              <w:t xml:space="preserve"> still have not identified any adverse events reporting pneumonia caused by bacteria belonging to the genus Legionella.</w:t>
            </w:r>
          </w:p>
          <w:p w14:paraId="4DCB719E" w14:textId="77777777" w:rsidR="00C1578B" w:rsidRPr="006B2AB7" w:rsidRDefault="00C1578B" w:rsidP="006B2AB7">
            <w:pPr>
              <w:rPr>
                <w:sz w:val="20"/>
                <w:szCs w:val="20"/>
              </w:rPr>
            </w:pPr>
            <w:r w:rsidRPr="006B2AB7">
              <w:rPr>
                <w:sz w:val="20"/>
                <w:szCs w:val="20"/>
              </w:rPr>
              <w:t xml:space="preserve">The sponsor therefore does not agree with this infection being included only on the proposed </w:t>
            </w:r>
            <w:r w:rsidR="00525466" w:rsidRPr="006B2AB7">
              <w:rPr>
                <w:sz w:val="20"/>
                <w:szCs w:val="20"/>
              </w:rPr>
              <w:t>Inflectra</w:t>
            </w:r>
            <w:r w:rsidRPr="006B2AB7">
              <w:rPr>
                <w:sz w:val="20"/>
                <w:szCs w:val="20"/>
              </w:rPr>
              <w:t xml:space="preserve"> PI and so this recommendation has not been adopted. If in the future the Remicade PI is amended to include this infection then the proposed PI will be updated to reflect the Australian reference product’s PI.’</w:t>
            </w:r>
          </w:p>
        </w:tc>
        <w:tc>
          <w:tcPr>
            <w:tcW w:w="1280" w:type="pct"/>
            <w:noWrap/>
          </w:tcPr>
          <w:p w14:paraId="10D2A5C6" w14:textId="77777777" w:rsidR="00C1578B" w:rsidRPr="006B2AB7" w:rsidRDefault="00C1578B" w:rsidP="006B2AB7">
            <w:pPr>
              <w:rPr>
                <w:sz w:val="20"/>
                <w:szCs w:val="20"/>
              </w:rPr>
            </w:pPr>
          </w:p>
        </w:tc>
      </w:tr>
      <w:tr w:rsidR="00C1578B" w:rsidRPr="006B2AB7" w14:paraId="3D6A27DD" w14:textId="77777777" w:rsidTr="00C1578B">
        <w:tc>
          <w:tcPr>
            <w:tcW w:w="1769" w:type="pct"/>
            <w:noWrap/>
          </w:tcPr>
          <w:p w14:paraId="197BC430" w14:textId="77777777" w:rsidR="00C1578B" w:rsidRPr="006B2AB7" w:rsidRDefault="00C1578B" w:rsidP="006B2AB7">
            <w:pPr>
              <w:rPr>
                <w:sz w:val="20"/>
                <w:szCs w:val="20"/>
              </w:rPr>
            </w:pPr>
            <w:r w:rsidRPr="006B2AB7">
              <w:rPr>
                <w:sz w:val="20"/>
                <w:szCs w:val="20"/>
              </w:rPr>
              <w:lastRenderedPageBreak/>
              <w:t>In the ‘adverse events’ section, the PI should add ‘basal cell carcinoma’ and ‘squamous cell carcinoma’ as adverse events.</w:t>
            </w:r>
          </w:p>
        </w:tc>
        <w:tc>
          <w:tcPr>
            <w:tcW w:w="1951" w:type="pct"/>
            <w:noWrap/>
          </w:tcPr>
          <w:p w14:paraId="3C221850" w14:textId="77777777" w:rsidR="00C1578B" w:rsidRPr="006B2AB7" w:rsidRDefault="00C1578B" w:rsidP="006B2AB7">
            <w:pPr>
              <w:rPr>
                <w:sz w:val="20"/>
                <w:szCs w:val="20"/>
              </w:rPr>
            </w:pPr>
            <w:r w:rsidRPr="006B2AB7">
              <w:rPr>
                <w:sz w:val="20"/>
                <w:szCs w:val="20"/>
              </w:rPr>
              <w:t>The sponsor has addressed all requested changes to the PI.</w:t>
            </w:r>
          </w:p>
          <w:p w14:paraId="030B9BB8" w14:textId="77777777" w:rsidR="00C1578B" w:rsidRPr="006B2AB7" w:rsidRDefault="00C1578B" w:rsidP="006B2AB7">
            <w:pPr>
              <w:rPr>
                <w:sz w:val="20"/>
                <w:szCs w:val="20"/>
              </w:rPr>
            </w:pPr>
            <w:r w:rsidRPr="006B2AB7">
              <w:rPr>
                <w:sz w:val="20"/>
                <w:szCs w:val="20"/>
              </w:rPr>
              <w:t>The proposed PI has been amended as requested to include the additional adverse events. These adverse events have been included within the post marketing adverse event tables which is identical to the reference product which the sponsor notes has also updated this information following a recent safety related change to its PI in September 2014.</w:t>
            </w:r>
          </w:p>
          <w:p w14:paraId="6F618F79" w14:textId="77777777" w:rsidR="00C1578B" w:rsidRPr="006B2AB7" w:rsidRDefault="00C1578B" w:rsidP="006B2AB7">
            <w:pPr>
              <w:rPr>
                <w:sz w:val="20"/>
                <w:szCs w:val="20"/>
              </w:rPr>
            </w:pPr>
            <w:r w:rsidRPr="006B2AB7">
              <w:rPr>
                <w:sz w:val="20"/>
                <w:szCs w:val="20"/>
              </w:rPr>
              <w:t>Updated marked and clean copies of the proposed PI are provided.</w:t>
            </w:r>
          </w:p>
        </w:tc>
        <w:tc>
          <w:tcPr>
            <w:tcW w:w="1280" w:type="pct"/>
            <w:noWrap/>
          </w:tcPr>
          <w:p w14:paraId="0CCA068E" w14:textId="77777777" w:rsidR="00C1578B" w:rsidRPr="006B2AB7" w:rsidRDefault="00C1578B" w:rsidP="006B2AB7">
            <w:pPr>
              <w:rPr>
                <w:sz w:val="20"/>
                <w:szCs w:val="20"/>
              </w:rPr>
            </w:pPr>
            <w:r w:rsidRPr="006B2AB7">
              <w:rPr>
                <w:sz w:val="20"/>
                <w:szCs w:val="20"/>
              </w:rPr>
              <w:t>It is noted the appropriate changes have been made. This is acceptable, pending approval by the Delegate.</w:t>
            </w:r>
          </w:p>
        </w:tc>
      </w:tr>
      <w:tr w:rsidR="00C1578B" w:rsidRPr="006B2AB7" w14:paraId="3072C24D" w14:textId="77777777" w:rsidTr="00C1578B">
        <w:tc>
          <w:tcPr>
            <w:tcW w:w="1769" w:type="pct"/>
            <w:noWrap/>
          </w:tcPr>
          <w:p w14:paraId="2C881E8E" w14:textId="77777777" w:rsidR="00C1578B" w:rsidRPr="006B2AB7" w:rsidRDefault="00C1578B" w:rsidP="006B2AB7">
            <w:pPr>
              <w:rPr>
                <w:sz w:val="20"/>
                <w:szCs w:val="20"/>
              </w:rPr>
            </w:pPr>
            <w:r w:rsidRPr="006B2AB7">
              <w:rPr>
                <w:sz w:val="20"/>
                <w:szCs w:val="20"/>
              </w:rPr>
              <w:t>The sponsor should add a DHPL as an additional risk minimisation activity. This letter should contain at least the following information:</w:t>
            </w:r>
          </w:p>
          <w:p w14:paraId="7D08FC2F" w14:textId="77777777" w:rsidR="00C1578B" w:rsidRPr="006B2AB7" w:rsidRDefault="00C1578B" w:rsidP="006B2AB7">
            <w:pPr>
              <w:rPr>
                <w:sz w:val="20"/>
                <w:szCs w:val="20"/>
              </w:rPr>
            </w:pPr>
            <w:r w:rsidRPr="006B2AB7">
              <w:rPr>
                <w:sz w:val="20"/>
                <w:szCs w:val="20"/>
              </w:rPr>
              <w:t xml:space="preserve">A statement that </w:t>
            </w:r>
            <w:r w:rsidR="00525466" w:rsidRPr="006B2AB7">
              <w:rPr>
                <w:sz w:val="20"/>
                <w:szCs w:val="20"/>
              </w:rPr>
              <w:t>Inflectra</w:t>
            </w:r>
            <w:r w:rsidRPr="006B2AB7">
              <w:rPr>
                <w:sz w:val="20"/>
                <w:szCs w:val="20"/>
              </w:rPr>
              <w:t xml:space="preserve"> is not interchangeable with other infliximab products;</w:t>
            </w:r>
          </w:p>
          <w:p w14:paraId="5CBF85AB" w14:textId="77777777" w:rsidR="00C1578B" w:rsidRPr="006B2AB7" w:rsidRDefault="00C1578B" w:rsidP="006B2AB7">
            <w:pPr>
              <w:rPr>
                <w:sz w:val="20"/>
                <w:szCs w:val="20"/>
              </w:rPr>
            </w:pPr>
            <w:r w:rsidRPr="006B2AB7">
              <w:rPr>
                <w:sz w:val="20"/>
                <w:szCs w:val="20"/>
              </w:rPr>
              <w:t xml:space="preserve">The contraindications of </w:t>
            </w:r>
            <w:r w:rsidR="00525466" w:rsidRPr="006B2AB7">
              <w:rPr>
                <w:sz w:val="20"/>
                <w:szCs w:val="20"/>
              </w:rPr>
              <w:t>Inflectra</w:t>
            </w:r>
            <w:r w:rsidRPr="006B2AB7">
              <w:rPr>
                <w:sz w:val="20"/>
                <w:szCs w:val="20"/>
              </w:rPr>
              <w:t>;</w:t>
            </w:r>
          </w:p>
          <w:p w14:paraId="3A77CEDB" w14:textId="77777777" w:rsidR="00C1578B" w:rsidRPr="006B2AB7" w:rsidRDefault="00C1578B" w:rsidP="006B2AB7">
            <w:pPr>
              <w:rPr>
                <w:sz w:val="20"/>
                <w:szCs w:val="20"/>
              </w:rPr>
            </w:pPr>
            <w:r w:rsidRPr="006B2AB7">
              <w:rPr>
                <w:sz w:val="20"/>
                <w:szCs w:val="20"/>
              </w:rPr>
              <w:t xml:space="preserve">The approved indications of </w:t>
            </w:r>
            <w:r w:rsidR="00525466" w:rsidRPr="006B2AB7">
              <w:rPr>
                <w:sz w:val="20"/>
                <w:szCs w:val="20"/>
              </w:rPr>
              <w:t>Inflectra</w:t>
            </w:r>
            <w:r w:rsidRPr="006B2AB7">
              <w:rPr>
                <w:sz w:val="20"/>
                <w:szCs w:val="20"/>
              </w:rPr>
              <w:t>;</w:t>
            </w:r>
          </w:p>
          <w:p w14:paraId="21478A51" w14:textId="77777777" w:rsidR="00C1578B" w:rsidRPr="006B2AB7" w:rsidRDefault="00C1578B" w:rsidP="006B2AB7">
            <w:pPr>
              <w:rPr>
                <w:sz w:val="20"/>
                <w:szCs w:val="20"/>
              </w:rPr>
            </w:pPr>
            <w:r w:rsidRPr="006B2AB7">
              <w:rPr>
                <w:sz w:val="20"/>
                <w:szCs w:val="20"/>
              </w:rPr>
              <w:t xml:space="preserve">The indications for which other infliximab products are approved and used, but for which </w:t>
            </w:r>
            <w:r w:rsidR="00525466" w:rsidRPr="006B2AB7">
              <w:rPr>
                <w:sz w:val="20"/>
                <w:szCs w:val="20"/>
              </w:rPr>
              <w:t>Inflectra</w:t>
            </w:r>
            <w:r w:rsidRPr="006B2AB7">
              <w:rPr>
                <w:sz w:val="20"/>
                <w:szCs w:val="20"/>
              </w:rPr>
              <w:t xml:space="preserve"> has no approval, and a statement that </w:t>
            </w:r>
            <w:r w:rsidR="00525466" w:rsidRPr="006B2AB7">
              <w:rPr>
                <w:sz w:val="20"/>
                <w:szCs w:val="20"/>
              </w:rPr>
              <w:t>Inflectra</w:t>
            </w:r>
            <w:r w:rsidRPr="006B2AB7">
              <w:rPr>
                <w:sz w:val="20"/>
                <w:szCs w:val="20"/>
              </w:rPr>
              <w:t xml:space="preserve"> must not be used for those indications;</w:t>
            </w:r>
          </w:p>
          <w:p w14:paraId="50920856" w14:textId="77777777" w:rsidR="00C1578B" w:rsidRPr="006B2AB7" w:rsidRDefault="00C1578B" w:rsidP="006B2AB7">
            <w:pPr>
              <w:rPr>
                <w:sz w:val="20"/>
                <w:szCs w:val="20"/>
              </w:rPr>
            </w:pPr>
            <w:r w:rsidRPr="006B2AB7">
              <w:rPr>
                <w:sz w:val="20"/>
                <w:szCs w:val="20"/>
              </w:rPr>
              <w:t xml:space="preserve">A statement that </w:t>
            </w:r>
            <w:r w:rsidR="00525466" w:rsidRPr="006B2AB7">
              <w:rPr>
                <w:sz w:val="20"/>
                <w:szCs w:val="20"/>
              </w:rPr>
              <w:t>Inflectra</w:t>
            </w:r>
            <w:r w:rsidRPr="006B2AB7">
              <w:rPr>
                <w:sz w:val="20"/>
                <w:szCs w:val="20"/>
              </w:rPr>
              <w:t xml:space="preserve"> must be administered by a healthcare professional experienced in the use of this product;</w:t>
            </w:r>
          </w:p>
          <w:p w14:paraId="0D56ACF4" w14:textId="77777777" w:rsidR="00C1578B" w:rsidRPr="006B2AB7" w:rsidRDefault="00C1578B" w:rsidP="006B2AB7">
            <w:pPr>
              <w:rPr>
                <w:sz w:val="20"/>
                <w:szCs w:val="20"/>
              </w:rPr>
            </w:pPr>
            <w:r w:rsidRPr="006B2AB7">
              <w:rPr>
                <w:sz w:val="20"/>
                <w:szCs w:val="20"/>
              </w:rPr>
              <w:t>A reference to the approved PI document for further safety information.</w:t>
            </w:r>
          </w:p>
        </w:tc>
        <w:tc>
          <w:tcPr>
            <w:tcW w:w="1951" w:type="pct"/>
            <w:noWrap/>
          </w:tcPr>
          <w:p w14:paraId="5135BAB9" w14:textId="77777777" w:rsidR="00C1578B" w:rsidRPr="006B2AB7" w:rsidRDefault="00C1578B" w:rsidP="006B2AB7">
            <w:pPr>
              <w:rPr>
                <w:sz w:val="20"/>
                <w:szCs w:val="20"/>
              </w:rPr>
            </w:pPr>
            <w:r w:rsidRPr="006B2AB7">
              <w:rPr>
                <w:sz w:val="20"/>
                <w:szCs w:val="20"/>
              </w:rPr>
              <w:t>The sponsor strongly disagrees until a final decision has been made to the approved indications with the provision of a DHPL. It is premature at time to create such a letter when the final decision has not been made. The sponsor will work with the TGA following post-ACPM to develop an appropriate DHCPL if required.’</w:t>
            </w:r>
          </w:p>
        </w:tc>
        <w:tc>
          <w:tcPr>
            <w:tcW w:w="1280" w:type="pct"/>
            <w:noWrap/>
          </w:tcPr>
          <w:p w14:paraId="154919E2" w14:textId="77777777" w:rsidR="00C1578B" w:rsidRPr="006B2AB7" w:rsidRDefault="00C1578B" w:rsidP="006B2AB7">
            <w:pPr>
              <w:rPr>
                <w:sz w:val="20"/>
                <w:szCs w:val="20"/>
              </w:rPr>
            </w:pPr>
            <w:r w:rsidRPr="006B2AB7">
              <w:rPr>
                <w:sz w:val="20"/>
                <w:szCs w:val="20"/>
              </w:rPr>
              <w:t>The requirement for the DHPL is not optional. The sponsor should submit their draft DHPL to the TGA, once informed about the approved indications.</w:t>
            </w:r>
          </w:p>
        </w:tc>
      </w:tr>
      <w:tr w:rsidR="00C1578B" w:rsidRPr="006B2AB7" w14:paraId="5FEB200D" w14:textId="77777777" w:rsidTr="00C1578B">
        <w:tc>
          <w:tcPr>
            <w:tcW w:w="1769" w:type="pct"/>
            <w:noWrap/>
          </w:tcPr>
          <w:p w14:paraId="3D94DD96" w14:textId="77777777" w:rsidR="00C1578B" w:rsidRPr="006B2AB7" w:rsidRDefault="00C1578B" w:rsidP="006B2AB7">
            <w:pPr>
              <w:rPr>
                <w:sz w:val="20"/>
                <w:szCs w:val="20"/>
              </w:rPr>
            </w:pPr>
            <w:r w:rsidRPr="006B2AB7">
              <w:rPr>
                <w:sz w:val="20"/>
                <w:szCs w:val="20"/>
              </w:rPr>
              <w:t xml:space="preserve">The activity DHPL should be assigned to the relevant ongoing safety concerns </w:t>
            </w:r>
            <w:r w:rsidRPr="006B2AB7">
              <w:rPr>
                <w:sz w:val="20"/>
                <w:szCs w:val="20"/>
              </w:rPr>
              <w:lastRenderedPageBreak/>
              <w:t>(including ‘off-label use’ and ‘medication errors’).</w:t>
            </w:r>
          </w:p>
        </w:tc>
        <w:tc>
          <w:tcPr>
            <w:tcW w:w="1951" w:type="pct"/>
            <w:noWrap/>
          </w:tcPr>
          <w:p w14:paraId="1305A6A0" w14:textId="77777777" w:rsidR="00C1578B" w:rsidRPr="006B2AB7" w:rsidRDefault="00C1578B" w:rsidP="006B2AB7">
            <w:pPr>
              <w:rPr>
                <w:sz w:val="20"/>
                <w:szCs w:val="20"/>
              </w:rPr>
            </w:pPr>
            <w:r w:rsidRPr="006B2AB7">
              <w:rPr>
                <w:sz w:val="20"/>
                <w:szCs w:val="20"/>
              </w:rPr>
              <w:lastRenderedPageBreak/>
              <w:t>It is premature to create such a letter. The sponsor will work with the TGA following post-</w:t>
            </w:r>
            <w:r w:rsidRPr="006B2AB7">
              <w:rPr>
                <w:sz w:val="20"/>
                <w:szCs w:val="20"/>
              </w:rPr>
              <w:lastRenderedPageBreak/>
              <w:t>ACPM to develop an appropriate DHCPL if required.’</w:t>
            </w:r>
          </w:p>
        </w:tc>
        <w:tc>
          <w:tcPr>
            <w:tcW w:w="1280" w:type="pct"/>
            <w:noWrap/>
          </w:tcPr>
          <w:p w14:paraId="5AD60783" w14:textId="77777777" w:rsidR="00C1578B" w:rsidRPr="006B2AB7" w:rsidRDefault="00C1578B" w:rsidP="006B2AB7">
            <w:pPr>
              <w:rPr>
                <w:sz w:val="20"/>
                <w:szCs w:val="20"/>
              </w:rPr>
            </w:pPr>
            <w:r w:rsidRPr="006B2AB7">
              <w:rPr>
                <w:sz w:val="20"/>
                <w:szCs w:val="20"/>
              </w:rPr>
              <w:lastRenderedPageBreak/>
              <w:t xml:space="preserve">This recommendation is not concerned with the creation </w:t>
            </w:r>
            <w:r w:rsidRPr="006B2AB7">
              <w:rPr>
                <w:sz w:val="20"/>
                <w:szCs w:val="20"/>
              </w:rPr>
              <w:lastRenderedPageBreak/>
              <w:t>of a letter, but with the inclusion of the DHPL additional risk minimisation activity in the ASA.</w:t>
            </w:r>
          </w:p>
        </w:tc>
      </w:tr>
      <w:tr w:rsidR="00C1578B" w:rsidRPr="006B2AB7" w14:paraId="2E6A88DA" w14:textId="77777777" w:rsidTr="00C1578B">
        <w:tc>
          <w:tcPr>
            <w:tcW w:w="1769" w:type="pct"/>
            <w:noWrap/>
          </w:tcPr>
          <w:p w14:paraId="5A398F67" w14:textId="77777777" w:rsidR="00C1578B" w:rsidRPr="006B2AB7" w:rsidRDefault="00C1578B" w:rsidP="006B2AB7">
            <w:pPr>
              <w:rPr>
                <w:sz w:val="20"/>
                <w:szCs w:val="20"/>
              </w:rPr>
            </w:pPr>
            <w:r w:rsidRPr="006B2AB7">
              <w:rPr>
                <w:sz w:val="20"/>
                <w:szCs w:val="20"/>
              </w:rPr>
              <w:lastRenderedPageBreak/>
              <w:t>All existing additional risk minimisation activities should be assigned to the relevant ongoing safety concerns (including ‘off-label use’ and ‘medication errors’).</w:t>
            </w:r>
          </w:p>
        </w:tc>
        <w:tc>
          <w:tcPr>
            <w:tcW w:w="1951" w:type="pct"/>
            <w:noWrap/>
          </w:tcPr>
          <w:p w14:paraId="6D3F45D8" w14:textId="77777777" w:rsidR="00C1578B" w:rsidRPr="006B2AB7" w:rsidRDefault="00C1578B" w:rsidP="006B2AB7">
            <w:pPr>
              <w:rPr>
                <w:sz w:val="20"/>
                <w:szCs w:val="20"/>
              </w:rPr>
            </w:pPr>
            <w:r w:rsidRPr="006B2AB7">
              <w:rPr>
                <w:sz w:val="20"/>
                <w:szCs w:val="20"/>
              </w:rPr>
              <w:t>‘It is premature to create such a letter. The sponsor will work with the TGA following post-ACPM to develop an appropriate DHCPL if required.’</w:t>
            </w:r>
          </w:p>
        </w:tc>
        <w:tc>
          <w:tcPr>
            <w:tcW w:w="1280" w:type="pct"/>
            <w:noWrap/>
          </w:tcPr>
          <w:p w14:paraId="2F677119" w14:textId="77777777" w:rsidR="00C1578B" w:rsidRPr="006B2AB7" w:rsidRDefault="00C1578B" w:rsidP="006B2AB7">
            <w:pPr>
              <w:rPr>
                <w:sz w:val="20"/>
                <w:szCs w:val="20"/>
              </w:rPr>
            </w:pPr>
            <w:r w:rsidRPr="006B2AB7">
              <w:rPr>
                <w:sz w:val="20"/>
                <w:szCs w:val="20"/>
              </w:rPr>
              <w:t>This recommendation is not concerned with the creation of a letter, but with the inclusion of the DHPL additional risk minimisation activity in the ASA.</w:t>
            </w:r>
          </w:p>
        </w:tc>
      </w:tr>
    </w:tbl>
    <w:p w14:paraId="486B9198" w14:textId="77777777" w:rsidR="008E7846" w:rsidRDefault="008E7846" w:rsidP="00510AC1">
      <w:pPr>
        <w:pStyle w:val="Heading4"/>
        <w:rPr>
          <w:lang w:eastAsia="en-AU"/>
        </w:rPr>
      </w:pPr>
      <w:r>
        <w:rPr>
          <w:lang w:eastAsia="en-AU"/>
        </w:rPr>
        <w:t xml:space="preserve">Summary of </w:t>
      </w:r>
      <w:r w:rsidR="003A7F6C">
        <w:rPr>
          <w:lang w:eastAsia="en-AU"/>
        </w:rPr>
        <w:t>r</w:t>
      </w:r>
      <w:r>
        <w:rPr>
          <w:lang w:eastAsia="en-AU"/>
        </w:rPr>
        <w:t>ecommendations</w:t>
      </w:r>
    </w:p>
    <w:p w14:paraId="61BD4A89" w14:textId="77777777" w:rsidR="00C1578B" w:rsidRPr="00DA1B4E" w:rsidRDefault="00C1578B" w:rsidP="009F4AB2">
      <w:pPr>
        <w:pStyle w:val="Numberbullet0"/>
      </w:pPr>
      <w:bookmarkStart w:id="150" w:name="_Toc314842510"/>
      <w:r w:rsidRPr="00DA1B4E">
        <w:t>The ASA should reflect the changes made</w:t>
      </w:r>
      <w:r>
        <w:t xml:space="preserve"> in the EU-RMP with regard to ‘skin cancer’, ‘o</w:t>
      </w:r>
      <w:r w:rsidRPr="00DA1B4E">
        <w:t>ff-label use’ ‘</w:t>
      </w:r>
      <w:r>
        <w:t>m</w:t>
      </w:r>
      <w:r w:rsidRPr="00DA1B4E">
        <w:t xml:space="preserve">edication errors’ (that is reclassification of </w:t>
      </w:r>
      <w:r>
        <w:t>‘skin cancer’ and addition of ‘off-label use’ ‘m</w:t>
      </w:r>
      <w:r w:rsidRPr="00DA1B4E">
        <w:t>edication errors’).</w:t>
      </w:r>
    </w:p>
    <w:p w14:paraId="35E14D33" w14:textId="77777777" w:rsidR="00C1578B" w:rsidRPr="00DA1B4E" w:rsidRDefault="00C1578B" w:rsidP="009F4AB2">
      <w:pPr>
        <w:pStyle w:val="Numberbullet0"/>
      </w:pPr>
      <w:r w:rsidRPr="00DA1B4E">
        <w:t>The sponsor should prepare additional risk minimisation activities to the satisfac</w:t>
      </w:r>
      <w:r>
        <w:t>tion of the TGA, including the DHPL</w:t>
      </w:r>
      <w:r w:rsidRPr="00DA1B4E">
        <w:t>. It may acceptable to submit this within 3 months of approval, but before supply to the Australian market.</w:t>
      </w:r>
    </w:p>
    <w:p w14:paraId="1F5B78CB" w14:textId="77777777" w:rsidR="00C1578B" w:rsidRDefault="00C1578B" w:rsidP="009F4AB2">
      <w:pPr>
        <w:pStyle w:val="Numberbullet0"/>
      </w:pPr>
      <w:r w:rsidRPr="00DA1B4E">
        <w:t>Legionella infections associated with infliximab have been rep</w:t>
      </w:r>
      <w:r>
        <w:t>orted in the medical literature</w:t>
      </w:r>
      <w:r w:rsidRPr="00DA1B4E">
        <w:t>, a</w:t>
      </w:r>
      <w:r>
        <w:t xml:space="preserve"> 2011 FDA safety communication </w:t>
      </w:r>
      <w:r w:rsidRPr="00DA1B4E">
        <w:t>and the current FDA label for Remicade. It is recommended to the Delegate to consider adding this information to the proposed PI.</w:t>
      </w:r>
    </w:p>
    <w:p w14:paraId="1335C05E" w14:textId="77777777" w:rsidR="00C1578B" w:rsidRPr="006C0455" w:rsidRDefault="00C1578B" w:rsidP="00510AC1">
      <w:pPr>
        <w:pStyle w:val="Heading5"/>
      </w:pPr>
      <w:r w:rsidRPr="006C0455">
        <w:t xml:space="preserve">Suggested wording for conditions of registration </w:t>
      </w:r>
    </w:p>
    <w:p w14:paraId="1021879B" w14:textId="77777777" w:rsidR="00C1578B" w:rsidRPr="006C0455" w:rsidRDefault="00C1578B" w:rsidP="00510AC1">
      <w:r w:rsidRPr="006C0455">
        <w:t>The suggested wording is:</w:t>
      </w:r>
    </w:p>
    <w:p w14:paraId="715BF449" w14:textId="77777777" w:rsidR="00C1578B" w:rsidRPr="006C0455" w:rsidRDefault="00C1578B" w:rsidP="00510AC1">
      <w:pPr>
        <w:pStyle w:val="ListBullet"/>
        <w:numPr>
          <w:ilvl w:val="0"/>
          <w:numId w:val="0"/>
        </w:numPr>
      </w:pPr>
      <w:r w:rsidRPr="006C0455">
        <w:t>Implement EU Risk Management Plan Version 4.0 (dated May 2014, DLP 15 April 2013) and Australian Specific Annex Version 1.0 (dated 24 November 2014), and any future updates (where TGA approved)</w:t>
      </w:r>
      <w:r>
        <w:t xml:space="preserve"> as a condition of registration</w:t>
      </w:r>
    </w:p>
    <w:p w14:paraId="6FB79073" w14:textId="77777777" w:rsidR="00C1578B" w:rsidRPr="006C0455" w:rsidRDefault="00C1578B" w:rsidP="00510AC1">
      <w:pPr>
        <w:pStyle w:val="ListBullet"/>
        <w:numPr>
          <w:ilvl w:val="0"/>
          <w:numId w:val="0"/>
        </w:numPr>
      </w:pPr>
      <w:r>
        <w:t>Provide interim reports of the additional pharmacovigilance a</w:t>
      </w:r>
      <w:r w:rsidRPr="006C0455">
        <w:t>ctivities referenced in the pharmacovigi</w:t>
      </w:r>
      <w:r>
        <w:t>lance plan through PSURs/PBRERs</w:t>
      </w:r>
    </w:p>
    <w:p w14:paraId="702D7666" w14:textId="77777777" w:rsidR="00C1578B" w:rsidRPr="006C0455" w:rsidRDefault="00C1578B" w:rsidP="00510AC1">
      <w:pPr>
        <w:pStyle w:val="ListBullet"/>
        <w:numPr>
          <w:ilvl w:val="0"/>
          <w:numId w:val="0"/>
        </w:numPr>
      </w:pPr>
      <w:r>
        <w:t>Provide final reports of the additional p</w:t>
      </w:r>
      <w:r w:rsidRPr="006C0455">
        <w:t>harmacovigilanc</w:t>
      </w:r>
      <w:r>
        <w:t>e a</w:t>
      </w:r>
      <w:r w:rsidRPr="006C0455">
        <w:t>ctivities referenced in the pharmac</w:t>
      </w:r>
      <w:r>
        <w:t>ovigilance plan, once available</w:t>
      </w:r>
    </w:p>
    <w:p w14:paraId="1B24132E" w14:textId="77777777" w:rsidR="00C1578B" w:rsidRPr="00C1578B" w:rsidRDefault="00C1578B" w:rsidP="00510AC1">
      <w:pPr>
        <w:pStyle w:val="ListBullet"/>
        <w:numPr>
          <w:ilvl w:val="0"/>
          <w:numId w:val="0"/>
        </w:numPr>
      </w:pPr>
      <w:r w:rsidRPr="006C0455">
        <w:t xml:space="preserve">Implement Additional Risk Minimisation Activities, within 3 months of approval, where approved by the TGA </w:t>
      </w:r>
      <w:r>
        <w:t>PSAB</w:t>
      </w:r>
      <w:r w:rsidRPr="006C0455">
        <w:t>, as a condition of registration.</w:t>
      </w:r>
    </w:p>
    <w:p w14:paraId="52008362" w14:textId="47168D36" w:rsidR="008E7846" w:rsidRPr="00792A32" w:rsidRDefault="00617629" w:rsidP="008E7846">
      <w:pPr>
        <w:pStyle w:val="Heading2"/>
      </w:pPr>
      <w:bookmarkStart w:id="151" w:name="_Toc44577026"/>
      <w:r>
        <w:t>III</w:t>
      </w:r>
      <w:r w:rsidR="008E7846">
        <w:t xml:space="preserve">. </w:t>
      </w:r>
      <w:r w:rsidR="008E7846" w:rsidRPr="00792A32">
        <w:t xml:space="preserve">Overall </w:t>
      </w:r>
      <w:r w:rsidR="008E7846">
        <w:t>c</w:t>
      </w:r>
      <w:r w:rsidR="008E7846" w:rsidRPr="00792A32">
        <w:t xml:space="preserve">onclusion and </w:t>
      </w:r>
      <w:r w:rsidR="008E7846">
        <w:t>r</w:t>
      </w:r>
      <w:r w:rsidR="008E7846" w:rsidRPr="00792A32">
        <w:t>isk/</w:t>
      </w:r>
      <w:r w:rsidR="008E7846">
        <w:t>b</w:t>
      </w:r>
      <w:r w:rsidR="008E7846" w:rsidRPr="00792A32">
        <w:t xml:space="preserve">enefit </w:t>
      </w:r>
      <w:r w:rsidR="008E7846">
        <w:t>a</w:t>
      </w:r>
      <w:r w:rsidR="008E7846" w:rsidRPr="00792A32">
        <w:t>ssessment</w:t>
      </w:r>
      <w:bookmarkEnd w:id="132"/>
      <w:bookmarkEnd w:id="149"/>
      <w:bookmarkEnd w:id="150"/>
      <w:bookmarkEnd w:id="151"/>
    </w:p>
    <w:p w14:paraId="78BD1EDD" w14:textId="7CC75C70" w:rsidR="00C1578B" w:rsidRDefault="00C1578B" w:rsidP="00C1578B">
      <w:bookmarkStart w:id="152" w:name="_Toc247691528"/>
      <w:bookmarkStart w:id="153" w:name="_Toc314842511"/>
      <w:r>
        <w:t xml:space="preserve">The sections below present the Delegates’ overview of the submission and request for advice from the </w:t>
      </w:r>
      <w:r w:rsidR="003C187F">
        <w:t>Advisory Committee o</w:t>
      </w:r>
      <w:r w:rsidR="00E018EC" w:rsidRPr="00223E48">
        <w:t xml:space="preserve">n Prescription Medicines </w:t>
      </w:r>
      <w:r w:rsidRPr="00223E48">
        <w:t>(ACPM)</w:t>
      </w:r>
      <w:r>
        <w:t>.</w:t>
      </w:r>
    </w:p>
    <w:p w14:paraId="0A560371" w14:textId="77777777" w:rsidR="00C1578B" w:rsidRDefault="00C1578B" w:rsidP="00053448">
      <w:pPr>
        <w:pStyle w:val="Heading3"/>
      </w:pPr>
      <w:bookmarkStart w:id="154" w:name="_Toc44577027"/>
      <w:r>
        <w:lastRenderedPageBreak/>
        <w:t>Timeline</w:t>
      </w:r>
      <w:bookmarkEnd w:id="154"/>
    </w:p>
    <w:p w14:paraId="20CEC2F8" w14:textId="473420CA" w:rsidR="00C96C99" w:rsidRDefault="00C96C99" w:rsidP="00C96C99">
      <w:pPr>
        <w:tabs>
          <w:tab w:val="left" w:pos="1276"/>
        </w:tabs>
      </w:pPr>
      <w:r>
        <w:t>A r</w:t>
      </w:r>
      <w:r w:rsidRPr="00EB7283">
        <w:t xml:space="preserve">equest for </w:t>
      </w:r>
      <w:r>
        <w:t xml:space="preserve">advice from the ACPM </w:t>
      </w:r>
      <w:r w:rsidRPr="00EB7283">
        <w:t xml:space="preserve">was initially sent to the sponsor on 6 November 2014 with the submission planned for the December </w:t>
      </w:r>
      <w:r w:rsidRPr="008B3C47">
        <w:t>2014 ACPM</w:t>
      </w:r>
      <w:r w:rsidR="00080865">
        <w:t xml:space="preserve"> meeting</w:t>
      </w:r>
      <w:r w:rsidRPr="008B3C47">
        <w:t xml:space="preserve">. Following receipt of the document, the sponsor requested a meeting with the TGA to discuss the concerns raised in relation to the </w:t>
      </w:r>
      <w:r>
        <w:t>inflammatory bowel disease</w:t>
      </w:r>
      <w:r w:rsidRPr="008B3C47">
        <w:t xml:space="preserve"> and psoriasis indications. This meeting, on 14</w:t>
      </w:r>
      <w:r w:rsidR="00780CC3">
        <w:t> </w:t>
      </w:r>
      <w:r w:rsidRPr="008B3C47">
        <w:t xml:space="preserve">November 2014, was followed by a request from the sponsor for a clock stop and the opportunity to address the matters discussed at the meeting and for the sponsor to respond to the various issues raised by the Delegate and the other clinical units at the TGA. The TGA agreed to this request and the sponsor submitted additional information </w:t>
      </w:r>
      <w:r>
        <w:t xml:space="preserve">(in a response referred to as post TGA meeting response) </w:t>
      </w:r>
      <w:r w:rsidRPr="008B3C47">
        <w:t>which has been reviewed and was considered</w:t>
      </w:r>
      <w:r>
        <w:t xml:space="preserve"> in a revised request for ACPM a</w:t>
      </w:r>
      <w:r w:rsidRPr="008B3C47">
        <w:t>dvice</w:t>
      </w:r>
      <w:r>
        <w:t xml:space="preserve"> detailed below.</w:t>
      </w:r>
    </w:p>
    <w:p w14:paraId="371A716C" w14:textId="100AED50" w:rsidR="00C96C99" w:rsidRDefault="00C96C99" w:rsidP="00C96C99">
      <w:r>
        <w:t>The submission was presented to the April 2015 ACPM</w:t>
      </w:r>
      <w:r w:rsidR="00080865">
        <w:t xml:space="preserve"> meeting</w:t>
      </w:r>
      <w:r>
        <w:t xml:space="preserve"> for advice, and subsequently to the June 2015 ACPM</w:t>
      </w:r>
      <w:r w:rsidR="00080865">
        <w:t xml:space="preserve"> meeting</w:t>
      </w:r>
      <w:r>
        <w:t xml:space="preserve"> for additional advice.</w:t>
      </w:r>
    </w:p>
    <w:p w14:paraId="0C7E0119" w14:textId="77777777" w:rsidR="00A95A1A" w:rsidRDefault="00A95A1A" w:rsidP="00A95A1A">
      <w:pPr>
        <w:pStyle w:val="Heading3"/>
      </w:pPr>
      <w:bookmarkStart w:id="155" w:name="_Toc44577028"/>
      <w:r>
        <w:t>Delegate’s overview and request for advice April 2015 ACPM</w:t>
      </w:r>
      <w:bookmarkEnd w:id="155"/>
      <w:r>
        <w:t xml:space="preserve"> </w:t>
      </w:r>
    </w:p>
    <w:p w14:paraId="58FCCCC9" w14:textId="35DACCDC" w:rsidR="00C96C99" w:rsidRPr="006C0455" w:rsidRDefault="00C96C99" w:rsidP="00C96C99">
      <w:r w:rsidRPr="008B3C47">
        <w:t>This submission covers 7 indications that are normally managed by 3 separate Delegates</w:t>
      </w:r>
      <w:r>
        <w:t xml:space="preserve"> (from</w:t>
      </w:r>
      <w:r w:rsidR="00080865">
        <w:t xml:space="preserve"> </w:t>
      </w:r>
      <w:r>
        <w:t>c</w:t>
      </w:r>
      <w:r w:rsidRPr="008B3C47">
        <w:t>linical units</w:t>
      </w:r>
      <w:r>
        <w:t xml:space="preserve"> 1,</w:t>
      </w:r>
      <w:r w:rsidRPr="008B3C47">
        <w:t xml:space="preserve"> 3 and 4) at the TGA</w:t>
      </w:r>
      <w:r w:rsidRPr="00BE3834">
        <w:t>. Therefore</w:t>
      </w:r>
      <w:r w:rsidR="00780CC3">
        <w:t>,</w:t>
      </w:r>
      <w:r w:rsidRPr="00BE3834">
        <w:t xml:space="preserve"> the request for ACPM advice </w:t>
      </w:r>
      <w:r w:rsidR="00BE3834" w:rsidRPr="00BE3834">
        <w:t>was</w:t>
      </w:r>
      <w:r w:rsidRPr="00BE3834">
        <w:t xml:space="preserve"> composed of three parts and a summary of issues </w:t>
      </w:r>
      <w:r w:rsidR="00BE3834">
        <w:t>was also</w:t>
      </w:r>
      <w:r w:rsidRPr="00BE3834">
        <w:t xml:space="preserve"> provided in each of the three parts.</w:t>
      </w:r>
    </w:p>
    <w:p w14:paraId="75491767" w14:textId="77777777" w:rsidR="00C96C99" w:rsidRPr="00FC7A6F" w:rsidRDefault="00C96C99" w:rsidP="00654E1B">
      <w:pPr>
        <w:pStyle w:val="Numberbullet0"/>
        <w:numPr>
          <w:ilvl w:val="0"/>
          <w:numId w:val="7"/>
        </w:numPr>
      </w:pPr>
      <w:r w:rsidRPr="00FC7A6F">
        <w:t xml:space="preserve">The three rheumatology indications of RA, AS and </w:t>
      </w:r>
      <w:proofErr w:type="spellStart"/>
      <w:r w:rsidRPr="00FC7A6F">
        <w:t>PsA</w:t>
      </w:r>
      <w:proofErr w:type="spellEnd"/>
      <w:r w:rsidRPr="00FC7A6F">
        <w:t xml:space="preserve"> along with the PI, CMI, are discussed by clinical unit 3 (the Delegate)</w:t>
      </w:r>
      <w:r w:rsidR="00BE3834">
        <w:t xml:space="preserve"> (presented below)</w:t>
      </w:r>
      <w:r w:rsidRPr="00FC7A6F">
        <w:t>.</w:t>
      </w:r>
    </w:p>
    <w:p w14:paraId="1013C933" w14:textId="4C580DBA" w:rsidR="00C96C99" w:rsidRPr="00FC7A6F" w:rsidRDefault="00C96C99" w:rsidP="00654E1B">
      <w:pPr>
        <w:pStyle w:val="Numberbullet0"/>
        <w:numPr>
          <w:ilvl w:val="0"/>
          <w:numId w:val="7"/>
        </w:numPr>
      </w:pPr>
      <w:r w:rsidRPr="00FC7A6F">
        <w:t>The three inflammatory bowel disease indications; for CD in adults and children, refractory fistulising CD and UC a</w:t>
      </w:r>
      <w:r w:rsidR="00BE3834">
        <w:t xml:space="preserve">re discussed by clinical unit 1 (see Attachment </w:t>
      </w:r>
      <w:r w:rsidR="00D41B1A">
        <w:t>2</w:t>
      </w:r>
      <w:r w:rsidR="00BE3834">
        <w:t>)</w:t>
      </w:r>
    </w:p>
    <w:p w14:paraId="621A69E4" w14:textId="2CD37864" w:rsidR="00C96C99" w:rsidRPr="00FC7A6F" w:rsidRDefault="00C96C99" w:rsidP="00654E1B">
      <w:pPr>
        <w:pStyle w:val="Numberbullet0"/>
        <w:numPr>
          <w:ilvl w:val="0"/>
          <w:numId w:val="7"/>
        </w:numPr>
      </w:pPr>
      <w:r w:rsidRPr="00FC7A6F">
        <w:t xml:space="preserve">The psoriasis indication </w:t>
      </w:r>
      <w:r w:rsidR="00BE3834">
        <w:t xml:space="preserve">is discussed by clinical unit 4 (see Attachment </w:t>
      </w:r>
      <w:r w:rsidR="00D41B1A">
        <w:t>2</w:t>
      </w:r>
      <w:r w:rsidR="00BE3834">
        <w:t>)</w:t>
      </w:r>
    </w:p>
    <w:p w14:paraId="533F74DA" w14:textId="77777777" w:rsidR="00A13016" w:rsidRDefault="00A13016" w:rsidP="00A95A1A">
      <w:pPr>
        <w:pStyle w:val="Heading4"/>
      </w:pPr>
      <w:r>
        <w:t>Background by the Delegate</w:t>
      </w:r>
    </w:p>
    <w:p w14:paraId="4472B77F" w14:textId="77777777" w:rsidR="00A13016" w:rsidRPr="006C0455" w:rsidRDefault="00A13016" w:rsidP="00A13016">
      <w:r w:rsidRPr="006C0455">
        <w:t xml:space="preserve">The </w:t>
      </w:r>
      <w:r>
        <w:t>primary</w:t>
      </w:r>
      <w:r w:rsidRPr="006C0455">
        <w:t xml:space="preserve"> issues with this submission for the rheumatology indications and in general </w:t>
      </w:r>
      <w:r>
        <w:t>is</w:t>
      </w:r>
      <w:r w:rsidRPr="006C0455">
        <w:t xml:space="preserve"> as follows:</w:t>
      </w:r>
    </w:p>
    <w:p w14:paraId="7FF656FA" w14:textId="77777777" w:rsidR="00A13016" w:rsidRPr="006C0455" w:rsidRDefault="00A13016" w:rsidP="00654E1B">
      <w:pPr>
        <w:pStyle w:val="Numberbullet0"/>
        <w:numPr>
          <w:ilvl w:val="0"/>
          <w:numId w:val="8"/>
        </w:numPr>
      </w:pPr>
      <w:r w:rsidRPr="006C0455">
        <w:t xml:space="preserve">The first major issue concerns the adequacy of the evidence in </w:t>
      </w:r>
      <w:r>
        <w:t>RA</w:t>
      </w:r>
      <w:r w:rsidRPr="006C0455">
        <w:t xml:space="preserve"> and </w:t>
      </w:r>
      <w:r>
        <w:t>AS</w:t>
      </w:r>
      <w:r w:rsidRPr="006C0455">
        <w:t xml:space="preserve"> and the ability to extrapolate this evidence and what is known about the pathophysiology of the diseases in the various indications and the mechanism of action of infliximab to the indications without specific clinical trial data, namely </w:t>
      </w:r>
      <w:proofErr w:type="spellStart"/>
      <w:r>
        <w:t>PsA</w:t>
      </w:r>
      <w:proofErr w:type="spellEnd"/>
      <w:r w:rsidRPr="006C0455">
        <w:t xml:space="preserve">, </w:t>
      </w:r>
      <w:r>
        <w:t>CD</w:t>
      </w:r>
      <w:r w:rsidRPr="006C0455">
        <w:t xml:space="preserve">, </w:t>
      </w:r>
      <w:r>
        <w:t>UC</w:t>
      </w:r>
      <w:r w:rsidRPr="006C0455">
        <w:t xml:space="preserve"> and plaque psoriasis.</w:t>
      </w:r>
    </w:p>
    <w:p w14:paraId="2873BED7" w14:textId="77777777" w:rsidR="00A13016" w:rsidRPr="006C0455" w:rsidRDefault="00A13016" w:rsidP="00654E1B">
      <w:pPr>
        <w:pStyle w:val="Numberbullet0"/>
        <w:numPr>
          <w:ilvl w:val="0"/>
          <w:numId w:val="8"/>
        </w:numPr>
      </w:pPr>
      <w:r w:rsidRPr="006C0455">
        <w:t xml:space="preserve">The second major issue concerns the differences observed in the rates of </w:t>
      </w:r>
      <w:r>
        <w:t>TB</w:t>
      </w:r>
      <w:r w:rsidRPr="006C0455">
        <w:t xml:space="preserve"> and serious pneumonia between </w:t>
      </w:r>
      <w:r w:rsidR="00525466">
        <w:t>Inflectra</w:t>
      </w:r>
      <w:r w:rsidRPr="006C0455">
        <w:t xml:space="preserve"> and Remicade.</w:t>
      </w:r>
    </w:p>
    <w:p w14:paraId="7B6D080E" w14:textId="77777777" w:rsidR="00A13016" w:rsidRPr="00A13016" w:rsidRDefault="00A13016" w:rsidP="00FC63C6">
      <w:pPr>
        <w:pStyle w:val="Numberbullet0"/>
        <w:numPr>
          <w:ilvl w:val="0"/>
          <w:numId w:val="8"/>
        </w:numPr>
      </w:pPr>
      <w:r w:rsidRPr="006C0455">
        <w:t xml:space="preserve">The third major issue concerns the ways in which information about the </w:t>
      </w:r>
      <w:proofErr w:type="spellStart"/>
      <w:r w:rsidRPr="006C0455">
        <w:t>biosimilarity</w:t>
      </w:r>
      <w:proofErr w:type="spellEnd"/>
      <w:r w:rsidRPr="006C0455">
        <w:t xml:space="preserve"> to the reference product should be communicated in the PI, CMI and any educational materials </w:t>
      </w:r>
      <w:r>
        <w:t>including d</w:t>
      </w:r>
      <w:r w:rsidRPr="008B3C47">
        <w:t>ear health professional letters (DHPLs)</w:t>
      </w:r>
      <w:r w:rsidRPr="006C0455">
        <w:t>.</w:t>
      </w:r>
    </w:p>
    <w:p w14:paraId="20DB0C01" w14:textId="77777777" w:rsidR="008E7846" w:rsidRDefault="008E7846" w:rsidP="00A95A1A">
      <w:pPr>
        <w:pStyle w:val="Heading4"/>
      </w:pPr>
      <w:r>
        <w:t>Quality</w:t>
      </w:r>
      <w:bookmarkEnd w:id="152"/>
      <w:bookmarkEnd w:id="153"/>
    </w:p>
    <w:p w14:paraId="0E685337" w14:textId="22BF6F44" w:rsidR="00A13016" w:rsidRPr="00A13016" w:rsidRDefault="00A13016" w:rsidP="00A13016">
      <w:r w:rsidRPr="00A13016">
        <w:t xml:space="preserve">The proposed CT-P13 drug product formulation is identical to the </w:t>
      </w:r>
      <w:r w:rsidR="003C187F" w:rsidRPr="00A13016">
        <w:t>one that</w:t>
      </w:r>
      <w:r w:rsidRPr="00A13016">
        <w:t xml:space="preserve"> was used in the clinical trials and is also the same sort of formulation and presentation as used for Remicade. It is formulated as a white lyophilised powder.</w:t>
      </w:r>
    </w:p>
    <w:p w14:paraId="534D1815" w14:textId="77777777" w:rsidR="00A13016" w:rsidRPr="00A13016" w:rsidRDefault="00A13016" w:rsidP="00A13016">
      <w:r w:rsidRPr="00A13016">
        <w:t xml:space="preserve">The </w:t>
      </w:r>
      <w:proofErr w:type="spellStart"/>
      <w:r w:rsidRPr="00A13016">
        <w:t>lyophilisate</w:t>
      </w:r>
      <w:proofErr w:type="spellEnd"/>
      <w:r w:rsidRPr="00A13016">
        <w:t xml:space="preserve"> is reconstituted with 10 mL of sterile water for injection to yield a single dose formulation of 10 mg/mL infliximab at pH 7.2. Each vial is designed to deliver a single dose of 100 mg of the drug substance.</w:t>
      </w:r>
    </w:p>
    <w:p w14:paraId="5325332C" w14:textId="20E38791" w:rsidR="00413EB3" w:rsidRPr="00A467DB" w:rsidRDefault="00A13016" w:rsidP="00FB62FF">
      <w:r w:rsidRPr="00A13016">
        <w:lastRenderedPageBreak/>
        <w:t xml:space="preserve">The submitted documentation with regard to the chemical, pharmaceutical and biological characteristics comply with the relevant guidelines. The fermentation and the purification of the drug substance are well described, adequately controlled and appropriately validated. The physiochemical and biological characteristics of the drug substance have been well characterised using appropriate methods and have appropriate in process controls and specifications. The manufacturing process of the final drug product has been described and validated to a satisfactory level while the quality of the finished product is adequately controlled by appropriate test methods, in-process controls and release specifications. Appropriate stability studies have been performed to support the shelf life of the product (12 </w:t>
      </w:r>
      <w:r w:rsidRPr="00AC3C81">
        <w:t>months)</w:t>
      </w:r>
      <w:r w:rsidR="00AC3C81" w:rsidRPr="00AC3C81">
        <w:t>.</w:t>
      </w:r>
      <w:r w:rsidR="00AC3C81" w:rsidRPr="00AC3C81">
        <w:rPr>
          <w:vertAlign w:val="superscript"/>
        </w:rPr>
        <w:fldChar w:fldCharType="begin"/>
      </w:r>
      <w:r w:rsidR="00AC3C81" w:rsidRPr="00AC3C81">
        <w:rPr>
          <w:vertAlign w:val="superscript"/>
        </w:rPr>
        <w:instrText xml:space="preserve"> NOTEREF _Ref455679483 \h  \* MERGEFORMAT </w:instrText>
      </w:r>
      <w:r w:rsidR="00AC3C81" w:rsidRPr="00AC3C81">
        <w:rPr>
          <w:vertAlign w:val="superscript"/>
        </w:rPr>
      </w:r>
      <w:r w:rsidR="00AC3C81" w:rsidRPr="00AC3C81">
        <w:rPr>
          <w:vertAlign w:val="superscript"/>
        </w:rPr>
        <w:fldChar w:fldCharType="separate"/>
      </w:r>
      <w:r w:rsidR="00B461DE">
        <w:rPr>
          <w:vertAlign w:val="superscript"/>
        </w:rPr>
        <w:t>6</w:t>
      </w:r>
      <w:r w:rsidR="00AC3C81" w:rsidRPr="00AC3C81">
        <w:rPr>
          <w:vertAlign w:val="superscript"/>
        </w:rPr>
        <w:fldChar w:fldCharType="end"/>
      </w:r>
      <w:r w:rsidR="00AC3C81" w:rsidRPr="00AC3C81">
        <w:t xml:space="preserve"> </w:t>
      </w:r>
      <w:proofErr w:type="spellStart"/>
      <w:r w:rsidR="00413EB3" w:rsidRPr="00A13016">
        <w:t>Biopharmaceutic</w:t>
      </w:r>
      <w:proofErr w:type="spellEnd"/>
      <w:r w:rsidR="00413EB3" w:rsidRPr="00A13016">
        <w:t xml:space="preserve"> data are not required for medicines administered intravenously via infusion. However, since this product was assessed as a biosimilar, various comparability studies have been performed with the reference product, Remicade.</w:t>
      </w:r>
    </w:p>
    <w:p w14:paraId="45BB8CDF" w14:textId="27935AF9" w:rsidR="00A13016" w:rsidRPr="00A13016" w:rsidRDefault="00A13016" w:rsidP="00FB62FF">
      <w:r w:rsidRPr="00A13016">
        <w:t xml:space="preserve">There were a number of </w:t>
      </w:r>
      <w:r w:rsidR="00530297">
        <w:t xml:space="preserve">testing </w:t>
      </w:r>
      <w:r w:rsidRPr="00A13016">
        <w:t>parameters for which there were observable differences</w:t>
      </w:r>
      <w:r w:rsidR="00530297">
        <w:t xml:space="preserve"> between the reference and testing products,</w:t>
      </w:r>
      <w:r w:rsidRPr="00A13016">
        <w:t xml:space="preserve"> and these parameters are listed below:</w:t>
      </w:r>
    </w:p>
    <w:p w14:paraId="4718245F" w14:textId="69F1EFA6" w:rsidR="00A13016" w:rsidRPr="00A13016" w:rsidRDefault="00A13016" w:rsidP="00053448">
      <w:pPr>
        <w:pStyle w:val="ListBullet"/>
      </w:pPr>
      <w:r w:rsidRPr="00E82F10">
        <w:t>Higher</w:t>
      </w:r>
      <w:r w:rsidRPr="00A13016">
        <w:t xml:space="preserve"> percentage of high molecular weight species in CT-P13 compared with those in Remicade</w:t>
      </w:r>
    </w:p>
    <w:p w14:paraId="043836CB" w14:textId="11353113" w:rsidR="00E82F10" w:rsidRPr="00E82F10" w:rsidRDefault="00E82F10" w:rsidP="00053448">
      <w:pPr>
        <w:pStyle w:val="ListBullet"/>
      </w:pPr>
      <w:r w:rsidRPr="00E82F10">
        <w:t>CT-P13 has less intact monomer IgG compared with Remicade</w:t>
      </w:r>
    </w:p>
    <w:p w14:paraId="7B9ABAE5" w14:textId="1441CDF2" w:rsidR="00E82F10" w:rsidRPr="00E82F10" w:rsidRDefault="00E82F10" w:rsidP="00053448">
      <w:pPr>
        <w:pStyle w:val="ListBullet"/>
      </w:pPr>
      <w:r w:rsidRPr="00E82F10">
        <w:t>A small, less than 1%, difference between the oxidation levels in CT-P13 and Remicade</w:t>
      </w:r>
    </w:p>
    <w:p w14:paraId="7A00E962" w14:textId="3064548F" w:rsidR="00E82F10" w:rsidRPr="00E82F10" w:rsidRDefault="00E82F10" w:rsidP="00053448">
      <w:pPr>
        <w:pStyle w:val="ListBullet"/>
      </w:pPr>
      <w:r w:rsidRPr="00E82F10">
        <w:t>A 4% higher protein content in CT-P13 compared with that in Remicade</w:t>
      </w:r>
    </w:p>
    <w:p w14:paraId="10066118" w14:textId="207C85C1" w:rsidR="00E82F10" w:rsidRPr="00E82F10" w:rsidRDefault="00E82F10" w:rsidP="00053448">
      <w:pPr>
        <w:pStyle w:val="ListBullet"/>
      </w:pPr>
      <w:r w:rsidRPr="00E82F10">
        <w:t>A small detectable difference in glycosylation profile with slightly higher amounts of GOF and GO in CT-P13 compared with Remicade</w:t>
      </w:r>
    </w:p>
    <w:p w14:paraId="5FC79F5F" w14:textId="561E90FF" w:rsidR="00E82F10" w:rsidRPr="00E82F10" w:rsidRDefault="00E82F10" w:rsidP="00053448">
      <w:pPr>
        <w:pStyle w:val="ListBullet"/>
      </w:pPr>
      <w:r w:rsidRPr="00E82F10">
        <w:t>The slightly higher amount of mannose in CT-P13 compared to Remicade</w:t>
      </w:r>
    </w:p>
    <w:p w14:paraId="0839EE8F" w14:textId="6DAD5A8E" w:rsidR="00E82F10" w:rsidRPr="00E82F10" w:rsidRDefault="00E82F10" w:rsidP="00053448">
      <w:pPr>
        <w:pStyle w:val="ListBullet"/>
      </w:pPr>
      <w:r w:rsidRPr="00E82F10">
        <w:t xml:space="preserve">Binding to the receptor </w:t>
      </w:r>
      <w:proofErr w:type="spellStart"/>
      <w:r w:rsidRPr="00E82F10">
        <w:t>FcγRIIIa</w:t>
      </w:r>
      <w:proofErr w:type="spellEnd"/>
      <w:r w:rsidRPr="00E82F10">
        <w:t>: 102% for CT-P13 compared with 130% for Remicade.</w:t>
      </w:r>
    </w:p>
    <w:p w14:paraId="31819EC5" w14:textId="2CCC358A" w:rsidR="00E82F10" w:rsidRPr="00144B77" w:rsidRDefault="00E82F10" w:rsidP="00E82F10">
      <w:pPr>
        <w:pStyle w:val="Heading5"/>
      </w:pPr>
      <w:r w:rsidRPr="00144B77">
        <w:t>Higher percentage of high molecular weight species in CT-P13 compared with Remicade</w:t>
      </w:r>
    </w:p>
    <w:p w14:paraId="54B4B598" w14:textId="4364DC45" w:rsidR="00E82F10" w:rsidRPr="00295D6E" w:rsidRDefault="00E82F10" w:rsidP="00E82F10">
      <w:r w:rsidRPr="002518A7">
        <w:t>The sponsor provided additional data from analysis of more batches of CT-P13 and Remicade</w:t>
      </w:r>
      <w:r w:rsidRPr="00645D9A">
        <w:t xml:space="preserve"> of different ages at the time of testing. The difference in aggregation levels was shown to be smaller in the new data compared with the old. Stability data also demonstrated that the age of the product had no impact on aggregate content. There was also additional data to suggest that the high molecular weight forms present in CT-P13 are similar to those present in Remicade. There was also data from patients with AS and RA which </w:t>
      </w:r>
      <w:r w:rsidRPr="00295D6E">
        <w:t xml:space="preserve">demonstrated no difference in </w:t>
      </w:r>
      <w:r w:rsidR="00080865">
        <w:t>anti-drug antibody (</w:t>
      </w:r>
      <w:r w:rsidRPr="00295D6E">
        <w:t>ADA</w:t>
      </w:r>
      <w:r w:rsidR="00080865">
        <w:t>)</w:t>
      </w:r>
      <w:r w:rsidRPr="00295D6E">
        <w:t xml:space="preserve"> and neutralising antibody development between the test and the reference products for up to 1 year of treatment.</w:t>
      </w:r>
    </w:p>
    <w:p w14:paraId="33A773BE" w14:textId="1301CE48" w:rsidR="00E82F10" w:rsidRPr="00295D6E" w:rsidRDefault="00E82F10" w:rsidP="00E82F10">
      <w:pPr>
        <w:pStyle w:val="Heading5"/>
      </w:pPr>
      <w:r w:rsidRPr="00295D6E">
        <w:t xml:space="preserve">CT-P13 has less intact monomer IgG compared with </w:t>
      </w:r>
      <w:proofErr w:type="spellStart"/>
      <w:r w:rsidR="009F4AB2">
        <w:t>r</w:t>
      </w:r>
      <w:r w:rsidRPr="00295D6E">
        <w:t>emicade</w:t>
      </w:r>
      <w:proofErr w:type="spellEnd"/>
    </w:p>
    <w:p w14:paraId="3A100C9A" w14:textId="7314CA66" w:rsidR="00E82F10" w:rsidRPr="00144B77" w:rsidRDefault="00E82F10" w:rsidP="00E82F10">
      <w:r w:rsidRPr="00144B77">
        <w:t xml:space="preserve">Less intact monomer IgG, mainly due to a higher proportion of non-assembled forms was detected in CT-P13 drug product. The intact IgG content was slightly lower in CT-P13 (95%) compared to EU sourced Remicade (98%). The main fragment was determined to be H2L1 constituting over 50% of all fragments and non-assembled forms in CT-P13. Samples were purified with varying amounts of H2L1 and were shown to have comparable TNFα binding affinity by </w:t>
      </w:r>
      <w:r w:rsidRPr="00144B77">
        <w:rPr>
          <w:rStyle w:val="tgc"/>
          <w:rFonts w:asciiTheme="minorHAnsi" w:hAnsiTheme="minorHAnsi" w:cs="Arial"/>
          <w:color w:val="222222"/>
        </w:rPr>
        <w:t>enzyme-linked immunosorbent assay</w:t>
      </w:r>
      <w:r w:rsidRPr="00144B77">
        <w:rPr>
          <w:rStyle w:val="tgc"/>
          <w:rFonts w:ascii="Arial" w:hAnsi="Arial" w:cs="Arial"/>
          <w:color w:val="222222"/>
        </w:rPr>
        <w:t xml:space="preserve"> (</w:t>
      </w:r>
      <w:r w:rsidRPr="00144B77">
        <w:t>ELISA) and in vitro TNFα neutralisation activity. These studies demonstrated that the approximate 3% difference in the amount of H2L1 fragment does not have a detectable effect on Fab- or Fc-related activity. There was also no discernible impact on immunogenicity.</w:t>
      </w:r>
    </w:p>
    <w:p w14:paraId="14C03BDA" w14:textId="6459A665" w:rsidR="00E82F10" w:rsidRPr="00144B77" w:rsidRDefault="00E82F10" w:rsidP="00E82F10">
      <w:pPr>
        <w:pStyle w:val="Heading5"/>
      </w:pPr>
      <w:r w:rsidRPr="00144B77">
        <w:t xml:space="preserve">A small, less than 1%, difference between the oxidation levels in CT-P13 and </w:t>
      </w:r>
      <w:proofErr w:type="spellStart"/>
      <w:r w:rsidR="009F4AB2">
        <w:t>r</w:t>
      </w:r>
      <w:r w:rsidRPr="00144B77">
        <w:t>emicade</w:t>
      </w:r>
      <w:proofErr w:type="spellEnd"/>
    </w:p>
    <w:p w14:paraId="2DC4CDBF" w14:textId="4E14B86A" w:rsidR="00E82F10" w:rsidRPr="00144B77" w:rsidRDefault="00E82F10" w:rsidP="00E82F10">
      <w:r w:rsidRPr="00144B77">
        <w:t xml:space="preserve">The less than 1% difference in mean oxidation and mean </w:t>
      </w:r>
      <w:proofErr w:type="spellStart"/>
      <w:r w:rsidRPr="00144B77">
        <w:t>deamidation</w:t>
      </w:r>
      <w:proofErr w:type="spellEnd"/>
      <w:r w:rsidRPr="00144B77">
        <w:t xml:space="preserve"> levels between CT</w:t>
      </w:r>
      <w:r w:rsidRPr="00144B77">
        <w:noBreakHyphen/>
        <w:t xml:space="preserve">P13 and EU sourced Remicade was shown to be statistically significant. However, </w:t>
      </w:r>
      <w:r w:rsidRPr="00144B77">
        <w:lastRenderedPageBreak/>
        <w:t xml:space="preserve">under conditions of forced oxidative stress in which the level of oxidation of the </w:t>
      </w:r>
      <w:proofErr w:type="spellStart"/>
      <w:r w:rsidRPr="00144B77">
        <w:t>methionines</w:t>
      </w:r>
      <w:proofErr w:type="spellEnd"/>
      <w:r w:rsidRPr="00144B77">
        <w:t xml:space="preserve"> approached 20%, no impact was observed on biological activity as determined by a number of highly sensitive in vitro assays.</w:t>
      </w:r>
    </w:p>
    <w:p w14:paraId="7215F106" w14:textId="20E1DC04" w:rsidR="00E82F10" w:rsidRPr="00144B77" w:rsidRDefault="00E82F10" w:rsidP="00E82F10">
      <w:pPr>
        <w:pStyle w:val="Heading5"/>
      </w:pPr>
      <w:r w:rsidRPr="00144B77">
        <w:t xml:space="preserve">A 4% higher protein content in CT-P13 compared with that in </w:t>
      </w:r>
      <w:proofErr w:type="spellStart"/>
      <w:r w:rsidR="009F4AB2">
        <w:t>r</w:t>
      </w:r>
      <w:r w:rsidRPr="00144B77">
        <w:t>emicade</w:t>
      </w:r>
      <w:proofErr w:type="spellEnd"/>
    </w:p>
    <w:p w14:paraId="4ECC6ED0" w14:textId="4C2D8ACC" w:rsidR="00E82F10" w:rsidRPr="00144B77" w:rsidRDefault="00E82F10" w:rsidP="00E82F10">
      <w:r w:rsidRPr="00144B77">
        <w:t xml:space="preserve">The sponsor has addressed the difference in protein content by performing additional tests of 7 batches each of CT-P13 and EU-approved and sourced Remicade. The new analysis indicated that there was no significant difference in the protein concentration and that the original difference could have been attributed to </w:t>
      </w:r>
      <w:r w:rsidR="00B159B8" w:rsidRPr="00144B77">
        <w:t>batch-to-batch</w:t>
      </w:r>
      <w:r w:rsidRPr="00144B77">
        <w:t xml:space="preserve"> variation.</w:t>
      </w:r>
    </w:p>
    <w:p w14:paraId="13C3F051" w14:textId="7D866517" w:rsidR="00E82F10" w:rsidRPr="00144B77" w:rsidRDefault="00E82F10" w:rsidP="00E82F10">
      <w:pPr>
        <w:pStyle w:val="Heading5"/>
      </w:pPr>
      <w:r w:rsidRPr="00144B77">
        <w:t xml:space="preserve">A small detectable difference in glycosylation profile with slightly higher amounts of GOF and GO in CT-P13 compared with </w:t>
      </w:r>
      <w:proofErr w:type="spellStart"/>
      <w:r w:rsidR="009F4AB2">
        <w:t>r</w:t>
      </w:r>
      <w:r w:rsidRPr="00144B77">
        <w:t>emicade</w:t>
      </w:r>
      <w:proofErr w:type="spellEnd"/>
    </w:p>
    <w:p w14:paraId="5EE7033A" w14:textId="227D84B6" w:rsidR="00E82F10" w:rsidRPr="00144B77" w:rsidRDefault="00E82F10" w:rsidP="00E82F10">
      <w:r w:rsidRPr="00144B77">
        <w:t xml:space="preserve">The slight difference in </w:t>
      </w:r>
      <w:proofErr w:type="spellStart"/>
      <w:r w:rsidRPr="00144B77">
        <w:t>afucosylated</w:t>
      </w:r>
      <w:proofErr w:type="spellEnd"/>
      <w:r w:rsidRPr="00144B77">
        <w:t xml:space="preserve"> </w:t>
      </w:r>
      <w:proofErr w:type="spellStart"/>
      <w:r w:rsidRPr="00144B77">
        <w:t>glycans</w:t>
      </w:r>
      <w:proofErr w:type="spellEnd"/>
      <w:r w:rsidRPr="00144B77">
        <w:t xml:space="preserve"> in two products did not have any discernible impact on immunogenicity following repeated administration using the sensitive assays performed in the clinical study programme. The PK study in AS patients and the therapeutic equivalence study in RA patients showed a broadly equivalent incidence of antibodies against CT-P13 and EU sourced Remicade. The slight difference in oligosaccharide profile did not have an impact on the primary mechanism of action, TNFα neutralisation and </w:t>
      </w:r>
      <w:proofErr w:type="spellStart"/>
      <w:r w:rsidRPr="00144B77">
        <w:t>tmTNF</w:t>
      </w:r>
      <w:proofErr w:type="spellEnd"/>
      <w:r w:rsidRPr="00144B77">
        <w:t xml:space="preserve">α binding activities. Nor was it shown to have any effect on the level of binding to NK cells or on antibody-dependent cell-mediated cytotoxicity (ADCC) activity. Degree of </w:t>
      </w:r>
      <w:proofErr w:type="spellStart"/>
      <w:r w:rsidRPr="00144B77">
        <w:t>afucosylation</w:t>
      </w:r>
      <w:proofErr w:type="spellEnd"/>
      <w:r w:rsidRPr="00144B77">
        <w:t xml:space="preserve"> may have an effect on </w:t>
      </w:r>
      <w:proofErr w:type="spellStart"/>
      <w:r w:rsidRPr="00144B77">
        <w:t>Fcγ</w:t>
      </w:r>
      <w:proofErr w:type="spellEnd"/>
      <w:r w:rsidRPr="00144B77">
        <w:t xml:space="preserve"> receptor binding. The implications of this with regard to the comparative efficacy of the two products in the inflammatory bowel disease indications, is taken up in greater detail in the review by clinical unit 1</w:t>
      </w:r>
      <w:r w:rsidR="00AC3C81" w:rsidRPr="00144B77">
        <w:t xml:space="preserve"> (see Attachment </w:t>
      </w:r>
      <w:r w:rsidR="00D41B1A" w:rsidRPr="00144B77">
        <w:t>2</w:t>
      </w:r>
      <w:r w:rsidR="00AC3C81" w:rsidRPr="00144B77">
        <w:t>)</w:t>
      </w:r>
      <w:r w:rsidRPr="00144B77">
        <w:t>.</w:t>
      </w:r>
    </w:p>
    <w:p w14:paraId="5F73C3ED" w14:textId="6BBB3105" w:rsidR="00E82F10" w:rsidRPr="00144B77" w:rsidRDefault="00E82F10" w:rsidP="00E82F10">
      <w:pPr>
        <w:pStyle w:val="Heading5"/>
      </w:pPr>
      <w:r w:rsidRPr="00144B77">
        <w:t xml:space="preserve">The slightly higher amount of mannose in CT-P13 compared to </w:t>
      </w:r>
      <w:proofErr w:type="spellStart"/>
      <w:r w:rsidR="009F4AB2">
        <w:t>r</w:t>
      </w:r>
      <w:r w:rsidRPr="00144B77">
        <w:t>emicade</w:t>
      </w:r>
      <w:proofErr w:type="spellEnd"/>
    </w:p>
    <w:p w14:paraId="77303E99" w14:textId="0D3942A6" w:rsidR="00E82F10" w:rsidRPr="00144B77" w:rsidRDefault="00E82F10" w:rsidP="00E82F10">
      <w:r w:rsidRPr="00144B77">
        <w:t>Analysis of additional batches of CT-P13 drug product and Remicade demonstrated that there was no difference in mannose content of the two products.</w:t>
      </w:r>
    </w:p>
    <w:p w14:paraId="10DE7C2E" w14:textId="423FBA9A" w:rsidR="00E82F10" w:rsidRPr="00144B77" w:rsidRDefault="00E82F10" w:rsidP="00E82F10">
      <w:pPr>
        <w:pStyle w:val="Heading5"/>
      </w:pPr>
      <w:r w:rsidRPr="00144B77">
        <w:t xml:space="preserve">Binding to the receptor </w:t>
      </w:r>
      <w:proofErr w:type="spellStart"/>
      <w:r w:rsidRPr="00144B77">
        <w:t>FcγRIIIa</w:t>
      </w:r>
      <w:proofErr w:type="spellEnd"/>
      <w:r w:rsidRPr="00144B77">
        <w:t xml:space="preserve">: 102% for CT-P13 compared with 130% for </w:t>
      </w:r>
      <w:proofErr w:type="spellStart"/>
      <w:r w:rsidR="009F4AB2">
        <w:t>r</w:t>
      </w:r>
      <w:r w:rsidRPr="00144B77">
        <w:t>emicade</w:t>
      </w:r>
      <w:proofErr w:type="spellEnd"/>
    </w:p>
    <w:p w14:paraId="424EA948" w14:textId="1BEFB843" w:rsidR="00E82F10" w:rsidRPr="00144B77" w:rsidRDefault="00E82F10" w:rsidP="00E82F10">
      <w:r w:rsidRPr="00144B77">
        <w:t xml:space="preserve">The first point made by the sponsor in the response (to questions raised by TGA) was that the difference in the </w:t>
      </w:r>
      <w:proofErr w:type="spellStart"/>
      <w:r w:rsidRPr="00144B77">
        <w:t>FcγRIIIa</w:t>
      </w:r>
      <w:proofErr w:type="spellEnd"/>
      <w:r w:rsidRPr="00144B77">
        <w:t xml:space="preserve"> binding affinity was observed in </w:t>
      </w:r>
      <w:r w:rsidRPr="00144B77">
        <w:rPr>
          <w:i/>
        </w:rPr>
        <w:t>in vitro</w:t>
      </w:r>
      <w:r w:rsidRPr="00144B77">
        <w:t xml:space="preserve"> </w:t>
      </w:r>
      <w:r w:rsidR="00B159B8" w:rsidRPr="00144B77">
        <w:t>experiments, which</w:t>
      </w:r>
      <w:r w:rsidRPr="00144B77">
        <w:t xml:space="preserve"> were not conducted under physiological conditions. Additional </w:t>
      </w:r>
      <w:r w:rsidRPr="00053448">
        <w:rPr>
          <w:i/>
        </w:rPr>
        <w:t>in vitro</w:t>
      </w:r>
      <w:r w:rsidRPr="00144B77">
        <w:t xml:space="preserve"> and </w:t>
      </w:r>
      <w:r w:rsidRPr="00053448">
        <w:rPr>
          <w:i/>
        </w:rPr>
        <w:t>ex vivo</w:t>
      </w:r>
      <w:r w:rsidRPr="00144B77">
        <w:t xml:space="preserve"> investigations into the effects of differences in </w:t>
      </w:r>
      <w:proofErr w:type="spellStart"/>
      <w:r w:rsidRPr="00144B77">
        <w:t>FcγRIIIa</w:t>
      </w:r>
      <w:proofErr w:type="spellEnd"/>
      <w:r w:rsidRPr="00144B77">
        <w:t xml:space="preserve"> binding affinity were carried out. The difference in </w:t>
      </w:r>
      <w:proofErr w:type="spellStart"/>
      <w:r w:rsidRPr="00144B77">
        <w:t>FcγRIIIa</w:t>
      </w:r>
      <w:proofErr w:type="spellEnd"/>
      <w:r w:rsidRPr="00144B77">
        <w:t xml:space="preserve"> binding to CTP-13 and Remicade was not apparent in the presence of serum in an ex vivo NK cell model. ADCC was only induced using transfected cells that express artificially high levels of </w:t>
      </w:r>
      <w:proofErr w:type="spellStart"/>
      <w:r w:rsidRPr="00144B77">
        <w:t>tmTNF</w:t>
      </w:r>
      <w:proofErr w:type="spellEnd"/>
      <w:r w:rsidRPr="00144B77">
        <w:t xml:space="preserve">α (for example transfected </w:t>
      </w:r>
      <w:proofErr w:type="spellStart"/>
      <w:r w:rsidRPr="00144B77">
        <w:t>Jurkat</w:t>
      </w:r>
      <w:proofErr w:type="spellEnd"/>
      <w:r w:rsidRPr="00144B77">
        <w:t xml:space="preserve"> cells) that are not representative of naturally derived cells. No differences were observed in ADCC activity when peripheral blood mononuclear cells (PBMCs) or whole blood, were used as effector cells. ADCC was not detectable ex vivo using human cells such as lipopolysaccharide-stimulated (LPS-stimulated) monocytes as target. The sponsor also demonstrated that lamina </w:t>
      </w:r>
      <w:proofErr w:type="spellStart"/>
      <w:r w:rsidRPr="00144B77">
        <w:t>propria</w:t>
      </w:r>
      <w:proofErr w:type="spellEnd"/>
      <w:r w:rsidRPr="00144B77">
        <w:t xml:space="preserve"> monocytes isolated from inflammatory bowel disease patients express low levels of </w:t>
      </w:r>
      <w:proofErr w:type="spellStart"/>
      <w:r w:rsidRPr="00144B77">
        <w:t>tmTNF</w:t>
      </w:r>
      <w:proofErr w:type="spellEnd"/>
      <w:r w:rsidRPr="00144B77">
        <w:t xml:space="preserve">α and would therefore be unlikely to be capable of inducing ADCC activity. This difference in the degree of </w:t>
      </w:r>
      <w:proofErr w:type="spellStart"/>
      <w:r w:rsidRPr="00144B77">
        <w:t>FcγRIIIa</w:t>
      </w:r>
      <w:proofErr w:type="spellEnd"/>
      <w:r w:rsidRPr="00144B77">
        <w:t xml:space="preserve"> binding between test and reference and the issue of </w:t>
      </w:r>
      <w:proofErr w:type="spellStart"/>
      <w:r w:rsidRPr="00144B77">
        <w:t>FcγRIIIa</w:t>
      </w:r>
      <w:proofErr w:type="spellEnd"/>
      <w:r w:rsidRPr="00144B77">
        <w:t xml:space="preserve"> polymorphism and the relationship of the latter to ADCC activity all may have implications with regard to being able to extrapolate the clinical trial evidence of efficacy in RA and AS to efficacy in inflammatory bowel disease. The implications of these differences with regard to the comparative efficacy of the two products in the inflammatory bowel disease indications are discussed in greater detail in the review by clinical unit 1</w:t>
      </w:r>
      <w:r w:rsidR="00AC3C81" w:rsidRPr="00144B77">
        <w:t xml:space="preserve"> (see Attachment </w:t>
      </w:r>
      <w:r w:rsidR="00D41B1A" w:rsidRPr="00144B77">
        <w:t>2</w:t>
      </w:r>
      <w:r w:rsidR="00AC3C81" w:rsidRPr="00144B77">
        <w:t>)</w:t>
      </w:r>
      <w:r w:rsidRPr="00144B77">
        <w:t>.</w:t>
      </w:r>
    </w:p>
    <w:p w14:paraId="5EC10E50" w14:textId="6E8D1F70" w:rsidR="00E82F10" w:rsidRPr="00144B77" w:rsidRDefault="00E82F10" w:rsidP="00E82F10">
      <w:r w:rsidRPr="00144B77">
        <w:t xml:space="preserve">The sponsor was also asked to provide further information on the proportion of CT-P13’s action on TNFα compared with other modes of action such as Fc-mediated effector functions and how this may differ between each of the proposed indications for </w:t>
      </w:r>
      <w:r w:rsidR="00525466" w:rsidRPr="00144B77">
        <w:t>Inflectra</w:t>
      </w:r>
      <w:r w:rsidRPr="00144B77">
        <w:t xml:space="preserve">. The sponsor was asked for a specific comment on whether the mechanism of action of </w:t>
      </w:r>
      <w:r w:rsidRPr="00144B77">
        <w:lastRenderedPageBreak/>
        <w:t xml:space="preserve">Remicade and that of </w:t>
      </w:r>
      <w:r w:rsidR="00525466" w:rsidRPr="00144B77">
        <w:t>Inflectra</w:t>
      </w:r>
      <w:r w:rsidRPr="00144B77">
        <w:t xml:space="preserve"> in inflammatory bowel disease are likely to be dissimilar from the mechanism of action of each medicine for the other indications.</w:t>
      </w:r>
    </w:p>
    <w:p w14:paraId="2F4F0721" w14:textId="682CF242" w:rsidR="00E82F10" w:rsidRPr="00144B77" w:rsidRDefault="00E82F10" w:rsidP="00E82F10">
      <w:r w:rsidRPr="00144B77">
        <w:t>The sponsor provided a summary of TNFα functionality, stating firstly that TNFα is a pleiotropic cytokine with numerous biological functions. Transmembrane TNFα, the precursor of the soluble form of TNFα (</w:t>
      </w:r>
      <w:proofErr w:type="spellStart"/>
      <w:r w:rsidRPr="00144B77">
        <w:t>sTNF</w:t>
      </w:r>
      <w:proofErr w:type="spellEnd"/>
      <w:r w:rsidRPr="00144B77">
        <w:t xml:space="preserve">α), is expressed on activated macrophages and lymphocytes as well as on a number of other cell types. For example, in the skin mast cells appear to be the predominant source of pre-formed TNFα and it is released upon inflammatory stimulus. Binding of </w:t>
      </w:r>
      <w:proofErr w:type="spellStart"/>
      <w:r w:rsidRPr="00144B77">
        <w:t>sTNF</w:t>
      </w:r>
      <w:proofErr w:type="spellEnd"/>
      <w:r w:rsidRPr="00144B77">
        <w:t>α to its receptor, results in activation of a range of intracellular signalling pathways. The activation of the latter in turn results in the formation of pro-inflammatory cytokines, tissue damage and cytotoxicity. Binding of TNFα to another receptor can result in apoptosis and to yet another receptor can result in reverse signalling which can have immunosuppressive effects.</w:t>
      </w:r>
    </w:p>
    <w:p w14:paraId="05D13E54" w14:textId="4B7404E1" w:rsidR="00E82F10" w:rsidRPr="00A45ABC" w:rsidRDefault="00E82F10" w:rsidP="00E82F10">
      <w:r w:rsidRPr="00144B77">
        <w:t xml:space="preserve">The sponsor provided a detailed table summarising the role of TNFα in different diseases </w:t>
      </w:r>
      <w:r w:rsidR="00B159B8" w:rsidRPr="00144B77">
        <w:t>and</w:t>
      </w:r>
      <w:r w:rsidRPr="00144B77">
        <w:t xml:space="preserve"> summarising the manner in which infliximab is thought to act in each of those diseases (Table</w:t>
      </w:r>
      <w:r w:rsidR="00EC703E" w:rsidRPr="00144B77">
        <w:t xml:space="preserve"> </w:t>
      </w:r>
      <w:r w:rsidR="007123DC">
        <w:t>9</w:t>
      </w:r>
      <w:r w:rsidRPr="00144B77">
        <w:t>).</w:t>
      </w:r>
    </w:p>
    <w:p w14:paraId="4750DEFA" w14:textId="007C229C" w:rsidR="00E82F10" w:rsidRPr="00A45ABC" w:rsidRDefault="00EC703E" w:rsidP="00E82F10">
      <w:pPr>
        <w:pStyle w:val="TableTitle"/>
      </w:pPr>
      <w:r>
        <w:t xml:space="preserve">Table </w:t>
      </w:r>
      <w:r w:rsidR="007123DC">
        <w:t>9</w:t>
      </w:r>
      <w:r w:rsidR="00E82F10" w:rsidRPr="00A45ABC">
        <w:t>: Role of TNFα in disease, genetic association between diseases, infliximab mediated effects and impact of treatment</w:t>
      </w:r>
    </w:p>
    <w:p w14:paraId="0486FB16" w14:textId="3865755A" w:rsidR="00A13016" w:rsidRPr="00A45ABC" w:rsidRDefault="00A45ABC" w:rsidP="00A13016">
      <w:r w:rsidRPr="00A45ABC">
        <w:rPr>
          <w:noProof/>
          <w:lang w:eastAsia="en-AU"/>
        </w:rPr>
        <w:drawing>
          <wp:inline distT="0" distB="0" distL="0" distR="0" wp14:anchorId="30781B39" wp14:editId="0AB93174">
            <wp:extent cx="5400040" cy="5100955"/>
            <wp:effectExtent l="0" t="0" r="0" b="4445"/>
            <wp:docPr id="7" name="Picture 7" descr="Role of TNFα in disease, genetic association between diseases, infliximab mediated effects and impact of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00040" cy="5100955"/>
                    </a:xfrm>
                    <a:prstGeom prst="rect">
                      <a:avLst/>
                    </a:prstGeom>
                  </pic:spPr>
                </pic:pic>
              </a:graphicData>
            </a:graphic>
          </wp:inline>
        </w:drawing>
      </w:r>
    </w:p>
    <w:p w14:paraId="495B1B70" w14:textId="59E6BD5D" w:rsidR="00A45ABC" w:rsidRPr="00A45ABC" w:rsidRDefault="00A45ABC" w:rsidP="00A45ABC">
      <w:r w:rsidRPr="00A45ABC">
        <w:t xml:space="preserve">For the two indications studied in the CT-P13 clinical programme, namely AS and RA, the sponsor asserts that the primary and possible sole mechanism of action of infliximab involves binding to and neutralising of </w:t>
      </w:r>
      <w:proofErr w:type="spellStart"/>
      <w:r w:rsidRPr="00A45ABC">
        <w:t>sTNF</w:t>
      </w:r>
      <w:proofErr w:type="spellEnd"/>
      <w:r w:rsidRPr="00A45ABC">
        <w:t xml:space="preserve">α. In addition, the primary mechanism of action of other anti-TNFα medicines in other indications for which Remicade is licensed in </w:t>
      </w:r>
      <w:r w:rsidRPr="00A45ABC">
        <w:lastRenderedPageBreak/>
        <w:t xml:space="preserve">Australia that is, psoriasis, </w:t>
      </w:r>
      <w:proofErr w:type="spellStart"/>
      <w:r w:rsidRPr="00A45ABC">
        <w:t>PsA</w:t>
      </w:r>
      <w:proofErr w:type="spellEnd"/>
      <w:r w:rsidRPr="00A45ABC">
        <w:t xml:space="preserve">, CD and UC, is also considered to involve binding to and neutralising of </w:t>
      </w:r>
      <w:proofErr w:type="spellStart"/>
      <w:r w:rsidRPr="00A45ABC">
        <w:t>sTNF</w:t>
      </w:r>
      <w:proofErr w:type="spellEnd"/>
      <w:r w:rsidRPr="00A45ABC">
        <w:t>α.</w:t>
      </w:r>
    </w:p>
    <w:p w14:paraId="4738641D" w14:textId="73A64D01" w:rsidR="00A45ABC" w:rsidRPr="00A45ABC" w:rsidRDefault="00A45ABC" w:rsidP="00A45ABC">
      <w:r w:rsidRPr="00A45ABC">
        <w:t xml:space="preserve">In the inflammatory bowel disease indications, which include adult and paediatric CD and UC, binding to </w:t>
      </w:r>
      <w:proofErr w:type="spellStart"/>
      <w:r w:rsidRPr="00A45ABC">
        <w:t>tmTNF</w:t>
      </w:r>
      <w:proofErr w:type="spellEnd"/>
      <w:r w:rsidRPr="00A45ABC">
        <w:t xml:space="preserve">α is also considered to play a prominent role, particularly through reverse signalling. It is currently unclear and there are conflicting reports in the literature as to whether ADCC plays a role in the therapeutic effect of infliximab or other TNFα antagonists. The role of ADCC and the difference in ADCC activity between the two products, as mentioned earlier, may have implications for being able to assume efficacy of the test product </w:t>
      </w:r>
      <w:r w:rsidR="00525466">
        <w:t>Inflectra</w:t>
      </w:r>
      <w:r w:rsidRPr="00A45ABC">
        <w:t xml:space="preserve"> in inflammatory bowel disease, on the basis of clinical trial evidence only in RA and AS</w:t>
      </w:r>
      <w:r>
        <w:t>.</w:t>
      </w:r>
    </w:p>
    <w:p w14:paraId="596590DD" w14:textId="0DE84A84" w:rsidR="00A45ABC" w:rsidRPr="00A45ABC" w:rsidRDefault="00A45ABC" w:rsidP="00A45ABC">
      <w:r w:rsidRPr="00A45ABC">
        <w:t>The quality evaluator also reviewed a bridging study that compared EU sourced Remicade to Australian sourced Remicade and concluded that the data demonstrated that Remicade from the two jurisdictions was highly comparable.</w:t>
      </w:r>
    </w:p>
    <w:p w14:paraId="28735071" w14:textId="77777777" w:rsidR="00A45ABC" w:rsidRPr="00A45ABC" w:rsidRDefault="00A45ABC" w:rsidP="00A5194D">
      <w:pPr>
        <w:pStyle w:val="Heading5"/>
      </w:pPr>
      <w:r w:rsidRPr="00A45ABC">
        <w:t>Quality conclusions and recommendations</w:t>
      </w:r>
    </w:p>
    <w:p w14:paraId="6AE1D6F0" w14:textId="77777777" w:rsidR="00A45ABC" w:rsidRPr="00A45ABC" w:rsidRDefault="00A45ABC" w:rsidP="00A13016">
      <w:r w:rsidRPr="00A45ABC">
        <w:t xml:space="preserve">The overall quality of </w:t>
      </w:r>
      <w:r w:rsidR="00525466">
        <w:t>Inflectra</w:t>
      </w:r>
      <w:r w:rsidRPr="00A45ABC">
        <w:t xml:space="preserve">, infliximab (rmc) is considered acceptable. From a biosimilar perspective, the overall comparability of </w:t>
      </w:r>
      <w:r w:rsidR="00525466">
        <w:t>Inflectra</w:t>
      </w:r>
      <w:r w:rsidRPr="00A45ABC">
        <w:t>, infliximab (rmc) with the reference product Remicade has been satisfactorily demonstrated. There are no quality objections to approval.</w:t>
      </w:r>
    </w:p>
    <w:p w14:paraId="74FFB7DC" w14:textId="77777777" w:rsidR="008E7846" w:rsidRDefault="008E7846" w:rsidP="00A5194D">
      <w:pPr>
        <w:pStyle w:val="Heading4"/>
      </w:pPr>
      <w:bookmarkStart w:id="156" w:name="_Toc314842512"/>
      <w:r>
        <w:t>Nonclinical</w:t>
      </w:r>
      <w:bookmarkEnd w:id="156"/>
    </w:p>
    <w:p w14:paraId="113D6ABC" w14:textId="77777777" w:rsidR="00A45ABC" w:rsidRPr="00243CD3" w:rsidRDefault="00A45ABC" w:rsidP="00A45ABC">
      <w:bookmarkStart w:id="157" w:name="_Toc247691530"/>
      <w:bookmarkStart w:id="158" w:name="_Toc314842513"/>
      <w:r>
        <w:t>The non</w:t>
      </w:r>
      <w:r w:rsidRPr="00B82735">
        <w:t>clinical dossier contained comparative studies on pharmacolo</w:t>
      </w:r>
      <w:r>
        <w:t xml:space="preserve">gy, pharmacokinetics and repeat </w:t>
      </w:r>
      <w:r w:rsidRPr="00B82735">
        <w:t xml:space="preserve">dose toxicity. The scope of the </w:t>
      </w:r>
      <w:r>
        <w:t>nonclinical</w:t>
      </w:r>
      <w:r w:rsidRPr="00B82735">
        <w:t xml:space="preserve"> programme was judged to be adequate by the </w:t>
      </w:r>
      <w:r>
        <w:t>nonclinical</w:t>
      </w:r>
      <w:r w:rsidRPr="00B82735">
        <w:t xml:space="preserve"> evaluator when viewed against the requirements under </w:t>
      </w:r>
      <w:r w:rsidRPr="00243CD3">
        <w:t>the relevant EU guideline.</w:t>
      </w:r>
    </w:p>
    <w:p w14:paraId="7C3472DA" w14:textId="77777777" w:rsidR="00A45ABC" w:rsidRPr="00B82735" w:rsidRDefault="00A45ABC" w:rsidP="00A45ABC">
      <w:r>
        <w:t>The non</w:t>
      </w:r>
      <w:r w:rsidRPr="00B82735">
        <w:t xml:space="preserve">clinical studies were conducted using EU sourced Remicade as the reference product. </w:t>
      </w:r>
      <w:r>
        <w:t>No non</w:t>
      </w:r>
      <w:r w:rsidRPr="00B82735">
        <w:t>clinical study involving c</w:t>
      </w:r>
      <w:r>
        <w:t xml:space="preserve">omparability against Australian </w:t>
      </w:r>
      <w:r w:rsidRPr="00B82735">
        <w:t>sourced Remicade was submitted.</w:t>
      </w:r>
    </w:p>
    <w:p w14:paraId="03271D1F" w14:textId="77777777" w:rsidR="00A45ABC" w:rsidRPr="00B82735" w:rsidRDefault="00A45ABC" w:rsidP="00A45ABC">
      <w:r w:rsidRPr="00B82735">
        <w:t xml:space="preserve">According to the </w:t>
      </w:r>
      <w:r>
        <w:t>nonclinical</w:t>
      </w:r>
      <w:r w:rsidRPr="00B82735">
        <w:t xml:space="preserve"> evaluation, comparability between the form of infliximab in </w:t>
      </w:r>
      <w:r w:rsidR="00525466">
        <w:t>Inflectra</w:t>
      </w:r>
      <w:r w:rsidRPr="00B82735">
        <w:t xml:space="preserve"> and the form of the drug in EU sourced batches of Remicade was shown in terms of pharmacological activity in a comprehensive set of in vitro binding and functional assays.</w:t>
      </w:r>
    </w:p>
    <w:p w14:paraId="0E94CE8F" w14:textId="7B4F800F" w:rsidR="00A45ABC" w:rsidRPr="00B82735" w:rsidRDefault="00A45ABC" w:rsidP="00A45ABC">
      <w:r>
        <w:t xml:space="preserve">Two comparative repeat </w:t>
      </w:r>
      <w:r w:rsidRPr="00B82735">
        <w:t xml:space="preserve">dose toxicity studies were submitted, both involving once weekly IV administration to rats for 2 weeks. Similar findings were seen between the </w:t>
      </w:r>
      <w:r w:rsidR="00525466">
        <w:t>Inflectra</w:t>
      </w:r>
      <w:r w:rsidRPr="00B82735">
        <w:t xml:space="preserve"> and the Remicade forms of the drug. </w:t>
      </w:r>
      <w:r>
        <w:t>The non</w:t>
      </w:r>
      <w:r w:rsidRPr="00B82735">
        <w:t xml:space="preserve">clinical evaluator did note that both the short duration of these studies and the fact that the animal species used lacks pharmacodynamic responsiveness to infliximab do not permit a credible establishment of a comparative toxicological profile. </w:t>
      </w:r>
      <w:r>
        <w:t>However, the non</w:t>
      </w:r>
      <w:r w:rsidRPr="00B82735">
        <w:t>clinical evaluator went on to note that, in accordance with the EU guideline on biosimilar monoclonal antibodies, the absence of a properly conducted comparative toxicity study is not considered a deficiency of the application. The sponsor commented on this in the</w:t>
      </w:r>
      <w:r>
        <w:t xml:space="preserve"> post TGA m</w:t>
      </w:r>
      <w:r w:rsidRPr="00B82735">
        <w:t xml:space="preserve">eeting </w:t>
      </w:r>
      <w:r w:rsidR="00B159B8" w:rsidRPr="00B82735">
        <w:t>response, which</w:t>
      </w:r>
      <w:r w:rsidRPr="00B82735">
        <w:t xml:space="preserve"> was reviewed by the TGA and considered acceptable.</w:t>
      </w:r>
    </w:p>
    <w:p w14:paraId="7DC50270" w14:textId="18C59FA5" w:rsidR="00A45ABC" w:rsidRPr="00B82735" w:rsidRDefault="00A45ABC" w:rsidP="00A45ABC">
      <w:r>
        <w:t>The conclusion of the non</w:t>
      </w:r>
      <w:r w:rsidRPr="00B82735">
        <w:t xml:space="preserve">clinical evaluator </w:t>
      </w:r>
      <w:r>
        <w:t>was that the ability of the non</w:t>
      </w:r>
      <w:r w:rsidRPr="00B82735">
        <w:t xml:space="preserve">clinical studies to support comparability of </w:t>
      </w:r>
      <w:r w:rsidR="00525466">
        <w:t>Inflectra</w:t>
      </w:r>
      <w:r w:rsidRPr="00B82735">
        <w:t xml:space="preserve"> to Australian Remicade depends on the conclusion of the </w:t>
      </w:r>
      <w:r>
        <w:t>quality</w:t>
      </w:r>
      <w:r w:rsidRPr="00B82735">
        <w:t xml:space="preserve"> evaluator regarding the identity/comparability of Remicade products across jurisdictions. The </w:t>
      </w:r>
      <w:r>
        <w:t>nonclinical</w:t>
      </w:r>
      <w:r w:rsidRPr="00B82735">
        <w:t xml:space="preserve"> evaluator was of the opinion that, provided EU sourced Remicade is considered </w:t>
      </w:r>
      <w:r w:rsidR="00B159B8" w:rsidRPr="00B82735">
        <w:t>identical</w:t>
      </w:r>
      <w:r w:rsidRPr="00B82735">
        <w:t xml:space="preserve"> or highly compar</w:t>
      </w:r>
      <w:r>
        <w:t xml:space="preserve">able to the Australian product </w:t>
      </w:r>
      <w:r w:rsidRPr="00B82735">
        <w:t xml:space="preserve">then there would be no </w:t>
      </w:r>
      <w:r>
        <w:t>nonclinical</w:t>
      </w:r>
      <w:r w:rsidRPr="00B82735">
        <w:t xml:space="preserve"> objections to the registration of </w:t>
      </w:r>
      <w:r w:rsidR="00525466">
        <w:t>Inflectra</w:t>
      </w:r>
      <w:r w:rsidRPr="00B82735">
        <w:t xml:space="preserve"> for the proposed indications. As already noted, the </w:t>
      </w:r>
      <w:r>
        <w:t>quality</w:t>
      </w:r>
      <w:r w:rsidRPr="00B82735">
        <w:t xml:space="preserve"> evaluator concluded that data from a bridging study did indeed demonstrate that Remicade from the two jurisdictions, EU and Australia, was highly comparable.</w:t>
      </w:r>
    </w:p>
    <w:p w14:paraId="09FB8644" w14:textId="77777777" w:rsidR="00A45ABC" w:rsidRDefault="00A45ABC" w:rsidP="00A45ABC">
      <w:r w:rsidRPr="00B82735">
        <w:lastRenderedPageBreak/>
        <w:t xml:space="preserve">The </w:t>
      </w:r>
      <w:r>
        <w:t>nonclinical</w:t>
      </w:r>
      <w:r w:rsidRPr="00B82735">
        <w:t xml:space="preserve"> evaluator has made recommendations for amendments to the proposed PI and to the </w:t>
      </w:r>
      <w:r>
        <w:t>nonclinical</w:t>
      </w:r>
      <w:r w:rsidRPr="00B82735">
        <w:t xml:space="preserve"> safety specification of the RMP</w:t>
      </w:r>
      <w:r>
        <w:t>.</w:t>
      </w:r>
    </w:p>
    <w:p w14:paraId="115A90AF" w14:textId="35485858" w:rsidR="00AF433A" w:rsidRPr="00B82735" w:rsidRDefault="00AF433A" w:rsidP="00A5194D">
      <w:pPr>
        <w:pStyle w:val="Heading5"/>
      </w:pPr>
      <w:r w:rsidRPr="00B82735">
        <w:t>Nonclinical comments on the response</w:t>
      </w:r>
      <w:r>
        <w:t xml:space="preserve"> to </w:t>
      </w:r>
      <w:r w:rsidRPr="009A4EC6">
        <w:t>second round</w:t>
      </w:r>
      <w:r>
        <w:t xml:space="preserve"> issues raised by the TGA</w:t>
      </w:r>
    </w:p>
    <w:p w14:paraId="5A6D42F8" w14:textId="6CA4199B" w:rsidR="00AF433A" w:rsidRPr="00B82735" w:rsidRDefault="00AF433A" w:rsidP="00AF433A">
      <w:r w:rsidRPr="00B82735">
        <w:t xml:space="preserve">On 21 August 2014, the sponsor was sent an additional request to clarify various mechanistic principles regarding </w:t>
      </w:r>
      <w:r w:rsidR="00525466">
        <w:t>Inflectra</w:t>
      </w:r>
      <w:r w:rsidRPr="00B82735">
        <w:t xml:space="preserve"> and the various proposed indications. Advice was sought from the </w:t>
      </w:r>
      <w:r>
        <w:t>nonclinical</w:t>
      </w:r>
      <w:r w:rsidRPr="00B82735">
        <w:t xml:space="preserve"> evaluator for </w:t>
      </w:r>
      <w:proofErr w:type="spellStart"/>
      <w:r w:rsidRPr="00B82735">
        <w:t>rheumatological</w:t>
      </w:r>
      <w:proofErr w:type="spellEnd"/>
      <w:r w:rsidRPr="00B82735">
        <w:t xml:space="preserve"> indications.</w:t>
      </w:r>
    </w:p>
    <w:p w14:paraId="2CAF032E" w14:textId="4DB8E5FB" w:rsidR="00AF433A" w:rsidRPr="00B82735" w:rsidRDefault="00AF433A" w:rsidP="00AF433A">
      <w:r>
        <w:t>In the view of the</w:t>
      </w:r>
      <w:r w:rsidRPr="00B82735">
        <w:t xml:space="preserve"> </w:t>
      </w:r>
      <w:r>
        <w:t>nonclinical</w:t>
      </w:r>
      <w:r w:rsidRPr="00B82735">
        <w:t xml:space="preserve"> evaluator, the sponsor provided an exhaustive review of all the potential mechanisms of action for infliximab as well as the relative importance of such mechanisms in the various proposed indications.</w:t>
      </w:r>
    </w:p>
    <w:p w14:paraId="5119C271" w14:textId="5E662789" w:rsidR="00AC3C81" w:rsidRDefault="00AF433A" w:rsidP="00A5194D">
      <w:pPr>
        <w:pStyle w:val="Heading6"/>
      </w:pPr>
      <w:r w:rsidRPr="00B82735">
        <w:t>Potential mechanisms of action</w:t>
      </w:r>
    </w:p>
    <w:p w14:paraId="644554DF" w14:textId="56A10EF7" w:rsidR="00AF433A" w:rsidRPr="00AC3C81" w:rsidRDefault="00AC3C81" w:rsidP="00AC3C81">
      <w:r w:rsidRPr="00AC3C81">
        <w:t>Potential mechanisms of action</w:t>
      </w:r>
      <w:r w:rsidR="00AF433A" w:rsidRPr="00AC3C81">
        <w:t xml:space="preserve"> include:</w:t>
      </w:r>
    </w:p>
    <w:p w14:paraId="52D5D776" w14:textId="3FD1CD84" w:rsidR="00AF433A" w:rsidRPr="00B82735" w:rsidRDefault="00AF433A" w:rsidP="00654E1B">
      <w:pPr>
        <w:pStyle w:val="Numberbullet0"/>
        <w:numPr>
          <w:ilvl w:val="0"/>
          <w:numId w:val="9"/>
        </w:numPr>
      </w:pPr>
      <w:r>
        <w:t xml:space="preserve">Binding and neutralisation of </w:t>
      </w:r>
      <w:proofErr w:type="spellStart"/>
      <w:r>
        <w:t>sTNF</w:t>
      </w:r>
      <w:proofErr w:type="spellEnd"/>
      <w:r>
        <w:t>α</w:t>
      </w:r>
      <w:r w:rsidRPr="00B82735">
        <w:t xml:space="preserve"> leading to the blocking of:</w:t>
      </w:r>
    </w:p>
    <w:p w14:paraId="70B7ABA5" w14:textId="1E389D1B" w:rsidR="00AF433A" w:rsidRPr="00B82735" w:rsidRDefault="00AF433A" w:rsidP="00AF433A">
      <w:pPr>
        <w:pStyle w:val="ListBullet"/>
        <w:ind w:left="924" w:hanging="357"/>
      </w:pPr>
      <w:r w:rsidRPr="00B82735">
        <w:t xml:space="preserve">Induction of pro-inflammatory </w:t>
      </w:r>
      <w:r>
        <w:t>cytokines such as interleukins (IL-1 and IL-6)</w:t>
      </w:r>
    </w:p>
    <w:p w14:paraId="5140DAB7" w14:textId="344BCD82" w:rsidR="00AF433A" w:rsidRPr="00B82735" w:rsidRDefault="00AF433A" w:rsidP="00AF433A">
      <w:pPr>
        <w:pStyle w:val="ListBullet"/>
        <w:ind w:left="924" w:hanging="357"/>
      </w:pPr>
      <w:r w:rsidRPr="00B82735">
        <w:t>Enhancement of leukocyte migration by increasing endothelial layer permeability and expression of adhesion molecules by e</w:t>
      </w:r>
      <w:r>
        <w:t>ndothelial cells and leukocytes</w:t>
      </w:r>
    </w:p>
    <w:p w14:paraId="40138F66" w14:textId="4FAC987E" w:rsidR="00AF433A" w:rsidRPr="00B82735" w:rsidRDefault="00AF433A" w:rsidP="00AF433A">
      <w:pPr>
        <w:pStyle w:val="ListBullet"/>
        <w:ind w:left="924" w:hanging="357"/>
      </w:pPr>
      <w:r w:rsidRPr="00B82735">
        <w:t>Activation of neutrophil and</w:t>
      </w:r>
      <w:r>
        <w:t xml:space="preserve"> eosinophil functional activity</w:t>
      </w:r>
    </w:p>
    <w:p w14:paraId="49710BA1" w14:textId="30942E1C" w:rsidR="00AF433A" w:rsidRPr="00B82735" w:rsidRDefault="00AF433A" w:rsidP="00AF433A">
      <w:pPr>
        <w:pStyle w:val="ListBullet"/>
        <w:ind w:left="924" w:hanging="357"/>
      </w:pPr>
      <w:r w:rsidRPr="00B82735">
        <w:t xml:space="preserve">Induction of acute phase reactants such as </w:t>
      </w:r>
      <w:r w:rsidR="003D36AA">
        <w:t>C-reactive protein (</w:t>
      </w:r>
      <w:r w:rsidRPr="00B82735">
        <w:t>CRP</w:t>
      </w:r>
      <w:r w:rsidR="003D36AA">
        <w:t>)</w:t>
      </w:r>
      <w:r w:rsidRPr="00B82735">
        <w:t xml:space="preserve"> and other liver proteins as well as tissue degrading enzymes produced by </w:t>
      </w:r>
      <w:proofErr w:type="spellStart"/>
      <w:r w:rsidRPr="00B82735">
        <w:t>synoviocytes</w:t>
      </w:r>
      <w:proofErr w:type="spellEnd"/>
      <w:r w:rsidRPr="00B82735">
        <w:t xml:space="preserve"> and/or chondrocytes, and</w:t>
      </w:r>
    </w:p>
    <w:p w14:paraId="10D7F596" w14:textId="117823CC" w:rsidR="00AF433A" w:rsidRPr="00B82735" w:rsidRDefault="00AF433A" w:rsidP="00AF433A">
      <w:pPr>
        <w:pStyle w:val="ListBullet"/>
        <w:ind w:left="924" w:hanging="357"/>
      </w:pPr>
      <w:r w:rsidRPr="00B82735">
        <w:t xml:space="preserve">Induction of apoptosis of tissue cells such as intestinal epithelial cells through the activity of </w:t>
      </w:r>
      <w:proofErr w:type="spellStart"/>
      <w:r w:rsidRPr="00B82735">
        <w:t>sTNF</w:t>
      </w:r>
      <w:proofErr w:type="spellEnd"/>
      <w:r w:rsidRPr="00B82735">
        <w:t>α on the TNF-R1 receptor.</w:t>
      </w:r>
    </w:p>
    <w:p w14:paraId="47F523A7" w14:textId="0B2DFB5A" w:rsidR="00AF433A" w:rsidRPr="00B82735" w:rsidRDefault="00AF433A" w:rsidP="00654E1B">
      <w:pPr>
        <w:pStyle w:val="Numberbullet0"/>
        <w:numPr>
          <w:ilvl w:val="0"/>
          <w:numId w:val="2"/>
        </w:numPr>
      </w:pPr>
      <w:r>
        <w:t xml:space="preserve">Binding to </w:t>
      </w:r>
      <w:proofErr w:type="spellStart"/>
      <w:r>
        <w:t>tmTNF</w:t>
      </w:r>
      <w:proofErr w:type="spellEnd"/>
      <w:r>
        <w:t>α</w:t>
      </w:r>
      <w:r w:rsidRPr="00B82735">
        <w:t xml:space="preserve"> leading to:</w:t>
      </w:r>
    </w:p>
    <w:p w14:paraId="2265A54C" w14:textId="444A4E25" w:rsidR="00AF433A" w:rsidRPr="00B82735" w:rsidRDefault="00AF433A" w:rsidP="00AF433A">
      <w:pPr>
        <w:pStyle w:val="ListBullet"/>
        <w:ind w:left="924" w:hanging="357"/>
      </w:pPr>
      <w:r w:rsidRPr="00B82735">
        <w:t xml:space="preserve">Blocking of the interaction of </w:t>
      </w:r>
      <w:proofErr w:type="spellStart"/>
      <w:r>
        <w:t>tmTNF</w:t>
      </w:r>
      <w:proofErr w:type="spellEnd"/>
      <w:r>
        <w:t>α with TNF-R2 (and TNF-R1)</w:t>
      </w:r>
    </w:p>
    <w:p w14:paraId="3083101B" w14:textId="3371FF1D" w:rsidR="00AF433A" w:rsidRPr="00B82735" w:rsidRDefault="00AF433A" w:rsidP="00AF433A">
      <w:pPr>
        <w:pStyle w:val="ListBullet"/>
        <w:ind w:left="924" w:hanging="357"/>
      </w:pPr>
      <w:r w:rsidRPr="00B82735">
        <w:t xml:space="preserve">Stimulation of reverse </w:t>
      </w:r>
      <w:r w:rsidRPr="00F21CA5">
        <w:t>signalling pathways</w:t>
      </w:r>
      <w:r w:rsidR="003D36AA">
        <w:t>;</w:t>
      </w:r>
      <w:r w:rsidRPr="00F21CA5">
        <w:rPr>
          <w:vertAlign w:val="superscript"/>
        </w:rPr>
        <w:footnoteReference w:id="27"/>
      </w:r>
      <w:r w:rsidRPr="00F21CA5">
        <w:rPr>
          <w:vertAlign w:val="superscript"/>
        </w:rPr>
        <w:t xml:space="preserve"> </w:t>
      </w:r>
      <w:r w:rsidRPr="00F21CA5">
        <w:t xml:space="preserve">resulting in the </w:t>
      </w:r>
      <w:r w:rsidRPr="00B82735">
        <w:t>suppression of secretion of pro-inflammatory cytokines such as</w:t>
      </w:r>
      <w:r w:rsidR="003D36AA">
        <w:t xml:space="preserve"> interleukins</w:t>
      </w:r>
      <w:r w:rsidRPr="00B82735">
        <w:t xml:space="preserve"> </w:t>
      </w:r>
      <w:r w:rsidR="003D36AA">
        <w:t>(</w:t>
      </w:r>
      <w:r w:rsidRPr="00B82735">
        <w:t>IL-1, IL-10 and IL</w:t>
      </w:r>
      <w:r w:rsidR="003D36AA">
        <w:noBreakHyphen/>
      </w:r>
      <w:r w:rsidRPr="00B82735">
        <w:t>12</w:t>
      </w:r>
      <w:r w:rsidR="003D36AA">
        <w:t>)</w:t>
      </w:r>
      <w:r w:rsidRPr="00B82735">
        <w:t xml:space="preserve"> from monocytes, and</w:t>
      </w:r>
    </w:p>
    <w:p w14:paraId="2F0D97D4" w14:textId="513953F6" w:rsidR="00AF433A" w:rsidRPr="00B82735" w:rsidRDefault="00AF433A" w:rsidP="00AF433A">
      <w:pPr>
        <w:pStyle w:val="ListBullet"/>
        <w:ind w:left="924" w:hanging="357"/>
      </w:pPr>
      <w:r w:rsidRPr="00B82735">
        <w:t xml:space="preserve">Stimulation </w:t>
      </w:r>
      <w:r>
        <w:t xml:space="preserve">of apoptosis in monocytes and T </w:t>
      </w:r>
      <w:r w:rsidRPr="00B82735">
        <w:t>cells</w:t>
      </w:r>
      <w:r w:rsidR="003D36AA">
        <w:t>.</w:t>
      </w:r>
    </w:p>
    <w:p w14:paraId="37866673" w14:textId="3F5B855A" w:rsidR="00AF433A" w:rsidRPr="00B82735" w:rsidRDefault="00AF433A" w:rsidP="00654E1B">
      <w:pPr>
        <w:pStyle w:val="Numberbullet0"/>
        <w:numPr>
          <w:ilvl w:val="0"/>
          <w:numId w:val="2"/>
        </w:numPr>
      </w:pPr>
      <w:r w:rsidRPr="00B82735">
        <w:t>Fc-dependent effector actions including:</w:t>
      </w:r>
    </w:p>
    <w:p w14:paraId="3A1519BA" w14:textId="7971B7D6" w:rsidR="00AF433A" w:rsidRPr="00B82735" w:rsidRDefault="00AF433A" w:rsidP="00AF433A">
      <w:pPr>
        <w:pStyle w:val="ListBullet"/>
        <w:ind w:left="924" w:hanging="357"/>
      </w:pPr>
      <w:r w:rsidRPr="00B82735">
        <w:t>Induction of regulatory macrophages, and</w:t>
      </w:r>
    </w:p>
    <w:p w14:paraId="5688C724" w14:textId="05F27C9B" w:rsidR="00AF433A" w:rsidRPr="00B82735" w:rsidRDefault="00AF433A" w:rsidP="00AF433A">
      <w:pPr>
        <w:pStyle w:val="ListBullet"/>
        <w:ind w:left="924" w:hanging="357"/>
      </w:pPr>
      <w:r w:rsidRPr="00B82735">
        <w:t xml:space="preserve">Activation of ADCC by acting on </w:t>
      </w:r>
      <w:proofErr w:type="spellStart"/>
      <w:r w:rsidRPr="00B82735">
        <w:t>FcγRIIIa</w:t>
      </w:r>
      <w:proofErr w:type="spellEnd"/>
      <w:r w:rsidRPr="00B82735">
        <w:t xml:space="preserve"> receptors on NK cells.</w:t>
      </w:r>
    </w:p>
    <w:p w14:paraId="584C905C" w14:textId="7E9253E0" w:rsidR="00AF433A" w:rsidRPr="00B82735" w:rsidRDefault="00AF433A" w:rsidP="00A5194D">
      <w:pPr>
        <w:pStyle w:val="Heading6"/>
      </w:pPr>
      <w:r w:rsidRPr="00B82735">
        <w:t xml:space="preserve">Relative contribution of various mechanisms of action to RA, AS and </w:t>
      </w:r>
      <w:proofErr w:type="spellStart"/>
      <w:r w:rsidRPr="00B82735">
        <w:t>PsA</w:t>
      </w:r>
      <w:proofErr w:type="spellEnd"/>
    </w:p>
    <w:p w14:paraId="0C4B02ED" w14:textId="37FA8BE4" w:rsidR="00AF433A" w:rsidRPr="00B82735" w:rsidRDefault="00AF433A" w:rsidP="00AF433A">
      <w:r w:rsidRPr="00B82735">
        <w:t>The nonclinical evaluator was of the opinion that:</w:t>
      </w:r>
    </w:p>
    <w:p w14:paraId="34BBE7FC" w14:textId="463E2C72" w:rsidR="00AF433A" w:rsidRPr="00B82735" w:rsidRDefault="00AF433A" w:rsidP="00AF433A">
      <w:pPr>
        <w:pStyle w:val="ListBullet"/>
      </w:pPr>
      <w:r w:rsidRPr="00B82735">
        <w:t xml:space="preserve">There are considerable overlaps between RA, AS and </w:t>
      </w:r>
      <w:proofErr w:type="spellStart"/>
      <w:r w:rsidRPr="00B82735">
        <w:t>PsA</w:t>
      </w:r>
      <w:proofErr w:type="spellEnd"/>
      <w:r w:rsidRPr="00B82735">
        <w:t xml:space="preserve"> in terms of tissues that are targeted by inflammation and the detrimental effects of TNFα on cartilage, synovium and bone.</w:t>
      </w:r>
    </w:p>
    <w:p w14:paraId="27BF76A1" w14:textId="4BAE0A1A" w:rsidR="00AF433A" w:rsidRPr="00B82735" w:rsidRDefault="00AF433A" w:rsidP="00AF433A">
      <w:pPr>
        <w:pStyle w:val="ListBullet"/>
      </w:pPr>
      <w:r w:rsidRPr="00B82735">
        <w:t>The sponsor had provided thorough, detailed evidence to support the view that TNFα plays a pivotal role in the pathophysiological processes that are characteristic of these three indications and that neutralisation of TNFα is the primary mechanism of action.</w:t>
      </w:r>
    </w:p>
    <w:p w14:paraId="7736CE49" w14:textId="741B0DFD" w:rsidR="00AF433A" w:rsidRPr="00B82735" w:rsidRDefault="00AF433A" w:rsidP="00AF433A">
      <w:pPr>
        <w:pStyle w:val="ListBullet"/>
      </w:pPr>
      <w:r w:rsidRPr="00B82735">
        <w:lastRenderedPageBreak/>
        <w:t>The most compelling evidence is the fact that structurally very different anti-TNFα agents, including those without Fc functionality (</w:t>
      </w:r>
      <w:proofErr w:type="spellStart"/>
      <w:r w:rsidRPr="00B82735">
        <w:t>certolizumab</w:t>
      </w:r>
      <w:proofErr w:type="spellEnd"/>
      <w:r w:rsidRPr="00B82735">
        <w:t xml:space="preserve"> pegol) or those incapable of reverse signalling (</w:t>
      </w:r>
      <w:proofErr w:type="spellStart"/>
      <w:r w:rsidRPr="00B82735">
        <w:t>etanercept</w:t>
      </w:r>
      <w:proofErr w:type="spellEnd"/>
      <w:r w:rsidRPr="00B82735">
        <w:t>) are all effective treatments for these indications, suggesting that it is the shared ability of these compounds to neutralise TNFα via Fab-mediated and not Fc-mediated functions which underlines their clinical efficacy.</w:t>
      </w:r>
    </w:p>
    <w:p w14:paraId="0C94B185" w14:textId="23459A60" w:rsidR="00AF433A" w:rsidRPr="00B82735" w:rsidRDefault="00AF433A" w:rsidP="00A5194D">
      <w:pPr>
        <w:pStyle w:val="Heading6"/>
      </w:pPr>
      <w:r w:rsidRPr="00B82735">
        <w:t>Relative contribution of various me</w:t>
      </w:r>
      <w:r>
        <w:t>chanisms to Crohn’s disease and ulcerative colitis</w:t>
      </w:r>
    </w:p>
    <w:p w14:paraId="567A21BE" w14:textId="1169E336" w:rsidR="008362F5" w:rsidRPr="006A4296" w:rsidRDefault="00AF433A" w:rsidP="008362F5">
      <w:r w:rsidRPr="00B82735">
        <w:t xml:space="preserve">Advice was initially sought by clinical unit </w:t>
      </w:r>
      <w:r>
        <w:t xml:space="preserve">1 </w:t>
      </w:r>
      <w:r w:rsidRPr="00B82735">
        <w:t xml:space="preserve">managing the </w:t>
      </w:r>
      <w:r>
        <w:t>inflammatory bowel disease</w:t>
      </w:r>
      <w:r w:rsidRPr="00B82735">
        <w:t xml:space="preserve"> indications</w:t>
      </w:r>
      <w:r>
        <w:t xml:space="preserve"> </w:t>
      </w:r>
      <w:r w:rsidRPr="00B82735">
        <w:t>from their toxicologist. In the opinion of the latter, available evidence indicates that infliximab exerts multiple actions that are not solely due to its ability to recognise and bind with human TNFα. Fc-dependent interactions, such as the recruitment of regulatory macrophages and ADCC have been identified as relevant in inflammatory bowel conditions. Qualitative diff</w:t>
      </w:r>
      <w:r>
        <w:t>erences between Inflectra</w:t>
      </w:r>
      <w:r w:rsidRPr="00B82735">
        <w:t xml:space="preserve"> and Remicade were flagged as having the potential to affect </w:t>
      </w:r>
      <w:proofErr w:type="spellStart"/>
      <w:r w:rsidRPr="00B82735">
        <w:t>FcγRIIIa</w:t>
      </w:r>
      <w:proofErr w:type="spellEnd"/>
      <w:r w:rsidRPr="00B82735">
        <w:t xml:space="preserve">-dependent </w:t>
      </w:r>
      <w:r w:rsidR="00B159B8" w:rsidRPr="00B82735">
        <w:t>mechanisms</w:t>
      </w:r>
      <w:r w:rsidR="00B159B8">
        <w:t>.</w:t>
      </w:r>
      <w:r w:rsidR="00B159B8" w:rsidRPr="00053448">
        <w:rPr>
          <w:rFonts w:eastAsia="Times New Roman"/>
        </w:rPr>
        <w:t xml:space="preserve"> The</w:t>
      </w:r>
      <w:r w:rsidRPr="00053448">
        <w:rPr>
          <w:rFonts w:eastAsia="Times New Roman"/>
        </w:rPr>
        <w:t xml:space="preserve"> sponsor addressed this by repeating a study comparing binding affinities of </w:t>
      </w:r>
      <w:r w:rsidR="00525466" w:rsidRPr="00053448">
        <w:rPr>
          <w:rFonts w:eastAsia="Times New Roman"/>
        </w:rPr>
        <w:t>Inflectra</w:t>
      </w:r>
      <w:r w:rsidRPr="00053448">
        <w:rPr>
          <w:rFonts w:eastAsia="Times New Roman"/>
        </w:rPr>
        <w:t xml:space="preserve"> (CT-P13) and Remicade using NK cells isolated from CD patients with FcγRIIIa-158 polymorphisms. There were no differences in relative binding affinities between CT-P13 and Remicade. LPS-stimulated monocytes as target cells and PBMCs as sources of NK cells did not elicit ADCC cytotoxicity with either Remicade or CT-P13 whereas </w:t>
      </w:r>
      <w:proofErr w:type="spellStart"/>
      <w:r w:rsidRPr="00053448">
        <w:rPr>
          <w:rFonts w:eastAsia="Times New Roman"/>
        </w:rPr>
        <w:t>Jurkat</w:t>
      </w:r>
      <w:proofErr w:type="spellEnd"/>
      <w:r w:rsidRPr="00053448">
        <w:rPr>
          <w:rFonts w:eastAsia="Times New Roman"/>
        </w:rPr>
        <w:t xml:space="preserve"> T cells produced a similarly robust reaction with both products. The sponsor did not confirm if the ADCC study was performed using cells with the FcγRIIIa-158V </w:t>
      </w:r>
      <w:r w:rsidR="00B159B8" w:rsidRPr="00053448">
        <w:rPr>
          <w:rFonts w:eastAsia="Times New Roman"/>
        </w:rPr>
        <w:t>polymorphism, which</w:t>
      </w:r>
      <w:r w:rsidRPr="00053448">
        <w:rPr>
          <w:rFonts w:eastAsia="Times New Roman"/>
        </w:rPr>
        <w:t xml:space="preserve"> are more responsive to infliximab and evoke ADCC. Without confirming the </w:t>
      </w:r>
      <w:proofErr w:type="spellStart"/>
      <w:r w:rsidRPr="00053448">
        <w:rPr>
          <w:rFonts w:eastAsia="Times New Roman"/>
        </w:rPr>
        <w:t>allotype</w:t>
      </w:r>
      <w:proofErr w:type="spellEnd"/>
      <w:r w:rsidRPr="00053448">
        <w:rPr>
          <w:rFonts w:eastAsia="Times New Roman"/>
        </w:rPr>
        <w:t xml:space="preserve"> of the donors used to perform these experiments, it is difficult to explicitly rule out a role for ADCC elicited by infliximab bound </w:t>
      </w:r>
      <w:proofErr w:type="spellStart"/>
      <w:r w:rsidRPr="00053448">
        <w:rPr>
          <w:rFonts w:eastAsia="Times New Roman"/>
        </w:rPr>
        <w:t>tmTNF</w:t>
      </w:r>
      <w:proofErr w:type="spellEnd"/>
      <w:r w:rsidRPr="00053448">
        <w:rPr>
          <w:rFonts w:eastAsia="Times New Roman"/>
        </w:rPr>
        <w:t xml:space="preserve">α acting on </w:t>
      </w:r>
      <w:proofErr w:type="spellStart"/>
      <w:r w:rsidRPr="00053448">
        <w:rPr>
          <w:rFonts w:eastAsia="Times New Roman"/>
        </w:rPr>
        <w:t>FcγRIII</w:t>
      </w:r>
      <w:proofErr w:type="spellEnd"/>
      <w:r w:rsidRPr="00053448">
        <w:rPr>
          <w:rFonts w:eastAsia="Times New Roman"/>
        </w:rPr>
        <w:t xml:space="preserve">-expressing NK cells, given that some CD patient </w:t>
      </w:r>
      <w:proofErr w:type="spellStart"/>
      <w:r w:rsidRPr="00053448">
        <w:rPr>
          <w:rFonts w:eastAsia="Times New Roman"/>
        </w:rPr>
        <w:t>FcγRIIIa</w:t>
      </w:r>
      <w:proofErr w:type="spellEnd"/>
      <w:r w:rsidRPr="00053448">
        <w:rPr>
          <w:rFonts w:eastAsia="Times New Roman"/>
        </w:rPr>
        <w:t xml:space="preserve"> </w:t>
      </w:r>
      <w:proofErr w:type="spellStart"/>
      <w:r w:rsidRPr="00053448">
        <w:rPr>
          <w:rFonts w:eastAsia="Times New Roman"/>
        </w:rPr>
        <w:t>allotypes</w:t>
      </w:r>
      <w:proofErr w:type="spellEnd"/>
      <w:r w:rsidRPr="00053448">
        <w:rPr>
          <w:rFonts w:eastAsia="Times New Roman"/>
        </w:rPr>
        <w:t xml:space="preserve"> are more responsive to infliximab than others. Because of these uncertainties, a contributing role for Fc-dependent mechanisms in the actions of infliximab in inflammatory bowel disease indications cannot be explicitly ruled out. These uncertainties may have implications for the ability to extrapolate the clinical trial evidence of efficacy in the </w:t>
      </w:r>
      <w:proofErr w:type="spellStart"/>
      <w:r w:rsidRPr="00053448">
        <w:rPr>
          <w:rFonts w:eastAsia="Times New Roman"/>
        </w:rPr>
        <w:t>rheumatological</w:t>
      </w:r>
      <w:proofErr w:type="spellEnd"/>
      <w:r w:rsidRPr="00053448">
        <w:rPr>
          <w:rFonts w:eastAsia="Times New Roman"/>
        </w:rPr>
        <w:t xml:space="preserve"> indications to evidence of efficacy in the inflammatory bowel disease indications. The sponsor has responded to this matter and this has been discussed in more detail below.</w:t>
      </w:r>
    </w:p>
    <w:p w14:paraId="2173FBD5" w14:textId="77777777" w:rsidR="008E7846" w:rsidRDefault="008E7846" w:rsidP="00A5194D">
      <w:pPr>
        <w:pStyle w:val="Heading3"/>
      </w:pPr>
      <w:bookmarkStart w:id="159" w:name="_Toc44577029"/>
      <w:r>
        <w:t>Clinical</w:t>
      </w:r>
      <w:bookmarkEnd w:id="157"/>
      <w:bookmarkEnd w:id="158"/>
      <w:bookmarkEnd w:id="159"/>
    </w:p>
    <w:p w14:paraId="7990E54E" w14:textId="77777777" w:rsidR="00AF433A" w:rsidRPr="00AF433A" w:rsidRDefault="00AF433A" w:rsidP="00AF433A">
      <w:pPr>
        <w:pStyle w:val="Heading4"/>
      </w:pPr>
      <w:r w:rsidRPr="007B6132">
        <w:t>Clin</w:t>
      </w:r>
      <w:r>
        <w:t xml:space="preserve">ical evaluator’s </w:t>
      </w:r>
      <w:r w:rsidR="00C97B34">
        <w:t>summary</w:t>
      </w:r>
    </w:p>
    <w:p w14:paraId="46B9D3C0" w14:textId="7AA953F6" w:rsidR="00C97B34" w:rsidRPr="00B82735" w:rsidRDefault="00AF433A" w:rsidP="00AF433A">
      <w:bookmarkStart w:id="160" w:name="_Toc314842514"/>
      <w:r w:rsidRPr="00B82735">
        <w:t xml:space="preserve">The clinical evaluator has recommended approval of infliximab for all requested indications by the sponsor. The evaluator advised that the submission provided robust evidence that CT-P13 is therapeutically equivalent to Remicade in improving the signs and symptoms as well as function and quality of life in adult patients with active </w:t>
      </w:r>
      <w:r>
        <w:t>RA</w:t>
      </w:r>
      <w:r w:rsidRPr="00B82735">
        <w:t xml:space="preserve"> and </w:t>
      </w:r>
      <w:r>
        <w:t>AS</w:t>
      </w:r>
      <w:r w:rsidRPr="00B82735">
        <w:t xml:space="preserve">. The evaluator considered that the two formulations of infliximab appear to be clinically equivalent for the majority of safety concerns however there was a higher incidence of active TB and serious pneumonia in patients treated with CT-P13 compared to </w:t>
      </w:r>
      <w:r w:rsidR="00B159B8" w:rsidRPr="00B82735">
        <w:t>Remicade that</w:t>
      </w:r>
      <w:r w:rsidRPr="00B82735">
        <w:t xml:space="preserve"> remains of unclear explanation. </w:t>
      </w:r>
      <w:r w:rsidR="00B159B8" w:rsidRPr="00B82735">
        <w:t>However,</w:t>
      </w:r>
      <w:r w:rsidRPr="00B82735">
        <w:t xml:space="preserve"> the evaluator considered that the incidence of these two serious infection related events is within historical expectations for infliximab in the target population.</w:t>
      </w:r>
    </w:p>
    <w:p w14:paraId="61FD54AC" w14:textId="77777777" w:rsidR="007B6132" w:rsidRDefault="00AF433A" w:rsidP="00A5194D">
      <w:pPr>
        <w:pStyle w:val="Heading3"/>
      </w:pPr>
      <w:bookmarkStart w:id="161" w:name="_Toc44577030"/>
      <w:r>
        <w:lastRenderedPageBreak/>
        <w:t>Delegate’s review of the clinical information</w:t>
      </w:r>
      <w:bookmarkEnd w:id="161"/>
    </w:p>
    <w:p w14:paraId="4EA64837" w14:textId="77777777" w:rsidR="00AF433A" w:rsidRPr="005C4BCA" w:rsidRDefault="00AF433A" w:rsidP="00AF433A">
      <w:pPr>
        <w:pStyle w:val="Heading4"/>
      </w:pPr>
      <w:r w:rsidRPr="005C4BCA">
        <w:t>Pharmacokinetics</w:t>
      </w:r>
    </w:p>
    <w:p w14:paraId="5C2D37E0" w14:textId="77777777" w:rsidR="00AF433A" w:rsidRPr="005C4BCA" w:rsidRDefault="00AF433A" w:rsidP="00AF433A">
      <w:pPr>
        <w:pStyle w:val="Heading5"/>
      </w:pPr>
      <w:r w:rsidRPr="005C4BCA">
        <w:t>Study CT-P13 1.1</w:t>
      </w:r>
    </w:p>
    <w:p w14:paraId="4DC57AAB" w14:textId="2B25B859" w:rsidR="00AF433A" w:rsidRPr="005C4BCA" w:rsidRDefault="00AF433A" w:rsidP="00AF433A">
      <w:r>
        <w:t xml:space="preserve">This was a randomised, double blind, multicentre, parallel </w:t>
      </w:r>
      <w:r w:rsidRPr="005C4BCA">
        <w:t>group Phase I study designed to compare the pharmacokinetics and safety of multiple doses of CT-P13 (5 mg/kg) with the reference product, Remicad</w:t>
      </w:r>
      <w:r>
        <w:t xml:space="preserve">e (5 mg/kg) administered by a 2 </w:t>
      </w:r>
      <w:r w:rsidRPr="005C4BCA">
        <w:t>hour IV infusion per dose in patients with active AS. It was conducted at 46 sites in 10 count</w:t>
      </w:r>
      <w:r w:rsidR="00AC3C81">
        <w:t>ries between December </w:t>
      </w:r>
      <w:r w:rsidRPr="005C4BCA">
        <w:t>2010 and July 2012. Patients were randomly assigned in a</w:t>
      </w:r>
      <w:r>
        <w:t xml:space="preserve"> 1:1 ratio to receive either CT</w:t>
      </w:r>
      <w:r>
        <w:noBreakHyphen/>
      </w:r>
      <w:r w:rsidRPr="005C4BCA">
        <w:t>P13 or Remicade as a single dose of study treatment on the first day of each dosing period. The total duration of the study was up to 68 weeks.</w:t>
      </w:r>
    </w:p>
    <w:p w14:paraId="2BFFDA59" w14:textId="47CD47E3" w:rsidR="00AF433A" w:rsidRPr="005C4BCA" w:rsidRDefault="00AF433A" w:rsidP="00AF433A">
      <w:r w:rsidRPr="005C4BCA">
        <w:t xml:space="preserve">The primary objective of </w:t>
      </w:r>
      <w:r w:rsidR="003D36AA">
        <w:t xml:space="preserve">Study </w:t>
      </w:r>
      <w:r w:rsidRPr="005C4BCA">
        <w:t>CT-P13 1.1 was to demonstrate co</w:t>
      </w:r>
      <w:r>
        <w:t>mparable pharmacokinetics (AUC</w:t>
      </w:r>
      <w:r w:rsidRPr="00F63A1C">
        <w:rPr>
          <w:vertAlign w:val="subscript"/>
        </w:rPr>
        <w:t>0-τ</w:t>
      </w:r>
      <w:r>
        <w:t xml:space="preserve"> and </w:t>
      </w:r>
      <w:proofErr w:type="spellStart"/>
      <w:r>
        <w:t>C</w:t>
      </w:r>
      <w:r w:rsidRPr="00F63A1C">
        <w:rPr>
          <w:vertAlign w:val="subscript"/>
        </w:rPr>
        <w:t>max</w:t>
      </w:r>
      <w:proofErr w:type="spellEnd"/>
      <w:r>
        <w:t>) at steady state (between W</w:t>
      </w:r>
      <w:r w:rsidRPr="005C4BCA">
        <w:t>eeks 22 and 30) between the test and reference products in patients with active AS. The secondary objectives of the trial were to assess the long-term efficacy, PK and overall safety of CT-P13 in comparis</w:t>
      </w:r>
      <w:r>
        <w:t>on with Remicade up to Week 54.</w:t>
      </w:r>
    </w:p>
    <w:p w14:paraId="11685536" w14:textId="6492B649" w:rsidR="00AF433A" w:rsidRPr="005C4BCA" w:rsidRDefault="00AF433A" w:rsidP="00AF433A">
      <w:r w:rsidRPr="005C4BCA">
        <w:t>Study CT-P13 1.1 enrolled a total of 250 subjects (125 in each treatment group). Of these, 223 (113 in the CT-P13 group and 110 in the Remicade group) were included in the PK analysis population. Of these 223 subjects, 158 (81 in the CT-P13 group and 77 in the Remicade group) were included in the anti-drug antibody neg</w:t>
      </w:r>
      <w:r>
        <w:t>ative cohort for PK evaluation.</w:t>
      </w:r>
    </w:p>
    <w:p w14:paraId="6A99BA07" w14:textId="2C90D045" w:rsidR="00AF433A" w:rsidRDefault="00AF433A" w:rsidP="00BC1334">
      <w:r w:rsidRPr="00395BC5">
        <w:t xml:space="preserve">The primary PK results and the results of the bioequivalence evaluation for the entire PK population and the antibody negative PK population cohort </w:t>
      </w:r>
      <w:r w:rsidR="00595114">
        <w:t>were provided</w:t>
      </w:r>
      <w:r w:rsidRPr="00395BC5">
        <w:t>.</w:t>
      </w:r>
      <w:r w:rsidRPr="00916DC4">
        <w:t xml:space="preserve"> S</w:t>
      </w:r>
      <w:r w:rsidRPr="008F6F94">
        <w:t>tudy CT-P13 1.1 demonstrated that PK parameters were comparable between the two treatment groups</w:t>
      </w:r>
      <w:r w:rsidRPr="005C4BCA">
        <w:t xml:space="preserve"> and hence supported the bioequivalence of CT-P13 and Remicade on PK grounds. The results were confirmed for the antibody negative population cohort. </w:t>
      </w:r>
      <w:r>
        <w:t>In the ‘post TGA m</w:t>
      </w:r>
      <w:r w:rsidRPr="005C4BCA">
        <w:t>eeting</w:t>
      </w:r>
      <w:r>
        <w:t>’</w:t>
      </w:r>
      <w:r w:rsidRPr="005C4BCA">
        <w:t xml:space="preserve"> response, the sponsor provided data on the antibody positive population results which indicated that the result for AUC is outside the nor</w:t>
      </w:r>
      <w:r>
        <w:t xml:space="preserve">mal bioequivalence limits of 80 to </w:t>
      </w:r>
      <w:r w:rsidRPr="005C4BCA">
        <w:t xml:space="preserve">125% however it was within for the </w:t>
      </w:r>
      <w:proofErr w:type="spellStart"/>
      <w:r w:rsidRPr="005C4BCA">
        <w:t>C</w:t>
      </w:r>
      <w:r w:rsidRPr="00F63A1C">
        <w:rPr>
          <w:vertAlign w:val="subscript"/>
        </w:rPr>
        <w:t>max</w:t>
      </w:r>
      <w:proofErr w:type="spellEnd"/>
      <w:r w:rsidRPr="005C4BCA">
        <w:t xml:space="preserve"> result. These results are presented below. The sponsor concluded that the result showed no significant difference between CT-P13 and EU approved Remicade however the results are beyond the normal limits and wider than the antibody negative population as also shown below. The results</w:t>
      </w:r>
      <w:r w:rsidR="002E551D">
        <w:t>,</w:t>
      </w:r>
      <w:r w:rsidRPr="005C4BCA">
        <w:t xml:space="preserve"> excluding outliers</w:t>
      </w:r>
      <w:r w:rsidR="002E551D">
        <w:t>,</w:t>
      </w:r>
      <w:r w:rsidRPr="005C4BCA">
        <w:t xml:space="preserve"> were also more varied and are included in </w:t>
      </w:r>
      <w:r w:rsidR="00EC703E">
        <w:t>Table 1</w:t>
      </w:r>
      <w:r w:rsidR="007123DC">
        <w:t>2.</w:t>
      </w:r>
    </w:p>
    <w:p w14:paraId="799B5361" w14:textId="1166868E" w:rsidR="004E0756" w:rsidRPr="005C4BCA" w:rsidRDefault="004E0756" w:rsidP="00EE5433">
      <w:pPr>
        <w:pStyle w:val="TableTitle"/>
      </w:pPr>
      <w:r>
        <w:t xml:space="preserve">Table </w:t>
      </w:r>
      <w:r w:rsidR="007123DC">
        <w:t>10</w:t>
      </w:r>
      <w:r>
        <w:t>: Primary pharmacokinetic p</w:t>
      </w:r>
      <w:r w:rsidRPr="005C4BCA">
        <w:t>arameters of CT-P13 and Remi</w:t>
      </w:r>
      <w:r>
        <w:t>cade in Study CT-P13 1.1</w:t>
      </w:r>
      <w:r w:rsidR="003D36AA">
        <w:t>;</w:t>
      </w:r>
      <w:r>
        <w:t xml:space="preserve"> ADA-positive population;</w:t>
      </w:r>
      <w:r w:rsidRPr="005C4BCA">
        <w:t xml:space="preserve"> All data</w:t>
      </w:r>
    </w:p>
    <w:tbl>
      <w:tblPr>
        <w:tblStyle w:val="TableTGAblue"/>
        <w:tblW w:w="0" w:type="auto"/>
        <w:tblLayout w:type="fixed"/>
        <w:tblLook w:val="04A0" w:firstRow="1" w:lastRow="0" w:firstColumn="1" w:lastColumn="0" w:noHBand="0" w:noVBand="1"/>
      </w:tblPr>
      <w:tblGrid>
        <w:gridCol w:w="1590"/>
        <w:gridCol w:w="1604"/>
        <w:gridCol w:w="641"/>
        <w:gridCol w:w="1449"/>
        <w:gridCol w:w="1396"/>
        <w:gridCol w:w="1519"/>
      </w:tblGrid>
      <w:tr w:rsidR="004E0756" w:rsidRPr="00581DD3" w14:paraId="66DCB2B5" w14:textId="12A1FD58" w:rsidTr="00D73C7E">
        <w:trPr>
          <w:cnfStyle w:val="100000000000" w:firstRow="1" w:lastRow="0" w:firstColumn="0" w:lastColumn="0" w:oddVBand="0" w:evenVBand="0" w:oddHBand="0" w:evenHBand="0" w:firstRowFirstColumn="0" w:firstRowLastColumn="0" w:lastRowFirstColumn="0" w:lastRowLastColumn="0"/>
          <w:trHeight w:hRule="exact" w:val="919"/>
        </w:trPr>
        <w:tc>
          <w:tcPr>
            <w:tcW w:w="1590" w:type="dxa"/>
            <w:hideMark/>
          </w:tcPr>
          <w:p w14:paraId="56DA9DC8" w14:textId="204BF8AE" w:rsidR="004E0756" w:rsidRPr="00581DD3" w:rsidRDefault="004E0756" w:rsidP="00854206">
            <w:pPr>
              <w:kinsoku w:val="0"/>
              <w:overflowPunct w:val="0"/>
              <w:autoSpaceDE w:val="0"/>
              <w:autoSpaceDN w:val="0"/>
              <w:adjustRightInd w:val="0"/>
              <w:spacing w:before="0" w:after="0" w:line="229" w:lineRule="exact"/>
              <w:ind w:left="102"/>
              <w:rPr>
                <w:rFonts w:asciiTheme="minorHAnsi" w:eastAsiaTheme="minorHAnsi" w:hAnsiTheme="minorHAnsi"/>
                <w:sz w:val="18"/>
                <w:szCs w:val="18"/>
              </w:rPr>
            </w:pPr>
            <w:r w:rsidRPr="00581DD3">
              <w:rPr>
                <w:rFonts w:asciiTheme="minorHAnsi" w:eastAsiaTheme="minorHAnsi" w:hAnsiTheme="minorHAnsi"/>
                <w:bCs/>
                <w:spacing w:val="-1"/>
                <w:sz w:val="18"/>
                <w:szCs w:val="18"/>
              </w:rPr>
              <w:t>Parameter</w:t>
            </w:r>
          </w:p>
        </w:tc>
        <w:tc>
          <w:tcPr>
            <w:tcW w:w="1604" w:type="dxa"/>
            <w:hideMark/>
          </w:tcPr>
          <w:p w14:paraId="1BE3F114" w14:textId="345063C0" w:rsidR="004E0756" w:rsidRPr="00581DD3" w:rsidRDefault="004E0756" w:rsidP="00854206">
            <w:pPr>
              <w:kinsoku w:val="0"/>
              <w:overflowPunct w:val="0"/>
              <w:autoSpaceDE w:val="0"/>
              <w:autoSpaceDN w:val="0"/>
              <w:adjustRightInd w:val="0"/>
              <w:spacing w:before="0" w:after="0" w:line="229" w:lineRule="exact"/>
              <w:ind w:left="102"/>
              <w:rPr>
                <w:rFonts w:asciiTheme="minorHAnsi" w:eastAsiaTheme="minorHAnsi" w:hAnsiTheme="minorHAnsi"/>
                <w:sz w:val="18"/>
                <w:szCs w:val="18"/>
              </w:rPr>
            </w:pPr>
            <w:r w:rsidRPr="00581DD3">
              <w:rPr>
                <w:rFonts w:asciiTheme="minorHAnsi" w:eastAsiaTheme="minorHAnsi" w:hAnsiTheme="minorHAnsi"/>
                <w:bCs/>
                <w:spacing w:val="-1"/>
                <w:sz w:val="18"/>
                <w:szCs w:val="18"/>
              </w:rPr>
              <w:t>Treatment</w:t>
            </w:r>
          </w:p>
        </w:tc>
        <w:tc>
          <w:tcPr>
            <w:tcW w:w="641" w:type="dxa"/>
            <w:hideMark/>
          </w:tcPr>
          <w:p w14:paraId="12A44391" w14:textId="6E816280" w:rsidR="004E0756" w:rsidRPr="00581DD3" w:rsidRDefault="004E0756" w:rsidP="00854206">
            <w:pPr>
              <w:kinsoku w:val="0"/>
              <w:overflowPunct w:val="0"/>
              <w:autoSpaceDE w:val="0"/>
              <w:autoSpaceDN w:val="0"/>
              <w:adjustRightInd w:val="0"/>
              <w:spacing w:before="0" w:after="0" w:line="229" w:lineRule="exact"/>
              <w:ind w:left="222" w:right="222"/>
              <w:jc w:val="center"/>
              <w:rPr>
                <w:rFonts w:asciiTheme="minorHAnsi" w:eastAsiaTheme="minorHAnsi" w:hAnsiTheme="minorHAnsi"/>
                <w:sz w:val="18"/>
                <w:szCs w:val="18"/>
              </w:rPr>
            </w:pPr>
            <w:r w:rsidRPr="00581DD3">
              <w:rPr>
                <w:rFonts w:asciiTheme="minorHAnsi" w:eastAsiaTheme="minorHAnsi" w:hAnsiTheme="minorHAnsi"/>
                <w:bCs/>
                <w:sz w:val="18"/>
                <w:szCs w:val="18"/>
              </w:rPr>
              <w:t>n</w:t>
            </w:r>
          </w:p>
        </w:tc>
        <w:tc>
          <w:tcPr>
            <w:tcW w:w="1449" w:type="dxa"/>
            <w:hideMark/>
          </w:tcPr>
          <w:p w14:paraId="42C0C71A" w14:textId="4C0CA274" w:rsidR="004E0756" w:rsidRPr="00581DD3" w:rsidRDefault="004E0756" w:rsidP="00854206">
            <w:pPr>
              <w:kinsoku w:val="0"/>
              <w:overflowPunct w:val="0"/>
              <w:autoSpaceDE w:val="0"/>
              <w:autoSpaceDN w:val="0"/>
              <w:adjustRightInd w:val="0"/>
              <w:spacing w:before="0" w:after="0" w:line="216" w:lineRule="auto"/>
              <w:jc w:val="center"/>
              <w:rPr>
                <w:rFonts w:asciiTheme="minorHAnsi" w:eastAsiaTheme="minorHAnsi" w:hAnsiTheme="minorHAnsi"/>
                <w:sz w:val="18"/>
                <w:szCs w:val="18"/>
              </w:rPr>
            </w:pPr>
            <w:r w:rsidRPr="00581DD3">
              <w:rPr>
                <w:rFonts w:asciiTheme="minorHAnsi" w:eastAsiaTheme="minorHAnsi" w:hAnsiTheme="minorHAnsi"/>
                <w:bCs/>
                <w:spacing w:val="-1"/>
                <w:sz w:val="18"/>
                <w:szCs w:val="18"/>
              </w:rPr>
              <w:t>Geometric</w:t>
            </w:r>
            <w:r w:rsidRPr="00581DD3">
              <w:rPr>
                <w:rFonts w:asciiTheme="minorHAnsi" w:eastAsiaTheme="minorHAnsi" w:hAnsiTheme="minorHAnsi"/>
                <w:bCs/>
                <w:spacing w:val="24"/>
                <w:sz w:val="18"/>
                <w:szCs w:val="18"/>
              </w:rPr>
              <w:t xml:space="preserve"> </w:t>
            </w:r>
            <w:r w:rsidRPr="00581DD3">
              <w:rPr>
                <w:rFonts w:asciiTheme="minorHAnsi" w:eastAsiaTheme="minorHAnsi" w:hAnsiTheme="minorHAnsi"/>
                <w:bCs/>
                <w:sz w:val="18"/>
                <w:szCs w:val="18"/>
              </w:rPr>
              <w:t>Mean</w:t>
            </w:r>
          </w:p>
        </w:tc>
        <w:tc>
          <w:tcPr>
            <w:tcW w:w="1396" w:type="dxa"/>
            <w:hideMark/>
          </w:tcPr>
          <w:p w14:paraId="78A2F779" w14:textId="3ABC29D9" w:rsidR="004E0756" w:rsidRPr="00581DD3" w:rsidRDefault="004E0756" w:rsidP="00854206">
            <w:pPr>
              <w:kinsoku w:val="0"/>
              <w:overflowPunct w:val="0"/>
              <w:autoSpaceDE w:val="0"/>
              <w:autoSpaceDN w:val="0"/>
              <w:adjustRightInd w:val="0"/>
              <w:spacing w:before="0" w:after="0" w:line="216" w:lineRule="auto"/>
              <w:ind w:left="102"/>
              <w:jc w:val="center"/>
              <w:rPr>
                <w:rFonts w:asciiTheme="minorHAnsi" w:eastAsiaTheme="minorHAnsi" w:hAnsiTheme="minorHAnsi"/>
                <w:sz w:val="18"/>
                <w:szCs w:val="18"/>
              </w:rPr>
            </w:pPr>
            <w:r w:rsidRPr="00581DD3">
              <w:rPr>
                <w:rFonts w:asciiTheme="minorHAnsi" w:eastAsiaTheme="minorHAnsi" w:hAnsiTheme="minorHAnsi"/>
                <w:bCs/>
                <w:spacing w:val="-1"/>
                <w:sz w:val="18"/>
                <w:szCs w:val="18"/>
              </w:rPr>
              <w:t>Ratio(%)</w:t>
            </w:r>
            <w:r w:rsidRPr="00581DD3">
              <w:rPr>
                <w:rFonts w:asciiTheme="minorHAnsi" w:eastAsiaTheme="minorHAnsi" w:hAnsiTheme="minorHAnsi"/>
                <w:bCs/>
                <w:sz w:val="18"/>
                <w:szCs w:val="18"/>
              </w:rPr>
              <w:t xml:space="preserve"> </w:t>
            </w:r>
            <w:r w:rsidRPr="00581DD3">
              <w:rPr>
                <w:rFonts w:asciiTheme="minorHAnsi" w:eastAsiaTheme="minorHAnsi" w:hAnsiTheme="minorHAnsi"/>
                <w:bCs/>
                <w:spacing w:val="-2"/>
                <w:sz w:val="18"/>
                <w:szCs w:val="18"/>
              </w:rPr>
              <w:t>of</w:t>
            </w:r>
            <w:r w:rsidRPr="00581DD3">
              <w:rPr>
                <w:rFonts w:asciiTheme="minorHAnsi" w:eastAsiaTheme="minorHAnsi" w:hAnsiTheme="minorHAnsi"/>
                <w:bCs/>
                <w:spacing w:val="22"/>
                <w:sz w:val="18"/>
                <w:szCs w:val="18"/>
              </w:rPr>
              <w:t xml:space="preserve"> </w:t>
            </w:r>
            <w:r w:rsidRPr="00581DD3">
              <w:rPr>
                <w:rFonts w:asciiTheme="minorHAnsi" w:eastAsiaTheme="minorHAnsi" w:hAnsiTheme="minorHAnsi"/>
                <w:bCs/>
                <w:spacing w:val="-1"/>
                <w:sz w:val="18"/>
                <w:szCs w:val="18"/>
              </w:rPr>
              <w:t>Geometric</w:t>
            </w:r>
            <w:r w:rsidRPr="00581DD3">
              <w:rPr>
                <w:rFonts w:asciiTheme="minorHAnsi" w:eastAsiaTheme="minorHAnsi" w:hAnsiTheme="minorHAnsi"/>
                <w:bCs/>
                <w:spacing w:val="24"/>
                <w:sz w:val="18"/>
                <w:szCs w:val="18"/>
              </w:rPr>
              <w:t xml:space="preserve"> </w:t>
            </w:r>
            <w:r w:rsidRPr="00581DD3">
              <w:rPr>
                <w:rFonts w:asciiTheme="minorHAnsi" w:eastAsiaTheme="minorHAnsi" w:hAnsiTheme="minorHAnsi"/>
                <w:bCs/>
                <w:sz w:val="18"/>
                <w:szCs w:val="18"/>
              </w:rPr>
              <w:t>Means</w:t>
            </w:r>
          </w:p>
        </w:tc>
        <w:tc>
          <w:tcPr>
            <w:tcW w:w="1519" w:type="dxa"/>
            <w:hideMark/>
          </w:tcPr>
          <w:p w14:paraId="1EFCE4A8" w14:textId="1D4C727A" w:rsidR="004E0756" w:rsidRPr="00581DD3" w:rsidRDefault="004E0756" w:rsidP="00854206">
            <w:pPr>
              <w:kinsoku w:val="0"/>
              <w:overflowPunct w:val="0"/>
              <w:autoSpaceDE w:val="0"/>
              <w:autoSpaceDN w:val="0"/>
              <w:adjustRightInd w:val="0"/>
              <w:spacing w:before="0" w:after="0" w:line="216" w:lineRule="auto"/>
              <w:ind w:left="227" w:right="0" w:hanging="227"/>
              <w:jc w:val="center"/>
              <w:rPr>
                <w:rFonts w:asciiTheme="minorHAnsi" w:eastAsiaTheme="minorHAnsi" w:hAnsiTheme="minorHAnsi"/>
                <w:bCs/>
                <w:spacing w:val="20"/>
                <w:sz w:val="18"/>
                <w:szCs w:val="18"/>
              </w:rPr>
            </w:pPr>
            <w:r w:rsidRPr="00581DD3">
              <w:rPr>
                <w:rFonts w:asciiTheme="minorHAnsi" w:eastAsiaTheme="minorHAnsi" w:hAnsiTheme="minorHAnsi"/>
                <w:bCs/>
                <w:sz w:val="18"/>
                <w:szCs w:val="18"/>
              </w:rPr>
              <w:t>95%</w:t>
            </w:r>
            <w:r w:rsidRPr="00581DD3">
              <w:rPr>
                <w:rFonts w:asciiTheme="minorHAnsi" w:eastAsiaTheme="minorHAnsi" w:hAnsiTheme="minorHAnsi"/>
                <w:bCs/>
                <w:spacing w:val="-3"/>
                <w:sz w:val="18"/>
                <w:szCs w:val="18"/>
              </w:rPr>
              <w:t xml:space="preserve"> </w:t>
            </w:r>
            <w:r w:rsidRPr="00581DD3">
              <w:rPr>
                <w:rFonts w:asciiTheme="minorHAnsi" w:eastAsiaTheme="minorHAnsi" w:hAnsiTheme="minorHAnsi"/>
                <w:bCs/>
                <w:spacing w:val="-1"/>
                <w:sz w:val="18"/>
                <w:szCs w:val="18"/>
              </w:rPr>
              <w:t>CI</w:t>
            </w:r>
            <w:r w:rsidRPr="00581DD3">
              <w:rPr>
                <w:rFonts w:asciiTheme="minorHAnsi" w:eastAsiaTheme="minorHAnsi" w:hAnsiTheme="minorHAnsi"/>
                <w:bCs/>
                <w:sz w:val="18"/>
                <w:szCs w:val="18"/>
              </w:rPr>
              <w:t xml:space="preserve"> </w:t>
            </w:r>
            <w:r w:rsidRPr="00581DD3">
              <w:rPr>
                <w:rFonts w:asciiTheme="minorHAnsi" w:eastAsiaTheme="minorHAnsi" w:hAnsiTheme="minorHAnsi"/>
                <w:bCs/>
                <w:spacing w:val="-1"/>
                <w:sz w:val="18"/>
                <w:szCs w:val="18"/>
              </w:rPr>
              <w:t>of</w:t>
            </w:r>
            <w:r w:rsidRPr="00581DD3">
              <w:rPr>
                <w:rFonts w:asciiTheme="minorHAnsi" w:eastAsiaTheme="minorHAnsi" w:hAnsiTheme="minorHAnsi"/>
                <w:bCs/>
                <w:spacing w:val="3"/>
                <w:sz w:val="18"/>
                <w:szCs w:val="18"/>
              </w:rPr>
              <w:t xml:space="preserve"> </w:t>
            </w:r>
            <w:r w:rsidRPr="00581DD3">
              <w:rPr>
                <w:rFonts w:asciiTheme="minorHAnsi" w:eastAsiaTheme="minorHAnsi" w:hAnsiTheme="minorHAnsi"/>
                <w:bCs/>
                <w:sz w:val="18"/>
                <w:szCs w:val="18"/>
              </w:rPr>
              <w:t>the</w:t>
            </w:r>
            <w:r>
              <w:rPr>
                <w:rFonts w:asciiTheme="minorHAnsi" w:eastAsiaTheme="minorHAnsi" w:hAnsiTheme="minorHAnsi"/>
                <w:bCs/>
                <w:spacing w:val="20"/>
                <w:sz w:val="18"/>
                <w:szCs w:val="18"/>
              </w:rPr>
              <w:t xml:space="preserve"> </w:t>
            </w:r>
            <w:r w:rsidR="002E551D" w:rsidRPr="00581DD3">
              <w:rPr>
                <w:rFonts w:asciiTheme="minorHAnsi" w:eastAsiaTheme="minorHAnsi" w:hAnsiTheme="minorHAnsi"/>
                <w:bCs/>
                <w:spacing w:val="-1"/>
                <w:sz w:val="18"/>
                <w:szCs w:val="18"/>
              </w:rPr>
              <w:t>Ratio (</w:t>
            </w:r>
            <w:r w:rsidRPr="00581DD3">
              <w:rPr>
                <w:rFonts w:asciiTheme="minorHAnsi" w:eastAsiaTheme="minorHAnsi" w:hAnsiTheme="minorHAnsi"/>
                <w:bCs/>
                <w:spacing w:val="-1"/>
                <w:sz w:val="18"/>
                <w:szCs w:val="18"/>
              </w:rPr>
              <w:t>%)</w:t>
            </w:r>
          </w:p>
        </w:tc>
      </w:tr>
      <w:tr w:rsidR="004E0756" w:rsidRPr="00581DD3" w14:paraId="6F46E3EA" w14:textId="5E94613B" w:rsidTr="00D73C7E">
        <w:trPr>
          <w:trHeight w:hRule="exact" w:val="239"/>
        </w:trPr>
        <w:tc>
          <w:tcPr>
            <w:tcW w:w="1590" w:type="dxa"/>
            <w:vMerge w:val="restart"/>
            <w:hideMark/>
          </w:tcPr>
          <w:p w14:paraId="3BC0B401" w14:textId="2B2B5538" w:rsidR="004E0756" w:rsidRPr="00581DD3" w:rsidRDefault="004E0756" w:rsidP="00854206">
            <w:pPr>
              <w:kinsoku w:val="0"/>
              <w:overflowPunct w:val="0"/>
              <w:autoSpaceDE w:val="0"/>
              <w:autoSpaceDN w:val="0"/>
              <w:adjustRightInd w:val="0"/>
              <w:spacing w:before="0" w:after="0" w:line="254" w:lineRule="exact"/>
              <w:ind w:left="0" w:right="0"/>
              <w:rPr>
                <w:rFonts w:asciiTheme="minorHAnsi" w:eastAsiaTheme="minorHAnsi" w:hAnsiTheme="minorHAnsi"/>
                <w:sz w:val="18"/>
                <w:szCs w:val="18"/>
              </w:rPr>
            </w:pPr>
            <w:proofErr w:type="spellStart"/>
            <w:r w:rsidRPr="00581DD3">
              <w:rPr>
                <w:rFonts w:asciiTheme="minorHAnsi" w:hAnsiTheme="minorHAnsi"/>
                <w:sz w:val="18"/>
                <w:szCs w:val="18"/>
              </w:rPr>
              <w:t>AUC</w:t>
            </w:r>
            <w:r w:rsidRPr="00581DD3">
              <w:rPr>
                <w:rFonts w:asciiTheme="minorHAnsi" w:hAnsiTheme="minorHAnsi"/>
                <w:sz w:val="18"/>
                <w:szCs w:val="18"/>
                <w:vertAlign w:val="subscript"/>
              </w:rPr>
              <w:t>τ</w:t>
            </w:r>
            <w:proofErr w:type="spellEnd"/>
            <w:r w:rsidRPr="00581DD3">
              <w:rPr>
                <w:rFonts w:asciiTheme="minorHAnsi" w:eastAsiaTheme="minorHAnsi" w:hAnsiTheme="minorHAnsi"/>
                <w:spacing w:val="-1"/>
                <w:sz w:val="18"/>
                <w:szCs w:val="18"/>
              </w:rPr>
              <w:t>(hr*g/mL)</w:t>
            </w:r>
          </w:p>
        </w:tc>
        <w:tc>
          <w:tcPr>
            <w:tcW w:w="1604" w:type="dxa"/>
            <w:hideMark/>
          </w:tcPr>
          <w:p w14:paraId="6AC65391" w14:textId="66B4E085" w:rsidR="004E0756" w:rsidRPr="00581DD3" w:rsidRDefault="004E0756" w:rsidP="00854206">
            <w:pPr>
              <w:kinsoku w:val="0"/>
              <w:overflowPunct w:val="0"/>
              <w:autoSpaceDE w:val="0"/>
              <w:autoSpaceDN w:val="0"/>
              <w:adjustRightInd w:val="0"/>
              <w:spacing w:before="0" w:after="0" w:line="224" w:lineRule="exact"/>
              <w:ind w:left="102"/>
              <w:rPr>
                <w:rFonts w:asciiTheme="minorHAnsi" w:eastAsiaTheme="minorHAnsi" w:hAnsiTheme="minorHAnsi"/>
                <w:sz w:val="18"/>
                <w:szCs w:val="18"/>
              </w:rPr>
            </w:pPr>
            <w:r w:rsidRPr="00581DD3">
              <w:rPr>
                <w:rFonts w:asciiTheme="minorHAnsi" w:eastAsiaTheme="minorHAnsi" w:hAnsiTheme="minorHAnsi"/>
                <w:spacing w:val="-1"/>
                <w:sz w:val="18"/>
                <w:szCs w:val="18"/>
              </w:rPr>
              <w:t>CT-P13</w:t>
            </w:r>
          </w:p>
        </w:tc>
        <w:tc>
          <w:tcPr>
            <w:tcW w:w="641" w:type="dxa"/>
            <w:hideMark/>
          </w:tcPr>
          <w:p w14:paraId="5580CD46" w14:textId="24B2AE4E" w:rsidR="004E0756" w:rsidRPr="00581DD3" w:rsidRDefault="004E0756" w:rsidP="00854206">
            <w:pPr>
              <w:kinsoku w:val="0"/>
              <w:overflowPunct w:val="0"/>
              <w:autoSpaceDE w:val="0"/>
              <w:autoSpaceDN w:val="0"/>
              <w:adjustRightInd w:val="0"/>
              <w:spacing w:before="0" w:after="0" w:line="224" w:lineRule="exact"/>
              <w:ind w:left="224" w:right="222"/>
              <w:jc w:val="center"/>
              <w:rPr>
                <w:rFonts w:asciiTheme="minorHAnsi" w:eastAsiaTheme="minorHAnsi" w:hAnsiTheme="minorHAnsi"/>
                <w:sz w:val="18"/>
                <w:szCs w:val="18"/>
              </w:rPr>
            </w:pPr>
            <w:r w:rsidRPr="00581DD3">
              <w:rPr>
                <w:rFonts w:asciiTheme="minorHAnsi" w:eastAsiaTheme="minorHAnsi" w:hAnsiTheme="minorHAnsi"/>
                <w:sz w:val="18"/>
                <w:szCs w:val="18"/>
              </w:rPr>
              <w:t>32</w:t>
            </w:r>
          </w:p>
        </w:tc>
        <w:tc>
          <w:tcPr>
            <w:tcW w:w="1449" w:type="dxa"/>
            <w:hideMark/>
          </w:tcPr>
          <w:p w14:paraId="494FC9F9" w14:textId="1F88C614" w:rsidR="004E0756" w:rsidRPr="00581DD3" w:rsidRDefault="004E0756" w:rsidP="00854206">
            <w:pPr>
              <w:kinsoku w:val="0"/>
              <w:overflowPunct w:val="0"/>
              <w:autoSpaceDE w:val="0"/>
              <w:autoSpaceDN w:val="0"/>
              <w:adjustRightInd w:val="0"/>
              <w:spacing w:before="0" w:after="0" w:line="224" w:lineRule="exact"/>
              <w:ind w:left="0"/>
              <w:rPr>
                <w:rFonts w:asciiTheme="minorHAnsi" w:eastAsiaTheme="minorHAnsi" w:hAnsiTheme="minorHAnsi"/>
                <w:sz w:val="18"/>
                <w:szCs w:val="18"/>
              </w:rPr>
            </w:pPr>
            <w:r w:rsidRPr="00581DD3">
              <w:rPr>
                <w:rFonts w:asciiTheme="minorHAnsi" w:eastAsiaTheme="minorHAnsi" w:hAnsiTheme="minorHAnsi"/>
                <w:sz w:val="18"/>
                <w:szCs w:val="18"/>
              </w:rPr>
              <w:t>22683.33</w:t>
            </w:r>
          </w:p>
        </w:tc>
        <w:tc>
          <w:tcPr>
            <w:tcW w:w="1396" w:type="dxa"/>
            <w:vMerge w:val="restart"/>
            <w:hideMark/>
          </w:tcPr>
          <w:p w14:paraId="1504439B" w14:textId="3FF92FB9" w:rsidR="004E0756" w:rsidRPr="00581DD3" w:rsidRDefault="004E0756" w:rsidP="00854206">
            <w:pPr>
              <w:kinsoku w:val="0"/>
              <w:overflowPunct w:val="0"/>
              <w:autoSpaceDE w:val="0"/>
              <w:autoSpaceDN w:val="0"/>
              <w:adjustRightInd w:val="0"/>
              <w:spacing w:before="0" w:after="0" w:line="224" w:lineRule="exact"/>
              <w:ind w:left="471"/>
              <w:rPr>
                <w:rFonts w:asciiTheme="minorHAnsi" w:eastAsiaTheme="minorHAnsi" w:hAnsiTheme="minorHAnsi"/>
                <w:sz w:val="18"/>
                <w:szCs w:val="18"/>
              </w:rPr>
            </w:pPr>
            <w:r w:rsidRPr="00581DD3">
              <w:rPr>
                <w:rFonts w:asciiTheme="minorHAnsi" w:eastAsiaTheme="minorHAnsi" w:hAnsiTheme="minorHAnsi"/>
                <w:sz w:val="18"/>
                <w:szCs w:val="18"/>
              </w:rPr>
              <w:t>108.28</w:t>
            </w:r>
          </w:p>
        </w:tc>
        <w:tc>
          <w:tcPr>
            <w:tcW w:w="1519" w:type="dxa"/>
            <w:vMerge w:val="restart"/>
            <w:hideMark/>
          </w:tcPr>
          <w:p w14:paraId="5FA2453B" w14:textId="36AE7A3E" w:rsidR="004E0756" w:rsidRPr="00581DD3" w:rsidRDefault="004E0756" w:rsidP="00854206">
            <w:pPr>
              <w:kinsoku w:val="0"/>
              <w:overflowPunct w:val="0"/>
              <w:autoSpaceDE w:val="0"/>
              <w:autoSpaceDN w:val="0"/>
              <w:adjustRightInd w:val="0"/>
              <w:spacing w:before="0" w:after="0" w:line="223" w:lineRule="exact"/>
              <w:ind w:left="0" w:right="0"/>
              <w:rPr>
                <w:rFonts w:asciiTheme="minorHAnsi" w:eastAsiaTheme="minorHAnsi" w:hAnsiTheme="minorHAnsi"/>
                <w:sz w:val="18"/>
                <w:szCs w:val="18"/>
              </w:rPr>
            </w:pPr>
            <w:r>
              <w:rPr>
                <w:rFonts w:asciiTheme="minorHAnsi" w:eastAsiaTheme="minorHAnsi" w:hAnsiTheme="minorHAnsi"/>
                <w:sz w:val="18"/>
                <w:szCs w:val="18"/>
              </w:rPr>
              <w:t>85.25 to</w:t>
            </w:r>
            <w:r w:rsidRPr="00581DD3">
              <w:rPr>
                <w:rFonts w:asciiTheme="minorHAnsi" w:eastAsiaTheme="minorHAnsi" w:hAnsiTheme="minorHAnsi"/>
                <w:spacing w:val="-4"/>
                <w:sz w:val="18"/>
                <w:szCs w:val="18"/>
              </w:rPr>
              <w:t xml:space="preserve"> </w:t>
            </w:r>
            <w:r w:rsidRPr="00581DD3">
              <w:rPr>
                <w:rFonts w:asciiTheme="minorHAnsi" w:eastAsiaTheme="minorHAnsi" w:hAnsiTheme="minorHAnsi"/>
                <w:sz w:val="18"/>
                <w:szCs w:val="18"/>
              </w:rPr>
              <w:t>137.54</w:t>
            </w:r>
          </w:p>
        </w:tc>
      </w:tr>
      <w:tr w:rsidR="004E0756" w:rsidRPr="00581DD3" w14:paraId="06DF8E4B" w14:textId="0A071C5C" w:rsidTr="00D73C7E">
        <w:trPr>
          <w:trHeight w:hRule="exact" w:val="250"/>
        </w:trPr>
        <w:tc>
          <w:tcPr>
            <w:tcW w:w="1590" w:type="dxa"/>
            <w:vMerge/>
            <w:hideMark/>
          </w:tcPr>
          <w:p w14:paraId="0DA26F0A" w14:textId="7D6303EC" w:rsidR="004E0756" w:rsidRPr="00581DD3" w:rsidRDefault="004E0756" w:rsidP="00053448">
            <w:pPr>
              <w:rPr>
                <w:rFonts w:asciiTheme="minorHAnsi" w:eastAsiaTheme="minorHAnsi" w:hAnsiTheme="minorHAnsi"/>
                <w:sz w:val="18"/>
                <w:szCs w:val="18"/>
              </w:rPr>
            </w:pPr>
          </w:p>
        </w:tc>
        <w:tc>
          <w:tcPr>
            <w:tcW w:w="1604" w:type="dxa"/>
            <w:hideMark/>
          </w:tcPr>
          <w:p w14:paraId="2B8A7CD2" w14:textId="7422DA4F" w:rsidR="004E0756" w:rsidRPr="00581DD3" w:rsidRDefault="004E0756" w:rsidP="00854206">
            <w:pPr>
              <w:kinsoku w:val="0"/>
              <w:overflowPunct w:val="0"/>
              <w:autoSpaceDE w:val="0"/>
              <w:autoSpaceDN w:val="0"/>
              <w:adjustRightInd w:val="0"/>
              <w:spacing w:before="0" w:after="0" w:line="241" w:lineRule="exact"/>
              <w:ind w:left="102"/>
              <w:rPr>
                <w:rFonts w:asciiTheme="minorHAnsi" w:eastAsiaTheme="minorHAnsi" w:hAnsiTheme="minorHAnsi"/>
                <w:sz w:val="18"/>
                <w:szCs w:val="18"/>
              </w:rPr>
            </w:pPr>
            <w:r w:rsidRPr="00581DD3">
              <w:rPr>
                <w:rFonts w:asciiTheme="minorHAnsi" w:eastAsiaTheme="minorHAnsi" w:hAnsiTheme="minorHAnsi"/>
                <w:spacing w:val="-1"/>
                <w:sz w:val="18"/>
                <w:szCs w:val="18"/>
              </w:rPr>
              <w:t>Remicade</w:t>
            </w:r>
          </w:p>
        </w:tc>
        <w:tc>
          <w:tcPr>
            <w:tcW w:w="641" w:type="dxa"/>
            <w:hideMark/>
          </w:tcPr>
          <w:p w14:paraId="7AE341E0" w14:textId="31908B87" w:rsidR="004E0756" w:rsidRPr="00581DD3" w:rsidRDefault="004E0756" w:rsidP="00854206">
            <w:pPr>
              <w:kinsoku w:val="0"/>
              <w:overflowPunct w:val="0"/>
              <w:autoSpaceDE w:val="0"/>
              <w:autoSpaceDN w:val="0"/>
              <w:adjustRightInd w:val="0"/>
              <w:spacing w:before="0" w:after="0" w:line="224" w:lineRule="exact"/>
              <w:ind w:left="224" w:right="222"/>
              <w:jc w:val="center"/>
              <w:rPr>
                <w:rFonts w:asciiTheme="minorHAnsi" w:eastAsiaTheme="minorHAnsi" w:hAnsiTheme="minorHAnsi"/>
                <w:sz w:val="18"/>
                <w:szCs w:val="18"/>
              </w:rPr>
            </w:pPr>
            <w:r w:rsidRPr="00581DD3">
              <w:rPr>
                <w:rFonts w:asciiTheme="minorHAnsi" w:eastAsiaTheme="minorHAnsi" w:hAnsiTheme="minorHAnsi"/>
                <w:sz w:val="18"/>
                <w:szCs w:val="18"/>
              </w:rPr>
              <w:t>34</w:t>
            </w:r>
          </w:p>
        </w:tc>
        <w:tc>
          <w:tcPr>
            <w:tcW w:w="1449" w:type="dxa"/>
            <w:hideMark/>
          </w:tcPr>
          <w:p w14:paraId="7B633A6A" w14:textId="3410A4BE" w:rsidR="004E0756" w:rsidRPr="00581DD3" w:rsidRDefault="004E0756" w:rsidP="00854206">
            <w:pPr>
              <w:kinsoku w:val="0"/>
              <w:overflowPunct w:val="0"/>
              <w:autoSpaceDE w:val="0"/>
              <w:autoSpaceDN w:val="0"/>
              <w:adjustRightInd w:val="0"/>
              <w:spacing w:before="0" w:after="0" w:line="224" w:lineRule="exact"/>
              <w:ind w:left="0"/>
              <w:rPr>
                <w:rFonts w:asciiTheme="minorHAnsi" w:eastAsiaTheme="minorHAnsi" w:hAnsiTheme="minorHAnsi"/>
                <w:sz w:val="18"/>
                <w:szCs w:val="18"/>
              </w:rPr>
            </w:pPr>
            <w:r w:rsidRPr="00581DD3">
              <w:rPr>
                <w:rFonts w:asciiTheme="minorHAnsi" w:eastAsiaTheme="minorHAnsi" w:hAnsiTheme="minorHAnsi"/>
                <w:sz w:val="18"/>
                <w:szCs w:val="18"/>
              </w:rPr>
              <w:t>20948.01</w:t>
            </w:r>
          </w:p>
        </w:tc>
        <w:tc>
          <w:tcPr>
            <w:tcW w:w="1396" w:type="dxa"/>
            <w:vMerge/>
            <w:hideMark/>
          </w:tcPr>
          <w:p w14:paraId="28C4E115" w14:textId="7D8CD720" w:rsidR="004E0756" w:rsidRPr="00581DD3" w:rsidRDefault="004E0756" w:rsidP="00053448">
            <w:pPr>
              <w:rPr>
                <w:rFonts w:asciiTheme="minorHAnsi" w:eastAsiaTheme="minorHAnsi" w:hAnsiTheme="minorHAnsi"/>
                <w:sz w:val="18"/>
                <w:szCs w:val="18"/>
              </w:rPr>
            </w:pPr>
          </w:p>
        </w:tc>
        <w:tc>
          <w:tcPr>
            <w:tcW w:w="1519" w:type="dxa"/>
            <w:vMerge/>
            <w:hideMark/>
          </w:tcPr>
          <w:p w14:paraId="23FB9DC0" w14:textId="1F25D91E" w:rsidR="004E0756" w:rsidRPr="00581DD3" w:rsidRDefault="004E0756" w:rsidP="00053448">
            <w:pPr>
              <w:rPr>
                <w:rFonts w:asciiTheme="minorHAnsi" w:eastAsiaTheme="minorHAnsi" w:hAnsiTheme="minorHAnsi"/>
                <w:sz w:val="18"/>
                <w:szCs w:val="18"/>
              </w:rPr>
            </w:pPr>
          </w:p>
        </w:tc>
      </w:tr>
      <w:tr w:rsidR="004E0756" w:rsidRPr="00581DD3" w14:paraId="7F5182C8" w14:textId="0450EF6E" w:rsidTr="00D73C7E">
        <w:trPr>
          <w:trHeight w:hRule="exact" w:val="230"/>
        </w:trPr>
        <w:tc>
          <w:tcPr>
            <w:tcW w:w="1590" w:type="dxa"/>
            <w:vMerge w:val="restart"/>
            <w:hideMark/>
          </w:tcPr>
          <w:p w14:paraId="496287EC" w14:textId="626176AE" w:rsidR="004E0756" w:rsidRPr="00581DD3" w:rsidRDefault="004E0756" w:rsidP="00854206">
            <w:pPr>
              <w:kinsoku w:val="0"/>
              <w:overflowPunct w:val="0"/>
              <w:autoSpaceDE w:val="0"/>
              <w:autoSpaceDN w:val="0"/>
              <w:adjustRightInd w:val="0"/>
              <w:spacing w:before="0" w:after="0" w:line="254" w:lineRule="exact"/>
              <w:ind w:left="0" w:right="0"/>
              <w:rPr>
                <w:rFonts w:asciiTheme="minorHAnsi" w:eastAsiaTheme="minorHAnsi" w:hAnsiTheme="minorHAnsi"/>
                <w:sz w:val="18"/>
                <w:szCs w:val="18"/>
              </w:rPr>
            </w:pPr>
            <w:r w:rsidRPr="00581DD3">
              <w:rPr>
                <w:rFonts w:asciiTheme="minorHAnsi" w:eastAsiaTheme="minorHAnsi" w:hAnsiTheme="minorHAnsi"/>
                <w:spacing w:val="-2"/>
                <w:sz w:val="18"/>
                <w:szCs w:val="18"/>
              </w:rPr>
              <w:t>C</w:t>
            </w:r>
            <w:r w:rsidRPr="00581DD3">
              <w:rPr>
                <w:rFonts w:asciiTheme="minorHAnsi" w:eastAsiaTheme="minorHAnsi" w:hAnsiTheme="minorHAnsi"/>
                <w:spacing w:val="-2"/>
                <w:position w:val="-3"/>
                <w:sz w:val="18"/>
                <w:szCs w:val="18"/>
              </w:rPr>
              <w:t>max,</w:t>
            </w:r>
            <w:r w:rsidRPr="00581DD3">
              <w:rPr>
                <w:rFonts w:asciiTheme="minorHAnsi" w:eastAsiaTheme="minorHAnsi" w:hAnsiTheme="minorHAnsi"/>
                <w:position w:val="-3"/>
                <w:sz w:val="18"/>
                <w:szCs w:val="18"/>
              </w:rPr>
              <w:t xml:space="preserve"> </w:t>
            </w:r>
            <w:proofErr w:type="spellStart"/>
            <w:r w:rsidRPr="00581DD3">
              <w:rPr>
                <w:rFonts w:asciiTheme="minorHAnsi" w:eastAsiaTheme="minorHAnsi" w:hAnsiTheme="minorHAnsi"/>
                <w:position w:val="-3"/>
                <w:sz w:val="18"/>
                <w:szCs w:val="18"/>
              </w:rPr>
              <w:t>ss</w:t>
            </w:r>
            <w:proofErr w:type="spellEnd"/>
            <w:r w:rsidRPr="00581DD3">
              <w:rPr>
                <w:rFonts w:asciiTheme="minorHAnsi" w:eastAsiaTheme="minorHAnsi" w:hAnsiTheme="minorHAnsi"/>
                <w:position w:val="-3"/>
                <w:sz w:val="18"/>
                <w:szCs w:val="18"/>
              </w:rPr>
              <w:t xml:space="preserve"> </w:t>
            </w:r>
            <w:r w:rsidRPr="00581DD3">
              <w:rPr>
                <w:rFonts w:asciiTheme="minorHAnsi" w:eastAsiaTheme="minorHAnsi" w:hAnsiTheme="minorHAnsi"/>
                <w:spacing w:val="-1"/>
                <w:sz w:val="18"/>
                <w:szCs w:val="18"/>
              </w:rPr>
              <w:t>(g/mL)</w:t>
            </w:r>
          </w:p>
        </w:tc>
        <w:tc>
          <w:tcPr>
            <w:tcW w:w="1604" w:type="dxa"/>
            <w:hideMark/>
          </w:tcPr>
          <w:p w14:paraId="640536CF" w14:textId="00F54A7F" w:rsidR="004E0756" w:rsidRPr="00581DD3" w:rsidRDefault="004E0756" w:rsidP="00854206">
            <w:pPr>
              <w:kinsoku w:val="0"/>
              <w:overflowPunct w:val="0"/>
              <w:autoSpaceDE w:val="0"/>
              <w:autoSpaceDN w:val="0"/>
              <w:adjustRightInd w:val="0"/>
              <w:spacing w:before="0" w:after="0" w:line="225" w:lineRule="exact"/>
              <w:ind w:left="102"/>
              <w:rPr>
                <w:rFonts w:asciiTheme="minorHAnsi" w:eastAsiaTheme="minorHAnsi" w:hAnsiTheme="minorHAnsi"/>
                <w:sz w:val="18"/>
                <w:szCs w:val="18"/>
              </w:rPr>
            </w:pPr>
            <w:r w:rsidRPr="00581DD3">
              <w:rPr>
                <w:rFonts w:asciiTheme="minorHAnsi" w:eastAsiaTheme="minorHAnsi" w:hAnsiTheme="minorHAnsi"/>
                <w:spacing w:val="-1"/>
                <w:sz w:val="18"/>
                <w:szCs w:val="18"/>
              </w:rPr>
              <w:t>CT-P13</w:t>
            </w:r>
          </w:p>
        </w:tc>
        <w:tc>
          <w:tcPr>
            <w:tcW w:w="641" w:type="dxa"/>
            <w:hideMark/>
          </w:tcPr>
          <w:p w14:paraId="37148761" w14:textId="380E3413" w:rsidR="004E0756" w:rsidRPr="00581DD3" w:rsidRDefault="004E0756" w:rsidP="00854206">
            <w:pPr>
              <w:kinsoku w:val="0"/>
              <w:overflowPunct w:val="0"/>
              <w:autoSpaceDE w:val="0"/>
              <w:autoSpaceDN w:val="0"/>
              <w:adjustRightInd w:val="0"/>
              <w:spacing w:before="0" w:after="0" w:line="225" w:lineRule="exact"/>
              <w:ind w:left="224" w:right="222"/>
              <w:jc w:val="center"/>
              <w:rPr>
                <w:rFonts w:asciiTheme="minorHAnsi" w:eastAsiaTheme="minorHAnsi" w:hAnsiTheme="minorHAnsi"/>
                <w:sz w:val="18"/>
                <w:szCs w:val="18"/>
              </w:rPr>
            </w:pPr>
            <w:r w:rsidRPr="00581DD3">
              <w:rPr>
                <w:rFonts w:asciiTheme="minorHAnsi" w:eastAsiaTheme="minorHAnsi" w:hAnsiTheme="minorHAnsi"/>
                <w:sz w:val="18"/>
                <w:szCs w:val="18"/>
              </w:rPr>
              <w:t>32</w:t>
            </w:r>
          </w:p>
        </w:tc>
        <w:tc>
          <w:tcPr>
            <w:tcW w:w="1449" w:type="dxa"/>
            <w:hideMark/>
          </w:tcPr>
          <w:p w14:paraId="299A6876" w14:textId="0D304717" w:rsidR="004E0756" w:rsidRPr="00581DD3" w:rsidRDefault="004E0756" w:rsidP="00854206">
            <w:pPr>
              <w:kinsoku w:val="0"/>
              <w:overflowPunct w:val="0"/>
              <w:autoSpaceDE w:val="0"/>
              <w:autoSpaceDN w:val="0"/>
              <w:adjustRightInd w:val="0"/>
              <w:spacing w:before="0" w:after="0" w:line="225" w:lineRule="exact"/>
              <w:ind w:left="0"/>
              <w:rPr>
                <w:rFonts w:asciiTheme="minorHAnsi" w:eastAsiaTheme="minorHAnsi" w:hAnsiTheme="minorHAnsi"/>
                <w:sz w:val="18"/>
                <w:szCs w:val="18"/>
              </w:rPr>
            </w:pPr>
            <w:r w:rsidRPr="00581DD3">
              <w:rPr>
                <w:rFonts w:asciiTheme="minorHAnsi" w:eastAsiaTheme="minorHAnsi" w:hAnsiTheme="minorHAnsi"/>
                <w:sz w:val="18"/>
                <w:szCs w:val="18"/>
              </w:rPr>
              <w:t>131.8</w:t>
            </w:r>
          </w:p>
        </w:tc>
        <w:tc>
          <w:tcPr>
            <w:tcW w:w="1396" w:type="dxa"/>
            <w:vMerge w:val="restart"/>
            <w:hideMark/>
          </w:tcPr>
          <w:p w14:paraId="23A630A4" w14:textId="4F30FDA9" w:rsidR="004E0756" w:rsidRPr="00581DD3" w:rsidRDefault="004E0756" w:rsidP="00854206">
            <w:pPr>
              <w:kinsoku w:val="0"/>
              <w:overflowPunct w:val="0"/>
              <w:autoSpaceDE w:val="0"/>
              <w:autoSpaceDN w:val="0"/>
              <w:adjustRightInd w:val="0"/>
              <w:spacing w:before="0" w:after="0" w:line="225" w:lineRule="exact"/>
              <w:jc w:val="center"/>
              <w:rPr>
                <w:rFonts w:asciiTheme="minorHAnsi" w:eastAsiaTheme="minorHAnsi" w:hAnsiTheme="minorHAnsi"/>
                <w:sz w:val="18"/>
                <w:szCs w:val="18"/>
              </w:rPr>
            </w:pPr>
            <w:r w:rsidRPr="00581DD3">
              <w:rPr>
                <w:rFonts w:asciiTheme="minorHAnsi" w:eastAsiaTheme="minorHAnsi" w:hAnsiTheme="minorHAnsi"/>
                <w:sz w:val="18"/>
                <w:szCs w:val="18"/>
              </w:rPr>
              <w:t>96.96</w:t>
            </w:r>
          </w:p>
        </w:tc>
        <w:tc>
          <w:tcPr>
            <w:tcW w:w="1519" w:type="dxa"/>
            <w:vMerge w:val="restart"/>
            <w:hideMark/>
          </w:tcPr>
          <w:p w14:paraId="39A4B8C7" w14:textId="20CD7011" w:rsidR="004E0756" w:rsidRPr="00581DD3" w:rsidRDefault="004E0756" w:rsidP="00854206">
            <w:pPr>
              <w:kinsoku w:val="0"/>
              <w:overflowPunct w:val="0"/>
              <w:autoSpaceDE w:val="0"/>
              <w:autoSpaceDN w:val="0"/>
              <w:adjustRightInd w:val="0"/>
              <w:spacing w:before="0" w:after="0" w:line="225" w:lineRule="exact"/>
              <w:ind w:left="0" w:right="0"/>
              <w:rPr>
                <w:rFonts w:asciiTheme="minorHAnsi" w:eastAsiaTheme="minorHAnsi" w:hAnsiTheme="minorHAnsi"/>
                <w:sz w:val="18"/>
                <w:szCs w:val="18"/>
              </w:rPr>
            </w:pPr>
            <w:r>
              <w:rPr>
                <w:rFonts w:asciiTheme="minorHAnsi" w:eastAsiaTheme="minorHAnsi" w:hAnsiTheme="minorHAnsi"/>
                <w:spacing w:val="-1"/>
                <w:sz w:val="18"/>
                <w:szCs w:val="18"/>
              </w:rPr>
              <w:t xml:space="preserve">82.15 to </w:t>
            </w:r>
            <w:r w:rsidRPr="00581DD3">
              <w:rPr>
                <w:rFonts w:asciiTheme="minorHAnsi" w:eastAsiaTheme="minorHAnsi" w:hAnsiTheme="minorHAnsi"/>
                <w:spacing w:val="-1"/>
                <w:sz w:val="18"/>
                <w:szCs w:val="18"/>
              </w:rPr>
              <w:t>114.44</w:t>
            </w:r>
          </w:p>
        </w:tc>
      </w:tr>
      <w:tr w:rsidR="004E0756" w:rsidRPr="00581DD3" w14:paraId="39398127" w14:textId="1A257A35" w:rsidTr="009F4AB2">
        <w:trPr>
          <w:trHeight w:hRule="exact" w:val="286"/>
        </w:trPr>
        <w:tc>
          <w:tcPr>
            <w:tcW w:w="1590" w:type="dxa"/>
            <w:vMerge/>
            <w:hideMark/>
          </w:tcPr>
          <w:p w14:paraId="75132059" w14:textId="2FFE0BBB" w:rsidR="004E0756" w:rsidRPr="00581DD3" w:rsidRDefault="004E0756" w:rsidP="00053448">
            <w:pPr>
              <w:rPr>
                <w:rFonts w:asciiTheme="minorHAnsi" w:eastAsiaTheme="minorHAnsi" w:hAnsiTheme="minorHAnsi"/>
                <w:sz w:val="18"/>
                <w:szCs w:val="18"/>
              </w:rPr>
            </w:pPr>
          </w:p>
        </w:tc>
        <w:tc>
          <w:tcPr>
            <w:tcW w:w="1604" w:type="dxa"/>
            <w:hideMark/>
          </w:tcPr>
          <w:p w14:paraId="79CCF389" w14:textId="77BC7140" w:rsidR="004E0756" w:rsidRPr="00581DD3" w:rsidRDefault="004E0756" w:rsidP="00854206">
            <w:pPr>
              <w:kinsoku w:val="0"/>
              <w:overflowPunct w:val="0"/>
              <w:autoSpaceDE w:val="0"/>
              <w:autoSpaceDN w:val="0"/>
              <w:adjustRightInd w:val="0"/>
              <w:spacing w:before="0" w:after="0" w:line="241" w:lineRule="exact"/>
              <w:ind w:left="102"/>
              <w:rPr>
                <w:rFonts w:asciiTheme="minorHAnsi" w:eastAsiaTheme="minorHAnsi" w:hAnsiTheme="minorHAnsi"/>
                <w:sz w:val="18"/>
                <w:szCs w:val="18"/>
              </w:rPr>
            </w:pPr>
            <w:r w:rsidRPr="00581DD3">
              <w:rPr>
                <w:rFonts w:asciiTheme="minorHAnsi" w:eastAsiaTheme="minorHAnsi" w:hAnsiTheme="minorHAnsi"/>
                <w:spacing w:val="-1"/>
                <w:sz w:val="18"/>
                <w:szCs w:val="18"/>
              </w:rPr>
              <w:t>Remicade</w:t>
            </w:r>
          </w:p>
        </w:tc>
        <w:tc>
          <w:tcPr>
            <w:tcW w:w="641" w:type="dxa"/>
            <w:hideMark/>
          </w:tcPr>
          <w:p w14:paraId="46A7BCB0" w14:textId="3D97ADE4" w:rsidR="004E0756" w:rsidRPr="00581DD3" w:rsidRDefault="004E0756" w:rsidP="00854206">
            <w:pPr>
              <w:kinsoku w:val="0"/>
              <w:overflowPunct w:val="0"/>
              <w:autoSpaceDE w:val="0"/>
              <w:autoSpaceDN w:val="0"/>
              <w:adjustRightInd w:val="0"/>
              <w:spacing w:before="0" w:after="0" w:line="224" w:lineRule="exact"/>
              <w:ind w:left="224" w:right="222"/>
              <w:jc w:val="center"/>
              <w:rPr>
                <w:rFonts w:asciiTheme="minorHAnsi" w:eastAsiaTheme="minorHAnsi" w:hAnsiTheme="minorHAnsi"/>
                <w:sz w:val="18"/>
                <w:szCs w:val="18"/>
              </w:rPr>
            </w:pPr>
            <w:r w:rsidRPr="00581DD3">
              <w:rPr>
                <w:rFonts w:asciiTheme="minorHAnsi" w:eastAsiaTheme="minorHAnsi" w:hAnsiTheme="minorHAnsi"/>
                <w:sz w:val="18"/>
                <w:szCs w:val="18"/>
              </w:rPr>
              <w:t>34</w:t>
            </w:r>
          </w:p>
        </w:tc>
        <w:tc>
          <w:tcPr>
            <w:tcW w:w="1449" w:type="dxa"/>
            <w:hideMark/>
          </w:tcPr>
          <w:p w14:paraId="2BFE97C3" w14:textId="5FD95856" w:rsidR="004E0756" w:rsidRPr="00581DD3" w:rsidRDefault="004E0756" w:rsidP="00854206">
            <w:pPr>
              <w:kinsoku w:val="0"/>
              <w:overflowPunct w:val="0"/>
              <w:autoSpaceDE w:val="0"/>
              <w:autoSpaceDN w:val="0"/>
              <w:adjustRightInd w:val="0"/>
              <w:spacing w:before="0" w:after="0" w:line="224" w:lineRule="exact"/>
              <w:ind w:left="0"/>
              <w:rPr>
                <w:rFonts w:asciiTheme="minorHAnsi" w:eastAsiaTheme="minorHAnsi" w:hAnsiTheme="minorHAnsi"/>
                <w:sz w:val="18"/>
                <w:szCs w:val="18"/>
              </w:rPr>
            </w:pPr>
            <w:r w:rsidRPr="00581DD3">
              <w:rPr>
                <w:rFonts w:asciiTheme="minorHAnsi" w:eastAsiaTheme="minorHAnsi" w:hAnsiTheme="minorHAnsi"/>
                <w:sz w:val="18"/>
                <w:szCs w:val="18"/>
              </w:rPr>
              <w:t>135.92</w:t>
            </w:r>
          </w:p>
        </w:tc>
        <w:tc>
          <w:tcPr>
            <w:tcW w:w="1396" w:type="dxa"/>
            <w:vMerge/>
            <w:hideMark/>
          </w:tcPr>
          <w:p w14:paraId="6110D5ED" w14:textId="301EB322" w:rsidR="004E0756" w:rsidRPr="00581DD3" w:rsidRDefault="004E0756" w:rsidP="00053448">
            <w:pPr>
              <w:rPr>
                <w:rFonts w:asciiTheme="minorHAnsi" w:eastAsiaTheme="minorHAnsi" w:hAnsiTheme="minorHAnsi"/>
                <w:sz w:val="18"/>
                <w:szCs w:val="18"/>
              </w:rPr>
            </w:pPr>
          </w:p>
        </w:tc>
        <w:tc>
          <w:tcPr>
            <w:tcW w:w="1519" w:type="dxa"/>
            <w:vMerge/>
            <w:hideMark/>
          </w:tcPr>
          <w:p w14:paraId="5DEBC6E1" w14:textId="24CAFBAA" w:rsidR="004E0756" w:rsidRPr="00581DD3" w:rsidRDefault="004E0756" w:rsidP="00053448">
            <w:pPr>
              <w:rPr>
                <w:rFonts w:asciiTheme="minorHAnsi" w:eastAsiaTheme="minorHAnsi" w:hAnsiTheme="minorHAnsi"/>
                <w:sz w:val="18"/>
                <w:szCs w:val="18"/>
              </w:rPr>
            </w:pPr>
          </w:p>
        </w:tc>
      </w:tr>
    </w:tbl>
    <w:p w14:paraId="6E1C7FB8" w14:textId="21C14348" w:rsidR="004E0756" w:rsidRPr="00B02A2F" w:rsidRDefault="004E0756" w:rsidP="00EE5433">
      <w:pPr>
        <w:pStyle w:val="TableDescription"/>
      </w:pPr>
      <w:r w:rsidRPr="00B02A2F">
        <w:t xml:space="preserve">Note: The analysis is based on non-visit-based approach which means to evaluate the incidence of patients who developed antibodies up to and including the Week54 (Dose 9). </w:t>
      </w:r>
      <w:proofErr w:type="spellStart"/>
      <w:r w:rsidRPr="00B02A2F">
        <w:t>AUCτ</w:t>
      </w:r>
      <w:proofErr w:type="spellEnd"/>
      <w:r w:rsidRPr="00B02A2F">
        <w:t xml:space="preserve">: Area under the curve over a dosing interval, CI: Confidence interval, </w:t>
      </w:r>
      <w:proofErr w:type="spellStart"/>
      <w:r w:rsidRPr="00B02A2F">
        <w:t>Cmax,ss</w:t>
      </w:r>
      <w:proofErr w:type="spellEnd"/>
      <w:r w:rsidRPr="00B02A2F">
        <w:t>: Maximum serum concentration at steady state, n: number of available patients for PK parameter calculation in ADA positive population</w:t>
      </w:r>
    </w:p>
    <w:p w14:paraId="565CABC8" w14:textId="55C8FFFA" w:rsidR="004E0756" w:rsidRPr="005C4BCA" w:rsidRDefault="004E0756" w:rsidP="00EE5433">
      <w:pPr>
        <w:pStyle w:val="TableTitle"/>
      </w:pPr>
      <w:r>
        <w:lastRenderedPageBreak/>
        <w:t xml:space="preserve">Table </w:t>
      </w:r>
      <w:r w:rsidR="007123DC">
        <w:t>11</w:t>
      </w:r>
      <w:r>
        <w:t>: Bioequivalence e</w:t>
      </w:r>
      <w:r w:rsidRPr="005C4BCA">
        <w:t>valuation of CT-P13/Remicade: Study CT-</w:t>
      </w:r>
      <w:r>
        <w:t>P13 1.1</w:t>
      </w:r>
      <w:r w:rsidR="003D36AA">
        <w:t>;</w:t>
      </w:r>
      <w:r>
        <w:t xml:space="preserve"> PK (antibody negative) p</w:t>
      </w:r>
      <w:r w:rsidRPr="005C4BCA">
        <w:t>opulation</w:t>
      </w:r>
    </w:p>
    <w:p w14:paraId="3C36EDE6" w14:textId="3910D449" w:rsidR="004E0756" w:rsidRDefault="004E0756">
      <w:r>
        <w:rPr>
          <w:noProof/>
          <w:lang w:eastAsia="en-AU"/>
        </w:rPr>
        <w:drawing>
          <wp:inline distT="0" distB="0" distL="0" distR="0" wp14:anchorId="2015760B" wp14:editId="725E52E5">
            <wp:extent cx="5400040" cy="1028579"/>
            <wp:effectExtent l="0" t="0" r="0" b="635"/>
            <wp:docPr id="18" name="Picture 18" descr="Bioequivalence evaluation of CT-P13/Remicade: Study CT-P13 1.1 PK (antibody negative)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40" cy="1028579"/>
                    </a:xfrm>
                    <a:prstGeom prst="rect">
                      <a:avLst/>
                    </a:prstGeom>
                    <a:noFill/>
                    <a:ln>
                      <a:noFill/>
                    </a:ln>
                  </pic:spPr>
                </pic:pic>
              </a:graphicData>
            </a:graphic>
          </wp:inline>
        </w:drawing>
      </w:r>
    </w:p>
    <w:p w14:paraId="28D011D7" w14:textId="24710DCD" w:rsidR="00AF433A" w:rsidRDefault="00AF433A" w:rsidP="00EE5433">
      <w:pPr>
        <w:pStyle w:val="TableTitle"/>
      </w:pPr>
      <w:r w:rsidRPr="005518A5">
        <w:t xml:space="preserve">Table </w:t>
      </w:r>
      <w:r w:rsidR="007123DC">
        <w:t>12</w:t>
      </w:r>
      <w:r>
        <w:t>: CT-P13 1.1: Secondary pharmacokinetic parameters of i</w:t>
      </w:r>
      <w:r w:rsidRPr="005518A5">
        <w:t>nfliximab</w:t>
      </w:r>
      <w:r w:rsidR="003D36AA">
        <w:t xml:space="preserve">; </w:t>
      </w:r>
      <w:r>
        <w:t>Anti-drug antibody</w:t>
      </w:r>
      <w:r w:rsidRPr="00785571">
        <w:t xml:space="preserve"> </w:t>
      </w:r>
      <w:r>
        <w:t>(</w:t>
      </w:r>
      <w:r w:rsidRPr="005518A5">
        <w:t>ADA</w:t>
      </w:r>
      <w:r>
        <w:t>)</w:t>
      </w:r>
      <w:r w:rsidRPr="005518A5">
        <w:t xml:space="preserve"> posit</w:t>
      </w:r>
      <w:r>
        <w:t>ive population, excluding o</w:t>
      </w:r>
      <w:r w:rsidRPr="005518A5">
        <w:t>utlier</w:t>
      </w:r>
    </w:p>
    <w:p w14:paraId="51492159" w14:textId="5E4A8679" w:rsidR="00AF433A" w:rsidRDefault="00AF433A">
      <w:r w:rsidRPr="008A3BCF">
        <w:rPr>
          <w:noProof/>
          <w:lang w:eastAsia="en-AU"/>
        </w:rPr>
        <w:drawing>
          <wp:inline distT="0" distB="0" distL="0" distR="0" wp14:anchorId="36BDBBE3" wp14:editId="4409D1AB">
            <wp:extent cx="5272788" cy="6909684"/>
            <wp:effectExtent l="0" t="0" r="4445" b="5715"/>
            <wp:docPr id="6" name="Picture 6" descr="CT-P13 1.1: Secondary pharmacokinetic parameters of infliximab: Anti-drug antibody (ADA) positive population, excluding out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86245" cy="6927319"/>
                    </a:xfrm>
                    <a:prstGeom prst="rect">
                      <a:avLst/>
                    </a:prstGeom>
                  </pic:spPr>
                </pic:pic>
              </a:graphicData>
            </a:graphic>
          </wp:inline>
        </w:drawing>
      </w:r>
    </w:p>
    <w:p w14:paraId="7D912EAB" w14:textId="4616BECB" w:rsidR="00AF433A" w:rsidRDefault="00EC703E" w:rsidP="0042001C">
      <w:pPr>
        <w:pStyle w:val="TableTitle"/>
        <w:rPr>
          <w:noProof/>
          <w:lang w:eastAsia="en-AU"/>
        </w:rPr>
      </w:pPr>
      <w:r>
        <w:rPr>
          <w:noProof/>
          <w:lang w:eastAsia="en-AU"/>
        </w:rPr>
        <w:lastRenderedPageBreak/>
        <w:t xml:space="preserve">Table </w:t>
      </w:r>
      <w:r w:rsidR="007123DC">
        <w:rPr>
          <w:noProof/>
          <w:lang w:eastAsia="en-AU"/>
        </w:rPr>
        <w:t>12</w:t>
      </w:r>
      <w:r w:rsidR="00AF433A">
        <w:rPr>
          <w:noProof/>
          <w:lang w:eastAsia="en-AU"/>
        </w:rPr>
        <w:t>: (continued)</w:t>
      </w:r>
      <w:r w:rsidR="00AF433A" w:rsidRPr="00916DC4">
        <w:rPr>
          <w:noProof/>
          <w:lang w:eastAsia="en-AU"/>
        </w:rPr>
        <w:t>. CT-P13 1.1: Secondary pharmacokinetic parameters of infliximab</w:t>
      </w:r>
      <w:r w:rsidR="003D36AA">
        <w:rPr>
          <w:noProof/>
          <w:lang w:eastAsia="en-AU"/>
        </w:rPr>
        <w:t>;</w:t>
      </w:r>
      <w:r w:rsidR="00AF433A" w:rsidRPr="00916DC4">
        <w:rPr>
          <w:noProof/>
          <w:lang w:eastAsia="en-AU"/>
        </w:rPr>
        <w:t xml:space="preserve"> </w:t>
      </w:r>
      <w:r w:rsidR="00AF433A">
        <w:rPr>
          <w:noProof/>
          <w:lang w:eastAsia="en-AU"/>
        </w:rPr>
        <w:t>Anti-drug antibody</w:t>
      </w:r>
      <w:r w:rsidR="00AF433A" w:rsidRPr="00785571">
        <w:rPr>
          <w:noProof/>
          <w:lang w:eastAsia="en-AU"/>
        </w:rPr>
        <w:t xml:space="preserve"> </w:t>
      </w:r>
      <w:r w:rsidR="00AF433A">
        <w:rPr>
          <w:noProof/>
          <w:lang w:eastAsia="en-AU"/>
        </w:rPr>
        <w:t>(</w:t>
      </w:r>
      <w:r w:rsidR="00AF433A" w:rsidRPr="00916DC4">
        <w:rPr>
          <w:noProof/>
          <w:lang w:eastAsia="en-AU"/>
        </w:rPr>
        <w:t>ADA</w:t>
      </w:r>
      <w:r w:rsidR="00AF433A">
        <w:rPr>
          <w:noProof/>
          <w:lang w:eastAsia="en-AU"/>
        </w:rPr>
        <w:t>)</w:t>
      </w:r>
      <w:r w:rsidR="00AF433A" w:rsidRPr="00916DC4">
        <w:rPr>
          <w:noProof/>
          <w:lang w:eastAsia="en-AU"/>
        </w:rPr>
        <w:t xml:space="preserve"> positive population, excluding outlier</w:t>
      </w:r>
    </w:p>
    <w:p w14:paraId="45B84012" w14:textId="2E12DE86" w:rsidR="00AF433A" w:rsidRDefault="00AF433A">
      <w:r w:rsidRPr="008A3BCF">
        <w:rPr>
          <w:noProof/>
          <w:lang w:eastAsia="en-AU"/>
        </w:rPr>
        <w:drawing>
          <wp:inline distT="0" distB="0" distL="0" distR="0" wp14:anchorId="0392CC95" wp14:editId="31BF2CD2">
            <wp:extent cx="5400040" cy="4572635"/>
            <wp:effectExtent l="0" t="0" r="0" b="0"/>
            <wp:docPr id="3" name="Picture 3" descr="CT-P13 1.1: Secondary pharmacokinetic parameters of infliximab: Anti-drug antibody (ADA) positive population, excluding out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00040" cy="4572635"/>
                    </a:xfrm>
                    <a:prstGeom prst="rect">
                      <a:avLst/>
                    </a:prstGeom>
                  </pic:spPr>
                </pic:pic>
              </a:graphicData>
            </a:graphic>
          </wp:inline>
        </w:drawing>
      </w:r>
    </w:p>
    <w:p w14:paraId="437E3990" w14:textId="77777777" w:rsidR="00B02A2F" w:rsidRPr="005C4BCA" w:rsidRDefault="00B02A2F" w:rsidP="00B02A2F">
      <w:pPr>
        <w:pStyle w:val="Heading5"/>
      </w:pPr>
      <w:r w:rsidRPr="005C4BCA">
        <w:t>Study CT-P13 3.1</w:t>
      </w:r>
    </w:p>
    <w:p w14:paraId="5C732459" w14:textId="37A230F6" w:rsidR="00B02A2F" w:rsidRPr="004A770F" w:rsidRDefault="00B02A2F" w:rsidP="00BC1334">
      <w:r w:rsidRPr="005C4BCA">
        <w:t xml:space="preserve">Supportive PK data was collected in the pivotal Phase III study, CT-P13 3.1. This trial assessed, </w:t>
      </w:r>
      <w:proofErr w:type="spellStart"/>
      <w:r w:rsidRPr="005C4BCA">
        <w:t>C</w:t>
      </w:r>
      <w:r w:rsidRPr="005518A5">
        <w:rPr>
          <w:vertAlign w:val="subscript"/>
        </w:rPr>
        <w:t>min</w:t>
      </w:r>
      <w:proofErr w:type="spellEnd"/>
      <w:r w:rsidRPr="005C4BCA">
        <w:t xml:space="preserve">, </w:t>
      </w:r>
      <w:proofErr w:type="spellStart"/>
      <w:r w:rsidRPr="005C4BCA">
        <w:t>C</w:t>
      </w:r>
      <w:r w:rsidRPr="005518A5">
        <w:rPr>
          <w:vertAlign w:val="subscript"/>
        </w:rPr>
        <w:t>max</w:t>
      </w:r>
      <w:proofErr w:type="spellEnd"/>
      <w:r w:rsidRPr="005C4BCA">
        <w:t xml:space="preserve">, </w:t>
      </w:r>
      <w:proofErr w:type="spellStart"/>
      <w:r w:rsidRPr="005C4BCA">
        <w:t>C</w:t>
      </w:r>
      <w:r w:rsidRPr="005518A5">
        <w:rPr>
          <w:vertAlign w:val="subscript"/>
        </w:rPr>
        <w:t>av,ss</w:t>
      </w:r>
      <w:proofErr w:type="spellEnd"/>
      <w:r w:rsidRPr="005C4BCA">
        <w:t xml:space="preserve">, PTF (peak to trough fluctuation ratio) and </w:t>
      </w:r>
      <w:proofErr w:type="spellStart"/>
      <w:r w:rsidRPr="005C4BCA">
        <w:t>T</w:t>
      </w:r>
      <w:r w:rsidRPr="005518A5">
        <w:rPr>
          <w:vertAlign w:val="subscript"/>
        </w:rPr>
        <w:t>max</w:t>
      </w:r>
      <w:proofErr w:type="spellEnd"/>
      <w:r w:rsidRPr="005C4BCA">
        <w:t xml:space="preserve"> in patients with RA. A total of 606 patients were enrolled in the study and 578 of these were included in the PK population, 290 in the CT-P13 group and 288 in the Remicade group. Less than half of all patients in the PK subset (n = 237) remained anti-drug antibody negative, 115 in the CT-P13 group and 122 in the Remicade group. The PK endpoint results at each of </w:t>
      </w:r>
      <w:r>
        <w:t>Weeks</w:t>
      </w:r>
      <w:r w:rsidRPr="005C4BCA">
        <w:t xml:space="preserve"> 22, 30 and 54 were similar for the test and reference drug groups with similar results in the anti-drug antibody negative </w:t>
      </w:r>
      <w:r w:rsidRPr="004A770F">
        <w:t xml:space="preserve">subset. In </w:t>
      </w:r>
      <w:r>
        <w:t>the post TGA meeting r</w:t>
      </w:r>
      <w:r w:rsidRPr="005C4BCA">
        <w:t xml:space="preserve">esponse, the sponsor provided data on the antibody positive population </w:t>
      </w:r>
      <w:r w:rsidR="002E551D" w:rsidRPr="005C4BCA">
        <w:t>results that</w:t>
      </w:r>
      <w:r w:rsidRPr="005C4BCA">
        <w:t xml:space="preserve"> indicated similar PK results between CT-P13 and Remicade </w:t>
      </w:r>
      <w:r w:rsidR="002E551D" w:rsidRPr="005C4BCA">
        <w:t>however,</w:t>
      </w:r>
      <w:r w:rsidRPr="005C4BCA">
        <w:t xml:space="preserve"> PK was a secondary endpoint and did not include formal bioequivalence assessment. The results excluding outliers are </w:t>
      </w:r>
      <w:r w:rsidR="00EC703E">
        <w:t xml:space="preserve">included in Table </w:t>
      </w:r>
      <w:r w:rsidR="007123DC">
        <w:t>13</w:t>
      </w:r>
      <w:r w:rsidRPr="004A770F">
        <w:t>.</w:t>
      </w:r>
    </w:p>
    <w:p w14:paraId="48465EC5" w14:textId="5226FF0B" w:rsidR="00B02A2F" w:rsidRDefault="00EC703E" w:rsidP="003D36AA">
      <w:pPr>
        <w:pStyle w:val="TableTitle"/>
      </w:pPr>
      <w:r>
        <w:lastRenderedPageBreak/>
        <w:t xml:space="preserve">Table </w:t>
      </w:r>
      <w:r w:rsidR="007123DC">
        <w:t>13</w:t>
      </w:r>
      <w:r w:rsidR="00B02A2F">
        <w:t>:</w:t>
      </w:r>
      <w:r w:rsidR="00B02A2F" w:rsidRPr="004A770F">
        <w:t xml:space="preserve"> CT-P13 3.1: Secondary PK parameters of Infliximab</w:t>
      </w:r>
      <w:r w:rsidR="003D36AA">
        <w:t>;</w:t>
      </w:r>
      <w:r w:rsidR="00B02A2F" w:rsidRPr="004A770F">
        <w:t xml:space="preserve"> ADA p</w:t>
      </w:r>
      <w:r w:rsidR="00B02A2F">
        <w:t>ositive population, excluding o</w:t>
      </w:r>
      <w:r w:rsidR="00B02A2F" w:rsidRPr="004A770F">
        <w:t>utlier</w:t>
      </w:r>
    </w:p>
    <w:p w14:paraId="4EAE8FBF" w14:textId="71939320" w:rsidR="00B02A2F" w:rsidRDefault="00B02A2F">
      <w:r>
        <w:rPr>
          <w:noProof/>
          <w:lang w:eastAsia="en-AU"/>
        </w:rPr>
        <w:drawing>
          <wp:inline distT="0" distB="0" distL="0" distR="0" wp14:anchorId="64F3A06A" wp14:editId="680D21AE">
            <wp:extent cx="5400040" cy="3160395"/>
            <wp:effectExtent l="0" t="0" r="0" b="1905"/>
            <wp:docPr id="8" name="Picture 8" descr="CT-P13 3.1: Secondary PK parameters of Infliximab: ADA positive population, excluding out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00040" cy="3160395"/>
                    </a:xfrm>
                    <a:prstGeom prst="rect">
                      <a:avLst/>
                    </a:prstGeom>
                  </pic:spPr>
                </pic:pic>
              </a:graphicData>
            </a:graphic>
          </wp:inline>
        </w:drawing>
      </w:r>
    </w:p>
    <w:p w14:paraId="19CD669C" w14:textId="0A471D59" w:rsidR="00B02A2F" w:rsidRDefault="00EC703E" w:rsidP="00E77C7F">
      <w:pPr>
        <w:pStyle w:val="TableTitle"/>
      </w:pPr>
      <w:r>
        <w:lastRenderedPageBreak/>
        <w:t xml:space="preserve">Table </w:t>
      </w:r>
      <w:r w:rsidR="007123DC">
        <w:t>13</w:t>
      </w:r>
      <w:r w:rsidR="007123DC" w:rsidRPr="004A770F">
        <w:t xml:space="preserve"> </w:t>
      </w:r>
      <w:r w:rsidR="00B02A2F">
        <w:t xml:space="preserve">(continued). </w:t>
      </w:r>
      <w:r w:rsidR="00B02A2F" w:rsidRPr="004A770F">
        <w:t>CT-P13 3.1: Secondary PK parameters of Infliximab</w:t>
      </w:r>
      <w:r w:rsidR="003D36AA">
        <w:t>;</w:t>
      </w:r>
      <w:r w:rsidR="00B02A2F" w:rsidRPr="004A770F">
        <w:t xml:space="preserve"> ADA positive population, excluding outlier</w:t>
      </w:r>
    </w:p>
    <w:p w14:paraId="77E62870" w14:textId="77777777" w:rsidR="00B02A2F" w:rsidRDefault="00B02A2F" w:rsidP="00AF433A">
      <w:r>
        <w:rPr>
          <w:noProof/>
          <w:lang w:eastAsia="en-AU"/>
        </w:rPr>
        <w:drawing>
          <wp:inline distT="0" distB="0" distL="0" distR="0" wp14:anchorId="3AA6FF50" wp14:editId="2EA2E777">
            <wp:extent cx="5400040" cy="7369175"/>
            <wp:effectExtent l="0" t="0" r="0" b="3175"/>
            <wp:docPr id="27" name="Picture 27" descr="CT-P13 3.1: Secondary PK parameters of Infliximab: ADA positive population, excluding out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00040" cy="7369175"/>
                    </a:xfrm>
                    <a:prstGeom prst="rect">
                      <a:avLst/>
                    </a:prstGeom>
                  </pic:spPr>
                </pic:pic>
              </a:graphicData>
            </a:graphic>
          </wp:inline>
        </w:drawing>
      </w:r>
    </w:p>
    <w:p w14:paraId="53AA529D" w14:textId="77777777" w:rsidR="00B02A2F" w:rsidRPr="005C4BCA" w:rsidRDefault="00B02A2F" w:rsidP="00B02A2F">
      <w:pPr>
        <w:pStyle w:val="Heading5"/>
      </w:pPr>
      <w:r w:rsidRPr="005C4BCA">
        <w:t>Study CT-P13 1.2</w:t>
      </w:r>
    </w:p>
    <w:p w14:paraId="483029AD" w14:textId="1C4BA7EB" w:rsidR="00B02A2F" w:rsidRPr="005C4BCA" w:rsidRDefault="00B02A2F" w:rsidP="00B02A2F">
      <w:r w:rsidRPr="005C4BCA">
        <w:t xml:space="preserve">Study CT-P13 1.2 enrolled a total of 19 subjects (9 in the CT-P13 group and 10 in the Remicade group). It was a pilot Phase I </w:t>
      </w:r>
      <w:r w:rsidR="002E551D" w:rsidRPr="005C4BCA">
        <w:t>study, which</w:t>
      </w:r>
      <w:r w:rsidRPr="005C4BCA">
        <w:t xml:space="preserve"> investigated the pharmacology and preliminary efficacy and safety of CT-P13 compared to Remicade in the treatment of active RA in 19 adult patients in the Philippines. Mean </w:t>
      </w:r>
      <w:proofErr w:type="spellStart"/>
      <w:r w:rsidRPr="005C4BCA">
        <w:t>C</w:t>
      </w:r>
      <w:r w:rsidRPr="00AF012B">
        <w:rPr>
          <w:vertAlign w:val="subscript"/>
        </w:rPr>
        <w:t>max</w:t>
      </w:r>
      <w:proofErr w:type="spellEnd"/>
      <w:r w:rsidRPr="005C4BCA">
        <w:t xml:space="preserve"> values and other PK parameters such as C</w:t>
      </w:r>
      <w:r w:rsidRPr="00AF012B">
        <w:rPr>
          <w:vertAlign w:val="subscript"/>
        </w:rPr>
        <w:t>av</w:t>
      </w:r>
      <w:r w:rsidRPr="005C4BCA">
        <w:t xml:space="preserve">, </w:t>
      </w:r>
      <w:proofErr w:type="spellStart"/>
      <w:r w:rsidRPr="005C4BCA">
        <w:t>C</w:t>
      </w:r>
      <w:r w:rsidRPr="00AF012B">
        <w:rPr>
          <w:vertAlign w:val="subscript"/>
        </w:rPr>
        <w:t>trough</w:t>
      </w:r>
      <w:proofErr w:type="spellEnd"/>
      <w:r>
        <w:t xml:space="preserve"> and PTF were similar for D</w:t>
      </w:r>
      <w:r w:rsidRPr="005C4BCA">
        <w:t xml:space="preserve">oses 1, 2 </w:t>
      </w:r>
      <w:r>
        <w:t>and</w:t>
      </w:r>
      <w:r w:rsidRPr="005C4BCA">
        <w:t xml:space="preserve"> 3 between the test and reference </w:t>
      </w:r>
      <w:r w:rsidRPr="005C4BCA">
        <w:lastRenderedPageBreak/>
        <w:t xml:space="preserve">products. Secondary PK parameters including </w:t>
      </w:r>
      <w:proofErr w:type="spellStart"/>
      <w:r w:rsidRPr="005C4BCA">
        <w:t>C</w:t>
      </w:r>
      <w:r w:rsidRPr="00AF012B">
        <w:rPr>
          <w:vertAlign w:val="subscript"/>
        </w:rPr>
        <w:t>max</w:t>
      </w:r>
      <w:proofErr w:type="spellEnd"/>
      <w:r w:rsidRPr="005C4BCA">
        <w:t xml:space="preserve"> and </w:t>
      </w:r>
      <w:proofErr w:type="spellStart"/>
      <w:r w:rsidRPr="004A770F">
        <w:t>C</w:t>
      </w:r>
      <w:r w:rsidRPr="00AF012B">
        <w:rPr>
          <w:vertAlign w:val="subscript"/>
        </w:rPr>
        <w:t>trough,ss</w:t>
      </w:r>
      <w:proofErr w:type="spellEnd"/>
      <w:r w:rsidRPr="005C4BCA">
        <w:t xml:space="preserve"> out to 38 weeks were also comparable. There was no formal statistical analysis of results.</w:t>
      </w:r>
    </w:p>
    <w:p w14:paraId="7ABBA71D" w14:textId="77777777" w:rsidR="00B02A2F" w:rsidRPr="00AF012B" w:rsidRDefault="00B02A2F" w:rsidP="00B02A2F">
      <w:pPr>
        <w:pStyle w:val="Heading5"/>
      </w:pPr>
      <w:r w:rsidRPr="005C4BCA">
        <w:t>PK conclusions</w:t>
      </w:r>
    </w:p>
    <w:p w14:paraId="0C06F880" w14:textId="77777777" w:rsidR="00B02A2F" w:rsidRPr="005C4BCA" w:rsidRDefault="00B02A2F" w:rsidP="00B02A2F">
      <w:r w:rsidRPr="005C4BCA">
        <w:t xml:space="preserve">The clinical evaluator was of the view that the test and reference products were comparable in </w:t>
      </w:r>
      <w:r>
        <w:t>PK</w:t>
      </w:r>
      <w:r w:rsidRPr="005C4BCA">
        <w:t xml:space="preserve"> characteristics in the populations tested. The sponsor had also provided evidence from a literature review that there was no clear difference in the </w:t>
      </w:r>
      <w:r>
        <w:t>PK</w:t>
      </w:r>
      <w:r w:rsidRPr="005C4BCA">
        <w:t xml:space="preserve"> of infliximab across its various indications. Overall, the clinical evaluator was satisfied that PK comparability between test and reference had been demonstrated although </w:t>
      </w:r>
      <w:r>
        <w:t>they</w:t>
      </w:r>
      <w:r w:rsidRPr="005C4BCA">
        <w:t xml:space="preserve"> did point out that comparative data in the evaluated PK dataset had only been obtain</w:t>
      </w:r>
      <w:r>
        <w:t xml:space="preserve">ed over a limited dose range (3 to </w:t>
      </w:r>
      <w:r w:rsidRPr="005C4BCA">
        <w:t xml:space="preserve">5 mg/kg every 8 weeks). While the latter is the range for the </w:t>
      </w:r>
      <w:proofErr w:type="spellStart"/>
      <w:r w:rsidRPr="005C4BCA">
        <w:t>rheumatological</w:t>
      </w:r>
      <w:proofErr w:type="spellEnd"/>
      <w:r w:rsidRPr="005C4BCA">
        <w:t xml:space="preserve"> indications and for psoriasis, the dose of infliximab may, in certain cases, b</w:t>
      </w:r>
      <w:r>
        <w:t xml:space="preserve">e increased to 10 mg/kg every 6 to </w:t>
      </w:r>
      <w:r w:rsidRPr="005C4BCA">
        <w:t xml:space="preserve">8 </w:t>
      </w:r>
      <w:r>
        <w:t xml:space="preserve">weeks </w:t>
      </w:r>
      <w:r w:rsidRPr="005C4BCA">
        <w:t xml:space="preserve">in the </w:t>
      </w:r>
      <w:r>
        <w:t>inflammatory bowel disease</w:t>
      </w:r>
      <w:r w:rsidRPr="005C4BCA">
        <w:t xml:space="preserve"> indications. The sponsor was asked to comment on this in the </w:t>
      </w:r>
      <w:r>
        <w:t xml:space="preserve">clinical </w:t>
      </w:r>
      <w:r w:rsidRPr="005C4BCA">
        <w:t>questions</w:t>
      </w:r>
      <w:r>
        <w:t xml:space="preserve"> posed after the first round evaluation.</w:t>
      </w:r>
    </w:p>
    <w:p w14:paraId="02780ECF" w14:textId="77777777" w:rsidR="00B02A2F" w:rsidRPr="005C4BCA" w:rsidRDefault="00B02A2F" w:rsidP="00B02A2F">
      <w:pPr>
        <w:pStyle w:val="Heading4"/>
      </w:pPr>
      <w:r w:rsidRPr="005C4BCA">
        <w:t>Pharmacodynamics</w:t>
      </w:r>
    </w:p>
    <w:p w14:paraId="52DCD98A" w14:textId="6A864C51" w:rsidR="00B02A2F" w:rsidRPr="005C4BCA" w:rsidRDefault="00B02A2F" w:rsidP="00B02A2F">
      <w:r w:rsidRPr="005C4BCA">
        <w:t>Data were collected for PD assessments as part of the two studies</w:t>
      </w:r>
      <w:r>
        <w:t xml:space="preserve">, </w:t>
      </w:r>
      <w:r w:rsidR="003D36AA">
        <w:t xml:space="preserve">Studies </w:t>
      </w:r>
      <w:r>
        <w:t>CT-P13 3.1 and</w:t>
      </w:r>
      <w:r w:rsidRPr="005C4BCA">
        <w:t xml:space="preserve"> CT-P13 1.2, which examined the effects of CT-P13, in comparison with Remicade, in adult patients with active RA. These trials measured changes from baseline to </w:t>
      </w:r>
      <w:r>
        <w:t>Weeks</w:t>
      </w:r>
      <w:r w:rsidRPr="005C4BCA">
        <w:t xml:space="preserve"> 14, 30 and 54 in s</w:t>
      </w:r>
      <w:r>
        <w:t>erum inflammatory markers (CRP and</w:t>
      </w:r>
      <w:r w:rsidRPr="005C4BCA">
        <w:t xml:space="preserve"> ESR), anti-CCP antibody levels and RF (IgA, IgG and IgM) titres. Althou</w:t>
      </w:r>
      <w:r>
        <w:t xml:space="preserve">gh there was considerable inter </w:t>
      </w:r>
      <w:r w:rsidRPr="005C4BCA">
        <w:t>individual variation in the results, the mean PD parameter values in both treatment groups decreased from bas</w:t>
      </w:r>
      <w:r>
        <w:t>eline at each time point up to W</w:t>
      </w:r>
      <w:r w:rsidRPr="005C4BCA">
        <w:t>eek 54. There were no overt differences observed between test and reference.</w:t>
      </w:r>
    </w:p>
    <w:p w14:paraId="7D9261C4" w14:textId="77777777" w:rsidR="00B02A2F" w:rsidRPr="005C4BCA" w:rsidRDefault="00B02A2F" w:rsidP="00B70AE9">
      <w:pPr>
        <w:pStyle w:val="Heading4"/>
      </w:pPr>
      <w:r w:rsidRPr="005C4BCA">
        <w:t>Efficacy</w:t>
      </w:r>
      <w:r w:rsidR="00B70AE9">
        <w:t xml:space="preserve"> r</w:t>
      </w:r>
      <w:r w:rsidRPr="005C4BCA">
        <w:t>heumatoid arthritis</w:t>
      </w:r>
    </w:p>
    <w:p w14:paraId="73BD9CDA" w14:textId="77777777" w:rsidR="00B02A2F" w:rsidRPr="005C4BCA" w:rsidRDefault="00B02A2F" w:rsidP="00B02A2F">
      <w:pPr>
        <w:pStyle w:val="Heading5"/>
      </w:pPr>
      <w:r w:rsidRPr="005C4BCA">
        <w:t>Study CT-P13 3.1</w:t>
      </w:r>
    </w:p>
    <w:p w14:paraId="4C3752C0" w14:textId="77777777" w:rsidR="00B02A2F" w:rsidRPr="005C4BCA" w:rsidRDefault="00B02A2F" w:rsidP="00B02A2F">
      <w:r w:rsidRPr="005C4BCA">
        <w:t>Study CT-P</w:t>
      </w:r>
      <w:r>
        <w:t xml:space="preserve">13 3.1 was a randomised, double blind, parallel </w:t>
      </w:r>
      <w:r w:rsidRPr="005C4BCA">
        <w:t>group, comparative equivalence trial in f</w:t>
      </w:r>
      <w:r>
        <w:t xml:space="preserve">emale and male patients aged 18 to </w:t>
      </w:r>
      <w:r w:rsidRPr="005C4BCA">
        <w:t>75 years with active RA who had not achieved an adequate response with MTX alone. The total duration of the study was up to 68 weeks and consisted of 4 treatment</w:t>
      </w:r>
      <w:r>
        <w:t xml:space="preserve"> periods, screening phase, dose </w:t>
      </w:r>
      <w:r w:rsidRPr="005C4BCA">
        <w:t>loading</w:t>
      </w:r>
      <w:r>
        <w:t xml:space="preserve"> phase (1 dose at each of 0, 2 and</w:t>
      </w:r>
      <w:r w:rsidRPr="005C4BCA">
        <w:t xml:space="preserve"> 6 weeks), maintenance phase (a further 6 doses every 8 weeks) and end of study (8 weeks after last dose).</w:t>
      </w:r>
    </w:p>
    <w:p w14:paraId="016E7DD3" w14:textId="77777777" w:rsidR="00B02A2F" w:rsidRPr="005C4BCA" w:rsidRDefault="00B02A2F" w:rsidP="00B02A2F">
      <w:r w:rsidRPr="005C4BCA">
        <w:t xml:space="preserve">Efficacy evaluations were performed at </w:t>
      </w:r>
      <w:r>
        <w:t>Weeks</w:t>
      </w:r>
      <w:r w:rsidRPr="005C4BCA">
        <w:t xml:space="preserve"> 14, 30 and 54</w:t>
      </w:r>
      <w:r>
        <w:t xml:space="preserve"> (or at end of study if not at W</w:t>
      </w:r>
      <w:r w:rsidRPr="005C4BCA">
        <w:t>eek 54). The primary objective of the study was to demonstrate comparability of efficacy between test and reference up to 30 weeks treatment as determined by ACR 20. The secondary efficacy objective of the trial was to compare the effica</w:t>
      </w:r>
      <w:r>
        <w:t>cy of test and reference up to W</w:t>
      </w:r>
      <w:r w:rsidRPr="005C4BCA">
        <w:t>eek 54. There were a number of secondary efficacy endpoints.</w:t>
      </w:r>
    </w:p>
    <w:p w14:paraId="06DDB49D" w14:textId="77777777" w:rsidR="00B02A2F" w:rsidRPr="005C4BCA" w:rsidRDefault="00B02A2F" w:rsidP="00B02A2F">
      <w:r w:rsidRPr="005C4BCA">
        <w:t>At baseline, patients were randomly assigned in a 1:1 ratio to receive either CT-P13 or Remicade. Patients were required to continue m</w:t>
      </w:r>
      <w:r>
        <w:t xml:space="preserve">ethotrexate (MTX) use at a dose of 15 to </w:t>
      </w:r>
      <w:r w:rsidRPr="005C4BCA">
        <w:t>25</w:t>
      </w:r>
      <w:r>
        <w:t> </w:t>
      </w:r>
      <w:r w:rsidRPr="005C4BCA">
        <w:t>mg/week (oral or parenteral) with dose and route maintained to the end of the study. The primary efficacy analysis was performed on two patient cohorts, all-randomised patients (essentially ITT) and the per-protocol population.</w:t>
      </w:r>
    </w:p>
    <w:p w14:paraId="02669DEB" w14:textId="77777777" w:rsidR="00B02A2F" w:rsidRPr="005C4BCA" w:rsidRDefault="00B02A2F" w:rsidP="00B02A2F">
      <w:r w:rsidRPr="005C4BCA">
        <w:t xml:space="preserve">Therapeutic equivalence was to be concluded if the 95% CI for the treatment difference between the proportions in each group achieving ACR 20 at </w:t>
      </w:r>
      <w:r>
        <w:t>Week</w:t>
      </w:r>
      <w:r w:rsidRPr="005C4BCA">
        <w:t xml:space="preserve"> 30 was entirely within the range </w:t>
      </w:r>
      <w:r>
        <w:t xml:space="preserve">(-15% to </w:t>
      </w:r>
      <w:r w:rsidRPr="005C4BCA">
        <w:t>15%</w:t>
      </w:r>
      <w:r>
        <w:t>)</w:t>
      </w:r>
      <w:r w:rsidRPr="005C4BCA">
        <w:t>. The clinical evaluator explained in some detail the rationale for the choice of the equivalence margin and was of the opinion that the rationale was acceptable but at the maximum acceptable margin. Sample size calculations were deemed appropriate with the final estimate of 584 patients needed for randomisation.</w:t>
      </w:r>
    </w:p>
    <w:p w14:paraId="35C4E5CC" w14:textId="3C4183FD" w:rsidR="00B02A2F" w:rsidRPr="005C4BCA" w:rsidRDefault="00B02A2F" w:rsidP="00B02A2F">
      <w:r w:rsidRPr="005C4BCA">
        <w:lastRenderedPageBreak/>
        <w:t xml:space="preserve">A total of 1077 subjects were screened for the trial, and 606 patients were randomly assigned to study treatment (302 in the CT-P13 group and 304 in the Remicade treatment arm). Two patients in each of the treatment groups did not receive any of their allocated infliximab treatment. The majority of subjects in each treatment group </w:t>
      </w:r>
      <w:r>
        <w:t xml:space="preserve">completed the study: 77.2% (233 out of </w:t>
      </w:r>
      <w:r w:rsidRPr="005C4BCA">
        <w:t>302) in the CT-P13 arm</w:t>
      </w:r>
      <w:r>
        <w:t xml:space="preserve"> and 73.0% (222 out of </w:t>
      </w:r>
      <w:r w:rsidRPr="005C4BCA">
        <w:t>304) in the Remicade group. The 2 most common reasons for disco</w:t>
      </w:r>
      <w:r>
        <w:t>ntinuation were AEs</w:t>
      </w:r>
      <w:r w:rsidRPr="005C4BCA">
        <w:t xml:space="preserve"> and withdrawal of consent. For patients who discontinued study treatment, the median time on infliximab was similar between the 2 treatment groups (152 days for CT-P13 and 155 days for R</w:t>
      </w:r>
      <w:r>
        <w:t>emicade).</w:t>
      </w:r>
    </w:p>
    <w:p w14:paraId="5DB0A5C1" w14:textId="77777777" w:rsidR="00B02A2F" w:rsidRPr="005C4BCA" w:rsidRDefault="00B02A2F" w:rsidP="00B02A2F">
      <w:r w:rsidRPr="005C4BCA">
        <w:t>Demographic characteristics were similar in the 2 treatment groups and were reflective of the population that may receive infliximab in clinical practice. The mean age of patients was 48.8 years (median 50 years). As expected with RA, there was a higher percentage</w:t>
      </w:r>
      <w:r>
        <w:t xml:space="preserve"> of female patients (82.7%; 501 out of </w:t>
      </w:r>
      <w:r w:rsidRPr="005C4BCA">
        <w:t>606) compared</w:t>
      </w:r>
      <w:r>
        <w:t xml:space="preserve"> with male subjects (17.3%; 105 out of </w:t>
      </w:r>
      <w:r w:rsidRPr="005C4BCA">
        <w:t>606). The majority of pati</w:t>
      </w:r>
      <w:r>
        <w:t xml:space="preserve">ents were Caucasian (72.9%; 442 out of 606), and 11.7% (71 out of </w:t>
      </w:r>
      <w:r w:rsidRPr="005C4BCA">
        <w:t>606) were of Asian background. The mean BMI (SD) of enrolled patients was 26.37 (5.27) kg/m</w:t>
      </w:r>
      <w:r w:rsidRPr="00F1205F">
        <w:rPr>
          <w:vertAlign w:val="superscript"/>
        </w:rPr>
        <w:t>2</w:t>
      </w:r>
      <w:r w:rsidRPr="005C4BCA">
        <w:t>.</w:t>
      </w:r>
    </w:p>
    <w:p w14:paraId="5CD3BFB8" w14:textId="09CA2071" w:rsidR="00B02A2F" w:rsidRPr="005C4BCA" w:rsidRDefault="00B02A2F" w:rsidP="00B02A2F">
      <w:r w:rsidRPr="005C4BCA">
        <w:t>As noted by the clinical evaluator, the study report for</w:t>
      </w:r>
      <w:r w:rsidR="003D36AA">
        <w:t xml:space="preserve"> Study</w:t>
      </w:r>
      <w:r w:rsidRPr="005C4BCA">
        <w:t xml:space="preserve"> CT-P13 3.1 contained limited information about the baseline RA disease characteristics of the enrolled subjects. In particular, the trial report did not contain information about the duration of RA prior to inclusion, and the type and extent of prior therapy. The baseline doses of MTX doses were consistent with contemporary practice in Australia before consideration of biological DMARD therapy. However, the study report for</w:t>
      </w:r>
      <w:r w:rsidR="003D36AA">
        <w:t xml:space="preserve"> Study</w:t>
      </w:r>
      <w:r w:rsidRPr="005C4BCA">
        <w:t xml:space="preserve"> CT-P13 3.1 did not contain sufficient information about the extent and pattern of previous DMARD therapy in the enrolled population and the sponsor was asked to comment on this in </w:t>
      </w:r>
      <w:r>
        <w:t>the first set of questions.</w:t>
      </w:r>
    </w:p>
    <w:p w14:paraId="426ED12E" w14:textId="77777777" w:rsidR="00B02A2F" w:rsidRPr="005C4BCA" w:rsidRDefault="00B02A2F" w:rsidP="00B02A2F">
      <w:pPr>
        <w:pStyle w:val="Heading5"/>
      </w:pPr>
      <w:r w:rsidRPr="005C4BCA">
        <w:t>Results for the primary efficacy outcome</w:t>
      </w:r>
    </w:p>
    <w:p w14:paraId="305BBBA9" w14:textId="2DAC8307" w:rsidR="00B02A2F" w:rsidRPr="005C4BCA" w:rsidRDefault="00B02A2F" w:rsidP="00B02A2F">
      <w:pPr>
        <w:tabs>
          <w:tab w:val="left" w:pos="4111"/>
        </w:tabs>
      </w:pPr>
      <w:r w:rsidRPr="005C4BCA">
        <w:t>The results of the pr</w:t>
      </w:r>
      <w:r>
        <w:t>imary efficacy outcome for the a</w:t>
      </w:r>
      <w:r w:rsidRPr="005C4BCA">
        <w:t>ll-randomi</w:t>
      </w:r>
      <w:r w:rsidR="003D36AA">
        <w:t>s</w:t>
      </w:r>
      <w:r w:rsidRPr="005C4BCA">
        <w:t xml:space="preserve">ed (ITT) and PP populations </w:t>
      </w:r>
      <w:r w:rsidR="009F16DF">
        <w:t>were provided</w:t>
      </w:r>
      <w:r w:rsidRPr="005C4BCA">
        <w:t xml:space="preserve">. In the ITT dataset, the proportion of subjects achieving an ACR20 response at </w:t>
      </w:r>
      <w:r>
        <w:t>Week</w:t>
      </w:r>
      <w:r w:rsidRPr="005C4BCA">
        <w:t xml:space="preserve"> 30 in </w:t>
      </w:r>
      <w:r>
        <w:t xml:space="preserve">the CT-P13 group was 60.9% (184 out of </w:t>
      </w:r>
      <w:r w:rsidRPr="005C4BCA">
        <w:t xml:space="preserve">302), which was similar to that observed </w:t>
      </w:r>
      <w:r>
        <w:t xml:space="preserve">in the Remicade arm (58.6%; 178 out of </w:t>
      </w:r>
      <w:r w:rsidRPr="005C4BCA">
        <w:t>304).</w:t>
      </w:r>
      <w:bookmarkStart w:id="162" w:name="_Toc401925338"/>
    </w:p>
    <w:bookmarkEnd w:id="162"/>
    <w:p w14:paraId="4A3B1617" w14:textId="77777777" w:rsidR="00B02A2F" w:rsidRPr="005C4BCA" w:rsidRDefault="00B02A2F" w:rsidP="00B02A2F">
      <w:r w:rsidRPr="005C4BCA">
        <w:t>In both the ITT and PP populations, the 95% CIs of the difference between the 2 groups were within the pre-specified equivalence margins of ±</w:t>
      </w:r>
      <w:r>
        <w:t xml:space="preserve"> </w:t>
      </w:r>
      <w:r w:rsidRPr="005C4BCA">
        <w:t>15% (-</w:t>
      </w:r>
      <w:r>
        <w:t xml:space="preserve"> </w:t>
      </w:r>
      <w:r w:rsidRPr="005C4BCA">
        <w:t>6% to 10% for the ITT population, and -</w:t>
      </w:r>
      <w:r>
        <w:t xml:space="preserve"> </w:t>
      </w:r>
      <w:r w:rsidRPr="005C4BCA">
        <w:t>4% to 12% for the PP cohort), thus concluding therapeutic eq</w:t>
      </w:r>
      <w:r>
        <w:t>uivalence.</w:t>
      </w:r>
    </w:p>
    <w:p w14:paraId="57CB4613" w14:textId="77777777" w:rsidR="00B02A2F" w:rsidRPr="005C4BCA" w:rsidRDefault="00B02A2F" w:rsidP="00B02A2F">
      <w:pPr>
        <w:pStyle w:val="Heading5"/>
      </w:pPr>
      <w:r w:rsidRPr="005C4BCA">
        <w:t>Other efficacy endpoints</w:t>
      </w:r>
    </w:p>
    <w:p w14:paraId="2C4C18F3" w14:textId="5D4F23E1" w:rsidR="00B02A2F" w:rsidRPr="005C4BCA" w:rsidRDefault="00B02A2F" w:rsidP="00B02A2F">
      <w:r w:rsidRPr="005C4BCA">
        <w:t xml:space="preserve">Similar efficacy could also be shown for all secondary efficacy endpoints including the individual components of the ACR response, rate of ACR50 and ACR70 response at </w:t>
      </w:r>
      <w:r>
        <w:t>Weeks</w:t>
      </w:r>
      <w:r w:rsidR="003D36AA">
        <w:t> </w:t>
      </w:r>
      <w:r w:rsidRPr="005C4BCA">
        <w:t>14, 30 and 54, QOL measurements based on the SF-36 questionnaire</w:t>
      </w:r>
      <w:r w:rsidR="003D36AA">
        <w:t>;</w:t>
      </w:r>
      <w:r w:rsidRPr="00D7252D">
        <w:rPr>
          <w:vertAlign w:val="superscript"/>
        </w:rPr>
        <w:fldChar w:fldCharType="begin"/>
      </w:r>
      <w:r w:rsidRPr="00D7252D">
        <w:rPr>
          <w:vertAlign w:val="superscript"/>
        </w:rPr>
        <w:instrText xml:space="preserve"> NOTEREF _Ref445203188 \h </w:instrText>
      </w:r>
      <w:r>
        <w:rPr>
          <w:vertAlign w:val="superscript"/>
        </w:rPr>
        <w:instrText xml:space="preserve"> \* MERGEFORMAT </w:instrText>
      </w:r>
      <w:r w:rsidRPr="00D7252D">
        <w:rPr>
          <w:vertAlign w:val="superscript"/>
        </w:rPr>
      </w:r>
      <w:r w:rsidRPr="00D7252D">
        <w:rPr>
          <w:vertAlign w:val="superscript"/>
        </w:rPr>
        <w:fldChar w:fldCharType="separate"/>
      </w:r>
      <w:r w:rsidR="00B461DE">
        <w:rPr>
          <w:vertAlign w:val="superscript"/>
        </w:rPr>
        <w:t>15</w:t>
      </w:r>
      <w:r w:rsidRPr="00D7252D">
        <w:rPr>
          <w:vertAlign w:val="superscript"/>
        </w:rPr>
        <w:fldChar w:fldCharType="end"/>
      </w:r>
      <w:r>
        <w:t xml:space="preserve"> </w:t>
      </w:r>
      <w:r w:rsidRPr="005C4BCA">
        <w:t>as well as the DAS28</w:t>
      </w:r>
      <w:r w:rsidR="003D36AA">
        <w:t>;</w:t>
      </w:r>
      <w:r w:rsidRPr="00D7252D">
        <w:rPr>
          <w:vertAlign w:val="superscript"/>
        </w:rPr>
        <w:fldChar w:fldCharType="begin"/>
      </w:r>
      <w:r w:rsidRPr="00D7252D">
        <w:rPr>
          <w:vertAlign w:val="superscript"/>
        </w:rPr>
        <w:instrText xml:space="preserve"> NOTEREF _Ref445203235 \h </w:instrText>
      </w:r>
      <w:r>
        <w:rPr>
          <w:vertAlign w:val="superscript"/>
        </w:rPr>
        <w:instrText xml:space="preserve"> \* MERGEFORMAT </w:instrText>
      </w:r>
      <w:r w:rsidRPr="00D7252D">
        <w:rPr>
          <w:vertAlign w:val="superscript"/>
        </w:rPr>
      </w:r>
      <w:r w:rsidRPr="00D7252D">
        <w:rPr>
          <w:vertAlign w:val="superscript"/>
        </w:rPr>
        <w:fldChar w:fldCharType="separate"/>
      </w:r>
      <w:r w:rsidR="00B461DE">
        <w:rPr>
          <w:vertAlign w:val="superscript"/>
        </w:rPr>
        <w:t>16</w:t>
      </w:r>
      <w:r w:rsidRPr="00D7252D">
        <w:rPr>
          <w:vertAlign w:val="superscript"/>
        </w:rPr>
        <w:fldChar w:fldCharType="end"/>
      </w:r>
      <w:r>
        <w:t xml:space="preserve"> </w:t>
      </w:r>
      <w:r w:rsidRPr="005C4BCA">
        <w:t>and EULAR</w:t>
      </w:r>
      <w:r w:rsidR="003D36AA">
        <w:t>;</w:t>
      </w:r>
      <w:r w:rsidRPr="00D7252D">
        <w:rPr>
          <w:vertAlign w:val="superscript"/>
        </w:rPr>
        <w:fldChar w:fldCharType="begin"/>
      </w:r>
      <w:r w:rsidRPr="00D7252D">
        <w:rPr>
          <w:vertAlign w:val="superscript"/>
        </w:rPr>
        <w:instrText xml:space="preserve"> NOTEREF _Ref445203329 \h </w:instrText>
      </w:r>
      <w:r>
        <w:rPr>
          <w:vertAlign w:val="superscript"/>
        </w:rPr>
        <w:instrText xml:space="preserve"> \* MERGEFORMAT </w:instrText>
      </w:r>
      <w:r w:rsidRPr="00D7252D">
        <w:rPr>
          <w:vertAlign w:val="superscript"/>
        </w:rPr>
      </w:r>
      <w:r w:rsidRPr="00D7252D">
        <w:rPr>
          <w:vertAlign w:val="superscript"/>
        </w:rPr>
        <w:fldChar w:fldCharType="separate"/>
      </w:r>
      <w:r w:rsidR="00B461DE">
        <w:rPr>
          <w:vertAlign w:val="superscript"/>
        </w:rPr>
        <w:t>17</w:t>
      </w:r>
      <w:r w:rsidRPr="00D7252D">
        <w:rPr>
          <w:vertAlign w:val="superscript"/>
        </w:rPr>
        <w:fldChar w:fldCharType="end"/>
      </w:r>
      <w:r w:rsidRPr="005C4BCA">
        <w:t xml:space="preserve"> response criteria, however these did not take into account multiplicity effects. The median time to the onset of ACR20 response was statistically shorter in CT-P13 group (99 days versus 110 days), but the difference was not clinically meaningful.</w:t>
      </w:r>
    </w:p>
    <w:p w14:paraId="7E65F824" w14:textId="77777777" w:rsidR="00B02A2F" w:rsidRPr="005C4BCA" w:rsidRDefault="00B02A2F" w:rsidP="00B02A2F">
      <w:r w:rsidRPr="005C4BCA">
        <w:t>The mean chan</w:t>
      </w:r>
      <w:r>
        <w:t>ge (decrease) from baseline to W</w:t>
      </w:r>
      <w:r w:rsidRPr="005C4BCA">
        <w:t xml:space="preserve">eek 54 in the joint damage score was similar in each of the treatment groups. The baseline mean (SD) joint damage score in the CT-P13 group was 104.6 (67.05) units, and the mean joint damage score was 103.6 (67.81) units in the Remicade arm. At 54 </w:t>
      </w:r>
      <w:r>
        <w:t>Week</w:t>
      </w:r>
      <w:r w:rsidRPr="005C4BCA">
        <w:t>s, the mean joint damage score (SD) decreased by 32.5 (26.85) units in the CT-P13 group (n</w:t>
      </w:r>
      <w:r>
        <w:t xml:space="preserve"> </w:t>
      </w:r>
      <w:r w:rsidRPr="005C4BCA">
        <w:t>=</w:t>
      </w:r>
      <w:r>
        <w:t xml:space="preserve"> </w:t>
      </w:r>
      <w:r w:rsidRPr="005C4BCA">
        <w:t>182), and the same index decreased by 28.7 (30.66) units in the Remicade arm (n</w:t>
      </w:r>
      <w:r>
        <w:t xml:space="preserve"> </w:t>
      </w:r>
      <w:r w:rsidRPr="005C4BCA">
        <w:t>=</w:t>
      </w:r>
      <w:r>
        <w:t xml:space="preserve"> </w:t>
      </w:r>
      <w:r w:rsidRPr="005C4BCA">
        <w:t>174). Normally, to support an indication for the prevention of structural damage, data demonstrating maintenance of effect out to 2 years is required by the TGA (in line with the relevant EU requirements). This issue was addressed later in the submission in response to questions.</w:t>
      </w:r>
    </w:p>
    <w:p w14:paraId="28ED836D" w14:textId="77777777" w:rsidR="00B02A2F" w:rsidRPr="005C4BCA" w:rsidRDefault="00B02A2F" w:rsidP="00B02A2F">
      <w:pPr>
        <w:pStyle w:val="Heading5"/>
      </w:pPr>
      <w:r w:rsidRPr="005C4BCA">
        <w:lastRenderedPageBreak/>
        <w:t>Study CT-P13 1.2</w:t>
      </w:r>
    </w:p>
    <w:p w14:paraId="3AD7BA4D" w14:textId="6517A270" w:rsidR="00B02A2F" w:rsidRPr="005C4BCA" w:rsidRDefault="00B02A2F" w:rsidP="00B02A2F">
      <w:r w:rsidRPr="005C4BCA">
        <w:t xml:space="preserve">Study CT-P13 1.2 was a supporting trial in this submission. It was a pilot Phase I </w:t>
      </w:r>
      <w:r w:rsidR="002E551D" w:rsidRPr="005C4BCA">
        <w:t>study, which</w:t>
      </w:r>
      <w:r w:rsidRPr="005C4BCA">
        <w:t xml:space="preserve"> investigated the pharmacology and preliminary efficacy and safety of CT-P13 compared to Remicade in the treatment of active RA in 19 adult patients in the Philippines.</w:t>
      </w:r>
    </w:p>
    <w:p w14:paraId="0112DD50" w14:textId="77777777" w:rsidR="00B02A2F" w:rsidRPr="005C4BCA" w:rsidRDefault="00B02A2F" w:rsidP="00B02A2F">
      <w:r w:rsidRPr="005C4BCA">
        <w:t xml:space="preserve">In total, 22 patients were screened for involvement in this study, and 19 were subsequently randomised and received study treatment. Nine patients were randomised to and received CT-P13, 9 patients were randomised to and received Remicade and 1 patient (Patient </w:t>
      </w:r>
      <w:r>
        <w:t>[information redacted]</w:t>
      </w:r>
      <w:r w:rsidRPr="005C4BCA">
        <w:t>) was randomised to Remicade but receive</w:t>
      </w:r>
      <w:r>
        <w:t>d both CT-P13 and Remicade. At Dose 9 (W</w:t>
      </w:r>
      <w:r w:rsidRPr="005C4BCA">
        <w:t>eek 54), 3 patients had discontinued (2 in the CT-P13 group and 1 in the Remicade group). All of the treatment di</w:t>
      </w:r>
      <w:r>
        <w:t>scontinuations were due to AEs.</w:t>
      </w:r>
    </w:p>
    <w:p w14:paraId="4BC10886" w14:textId="77777777" w:rsidR="00B02A2F" w:rsidRPr="005C4BCA" w:rsidRDefault="00B02A2F" w:rsidP="00B02A2F">
      <w:r w:rsidRPr="005C4BCA">
        <w:t>Demographic characteristics were similar in the two treatment groups. The median age of patients in the CT-P13 group was 57 years, and the median age of participants in the Remicade arm was 47 years. All but one of the 18 enrolled patients were female. The mean weight of enrolled patients was 57</w:t>
      </w:r>
      <w:r>
        <w:t xml:space="preserve"> </w:t>
      </w:r>
      <w:r w:rsidRPr="005C4BCA">
        <w:t>kg.</w:t>
      </w:r>
    </w:p>
    <w:p w14:paraId="4770DAF1" w14:textId="3267472E" w:rsidR="00B02A2F" w:rsidRPr="005C4BCA" w:rsidRDefault="00B02A2F" w:rsidP="00B02A2F">
      <w:r w:rsidRPr="005C4BCA">
        <w:t xml:space="preserve">At </w:t>
      </w:r>
      <w:r>
        <w:t>Week</w:t>
      </w:r>
      <w:r w:rsidRPr="005C4BCA">
        <w:t xml:space="preserve"> 14, the ACR20 response rate in </w:t>
      </w:r>
      <w:r>
        <w:t xml:space="preserve">the Remicade group was 88.9% (8 out of 9) compared with 62.5% (5 out of </w:t>
      </w:r>
      <w:r w:rsidRPr="005C4BCA">
        <w:t xml:space="preserve">8) in the CT-P13 arm. At </w:t>
      </w:r>
      <w:r>
        <w:t>Week</w:t>
      </w:r>
      <w:r w:rsidRPr="005C4BCA">
        <w:t xml:space="preserve"> 30, the A</w:t>
      </w:r>
      <w:r>
        <w:t xml:space="preserve">CR20 response rate was 71.4% (5 out of </w:t>
      </w:r>
      <w:r w:rsidRPr="005C4BCA">
        <w:t>7) in t</w:t>
      </w:r>
      <w:r>
        <w:t xml:space="preserve">he CT-P13 group versus 50.0% (4 out of </w:t>
      </w:r>
      <w:r w:rsidRPr="005C4BCA">
        <w:t xml:space="preserve">8) in the Remicade arm. Given the small overall number of participants in this study, there is insufficient data to conclude whether or not CT-P13 and Remicade are therapeutically equivalent. Overall, there were no clear differences in the outcomes of those patients treated with CT-P13 compared with those treated with Remicade </w:t>
      </w:r>
      <w:r w:rsidR="002E551D" w:rsidRPr="005C4BCA">
        <w:t>however,</w:t>
      </w:r>
      <w:r w:rsidRPr="005C4BCA">
        <w:t xml:space="preserve"> the numbers are too small </w:t>
      </w:r>
      <w:r>
        <w:t>to draw definitive conclusions.</w:t>
      </w:r>
    </w:p>
    <w:p w14:paraId="4F8C21D2" w14:textId="77777777" w:rsidR="00B02A2F" w:rsidRPr="005C4BCA" w:rsidRDefault="00B70AE9" w:rsidP="00B02A2F">
      <w:pPr>
        <w:pStyle w:val="Heading4"/>
      </w:pPr>
      <w:r>
        <w:t>Efficacy a</w:t>
      </w:r>
      <w:r w:rsidR="00B02A2F" w:rsidRPr="005C4BCA">
        <w:t>nkylosing spondylitis</w:t>
      </w:r>
    </w:p>
    <w:p w14:paraId="4DFA6010" w14:textId="77777777" w:rsidR="00B02A2F" w:rsidRPr="005C4BCA" w:rsidRDefault="00B02A2F" w:rsidP="00B02A2F">
      <w:pPr>
        <w:pStyle w:val="Heading5"/>
      </w:pPr>
      <w:r w:rsidRPr="005C4BCA">
        <w:t>Study CT-P13 1.1</w:t>
      </w:r>
    </w:p>
    <w:p w14:paraId="1944196F" w14:textId="77777777" w:rsidR="00B02A2F" w:rsidRPr="005C4BCA" w:rsidRDefault="00B02A2F" w:rsidP="00B02A2F">
      <w:r w:rsidRPr="005C4BCA">
        <w:t>Study CT-P</w:t>
      </w:r>
      <w:r>
        <w:t xml:space="preserve">13 1.1 was a randomised, double blind, parallel </w:t>
      </w:r>
      <w:r w:rsidRPr="005C4BCA">
        <w:t>group Phase I study primarily designed to assess the PK equivalence and safety of multiple doses of CT-P13 (5 mg/kg) with the reference product, Remicad</w:t>
      </w:r>
      <w:r>
        <w:t>e (5 mg/kg) administered by a 2 hour IV</w:t>
      </w:r>
      <w:r w:rsidRPr="005C4BCA">
        <w:t xml:space="preserve"> infusion per dose in patients with active AS. Efficacy endpoints formed a secondary objective of the trial.</w:t>
      </w:r>
    </w:p>
    <w:p w14:paraId="64908612" w14:textId="77777777" w:rsidR="00B02A2F" w:rsidRPr="005C4BCA" w:rsidRDefault="00B02A2F" w:rsidP="00B02A2F">
      <w:r w:rsidRPr="005C4BCA">
        <w:t>The subjects included m</w:t>
      </w:r>
      <w:r>
        <w:t xml:space="preserve">ale and female subjects aged 18 to </w:t>
      </w:r>
      <w:r w:rsidRPr="005C4BCA">
        <w:t>75 years (inclusive) who had been diagnosed with active AS according to the 1984 modified New York classification criteria</w:t>
      </w:r>
      <w:r>
        <w:rPr>
          <w:rStyle w:val="FootnoteReference"/>
        </w:rPr>
        <w:footnoteReference w:id="28"/>
      </w:r>
      <w:r w:rsidRPr="005C4BCA">
        <w:t xml:space="preserve"> for at lea</w:t>
      </w:r>
      <w:r>
        <w:t>st 3 months prior to screening.</w:t>
      </w:r>
    </w:p>
    <w:p w14:paraId="17745D13" w14:textId="77777777" w:rsidR="00B02A2F" w:rsidRPr="005C4BCA" w:rsidRDefault="00B02A2F" w:rsidP="00B02A2F">
      <w:r w:rsidRPr="005C4BCA">
        <w:t>The efficacy endpoints in Study CT-P13 1.1 were:</w:t>
      </w:r>
    </w:p>
    <w:p w14:paraId="66235108" w14:textId="5E75C95B" w:rsidR="00B02A2F" w:rsidRPr="00B70AE9" w:rsidRDefault="00B02A2F" w:rsidP="00B70AE9">
      <w:pPr>
        <w:pStyle w:val="ListBullet"/>
      </w:pPr>
      <w:r w:rsidRPr="00B70AE9">
        <w:t>Proportion of patients achieving ASAS20</w:t>
      </w:r>
      <w:r w:rsidR="009F4F36">
        <w:t>;</w:t>
      </w:r>
      <w:r w:rsidRPr="00AC3C81">
        <w:rPr>
          <w:vertAlign w:val="superscript"/>
        </w:rPr>
        <w:footnoteReference w:id="29"/>
      </w:r>
      <w:r w:rsidR="00AC3C81">
        <w:t xml:space="preserve"> </w:t>
      </w:r>
      <w:r w:rsidRPr="00B70AE9">
        <w:t>response</w:t>
      </w:r>
    </w:p>
    <w:p w14:paraId="73E88368" w14:textId="77777777" w:rsidR="00B02A2F" w:rsidRPr="00B70AE9" w:rsidRDefault="00B02A2F" w:rsidP="00B70AE9">
      <w:pPr>
        <w:pStyle w:val="ListBullet"/>
      </w:pPr>
      <w:r w:rsidRPr="00B70AE9">
        <w:t>Proportion of patients achieving ASAS40 response</w:t>
      </w:r>
    </w:p>
    <w:p w14:paraId="3A063560" w14:textId="2F3DF55C" w:rsidR="00B02A2F" w:rsidRPr="00B70AE9" w:rsidRDefault="00B02A2F" w:rsidP="00B70AE9">
      <w:pPr>
        <w:pStyle w:val="ListBullet"/>
      </w:pPr>
      <w:r w:rsidRPr="00B70AE9">
        <w:t>Mean change from baseline in Bath Ankylosing Spondylitis Disease Activity Index (BASDAI)</w:t>
      </w:r>
      <w:r w:rsidR="009F4F36">
        <w:t>;</w:t>
      </w:r>
      <w:r w:rsidRPr="00AC3C81">
        <w:rPr>
          <w:vertAlign w:val="superscript"/>
        </w:rPr>
        <w:footnoteReference w:id="30"/>
      </w:r>
    </w:p>
    <w:p w14:paraId="1B3A82D0" w14:textId="77777777" w:rsidR="00B02A2F" w:rsidRPr="00B70AE9" w:rsidRDefault="00B02A2F" w:rsidP="00B70AE9">
      <w:pPr>
        <w:pStyle w:val="ListBullet"/>
      </w:pPr>
      <w:r w:rsidRPr="00B70AE9">
        <w:t>Mean change from baseline in Bath Ankylosing Spondylitis Functional Index (BASFI)</w:t>
      </w:r>
    </w:p>
    <w:p w14:paraId="2EB91E5C" w14:textId="77777777" w:rsidR="00B02A2F" w:rsidRPr="00B70AE9" w:rsidRDefault="00B02A2F" w:rsidP="00B70AE9">
      <w:pPr>
        <w:pStyle w:val="ListBullet"/>
      </w:pPr>
      <w:r w:rsidRPr="00B70AE9">
        <w:t>Mean change from baseline in Bath Ankylosing Spondylitis Metrology Index (BASMI)</w:t>
      </w:r>
    </w:p>
    <w:p w14:paraId="0ECE7D20" w14:textId="77777777" w:rsidR="00B02A2F" w:rsidRPr="00B70AE9" w:rsidRDefault="00B02A2F" w:rsidP="00B70AE9">
      <w:pPr>
        <w:pStyle w:val="ListBullet"/>
      </w:pPr>
      <w:r w:rsidRPr="00B70AE9">
        <w:lastRenderedPageBreak/>
        <w:t>Mean change from baseline in chest expansion.</w:t>
      </w:r>
    </w:p>
    <w:p w14:paraId="22A2F5F7" w14:textId="77777777" w:rsidR="00B02A2F" w:rsidRPr="005C4BCA" w:rsidRDefault="00B02A2F" w:rsidP="00B02A2F">
      <w:r w:rsidRPr="005C4BCA">
        <w:t xml:space="preserve">Patients were randomised to study drug in a 1:1 ratio. A total of 370 patients were screened and 250 patients were randomly assigned to study treatment (125 patients in each treatment group). More than 80% of patients in each of the treatment groups completed 54 </w:t>
      </w:r>
      <w:r>
        <w:t>week</w:t>
      </w:r>
      <w:r w:rsidRPr="005C4BCA">
        <w:t>s of follow-up in the study.</w:t>
      </w:r>
    </w:p>
    <w:p w14:paraId="60C2C731" w14:textId="00A82533" w:rsidR="00B02A2F" w:rsidRPr="005C4BCA" w:rsidRDefault="00B02A2F" w:rsidP="00B02A2F">
      <w:r w:rsidRPr="005C4BCA">
        <w:t>Demographic characteristics were similar in the 2 treatment groups and were reflective of the AS population that may receive infliximab in clinical practice. The mean age of patients was 48.8 years (median 50 years). As expected, the majority of patients were male (80.8%; 202</w:t>
      </w:r>
      <w:r>
        <w:t xml:space="preserve"> out of </w:t>
      </w:r>
      <w:r w:rsidRPr="005C4BCA">
        <w:t>250) with a median age of 38 years.</w:t>
      </w:r>
      <w:r>
        <w:t xml:space="preserve"> The majority of patients were W</w:t>
      </w:r>
      <w:r w:rsidRPr="005C4BCA">
        <w:t>hite (75.6%; 189</w:t>
      </w:r>
      <w:r>
        <w:t xml:space="preserve"> out of </w:t>
      </w:r>
      <w:r w:rsidRPr="005C4BCA">
        <w:t>250) and recruited from European centres (69.2%; 173</w:t>
      </w:r>
      <w:r>
        <w:t xml:space="preserve"> out of </w:t>
      </w:r>
      <w:r w:rsidRPr="005C4BCA">
        <w:t>250). The mean BMI (SD) of enrolled patients was 25.6 (4.25) kg/m</w:t>
      </w:r>
      <w:r w:rsidRPr="001D46B5">
        <w:rPr>
          <w:vertAlign w:val="superscript"/>
        </w:rPr>
        <w:t>2</w:t>
      </w:r>
      <w:r w:rsidRPr="005C4BCA">
        <w:t>. Most patients (&gt; 90</w:t>
      </w:r>
      <w:r w:rsidR="002E551D">
        <w:t xml:space="preserve"> </w:t>
      </w:r>
      <w:r w:rsidRPr="005C4BCA">
        <w:t>%) in each treatment group were receiving anti-inflammatory and anti-r</w:t>
      </w:r>
      <w:r>
        <w:t>heumatic medicines at baseline.</w:t>
      </w:r>
    </w:p>
    <w:p w14:paraId="2B608110" w14:textId="77777777" w:rsidR="00B02A2F" w:rsidRPr="005C4BCA" w:rsidRDefault="00B02A2F" w:rsidP="00B02A2F">
      <w:r w:rsidRPr="005C4BCA">
        <w:t>The mean BASDAI and BASFI scores at baseline were similar for the CT-P13 (6.74 and 6.20, respectively) and Remicade groups (6.57 and 6.24, respectively).</w:t>
      </w:r>
    </w:p>
    <w:p w14:paraId="3044099F" w14:textId="708C1A25" w:rsidR="00B02A2F" w:rsidRDefault="00B02A2F" w:rsidP="00B02A2F">
      <w:r w:rsidRPr="005C4BCA">
        <w:t xml:space="preserve">The proportions of patients achieving a clinical response satisfying the ASAS20 and ASAS40 criteria at </w:t>
      </w:r>
      <w:r>
        <w:t>Weeks</w:t>
      </w:r>
      <w:r w:rsidRPr="005C4BCA">
        <w:t xml:space="preserve"> 14, 30 and 54 were comparable in the test and reference treatment groups. These results are </w:t>
      </w:r>
      <w:r w:rsidRPr="001D46B5">
        <w:t xml:space="preserve">shown in Table </w:t>
      </w:r>
      <w:r w:rsidR="007123DC">
        <w:t>14</w:t>
      </w:r>
      <w:r w:rsidRPr="001D46B5">
        <w:t>.</w:t>
      </w:r>
    </w:p>
    <w:p w14:paraId="3D31E530" w14:textId="0B2543E2" w:rsidR="000A3EFE" w:rsidRDefault="000A3EFE" w:rsidP="000A3EFE">
      <w:pPr>
        <w:pStyle w:val="TableTitle"/>
      </w:pPr>
      <w:r>
        <w:t xml:space="preserve">Table </w:t>
      </w:r>
      <w:r w:rsidR="007123DC">
        <w:t>14</w:t>
      </w:r>
      <w:r>
        <w:t xml:space="preserve">. </w:t>
      </w:r>
      <w:r w:rsidRPr="004A770F">
        <w:t xml:space="preserve">CT-P13 3.1: </w:t>
      </w:r>
      <w:r w:rsidRPr="000A3EFE">
        <w:t>Proportion of patients achieving clinical response according to the A</w:t>
      </w:r>
      <w:r>
        <w:t>SAS20 and ASAS</w:t>
      </w:r>
      <w:r w:rsidRPr="000A3EFE">
        <w:t xml:space="preserve">40 criteria </w:t>
      </w:r>
      <w:r>
        <w:t>(</w:t>
      </w:r>
      <w:r w:rsidR="009F4F36">
        <w:t>W</w:t>
      </w:r>
      <w:r w:rsidRPr="000A3EFE">
        <w:t xml:space="preserve">eeks </w:t>
      </w:r>
      <w:r>
        <w:t>1</w:t>
      </w:r>
      <w:r w:rsidRPr="000A3EFE">
        <w:t>4,</w:t>
      </w:r>
      <w:r w:rsidR="009F4F36">
        <w:t xml:space="preserve"> </w:t>
      </w:r>
      <w:r w:rsidRPr="000A3EFE">
        <w:t>30 and 54</w:t>
      </w:r>
      <w:r>
        <w:t>)</w:t>
      </w:r>
      <w:r w:rsidR="009F4F36">
        <w:t xml:space="preserve">; </w:t>
      </w:r>
      <w:r w:rsidRPr="000A3EFE">
        <w:t xml:space="preserve">all-randomised </w:t>
      </w:r>
      <w:r>
        <w:t>p</w:t>
      </w:r>
      <w:r w:rsidRPr="000A3EFE">
        <w:t>opulation - CT-PI3 t. t</w:t>
      </w:r>
    </w:p>
    <w:p w14:paraId="3E3246C4" w14:textId="77777777" w:rsidR="000A3EFE" w:rsidRDefault="000A3EFE" w:rsidP="00B02A2F">
      <w:r>
        <w:rPr>
          <w:noProof/>
          <w:lang w:eastAsia="en-AU"/>
        </w:rPr>
        <w:drawing>
          <wp:inline distT="0" distB="0" distL="0" distR="0" wp14:anchorId="2EA704F6" wp14:editId="1B5E9793">
            <wp:extent cx="5400040" cy="370713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00040" cy="3707130"/>
                    </a:xfrm>
                    <a:prstGeom prst="rect">
                      <a:avLst/>
                    </a:prstGeom>
                  </pic:spPr>
                </pic:pic>
              </a:graphicData>
            </a:graphic>
          </wp:inline>
        </w:drawing>
      </w:r>
    </w:p>
    <w:p w14:paraId="29D1AF5C" w14:textId="77777777" w:rsidR="00B02A2F" w:rsidRPr="005C4BCA" w:rsidRDefault="00B02A2F" w:rsidP="00B02A2F">
      <w:pPr>
        <w:pStyle w:val="Heading4"/>
      </w:pPr>
      <w:r w:rsidRPr="005C4BCA">
        <w:t>Justification for extension of approval to all approved Remicade indications</w:t>
      </w:r>
    </w:p>
    <w:p w14:paraId="6C41344F" w14:textId="5767D4B1" w:rsidR="00B02A2F" w:rsidRPr="00254287" w:rsidRDefault="000A3EFE" w:rsidP="00B02A2F">
      <w:r>
        <w:t xml:space="preserve">The clinical evaluator discussed the </w:t>
      </w:r>
      <w:r w:rsidR="00B02A2F" w:rsidRPr="00254287">
        <w:t xml:space="preserve">possible mechanisms of action of the class of TNFα inhibitors. The evaluator concludes that extrapolation of the PK and efficacy data generated in the three trials in this submission which examined adult patients with RA and AS to other approved indications for Remicade such as active CD is justifiable on the basis of the results of extensive pre-clinical studies supported by the evidence that AS and CD </w:t>
      </w:r>
      <w:r w:rsidR="00B02A2F" w:rsidRPr="00254287">
        <w:lastRenderedPageBreak/>
        <w:t>share similar and overlapping pathophysiological immunological mechanisms and clinical features.</w:t>
      </w:r>
    </w:p>
    <w:p w14:paraId="1C80BD60" w14:textId="45577E37" w:rsidR="00B02A2F" w:rsidRPr="00254287" w:rsidRDefault="00B02A2F" w:rsidP="00B02A2F">
      <w:r w:rsidRPr="00254287">
        <w:t xml:space="preserve">As noted by the evaluator, initial data at least suggest that the effects of TNFα blockade on synovial inflammation are comparable in the different forms of autoimmune inflammatory arthritis. Furthermore, the similarity of efficacy of the various TNFα antagonists with very different structures in the different indications, particularly the </w:t>
      </w:r>
      <w:proofErr w:type="spellStart"/>
      <w:r w:rsidRPr="00254287">
        <w:t>rheumatological</w:t>
      </w:r>
      <w:proofErr w:type="spellEnd"/>
      <w:r w:rsidRPr="00254287">
        <w:t xml:space="preserve"> indications, does suggest the primacy of TNFα blockade in those different indications. </w:t>
      </w:r>
      <w:r>
        <w:t>The D</w:t>
      </w:r>
      <w:r w:rsidRPr="00254287">
        <w:t xml:space="preserve">elegate agrees that the data in this submission may be extrapolated to </w:t>
      </w:r>
      <w:proofErr w:type="spellStart"/>
      <w:r>
        <w:t>PsA</w:t>
      </w:r>
      <w:r w:rsidRPr="00254287">
        <w:t>.</w:t>
      </w:r>
      <w:proofErr w:type="spellEnd"/>
      <w:r w:rsidRPr="00254287">
        <w:t xml:space="preserve"> Please see </w:t>
      </w:r>
      <w:r>
        <w:t>the reviews by clinical units 1 and 4</w:t>
      </w:r>
      <w:r w:rsidRPr="00254287">
        <w:t xml:space="preserve"> </w:t>
      </w:r>
      <w:r w:rsidR="00AC3C81">
        <w:t xml:space="preserve">(Attachment </w:t>
      </w:r>
      <w:r w:rsidR="000A3EFE">
        <w:t>2</w:t>
      </w:r>
      <w:r w:rsidR="00AC3C81">
        <w:t xml:space="preserve">) </w:t>
      </w:r>
      <w:r w:rsidRPr="00254287">
        <w:t>for discussion on the other indications.</w:t>
      </w:r>
    </w:p>
    <w:p w14:paraId="11EDDD53" w14:textId="77777777" w:rsidR="00B02A2F" w:rsidRPr="00254287" w:rsidRDefault="00B02A2F" w:rsidP="00B02A2F">
      <w:pPr>
        <w:pStyle w:val="Heading4"/>
      </w:pPr>
      <w:r w:rsidRPr="00254287">
        <w:t>Safety</w:t>
      </w:r>
    </w:p>
    <w:p w14:paraId="6D507DA2" w14:textId="32959B8A" w:rsidR="00B02A2F" w:rsidRPr="00254287" w:rsidRDefault="00B02A2F" w:rsidP="00B02A2F">
      <w:r w:rsidRPr="00254287">
        <w:t>The total safety population in the clinical dossier consisted of 871 patients who were treated with at least 1 dose (full or partial) of either CT-P13 or Remicade during any dosing period. Of these, 621 patients had active RA (311 treated with CT-P13, and 309 received Remicade). A total of 250 patients with acute AS received infliximab in Study</w:t>
      </w:r>
      <w:r w:rsidR="009F4F36">
        <w:t> </w:t>
      </w:r>
      <w:r w:rsidRPr="00254287">
        <w:t>CT</w:t>
      </w:r>
      <w:r w:rsidR="009F4F36">
        <w:noBreakHyphen/>
      </w:r>
      <w:r w:rsidRPr="00254287">
        <w:t>P13 1.1, 128 were treated with CT-P13 and 122 received Remicade. Overall, 242 patients with RA and 106 patients with AS were expos</w:t>
      </w:r>
      <w:r>
        <w:t>ed to CT-P13 for 54 weeks. The D</w:t>
      </w:r>
      <w:r w:rsidRPr="00254287">
        <w:t>elegate agrees with the clinical evaluator that the size of this safety population and the duration of exposure to the medication are acceptable and are in keeping with the r</w:t>
      </w:r>
      <w:r>
        <w:t xml:space="preserve">elevant EMA guidelines for long </w:t>
      </w:r>
      <w:r w:rsidRPr="00254287">
        <w:t>term prescribing</w:t>
      </w:r>
      <w:r>
        <w:t>.</w:t>
      </w:r>
      <w:r w:rsidRPr="00303665">
        <w:rPr>
          <w:vertAlign w:val="superscript"/>
        </w:rPr>
        <w:fldChar w:fldCharType="begin"/>
      </w:r>
      <w:r w:rsidRPr="00303665">
        <w:rPr>
          <w:vertAlign w:val="superscript"/>
        </w:rPr>
        <w:instrText xml:space="preserve"> NOTEREF _Ref442876395 \h </w:instrText>
      </w:r>
      <w:r>
        <w:rPr>
          <w:vertAlign w:val="superscript"/>
        </w:rPr>
        <w:instrText xml:space="preserve"> \* MERGEFORMAT </w:instrText>
      </w:r>
      <w:r w:rsidRPr="00303665">
        <w:rPr>
          <w:vertAlign w:val="superscript"/>
        </w:rPr>
      </w:r>
      <w:r w:rsidRPr="00303665">
        <w:rPr>
          <w:vertAlign w:val="superscript"/>
        </w:rPr>
        <w:fldChar w:fldCharType="separate"/>
      </w:r>
      <w:r w:rsidR="00B461DE">
        <w:rPr>
          <w:vertAlign w:val="superscript"/>
        </w:rPr>
        <w:t>12</w:t>
      </w:r>
      <w:r w:rsidRPr="00303665">
        <w:rPr>
          <w:vertAlign w:val="superscript"/>
        </w:rPr>
        <w:fldChar w:fldCharType="end"/>
      </w:r>
      <w:r>
        <w:t xml:space="preserve"> </w:t>
      </w:r>
      <w:r w:rsidRPr="00254287">
        <w:t>However, rare differences in the safety profile may not emerge until post-marketing.</w:t>
      </w:r>
    </w:p>
    <w:p w14:paraId="43F0B0CE" w14:textId="77777777" w:rsidR="00B02A2F" w:rsidRPr="00254287" w:rsidRDefault="00B02A2F" w:rsidP="00B02A2F">
      <w:pPr>
        <w:pStyle w:val="Heading5"/>
      </w:pPr>
      <w:r>
        <w:t xml:space="preserve">Treatment </w:t>
      </w:r>
      <w:r w:rsidRPr="00254287">
        <w:t>related AEs</w:t>
      </w:r>
    </w:p>
    <w:p w14:paraId="03BB998B" w14:textId="77777777" w:rsidR="00B02A2F" w:rsidRPr="00254287" w:rsidRDefault="00B02A2F" w:rsidP="00B02A2F">
      <w:r w:rsidRPr="00254287">
        <w:t>In the pivotal study in patients with RA, CT</w:t>
      </w:r>
      <w:r>
        <w:t>-P13 3.1, treatment emergent adverse events (</w:t>
      </w:r>
      <w:r w:rsidRPr="00254287">
        <w:t>TEAEs</w:t>
      </w:r>
      <w:r>
        <w:t>)</w:t>
      </w:r>
      <w:r w:rsidRPr="00254287">
        <w:t xml:space="preserve"> that were conside</w:t>
      </w:r>
      <w:r>
        <w:t xml:space="preserve">red by investigators to be drug </w:t>
      </w:r>
      <w:r w:rsidRPr="00254287">
        <w:t>related, were recorded in 131 (43.4% of 302) patients treated with CT-P13, and 134 (44.7% of 300) subjects treated with Remicade. The most frequently</w:t>
      </w:r>
      <w:r>
        <w:t xml:space="preserve"> reported treatment </w:t>
      </w:r>
      <w:r w:rsidRPr="00254287">
        <w:t>related TEAEs for patients in the CT-P13 treatment group were latent TB (21 patie</w:t>
      </w:r>
      <w:r>
        <w:t xml:space="preserve">nts, 7.0%) followed by infusion </w:t>
      </w:r>
      <w:r w:rsidRPr="00254287">
        <w:t xml:space="preserve">related reactions, </w:t>
      </w:r>
      <w:proofErr w:type="spellStart"/>
      <w:r w:rsidRPr="00254287">
        <w:t>nasopharyngitis</w:t>
      </w:r>
      <w:proofErr w:type="spellEnd"/>
      <w:r w:rsidRPr="00254287">
        <w:t xml:space="preserve">, increased serum </w:t>
      </w:r>
      <w:r>
        <w:t>a</w:t>
      </w:r>
      <w:r w:rsidRPr="005F0140">
        <w:t xml:space="preserve">lanine aminotransferase </w:t>
      </w:r>
      <w:r>
        <w:t>(</w:t>
      </w:r>
      <w:r w:rsidRPr="00254287">
        <w:t>ALT</w:t>
      </w:r>
      <w:r>
        <w:t>)</w:t>
      </w:r>
      <w:r w:rsidRPr="00254287">
        <w:t>, and upper respiratory tract infection (all recorded in 10 patients, 3.3% each), and urinary tract infection (8 patients, 2.6%). The most frequently reported TEAEs considered to be related to Remicade were latent TB (19 patie</w:t>
      </w:r>
      <w:r>
        <w:t xml:space="preserve">nts, 6.3%) followed by infusion </w:t>
      </w:r>
      <w:r w:rsidRPr="00254287">
        <w:t xml:space="preserve">related reactions, increased serum ALT, and drug hypersensitivity (all recorded in 11 patients, 3.7% each), urinary tract infection (9 patients, 3.0%), and bronchitis, increased serum </w:t>
      </w:r>
      <w:r>
        <w:t>a</w:t>
      </w:r>
      <w:r w:rsidRPr="005F0140">
        <w:t xml:space="preserve">spartate aminotransferase </w:t>
      </w:r>
      <w:r>
        <w:t>(</w:t>
      </w:r>
      <w:r w:rsidRPr="00254287">
        <w:t>AST</w:t>
      </w:r>
      <w:r>
        <w:t>)</w:t>
      </w:r>
      <w:r w:rsidRPr="00254287">
        <w:t>, and headache (7 patients, 2.3% each). A similar pattern of treatment-related TEAEs was observed between the 2 treatment groups in the pivotal study.</w:t>
      </w:r>
    </w:p>
    <w:p w14:paraId="4EFE20A5" w14:textId="77777777" w:rsidR="00B02A2F" w:rsidRPr="00254287" w:rsidRDefault="00B02A2F" w:rsidP="00B02A2F">
      <w:r w:rsidRPr="00254287">
        <w:t xml:space="preserve">In the supportive study in patients with AS, Study CT-P13 1.1, TEAEs </w:t>
      </w:r>
      <w:r>
        <w:t xml:space="preserve">that were considered to be drug </w:t>
      </w:r>
      <w:r w:rsidRPr="00254287">
        <w:t>related by investigators were reported in 62 (48.4%) patients in the CT-P13 group, and 63 (51.6%) subjects in the Remicade arm. There did not appear to be any significant treatment related differences in</w:t>
      </w:r>
      <w:r>
        <w:t xml:space="preserve"> the number and pattern of drug </w:t>
      </w:r>
      <w:r w:rsidRPr="00254287">
        <w:t>related TEAEs observed. Latent TB was seen in 5.5%</w:t>
      </w:r>
      <w:r>
        <w:t xml:space="preserve"> on CT-P13 versus 4.1% on Remicade.</w:t>
      </w:r>
    </w:p>
    <w:p w14:paraId="063727CC" w14:textId="38DCDEDC" w:rsidR="00B02A2F" w:rsidRPr="00254287" w:rsidRDefault="00B02A2F" w:rsidP="00B02A2F">
      <w:r>
        <w:t xml:space="preserve">Given the small numbers of drug </w:t>
      </w:r>
      <w:r w:rsidRPr="00254287">
        <w:t xml:space="preserve">related AEs and the small numbers in each treatment group in the pilot Phase I study in patients with RA, CT-P13 1.2, no robust conclusions can be drawn. However, there were no significant safety </w:t>
      </w:r>
      <w:r w:rsidR="002E551D" w:rsidRPr="00254287">
        <w:t>sig</w:t>
      </w:r>
      <w:r w:rsidR="002E551D">
        <w:t>nals that</w:t>
      </w:r>
      <w:r>
        <w:t xml:space="preserve"> could be identified.</w:t>
      </w:r>
    </w:p>
    <w:p w14:paraId="0CFE6606" w14:textId="77777777" w:rsidR="00B02A2F" w:rsidRPr="00254287" w:rsidRDefault="00B02A2F" w:rsidP="00B02A2F">
      <w:pPr>
        <w:pStyle w:val="Heading5"/>
      </w:pPr>
      <w:r w:rsidRPr="00254287">
        <w:t>Deaths and other serious adverse events, discontinuations</w:t>
      </w:r>
    </w:p>
    <w:p w14:paraId="169CAE67" w14:textId="77777777" w:rsidR="00B02A2F" w:rsidRPr="00254287" w:rsidRDefault="00B02A2F" w:rsidP="00B02A2F">
      <w:r w:rsidRPr="00254287">
        <w:t>One sudden death was reported in the pivotal RA trial, CT-P13 3.1, in a patient who received Remicade. The cause of death was unknown but it was not considered related to treatment. In the supportive study in AS patients, CT-P13 1.1, there were two deaths reported, one in each group and each due to a motor vehicle accident. There were no deaths reported in the small study in RA patients, CT-P13 1.2.</w:t>
      </w:r>
    </w:p>
    <w:p w14:paraId="13DB5E11" w14:textId="77777777" w:rsidR="00B02A2F" w:rsidRPr="00254287" w:rsidRDefault="00B02A2F" w:rsidP="00B02A2F">
      <w:r w:rsidRPr="00254287">
        <w:lastRenderedPageBreak/>
        <w:t xml:space="preserve">In the pivotal study in patients with RA, CT-P13 3.1, more </w:t>
      </w:r>
      <w:r>
        <w:t>treatment emergent serious adverse events (TE</w:t>
      </w:r>
      <w:r w:rsidRPr="00254287">
        <w:t>SAEs</w:t>
      </w:r>
      <w:r>
        <w:t>)</w:t>
      </w:r>
      <w:r w:rsidRPr="00254287">
        <w:t xml:space="preserve"> wer</w:t>
      </w:r>
      <w:r>
        <w:t>e reported in the CT-P13 group (</w:t>
      </w:r>
      <w:r w:rsidRPr="00254287">
        <w:t>42</w:t>
      </w:r>
      <w:r>
        <w:t xml:space="preserve"> out of 302 patients, 13.9%)</w:t>
      </w:r>
      <w:r w:rsidRPr="00254287">
        <w:t xml:space="preserve"> compared with the Remicade group </w:t>
      </w:r>
      <w:r>
        <w:t>(</w:t>
      </w:r>
      <w:r w:rsidRPr="00254287">
        <w:t>30</w:t>
      </w:r>
      <w:r>
        <w:t xml:space="preserve"> out of </w:t>
      </w:r>
      <w:r w:rsidRPr="00254287">
        <w:t>300 patients, 10.0%</w:t>
      </w:r>
      <w:r>
        <w:t>)</w:t>
      </w:r>
      <w:r w:rsidRPr="00254287">
        <w:t xml:space="preserve"> but no statistical analysis was provided comparing the difference. The numbers of each individual type of </w:t>
      </w:r>
      <w:r>
        <w:t>TE</w:t>
      </w:r>
      <w:r w:rsidRPr="00254287">
        <w:t xml:space="preserve">SAE were small. The significance of this difference is not clear. There was a numerically lower number of TEAEs that led to discontinuation of treatment compared to the Remicade group in this study </w:t>
      </w:r>
      <w:r>
        <w:t>(</w:t>
      </w:r>
      <w:r w:rsidRPr="00254287">
        <w:t>33</w:t>
      </w:r>
      <w:r>
        <w:t xml:space="preserve"> out of </w:t>
      </w:r>
      <w:r w:rsidRPr="00254287">
        <w:t xml:space="preserve">302 patients, 10.9% for CT-P13 </w:t>
      </w:r>
      <w:r>
        <w:t>versus</w:t>
      </w:r>
      <w:r w:rsidRPr="00254287">
        <w:t>. 45</w:t>
      </w:r>
      <w:r>
        <w:t xml:space="preserve"> out of </w:t>
      </w:r>
      <w:r w:rsidRPr="00254287">
        <w:t>300 patients, 15.0% for Remicade</w:t>
      </w:r>
      <w:r>
        <w:t>)</w:t>
      </w:r>
      <w:r w:rsidRPr="00254287">
        <w:t xml:space="preserve">. In the supportive study in AS patients, CT-P13 1.1, a total of 16 patients with AS experienced SAEs: 8 (6.3%) patients in the CT-P13 group reported 10 SAEs, and 8 (6.6%) patients in the Remicade arm recorded 11 SAEs. One patient in each treatment group in the small, pilot Phase I study, CT-P13 1.2, experienced SAEs. Similar numbers of patients in each treatment group discontinued in the supportive study in AS and in </w:t>
      </w:r>
      <w:r>
        <w:t xml:space="preserve">the small, pilot Phase I </w:t>
      </w:r>
      <w:r w:rsidRPr="00254287">
        <w:t>study.</w:t>
      </w:r>
    </w:p>
    <w:p w14:paraId="61B471F0" w14:textId="77777777" w:rsidR="00B02A2F" w:rsidRPr="00254287" w:rsidRDefault="00B02A2F" w:rsidP="00B02A2F">
      <w:pPr>
        <w:pStyle w:val="Heading5"/>
      </w:pPr>
      <w:r w:rsidRPr="00254287">
        <w:t xml:space="preserve">Laboratory </w:t>
      </w:r>
      <w:r w:rsidR="001F37C3">
        <w:t>t</w:t>
      </w:r>
      <w:r w:rsidRPr="00254287">
        <w:t>ests</w:t>
      </w:r>
    </w:p>
    <w:p w14:paraId="6283F421" w14:textId="1B8410F2" w:rsidR="00B02A2F" w:rsidRPr="00254287" w:rsidRDefault="00B02A2F" w:rsidP="00B02A2F">
      <w:r w:rsidRPr="00254287">
        <w:t xml:space="preserve">There did not appear to be any significant differences, </w:t>
      </w:r>
      <w:r w:rsidR="002E551D" w:rsidRPr="00254287">
        <w:t>in either the rates or the</w:t>
      </w:r>
      <w:r w:rsidR="002E551D">
        <w:t xml:space="preserve"> </w:t>
      </w:r>
      <w:r w:rsidRPr="00254287">
        <w:t xml:space="preserve">types of abnormal laboratory tests in any of the three clinical studies in the dossier. One case of </w:t>
      </w:r>
      <w:r>
        <w:t>drug related</w:t>
      </w:r>
      <w:r w:rsidRPr="00254287">
        <w:t xml:space="preserve"> serious </w:t>
      </w:r>
      <w:proofErr w:type="spellStart"/>
      <w:r w:rsidRPr="00254287">
        <w:t>neutrop</w:t>
      </w:r>
      <w:r w:rsidR="009F4F36">
        <w:t>a</w:t>
      </w:r>
      <w:r w:rsidRPr="00254287">
        <w:t>enia</w:t>
      </w:r>
      <w:proofErr w:type="spellEnd"/>
      <w:r w:rsidRPr="00254287">
        <w:t xml:space="preserve"> and one of serious </w:t>
      </w:r>
      <w:proofErr w:type="spellStart"/>
      <w:r w:rsidRPr="00254287">
        <w:t>hepato</w:t>
      </w:r>
      <w:proofErr w:type="spellEnd"/>
      <w:r w:rsidRPr="00254287">
        <w:t xml:space="preserve">-biliary disturbance were reported. </w:t>
      </w:r>
      <w:r>
        <w:t xml:space="preserve">There were no </w:t>
      </w:r>
      <w:r w:rsidR="009F4F36">
        <w:t>electrocardiogram (</w:t>
      </w:r>
      <w:r>
        <w:t>ECG</w:t>
      </w:r>
      <w:r w:rsidR="009F4F36">
        <w:t>)</w:t>
      </w:r>
      <w:r>
        <w:t xml:space="preserve"> </w:t>
      </w:r>
      <w:r w:rsidRPr="00254287">
        <w:t>related safety concerns.</w:t>
      </w:r>
    </w:p>
    <w:p w14:paraId="7B397E0F" w14:textId="77777777" w:rsidR="00B02A2F" w:rsidRPr="00254287" w:rsidRDefault="00B02A2F" w:rsidP="00B02A2F">
      <w:pPr>
        <w:pStyle w:val="Heading5"/>
      </w:pPr>
      <w:r w:rsidRPr="00254287">
        <w:t>Adverse events of special interest</w:t>
      </w:r>
    </w:p>
    <w:p w14:paraId="67A6111D" w14:textId="77777777" w:rsidR="00B02A2F" w:rsidRPr="00254287" w:rsidRDefault="00B02A2F" w:rsidP="00B02A2F">
      <w:pPr>
        <w:pStyle w:val="Heading6"/>
      </w:pPr>
      <w:r w:rsidRPr="00254287">
        <w:t>Infections</w:t>
      </w:r>
    </w:p>
    <w:p w14:paraId="68EB758D" w14:textId="77777777" w:rsidR="00B02A2F" w:rsidRPr="00254287" w:rsidRDefault="00B02A2F" w:rsidP="00B02A2F">
      <w:r w:rsidRPr="00254287">
        <w:t xml:space="preserve">The overall number of TEAEs due to infections was comparable between the treatment groups receiving either formulation of infliximab. However when the safety results (up to </w:t>
      </w:r>
      <w:r>
        <w:t>Week</w:t>
      </w:r>
      <w:r w:rsidRPr="00254287">
        <w:t xml:space="preserve"> 54) of the 3 studies were combined there was a higher number of serious infections in the CT-P13 treated subjects versus those who received Remicade. In total, 18 serious infections were reported across all studies in 16 patients treated with CT-P13 compared with 12 serious infections in 10 patients treated with Remicade. In particular, these serious infections included 5 cases of pneumonia in patients treated with CT-P13 versus no reports in those receiving Remicade. In addition, a total of 7 cases of active TB (including 3 cases of disseminated TB) occurred in patients treated with CT-P13 (1.6% of 437) compared with 1 case (0.2% of 431) in patients treated with Remicade. Infections including disseminated and extra-pulmonary cases of TB have been previously reported with Remicade and other TNFα inhibitors. Although the overall number of events was low and it is difficult to draw a clear conclusion from this observation, the clinical evaluator did ask the sponsor to provide further clarification on this issue.</w:t>
      </w:r>
    </w:p>
    <w:p w14:paraId="2C099145" w14:textId="77777777" w:rsidR="00B02A2F" w:rsidRPr="00254287" w:rsidRDefault="00B02A2F" w:rsidP="00B02A2F">
      <w:r w:rsidRPr="00254287">
        <w:t>There were no reports of hepatitis B reactivation from any of the studies.</w:t>
      </w:r>
    </w:p>
    <w:p w14:paraId="0616BEE4" w14:textId="77777777" w:rsidR="00B02A2F" w:rsidRPr="00254287" w:rsidRDefault="00B02A2F" w:rsidP="00B02A2F">
      <w:pPr>
        <w:pStyle w:val="Heading6"/>
      </w:pPr>
      <w:r w:rsidRPr="00254287">
        <w:t>Infusion-related reactions</w:t>
      </w:r>
    </w:p>
    <w:p w14:paraId="31A5D47F" w14:textId="2C8756DE" w:rsidR="00B02A2F" w:rsidRPr="00254287" w:rsidRDefault="00B02A2F" w:rsidP="00B02A2F">
      <w:r w:rsidRPr="00254287">
        <w:t xml:space="preserve">Reactions related to infusion of study medication occurred in Study CT-P13 3.1 (both treatment groups), and Study CT-P13 1.1 (Remicade group only). None of the SAEs was indicative of a delayed hypersensitivity reaction. </w:t>
      </w:r>
      <w:r>
        <w:t>Drug related</w:t>
      </w:r>
      <w:r w:rsidRPr="00254287">
        <w:t xml:space="preserve"> infections occurred at a similar rate in patients receiving CT-P13 and Remicade in all 3 studies. However, in Study</w:t>
      </w:r>
      <w:r w:rsidR="009F4F36">
        <w:t> </w:t>
      </w:r>
      <w:r w:rsidRPr="00254287">
        <w:t>CT-P 3.1 a higher number of subjects treated with CT-P13 (4</w:t>
      </w:r>
      <w:r>
        <w:t xml:space="preserve"> out of </w:t>
      </w:r>
      <w:r w:rsidRPr="00254287">
        <w:t>302) were reported to have experienced anaphylactic reactions compared to Remicade (1</w:t>
      </w:r>
      <w:r>
        <w:t xml:space="preserve"> out of </w:t>
      </w:r>
      <w:r w:rsidRPr="00254287">
        <w:t>300) and the significance of this observation remains unclear. The sponsor did respond to a question asked on this issue in the first set of questions.</w:t>
      </w:r>
    </w:p>
    <w:p w14:paraId="41D5D14C" w14:textId="77777777" w:rsidR="00B02A2F" w:rsidRPr="00254287" w:rsidRDefault="00B02A2F" w:rsidP="00B02A2F">
      <w:pPr>
        <w:pStyle w:val="Heading6"/>
      </w:pPr>
      <w:r w:rsidRPr="00254287">
        <w:t>Lymphoproliferative disorders</w:t>
      </w:r>
    </w:p>
    <w:p w14:paraId="42CB1D30" w14:textId="77777777" w:rsidR="00B02A2F" w:rsidRPr="00254287" w:rsidRDefault="00B02A2F" w:rsidP="00B02A2F">
      <w:r w:rsidRPr="00254287">
        <w:t>No patients in the CT-P13 clinical development program were diagnosed with lymphoproliferative disorder during the follow up periods, which extended to a maximum of 54 weeks. However, as noted by the clinical evaluator, the duration of follow up is possibly too short in duration for any potential safety signal to be identified.</w:t>
      </w:r>
    </w:p>
    <w:p w14:paraId="052B8658" w14:textId="77777777" w:rsidR="00B02A2F" w:rsidRPr="00254287" w:rsidRDefault="00B02A2F" w:rsidP="00B02A2F">
      <w:pPr>
        <w:pStyle w:val="Heading6"/>
      </w:pPr>
      <w:r w:rsidRPr="00254287">
        <w:lastRenderedPageBreak/>
        <w:t>Immunogenicity</w:t>
      </w:r>
    </w:p>
    <w:p w14:paraId="71CD9184" w14:textId="77777777" w:rsidR="00B02A2F" w:rsidRPr="00254287" w:rsidRDefault="00B02A2F" w:rsidP="00B02A2F">
      <w:r w:rsidRPr="00254287">
        <w:t>There were no clear differences in the proportions of patients who developed anti-drug antibodies between the test and reference treatment groups in the total clinical dataset.</w:t>
      </w:r>
    </w:p>
    <w:p w14:paraId="765473F4" w14:textId="77777777" w:rsidR="00B02A2F" w:rsidRPr="00254287" w:rsidRDefault="00B02A2F" w:rsidP="00B02A2F">
      <w:pPr>
        <w:pStyle w:val="Heading5"/>
      </w:pPr>
      <w:r w:rsidRPr="00254287">
        <w:t>Safety conclusions</w:t>
      </w:r>
    </w:p>
    <w:p w14:paraId="20F15359" w14:textId="77777777" w:rsidR="00B02A2F" w:rsidRPr="00D31095" w:rsidRDefault="00B02A2F" w:rsidP="00B02A2F">
      <w:r>
        <w:t>The D</w:t>
      </w:r>
      <w:r w:rsidRPr="00D31095">
        <w:t>elegate would agree that the analysis of AEs reported during treatment with CT-P13 and the reference product Remicade has, for the most part, not revealed any significant differences in the incidence and type of AEs. However, there is a concern about the higher rates of both serious pneumonia and of TB with CT-P13 compared with Remicade. The clinical evaluator asked the sponsor for comment. The sponsor’s response is discussed in the next section.</w:t>
      </w:r>
    </w:p>
    <w:p w14:paraId="651752F9" w14:textId="77777777" w:rsidR="00F5515C" w:rsidRPr="00C97B34" w:rsidRDefault="00F5515C" w:rsidP="00A5194D">
      <w:pPr>
        <w:pStyle w:val="Heading3"/>
      </w:pPr>
      <w:bookmarkStart w:id="163" w:name="_Toc44577031"/>
      <w:r w:rsidRPr="00C97B34">
        <w:t>Questions raised by the TGA</w:t>
      </w:r>
      <w:bookmarkEnd w:id="163"/>
    </w:p>
    <w:p w14:paraId="4AD70BE6" w14:textId="77777777" w:rsidR="00F5515C" w:rsidRPr="00C97B34" w:rsidRDefault="00F5515C" w:rsidP="00F5515C">
      <w:r w:rsidRPr="00C97B34">
        <w:t>There were two sets of questions raised by the TGA.</w:t>
      </w:r>
    </w:p>
    <w:p w14:paraId="36F0508B" w14:textId="77777777" w:rsidR="00F5515C" w:rsidRPr="00C97B34" w:rsidRDefault="00F5515C" w:rsidP="00F5515C">
      <w:pPr>
        <w:pStyle w:val="Heading5"/>
        <w:rPr>
          <w:color w:val="auto"/>
        </w:rPr>
      </w:pPr>
      <w:r w:rsidRPr="00C97B34">
        <w:rPr>
          <w:color w:val="auto"/>
        </w:rPr>
        <w:t>First set of questions from the clinical evaluator (2 May 2015)</w:t>
      </w:r>
    </w:p>
    <w:p w14:paraId="3C4EC41B" w14:textId="77777777" w:rsidR="00F5515C" w:rsidRPr="00C97B34" w:rsidRDefault="00F5515C" w:rsidP="00F5515C">
      <w:r w:rsidRPr="00C97B34">
        <w:t xml:space="preserve">There were 11 questions asked of the sponsor </w:t>
      </w:r>
      <w:r w:rsidR="00B30E62" w:rsidRPr="00C97B34">
        <w:t>by the clinical evaluator</w:t>
      </w:r>
      <w:r w:rsidRPr="00C97B34">
        <w:t>.</w:t>
      </w:r>
      <w:r w:rsidR="00B30E62" w:rsidRPr="00C97B34">
        <w:t xml:space="preserve"> Presented below is the Delegate’s review of the </w:t>
      </w:r>
      <w:r w:rsidR="00C97B34" w:rsidRPr="00C97B34">
        <w:t xml:space="preserve">questions and </w:t>
      </w:r>
      <w:r w:rsidR="00C97B34">
        <w:t xml:space="preserve">assessment of the </w:t>
      </w:r>
      <w:r w:rsidR="00C97B34" w:rsidRPr="00C97B34">
        <w:t>evaluation o</w:t>
      </w:r>
      <w:r w:rsidR="00B30E62" w:rsidRPr="00C97B34">
        <w:t>f</w:t>
      </w:r>
      <w:r w:rsidR="00C97B34" w:rsidRPr="00C97B34">
        <w:t xml:space="preserve"> </w:t>
      </w:r>
      <w:r w:rsidR="00B30E62" w:rsidRPr="00C97B34">
        <w:t xml:space="preserve">the responses </w:t>
      </w:r>
      <w:r w:rsidR="00C97B34" w:rsidRPr="00C97B34">
        <w:t>to those questions.</w:t>
      </w:r>
    </w:p>
    <w:p w14:paraId="34C610F5" w14:textId="77777777" w:rsidR="00F5515C" w:rsidRPr="00C97B34" w:rsidRDefault="00F5515C" w:rsidP="00F5515C">
      <w:pPr>
        <w:pStyle w:val="Heading6"/>
      </w:pPr>
      <w:r w:rsidRPr="00C97B34">
        <w:t>Question 1</w:t>
      </w:r>
    </w:p>
    <w:p w14:paraId="2D8555FB" w14:textId="77777777" w:rsidR="00F5515C" w:rsidRPr="00C97B34" w:rsidRDefault="00F5515C" w:rsidP="00F5515C">
      <w:r w:rsidRPr="00C97B34">
        <w:t xml:space="preserve">Question 1 asked whether the evaluated PK dataset, with doses all in the range 3 to 5 mg/kg, could be extrapolated to higher doses such as up to 10 mg/kg sometimes given to patients with inflammatory bowel disease. Because historical data does show that Remicade exhibits linear pharmacokinetics in the dose range of 1 to 20 mg/kg in both RA and CD patients and because of the high degree of </w:t>
      </w:r>
      <w:proofErr w:type="spellStart"/>
      <w:r w:rsidRPr="00C97B34">
        <w:t>biosimilarity</w:t>
      </w:r>
      <w:proofErr w:type="spellEnd"/>
      <w:r w:rsidRPr="00C97B34">
        <w:t xml:space="preserve"> between the test and reference medicines, the sponsor asserts that the extrapolation is valid. The clinical evaluator concurred with the sponsor’s assessment.</w:t>
      </w:r>
    </w:p>
    <w:p w14:paraId="6F4042E4" w14:textId="77777777" w:rsidR="00F5515C" w:rsidRPr="00C97B34" w:rsidRDefault="00F5515C" w:rsidP="00F5515C">
      <w:pPr>
        <w:pStyle w:val="Heading6"/>
      </w:pPr>
      <w:r w:rsidRPr="00C97B34">
        <w:t>Question 2</w:t>
      </w:r>
    </w:p>
    <w:p w14:paraId="0F531453" w14:textId="77777777" w:rsidR="00F5515C" w:rsidRPr="00C97B34" w:rsidRDefault="00F5515C" w:rsidP="00F5515C">
      <w:r w:rsidRPr="00C97B34">
        <w:t>Question 2 raised the issue of the lack of PK data in children in the submission. The sponsor confirmed the lack of such data and provided a detailed theoretical justification for not requiring such data. The clinical evaluator was of the opinion that the sponsor be requested to collect efficacy, safety and PK data in a group of paediatric patients as a condition of registration. The clinical unit responsible for inflammatory bowel diseases (clinical unit 1) has considered this (see below) and concluded that such a study is not required.</w:t>
      </w:r>
    </w:p>
    <w:p w14:paraId="013F726C" w14:textId="77777777" w:rsidR="00F5515C" w:rsidRPr="00C97B34" w:rsidRDefault="00F5515C" w:rsidP="00F5515C">
      <w:pPr>
        <w:pStyle w:val="Heading6"/>
      </w:pPr>
      <w:r w:rsidRPr="00C97B34">
        <w:t>Question 3</w:t>
      </w:r>
    </w:p>
    <w:p w14:paraId="7A154A89" w14:textId="77777777" w:rsidR="00F5515C" w:rsidRPr="00C97B34" w:rsidRDefault="00F5515C" w:rsidP="00F5515C">
      <w:r w:rsidRPr="00C97B34">
        <w:t>Question 3 concerned the comparability of the EU and Australian sourced Remicade products. This has been resolved by the results of the bridging study undertaken by the sponsor and evaluated by the quality evaluator. The two are highly comparable.</w:t>
      </w:r>
    </w:p>
    <w:p w14:paraId="1DD9578B" w14:textId="77777777" w:rsidR="00F5515C" w:rsidRPr="00C97B34" w:rsidRDefault="00F5515C" w:rsidP="00F5515C">
      <w:pPr>
        <w:pStyle w:val="Heading6"/>
      </w:pPr>
      <w:r w:rsidRPr="00C97B34">
        <w:t>Question 4</w:t>
      </w:r>
    </w:p>
    <w:p w14:paraId="3600328F" w14:textId="435E97E9" w:rsidR="00F5515C" w:rsidRPr="00C97B34" w:rsidRDefault="00F5515C" w:rsidP="00F5515C">
      <w:r w:rsidRPr="00C97B34">
        <w:t xml:space="preserve">Question 4 concerned the limited information about the baseline RA disease characteristics of the subjects in the pivotal trial, </w:t>
      </w:r>
      <w:r w:rsidR="009F4F36">
        <w:t xml:space="preserve">Study </w:t>
      </w:r>
      <w:r w:rsidRPr="00C97B34">
        <w:t xml:space="preserve">CT-P13 3.1. The sponsor’s response with additional data and analyses was able to satisfy the clinical evaluator. However, the evaluator was still concerned that the sponsor had not provided any information about the dose levels of MTX used by subjects prior to study inclusion or any information about the pattern of alternative conventional DMARD use. The sponsor addressed this matter in the ‘Post TGA Meeting’ </w:t>
      </w:r>
      <w:r w:rsidR="002E551D" w:rsidRPr="00C97B34">
        <w:t>response, which</w:t>
      </w:r>
      <w:r w:rsidRPr="00C97B34">
        <w:t xml:space="preserve"> indicated that at the date of the first infusion on infliximab, the mean MTX dose was 15.6 mg/week for patients receiving CT-P13 and 15.61 mg/week for patients receiving Remicade. At the most recent </w:t>
      </w:r>
      <w:r w:rsidRPr="00C97B34">
        <w:lastRenderedPageBreak/>
        <w:t>MTX dose, the mean values were 15.41 mg/week versus 15.54 mg/week. Patients were excluded from the trial’s entry on the basis of DMARD use within 4 weeks prior to screening and DMARD use was prohibited during the trial, except for MTX. The sponsor has indicated that no patients deviated from the exclusion criteria based on DMARD use.</w:t>
      </w:r>
    </w:p>
    <w:p w14:paraId="40A0613B" w14:textId="77777777" w:rsidR="00F5515C" w:rsidRPr="00C97B34" w:rsidRDefault="00F5515C" w:rsidP="00F5515C">
      <w:pPr>
        <w:pStyle w:val="Heading6"/>
      </w:pPr>
      <w:r w:rsidRPr="00C97B34">
        <w:t>Question 5</w:t>
      </w:r>
    </w:p>
    <w:p w14:paraId="63BEE0A2" w14:textId="6E56FCD1" w:rsidR="00F5515C" w:rsidRPr="00C97B34" w:rsidRDefault="00F5515C" w:rsidP="00F5515C">
      <w:r w:rsidRPr="00C97B34">
        <w:t xml:space="preserve">Question 5 concerned the limited number of time assessment points for ACR response in the pivotal trial in RA patients, </w:t>
      </w:r>
      <w:r w:rsidR="009F4F36">
        <w:t xml:space="preserve">Study </w:t>
      </w:r>
      <w:r w:rsidRPr="00C97B34">
        <w:t>CT-P13 3.1, and the impact that this may have had on the secondary outcome measure of median time to the onset of ACR20 response. The Delegate agrees with the sponsor that this is a deficiency in the study and that no robust conclusions can be drawn about any differences between test and reference for the parameter.</w:t>
      </w:r>
    </w:p>
    <w:p w14:paraId="2CBC9CA4" w14:textId="77777777" w:rsidR="00F5515C" w:rsidRPr="00C97B34" w:rsidRDefault="00F5515C" w:rsidP="00F5515C">
      <w:pPr>
        <w:pStyle w:val="Heading6"/>
      </w:pPr>
      <w:r w:rsidRPr="00C97B34">
        <w:t>Question 6</w:t>
      </w:r>
    </w:p>
    <w:p w14:paraId="5AD207BC" w14:textId="45C4D30F" w:rsidR="00F5515C" w:rsidRPr="00C97B34" w:rsidRDefault="00F5515C" w:rsidP="00F5515C">
      <w:r w:rsidRPr="00C97B34">
        <w:t xml:space="preserve">Question 6 concerned the lack of radiographic endpoint data beyond 54 weeks in the pivotal trial in RA patients, </w:t>
      </w:r>
      <w:r w:rsidR="009F4F36">
        <w:t xml:space="preserve">Study </w:t>
      </w:r>
      <w:r w:rsidRPr="00C97B34">
        <w:t xml:space="preserve">CT-P13 3.1. Additional data were provided. The overall mean (and median) joint damage scores at baseline were 98.4 and 86.0 units. At Week 54, both treatment groups achieved a similar mean (and median) decrease in joint damage progression; 30.7 units (32.0 units) for the CT-P13 group and 31.9 units (32.0 units) for Remicade. At Week 104, there was maintenance of the infliximab treatment effect in both the CT-P13 maintenance and CT-P13 treatment switch arms with the mean (and median) reduction in joint progression score being 30.9 units (30.0 units) in the maintenance group and 30.1 units (29.0 units) in the treatment switch arm. The data supports the maintenance of radiographic endpoint effect out to 2 years, sufficient to support the indication claim of inhibition of structural damage. Similarly, the proportions of patients achieving clinical response according to the ACR20, ACR50 and ACR70 criteria at Weeks 78 and 102 were similar in the CT-P13 maintenance and treatment switch groups. The sponsor was requested to clarify the joint scoring method and the sponsor has indicated in the ‘Post TGA Meeting’ response that the method was the van de </w:t>
      </w:r>
      <w:proofErr w:type="spellStart"/>
      <w:r w:rsidRPr="00C97B34">
        <w:t>Heijde</w:t>
      </w:r>
      <w:proofErr w:type="spellEnd"/>
      <w:r w:rsidRPr="00C97B34">
        <w:t xml:space="preserve"> modified Total Sharp Score. The sponsor realised after the Week 54 data that the results were not in line with the published joint damage progression score of Remicade in the ATTRACT study. This was due to the evaluation of joint damage scores being different to the method used in ATTRACT. The sponsor reanalysed the data and a summary of the results indicates comparable joint damage progres</w:t>
      </w:r>
      <w:r w:rsidR="00EC703E">
        <w:t>sion scores as shown in Table 15</w:t>
      </w:r>
      <w:r w:rsidRPr="00C97B34">
        <w:t>.</w:t>
      </w:r>
    </w:p>
    <w:p w14:paraId="467F8E10" w14:textId="25E4887B" w:rsidR="00F5515C" w:rsidRPr="00C97B34" w:rsidRDefault="00EC703E" w:rsidP="00F5515C">
      <w:pPr>
        <w:pStyle w:val="TableTitle"/>
      </w:pPr>
      <w:r>
        <w:lastRenderedPageBreak/>
        <w:t>Table 15</w:t>
      </w:r>
      <w:r w:rsidR="009F2F8C">
        <w:t>:</w:t>
      </w:r>
      <w:r w:rsidR="00F5515C" w:rsidRPr="00C97B34">
        <w:t xml:space="preserve"> Joint damage progression in Study CT-P13 3.1; All randomised population</w:t>
      </w:r>
    </w:p>
    <w:p w14:paraId="2679E2B1" w14:textId="77777777" w:rsidR="00B02A2F" w:rsidRPr="00C97B34" w:rsidRDefault="00F5515C" w:rsidP="00AF433A">
      <w:r w:rsidRPr="00C97B34">
        <w:rPr>
          <w:noProof/>
          <w:lang w:eastAsia="en-AU"/>
        </w:rPr>
        <w:drawing>
          <wp:inline distT="0" distB="0" distL="0" distR="0" wp14:anchorId="3A3AF186" wp14:editId="0250712F">
            <wp:extent cx="5400040" cy="6299835"/>
            <wp:effectExtent l="0" t="0" r="0" b="5715"/>
            <wp:docPr id="31" name="Picture 31" descr="Joint damage progression in Study CT-P13 3.2; All randomised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00040" cy="6299835"/>
                    </a:xfrm>
                    <a:prstGeom prst="rect">
                      <a:avLst/>
                    </a:prstGeom>
                  </pic:spPr>
                </pic:pic>
              </a:graphicData>
            </a:graphic>
          </wp:inline>
        </w:drawing>
      </w:r>
    </w:p>
    <w:p w14:paraId="2CFA62D7" w14:textId="77777777" w:rsidR="00F5515C" w:rsidRPr="00C97B34" w:rsidRDefault="00F5515C" w:rsidP="00F5515C">
      <w:pPr>
        <w:pStyle w:val="Heading6"/>
      </w:pPr>
      <w:r w:rsidRPr="00C97B34">
        <w:t>Question 7</w:t>
      </w:r>
    </w:p>
    <w:p w14:paraId="1CAE90F9" w14:textId="7D171D74" w:rsidR="00F5515C" w:rsidRPr="00C97B34" w:rsidRDefault="00F5515C" w:rsidP="00F5515C">
      <w:r w:rsidRPr="00C97B34">
        <w:t xml:space="preserve">Question 7 concerned further data available to 112 weeks in the pilot Phase I study in RA patients, </w:t>
      </w:r>
      <w:r w:rsidR="009F4F36">
        <w:t xml:space="preserve">Study </w:t>
      </w:r>
      <w:r w:rsidRPr="00C97B34">
        <w:t>CT-P13 1.2 (beyond the data to 54 weeks submitted). Submitted data demonstrated that, although the patient dataset was small in Study CT-P13 1.2, treatment with CT-P13 (either continuation of therapy or a treatment switch from Remicade) between Weeks 62 and 112 did not reveal any new safety concerns, particularly with respect to immunogenicity potential.</w:t>
      </w:r>
    </w:p>
    <w:p w14:paraId="6FFC6324" w14:textId="77777777" w:rsidR="00F5515C" w:rsidRPr="00C97B34" w:rsidRDefault="00F5515C" w:rsidP="00C97B34">
      <w:pPr>
        <w:pStyle w:val="Heading6"/>
      </w:pPr>
      <w:r w:rsidRPr="00C97B34">
        <w:t>Question 8</w:t>
      </w:r>
    </w:p>
    <w:p w14:paraId="40744F3E" w14:textId="77777777" w:rsidR="00F5515C" w:rsidRPr="00C97B34" w:rsidRDefault="00F5515C" w:rsidP="00F5515C">
      <w:r w:rsidRPr="00C97B34">
        <w:t>Question 8 concerned the results of the extension studies of the pivotal study in RA patients and of the supportive study in AS patients, in particular with regard to any evidence of safety related concerns after patients were switched from Remicade to CT</w:t>
      </w:r>
      <w:r w:rsidRPr="00C97B34">
        <w:noBreakHyphen/>
        <w:t>P13. The clinical evaluator was satisfied that there were no new safety concerns.</w:t>
      </w:r>
    </w:p>
    <w:p w14:paraId="4910DE68" w14:textId="77777777" w:rsidR="00F5515C" w:rsidRPr="00C97B34" w:rsidRDefault="00F5515C" w:rsidP="00C97B34">
      <w:pPr>
        <w:pStyle w:val="Heading6"/>
      </w:pPr>
      <w:r w:rsidRPr="00C97B34">
        <w:lastRenderedPageBreak/>
        <w:t>Question 9</w:t>
      </w:r>
    </w:p>
    <w:p w14:paraId="2731104D" w14:textId="77777777" w:rsidR="00F5515C" w:rsidRPr="00C97B34" w:rsidRDefault="00F5515C" w:rsidP="00F5515C">
      <w:r w:rsidRPr="00C97B34">
        <w:t>Question 9 concerned the reported higher rate of anaphylactic reactions in the CT-P13 group compared with the Remicade group. The sponsor conducted a review and re-evaluation of all cases of anaphylactic reactions and serious infusion related reactions in the CT-P13 clinical trial program. Upon review of Study CT-P13 3.1, the sponsor has now identified a total of 6 cases in the CT-P13 group (versus 4 events previously) and 4 patients in the Remicade (versus 1 event previously) as experiencing anaphylactic reactions or serious infusion related reactions. In Study CT-P13 1.1 (AS study), 1 patient in the CT-P13 treatment group and 3 subjects in the Remicade met the definition of experiencing anaphylactic or serious infusion related reactions. Therefore, the overall incidence of serious infusion related reactions in the CT-P13 clinical trial program is 1.6% (7 out of 430) in subjects who received CT-P13 and 1.7% (7 out of 422) in patients who were administered Remicade. The rates are now comparable in test and reference groups. It would appear that the discrepancies originally occurred because of limited reporting options on the case report form.</w:t>
      </w:r>
    </w:p>
    <w:p w14:paraId="204B2F9E" w14:textId="77777777" w:rsidR="00F5515C" w:rsidRPr="00C97B34" w:rsidRDefault="00F5515C" w:rsidP="00F5515C">
      <w:r w:rsidRPr="00C97B34">
        <w:t>The sponsor was requested to provide further information on the following aspects of this matter:</w:t>
      </w:r>
    </w:p>
    <w:p w14:paraId="7F6E8B79" w14:textId="77777777" w:rsidR="00F5515C" w:rsidRPr="00C97B34" w:rsidRDefault="00F5515C" w:rsidP="00053448">
      <w:pPr>
        <w:pStyle w:val="ListParagraph"/>
        <w:numPr>
          <w:ilvl w:val="0"/>
          <w:numId w:val="30"/>
        </w:numPr>
      </w:pPr>
      <w:r w:rsidRPr="00C97B34">
        <w:t xml:space="preserve">Clarify in precise detail the differential rates of anaphylactic reactions and serious infusion related reactions in the CT-P13 clinical development programme. Firstly, please provide the comparative rates/incidences, that is CT-P13 versus Remicade, for both anaphylactic and/or </w:t>
      </w:r>
      <w:proofErr w:type="spellStart"/>
      <w:r w:rsidRPr="00C97B34">
        <w:t>anaphylactoid</w:t>
      </w:r>
      <w:proofErr w:type="spellEnd"/>
      <w:r w:rsidRPr="00C97B34">
        <w:t xml:space="preserve"> reactions in the entire clinical development programme for CT-P13. Please also provide these details broken down by individual study and if possible, broken down by division into anaphylactic and </w:t>
      </w:r>
      <w:proofErr w:type="spellStart"/>
      <w:r w:rsidRPr="00C97B34">
        <w:t>anaphylactoid</w:t>
      </w:r>
      <w:proofErr w:type="spellEnd"/>
      <w:r w:rsidRPr="00C97B34">
        <w:t xml:space="preserve"> types of reaction.</w:t>
      </w:r>
    </w:p>
    <w:p w14:paraId="4EE9A14F" w14:textId="77777777" w:rsidR="00F5515C" w:rsidRPr="00C97B34" w:rsidRDefault="00F5515C" w:rsidP="00053448">
      <w:pPr>
        <w:pStyle w:val="ListParagraph"/>
        <w:numPr>
          <w:ilvl w:val="0"/>
          <w:numId w:val="30"/>
        </w:numPr>
      </w:pPr>
      <w:r w:rsidRPr="00C97B34">
        <w:t>Secondly, please define precisely what is meant by the term ‘serious infusion related reaction’ and clarify whether or not there can be any overlap between the terms, ‘anaphylactic reaction’, ‘</w:t>
      </w:r>
      <w:proofErr w:type="spellStart"/>
      <w:r w:rsidRPr="00C97B34">
        <w:t>anaphylactoid</w:t>
      </w:r>
      <w:proofErr w:type="spellEnd"/>
      <w:r w:rsidRPr="00C97B34">
        <w:t xml:space="preserve"> reaction’ and the term ‘serious infusion related reaction’.</w:t>
      </w:r>
    </w:p>
    <w:p w14:paraId="73DE3361" w14:textId="2481CF82" w:rsidR="00F5515C" w:rsidRPr="00C97B34" w:rsidRDefault="00F5515C" w:rsidP="00053448">
      <w:pPr>
        <w:pStyle w:val="ListParagraph"/>
        <w:numPr>
          <w:ilvl w:val="0"/>
          <w:numId w:val="30"/>
        </w:numPr>
      </w:pPr>
      <w:r w:rsidRPr="00C97B34">
        <w:t>Thirdly, please provide the comparative rates/incidences, that is, CT-P13 versus Remicade, for serious infusion related reactions in the entire clinical development programme for CT-P13. Please provide these details broken down by individual study. Please also indicate the degree of overlap, if any, between the occurrences of anaphylactic/</w:t>
      </w:r>
      <w:proofErr w:type="spellStart"/>
      <w:r w:rsidRPr="00C97B34">
        <w:t>anaphylactoid</w:t>
      </w:r>
      <w:proofErr w:type="spellEnd"/>
      <w:r w:rsidRPr="00C97B34">
        <w:t xml:space="preserve"> reaction and the occurrences of serious infusion related reaction in the entire clinical development programme of CT-P13.</w:t>
      </w:r>
    </w:p>
    <w:p w14:paraId="2E660EB8" w14:textId="71A9B7EA" w:rsidR="00F5515C" w:rsidRPr="00C97B34" w:rsidRDefault="00F5515C" w:rsidP="00F5515C">
      <w:r w:rsidRPr="00C97B34">
        <w:t>The sponsor responded to this request in the ‘Post TGA Meeting’ response. Infusion related reactions were based on pre-specified definitions in the protocols. The sponsor conducted an expanded search for anaphylactic reactions using FDA advice and used definitions for infusion related reactions and anaphylactic</w:t>
      </w:r>
      <w:r w:rsidR="00EC703E">
        <w:t xml:space="preserve"> reaction as listed in Tables 16 and 17</w:t>
      </w:r>
      <w:r w:rsidRPr="00C97B34">
        <w:t>. Using the expanded definitions, infusion reactions in the combined RA and AS populations occurred in 9.2% on CT-P13 and 13.4% on Remicade. Anaphylaxis using the expanded definition across the RA and AS populations occurred in 7 (1.6%) patients on CT-P13 and 7 (1.6%) pa</w:t>
      </w:r>
      <w:r w:rsidR="00EC703E">
        <w:t>tients on Remicade (see Table 18</w:t>
      </w:r>
      <w:r w:rsidRPr="00C97B34">
        <w:t xml:space="preserve"> below).</w:t>
      </w:r>
    </w:p>
    <w:p w14:paraId="1C4F73B3" w14:textId="2B38C050" w:rsidR="00F5515C" w:rsidRPr="00C97B34" w:rsidRDefault="00EC703E" w:rsidP="00F5515C">
      <w:pPr>
        <w:pStyle w:val="TableTitle"/>
      </w:pPr>
      <w:r>
        <w:t>Table 16</w:t>
      </w:r>
      <w:r w:rsidR="009F2F8C">
        <w:t>:</w:t>
      </w:r>
      <w:r w:rsidR="00F5515C" w:rsidRPr="00C97B34">
        <w:t xml:space="preserve"> Expanded definition of infusion related reactions as defined by the following algorithm</w:t>
      </w:r>
    </w:p>
    <w:tbl>
      <w:tblPr>
        <w:tblStyle w:val="TableTGAblue"/>
        <w:tblW w:w="0" w:type="auto"/>
        <w:tblLook w:val="04A0" w:firstRow="1" w:lastRow="0" w:firstColumn="1" w:lastColumn="0" w:noHBand="0" w:noVBand="1"/>
      </w:tblPr>
      <w:tblGrid>
        <w:gridCol w:w="2117"/>
        <w:gridCol w:w="6367"/>
      </w:tblGrid>
      <w:tr w:rsidR="00F5515C" w:rsidRPr="00C97B34" w14:paraId="084BA126" w14:textId="2A5E8859" w:rsidTr="009F4AB2">
        <w:trPr>
          <w:cnfStyle w:val="100000000000" w:firstRow="1" w:lastRow="0" w:firstColumn="0" w:lastColumn="0" w:oddVBand="0" w:evenVBand="0" w:oddHBand="0" w:evenHBand="0" w:firstRowFirstColumn="0" w:firstRowLastColumn="0" w:lastRowFirstColumn="0" w:lastRowLastColumn="0"/>
        </w:trPr>
        <w:tc>
          <w:tcPr>
            <w:tcW w:w="8484" w:type="dxa"/>
            <w:gridSpan w:val="2"/>
          </w:tcPr>
          <w:p w14:paraId="2F165F1D" w14:textId="77DE6891" w:rsidR="00F5515C" w:rsidRPr="001F37C3" w:rsidRDefault="00F5515C" w:rsidP="00F5515C">
            <w:pPr>
              <w:rPr>
                <w:sz w:val="18"/>
                <w:szCs w:val="18"/>
              </w:rPr>
            </w:pPr>
            <w:r w:rsidRPr="001F37C3">
              <w:rPr>
                <w:sz w:val="18"/>
                <w:szCs w:val="18"/>
              </w:rPr>
              <w:t>Algorithm for expanded definition of infusion related reactions</w:t>
            </w:r>
          </w:p>
        </w:tc>
      </w:tr>
      <w:tr w:rsidR="00F5515C" w:rsidRPr="00C97B34" w14:paraId="228A26C6" w14:textId="3A0F6F7A" w:rsidTr="009F4AB2">
        <w:tc>
          <w:tcPr>
            <w:tcW w:w="8484" w:type="dxa"/>
            <w:gridSpan w:val="2"/>
          </w:tcPr>
          <w:p w14:paraId="5871D877" w14:textId="06A31954" w:rsidR="00F5515C" w:rsidRPr="00C97B34" w:rsidRDefault="00F5515C" w:rsidP="00F5515C">
            <w:pPr>
              <w:rPr>
                <w:color w:val="auto"/>
                <w:sz w:val="18"/>
                <w:szCs w:val="18"/>
              </w:rPr>
            </w:pPr>
            <w:r w:rsidRPr="00C97B34">
              <w:rPr>
                <w:color w:val="auto"/>
                <w:sz w:val="18"/>
                <w:szCs w:val="18"/>
              </w:rPr>
              <w:t>A. Medical dictionary for regulatory activities (</w:t>
            </w:r>
            <w:proofErr w:type="spellStart"/>
            <w:r w:rsidRPr="00C97B34">
              <w:rPr>
                <w:color w:val="auto"/>
                <w:sz w:val="18"/>
                <w:szCs w:val="18"/>
              </w:rPr>
              <w:t>MeDRA</w:t>
            </w:r>
            <w:proofErr w:type="spellEnd"/>
            <w:r w:rsidRPr="00C97B34">
              <w:rPr>
                <w:color w:val="auto"/>
                <w:sz w:val="18"/>
                <w:szCs w:val="18"/>
              </w:rPr>
              <w:t>) preferred term (PT) selection: The event should be defined by one of the PT terms listed below and also classed as possible probable or definite for relationship to study drug</w:t>
            </w:r>
          </w:p>
        </w:tc>
      </w:tr>
      <w:tr w:rsidR="00F5515C" w:rsidRPr="00C97B34" w14:paraId="700ACE23" w14:textId="1C255777" w:rsidTr="009F4AB2">
        <w:tc>
          <w:tcPr>
            <w:tcW w:w="2117" w:type="dxa"/>
          </w:tcPr>
          <w:p w14:paraId="28FE2FBB" w14:textId="5F0CA83F" w:rsidR="00F5515C" w:rsidRPr="00C97B34" w:rsidRDefault="00F5515C" w:rsidP="00F5515C">
            <w:pPr>
              <w:rPr>
                <w:color w:val="auto"/>
                <w:sz w:val="18"/>
                <w:szCs w:val="18"/>
              </w:rPr>
            </w:pPr>
            <w:r w:rsidRPr="00C97B34">
              <w:rPr>
                <w:color w:val="auto"/>
                <w:sz w:val="18"/>
                <w:szCs w:val="18"/>
              </w:rPr>
              <w:t>Preferred Term</w:t>
            </w:r>
          </w:p>
        </w:tc>
        <w:tc>
          <w:tcPr>
            <w:tcW w:w="6367" w:type="dxa"/>
          </w:tcPr>
          <w:p w14:paraId="3A79DC72" w14:textId="1715031E" w:rsidR="00F5515C" w:rsidRPr="00C97B34" w:rsidRDefault="00F5515C" w:rsidP="00F5515C">
            <w:pPr>
              <w:rPr>
                <w:color w:val="auto"/>
                <w:sz w:val="18"/>
                <w:szCs w:val="18"/>
              </w:rPr>
            </w:pPr>
            <w:r w:rsidRPr="00C97B34">
              <w:rPr>
                <w:color w:val="auto"/>
                <w:sz w:val="18"/>
                <w:szCs w:val="18"/>
              </w:rPr>
              <w:t>Drug relationship</w:t>
            </w:r>
          </w:p>
        </w:tc>
      </w:tr>
      <w:tr w:rsidR="00F5515C" w:rsidRPr="00C97B34" w14:paraId="03195843" w14:textId="39324FA9" w:rsidTr="009F4AB2">
        <w:tc>
          <w:tcPr>
            <w:tcW w:w="2117" w:type="dxa"/>
          </w:tcPr>
          <w:p w14:paraId="699314EA" w14:textId="109CCCB2" w:rsidR="00F5515C" w:rsidRPr="00C97B34" w:rsidRDefault="00F5515C" w:rsidP="00F5515C">
            <w:pPr>
              <w:rPr>
                <w:color w:val="auto"/>
                <w:sz w:val="18"/>
                <w:szCs w:val="18"/>
              </w:rPr>
            </w:pPr>
            <w:r w:rsidRPr="00C97B34">
              <w:rPr>
                <w:color w:val="auto"/>
                <w:sz w:val="18"/>
                <w:szCs w:val="18"/>
              </w:rPr>
              <w:lastRenderedPageBreak/>
              <w:t>Hypersensitivity</w:t>
            </w:r>
          </w:p>
        </w:tc>
        <w:tc>
          <w:tcPr>
            <w:tcW w:w="6367" w:type="dxa"/>
            <w:vMerge w:val="restart"/>
            <w:vAlign w:val="center"/>
          </w:tcPr>
          <w:p w14:paraId="4A964D1E" w14:textId="381C854B" w:rsidR="00F5515C" w:rsidRPr="00C97B34" w:rsidRDefault="00F5515C" w:rsidP="00F5515C">
            <w:pPr>
              <w:rPr>
                <w:color w:val="auto"/>
                <w:sz w:val="18"/>
                <w:szCs w:val="18"/>
              </w:rPr>
            </w:pPr>
            <w:r w:rsidRPr="00C97B34">
              <w:rPr>
                <w:color w:val="auto"/>
                <w:sz w:val="18"/>
                <w:szCs w:val="18"/>
              </w:rPr>
              <w:t>Possible Probable Definite</w:t>
            </w:r>
          </w:p>
        </w:tc>
      </w:tr>
      <w:tr w:rsidR="00F5515C" w:rsidRPr="00C97B34" w14:paraId="073DD504" w14:textId="4749E05E" w:rsidTr="009F4AB2">
        <w:tc>
          <w:tcPr>
            <w:tcW w:w="2117" w:type="dxa"/>
          </w:tcPr>
          <w:p w14:paraId="7E5BA614" w14:textId="1DFFABCB" w:rsidR="00F5515C" w:rsidRPr="00C97B34" w:rsidRDefault="00F5515C" w:rsidP="00F5515C">
            <w:pPr>
              <w:rPr>
                <w:color w:val="auto"/>
                <w:sz w:val="18"/>
                <w:szCs w:val="18"/>
              </w:rPr>
            </w:pPr>
            <w:r w:rsidRPr="00C97B34">
              <w:rPr>
                <w:color w:val="auto"/>
                <w:sz w:val="18"/>
                <w:szCs w:val="18"/>
              </w:rPr>
              <w:t>Drug hypersensitivity</w:t>
            </w:r>
          </w:p>
        </w:tc>
        <w:tc>
          <w:tcPr>
            <w:tcW w:w="6367" w:type="dxa"/>
            <w:vMerge/>
          </w:tcPr>
          <w:p w14:paraId="1CFF3FC3" w14:textId="746E51ED" w:rsidR="00F5515C" w:rsidRPr="00C97B34" w:rsidRDefault="00F5515C" w:rsidP="00F5515C">
            <w:pPr>
              <w:rPr>
                <w:color w:val="auto"/>
                <w:sz w:val="18"/>
                <w:szCs w:val="18"/>
              </w:rPr>
            </w:pPr>
          </w:p>
        </w:tc>
      </w:tr>
      <w:tr w:rsidR="00F5515C" w:rsidRPr="00C97B34" w14:paraId="6AC45F97" w14:textId="4536785F" w:rsidTr="009F4AB2">
        <w:tc>
          <w:tcPr>
            <w:tcW w:w="2117" w:type="dxa"/>
          </w:tcPr>
          <w:p w14:paraId="6A219E44" w14:textId="15553FEA" w:rsidR="00F5515C" w:rsidRPr="00C97B34" w:rsidRDefault="00F5515C" w:rsidP="00F5515C">
            <w:pPr>
              <w:rPr>
                <w:color w:val="auto"/>
                <w:sz w:val="18"/>
                <w:szCs w:val="18"/>
              </w:rPr>
            </w:pPr>
            <w:r w:rsidRPr="00C97B34">
              <w:rPr>
                <w:color w:val="auto"/>
                <w:sz w:val="18"/>
                <w:szCs w:val="18"/>
              </w:rPr>
              <w:t>Anaphylactic shock</w:t>
            </w:r>
          </w:p>
        </w:tc>
        <w:tc>
          <w:tcPr>
            <w:tcW w:w="6367" w:type="dxa"/>
            <w:vMerge/>
          </w:tcPr>
          <w:p w14:paraId="26C1902A" w14:textId="0281B62C" w:rsidR="00F5515C" w:rsidRPr="00C97B34" w:rsidRDefault="00F5515C" w:rsidP="00F5515C">
            <w:pPr>
              <w:rPr>
                <w:color w:val="auto"/>
                <w:sz w:val="18"/>
                <w:szCs w:val="18"/>
              </w:rPr>
            </w:pPr>
          </w:p>
        </w:tc>
      </w:tr>
      <w:tr w:rsidR="00F5515C" w:rsidRPr="00C97B34" w14:paraId="648F02C3" w14:textId="46646FE1" w:rsidTr="009F4AB2">
        <w:tc>
          <w:tcPr>
            <w:tcW w:w="2117" w:type="dxa"/>
          </w:tcPr>
          <w:p w14:paraId="0A9416E0" w14:textId="3AA84B8E" w:rsidR="00F5515C" w:rsidRPr="00C97B34" w:rsidRDefault="00F5515C" w:rsidP="00F5515C">
            <w:pPr>
              <w:rPr>
                <w:color w:val="auto"/>
                <w:sz w:val="18"/>
                <w:szCs w:val="18"/>
              </w:rPr>
            </w:pPr>
            <w:r w:rsidRPr="00C97B34">
              <w:rPr>
                <w:color w:val="auto"/>
                <w:sz w:val="18"/>
                <w:szCs w:val="18"/>
              </w:rPr>
              <w:t>Anaphylactic reaction</w:t>
            </w:r>
          </w:p>
        </w:tc>
        <w:tc>
          <w:tcPr>
            <w:tcW w:w="6367" w:type="dxa"/>
            <w:vMerge/>
          </w:tcPr>
          <w:p w14:paraId="6E3E3BF4" w14:textId="656748E5" w:rsidR="00F5515C" w:rsidRPr="00C97B34" w:rsidRDefault="00F5515C" w:rsidP="00F5515C">
            <w:pPr>
              <w:rPr>
                <w:color w:val="auto"/>
                <w:sz w:val="18"/>
                <w:szCs w:val="18"/>
              </w:rPr>
            </w:pPr>
          </w:p>
        </w:tc>
      </w:tr>
      <w:tr w:rsidR="00F5515C" w:rsidRPr="00C97B34" w14:paraId="610E0682" w14:textId="1288354C" w:rsidTr="009F4AB2">
        <w:tc>
          <w:tcPr>
            <w:tcW w:w="2117" w:type="dxa"/>
          </w:tcPr>
          <w:p w14:paraId="5D69EE3F" w14:textId="1EC3E610" w:rsidR="00F5515C" w:rsidRPr="00C97B34" w:rsidRDefault="00F5515C" w:rsidP="00F5515C">
            <w:pPr>
              <w:rPr>
                <w:color w:val="auto"/>
                <w:sz w:val="18"/>
                <w:szCs w:val="18"/>
              </w:rPr>
            </w:pPr>
            <w:r w:rsidRPr="00C97B34">
              <w:rPr>
                <w:color w:val="auto"/>
                <w:sz w:val="18"/>
                <w:szCs w:val="18"/>
              </w:rPr>
              <w:t>Infusion related reaction</w:t>
            </w:r>
          </w:p>
        </w:tc>
        <w:tc>
          <w:tcPr>
            <w:tcW w:w="6367" w:type="dxa"/>
            <w:vMerge/>
          </w:tcPr>
          <w:p w14:paraId="43E5C6F2" w14:textId="5C5DB8D2" w:rsidR="00F5515C" w:rsidRPr="00C97B34" w:rsidRDefault="00F5515C" w:rsidP="00F5515C">
            <w:pPr>
              <w:rPr>
                <w:color w:val="auto"/>
                <w:sz w:val="18"/>
                <w:szCs w:val="18"/>
              </w:rPr>
            </w:pPr>
          </w:p>
        </w:tc>
      </w:tr>
      <w:tr w:rsidR="00F5515C" w:rsidRPr="00C97B34" w14:paraId="4B475010" w14:textId="2B4E229E" w:rsidTr="009F4AB2">
        <w:tc>
          <w:tcPr>
            <w:tcW w:w="8484" w:type="dxa"/>
            <w:gridSpan w:val="2"/>
          </w:tcPr>
          <w:p w14:paraId="721C85D6" w14:textId="52AF549E" w:rsidR="00F5515C" w:rsidRPr="00C97B34" w:rsidRDefault="00F5515C" w:rsidP="00F5515C">
            <w:pPr>
              <w:rPr>
                <w:color w:val="auto"/>
                <w:sz w:val="18"/>
                <w:szCs w:val="18"/>
              </w:rPr>
            </w:pPr>
            <w:r w:rsidRPr="00C97B34">
              <w:rPr>
                <w:color w:val="auto"/>
                <w:sz w:val="18"/>
                <w:szCs w:val="18"/>
              </w:rPr>
              <w:t>B. AE term selection: The event should be defined by any word in Term 1 as well as one word in Term 2 to 8 groups. In addition the event must be classed as “possible, probable or definite’ for relationship to study drug.</w:t>
            </w:r>
          </w:p>
        </w:tc>
      </w:tr>
      <w:tr w:rsidR="00F5515C" w:rsidRPr="00C97B34" w14:paraId="287CB11F" w14:textId="103DFD0D" w:rsidTr="009F4AB2">
        <w:tc>
          <w:tcPr>
            <w:tcW w:w="2117" w:type="dxa"/>
          </w:tcPr>
          <w:p w14:paraId="09D75041" w14:textId="6DBB76A7" w:rsidR="00F5515C" w:rsidRPr="00C97B34" w:rsidRDefault="00F5515C" w:rsidP="00F5515C">
            <w:pPr>
              <w:rPr>
                <w:color w:val="auto"/>
                <w:sz w:val="18"/>
                <w:szCs w:val="18"/>
              </w:rPr>
            </w:pPr>
            <w:r w:rsidRPr="00C97B34">
              <w:rPr>
                <w:color w:val="auto"/>
                <w:sz w:val="18"/>
                <w:szCs w:val="18"/>
              </w:rPr>
              <w:t>AE Term 1 (mandatory)</w:t>
            </w:r>
          </w:p>
        </w:tc>
        <w:tc>
          <w:tcPr>
            <w:tcW w:w="6367" w:type="dxa"/>
          </w:tcPr>
          <w:p w14:paraId="242E8A4F" w14:textId="3E0A74A9" w:rsidR="00F5515C" w:rsidRPr="00B53A59" w:rsidRDefault="00F5515C" w:rsidP="00B53A59">
            <w:pPr>
              <w:rPr>
                <w:color w:val="auto"/>
                <w:sz w:val="18"/>
                <w:szCs w:val="18"/>
              </w:rPr>
            </w:pPr>
            <w:r w:rsidRPr="00B53A59">
              <w:rPr>
                <w:color w:val="auto"/>
                <w:sz w:val="18"/>
                <w:szCs w:val="18"/>
              </w:rPr>
              <w:t>Infusion, study drug reaction, _IP*_hypersensitivity, h</w:t>
            </w:r>
            <w:r w:rsidR="002E551D" w:rsidRPr="00B53A59">
              <w:rPr>
                <w:color w:val="auto"/>
                <w:sz w:val="18"/>
                <w:szCs w:val="18"/>
              </w:rPr>
              <w:t>y</w:t>
            </w:r>
            <w:r w:rsidRPr="00B53A59">
              <w:rPr>
                <w:color w:val="auto"/>
                <w:sz w:val="18"/>
                <w:szCs w:val="18"/>
              </w:rPr>
              <w:t>persensitiv</w:t>
            </w:r>
            <w:r w:rsidR="002E551D" w:rsidRPr="00B53A59">
              <w:rPr>
                <w:color w:val="auto"/>
                <w:sz w:val="18"/>
                <w:szCs w:val="18"/>
              </w:rPr>
              <w:t>i</w:t>
            </w:r>
            <w:r w:rsidRPr="00B53A59">
              <w:rPr>
                <w:color w:val="auto"/>
                <w:sz w:val="18"/>
                <w:szCs w:val="18"/>
              </w:rPr>
              <w:t xml:space="preserve">ty, </w:t>
            </w:r>
            <w:proofErr w:type="spellStart"/>
            <w:r w:rsidRPr="00B53A59">
              <w:rPr>
                <w:color w:val="auto"/>
                <w:sz w:val="18"/>
                <w:szCs w:val="18"/>
              </w:rPr>
              <w:t>hypersensitivit</w:t>
            </w:r>
            <w:r w:rsidR="00B53A59" w:rsidRPr="00B53A59">
              <w:rPr>
                <w:color w:val="auto"/>
                <w:sz w:val="18"/>
                <w:szCs w:val="18"/>
              </w:rPr>
              <w:t>i</w:t>
            </w:r>
            <w:proofErr w:type="spellEnd"/>
            <w:r w:rsidRPr="00B53A59">
              <w:rPr>
                <w:color w:val="auto"/>
                <w:sz w:val="18"/>
                <w:szCs w:val="18"/>
              </w:rPr>
              <w:t xml:space="preserve">, </w:t>
            </w:r>
            <w:proofErr w:type="spellStart"/>
            <w:r w:rsidRPr="00B53A59">
              <w:rPr>
                <w:color w:val="auto"/>
                <w:sz w:val="18"/>
                <w:szCs w:val="18"/>
              </w:rPr>
              <w:t>postinfusion</w:t>
            </w:r>
            <w:proofErr w:type="spellEnd"/>
          </w:p>
        </w:tc>
      </w:tr>
      <w:tr w:rsidR="00F5515C" w:rsidRPr="00C97B34" w14:paraId="65E36DDC" w14:textId="5BC3D7E0" w:rsidTr="009F4AB2">
        <w:tc>
          <w:tcPr>
            <w:tcW w:w="2117" w:type="dxa"/>
          </w:tcPr>
          <w:p w14:paraId="52A3C37C" w14:textId="6556D3FD" w:rsidR="00F5515C" w:rsidRPr="00C97B34" w:rsidRDefault="00F5515C" w:rsidP="00F5515C">
            <w:pPr>
              <w:rPr>
                <w:color w:val="auto"/>
                <w:sz w:val="18"/>
                <w:szCs w:val="18"/>
              </w:rPr>
            </w:pPr>
            <w:r w:rsidRPr="00C97B34">
              <w:rPr>
                <w:color w:val="auto"/>
                <w:sz w:val="18"/>
                <w:szCs w:val="18"/>
              </w:rPr>
              <w:t>PT Term 2</w:t>
            </w:r>
          </w:p>
        </w:tc>
        <w:tc>
          <w:tcPr>
            <w:tcW w:w="6367" w:type="dxa"/>
          </w:tcPr>
          <w:p w14:paraId="6F8F41FD" w14:textId="0841B4DB" w:rsidR="00F5515C" w:rsidRPr="00B53A59" w:rsidRDefault="00F5515C" w:rsidP="00F5515C">
            <w:pPr>
              <w:rPr>
                <w:color w:val="auto"/>
                <w:sz w:val="18"/>
                <w:szCs w:val="18"/>
              </w:rPr>
            </w:pPr>
            <w:r w:rsidRPr="00B53A59">
              <w:rPr>
                <w:color w:val="auto"/>
                <w:sz w:val="18"/>
                <w:szCs w:val="18"/>
              </w:rPr>
              <w:t>Pyrexia, body temperature increased, chills</w:t>
            </w:r>
          </w:p>
        </w:tc>
      </w:tr>
      <w:tr w:rsidR="00F5515C" w:rsidRPr="00C97B34" w14:paraId="532BC69D" w14:textId="31DA3330" w:rsidTr="009F4AB2">
        <w:trPr>
          <w:trHeight w:val="1068"/>
        </w:trPr>
        <w:tc>
          <w:tcPr>
            <w:tcW w:w="2117" w:type="dxa"/>
          </w:tcPr>
          <w:p w14:paraId="60FA80F0" w14:textId="6B6C70FA" w:rsidR="00F5515C" w:rsidRPr="00C97B34" w:rsidRDefault="00F5515C" w:rsidP="00F5515C">
            <w:pPr>
              <w:rPr>
                <w:color w:val="auto"/>
                <w:sz w:val="18"/>
                <w:szCs w:val="18"/>
              </w:rPr>
            </w:pPr>
            <w:r w:rsidRPr="00C97B34">
              <w:rPr>
                <w:color w:val="auto"/>
                <w:sz w:val="18"/>
                <w:szCs w:val="18"/>
              </w:rPr>
              <w:t>PT Term 3</w:t>
            </w:r>
          </w:p>
        </w:tc>
        <w:tc>
          <w:tcPr>
            <w:tcW w:w="6367" w:type="dxa"/>
          </w:tcPr>
          <w:p w14:paraId="0531663C" w14:textId="1DF3ED10" w:rsidR="00F5515C" w:rsidRPr="00B53A59" w:rsidRDefault="00F5515C" w:rsidP="00F5515C">
            <w:pPr>
              <w:rPr>
                <w:color w:val="auto"/>
                <w:sz w:val="18"/>
                <w:szCs w:val="18"/>
              </w:rPr>
            </w:pPr>
            <w:proofErr w:type="spellStart"/>
            <w:r w:rsidRPr="00B53A59">
              <w:rPr>
                <w:color w:val="auto"/>
                <w:sz w:val="18"/>
                <w:szCs w:val="18"/>
              </w:rPr>
              <w:t>Pruritis</w:t>
            </w:r>
            <w:proofErr w:type="spellEnd"/>
            <w:r w:rsidRPr="00B53A59">
              <w:rPr>
                <w:color w:val="auto"/>
                <w:sz w:val="18"/>
                <w:szCs w:val="18"/>
              </w:rPr>
              <w:t xml:space="preserve">, </w:t>
            </w:r>
            <w:proofErr w:type="spellStart"/>
            <w:r w:rsidRPr="00B53A59">
              <w:rPr>
                <w:color w:val="auto"/>
                <w:sz w:val="18"/>
                <w:szCs w:val="18"/>
              </w:rPr>
              <w:t>pruritis</w:t>
            </w:r>
            <w:proofErr w:type="spellEnd"/>
            <w:r w:rsidRPr="00B53A59">
              <w:rPr>
                <w:color w:val="auto"/>
                <w:sz w:val="18"/>
                <w:szCs w:val="18"/>
              </w:rPr>
              <w:t xml:space="preserve"> allergic, rash pruritic, rash, rash macular, rash macro-</w:t>
            </w:r>
            <w:proofErr w:type="spellStart"/>
            <w:r w:rsidRPr="00B53A59">
              <w:rPr>
                <w:color w:val="auto"/>
                <w:sz w:val="18"/>
                <w:szCs w:val="18"/>
              </w:rPr>
              <w:t>papular</w:t>
            </w:r>
            <w:proofErr w:type="spellEnd"/>
            <w:r w:rsidRPr="00B53A59">
              <w:rPr>
                <w:color w:val="auto"/>
                <w:sz w:val="18"/>
                <w:szCs w:val="18"/>
              </w:rPr>
              <w:t xml:space="preserve">, rash generalised, </w:t>
            </w:r>
            <w:proofErr w:type="spellStart"/>
            <w:r w:rsidRPr="00B53A59">
              <w:rPr>
                <w:color w:val="auto"/>
                <w:sz w:val="18"/>
                <w:szCs w:val="18"/>
              </w:rPr>
              <w:t>urticaria</w:t>
            </w:r>
            <w:proofErr w:type="spellEnd"/>
            <w:r w:rsidRPr="00B53A59">
              <w:rPr>
                <w:color w:val="auto"/>
                <w:sz w:val="18"/>
                <w:szCs w:val="18"/>
              </w:rPr>
              <w:t>, eye irritation, burning sensation, erythema, dermatitis allergic, angioedema, lip oedema</w:t>
            </w:r>
          </w:p>
        </w:tc>
      </w:tr>
      <w:tr w:rsidR="00F5515C" w:rsidRPr="00C97B34" w14:paraId="555F5BD6" w14:textId="4A173E8E" w:rsidTr="009F4AB2">
        <w:tc>
          <w:tcPr>
            <w:tcW w:w="2117" w:type="dxa"/>
          </w:tcPr>
          <w:p w14:paraId="516F656D" w14:textId="33C9A1AA" w:rsidR="00F5515C" w:rsidRPr="00C97B34" w:rsidRDefault="00F5515C" w:rsidP="00F5515C">
            <w:pPr>
              <w:rPr>
                <w:color w:val="auto"/>
                <w:sz w:val="18"/>
                <w:szCs w:val="18"/>
              </w:rPr>
            </w:pPr>
            <w:r w:rsidRPr="00C97B34">
              <w:rPr>
                <w:color w:val="auto"/>
                <w:sz w:val="18"/>
                <w:szCs w:val="18"/>
              </w:rPr>
              <w:t>PT Term 4</w:t>
            </w:r>
          </w:p>
        </w:tc>
        <w:tc>
          <w:tcPr>
            <w:tcW w:w="6367" w:type="dxa"/>
          </w:tcPr>
          <w:p w14:paraId="3992F21F" w14:textId="30691354" w:rsidR="00F5515C" w:rsidRPr="00C97B34" w:rsidRDefault="00F5515C" w:rsidP="00F5515C">
            <w:pPr>
              <w:rPr>
                <w:color w:val="auto"/>
                <w:sz w:val="18"/>
                <w:szCs w:val="18"/>
              </w:rPr>
            </w:pPr>
            <w:r w:rsidRPr="00C97B34">
              <w:rPr>
                <w:color w:val="auto"/>
                <w:sz w:val="18"/>
                <w:szCs w:val="18"/>
              </w:rPr>
              <w:t>Dyspnoea, non-cardiac chest pain, chest pain, chest discomfort, upper respiratory tract congestion, bronchospasm</w:t>
            </w:r>
          </w:p>
        </w:tc>
      </w:tr>
      <w:tr w:rsidR="00F5515C" w:rsidRPr="00C97B34" w14:paraId="1BD12539" w14:textId="544CFA00" w:rsidTr="009F4AB2">
        <w:tc>
          <w:tcPr>
            <w:tcW w:w="2117" w:type="dxa"/>
          </w:tcPr>
          <w:p w14:paraId="46531302" w14:textId="1C806884" w:rsidR="00F5515C" w:rsidRPr="00C97B34" w:rsidRDefault="00F5515C" w:rsidP="00F5515C">
            <w:pPr>
              <w:rPr>
                <w:color w:val="auto"/>
                <w:sz w:val="18"/>
                <w:szCs w:val="18"/>
              </w:rPr>
            </w:pPr>
            <w:r w:rsidRPr="00C97B34">
              <w:rPr>
                <w:color w:val="auto"/>
                <w:sz w:val="18"/>
                <w:szCs w:val="18"/>
              </w:rPr>
              <w:t>PT Term 5</w:t>
            </w:r>
          </w:p>
        </w:tc>
        <w:tc>
          <w:tcPr>
            <w:tcW w:w="6367" w:type="dxa"/>
          </w:tcPr>
          <w:p w14:paraId="7C0D0DA3" w14:textId="10778599" w:rsidR="00F5515C" w:rsidRPr="00C97B34" w:rsidRDefault="00F5515C" w:rsidP="00F5515C">
            <w:pPr>
              <w:rPr>
                <w:color w:val="auto"/>
                <w:sz w:val="18"/>
                <w:szCs w:val="18"/>
              </w:rPr>
            </w:pPr>
            <w:r w:rsidRPr="00C97B34">
              <w:rPr>
                <w:color w:val="auto"/>
                <w:sz w:val="18"/>
                <w:szCs w:val="18"/>
              </w:rPr>
              <w:t xml:space="preserve">Hypotension, procedural hypotension, hypertension, procedural hypertension, blood pressure increased, supraventricular </w:t>
            </w:r>
            <w:proofErr w:type="spellStart"/>
            <w:r w:rsidRPr="00C97B34">
              <w:rPr>
                <w:color w:val="auto"/>
                <w:sz w:val="18"/>
                <w:szCs w:val="18"/>
              </w:rPr>
              <w:t>extrasystoles</w:t>
            </w:r>
            <w:proofErr w:type="spellEnd"/>
          </w:p>
        </w:tc>
      </w:tr>
      <w:tr w:rsidR="00F5515C" w:rsidRPr="00C97B34" w14:paraId="2EF8FA56" w14:textId="18656C16" w:rsidTr="009F4AB2">
        <w:tc>
          <w:tcPr>
            <w:tcW w:w="2117" w:type="dxa"/>
          </w:tcPr>
          <w:p w14:paraId="418DAAB0" w14:textId="624C860F" w:rsidR="00F5515C" w:rsidRPr="00C97B34" w:rsidRDefault="00F5515C" w:rsidP="00F5515C">
            <w:pPr>
              <w:rPr>
                <w:color w:val="auto"/>
                <w:sz w:val="18"/>
                <w:szCs w:val="18"/>
              </w:rPr>
            </w:pPr>
            <w:r w:rsidRPr="00C97B34">
              <w:rPr>
                <w:color w:val="auto"/>
                <w:sz w:val="18"/>
                <w:szCs w:val="18"/>
              </w:rPr>
              <w:t>PT Term 6</w:t>
            </w:r>
          </w:p>
        </w:tc>
        <w:tc>
          <w:tcPr>
            <w:tcW w:w="6367" w:type="dxa"/>
          </w:tcPr>
          <w:p w14:paraId="72D9F781" w14:textId="39E4C4FA" w:rsidR="00F5515C" w:rsidRPr="00C97B34" w:rsidRDefault="00F5515C" w:rsidP="00F5515C">
            <w:pPr>
              <w:rPr>
                <w:color w:val="auto"/>
                <w:sz w:val="18"/>
                <w:szCs w:val="18"/>
              </w:rPr>
            </w:pPr>
            <w:r w:rsidRPr="00C97B34">
              <w:rPr>
                <w:color w:val="auto"/>
                <w:sz w:val="18"/>
                <w:szCs w:val="18"/>
              </w:rPr>
              <w:t>Brady cardia, sinus bradycardia, tachycardia, sinus tachycardia, palpitations, atrial fibrillation</w:t>
            </w:r>
          </w:p>
        </w:tc>
      </w:tr>
      <w:tr w:rsidR="00F5515C" w:rsidRPr="00C97B34" w14:paraId="116E6306" w14:textId="519C2826" w:rsidTr="009F4AB2">
        <w:tc>
          <w:tcPr>
            <w:tcW w:w="2117" w:type="dxa"/>
          </w:tcPr>
          <w:p w14:paraId="20A8936E" w14:textId="6D59CE6D" w:rsidR="00F5515C" w:rsidRPr="00C97B34" w:rsidRDefault="00F5515C" w:rsidP="00F5515C">
            <w:pPr>
              <w:rPr>
                <w:color w:val="auto"/>
                <w:sz w:val="18"/>
                <w:szCs w:val="18"/>
              </w:rPr>
            </w:pPr>
            <w:r w:rsidRPr="00C97B34">
              <w:rPr>
                <w:color w:val="auto"/>
                <w:sz w:val="18"/>
                <w:szCs w:val="18"/>
              </w:rPr>
              <w:t>PT Term 7</w:t>
            </w:r>
          </w:p>
        </w:tc>
        <w:tc>
          <w:tcPr>
            <w:tcW w:w="6367" w:type="dxa"/>
          </w:tcPr>
          <w:p w14:paraId="7E2CA2CC" w14:textId="2721AAA4" w:rsidR="00F5515C" w:rsidRPr="00C97B34" w:rsidRDefault="00F5515C" w:rsidP="00F5515C">
            <w:pPr>
              <w:rPr>
                <w:color w:val="auto"/>
                <w:sz w:val="18"/>
                <w:szCs w:val="18"/>
              </w:rPr>
            </w:pPr>
            <w:r w:rsidRPr="00C97B34">
              <w:rPr>
                <w:color w:val="auto"/>
                <w:sz w:val="18"/>
                <w:szCs w:val="18"/>
              </w:rPr>
              <w:t>Vomiting, nausea, oropharyngeal pain, abdominal pain upper, abdominal pain</w:t>
            </w:r>
          </w:p>
        </w:tc>
      </w:tr>
      <w:tr w:rsidR="00F5515C" w:rsidRPr="00C97B34" w14:paraId="4D3369E9" w14:textId="14C11524" w:rsidTr="009F4AB2">
        <w:tc>
          <w:tcPr>
            <w:tcW w:w="2117" w:type="dxa"/>
          </w:tcPr>
          <w:p w14:paraId="52D99AD8" w14:textId="679EA77D" w:rsidR="00F5515C" w:rsidRPr="00C97B34" w:rsidRDefault="00F5515C" w:rsidP="00F5515C">
            <w:pPr>
              <w:rPr>
                <w:color w:val="auto"/>
                <w:sz w:val="18"/>
                <w:szCs w:val="18"/>
              </w:rPr>
            </w:pPr>
            <w:r w:rsidRPr="00C97B34">
              <w:rPr>
                <w:color w:val="auto"/>
                <w:sz w:val="18"/>
                <w:szCs w:val="18"/>
              </w:rPr>
              <w:t>PT Term 8</w:t>
            </w:r>
          </w:p>
        </w:tc>
        <w:tc>
          <w:tcPr>
            <w:tcW w:w="6367" w:type="dxa"/>
          </w:tcPr>
          <w:p w14:paraId="01163D1E" w14:textId="3FD97743" w:rsidR="00F5515C" w:rsidRPr="00C97B34" w:rsidRDefault="00F5515C" w:rsidP="00F5515C">
            <w:pPr>
              <w:rPr>
                <w:color w:val="auto"/>
                <w:sz w:val="18"/>
                <w:szCs w:val="18"/>
              </w:rPr>
            </w:pPr>
            <w:r w:rsidRPr="00C97B34">
              <w:rPr>
                <w:color w:val="auto"/>
                <w:sz w:val="18"/>
                <w:szCs w:val="18"/>
              </w:rPr>
              <w:t>Back pain, myalgia, arthralgia, headache, migraine</w:t>
            </w:r>
          </w:p>
        </w:tc>
      </w:tr>
      <w:tr w:rsidR="00F5515C" w:rsidRPr="00C97B34" w14:paraId="7B997580" w14:textId="60C89520" w:rsidTr="009F4AB2">
        <w:tc>
          <w:tcPr>
            <w:tcW w:w="8484" w:type="dxa"/>
            <w:gridSpan w:val="2"/>
          </w:tcPr>
          <w:p w14:paraId="4872EA75" w14:textId="1A1989CF" w:rsidR="00F5515C" w:rsidRPr="00C97B34" w:rsidRDefault="00F5515C" w:rsidP="00F5515C">
            <w:pPr>
              <w:rPr>
                <w:color w:val="auto"/>
                <w:sz w:val="18"/>
                <w:szCs w:val="18"/>
              </w:rPr>
            </w:pPr>
            <w:r w:rsidRPr="00C97B34">
              <w:rPr>
                <w:color w:val="auto"/>
                <w:sz w:val="18"/>
                <w:szCs w:val="18"/>
              </w:rPr>
              <w:t>C. AE Term selection: The event should be defined by any term listed below for which the AE start date matches an infusion date and it must be classified as ‘possible, probable or definite’ relationship to study drug.</w:t>
            </w:r>
          </w:p>
        </w:tc>
      </w:tr>
      <w:tr w:rsidR="00F5515C" w:rsidRPr="00C97B34" w14:paraId="5AFE0701" w14:textId="311EB0D0" w:rsidTr="009F4AB2">
        <w:tc>
          <w:tcPr>
            <w:tcW w:w="8484" w:type="dxa"/>
            <w:gridSpan w:val="2"/>
          </w:tcPr>
          <w:p w14:paraId="493D9806" w14:textId="44BE11E0" w:rsidR="00F5515C" w:rsidRPr="00C97B34" w:rsidRDefault="00F5515C" w:rsidP="002E551D">
            <w:pPr>
              <w:rPr>
                <w:color w:val="auto"/>
                <w:sz w:val="18"/>
                <w:szCs w:val="18"/>
              </w:rPr>
            </w:pPr>
            <w:r w:rsidRPr="00C97B34">
              <w:rPr>
                <w:color w:val="auto"/>
                <w:sz w:val="18"/>
                <w:szCs w:val="18"/>
              </w:rPr>
              <w:t>Pyrexia, body temperature increased, chills, pruritus, pruritus allergic, rash pruritic, rash, rash macular, rash macro-</w:t>
            </w:r>
            <w:proofErr w:type="spellStart"/>
            <w:r w:rsidRPr="00C97B34">
              <w:rPr>
                <w:color w:val="auto"/>
                <w:sz w:val="18"/>
                <w:szCs w:val="18"/>
              </w:rPr>
              <w:t>papular</w:t>
            </w:r>
            <w:proofErr w:type="spellEnd"/>
            <w:r w:rsidRPr="00C97B34">
              <w:rPr>
                <w:color w:val="auto"/>
                <w:sz w:val="18"/>
                <w:szCs w:val="18"/>
              </w:rPr>
              <w:t xml:space="preserve">, rash generalised, </w:t>
            </w:r>
            <w:proofErr w:type="spellStart"/>
            <w:r w:rsidRPr="00C97B34">
              <w:rPr>
                <w:color w:val="auto"/>
                <w:sz w:val="18"/>
                <w:szCs w:val="18"/>
              </w:rPr>
              <w:t>urticaria</w:t>
            </w:r>
            <w:proofErr w:type="spellEnd"/>
            <w:r w:rsidRPr="00C97B34">
              <w:rPr>
                <w:color w:val="auto"/>
                <w:sz w:val="18"/>
                <w:szCs w:val="18"/>
              </w:rPr>
              <w:t>, eye irritation, burning sensation, erythema, dermatitis allergic, angioedema, lip oedema, dyspnoea, non-cardiac chest pain, chest pain, chest discomfort, upper respiratory tract congestion, bronchospasm,</w:t>
            </w:r>
            <w:r w:rsidRPr="00C97B34">
              <w:rPr>
                <w:color w:val="auto"/>
                <w:sz w:val="18"/>
                <w:szCs w:val="18"/>
                <w:lang w:eastAsia="en-US"/>
              </w:rPr>
              <w:t xml:space="preserve"> </w:t>
            </w:r>
            <w:r w:rsidRPr="00C97B34">
              <w:rPr>
                <w:color w:val="auto"/>
                <w:sz w:val="18"/>
                <w:szCs w:val="18"/>
              </w:rPr>
              <w:t xml:space="preserve">hypotension, procedural hypotension, hypertension, procedural hypertension, blood pressure increased, supraventricular </w:t>
            </w:r>
            <w:proofErr w:type="spellStart"/>
            <w:r w:rsidRPr="00C97B34">
              <w:rPr>
                <w:color w:val="auto"/>
                <w:sz w:val="18"/>
                <w:szCs w:val="18"/>
              </w:rPr>
              <w:t>extrasystoles</w:t>
            </w:r>
            <w:proofErr w:type="spellEnd"/>
            <w:r w:rsidRPr="00C97B34">
              <w:rPr>
                <w:color w:val="auto"/>
                <w:sz w:val="18"/>
                <w:szCs w:val="18"/>
              </w:rPr>
              <w:t>, bradycardia, sinus bradycardia, tachycardia, sinus tachycardia, palpitations, atrial fibrillation, vomiting, nausea, oropharyngeal pain, abdominal pain upper, abdominal pain, back pain, myalgia, arthralgia, headache, migraine</w:t>
            </w:r>
          </w:p>
        </w:tc>
      </w:tr>
    </w:tbl>
    <w:p w14:paraId="5E5F8F9F" w14:textId="4C33CE67" w:rsidR="00F5515C" w:rsidRPr="00C97B34" w:rsidRDefault="00EC703E" w:rsidP="00F5515C">
      <w:pPr>
        <w:pStyle w:val="TableTitle"/>
      </w:pPr>
      <w:r>
        <w:lastRenderedPageBreak/>
        <w:t>Table 17</w:t>
      </w:r>
      <w:r w:rsidR="009F2F8C">
        <w:t>:</w:t>
      </w:r>
      <w:r w:rsidR="00F5515C" w:rsidRPr="00C97B34">
        <w:t xml:space="preserve"> Definition of anaphylactic reaction based on the criteria of Sampson et al</w:t>
      </w:r>
      <w:r w:rsidR="009F4F36">
        <w:t>.,</w:t>
      </w:r>
      <w:r w:rsidR="00F5515C" w:rsidRPr="00C97B34">
        <w:t xml:space="preserve"> </w:t>
      </w:r>
      <w:r w:rsidR="009F4F36">
        <w:t>(</w:t>
      </w:r>
      <w:r w:rsidR="00F5515C" w:rsidRPr="00C97B34">
        <w:t>2006</w:t>
      </w:r>
      <w:bookmarkStart w:id="164" w:name="_Ref445813683"/>
      <w:r w:rsidR="009F4F36">
        <w:t>)</w:t>
      </w:r>
      <w:r w:rsidR="00F5515C" w:rsidRPr="00C97B34">
        <w:rPr>
          <w:rStyle w:val="FootnoteReference"/>
        </w:rPr>
        <w:footnoteReference w:id="31"/>
      </w:r>
      <w:bookmarkEnd w:id="164"/>
    </w:p>
    <w:tbl>
      <w:tblPr>
        <w:tblStyle w:val="TableTGAblue"/>
        <w:tblW w:w="0" w:type="auto"/>
        <w:tblLook w:val="04A0" w:firstRow="1" w:lastRow="0" w:firstColumn="1" w:lastColumn="0" w:noHBand="0" w:noVBand="1"/>
      </w:tblPr>
      <w:tblGrid>
        <w:gridCol w:w="8484"/>
      </w:tblGrid>
      <w:tr w:rsidR="00F5515C" w:rsidRPr="00C97B34" w14:paraId="42A4A440" w14:textId="62DEFE91" w:rsidTr="00F5515C">
        <w:trPr>
          <w:cnfStyle w:val="100000000000" w:firstRow="1" w:lastRow="0" w:firstColumn="0" w:lastColumn="0" w:oddVBand="0" w:evenVBand="0" w:oddHBand="0" w:evenHBand="0" w:firstRowFirstColumn="0" w:firstRowLastColumn="0" w:lastRowFirstColumn="0" w:lastRowLastColumn="0"/>
        </w:trPr>
        <w:tc>
          <w:tcPr>
            <w:tcW w:w="8720" w:type="dxa"/>
          </w:tcPr>
          <w:p w14:paraId="1315B3EF" w14:textId="05532C81" w:rsidR="00F5515C" w:rsidRPr="00C97B34" w:rsidRDefault="00F5515C" w:rsidP="00F5515C">
            <w:pPr>
              <w:rPr>
                <w:color w:val="auto"/>
                <w:sz w:val="18"/>
                <w:szCs w:val="18"/>
              </w:rPr>
            </w:pPr>
            <w:r w:rsidRPr="001F37C3">
              <w:rPr>
                <w:sz w:val="18"/>
                <w:szCs w:val="18"/>
              </w:rPr>
              <w:t>Anaphylaxis is highly likely when any one of the following 3 criteria are fulfilled</w:t>
            </w:r>
          </w:p>
        </w:tc>
      </w:tr>
      <w:tr w:rsidR="00F5515C" w:rsidRPr="00C97B34" w14:paraId="240E2970" w14:textId="580A54A4" w:rsidTr="00F5515C">
        <w:tc>
          <w:tcPr>
            <w:tcW w:w="8720" w:type="dxa"/>
          </w:tcPr>
          <w:p w14:paraId="413E0F94" w14:textId="61DE569A" w:rsidR="00F5515C" w:rsidRPr="00C97B34" w:rsidRDefault="00F5515C" w:rsidP="00F5515C">
            <w:pPr>
              <w:rPr>
                <w:color w:val="auto"/>
                <w:sz w:val="18"/>
                <w:szCs w:val="18"/>
              </w:rPr>
            </w:pPr>
            <w:r w:rsidRPr="00C97B34">
              <w:rPr>
                <w:color w:val="auto"/>
                <w:sz w:val="18"/>
                <w:szCs w:val="18"/>
              </w:rPr>
              <w:t xml:space="preserve">A. Acute onset of an illness(minutes to several hours) with involvement of the skin mucosal tissue, or both (for example generalized hives, </w:t>
            </w:r>
            <w:proofErr w:type="spellStart"/>
            <w:r w:rsidRPr="00C97B34">
              <w:rPr>
                <w:color w:val="auto"/>
                <w:sz w:val="18"/>
                <w:szCs w:val="18"/>
              </w:rPr>
              <w:t>pruritis</w:t>
            </w:r>
            <w:proofErr w:type="spellEnd"/>
            <w:r w:rsidRPr="00C97B34">
              <w:rPr>
                <w:color w:val="auto"/>
                <w:sz w:val="18"/>
                <w:szCs w:val="18"/>
              </w:rPr>
              <w:t xml:space="preserve"> or flushing, swollen lips-tongue-uvula) and </w:t>
            </w:r>
            <w:proofErr w:type="spellStart"/>
            <w:r w:rsidRPr="00C97B34">
              <w:rPr>
                <w:color w:val="auto"/>
                <w:sz w:val="18"/>
                <w:szCs w:val="18"/>
              </w:rPr>
              <w:t>t</w:t>
            </w:r>
            <w:proofErr w:type="spellEnd"/>
            <w:r w:rsidRPr="00C97B34">
              <w:rPr>
                <w:color w:val="auto"/>
                <w:sz w:val="18"/>
                <w:szCs w:val="18"/>
              </w:rPr>
              <w:t xml:space="preserve"> least one of the following:</w:t>
            </w:r>
          </w:p>
          <w:p w14:paraId="04E882ED" w14:textId="67FFD2C1" w:rsidR="00F5515C" w:rsidRPr="00C97B34" w:rsidRDefault="00F5515C" w:rsidP="00654E1B">
            <w:pPr>
              <w:pStyle w:val="Numberbullet2"/>
              <w:numPr>
                <w:ilvl w:val="1"/>
                <w:numId w:val="2"/>
              </w:numPr>
              <w:rPr>
                <w:color w:val="auto"/>
                <w:sz w:val="18"/>
                <w:szCs w:val="18"/>
              </w:rPr>
            </w:pPr>
            <w:r w:rsidRPr="00C97B34">
              <w:rPr>
                <w:color w:val="auto"/>
                <w:sz w:val="18"/>
                <w:szCs w:val="18"/>
              </w:rPr>
              <w:t xml:space="preserve">Respiratory compromise(for example </w:t>
            </w:r>
            <w:r w:rsidR="004D4AAF" w:rsidRPr="00C97B34">
              <w:rPr>
                <w:color w:val="auto"/>
                <w:sz w:val="18"/>
                <w:szCs w:val="18"/>
              </w:rPr>
              <w:t>dyspnoea</w:t>
            </w:r>
            <w:r w:rsidRPr="00C97B34">
              <w:rPr>
                <w:color w:val="auto"/>
                <w:sz w:val="18"/>
                <w:szCs w:val="18"/>
              </w:rPr>
              <w:t>, wheeze-bronchospasm, stridor, reduced PEF (peak expiratory flow), hypoxemia)</w:t>
            </w:r>
          </w:p>
          <w:p w14:paraId="66F36FA0" w14:textId="6D8D1277" w:rsidR="00F5515C" w:rsidRPr="00C97B34" w:rsidRDefault="00F5515C" w:rsidP="00654E1B">
            <w:pPr>
              <w:pStyle w:val="Numberbullet2"/>
              <w:numPr>
                <w:ilvl w:val="1"/>
                <w:numId w:val="2"/>
              </w:numPr>
              <w:rPr>
                <w:color w:val="auto"/>
                <w:sz w:val="18"/>
                <w:szCs w:val="18"/>
              </w:rPr>
            </w:pPr>
            <w:r w:rsidRPr="00C97B34">
              <w:rPr>
                <w:color w:val="auto"/>
                <w:sz w:val="18"/>
                <w:szCs w:val="18"/>
              </w:rPr>
              <w:t xml:space="preserve">Reduced blood pressure or associated symptoms of end-organ dysfunction (for example </w:t>
            </w:r>
            <w:proofErr w:type="spellStart"/>
            <w:r w:rsidRPr="00C97B34">
              <w:rPr>
                <w:color w:val="auto"/>
                <w:sz w:val="18"/>
                <w:szCs w:val="18"/>
              </w:rPr>
              <w:t>hypotonia</w:t>
            </w:r>
            <w:proofErr w:type="spellEnd"/>
            <w:r w:rsidRPr="00C97B34">
              <w:rPr>
                <w:color w:val="auto"/>
                <w:sz w:val="18"/>
                <w:szCs w:val="18"/>
              </w:rPr>
              <w:t xml:space="preserve"> (collapse), syncope, incontinence.</w:t>
            </w:r>
          </w:p>
        </w:tc>
      </w:tr>
      <w:tr w:rsidR="00F5515C" w:rsidRPr="00C97B34" w14:paraId="20DD4B77" w14:textId="3C309CAC" w:rsidTr="00F5515C">
        <w:tc>
          <w:tcPr>
            <w:tcW w:w="8720" w:type="dxa"/>
          </w:tcPr>
          <w:p w14:paraId="4E587F22" w14:textId="03650C77" w:rsidR="00F5515C" w:rsidRPr="00C97B34" w:rsidRDefault="00F5515C" w:rsidP="00F5515C">
            <w:pPr>
              <w:rPr>
                <w:color w:val="auto"/>
                <w:sz w:val="18"/>
                <w:szCs w:val="18"/>
              </w:rPr>
            </w:pPr>
            <w:r w:rsidRPr="00C97B34">
              <w:rPr>
                <w:color w:val="auto"/>
                <w:sz w:val="18"/>
                <w:szCs w:val="18"/>
              </w:rPr>
              <w:t>B. Two or more of the following that occur rapidly after exposure to a likely allergen for that patient (minutes to several hours):</w:t>
            </w:r>
          </w:p>
          <w:p w14:paraId="34122633" w14:textId="360C20A4" w:rsidR="00F5515C" w:rsidRPr="00C97B34" w:rsidRDefault="00F5515C" w:rsidP="00654E1B">
            <w:pPr>
              <w:pStyle w:val="Numberbullet2"/>
              <w:numPr>
                <w:ilvl w:val="1"/>
                <w:numId w:val="2"/>
              </w:numPr>
              <w:rPr>
                <w:color w:val="auto"/>
                <w:sz w:val="18"/>
                <w:szCs w:val="18"/>
              </w:rPr>
            </w:pPr>
            <w:r w:rsidRPr="00C97B34">
              <w:rPr>
                <w:color w:val="auto"/>
                <w:sz w:val="18"/>
                <w:szCs w:val="18"/>
              </w:rPr>
              <w:t>Involvement of the skin-mucosal tissue (for example generalised hives, itch-flush, swollen lips-tongue-uvula</w:t>
            </w:r>
          </w:p>
          <w:p w14:paraId="37504D1E" w14:textId="6671481B" w:rsidR="00F5515C" w:rsidRPr="00C97B34" w:rsidRDefault="00F5515C" w:rsidP="00654E1B">
            <w:pPr>
              <w:pStyle w:val="Numberbullet2"/>
              <w:numPr>
                <w:ilvl w:val="1"/>
                <w:numId w:val="2"/>
              </w:numPr>
              <w:rPr>
                <w:color w:val="auto"/>
                <w:sz w:val="18"/>
                <w:szCs w:val="18"/>
              </w:rPr>
            </w:pPr>
            <w:r w:rsidRPr="00C97B34">
              <w:rPr>
                <w:color w:val="auto"/>
                <w:sz w:val="18"/>
                <w:szCs w:val="18"/>
              </w:rPr>
              <w:t>Respiratory compromise (for example dyspnoea, wheeze-bronchospasm, stridor, reduced PEF, hypoxemia)</w:t>
            </w:r>
          </w:p>
          <w:p w14:paraId="1EAB4288" w14:textId="4114A947" w:rsidR="00F5515C" w:rsidRPr="00C97B34" w:rsidRDefault="00F5515C" w:rsidP="00654E1B">
            <w:pPr>
              <w:pStyle w:val="Numberbullet2"/>
              <w:numPr>
                <w:ilvl w:val="1"/>
                <w:numId w:val="2"/>
              </w:numPr>
              <w:rPr>
                <w:color w:val="auto"/>
                <w:sz w:val="18"/>
                <w:szCs w:val="18"/>
              </w:rPr>
            </w:pPr>
            <w:r w:rsidRPr="00C97B34">
              <w:rPr>
                <w:color w:val="auto"/>
                <w:sz w:val="18"/>
                <w:szCs w:val="18"/>
              </w:rPr>
              <w:t xml:space="preserve">Reduced blood pressure or associated symptoms (for example </w:t>
            </w:r>
            <w:proofErr w:type="spellStart"/>
            <w:r w:rsidRPr="00C97B34">
              <w:rPr>
                <w:color w:val="auto"/>
                <w:sz w:val="18"/>
                <w:szCs w:val="18"/>
              </w:rPr>
              <w:t>hypotonia</w:t>
            </w:r>
            <w:proofErr w:type="spellEnd"/>
            <w:r w:rsidRPr="00C97B34">
              <w:rPr>
                <w:color w:val="auto"/>
                <w:sz w:val="18"/>
                <w:szCs w:val="18"/>
              </w:rPr>
              <w:t xml:space="preserve"> (collapse), syncope, incontinence)</w:t>
            </w:r>
          </w:p>
          <w:p w14:paraId="2B240B96" w14:textId="62A056D9" w:rsidR="00F5515C" w:rsidRPr="00C97B34" w:rsidRDefault="00F5515C" w:rsidP="00654E1B">
            <w:pPr>
              <w:pStyle w:val="Numberbullet2"/>
              <w:numPr>
                <w:ilvl w:val="1"/>
                <w:numId w:val="2"/>
              </w:numPr>
              <w:rPr>
                <w:color w:val="auto"/>
                <w:sz w:val="18"/>
                <w:szCs w:val="18"/>
              </w:rPr>
            </w:pPr>
            <w:r w:rsidRPr="00C97B34">
              <w:rPr>
                <w:color w:val="auto"/>
                <w:sz w:val="18"/>
                <w:szCs w:val="18"/>
              </w:rPr>
              <w:t xml:space="preserve">Persistent gastrointestinal symptoms (for example </w:t>
            </w:r>
            <w:proofErr w:type="spellStart"/>
            <w:r w:rsidRPr="00C97B34">
              <w:rPr>
                <w:color w:val="auto"/>
                <w:sz w:val="18"/>
                <w:szCs w:val="18"/>
              </w:rPr>
              <w:t>crampy</w:t>
            </w:r>
            <w:proofErr w:type="spellEnd"/>
            <w:r w:rsidRPr="00C97B34">
              <w:rPr>
                <w:color w:val="auto"/>
                <w:sz w:val="18"/>
                <w:szCs w:val="18"/>
              </w:rPr>
              <w:t xml:space="preserve"> abdominal pain, vomiting)</w:t>
            </w:r>
          </w:p>
        </w:tc>
      </w:tr>
      <w:tr w:rsidR="00F5515C" w:rsidRPr="00C97B34" w14:paraId="345C5EF9" w14:textId="2C461B97" w:rsidTr="00F5515C">
        <w:tc>
          <w:tcPr>
            <w:tcW w:w="8720" w:type="dxa"/>
          </w:tcPr>
          <w:p w14:paraId="64A4E321" w14:textId="5E8D6B1E" w:rsidR="00F5515C" w:rsidRPr="00C97B34" w:rsidRDefault="00F5515C" w:rsidP="00F5515C">
            <w:pPr>
              <w:rPr>
                <w:color w:val="auto"/>
                <w:sz w:val="18"/>
                <w:szCs w:val="18"/>
              </w:rPr>
            </w:pPr>
            <w:r w:rsidRPr="00C97B34">
              <w:rPr>
                <w:color w:val="auto"/>
                <w:sz w:val="18"/>
                <w:szCs w:val="18"/>
              </w:rPr>
              <w:t>C .Reduced blood pressure (BP) after exposure to known allergen for that patient (minutes to several hours)</w:t>
            </w:r>
          </w:p>
          <w:p w14:paraId="24AA4D18" w14:textId="013A150C" w:rsidR="00F5515C" w:rsidRPr="00C97B34" w:rsidRDefault="00F5515C" w:rsidP="00654E1B">
            <w:pPr>
              <w:pStyle w:val="Numberbullet2"/>
              <w:numPr>
                <w:ilvl w:val="1"/>
                <w:numId w:val="2"/>
              </w:numPr>
              <w:rPr>
                <w:color w:val="auto"/>
                <w:sz w:val="18"/>
                <w:szCs w:val="18"/>
              </w:rPr>
            </w:pPr>
            <w:r w:rsidRPr="00C97B34">
              <w:rPr>
                <w:color w:val="auto"/>
                <w:sz w:val="18"/>
                <w:szCs w:val="18"/>
              </w:rPr>
              <w:t>Systolic BP of less than 90mm Hg or greater than 30% decrease from that person’s baseline.</w:t>
            </w:r>
          </w:p>
        </w:tc>
      </w:tr>
      <w:tr w:rsidR="00F5515C" w:rsidRPr="00C97B34" w14:paraId="40CB6B54" w14:textId="6F269248" w:rsidTr="00F5515C">
        <w:tc>
          <w:tcPr>
            <w:tcW w:w="8720" w:type="dxa"/>
          </w:tcPr>
          <w:p w14:paraId="56B43459" w14:textId="658B6A0D" w:rsidR="00F5515C" w:rsidRPr="00C97B34" w:rsidRDefault="00F5515C" w:rsidP="00F5515C">
            <w:pPr>
              <w:rPr>
                <w:color w:val="auto"/>
                <w:sz w:val="18"/>
                <w:szCs w:val="18"/>
              </w:rPr>
            </w:pPr>
            <w:r w:rsidRPr="00C97B34">
              <w:rPr>
                <w:color w:val="auto"/>
                <w:sz w:val="18"/>
                <w:szCs w:val="18"/>
              </w:rPr>
              <w:t>Management of anaphylaxis</w:t>
            </w:r>
          </w:p>
          <w:p w14:paraId="5A491585" w14:textId="6679F12F" w:rsidR="00F5515C" w:rsidRPr="00C97B34" w:rsidRDefault="00F5515C" w:rsidP="00F5515C">
            <w:pPr>
              <w:rPr>
                <w:color w:val="auto"/>
                <w:sz w:val="18"/>
                <w:szCs w:val="18"/>
              </w:rPr>
            </w:pPr>
            <w:r w:rsidRPr="00C97B34">
              <w:rPr>
                <w:color w:val="auto"/>
                <w:sz w:val="18"/>
                <w:szCs w:val="18"/>
              </w:rPr>
              <w:t xml:space="preserve">As with the treatment of any critically ill patient, the treatment of anaphylaxis begins with a rapid assessment and maintenance of airway, breathing and circulation. When a patient fulfils any of the 3 criteria of anaphylaxis outlined above, the patient should receive epinephrine immediately because epinephrine is the treatment of choice in anaphylaxis. </w:t>
            </w:r>
          </w:p>
        </w:tc>
      </w:tr>
    </w:tbl>
    <w:p w14:paraId="56E15174" w14:textId="31C3017C" w:rsidR="00B30E62" w:rsidRPr="00C97B34" w:rsidRDefault="00EC703E" w:rsidP="00B30E62">
      <w:pPr>
        <w:pStyle w:val="TableTitle"/>
      </w:pPr>
      <w:r>
        <w:lastRenderedPageBreak/>
        <w:t>Table 18</w:t>
      </w:r>
      <w:r w:rsidR="009F2F8C">
        <w:t>:</w:t>
      </w:r>
      <w:r w:rsidR="00B30E62" w:rsidRPr="00C97B34">
        <w:t xml:space="preserve"> Treatment emergent adverse events of infusion related reaction and anaphylaxis (Sampson’s criteria) in controlled studies (Safety population)</w:t>
      </w:r>
    </w:p>
    <w:p w14:paraId="1CFEA41D" w14:textId="77777777" w:rsidR="00F5515C" w:rsidRPr="00C97B34" w:rsidRDefault="00B30E62" w:rsidP="00AF433A">
      <w:r w:rsidRPr="00C97B34">
        <w:rPr>
          <w:rFonts w:asciiTheme="minorHAnsi" w:hAnsiTheme="minorHAnsi"/>
          <w:b/>
          <w:noProof/>
          <w:lang w:eastAsia="en-AU"/>
        </w:rPr>
        <w:drawing>
          <wp:inline distT="0" distB="0" distL="0" distR="0" wp14:anchorId="6312C0D5" wp14:editId="617CA464">
            <wp:extent cx="5400040" cy="2866688"/>
            <wp:effectExtent l="0" t="0" r="0" b="0"/>
            <wp:docPr id="23" name="Picture 23" descr="Treatment emergent adverse events of infusion related reaction and anaphylaxis (Sampson’s criteria) in controlled studie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040" cy="2866688"/>
                    </a:xfrm>
                    <a:prstGeom prst="rect">
                      <a:avLst/>
                    </a:prstGeom>
                    <a:noFill/>
                    <a:ln>
                      <a:noFill/>
                    </a:ln>
                  </pic:spPr>
                </pic:pic>
              </a:graphicData>
            </a:graphic>
          </wp:inline>
        </w:drawing>
      </w:r>
    </w:p>
    <w:p w14:paraId="6FEA9F42" w14:textId="77777777" w:rsidR="00B30E62" w:rsidRPr="00C97B34" w:rsidRDefault="00B30E62" w:rsidP="00B30E62">
      <w:r w:rsidRPr="00C97B34">
        <w:t>The sponsor concluded that the incidence, pattern and severity of infusion related reactions were similar between the groups in the controlled studies, most adverse events reported as an anaphylactic reaction were considered to be a serious infusion related reaction and that overall the incidence of serious infusion related and anaphylactic reactions was similar between both groups in the controlled studies.</w:t>
      </w:r>
    </w:p>
    <w:p w14:paraId="16ECA60F" w14:textId="77777777" w:rsidR="00B30E62" w:rsidRPr="00C97B34" w:rsidRDefault="00B30E62" w:rsidP="00B30E62">
      <w:pPr>
        <w:pStyle w:val="Heading6"/>
      </w:pPr>
      <w:r w:rsidRPr="00C97B34">
        <w:t>Question 10</w:t>
      </w:r>
    </w:p>
    <w:p w14:paraId="0FAB4353" w14:textId="6CB920C0" w:rsidR="00B30E62" w:rsidRPr="00C97B34" w:rsidRDefault="00B30E62" w:rsidP="00B30E62">
      <w:r w:rsidRPr="00C97B34">
        <w:t xml:space="preserve">Question 10 concerned the observation that the incidence of both TB and of serious pneumonia was higher with the test product, CT-P13, than it was with Remicade. As noted by the clinical evaluator, the CT-P13 clinical trial program showed a higher incidence of TB and serious pneumonia in subjects treated with CT-P13 versus Remicade. The overall reported incidence of TB was higher in the CT-P13 group (1.6%; 7 out of 440) compared with Remicade (0.2%; 1 out of 431). The 7 cases in patients on CT-P13 were from Philippines (3), Poland, Mexico, Korea and Latvia. The single case in a patient on Remicade was from Poland. There were apparently 3 cases of uncertain confirmation, the diagnosis of which was based on the local physician’s judgement rather than on positive culture of the bacterium. Two of these 3 cases had abnormal chest X-rays (chronic upper lobe inflammatory changes) at </w:t>
      </w:r>
      <w:r w:rsidR="004D4AAF" w:rsidRPr="00C97B34">
        <w:t>enrolment, which</w:t>
      </w:r>
      <w:r w:rsidRPr="00C97B34">
        <w:t xml:space="preserve"> represents a protocol violation. Even if these three cases are excluded from consideration the respective rates of developing TB in the clinical programme was 0.9% (4 out of 437) with CT-P13 and 0.2% (1 out of 431) with Remicade.</w:t>
      </w:r>
    </w:p>
    <w:p w14:paraId="384291A2" w14:textId="594B7F7C" w:rsidR="00B30E62" w:rsidRPr="00C97B34" w:rsidRDefault="00B30E62" w:rsidP="00B30E62">
      <w:r w:rsidRPr="00C97B34">
        <w:t xml:space="preserve">A total of 5 cases of pneumonia (1.1% of 440) were reported in the clinical programme in patients treated with CT-P13 versus no cases with Remicade. In the response to </w:t>
      </w:r>
      <w:r w:rsidR="004D4AAF" w:rsidRPr="00C97B34">
        <w:t>questions,</w:t>
      </w:r>
      <w:r w:rsidRPr="00C97B34">
        <w:t xml:space="preserve"> the sponsor presented data suggesting that the observed incidence of each condition in the CT-P13 clinical programme is within the expected historical range for infliximab individuals.</w:t>
      </w:r>
    </w:p>
    <w:p w14:paraId="6CD9BC74" w14:textId="77777777" w:rsidR="00B30E62" w:rsidRPr="00C97B34" w:rsidRDefault="00B30E62" w:rsidP="00B30E62">
      <w:r w:rsidRPr="00C97B34">
        <w:t>The Delegate, like the clinical evaluator, remains concerned by the discrepancy in these adverse events. While the rates are small and the observed differences in rates may simply be a matter of chance, there is nevertheless a difference. Is there a possibility that the discrepancy may be reflective of some structural difference between CT-P13 and Remicade and, if so, could this alter the product’s safety? The ACPM will be asked for its views on this matter.</w:t>
      </w:r>
    </w:p>
    <w:p w14:paraId="781FAEB7" w14:textId="03E70E0F" w:rsidR="00B30E62" w:rsidRPr="00C97B34" w:rsidRDefault="00B30E62" w:rsidP="00B30E62">
      <w:r w:rsidRPr="00C97B34">
        <w:lastRenderedPageBreak/>
        <w:t>The sponsor responded to these concerns in the ‘Post TGA Meeting’ response. For TB, the incidence rate across all controlled studies up to 54 weeks was 1.4% on CT-P13 versu</w:t>
      </w:r>
      <w:r w:rsidR="00EC703E">
        <w:t>s 0.2% on Remicade (see Table 19</w:t>
      </w:r>
      <w:r w:rsidR="00E02BE5" w:rsidRPr="00C97B34">
        <w:t xml:space="preserve"> </w:t>
      </w:r>
      <w:r w:rsidRPr="00C97B34">
        <w:t>below).</w:t>
      </w:r>
    </w:p>
    <w:p w14:paraId="727E96FE" w14:textId="5F1C507F" w:rsidR="00B30E62" w:rsidRPr="00C97B34" w:rsidRDefault="00EC703E" w:rsidP="00B30E62">
      <w:pPr>
        <w:pStyle w:val="TableTitle"/>
      </w:pPr>
      <w:r>
        <w:t>Table 19</w:t>
      </w:r>
      <w:r w:rsidR="009F2F8C">
        <w:t>:</w:t>
      </w:r>
      <w:r w:rsidR="00B30E62" w:rsidRPr="00C97B34">
        <w:t xml:space="preserve"> Summary of patient reporting active tuberculosis across CT-P13 studies</w:t>
      </w:r>
      <w:r w:rsidR="009F4F36">
        <w:t>;</w:t>
      </w:r>
      <w:r w:rsidR="00B30E62" w:rsidRPr="00C97B34">
        <w:t xml:space="preserve"> Safety population</w:t>
      </w:r>
    </w:p>
    <w:p w14:paraId="7D73797E" w14:textId="77777777" w:rsidR="00B30E62" w:rsidRPr="00C97B34" w:rsidRDefault="00B30E62" w:rsidP="00AF433A">
      <w:r w:rsidRPr="00C97B34">
        <w:rPr>
          <w:noProof/>
          <w:lang w:eastAsia="en-AU"/>
        </w:rPr>
        <w:drawing>
          <wp:inline distT="0" distB="0" distL="0" distR="0" wp14:anchorId="05BB6839" wp14:editId="019A08A9">
            <wp:extent cx="5400040" cy="1316355"/>
            <wp:effectExtent l="0" t="0" r="0" b="0"/>
            <wp:docPr id="51" name="Picture 51" descr="Summary of patient reporting active tuberculosis across CT-P13 studie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00040" cy="1316355"/>
                    </a:xfrm>
                    <a:prstGeom prst="rect">
                      <a:avLst/>
                    </a:prstGeom>
                  </pic:spPr>
                </pic:pic>
              </a:graphicData>
            </a:graphic>
          </wp:inline>
        </w:drawing>
      </w:r>
    </w:p>
    <w:p w14:paraId="5208D447" w14:textId="77777777" w:rsidR="00B30E62" w:rsidRPr="00C97B34" w:rsidRDefault="00B30E62" w:rsidP="00B30E62">
      <w:r w:rsidRPr="00C97B34">
        <w:t>The sponsor acknowledges there is a higher result for patients on CT-P13 however says the reasons for this imbalance are due to the following:</w:t>
      </w:r>
    </w:p>
    <w:p w14:paraId="37C48B39" w14:textId="77777777" w:rsidR="00B30E62" w:rsidRPr="00C97B34" w:rsidRDefault="00B30E62" w:rsidP="00654E1B">
      <w:pPr>
        <w:pStyle w:val="Numberbullet0"/>
        <w:numPr>
          <w:ilvl w:val="0"/>
          <w:numId w:val="10"/>
        </w:numPr>
      </w:pPr>
      <w:r w:rsidRPr="00C97B34">
        <w:t>Some of the studies were conducted in regions where Remicade has not been previously approved or used and the background burden of TB is relatively high, for example Philippines.</w:t>
      </w:r>
    </w:p>
    <w:p w14:paraId="0A1DE4F9" w14:textId="77777777" w:rsidR="00B30E62" w:rsidRPr="00C97B34" w:rsidRDefault="00B30E62" w:rsidP="00654E1B">
      <w:pPr>
        <w:pStyle w:val="Numberbullet0"/>
        <w:numPr>
          <w:ilvl w:val="0"/>
          <w:numId w:val="10"/>
        </w:numPr>
      </w:pPr>
      <w:r w:rsidRPr="00C97B34">
        <w:t>Two of the three patients from the Philippines had abnormal chest X-ray findings at baseline and the decision to treat patients there was based on clinical findings rather than microbiological or molecular diagnostic criteria.</w:t>
      </w:r>
    </w:p>
    <w:p w14:paraId="37E5E113" w14:textId="77777777" w:rsidR="00B30E62" w:rsidRPr="00C97B34" w:rsidRDefault="00B30E62" w:rsidP="00654E1B">
      <w:pPr>
        <w:pStyle w:val="Numberbullet0"/>
        <w:numPr>
          <w:ilvl w:val="0"/>
          <w:numId w:val="10"/>
        </w:numPr>
      </w:pPr>
      <w:r w:rsidRPr="00C97B34">
        <w:t xml:space="preserve">Patients reporting disseminated TB in study CT-P13 1.1 had an X-ray finding of </w:t>
      </w:r>
      <w:proofErr w:type="spellStart"/>
      <w:r w:rsidRPr="00C97B34">
        <w:t>pneumofibrosis</w:t>
      </w:r>
      <w:proofErr w:type="spellEnd"/>
      <w:r w:rsidRPr="00C97B34">
        <w:t xml:space="preserve"> at baseline and a history of previous TB.</w:t>
      </w:r>
    </w:p>
    <w:p w14:paraId="08F86DB9" w14:textId="77777777" w:rsidR="00B30E62" w:rsidRPr="00C97B34" w:rsidRDefault="00B30E62" w:rsidP="00654E1B">
      <w:pPr>
        <w:pStyle w:val="Numberbullet0"/>
        <w:numPr>
          <w:ilvl w:val="0"/>
          <w:numId w:val="10"/>
        </w:numPr>
      </w:pPr>
      <w:r w:rsidRPr="00C97B34">
        <w:t>Similar incidences were observed for seroconversion in the interferon gamma release assay (IGRA) test and for TEAEs of latent TB (CT-P13 8.3% versus Remicade 6.8%).</w:t>
      </w:r>
    </w:p>
    <w:p w14:paraId="3D960130" w14:textId="77777777" w:rsidR="00B30E62" w:rsidRPr="00C97B34" w:rsidRDefault="00B30E62" w:rsidP="00654E1B">
      <w:pPr>
        <w:pStyle w:val="Numberbullet0"/>
        <w:numPr>
          <w:ilvl w:val="0"/>
          <w:numId w:val="10"/>
        </w:numPr>
      </w:pPr>
      <w:r w:rsidRPr="00C97B34">
        <w:t>The incidence is broadly in line with previous Remicade studies at 0.9% for confirmed cases and 1.6% for all cases. Historical Remicade studies suggest an overall incidence of 0.80% for RA and 1.38% for AS.</w:t>
      </w:r>
    </w:p>
    <w:p w14:paraId="3EB86402" w14:textId="77777777" w:rsidR="00B30E62" w:rsidRPr="00C97B34" w:rsidRDefault="00B30E62" w:rsidP="00654E1B">
      <w:pPr>
        <w:pStyle w:val="Numberbullet0"/>
        <w:numPr>
          <w:ilvl w:val="0"/>
          <w:numId w:val="10"/>
        </w:numPr>
      </w:pPr>
      <w:r w:rsidRPr="00C97B34">
        <w:t>The incidence of TB was in line with epidemiological ranking of high risk countries and therefore the imbalance has no relevance for low risk countries.</w:t>
      </w:r>
    </w:p>
    <w:p w14:paraId="42E164D6" w14:textId="77777777" w:rsidR="00B30E62" w:rsidRPr="00C97B34" w:rsidRDefault="00B30E62" w:rsidP="00654E1B">
      <w:pPr>
        <w:pStyle w:val="Numberbullet0"/>
        <w:numPr>
          <w:ilvl w:val="0"/>
          <w:numId w:val="10"/>
        </w:numPr>
      </w:pPr>
      <w:r w:rsidRPr="00C97B34">
        <w:t xml:space="preserve">There was some asymmetry in randomisation at sites where active TB was reported with more on </w:t>
      </w:r>
      <w:r w:rsidR="00525466">
        <w:t>Inflectra</w:t>
      </w:r>
      <w:r w:rsidRPr="00C97B34">
        <w:t xml:space="preserve"> than Remicade.</w:t>
      </w:r>
    </w:p>
    <w:p w14:paraId="5BE643DA" w14:textId="230A1D3F" w:rsidR="00B30E62" w:rsidRPr="00C97B34" w:rsidRDefault="00B30E62" w:rsidP="00B30E62">
      <w:r w:rsidRPr="00C97B34">
        <w:t>The sponsor provided a table of incidence based on ranks of epidemiological</w:t>
      </w:r>
      <w:r w:rsidR="00EC703E">
        <w:t xml:space="preserve"> burden as shown below (Table 20</w:t>
      </w:r>
      <w:r w:rsidRPr="00C97B34">
        <w:t>).</w:t>
      </w:r>
    </w:p>
    <w:p w14:paraId="2BC5E16E" w14:textId="5C490DC6" w:rsidR="00B30E62" w:rsidRPr="00C97B34" w:rsidRDefault="00EC703E" w:rsidP="00B30E62">
      <w:pPr>
        <w:pStyle w:val="TableTitle"/>
      </w:pPr>
      <w:r>
        <w:lastRenderedPageBreak/>
        <w:t>Table 20</w:t>
      </w:r>
      <w:r w:rsidR="009F2F8C">
        <w:t>:</w:t>
      </w:r>
      <w:r w:rsidR="00B30E62" w:rsidRPr="00C97B34">
        <w:t xml:space="preserve"> Incidence of active TB in CT-P13 studies categori</w:t>
      </w:r>
      <w:r w:rsidR="009F4F36">
        <w:t>s</w:t>
      </w:r>
      <w:r w:rsidR="00B30E62" w:rsidRPr="00C97B34">
        <w:t>ed by ranks of epidemiological burden using WHO epidemiological criteria</w:t>
      </w:r>
    </w:p>
    <w:p w14:paraId="61660DA1" w14:textId="77777777" w:rsidR="00B30E62" w:rsidRPr="00C97B34" w:rsidRDefault="00B30E62" w:rsidP="00AF433A">
      <w:r w:rsidRPr="00C97B34">
        <w:rPr>
          <w:noProof/>
          <w:lang w:eastAsia="en-AU"/>
        </w:rPr>
        <w:drawing>
          <wp:inline distT="0" distB="0" distL="0" distR="0" wp14:anchorId="0D4AE67B" wp14:editId="0D78C12C">
            <wp:extent cx="5400040" cy="2095254"/>
            <wp:effectExtent l="0" t="0" r="0" b="635"/>
            <wp:docPr id="19" name="Picture 19" descr="Incidence of active TB in CT-P13 studies categorized by ranks of epidemiological burden using WHO epidemiological 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0040" cy="2095254"/>
                    </a:xfrm>
                    <a:prstGeom prst="rect">
                      <a:avLst/>
                    </a:prstGeom>
                    <a:noFill/>
                    <a:ln>
                      <a:noFill/>
                    </a:ln>
                  </pic:spPr>
                </pic:pic>
              </a:graphicData>
            </a:graphic>
          </wp:inline>
        </w:drawing>
      </w:r>
    </w:p>
    <w:p w14:paraId="2325BD12" w14:textId="77777777" w:rsidR="00B30E62" w:rsidRPr="00C97B34" w:rsidRDefault="00B30E62" w:rsidP="00B30E62">
      <w:r w:rsidRPr="00C97B34">
        <w:t xml:space="preserve">The sponsor claims that the comprehensive analyses conducted have shown that CT-P13 is highly similar to Remicade on quality and nonclinical grounds and that minor differences seen have no clinically meaningful impact on safety, purity or potency. In conclusion, the sponsor states that the numerical imbalance represents a clinical finding of no relevance to overall </w:t>
      </w:r>
      <w:proofErr w:type="spellStart"/>
      <w:r w:rsidRPr="00C97B34">
        <w:t>biosimilarity</w:t>
      </w:r>
      <w:proofErr w:type="spellEnd"/>
      <w:r w:rsidRPr="00C97B34">
        <w:t xml:space="preserve"> and can be explained by epidemiological and patient related factors.</w:t>
      </w:r>
    </w:p>
    <w:p w14:paraId="79D31E5F" w14:textId="77777777" w:rsidR="00B30E62" w:rsidRPr="00C97B34" w:rsidRDefault="00B30E62" w:rsidP="00B30E62">
      <w:r w:rsidRPr="00C97B34">
        <w:t>Registry studies are planned to be conducted in RA, CD, UC and AS in Europe and Korea. Safety will be assessed for up to five years, including for serious infections and TB. In addition, long term safety will be assessed in a post-market surveillance register in the UK for RA and a longitudinal observational study in RA in Germany. The sponsor has advised that they will report on TB and serious infections annually as part of the PSURs, will report on TB and other serious infections as part of an amalgamated report of registry data once 3,100 patients have been recruited and will continue dialogue with the TGA on risk management and minimisation activities.</w:t>
      </w:r>
    </w:p>
    <w:p w14:paraId="3341239D" w14:textId="620F19AE" w:rsidR="00B30E62" w:rsidRPr="00C97B34" w:rsidRDefault="00B30E62" w:rsidP="00B30E62">
      <w:r w:rsidRPr="00C97B34">
        <w:t>In relation to pneumonia, in the controlled studies, serious pneumonia was reported in 7 (1.4%) patients on CT-P13 versus 3 (0.6%) patients on Remicade. A table summar</w:t>
      </w:r>
      <w:r w:rsidR="00EC703E">
        <w:t>ising this is provided (Table 21</w:t>
      </w:r>
      <w:r w:rsidRPr="00C97B34">
        <w:t>).</w:t>
      </w:r>
    </w:p>
    <w:p w14:paraId="650016AC" w14:textId="097FA099" w:rsidR="00B30E62" w:rsidRPr="00C97B34" w:rsidRDefault="00EC703E" w:rsidP="00B30E62">
      <w:pPr>
        <w:pStyle w:val="TableTitle"/>
      </w:pPr>
      <w:r>
        <w:t>Table 21</w:t>
      </w:r>
      <w:r w:rsidR="009F2F8C">
        <w:t>:</w:t>
      </w:r>
      <w:r w:rsidR="00B30E62" w:rsidRPr="00C97B34">
        <w:t xml:space="preserve"> Summary of patient reporting serious pneumonia across CT-P13 studies. Safety population</w:t>
      </w:r>
    </w:p>
    <w:p w14:paraId="4F72C01E" w14:textId="77777777" w:rsidR="00B30E62" w:rsidRDefault="00B30E62" w:rsidP="00AF433A">
      <w:r w:rsidRPr="009A65F1">
        <w:rPr>
          <w:noProof/>
          <w:highlight w:val="lightGray"/>
          <w:lang w:eastAsia="en-AU"/>
        </w:rPr>
        <w:drawing>
          <wp:inline distT="0" distB="0" distL="0" distR="0" wp14:anchorId="6C9774B5" wp14:editId="09654366">
            <wp:extent cx="5400040" cy="1421130"/>
            <wp:effectExtent l="0" t="0" r="0" b="7620"/>
            <wp:docPr id="50" name="Picture 50" descr="Summary of patient reporting serious pneumonia across CT-P13 studie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00040" cy="1421130"/>
                    </a:xfrm>
                    <a:prstGeom prst="rect">
                      <a:avLst/>
                    </a:prstGeom>
                  </pic:spPr>
                </pic:pic>
              </a:graphicData>
            </a:graphic>
          </wp:inline>
        </w:drawing>
      </w:r>
    </w:p>
    <w:p w14:paraId="00410D81" w14:textId="77777777" w:rsidR="00B30E62" w:rsidRPr="00C97B34" w:rsidRDefault="00B30E62" w:rsidP="00B30E62">
      <w:r w:rsidRPr="00C97B34">
        <w:t>The sponsor has suggested that the difference may be due to baseline risk factors with more patients on CT-P13 (5 out of 7) having risk factors than patients receiving Remicade (none out of three). The sponsor also states that the historical rate of serious pneumonia with Remicade in studies conducted over one year show the incidence to be 2.15 to 3.03% that is similar to the rate observed with CT-P13. All cases of pneumonia were successfully treated with antibiotics.</w:t>
      </w:r>
    </w:p>
    <w:p w14:paraId="5AAFAFBB" w14:textId="77777777" w:rsidR="00B30E62" w:rsidRPr="00C97B34" w:rsidRDefault="00B30E62" w:rsidP="00B30E62">
      <w:pPr>
        <w:pStyle w:val="Heading6"/>
      </w:pPr>
      <w:r w:rsidRPr="00C97B34">
        <w:lastRenderedPageBreak/>
        <w:t>Question 11</w:t>
      </w:r>
    </w:p>
    <w:p w14:paraId="20F576AC" w14:textId="4E898ED4" w:rsidR="00B30E62" w:rsidRPr="00C97B34" w:rsidRDefault="00B30E62" w:rsidP="00B30E62">
      <w:r w:rsidRPr="00C97B34">
        <w:t xml:space="preserve">Question 11 concerned the two small additional studies, </w:t>
      </w:r>
      <w:r w:rsidR="009F4F36">
        <w:t xml:space="preserve">Studies </w:t>
      </w:r>
      <w:r w:rsidRPr="00C97B34">
        <w:t>CT-P13 3.3 (Russia) and B1P13101 (Japan). In the response to questions, the sponsor provided an interim clinical study report up to Week 30 for the Russian study and data up to Week 54 for the Japanese study.</w:t>
      </w:r>
    </w:p>
    <w:p w14:paraId="03D66F44" w14:textId="77777777" w:rsidR="00B30E62" w:rsidRPr="00C97B34" w:rsidRDefault="00B30E62" w:rsidP="00B30E62">
      <w:r w:rsidRPr="00C97B34">
        <w:t xml:space="preserve">Study CT-P13 3.3 was a Phase III, 2 centre (in Russia), randomised, double-blind, parallel group study primarily designed to evaluate the efficacy of CT-P13 and Remicade in the treatment of adult patients with active RA receiving concomitant stable doses of MTX. The primary endpoint was the ACR20 response rate at Week 30. The secondary objectives were PK characteristics, efficacy beyond 30 weeks of treatment follow-up and safety outcomes. This study was a Russian </w:t>
      </w:r>
      <w:proofErr w:type="spellStart"/>
      <w:r w:rsidRPr="00C97B34">
        <w:t>substudy</w:t>
      </w:r>
      <w:proofErr w:type="spellEnd"/>
      <w:r w:rsidRPr="00C97B34">
        <w:t xml:space="preserve"> of the pivotal study CT-P13 3.3 and involved 15 patients. The proportion of patients achieving clinical response according to the ACR20 criteria at Week 30 was 5 (83.3%) patients and 5 (55.6%) patients in the CT-P13 and Remicade treatment groups, respectively. In Study CT-P13 3.3, no TESAEs were reported and only 1 (11.1%) patient in the Remicade treatment group discontinued due to AE (bronchitis of moderate severity).</w:t>
      </w:r>
    </w:p>
    <w:p w14:paraId="547741D1" w14:textId="77777777" w:rsidR="00B30E62" w:rsidRPr="00552BE3" w:rsidRDefault="00B30E62" w:rsidP="00B30E62">
      <w:r w:rsidRPr="00C97B34">
        <w:t xml:space="preserve">Study B1P113101 was a Phase I, multicentre (21 sites in Japan), randomised, double blind, parallel group study primarily designed to evaluate the PK parameters of CT-P13 and Remicade in the treatment of 108 adult patients with active RA receiving concomitant stable doses of MTX. The primary endpoint was the </w:t>
      </w:r>
      <w:proofErr w:type="spellStart"/>
      <w:r w:rsidRPr="00C97B34">
        <w:t>C</w:t>
      </w:r>
      <w:r w:rsidRPr="00C97B34">
        <w:rPr>
          <w:vertAlign w:val="subscript"/>
        </w:rPr>
        <w:t>max</w:t>
      </w:r>
      <w:proofErr w:type="spellEnd"/>
      <w:r w:rsidRPr="00C97B34">
        <w:t xml:space="preserve"> of CT-P13 compared to Remicade at Weeks 0, 2, and 6. The secondary endpoints were other PK characteristics, efficacy, and safety outcomes. The trial demonstrated that CT-P13 and Remicade produced a similar rate of ACR20, ACR50 and ACR70 response at Weeks 14, 30 and 54, as well as functional improvement (using HAQ-DI score changes). The safety profile of CT-P13 and Remicade in Study B1P13101 was comparable.</w:t>
      </w:r>
    </w:p>
    <w:p w14:paraId="7E24DF04" w14:textId="77777777" w:rsidR="00B30E62" w:rsidRDefault="00C97B34" w:rsidP="00A5194D">
      <w:pPr>
        <w:pStyle w:val="Heading5"/>
      </w:pPr>
      <w:r w:rsidRPr="00552BE3">
        <w:t>Second set of questions</w:t>
      </w:r>
      <w:r>
        <w:t xml:space="preserve"> (21 August 2014)</w:t>
      </w:r>
    </w:p>
    <w:p w14:paraId="678C9277" w14:textId="47C9B266" w:rsidR="00C97B34" w:rsidRPr="00552BE3" w:rsidRDefault="00C97B34" w:rsidP="00C97B34">
      <w:r w:rsidRPr="00552BE3">
        <w:t xml:space="preserve">In a second set of </w:t>
      </w:r>
      <w:r w:rsidR="004D4AAF" w:rsidRPr="00552BE3">
        <w:t>questions,</w:t>
      </w:r>
      <w:r w:rsidRPr="00552BE3">
        <w:t xml:space="preserve"> the sponsor was asked a number of questions related to the differences observed in the comparability studies undertaken between Remicade and </w:t>
      </w:r>
      <w:r w:rsidR="00525466">
        <w:t>Inflectra</w:t>
      </w:r>
      <w:r w:rsidRPr="00552BE3">
        <w:t xml:space="preserve">. </w:t>
      </w:r>
      <w:r>
        <w:t>T</w:t>
      </w:r>
      <w:r w:rsidRPr="00552BE3">
        <w:t xml:space="preserve">he comments of the </w:t>
      </w:r>
      <w:r>
        <w:t>quality</w:t>
      </w:r>
      <w:r w:rsidRPr="00552BE3">
        <w:t xml:space="preserve"> evaluators and nonclinical evaluators </w:t>
      </w:r>
      <w:r>
        <w:t>have been</w:t>
      </w:r>
      <w:r w:rsidRPr="00552BE3">
        <w:t xml:space="preserve"> discussed. The clinical evaluator also </w:t>
      </w:r>
      <w:r>
        <w:t>commented on these differences:</w:t>
      </w:r>
    </w:p>
    <w:p w14:paraId="16DBBC5F" w14:textId="77777777" w:rsidR="00C97B34" w:rsidRPr="00C97B34" w:rsidRDefault="00C97B34" w:rsidP="00C97B34">
      <w:pPr>
        <w:pStyle w:val="ListBullet"/>
      </w:pPr>
      <w:r w:rsidRPr="00C97B34">
        <w:t>The higher percentage of high molecular weight species with CT-P13 did not translate to a higher incidence or type of anti-infliximab antibodies with CT-P13</w:t>
      </w:r>
    </w:p>
    <w:p w14:paraId="06D63386" w14:textId="77777777" w:rsidR="00C97B34" w:rsidRPr="00C97B34" w:rsidRDefault="00C97B34" w:rsidP="00C97B34">
      <w:pPr>
        <w:pStyle w:val="ListBullet"/>
      </w:pPr>
      <w:r w:rsidRPr="00C97B34">
        <w:t>The differences in IgG fragments present in CT-P13 did not result in significant differences in binding affinity or neutralisation activity for TNFα</w:t>
      </w:r>
    </w:p>
    <w:p w14:paraId="62835932" w14:textId="77777777" w:rsidR="00C97B34" w:rsidRPr="00C97B34" w:rsidRDefault="00C97B34" w:rsidP="00C97B34">
      <w:pPr>
        <w:pStyle w:val="ListBullet"/>
      </w:pPr>
      <w:r w:rsidRPr="00C97B34">
        <w:t>The differences in oxidation of methionine did not impact on the PK parameters in vivo</w:t>
      </w:r>
    </w:p>
    <w:p w14:paraId="6401B1DF" w14:textId="77777777" w:rsidR="00C97B34" w:rsidRPr="00C97B34" w:rsidRDefault="00C97B34" w:rsidP="00C97B34">
      <w:pPr>
        <w:pStyle w:val="ListBullet"/>
      </w:pPr>
      <w:r w:rsidRPr="00C97B34">
        <w:t>The 4% higher protein content in CT-P13 did not affect the patient weight based exposure under the dosing regimens tested</w:t>
      </w:r>
    </w:p>
    <w:p w14:paraId="3011A8A1" w14:textId="77777777" w:rsidR="00C97B34" w:rsidRPr="00C97B34" w:rsidRDefault="00C97B34" w:rsidP="00C97B34">
      <w:pPr>
        <w:pStyle w:val="ListBullet"/>
      </w:pPr>
      <w:r w:rsidRPr="00C97B34">
        <w:t>The minor differences in glycosylation and mannose content did not have clinical consequences in terms of PK, safety or immunogenicity.</w:t>
      </w:r>
    </w:p>
    <w:p w14:paraId="307F028E" w14:textId="77777777" w:rsidR="00C97B34" w:rsidRPr="00552BE3" w:rsidRDefault="00C97B34" w:rsidP="00C97B34">
      <w:r w:rsidRPr="00552BE3">
        <w:t xml:space="preserve">The </w:t>
      </w:r>
      <w:r>
        <w:t xml:space="preserve">clinical </w:t>
      </w:r>
      <w:r w:rsidRPr="00552BE3">
        <w:t xml:space="preserve">evaluator was of the view that overall the differences were not clinically significant with respect to the </w:t>
      </w:r>
      <w:proofErr w:type="spellStart"/>
      <w:r w:rsidRPr="00552BE3">
        <w:t>rheumatologi</w:t>
      </w:r>
      <w:r>
        <w:t>cal</w:t>
      </w:r>
      <w:proofErr w:type="spellEnd"/>
      <w:r>
        <w:t xml:space="preserve"> indications (RA, AS and </w:t>
      </w:r>
      <w:proofErr w:type="spellStart"/>
      <w:r>
        <w:t>PsA</w:t>
      </w:r>
      <w:proofErr w:type="spellEnd"/>
      <w:r>
        <w:t>).</w:t>
      </w:r>
    </w:p>
    <w:p w14:paraId="1391C1CD" w14:textId="653281AB" w:rsidR="00C97B34" w:rsidRPr="00552BE3" w:rsidRDefault="00C97B34" w:rsidP="00C97B34">
      <w:r w:rsidRPr="00552BE3">
        <w:t xml:space="preserve">Next in this set of questions the sponsor was asked for comment on the precise role of TNFα compared to the role of other modes of action such as Fc-mediated effector functions particularly in relation to the six different indications proposed. In the opinion of the clinical </w:t>
      </w:r>
      <w:r w:rsidR="004D4AAF" w:rsidRPr="00552BE3">
        <w:t>evaluator,</w:t>
      </w:r>
      <w:r w:rsidRPr="00552BE3">
        <w:t xml:space="preserve"> the information provided supports the key role of TNFα in the pathology of all six treatment indications. The clinical evaluator states that in each of these conditions, TNFα is a key cytokine involved in the inflammatory process, mediates structural damage and is found in high concentrations at the sites of tissue involvement as </w:t>
      </w:r>
      <w:r w:rsidRPr="00552BE3">
        <w:lastRenderedPageBreak/>
        <w:t xml:space="preserve">well as in the blood of patients with moderately to severely active clinical disease. Furthermore, in the inflammatory arthritis conditions (RA, AS and </w:t>
      </w:r>
      <w:proofErr w:type="spellStart"/>
      <w:r w:rsidRPr="00552BE3">
        <w:t>PsA</w:t>
      </w:r>
      <w:proofErr w:type="spellEnd"/>
      <w:r w:rsidRPr="00552BE3">
        <w:t xml:space="preserve">), infliximab exerts its beneficial effect through neutralisation of </w:t>
      </w:r>
      <w:proofErr w:type="spellStart"/>
      <w:r>
        <w:t>s</w:t>
      </w:r>
      <w:r w:rsidRPr="00552BE3">
        <w:t>TNF</w:t>
      </w:r>
      <w:proofErr w:type="spellEnd"/>
      <w:r w:rsidRPr="00552BE3">
        <w:t xml:space="preserve">α. The </w:t>
      </w:r>
      <w:r>
        <w:t>Delegate</w:t>
      </w:r>
      <w:r w:rsidRPr="00552BE3">
        <w:t xml:space="preserve"> is of the opinion that the clinical trial dat</w:t>
      </w:r>
      <w:r>
        <w:t>a in RA and AS</w:t>
      </w:r>
      <w:r w:rsidRPr="00552BE3">
        <w:t xml:space="preserve"> may be applied more broadly across the </w:t>
      </w:r>
      <w:proofErr w:type="spellStart"/>
      <w:r w:rsidRPr="00552BE3">
        <w:t>rheumatological</w:t>
      </w:r>
      <w:proofErr w:type="spellEnd"/>
      <w:r w:rsidRPr="00552BE3">
        <w:t xml:space="preserve"> spectrum to include </w:t>
      </w:r>
      <w:proofErr w:type="spellStart"/>
      <w:r w:rsidRPr="00552BE3">
        <w:t>PsA</w:t>
      </w:r>
      <w:proofErr w:type="spellEnd"/>
      <w:r w:rsidRPr="00552BE3">
        <w:t xml:space="preserve"> also. Advice has been provided in </w:t>
      </w:r>
      <w:r>
        <w:t xml:space="preserve">the reports from clinical unit 1 and clinical unit 4 </w:t>
      </w:r>
      <w:r w:rsidRPr="00552BE3">
        <w:t xml:space="preserve">in relation to </w:t>
      </w:r>
      <w:r>
        <w:t>CD</w:t>
      </w:r>
      <w:r w:rsidRPr="00552BE3">
        <w:t xml:space="preserve">, </w:t>
      </w:r>
      <w:r>
        <w:t>UC and psoriasis</w:t>
      </w:r>
      <w:r w:rsidR="006D1EBC">
        <w:t xml:space="preserve"> (see Attachment 2)</w:t>
      </w:r>
      <w:r w:rsidR="00B23C8A">
        <w:t>.</w:t>
      </w:r>
      <w:r w:rsidR="00E02BE5">
        <w:t xml:space="preserve"> </w:t>
      </w:r>
    </w:p>
    <w:p w14:paraId="59C4A27F" w14:textId="77777777" w:rsidR="00C97B34" w:rsidRPr="00552BE3" w:rsidRDefault="00C97B34" w:rsidP="00C97B34">
      <w:r w:rsidRPr="00552BE3">
        <w:t>The sponsor was next asked about planned or ongoing studies. In its response, the sponsor provided a list of planned o</w:t>
      </w:r>
      <w:r>
        <w:t>r ongoing registry studies (UK and</w:t>
      </w:r>
      <w:r w:rsidRPr="00552BE3">
        <w:t xml:space="preserve"> Germany) and post-marketing studies. Two of the latter are studies in </w:t>
      </w:r>
      <w:r>
        <w:t xml:space="preserve">CD and UC. </w:t>
      </w:r>
      <w:r w:rsidRPr="00552BE3">
        <w:t>The sponsor indicated that it has no plans to initiate any specific post-marketing studies or tre</w:t>
      </w:r>
      <w:r>
        <w:t>atment registries in Australia.</w:t>
      </w:r>
    </w:p>
    <w:p w14:paraId="679AD7D9" w14:textId="77777777" w:rsidR="00C97B34" w:rsidRPr="00552BE3" w:rsidRDefault="00C97B34" w:rsidP="00C97B34">
      <w:r w:rsidRPr="00552BE3">
        <w:t xml:space="preserve">The sponsor confirmed that the approval in the EU was </w:t>
      </w:r>
      <w:r>
        <w:t>a full marketing authorisation.</w:t>
      </w:r>
    </w:p>
    <w:p w14:paraId="3A578762" w14:textId="77777777" w:rsidR="00C97B34" w:rsidRPr="00552BE3" w:rsidRDefault="00C97B34" w:rsidP="00C97B34">
      <w:r w:rsidRPr="00552BE3">
        <w:t xml:space="preserve">The sponsor confirmed that it is unclear why Health Canada only granted partial approval to CT-P13, that is did not grant approval for the </w:t>
      </w:r>
      <w:r>
        <w:t>inflammatory bowel disease</w:t>
      </w:r>
      <w:r w:rsidRPr="00552BE3">
        <w:t xml:space="preserve"> indications and is currently in discussions with He</w:t>
      </w:r>
      <w:r>
        <w:t>alth Canada about the decision.</w:t>
      </w:r>
    </w:p>
    <w:p w14:paraId="4AF1957D" w14:textId="77777777" w:rsidR="00C97B34" w:rsidRDefault="00C97B34" w:rsidP="00C97B34">
      <w:pPr>
        <w:pStyle w:val="Heading4"/>
      </w:pPr>
      <w:r>
        <w:t>Clinical evaluator’s recommendation</w:t>
      </w:r>
    </w:p>
    <w:p w14:paraId="3100C2EA" w14:textId="01DC55FE" w:rsidR="00C97B34" w:rsidRPr="00552BE3" w:rsidRDefault="00C97B34" w:rsidP="00C97B34">
      <w:r w:rsidRPr="00552BE3">
        <w:t xml:space="preserve">The clinical evaluator has recommended approval of CT-P13, </w:t>
      </w:r>
      <w:r w:rsidR="00525466">
        <w:t>Inflectra</w:t>
      </w:r>
      <w:r w:rsidRPr="00552BE3">
        <w:t xml:space="preserve"> for all treatment </w:t>
      </w:r>
      <w:r w:rsidR="004D4AAF" w:rsidRPr="00552BE3">
        <w:t>indications that</w:t>
      </w:r>
      <w:r w:rsidRPr="00552BE3">
        <w:t xml:space="preserve"> were sought by the sponsor.</w:t>
      </w:r>
    </w:p>
    <w:p w14:paraId="05425112" w14:textId="742BE745" w:rsidR="00C97B34" w:rsidRPr="00552BE3" w:rsidRDefault="00C97B34" w:rsidP="00C97B34">
      <w:r w:rsidRPr="00552BE3">
        <w:t xml:space="preserve">The </w:t>
      </w:r>
      <w:r>
        <w:t xml:space="preserve">clinical </w:t>
      </w:r>
      <w:r w:rsidRPr="00552BE3">
        <w:t xml:space="preserve">evaluator has recommended that the sponsor be required to give an undertaking to perform a post-marketing study in paediatric patients with </w:t>
      </w:r>
      <w:r>
        <w:t>inflammatory bowel disease</w:t>
      </w:r>
      <w:r w:rsidRPr="00552BE3">
        <w:t>. This recommendation was motivated in part by the fact that the</w:t>
      </w:r>
      <w:r>
        <w:t>re is no data for the use of CT</w:t>
      </w:r>
      <w:r>
        <w:noBreakHyphen/>
      </w:r>
      <w:r w:rsidRPr="00552BE3">
        <w:t>P13 in children in the current clinical development programme. This matte</w:t>
      </w:r>
      <w:r>
        <w:t>r is discussed in the advice from clinical unit 1</w:t>
      </w:r>
      <w:r w:rsidR="006D1EBC">
        <w:t xml:space="preserve"> (Attachment 2)</w:t>
      </w:r>
      <w:r>
        <w:t>.</w:t>
      </w:r>
    </w:p>
    <w:p w14:paraId="5C2CCCA5" w14:textId="114B80B6" w:rsidR="00C97B34" w:rsidRPr="00C97B34" w:rsidRDefault="00C97B34" w:rsidP="00C97B34">
      <w:r w:rsidRPr="00DD263B">
        <w:t>The clinical evaluator has noted that the sponsor states that it plans to conduct a non</w:t>
      </w:r>
      <w:r w:rsidR="007F1408">
        <w:noBreakHyphen/>
      </w:r>
      <w:r w:rsidRPr="00DD263B">
        <w:t xml:space="preserve">inferiority study in adult patients with </w:t>
      </w:r>
      <w:r w:rsidRPr="00C95C46">
        <w:t>CD comparing CT-P13 with Remicade (</w:t>
      </w:r>
      <w:r w:rsidR="007F1408">
        <w:t xml:space="preserve">Study </w:t>
      </w:r>
      <w:r w:rsidRPr="00C95C46">
        <w:t>CT-P13 3.4). The clinical evaluator recommends that the study report should be submitted in a timely manner</w:t>
      </w:r>
      <w:r w:rsidRPr="005A5D8C">
        <w:t>. The Delegate agrees that this study should be submitted to the TGA when completed</w:t>
      </w:r>
      <w:r w:rsidRPr="00DD263B">
        <w:t>.</w:t>
      </w:r>
    </w:p>
    <w:p w14:paraId="3DB3BD1E" w14:textId="77777777" w:rsidR="008E7846" w:rsidRDefault="00386150" w:rsidP="007B6132">
      <w:pPr>
        <w:pStyle w:val="Heading3"/>
        <w:rPr>
          <w:lang w:eastAsia="en-AU"/>
        </w:rPr>
      </w:pPr>
      <w:bookmarkStart w:id="165" w:name="_Toc44577032"/>
      <w:r>
        <w:rPr>
          <w:lang w:eastAsia="en-AU"/>
        </w:rPr>
        <w:t>Risk m</w:t>
      </w:r>
      <w:r w:rsidR="008E7846">
        <w:rPr>
          <w:lang w:eastAsia="en-AU"/>
        </w:rPr>
        <w:t xml:space="preserve">anagement </w:t>
      </w:r>
      <w:r>
        <w:rPr>
          <w:lang w:eastAsia="en-AU"/>
        </w:rPr>
        <w:t>p</w:t>
      </w:r>
      <w:r w:rsidR="008E7846">
        <w:rPr>
          <w:lang w:eastAsia="en-AU"/>
        </w:rPr>
        <w:t>lan</w:t>
      </w:r>
      <w:bookmarkEnd w:id="160"/>
      <w:bookmarkEnd w:id="165"/>
    </w:p>
    <w:p w14:paraId="336B064F" w14:textId="77777777" w:rsidR="00C97B34" w:rsidRPr="00552BE3" w:rsidRDefault="00C97B34" w:rsidP="00C97B34">
      <w:r w:rsidRPr="00552BE3">
        <w:t xml:space="preserve">The </w:t>
      </w:r>
      <w:r>
        <w:t xml:space="preserve">RMP evaluator </w:t>
      </w:r>
      <w:r w:rsidRPr="00552BE3">
        <w:t>has accepted the EU Risk Management Plan Version 4.0 (dated May 2014, DLP 15</w:t>
      </w:r>
      <w:r>
        <w:t xml:space="preserve"> April </w:t>
      </w:r>
      <w:r w:rsidRPr="00552BE3">
        <w:t>2013) and Australian Specific Annex Version 1.0 (dated 24 November 2014), and any future updates (where TGA approved) as a condition of registration.</w:t>
      </w:r>
    </w:p>
    <w:p w14:paraId="2BDDD972" w14:textId="77777777" w:rsidR="00C97B34" w:rsidRPr="00552BE3" w:rsidRDefault="00C97B34" w:rsidP="00C97B34">
      <w:r>
        <w:t>The RMP evaluator</w:t>
      </w:r>
      <w:r w:rsidRPr="00552BE3">
        <w:t xml:space="preserve"> also recommend</w:t>
      </w:r>
      <w:r>
        <w:t>ed</w:t>
      </w:r>
      <w:r w:rsidRPr="00552BE3">
        <w:t xml:space="preserve"> the following conditions of registration:</w:t>
      </w:r>
    </w:p>
    <w:p w14:paraId="78EBAE98" w14:textId="77777777" w:rsidR="00C97B34" w:rsidRPr="00C97B34" w:rsidRDefault="00C97B34" w:rsidP="00C97B34">
      <w:pPr>
        <w:pStyle w:val="ListBullet"/>
      </w:pPr>
      <w:r w:rsidRPr="00C97B34">
        <w:t>Provide interim reports of the additional pharmacovigilance activities referenced in the pharmacovigilance plan through PSURs/periodic benefit-risk evaluation reports (PBRERs)</w:t>
      </w:r>
    </w:p>
    <w:p w14:paraId="049608AA" w14:textId="77777777" w:rsidR="00C97B34" w:rsidRPr="00C97B34" w:rsidRDefault="00C97B34" w:rsidP="00C97B34">
      <w:pPr>
        <w:pStyle w:val="ListBullet"/>
      </w:pPr>
      <w:r w:rsidRPr="00C97B34">
        <w:t>Provide final reports of the additional pharmacovigilance activities referenced in the pharmacovigilance plan, once available</w:t>
      </w:r>
    </w:p>
    <w:p w14:paraId="0AD71696" w14:textId="77777777" w:rsidR="00C97B34" w:rsidRPr="00C97B34" w:rsidRDefault="00C97B34" w:rsidP="00C97B34">
      <w:pPr>
        <w:pStyle w:val="ListBullet"/>
      </w:pPr>
      <w:r w:rsidRPr="00C97B34">
        <w:t>Implement additional risk minimisation activities, within 3 months of approval, where approved by the TGA Pharmacovigilance and Special Access Branch (PSAB).</w:t>
      </w:r>
    </w:p>
    <w:p w14:paraId="6818F703" w14:textId="39DB3AB9" w:rsidR="001F6CD8" w:rsidRPr="007F5DB2" w:rsidRDefault="00C97B34" w:rsidP="001F6CD8">
      <w:r w:rsidRPr="00552BE3">
        <w:t xml:space="preserve">Following the </w:t>
      </w:r>
      <w:r>
        <w:t>second round</w:t>
      </w:r>
      <w:r w:rsidRPr="00552BE3">
        <w:t xml:space="preserve"> RMP advice to the sponsor, the sponsor provided a response to the outstanding issues. This has been reviewed by </w:t>
      </w:r>
      <w:r>
        <w:t>the RMP evaluator</w:t>
      </w:r>
      <w:r w:rsidR="004D4AAF">
        <w:t>,</w:t>
      </w:r>
      <w:r w:rsidRPr="00552BE3">
        <w:t xml:space="preserve"> who ha</w:t>
      </w:r>
      <w:r>
        <w:t>s</w:t>
      </w:r>
      <w:r w:rsidRPr="00552BE3">
        <w:t xml:space="preserve"> advised that the responses are mostly acceptable except for the following outstanding </w:t>
      </w:r>
      <w:r w:rsidR="004D4AAF" w:rsidRPr="00552BE3">
        <w:t>matters</w:t>
      </w:r>
      <w:r w:rsidR="004D4AAF">
        <w:t xml:space="preserve"> that </w:t>
      </w:r>
      <w:r w:rsidR="001F6CD8" w:rsidRPr="007F5DB2">
        <w:t>should be followed up with PSAB prior to finalisation of this submission and responded to in the Pre-ACPM Response:</w:t>
      </w:r>
    </w:p>
    <w:p w14:paraId="20C92980" w14:textId="77777777" w:rsidR="001F6CD8" w:rsidRPr="007F5DB2" w:rsidRDefault="001F6CD8" w:rsidP="00654E1B">
      <w:pPr>
        <w:pStyle w:val="Numberbullet0"/>
        <w:numPr>
          <w:ilvl w:val="0"/>
          <w:numId w:val="11"/>
        </w:numPr>
      </w:pPr>
      <w:r w:rsidRPr="007F5DB2">
        <w:lastRenderedPageBreak/>
        <w:t>The ASA should reflect the changes made in the EU-RMP with regard to ‘skin cancer’, ‘off-label use’ ‘medication errors’ (that is reclassification of ‘skin cancer’ and addition of ‘off-label use’ ‘medication errors’).</w:t>
      </w:r>
    </w:p>
    <w:p w14:paraId="6049CD31" w14:textId="77777777" w:rsidR="001F6CD8" w:rsidRPr="007F5DB2" w:rsidRDefault="001F6CD8" w:rsidP="00654E1B">
      <w:pPr>
        <w:pStyle w:val="Numberbullet0"/>
        <w:numPr>
          <w:ilvl w:val="0"/>
          <w:numId w:val="11"/>
        </w:numPr>
      </w:pPr>
      <w:r w:rsidRPr="007F5DB2">
        <w:t xml:space="preserve">The sponsor should prepare additional risk minimisation activities to the satisfaction of the TGA, including the DHCPL. This should be submitted to PSAB post-ACPM. If </w:t>
      </w:r>
      <w:r w:rsidR="00525466" w:rsidRPr="007F5DB2">
        <w:t>Inflectra</w:t>
      </w:r>
      <w:r w:rsidRPr="007F5DB2">
        <w:t xml:space="preserve"> is not approved for all indications, then this will have implications for the discussion of ‘off-label’ use in the RMP and the information to be put into the proposed DHCPL.</w:t>
      </w:r>
    </w:p>
    <w:p w14:paraId="0A51CBC3" w14:textId="77777777" w:rsidR="001F6CD8" w:rsidRPr="007F5DB2" w:rsidRDefault="001F6CD8" w:rsidP="00654E1B">
      <w:pPr>
        <w:pStyle w:val="Numberbullet0"/>
        <w:numPr>
          <w:ilvl w:val="0"/>
          <w:numId w:val="11"/>
        </w:numPr>
      </w:pPr>
      <w:r w:rsidRPr="007F5DB2">
        <w:t xml:space="preserve">Legionella infections associated with infliximab have been reported in the medical literature, a 2011 FDA safety communication and the current FDA label for Remicade. It is recommended to the Delegate to consider adding this information to the proposed PI. The sponsor has indicated that no cases of legionella pneumonia have been reported in the </w:t>
      </w:r>
      <w:r w:rsidR="00525466" w:rsidRPr="007F5DB2">
        <w:t>Inflectra</w:t>
      </w:r>
      <w:r w:rsidRPr="007F5DB2">
        <w:t xml:space="preserve"> clinical trials and no cases have been reported in the post-marketing data for </w:t>
      </w:r>
      <w:r w:rsidR="00525466" w:rsidRPr="007F5DB2">
        <w:t>Inflectra</w:t>
      </w:r>
      <w:r w:rsidRPr="007F5DB2">
        <w:t xml:space="preserve">. The Delegate notes that this information is not included in the Remicade PI in Australia or Europe but the PI does mention opportunistic infections. The Delegate accepts the sponsor’s assurance that if the Remicade PI is updated then the </w:t>
      </w:r>
      <w:r w:rsidR="00525466" w:rsidRPr="007F5DB2">
        <w:t>Inflectra</w:t>
      </w:r>
      <w:r w:rsidRPr="007F5DB2">
        <w:t xml:space="preserve"> PI will also be updated.</w:t>
      </w:r>
    </w:p>
    <w:p w14:paraId="7F02AE16" w14:textId="77777777" w:rsidR="001F6CD8" w:rsidRDefault="001F6CD8" w:rsidP="00C97B34">
      <w:r w:rsidRPr="007F5DB2">
        <w:t>The sponsor made a number of commitments in the ‘Post TGA Meeting’ response document from 27 November 2014 and these should be addressed with the RMP section post-ACPM, for example educational materials, DHCPL, revised RMP, updated ASA.</w:t>
      </w:r>
      <w:r w:rsidR="007F5DB2">
        <w:rPr>
          <w:rStyle w:val="FootnoteReference"/>
        </w:rPr>
        <w:footnoteReference w:id="32"/>
      </w:r>
    </w:p>
    <w:p w14:paraId="24DD6F51" w14:textId="77777777" w:rsidR="008E7846" w:rsidRDefault="00AA0ED0" w:rsidP="008E7846">
      <w:pPr>
        <w:pStyle w:val="Heading3"/>
      </w:pPr>
      <w:bookmarkStart w:id="166" w:name="_Toc247691531"/>
      <w:bookmarkStart w:id="167" w:name="_Toc314842515"/>
      <w:bookmarkStart w:id="168" w:name="_Toc196046505"/>
      <w:bookmarkStart w:id="169" w:name="_Toc196046949"/>
      <w:bookmarkStart w:id="170" w:name="_Toc44577033"/>
      <w:r>
        <w:t>Risk-benefit a</w:t>
      </w:r>
      <w:r w:rsidR="008E7846">
        <w:t>nalysis</w:t>
      </w:r>
      <w:bookmarkEnd w:id="166"/>
      <w:bookmarkEnd w:id="167"/>
      <w:bookmarkEnd w:id="170"/>
    </w:p>
    <w:p w14:paraId="5E042A80" w14:textId="77777777" w:rsidR="001F6CD8" w:rsidRPr="00E52EC5" w:rsidRDefault="001F6CD8" w:rsidP="001F6CD8">
      <w:pPr>
        <w:pStyle w:val="Heading4"/>
      </w:pPr>
      <w:r w:rsidRPr="00F04E3C">
        <w:t>Discussion</w:t>
      </w:r>
      <w:r>
        <w:t>;</w:t>
      </w:r>
      <w:r w:rsidRPr="00F04E3C">
        <w:t xml:space="preserve"> </w:t>
      </w:r>
      <w:proofErr w:type="spellStart"/>
      <w:r w:rsidRPr="00F04E3C">
        <w:t>rheumatological</w:t>
      </w:r>
      <w:proofErr w:type="spellEnd"/>
      <w:r w:rsidRPr="00F04E3C">
        <w:t xml:space="preserve"> indications</w:t>
      </w:r>
    </w:p>
    <w:p w14:paraId="60DF538E" w14:textId="77777777" w:rsidR="001F6CD8" w:rsidRPr="00250776" w:rsidRDefault="001F6CD8" w:rsidP="001F6CD8">
      <w:pPr>
        <w:pStyle w:val="Heading5"/>
      </w:pPr>
      <w:r w:rsidRPr="00250776">
        <w:t>Quality</w:t>
      </w:r>
    </w:p>
    <w:p w14:paraId="72954D5E" w14:textId="77777777" w:rsidR="001F6CD8" w:rsidRPr="00250776" w:rsidRDefault="001F6CD8" w:rsidP="001F6CD8">
      <w:r w:rsidRPr="00250776">
        <w:t xml:space="preserve">The </w:t>
      </w:r>
      <w:r>
        <w:t xml:space="preserve">overall quality of </w:t>
      </w:r>
      <w:r w:rsidR="00525466">
        <w:t>Inflectra</w:t>
      </w:r>
      <w:r w:rsidRPr="00250776">
        <w:t xml:space="preserve"> infliximab</w:t>
      </w:r>
      <w:r>
        <w:t xml:space="preserve"> </w:t>
      </w:r>
      <w:r w:rsidRPr="00250776">
        <w:t xml:space="preserve">(rmc) is considered acceptable. From a biosimilar perspective, the overall comparability of </w:t>
      </w:r>
      <w:r w:rsidR="00525466">
        <w:t>Inflectra</w:t>
      </w:r>
      <w:r w:rsidRPr="00250776">
        <w:t xml:space="preserve">, infliximab (rmc) with the reference product Remicade has been satisfactorily demonstrated. There are no </w:t>
      </w:r>
      <w:r>
        <w:t>quality</w:t>
      </w:r>
      <w:r w:rsidRPr="00250776">
        <w:t xml:space="preserve"> objections to approval.</w:t>
      </w:r>
    </w:p>
    <w:p w14:paraId="64C606BB" w14:textId="77777777" w:rsidR="001F6CD8" w:rsidRPr="00250776" w:rsidRDefault="001F6CD8" w:rsidP="001F6CD8">
      <w:pPr>
        <w:pStyle w:val="Heading5"/>
      </w:pPr>
      <w:r w:rsidRPr="00250776">
        <w:t>Nonclinical</w:t>
      </w:r>
    </w:p>
    <w:p w14:paraId="1BFD303E" w14:textId="77777777" w:rsidR="001F6CD8" w:rsidRPr="00250776" w:rsidRDefault="001F6CD8" w:rsidP="001F6CD8">
      <w:r w:rsidRPr="00250776">
        <w:t xml:space="preserve">There are no </w:t>
      </w:r>
      <w:r>
        <w:t>nonclinical</w:t>
      </w:r>
      <w:r w:rsidRPr="00250776">
        <w:t xml:space="preserve"> objections</w:t>
      </w:r>
      <w:r>
        <w:t xml:space="preserve"> to the registration of </w:t>
      </w:r>
      <w:r w:rsidR="00525466">
        <w:t>Inflectra</w:t>
      </w:r>
      <w:r w:rsidRPr="00250776">
        <w:t xml:space="preserve">. With regard to the relative contribution of various mechanisms of action, the </w:t>
      </w:r>
      <w:r>
        <w:t>nonclinical</w:t>
      </w:r>
      <w:r w:rsidRPr="00250776">
        <w:t xml:space="preserve"> evaluator was of the opinion that:</w:t>
      </w:r>
    </w:p>
    <w:p w14:paraId="5B307B1C" w14:textId="77777777" w:rsidR="001F6CD8" w:rsidRPr="00250776" w:rsidRDefault="001F6CD8" w:rsidP="001F6CD8">
      <w:pPr>
        <w:pStyle w:val="ListBullet"/>
      </w:pPr>
      <w:r w:rsidRPr="00250776">
        <w:t xml:space="preserve">There are considerable overlaps between RA, AS and </w:t>
      </w:r>
      <w:proofErr w:type="spellStart"/>
      <w:r w:rsidRPr="00250776">
        <w:t>PsA</w:t>
      </w:r>
      <w:proofErr w:type="spellEnd"/>
      <w:r w:rsidRPr="00250776">
        <w:t xml:space="preserve"> in terms of tissues that are </w:t>
      </w:r>
      <w:r w:rsidRPr="001F6CD8">
        <w:t>targeted</w:t>
      </w:r>
      <w:r w:rsidRPr="00250776">
        <w:t xml:space="preserve"> by inflammation and the detrimental effects of TNFα </w:t>
      </w:r>
      <w:r>
        <w:t>on cartilage, synovium and bone</w:t>
      </w:r>
    </w:p>
    <w:p w14:paraId="6DEFD10A" w14:textId="77777777" w:rsidR="001F6CD8" w:rsidRPr="00250776" w:rsidRDefault="001F6CD8" w:rsidP="001F6CD8">
      <w:pPr>
        <w:pStyle w:val="ListBullet"/>
      </w:pPr>
      <w:r w:rsidRPr="00250776">
        <w:t xml:space="preserve">The sponsor had provided thorough, detailed evidence to support the view that TNFα plays a pivotal role in the pathophysiological processes that are characteristic of these three indications and that neutralisation of TNFα is </w:t>
      </w:r>
      <w:r>
        <w:t>the primary mechanism of action</w:t>
      </w:r>
    </w:p>
    <w:p w14:paraId="24334DBE" w14:textId="77777777" w:rsidR="001F6CD8" w:rsidRPr="00250776" w:rsidRDefault="001F6CD8" w:rsidP="001F6CD8">
      <w:pPr>
        <w:pStyle w:val="ListBullet"/>
      </w:pPr>
      <w:r w:rsidRPr="00250776">
        <w:t>The most compelling evidence is the fact that s</w:t>
      </w:r>
      <w:r>
        <w:t xml:space="preserve">tructurally very different anti </w:t>
      </w:r>
      <w:r w:rsidRPr="00250776">
        <w:t>TNFα agents, including those without Fc functionality (</w:t>
      </w:r>
      <w:proofErr w:type="spellStart"/>
      <w:r w:rsidRPr="00250776">
        <w:t>certolizumab</w:t>
      </w:r>
      <w:proofErr w:type="spellEnd"/>
      <w:r w:rsidRPr="00250776">
        <w:t xml:space="preserve"> pegol) or those incapable of reverse signalling (</w:t>
      </w:r>
      <w:proofErr w:type="spellStart"/>
      <w:r w:rsidRPr="00250776">
        <w:t>etanercept</w:t>
      </w:r>
      <w:proofErr w:type="spellEnd"/>
      <w:r w:rsidRPr="00250776">
        <w:t>) are all effective treatments for these indications, suggesting that it is the shared ability of these compounds to neutralise TNFα via Fab-mediated and not Fc-mediated functions which unde</w:t>
      </w:r>
      <w:r>
        <w:t>rlines their clinical efficacy.</w:t>
      </w:r>
    </w:p>
    <w:p w14:paraId="5F3A3515" w14:textId="77777777" w:rsidR="001F6CD8" w:rsidRPr="00250776" w:rsidRDefault="001F6CD8" w:rsidP="001F6CD8">
      <w:pPr>
        <w:pStyle w:val="Heading5"/>
      </w:pPr>
      <w:r w:rsidRPr="00250776">
        <w:lastRenderedPageBreak/>
        <w:t>Pharmacology</w:t>
      </w:r>
    </w:p>
    <w:p w14:paraId="57135645" w14:textId="40DE5BFF" w:rsidR="001F6CD8" w:rsidRPr="00250776" w:rsidRDefault="001F6CD8" w:rsidP="001F6CD8">
      <w:r w:rsidRPr="00250776">
        <w:t>The clinical evaluator was satisfied that PK comparability between the test and reference products had been established albe</w:t>
      </w:r>
      <w:r>
        <w:t xml:space="preserve">it over a limited dose range (3 to </w:t>
      </w:r>
      <w:r w:rsidRPr="00250776">
        <w:t>5 mg/kg every 8</w:t>
      </w:r>
      <w:r w:rsidR="007F1408">
        <w:t> </w:t>
      </w:r>
      <w:r w:rsidRPr="00250776">
        <w:t>weeks). The sponsor stated in its response</w:t>
      </w:r>
      <w:r>
        <w:t xml:space="preserve"> to questions</w:t>
      </w:r>
      <w:r w:rsidRPr="00250776">
        <w:t xml:space="preserve"> that historical data does show that Remicade exhibits linear pharmaco</w:t>
      </w:r>
      <w:r>
        <w:t xml:space="preserve">kinetics in the dose range of 1 to </w:t>
      </w:r>
      <w:r w:rsidRPr="00250776">
        <w:t xml:space="preserve">20 mg/kg in both RA and CD patients. </w:t>
      </w:r>
      <w:r w:rsidR="004D4AAF" w:rsidRPr="00250776">
        <w:t>Furthermore,</w:t>
      </w:r>
      <w:r w:rsidRPr="00250776">
        <w:t xml:space="preserve"> there is a high degree of bio-comparability between the two products. In so far as the </w:t>
      </w:r>
      <w:proofErr w:type="spellStart"/>
      <w:r w:rsidRPr="00250776">
        <w:t>rheumatological</w:t>
      </w:r>
      <w:proofErr w:type="spellEnd"/>
      <w:r w:rsidRPr="00250776">
        <w:t xml:space="preserve"> indications are concerned the </w:t>
      </w:r>
      <w:r>
        <w:t>Delegate</w:t>
      </w:r>
      <w:r w:rsidRPr="00250776">
        <w:t xml:space="preserve"> is satisfied as to the PK comparability of the two products</w:t>
      </w:r>
      <w:r>
        <w:t>,</w:t>
      </w:r>
      <w:r w:rsidRPr="00250776">
        <w:t xml:space="preserve"> however the </w:t>
      </w:r>
      <w:r>
        <w:t>Delegate</w:t>
      </w:r>
      <w:r w:rsidRPr="00250776">
        <w:t xml:space="preserve"> notes the differences seen in the antibody positive population in pati</w:t>
      </w:r>
      <w:r>
        <w:t>ents with AS</w:t>
      </w:r>
      <w:r w:rsidRPr="00250776">
        <w:t>, in which the AUC 95</w:t>
      </w:r>
      <w:r w:rsidR="004D4AAF">
        <w:t xml:space="preserve"> </w:t>
      </w:r>
      <w:r w:rsidRPr="00250776">
        <w:t xml:space="preserve">% confidence interval was outside the usual bioequivalence limits. The significance of this is uncertain given the availability of the clinical data </w:t>
      </w:r>
      <w:r w:rsidR="004D4AAF" w:rsidRPr="00250776">
        <w:t>however,</w:t>
      </w:r>
      <w:r w:rsidRPr="00250776">
        <w:t xml:space="preserve"> efficacy was a non-powered secondary endpoint in this study. ACPMs view on this is requested. There was comparability with regard to the changes in mean PD parameter values.</w:t>
      </w:r>
    </w:p>
    <w:p w14:paraId="1BE187A2" w14:textId="3CB687BD" w:rsidR="001F6CD8" w:rsidRPr="00250776" w:rsidRDefault="001F6CD8" w:rsidP="001F6CD8">
      <w:pPr>
        <w:pStyle w:val="Heading5"/>
      </w:pPr>
      <w:r w:rsidRPr="00250776">
        <w:t xml:space="preserve">Rheumatoid </w:t>
      </w:r>
      <w:r w:rsidR="007F1408">
        <w:t>a</w:t>
      </w:r>
      <w:r w:rsidRPr="00250776">
        <w:t>rthritis</w:t>
      </w:r>
    </w:p>
    <w:p w14:paraId="361D2147" w14:textId="321DC5BF" w:rsidR="001F6CD8" w:rsidRPr="00250776" w:rsidRDefault="001F6CD8" w:rsidP="001F6CD8">
      <w:r w:rsidRPr="00250776">
        <w:t xml:space="preserve">In the pivotal study in subjects with RA, </w:t>
      </w:r>
      <w:r w:rsidR="007F1408">
        <w:t xml:space="preserve">Study </w:t>
      </w:r>
      <w:r w:rsidRPr="00250776">
        <w:t xml:space="preserve">CT-P13 3.1, the proportion of subjects in the ITT dataset achieving an ACR20 response at </w:t>
      </w:r>
      <w:r>
        <w:t>Week</w:t>
      </w:r>
      <w:r w:rsidRPr="00250776">
        <w:t xml:space="preserve"> 30 in the CT-P13 group was 60.9% (184</w:t>
      </w:r>
      <w:r>
        <w:t xml:space="preserve"> out of </w:t>
      </w:r>
      <w:r w:rsidRPr="00250776">
        <w:t>302), which was similar to that observed in the Remicade arm (58.6%; 178</w:t>
      </w:r>
      <w:r>
        <w:t xml:space="preserve"> out of </w:t>
      </w:r>
      <w:r w:rsidRPr="00250776">
        <w:t>304). Similar results were observed for the PP population. Comparable efficacy was also demonstrated for secondary efficacy endpoints. The radiographic data was al</w:t>
      </w:r>
      <w:r>
        <w:t>so supportive of comparability.</w:t>
      </w:r>
    </w:p>
    <w:p w14:paraId="169268F4" w14:textId="5AA613BA" w:rsidR="001F6CD8" w:rsidRPr="00250776" w:rsidRDefault="001F6CD8" w:rsidP="001F6CD8">
      <w:r w:rsidRPr="00250776">
        <w:t xml:space="preserve">In the small, supportive study in RA patients, </w:t>
      </w:r>
      <w:r w:rsidR="007F1408">
        <w:t xml:space="preserve">Study </w:t>
      </w:r>
      <w:r w:rsidRPr="00250776">
        <w:t xml:space="preserve">CT-P13 1.2, there did not appear to be clear differences between the two treatment groups demonstrated </w:t>
      </w:r>
      <w:r w:rsidR="004D4AAF" w:rsidRPr="00250776">
        <w:t>however,</w:t>
      </w:r>
      <w:r w:rsidRPr="00250776">
        <w:t xml:space="preserve"> the sample size is</w:t>
      </w:r>
      <w:r>
        <w:t xml:space="preserve"> too small to draw conclusions.</w:t>
      </w:r>
    </w:p>
    <w:p w14:paraId="09D1090C" w14:textId="418242F7" w:rsidR="001F6CD8" w:rsidRPr="00250776" w:rsidRDefault="001F6CD8" w:rsidP="001F6CD8">
      <w:pPr>
        <w:pStyle w:val="Heading5"/>
      </w:pPr>
      <w:r w:rsidRPr="00250776">
        <w:t xml:space="preserve">Ankylosing </w:t>
      </w:r>
      <w:r w:rsidR="007F1408">
        <w:t>s</w:t>
      </w:r>
      <w:r w:rsidRPr="00250776">
        <w:t>pondylitis</w:t>
      </w:r>
    </w:p>
    <w:p w14:paraId="3354D1E0" w14:textId="0852BD01" w:rsidR="001F6CD8" w:rsidRPr="00250776" w:rsidRDefault="001F6CD8" w:rsidP="001F6CD8">
      <w:r w:rsidRPr="00250776">
        <w:t xml:space="preserve">In the study in subjects with AS, </w:t>
      </w:r>
      <w:r w:rsidR="007F1408">
        <w:t xml:space="preserve">Study </w:t>
      </w:r>
      <w:r w:rsidRPr="00250776">
        <w:t xml:space="preserve">CT-P13 1.1, the proportions of patients achieving a clinical response satisfying the ASAS20 and ASAS40 criteria at </w:t>
      </w:r>
      <w:r>
        <w:t>Weeks</w:t>
      </w:r>
      <w:r w:rsidRPr="00250776">
        <w:t xml:space="preserve"> 14, 30 and 54 were comparable in the test and reference treatment groups. There was also comparability of the results for other efficacy endpoints. </w:t>
      </w:r>
      <w:r w:rsidR="004D4AAF" w:rsidRPr="00250776">
        <w:t>However,</w:t>
      </w:r>
      <w:r w:rsidRPr="00250776">
        <w:t xml:space="preserve"> the study was not powered for efficacy assessment as it was designed for PK assessment; </w:t>
      </w:r>
      <w:r w:rsidR="004D4AAF" w:rsidRPr="00250776">
        <w:t>therefore,</w:t>
      </w:r>
      <w:r w:rsidRPr="00250776">
        <w:t xml:space="preserve"> it is not possible to conclude</w:t>
      </w:r>
      <w:r>
        <w:t xml:space="preserve"> therapeutic equivalence or </w:t>
      </w:r>
      <w:proofErr w:type="spellStart"/>
      <w:r>
        <w:t xml:space="preserve">non </w:t>
      </w:r>
      <w:r w:rsidRPr="00250776">
        <w:t>inferiority</w:t>
      </w:r>
      <w:proofErr w:type="spellEnd"/>
      <w:r w:rsidRPr="00250776">
        <w:t xml:space="preserve"> from this trial. </w:t>
      </w:r>
      <w:r w:rsidR="00CC73FE" w:rsidRPr="00250776">
        <w:t>Nevertheless,</w:t>
      </w:r>
      <w:r w:rsidRPr="00250776">
        <w:t xml:space="preserve"> it provides some supportive evidence of equivalence.</w:t>
      </w:r>
    </w:p>
    <w:p w14:paraId="580440E9" w14:textId="3D4FC763" w:rsidR="001F6CD8" w:rsidRPr="00250776" w:rsidRDefault="001F6CD8" w:rsidP="001F6CD8">
      <w:pPr>
        <w:pStyle w:val="Heading5"/>
      </w:pPr>
      <w:r w:rsidRPr="00250776">
        <w:t>P</w:t>
      </w:r>
      <w:r w:rsidRPr="00250776">
        <w:rPr>
          <w:rStyle w:val="Heading5Char"/>
          <w:rFonts w:eastAsia="Cambria"/>
        </w:rPr>
        <w:t>s</w:t>
      </w:r>
      <w:r w:rsidRPr="00250776">
        <w:t xml:space="preserve">oriatic </w:t>
      </w:r>
      <w:r w:rsidR="007F1408">
        <w:t>a</w:t>
      </w:r>
      <w:r w:rsidRPr="00250776">
        <w:t>rthritis</w:t>
      </w:r>
    </w:p>
    <w:p w14:paraId="363B0FE0" w14:textId="77777777" w:rsidR="001F6CD8" w:rsidRPr="00250776" w:rsidRDefault="001F6CD8" w:rsidP="001F6CD8">
      <w:r w:rsidRPr="00250776">
        <w:t xml:space="preserve">There was no actual clinical trial in patients with </w:t>
      </w:r>
      <w:proofErr w:type="spellStart"/>
      <w:r>
        <w:t>PsA</w:t>
      </w:r>
      <w:r w:rsidRPr="00250776">
        <w:t>.</w:t>
      </w:r>
      <w:proofErr w:type="spellEnd"/>
      <w:r w:rsidRPr="00250776">
        <w:t xml:space="preserve"> However, because of the similar mechanism of action and related clinical features across the </w:t>
      </w:r>
      <w:proofErr w:type="spellStart"/>
      <w:r w:rsidRPr="00250776">
        <w:t>rheumatological</w:t>
      </w:r>
      <w:proofErr w:type="spellEnd"/>
      <w:r w:rsidRPr="00250776">
        <w:t xml:space="preserve"> indications, the similarity demonstrated from the clinical comparability studies in RA and AS, the supportive PK data and the acceptable comparability demonstrated in the quality and nonclinical assessment, then the </w:t>
      </w:r>
      <w:r>
        <w:t>Delegate</w:t>
      </w:r>
      <w:r w:rsidRPr="00250776">
        <w:t xml:space="preserve"> is of the view that the data are satisfactory to extrapolate to the </w:t>
      </w:r>
      <w:proofErr w:type="spellStart"/>
      <w:r>
        <w:t>PsA</w:t>
      </w:r>
      <w:proofErr w:type="spellEnd"/>
      <w:r w:rsidRPr="00250776">
        <w:t xml:space="preserve"> indication.</w:t>
      </w:r>
    </w:p>
    <w:p w14:paraId="12DCC710" w14:textId="77777777" w:rsidR="001F6CD8" w:rsidRPr="00250776" w:rsidRDefault="001F6CD8" w:rsidP="001F6CD8">
      <w:pPr>
        <w:pStyle w:val="Heading5"/>
      </w:pPr>
      <w:r w:rsidRPr="00250776">
        <w:t>Safety</w:t>
      </w:r>
    </w:p>
    <w:p w14:paraId="3ACD7D9D" w14:textId="226C18A1" w:rsidR="001F6CD8" w:rsidRPr="00250776" w:rsidRDefault="001F6CD8" w:rsidP="001F6CD8">
      <w:r w:rsidRPr="00250776">
        <w:t>The analysis of adverse events did not, for the most part, reveal any significant differences in either the rates or incidences when the test was compared with the reference. Infusions related reactions and anaphylactic reactions appeared to occur at a similar incidence. However, there is a concern about the higher rates of both serious pneumonia and TB with CT-P13 when compared with Remicade. The CT-P13 clinical trial program showed a higher incidence of TB and serious pneumonia in subjects treated with CT-P13 versus Remicade. The overall reported incidence of TB was higher in the CT-P13 group (1.6%; 7</w:t>
      </w:r>
      <w:r>
        <w:t xml:space="preserve"> out of </w:t>
      </w:r>
      <w:r w:rsidRPr="00250776">
        <w:t>440) compared with Remicade (0.2%; 1</w:t>
      </w:r>
      <w:r>
        <w:t xml:space="preserve"> out of </w:t>
      </w:r>
      <w:r w:rsidRPr="00250776">
        <w:t>431). Across all controlled studies it was 7</w:t>
      </w:r>
      <w:r>
        <w:t xml:space="preserve"> out of </w:t>
      </w:r>
      <w:r w:rsidRPr="00250776">
        <w:t xml:space="preserve">497 (1.4%) </w:t>
      </w:r>
      <w:r>
        <w:t>versus</w:t>
      </w:r>
      <w:r w:rsidRPr="00250776">
        <w:t xml:space="preserve"> 1</w:t>
      </w:r>
      <w:r>
        <w:t xml:space="preserve"> out of </w:t>
      </w:r>
      <w:r w:rsidRPr="00250776">
        <w:t xml:space="preserve">493 (0.2%). There were apparently 3 cases of uncertain confirmation, the diagnosis of which was based on the local physician’s judgement rather than on positive culture of the bacterium. Two of these 3 cases had </w:t>
      </w:r>
      <w:r w:rsidRPr="00250776">
        <w:lastRenderedPageBreak/>
        <w:t xml:space="preserve">abnormal chest X-rays (chronic upper lobe inflammatory changes) at </w:t>
      </w:r>
      <w:r w:rsidR="00CC73FE" w:rsidRPr="00250776">
        <w:t>enrolment, which</w:t>
      </w:r>
      <w:r w:rsidRPr="00250776">
        <w:t xml:space="preserve"> represents a protocol violation</w:t>
      </w:r>
      <w:r w:rsidR="00E02BE5">
        <w:t xml:space="preserve">.  </w:t>
      </w:r>
      <w:r w:rsidRPr="00250776">
        <w:t>Even if these three cases are excluded from consideration the respective rates of developing TB in the clinical programme was 0.9% (4</w:t>
      </w:r>
      <w:r>
        <w:t xml:space="preserve"> out of </w:t>
      </w:r>
      <w:r w:rsidRPr="00250776">
        <w:t xml:space="preserve">437) with CT-P13 </w:t>
      </w:r>
      <w:r>
        <w:t>and 0.2% (1 out of 431) with Remicade.</w:t>
      </w:r>
    </w:p>
    <w:p w14:paraId="7858D0D7" w14:textId="77777777" w:rsidR="001F6CD8" w:rsidRPr="00250776" w:rsidRDefault="001F6CD8" w:rsidP="001F6CD8">
      <w:r w:rsidRPr="00250776">
        <w:t>A total of 5 cases of pneumonia (1.1% of 440) were reported in the clinical programme in patients treated with CT-P13 versus no cases with Remicade. Across all controlled studies it was 7</w:t>
      </w:r>
      <w:r>
        <w:t xml:space="preserve"> out of </w:t>
      </w:r>
      <w:r w:rsidRPr="00250776">
        <w:t xml:space="preserve">497 (1.4%) on CT-P13 </w:t>
      </w:r>
      <w:r>
        <w:t>versus</w:t>
      </w:r>
      <w:r w:rsidRPr="00250776">
        <w:t xml:space="preserve"> 3</w:t>
      </w:r>
      <w:r>
        <w:t xml:space="preserve"> out of </w:t>
      </w:r>
      <w:r w:rsidRPr="00250776">
        <w:t>494 (0.6%) on Remicade.</w:t>
      </w:r>
    </w:p>
    <w:p w14:paraId="0250BC06" w14:textId="7D160BEE" w:rsidR="001F6CD8" w:rsidRPr="00250776" w:rsidRDefault="001F6CD8" w:rsidP="001F6CD8">
      <w:r w:rsidRPr="00250776">
        <w:t xml:space="preserve">In the response </w:t>
      </w:r>
      <w:r>
        <w:t xml:space="preserve">to questions </w:t>
      </w:r>
      <w:r w:rsidRPr="00250776">
        <w:t xml:space="preserve">and the </w:t>
      </w:r>
      <w:r>
        <w:t>‘</w:t>
      </w:r>
      <w:r w:rsidRPr="00250776">
        <w:t>Post TGA Meeting</w:t>
      </w:r>
      <w:r>
        <w:t>’</w:t>
      </w:r>
      <w:r w:rsidRPr="00250776">
        <w:t xml:space="preserve"> response, the sponsor presented data suggesting that the observed incidence of each condition in the CT-P13 clinical programme is within the expected historical range for infliximab individuals and that there are other epidemiological and patient factor explanations for the difference. </w:t>
      </w:r>
      <w:r w:rsidR="00CC73FE" w:rsidRPr="00250776">
        <w:t>However,</w:t>
      </w:r>
      <w:r w:rsidRPr="00250776">
        <w:t xml:space="preserve"> the </w:t>
      </w:r>
      <w:r>
        <w:t>Delegate</w:t>
      </w:r>
      <w:r w:rsidRPr="00250776">
        <w:t xml:space="preserve">, like the clinical evaluator, remains concerned by the discrepancy in each of the rates and that both adverse events were more frequent on </w:t>
      </w:r>
      <w:r w:rsidR="00525466">
        <w:t>Inflectra</w:t>
      </w:r>
      <w:r w:rsidRPr="00250776">
        <w:t xml:space="preserve"> than Remicade.</w:t>
      </w:r>
    </w:p>
    <w:p w14:paraId="6E49E5A7" w14:textId="77777777" w:rsidR="001F6CD8" w:rsidRPr="00250776" w:rsidRDefault="001F6CD8" w:rsidP="001F6CD8">
      <w:pPr>
        <w:pStyle w:val="Heading4"/>
      </w:pPr>
      <w:r w:rsidRPr="00250776">
        <w:t>Additional information requested by the US FDA</w:t>
      </w:r>
    </w:p>
    <w:p w14:paraId="23FC2FB5" w14:textId="34273E4B" w:rsidR="001F6CD8" w:rsidRPr="005270BB" w:rsidRDefault="001F6CD8" w:rsidP="001F6CD8">
      <w:r w:rsidRPr="00250776">
        <w:t xml:space="preserve">The sponsor provided the TGA on 4 March 2015 with a copy of the additional information requested by the US FDA on 4 February 2015 in relation to the application to register this biosimilar in the USA. The TGA has reviewed the </w:t>
      </w:r>
      <w:r>
        <w:t xml:space="preserve">FDA </w:t>
      </w:r>
      <w:r w:rsidRPr="00250776">
        <w:t xml:space="preserve">requests for sterility and chemistry information and has determined that they do no impact on the outcome of the TGA sterility evaluation or </w:t>
      </w:r>
      <w:r>
        <w:t>quality</w:t>
      </w:r>
      <w:r w:rsidRPr="00250776">
        <w:t xml:space="preserve"> </w:t>
      </w:r>
      <w:r w:rsidRPr="005270BB">
        <w:t xml:space="preserve">assessment. The statistical question from the FDA relates to verifying the numbers in a table. </w:t>
      </w:r>
      <w:r w:rsidRPr="00E86D7F">
        <w:t>The information in this table is similar to the table included above on radiographic results</w:t>
      </w:r>
      <w:r w:rsidR="00EC703E">
        <w:t xml:space="preserve"> (Table 15</w:t>
      </w:r>
      <w:r>
        <w:t>).</w:t>
      </w:r>
    </w:p>
    <w:p w14:paraId="1CBEFCDC" w14:textId="77777777" w:rsidR="00067A73" w:rsidRPr="00250776" w:rsidRDefault="00067A73" w:rsidP="00067A73">
      <w:pPr>
        <w:pStyle w:val="Heading5"/>
      </w:pPr>
      <w:r w:rsidRPr="00250776">
        <w:t>Summary</w:t>
      </w:r>
    </w:p>
    <w:p w14:paraId="65F7500C" w14:textId="77777777" w:rsidR="00067A73" w:rsidRPr="00250776" w:rsidRDefault="00067A73" w:rsidP="00067A73">
      <w:r>
        <w:t>Overall</w:t>
      </w:r>
      <w:r w:rsidRPr="00250776">
        <w:t xml:space="preserve"> the </w:t>
      </w:r>
      <w:r>
        <w:t>Delegate</w:t>
      </w:r>
      <w:r w:rsidRPr="00250776">
        <w:t xml:space="preserve"> is inclined to recommend approval of </w:t>
      </w:r>
      <w:r w:rsidR="00525466">
        <w:t>Inflectra</w:t>
      </w:r>
      <w:r w:rsidRPr="00250776">
        <w:t xml:space="preserve"> for the three proposed </w:t>
      </w:r>
      <w:proofErr w:type="spellStart"/>
      <w:r w:rsidRPr="00250776">
        <w:t>rheumatological</w:t>
      </w:r>
      <w:proofErr w:type="spellEnd"/>
      <w:r w:rsidRPr="00250776">
        <w:t xml:space="preserve"> indications of </w:t>
      </w:r>
      <w:r>
        <w:t>RA</w:t>
      </w:r>
      <w:r w:rsidRPr="00250776">
        <w:t xml:space="preserve">, </w:t>
      </w:r>
      <w:r>
        <w:t xml:space="preserve">AS and </w:t>
      </w:r>
      <w:proofErr w:type="spellStart"/>
      <w:r>
        <w:t>PsA.</w:t>
      </w:r>
      <w:proofErr w:type="spellEnd"/>
    </w:p>
    <w:p w14:paraId="5BC6CB2D" w14:textId="419F9196" w:rsidR="00067A73" w:rsidRPr="00250776" w:rsidRDefault="00067A73" w:rsidP="00067A73">
      <w:r>
        <w:t>The bio-comparability/</w:t>
      </w:r>
      <w:proofErr w:type="spellStart"/>
      <w:r w:rsidRPr="00250776">
        <w:t>biosimilarity</w:t>
      </w:r>
      <w:proofErr w:type="spellEnd"/>
      <w:r w:rsidRPr="00250776">
        <w:t xml:space="preserve"> of </w:t>
      </w:r>
      <w:r w:rsidR="00525466">
        <w:t>Inflectra</w:t>
      </w:r>
      <w:r w:rsidRPr="00250776">
        <w:t xml:space="preserve"> to Remicade has been satisfactorily established. That is to </w:t>
      </w:r>
      <w:r w:rsidR="00CC73FE" w:rsidRPr="00250776">
        <w:t>say,</w:t>
      </w:r>
      <w:r w:rsidRPr="00250776">
        <w:t xml:space="preserve"> the quality of the product has been satisfactorily established and the quality evaluator is recommending approval. There are also no nonclinical objections to approval.</w:t>
      </w:r>
    </w:p>
    <w:p w14:paraId="746D6FFC" w14:textId="17040476" w:rsidR="00067A73" w:rsidRPr="00250776" w:rsidRDefault="00067A73" w:rsidP="00067A73">
      <w:r w:rsidRPr="00250776">
        <w:t xml:space="preserve">The clinical evaluator has recommended approval for all indications. There is sufficient clinical trial evidence of efficacy and safety of </w:t>
      </w:r>
      <w:r w:rsidR="00525466">
        <w:t>Inflectra</w:t>
      </w:r>
      <w:r w:rsidRPr="00250776">
        <w:t xml:space="preserve"> in comparison with Remicade in </w:t>
      </w:r>
      <w:r>
        <w:t>RA</w:t>
      </w:r>
      <w:r w:rsidRPr="00250776">
        <w:t xml:space="preserve"> with supportive evidence in </w:t>
      </w:r>
      <w:r>
        <w:t>AS</w:t>
      </w:r>
      <w:r w:rsidRPr="00250776">
        <w:t xml:space="preserve"> and the </w:t>
      </w:r>
      <w:r>
        <w:t>Delegate</w:t>
      </w:r>
      <w:r w:rsidRPr="00250776">
        <w:t xml:space="preserve"> is of the view that there is reasonable evidence that a similar mechanism of action would be involved for the third </w:t>
      </w:r>
      <w:proofErr w:type="spellStart"/>
      <w:r w:rsidRPr="00250776">
        <w:t>rheumatological</w:t>
      </w:r>
      <w:proofErr w:type="spellEnd"/>
      <w:r w:rsidRPr="00250776">
        <w:t xml:space="preserve"> indication, namely </w:t>
      </w:r>
      <w:proofErr w:type="spellStart"/>
      <w:r>
        <w:t>PsA</w:t>
      </w:r>
      <w:r w:rsidRPr="00250776">
        <w:t>.</w:t>
      </w:r>
      <w:proofErr w:type="spellEnd"/>
      <w:r w:rsidRPr="00250776">
        <w:t xml:space="preserve"> </w:t>
      </w:r>
      <w:r w:rsidR="007F5DB2" w:rsidRPr="00250776">
        <w:t>Therefore,</w:t>
      </w:r>
      <w:r w:rsidRPr="00250776">
        <w:t xml:space="preserve"> the results of the evaluated data may be extrapolated to the latter indication. There is </w:t>
      </w:r>
      <w:r w:rsidR="007F5DB2" w:rsidRPr="00250776">
        <w:t>however,</w:t>
      </w:r>
      <w:r w:rsidRPr="00250776">
        <w:t xml:space="preserve"> a lack of evidence to detect rare differences in safety, especially immunogenicity, which could emerge as a result of this product being a biosimilar to </w:t>
      </w:r>
      <w:r w:rsidR="00CC73FE" w:rsidRPr="00250776">
        <w:t>Remicade;</w:t>
      </w:r>
      <w:r w:rsidRPr="00250776">
        <w:t xml:space="preserve"> </w:t>
      </w:r>
      <w:r w:rsidR="00CC73FE" w:rsidRPr="00250776">
        <w:t>therefore,</w:t>
      </w:r>
      <w:r w:rsidRPr="00250776">
        <w:t xml:space="preserve"> robust post-market monitoring is required. The data is also too limited to detect long term differences in safety that are known wi</w:t>
      </w:r>
      <w:r>
        <w:t xml:space="preserve">th TNFα </w:t>
      </w:r>
      <w:r w:rsidRPr="00250776">
        <w:t>inhibitors. An RMP has been agreed with the sponsor and the sponsor will be required to submit the results of the patient registries and ongoing clinical trials to the TGA.</w:t>
      </w:r>
    </w:p>
    <w:p w14:paraId="256E134E" w14:textId="55D7B8BF" w:rsidR="00067A73" w:rsidRPr="00250776" w:rsidRDefault="00067A73" w:rsidP="00067A73">
      <w:r w:rsidRPr="00250776">
        <w:t xml:space="preserve">One important issue to be resolved concerns the issue of the differential rates of both serious pneumonia and of TB between test and reference in the clinical trial programme. While the actual numbers are small and possibly due to other factors, it is the overall difference between test and </w:t>
      </w:r>
      <w:r w:rsidR="00CC73FE" w:rsidRPr="00250776">
        <w:t>reference, which</w:t>
      </w:r>
      <w:r w:rsidRPr="00250776">
        <w:t xml:space="preserve"> is of concern. The sponsor addressed this matter in the </w:t>
      </w:r>
      <w:r>
        <w:t>‘</w:t>
      </w:r>
      <w:r w:rsidRPr="00250776">
        <w:t>Post TGA Meeting</w:t>
      </w:r>
      <w:r>
        <w:t>’</w:t>
      </w:r>
      <w:r w:rsidRPr="00250776">
        <w:t xml:space="preserve"> response, the details of which are summarised above under </w:t>
      </w:r>
      <w:r>
        <w:t>Question 10</w:t>
      </w:r>
      <w:r w:rsidRPr="00250776">
        <w:t xml:space="preserve"> of the </w:t>
      </w:r>
      <w:r>
        <w:t>f</w:t>
      </w:r>
      <w:r w:rsidRPr="00250776">
        <w:t xml:space="preserve">irst set of questions. The </w:t>
      </w:r>
      <w:r>
        <w:t>Delegate</w:t>
      </w:r>
      <w:r w:rsidRPr="00250776">
        <w:t xml:space="preserve"> notes the possible explanations for the differences but remains concerned in the context of this being a biosimilar and the rates for two infections being higher on </w:t>
      </w:r>
      <w:r w:rsidR="00525466">
        <w:t>Inflectra</w:t>
      </w:r>
      <w:r w:rsidRPr="00250776">
        <w:t xml:space="preserve">. The ACPM is asked for </w:t>
      </w:r>
      <w:r w:rsidRPr="00250776">
        <w:lastRenderedPageBreak/>
        <w:t xml:space="preserve">its opinion on this matter. The </w:t>
      </w:r>
      <w:r>
        <w:t>Delegate</w:t>
      </w:r>
      <w:r w:rsidRPr="00250776">
        <w:t xml:space="preserve"> notes the sponsor’s post-market activities and commitments to provide information to the TGA to address these </w:t>
      </w:r>
      <w:r w:rsidR="00CC73FE" w:rsidRPr="00250776">
        <w:t>concerns, which</w:t>
      </w:r>
      <w:r w:rsidRPr="00250776">
        <w:t xml:space="preserve"> are acceptable.</w:t>
      </w:r>
    </w:p>
    <w:p w14:paraId="0AE75B73" w14:textId="77777777" w:rsidR="00067A73" w:rsidRPr="007F5DB2" w:rsidRDefault="00067A73" w:rsidP="00053448">
      <w:pPr>
        <w:pStyle w:val="Heading5"/>
      </w:pPr>
      <w:r w:rsidRPr="007F5DB2">
        <w:t xml:space="preserve">Naming of </w:t>
      </w:r>
      <w:proofErr w:type="spellStart"/>
      <w:r w:rsidRPr="007F5DB2">
        <w:t>biosimilars</w:t>
      </w:r>
      <w:proofErr w:type="spellEnd"/>
    </w:p>
    <w:p w14:paraId="68AC0286" w14:textId="77777777" w:rsidR="00067A73" w:rsidRPr="00250776" w:rsidRDefault="00067A73" w:rsidP="00067A73">
      <w:r w:rsidRPr="00250776">
        <w:t xml:space="preserve">With regard to tradenames, </w:t>
      </w:r>
      <w:proofErr w:type="spellStart"/>
      <w:r w:rsidRPr="00250776">
        <w:t>biosimilars</w:t>
      </w:r>
      <w:proofErr w:type="spellEnd"/>
      <w:r w:rsidRPr="00250776">
        <w:t xml:space="preserve"> are required to have a clearly distinguishable tradename from all other products, including the reference product and other </w:t>
      </w:r>
      <w:proofErr w:type="spellStart"/>
      <w:r w:rsidRPr="00250776">
        <w:t>biosimilars</w:t>
      </w:r>
      <w:proofErr w:type="spellEnd"/>
      <w:r w:rsidRPr="00250776">
        <w:t xml:space="preserve">. The </w:t>
      </w:r>
      <w:r>
        <w:t>Delegate</w:t>
      </w:r>
      <w:r w:rsidRPr="00250776">
        <w:t xml:space="preserve"> considers the proposed tradenames acceptable and consistent with those appro</w:t>
      </w:r>
      <w:r>
        <w:t>ved in Europe and Canada.</w:t>
      </w:r>
    </w:p>
    <w:p w14:paraId="29E9ADEA" w14:textId="77777777" w:rsidR="00067A73" w:rsidRPr="00250776" w:rsidRDefault="00067A73" w:rsidP="00067A73">
      <w:r w:rsidRPr="00250776">
        <w:t>The lack of any qualifier to the active ingredient name may give the impression that the biosimilar is a generic medicine, lead to confusion in both prescribing and dispensing and contribute to difficulties in traceability following adverse event reporting for pharmacovigilance purposes. Although the naming policy at present is not to require any specific identifier, the sponsor has provided an, ‘</w:t>
      </w:r>
      <w:r w:rsidRPr="004278E9">
        <w:rPr>
          <w:i/>
        </w:rPr>
        <w:t>assurance that this will be reviewed post-approval in light of any TGA and/or WHO policy changes’</w:t>
      </w:r>
      <w:r>
        <w:t>.</w:t>
      </w:r>
    </w:p>
    <w:p w14:paraId="04C1BEAE" w14:textId="77777777" w:rsidR="00067A73" w:rsidRPr="00250776" w:rsidRDefault="00067A73" w:rsidP="00053448">
      <w:pPr>
        <w:pStyle w:val="Heading5"/>
      </w:pPr>
      <w:r w:rsidRPr="00250776">
        <w:t>PI, CMI and Labels</w:t>
      </w:r>
    </w:p>
    <w:p w14:paraId="17BCD66E" w14:textId="77777777" w:rsidR="00067A73" w:rsidRPr="00250776" w:rsidRDefault="00067A73" w:rsidP="00067A73">
      <w:r w:rsidRPr="00250776">
        <w:t xml:space="preserve">The sponsor was requested to consider how communication of </w:t>
      </w:r>
      <w:r w:rsidR="00525466">
        <w:t>Inflectra</w:t>
      </w:r>
      <w:r w:rsidRPr="00250776">
        <w:t xml:space="preserve"> being a biosimilar would be undertaken in the PI, CMI, labels, DHCPL or any other educational activities. The sponsor has included statements in the PI but has not included statements in the CMI due to the sponsor’s view that the term </w:t>
      </w:r>
      <w:proofErr w:type="spellStart"/>
      <w:r w:rsidRPr="00250776">
        <w:t>biosimilarity</w:t>
      </w:r>
      <w:proofErr w:type="spellEnd"/>
      <w:r w:rsidRPr="00250776">
        <w:t xml:space="preserve"> is a difficult concept for consumers to understand and it could lead to anxiety in patients and that it should be explained </w:t>
      </w:r>
      <w:r>
        <w:t>by</w:t>
      </w:r>
      <w:r w:rsidRPr="00250776">
        <w:t xml:space="preserve"> the prescriber </w:t>
      </w:r>
      <w:r>
        <w:t>to the</w:t>
      </w:r>
      <w:r w:rsidRPr="00250776">
        <w:t xml:space="preserve"> patient. No statements are proposed for the label. The sponsor has agreed to work with the TGA to de</w:t>
      </w:r>
      <w:r>
        <w:t xml:space="preserve">velop an appropriate DHCPL post </w:t>
      </w:r>
      <w:r w:rsidRPr="00250776">
        <w:t xml:space="preserve">ACPM. The </w:t>
      </w:r>
      <w:r>
        <w:t>Delegate</w:t>
      </w:r>
      <w:r w:rsidRPr="00250776">
        <w:t xml:space="preserve"> considers the PI changes acceptable, however does not consider it acceptable to not include information in the CMI. The CMI s</w:t>
      </w:r>
      <w:r>
        <w:t>hould be consistent with the PI and</w:t>
      </w:r>
      <w:r w:rsidRPr="00250776">
        <w:t xml:space="preserve"> therefore the CMI should include mention of this product being a biosimilar medicine. The </w:t>
      </w:r>
      <w:r>
        <w:t>Delegate</w:t>
      </w:r>
      <w:r w:rsidRPr="00250776">
        <w:t xml:space="preserve"> accepts the sponsor’s position to not include a specific statement on the labels.</w:t>
      </w:r>
    </w:p>
    <w:p w14:paraId="427AFCCC" w14:textId="77777777" w:rsidR="00067A73" w:rsidRPr="00250776" w:rsidRDefault="00067A73" w:rsidP="00067A73">
      <w:pPr>
        <w:pStyle w:val="Heading5"/>
      </w:pPr>
      <w:r w:rsidRPr="00250776">
        <w:t>RMP</w:t>
      </w:r>
    </w:p>
    <w:p w14:paraId="0340F8DA" w14:textId="77777777" w:rsidR="00067A73" w:rsidRPr="00250776" w:rsidRDefault="00067A73" w:rsidP="00067A73">
      <w:r w:rsidRPr="00250776">
        <w:t xml:space="preserve">The sponsor has mostly addressed the outstanding RMP matters however there remain a few issues, along with commitments made </w:t>
      </w:r>
      <w:r>
        <w:t xml:space="preserve">by the sponsor, to address post </w:t>
      </w:r>
      <w:r w:rsidRPr="00250776">
        <w:t>ACPM once the approved indications are clear. The sponsor is requested to address these directly with PMSB prior to finalisation of this submission.</w:t>
      </w:r>
    </w:p>
    <w:p w14:paraId="6E977565" w14:textId="77777777" w:rsidR="00067A73" w:rsidRPr="00250776" w:rsidRDefault="00067A73" w:rsidP="00067A73">
      <w:pPr>
        <w:pStyle w:val="Heading5"/>
      </w:pPr>
      <w:r w:rsidRPr="00250776">
        <w:t>Data deficiencies and limitations</w:t>
      </w:r>
    </w:p>
    <w:p w14:paraId="437F985B" w14:textId="671ADE6C" w:rsidR="00067A73" w:rsidRPr="00250776" w:rsidRDefault="00067A73" w:rsidP="00067A73">
      <w:r w:rsidRPr="00250776">
        <w:t xml:space="preserve">There is a lack of direct evidence in patients with psoriatic arthritis and limited data in patients with ankylosing spondylitis. The safety pool is not large enough to detect small differences in </w:t>
      </w:r>
      <w:r w:rsidR="00CC73FE" w:rsidRPr="00250776">
        <w:t>safety that</w:t>
      </w:r>
      <w:r w:rsidRPr="00250776">
        <w:t xml:space="preserve"> may not become evident until a broader exposure occurs post-marketing.</w:t>
      </w:r>
    </w:p>
    <w:p w14:paraId="1104C4C9" w14:textId="68990D02" w:rsidR="00067A73" w:rsidRPr="00250776" w:rsidRDefault="00067A73" w:rsidP="00067A73">
      <w:pPr>
        <w:pStyle w:val="Heading5"/>
      </w:pPr>
      <w:r w:rsidRPr="00250776">
        <w:t xml:space="preserve">Questions for the </w:t>
      </w:r>
      <w:r>
        <w:t xml:space="preserve">sponsor from the </w:t>
      </w:r>
      <w:r w:rsidR="009F4AB2">
        <w:t>d</w:t>
      </w:r>
      <w:r>
        <w:t>elegate</w:t>
      </w:r>
    </w:p>
    <w:p w14:paraId="7EFE11CE" w14:textId="77777777" w:rsidR="00067A73" w:rsidRPr="00250776" w:rsidRDefault="00067A73" w:rsidP="00067A73">
      <w:r w:rsidRPr="00250776">
        <w:t xml:space="preserve">The sponsor </w:t>
      </w:r>
      <w:r w:rsidR="00A5194D">
        <w:t>was</w:t>
      </w:r>
      <w:r w:rsidRPr="00250776">
        <w:t xml:space="preserve"> requested to address the following i</w:t>
      </w:r>
      <w:r>
        <w:t>ssues;</w:t>
      </w:r>
    </w:p>
    <w:p w14:paraId="73FE1447" w14:textId="77777777" w:rsidR="00067A73" w:rsidRPr="00250776" w:rsidRDefault="00067A73" w:rsidP="00654E1B">
      <w:pPr>
        <w:pStyle w:val="Numberbullet0"/>
        <w:numPr>
          <w:ilvl w:val="0"/>
          <w:numId w:val="12"/>
        </w:numPr>
      </w:pPr>
      <w:r w:rsidRPr="00250776">
        <w:t xml:space="preserve">The sponsor is requested to provide an update on the status of the submission to the US FDA and the sponsor’s response to the </w:t>
      </w:r>
      <w:r>
        <w:t>‘Statistics information r</w:t>
      </w:r>
      <w:r w:rsidRPr="002807D1">
        <w:t>equest 5 Feb 2015’</w:t>
      </w:r>
      <w:r w:rsidRPr="00250776">
        <w:t>.</w:t>
      </w:r>
    </w:p>
    <w:p w14:paraId="755CDF27" w14:textId="192BC76E" w:rsidR="00067A73" w:rsidRPr="00250776" w:rsidRDefault="00067A73" w:rsidP="00654E1B">
      <w:pPr>
        <w:pStyle w:val="Numberbullet0"/>
        <w:numPr>
          <w:ilvl w:val="0"/>
          <w:numId w:val="12"/>
        </w:numPr>
      </w:pPr>
      <w:r w:rsidRPr="00250776">
        <w:t xml:space="preserve">Given the antibody positive population with </w:t>
      </w:r>
      <w:r>
        <w:t>AS</w:t>
      </w:r>
      <w:r w:rsidRPr="00250776">
        <w:t xml:space="preserve"> showed an AUC 95</w:t>
      </w:r>
      <w:r w:rsidR="00CC73FE">
        <w:t xml:space="preserve"> </w:t>
      </w:r>
      <w:r w:rsidRPr="00250776">
        <w:t>% confidence interval compari</w:t>
      </w:r>
      <w:r>
        <w:t xml:space="preserve">ng CT-P13 and Remicade of 85.25 to </w:t>
      </w:r>
      <w:r w:rsidRPr="00250776">
        <w:t>137.54, was there a difference in efficacy or safe</w:t>
      </w:r>
      <w:r>
        <w:t>ty in this subgroup on CT-P13?</w:t>
      </w:r>
    </w:p>
    <w:p w14:paraId="06E9C2A6" w14:textId="77777777" w:rsidR="00067A73" w:rsidRPr="00250776" w:rsidRDefault="00067A73" w:rsidP="00654E1B">
      <w:pPr>
        <w:pStyle w:val="Numberbullet0"/>
        <w:numPr>
          <w:ilvl w:val="0"/>
          <w:numId w:val="12"/>
        </w:numPr>
      </w:pPr>
      <w:r w:rsidRPr="00250776">
        <w:t>The sponsor is requested to provide a detailed commentary on the differential rates of serious pneumonia, TB, infusions reactions and anaphylaxis comparing CT-P13 and Remicade in the CT-P13 clinical development programme, as per the draft response provided on 24 November 2014 along with any additional information that the sponsor would like to provide.</w:t>
      </w:r>
    </w:p>
    <w:p w14:paraId="50DD07EF" w14:textId="5F3D2282" w:rsidR="00067A73" w:rsidRPr="00250776" w:rsidRDefault="00067A73" w:rsidP="00654E1B">
      <w:pPr>
        <w:pStyle w:val="Numberbullet0"/>
        <w:numPr>
          <w:ilvl w:val="0"/>
          <w:numId w:val="12"/>
        </w:numPr>
      </w:pPr>
      <w:r w:rsidRPr="00250776">
        <w:lastRenderedPageBreak/>
        <w:t>Please pr</w:t>
      </w:r>
      <w:r>
        <w:t xml:space="preserve">ovide an up to </w:t>
      </w:r>
      <w:r w:rsidRPr="00250776">
        <w:t xml:space="preserve">date list of all clinical studies and patient </w:t>
      </w:r>
      <w:r w:rsidR="00CC73FE" w:rsidRPr="00250776">
        <w:t>registries that</w:t>
      </w:r>
      <w:r w:rsidRPr="00250776">
        <w:t xml:space="preserve"> are presently ongoing, completed or planned as per the draft response provided on 24 November 2014 along with any additional information that the</w:t>
      </w:r>
      <w:r>
        <w:t xml:space="preserve"> sponsor would like to provide.</w:t>
      </w:r>
    </w:p>
    <w:p w14:paraId="4A864D6A" w14:textId="77777777" w:rsidR="00067A73" w:rsidRPr="00250776" w:rsidRDefault="00067A73" w:rsidP="00654E1B">
      <w:pPr>
        <w:pStyle w:val="Numberbullet0"/>
        <w:numPr>
          <w:ilvl w:val="0"/>
          <w:numId w:val="12"/>
        </w:numPr>
      </w:pPr>
      <w:r w:rsidRPr="00250776">
        <w:t>Please provide a summary of all post-marketing approval commitments entered into by the sponsor with both the EMA and Health Canada, as per the draft response provided on 24 November 2014 along with any additional information that the sponsor would like to provide.</w:t>
      </w:r>
    </w:p>
    <w:p w14:paraId="1D54C370" w14:textId="77777777" w:rsidR="00067A73" w:rsidRPr="00250776" w:rsidRDefault="00067A73" w:rsidP="00654E1B">
      <w:pPr>
        <w:pStyle w:val="Numberbullet0"/>
        <w:numPr>
          <w:ilvl w:val="0"/>
          <w:numId w:val="12"/>
        </w:numPr>
      </w:pPr>
      <w:r w:rsidRPr="00250776">
        <w:t xml:space="preserve">The sponsor is invited to provide any further information that is available or any further response that the sponsor would like to provide in relation to the differences noted by the </w:t>
      </w:r>
      <w:r>
        <w:t>quality</w:t>
      </w:r>
      <w:r w:rsidRPr="00250776">
        <w:t xml:space="preserve"> evaluator from the comparability studies between Remicade and </w:t>
      </w:r>
      <w:r w:rsidR="00525466">
        <w:t>Inflectra</w:t>
      </w:r>
      <w:r w:rsidRPr="00250776">
        <w:t>.</w:t>
      </w:r>
    </w:p>
    <w:p w14:paraId="57DA50B1" w14:textId="77777777" w:rsidR="00067A73" w:rsidRPr="00250776" w:rsidRDefault="00067A73" w:rsidP="00654E1B">
      <w:pPr>
        <w:pStyle w:val="Numberbullet0"/>
        <w:numPr>
          <w:ilvl w:val="0"/>
          <w:numId w:val="12"/>
        </w:numPr>
      </w:pPr>
      <w:r w:rsidRPr="00250776">
        <w:t xml:space="preserve">Please summarise for ACPM how the sponsor is informing prescribers and patients that </w:t>
      </w:r>
      <w:r w:rsidR="00525466">
        <w:t>Inflectra</w:t>
      </w:r>
      <w:r w:rsidRPr="00250776">
        <w:t xml:space="preserve"> is a biosimilar product and how this is being communicated in the PI, CMI and any educational materials </w:t>
      </w:r>
      <w:r>
        <w:t>for example</w:t>
      </w:r>
      <w:r w:rsidRPr="00250776">
        <w:t xml:space="preserve"> DHCPL.</w:t>
      </w:r>
    </w:p>
    <w:p w14:paraId="6D566832" w14:textId="77777777" w:rsidR="00067A73" w:rsidRPr="00250776" w:rsidRDefault="00067A73" w:rsidP="00654E1B">
      <w:pPr>
        <w:pStyle w:val="Numberbullet0"/>
        <w:numPr>
          <w:ilvl w:val="0"/>
          <w:numId w:val="12"/>
        </w:numPr>
      </w:pPr>
      <w:r w:rsidRPr="00250776">
        <w:t xml:space="preserve">Please provide the reasons from Health Canada on the decision to not approve the indications of Crohn’s disease and ulcerative colitis for </w:t>
      </w:r>
      <w:r w:rsidR="00525466">
        <w:t>Inflectra</w:t>
      </w:r>
      <w:r w:rsidRPr="00250776">
        <w:t>.</w:t>
      </w:r>
    </w:p>
    <w:p w14:paraId="26E83476" w14:textId="38A0E9A5" w:rsidR="00067A73" w:rsidRDefault="00067A73" w:rsidP="00067A73">
      <w:pPr>
        <w:pStyle w:val="Heading5"/>
      </w:pPr>
      <w:r>
        <w:t xml:space="preserve">Conditions of </w:t>
      </w:r>
      <w:r w:rsidR="00E77C7F">
        <w:t>r</w:t>
      </w:r>
      <w:r>
        <w:t>egistration:</w:t>
      </w:r>
    </w:p>
    <w:p w14:paraId="353154BB" w14:textId="77777777" w:rsidR="00067A73" w:rsidRPr="00250776" w:rsidRDefault="00067A73" w:rsidP="00067A73">
      <w:r w:rsidRPr="00250776">
        <w:t>The following are proposed as conditions of registration and the ACPM and sponsor are invited to comment:</w:t>
      </w:r>
    </w:p>
    <w:p w14:paraId="408C56CF" w14:textId="10304020" w:rsidR="00067A73" w:rsidRPr="00250776" w:rsidRDefault="00067A73" w:rsidP="00654E1B">
      <w:pPr>
        <w:pStyle w:val="Numberbullet0"/>
        <w:numPr>
          <w:ilvl w:val="0"/>
          <w:numId w:val="13"/>
        </w:numPr>
      </w:pPr>
      <w:r w:rsidRPr="00250776">
        <w:t>The implementation in Australia of the EU Risk Management Plan Version 4.0 (dated</w:t>
      </w:r>
      <w:r w:rsidR="007F1408">
        <w:t> </w:t>
      </w:r>
      <w:r w:rsidRPr="00250776">
        <w:t>May 2014, DLP 15</w:t>
      </w:r>
      <w:r>
        <w:t xml:space="preserve">April </w:t>
      </w:r>
      <w:r w:rsidRPr="00250776">
        <w:t>2013) and Australian Specific Annex Version 1.0 (dated 24 November 2014), and any future updates (where TGA approved).</w:t>
      </w:r>
    </w:p>
    <w:p w14:paraId="62EB2AF9" w14:textId="77777777" w:rsidR="00067A73" w:rsidRPr="00250776" w:rsidRDefault="00067A73" w:rsidP="00654E1B">
      <w:pPr>
        <w:pStyle w:val="Numberbullet0"/>
        <w:numPr>
          <w:ilvl w:val="0"/>
          <w:numId w:val="13"/>
        </w:numPr>
      </w:pPr>
      <w:r w:rsidRPr="00250776">
        <w:t>Pro</w:t>
      </w:r>
      <w:r>
        <w:t>vide interim reports of the additional pharmacovigilance a</w:t>
      </w:r>
      <w:r w:rsidRPr="00250776">
        <w:t>ctivities referenced in the pharmacovigilance plan through PSURs/PBRERs.</w:t>
      </w:r>
    </w:p>
    <w:p w14:paraId="72DC823F" w14:textId="77777777" w:rsidR="00067A73" w:rsidRPr="00250776" w:rsidRDefault="00067A73" w:rsidP="00654E1B">
      <w:pPr>
        <w:pStyle w:val="Numberbullet0"/>
        <w:numPr>
          <w:ilvl w:val="0"/>
          <w:numId w:val="13"/>
        </w:numPr>
      </w:pPr>
      <w:r>
        <w:t>Provide final reports of the additional pharmacovigilance a</w:t>
      </w:r>
      <w:r w:rsidRPr="00250776">
        <w:t>ctivities referenced in the pharmacovigilance plan, once available.</w:t>
      </w:r>
    </w:p>
    <w:p w14:paraId="107DAB64" w14:textId="77777777" w:rsidR="00067A73" w:rsidRPr="00250776" w:rsidRDefault="00067A73" w:rsidP="00654E1B">
      <w:pPr>
        <w:pStyle w:val="Numberbullet0"/>
        <w:numPr>
          <w:ilvl w:val="0"/>
          <w:numId w:val="13"/>
        </w:numPr>
      </w:pPr>
      <w:r>
        <w:t>Implement additional risk minimisation a</w:t>
      </w:r>
      <w:r w:rsidRPr="00250776">
        <w:t xml:space="preserve">ctivities, within 3 months of approval, where approved by the TGA </w:t>
      </w:r>
      <w:r>
        <w:t>PSAB</w:t>
      </w:r>
      <w:r w:rsidRPr="00250776">
        <w:t>.</w:t>
      </w:r>
    </w:p>
    <w:p w14:paraId="4024E296" w14:textId="77777777" w:rsidR="00067A73" w:rsidRPr="00250776" w:rsidRDefault="00067A73" w:rsidP="00654E1B">
      <w:pPr>
        <w:pStyle w:val="Numberbullet0"/>
        <w:numPr>
          <w:ilvl w:val="0"/>
          <w:numId w:val="13"/>
        </w:numPr>
      </w:pPr>
      <w:r w:rsidRPr="00250776">
        <w:t>Provide the amalgamated report from registry data that will report on tuberculosis and other serious infections when it is available.</w:t>
      </w:r>
    </w:p>
    <w:p w14:paraId="6215645D" w14:textId="77777777" w:rsidR="00067A73" w:rsidRPr="00250776" w:rsidRDefault="00067A73" w:rsidP="00654E1B">
      <w:pPr>
        <w:pStyle w:val="Numberbullet0"/>
        <w:numPr>
          <w:ilvl w:val="0"/>
          <w:numId w:val="13"/>
        </w:numPr>
      </w:pPr>
      <w:r w:rsidRPr="00250776">
        <w:t>The following study report must be submitted to the TGA, as soon as possible a</w:t>
      </w:r>
      <w:r>
        <w:t xml:space="preserve">fter completion, for evaluation. </w:t>
      </w:r>
      <w:r w:rsidRPr="00250776">
        <w:t>The final study report for study CT-P13</w:t>
      </w:r>
      <w:r>
        <w:t xml:space="preserve"> 3.4 as listed in the sponsor’s r</w:t>
      </w:r>
      <w:r w:rsidRPr="00250776">
        <w:t xml:space="preserve">esponse to Question 9 of the </w:t>
      </w:r>
      <w:r>
        <w:t>‘</w:t>
      </w:r>
      <w:r w:rsidRPr="00250776">
        <w:t>Post TGA Meeting</w:t>
      </w:r>
      <w:r>
        <w:t>’ r</w:t>
      </w:r>
      <w:r w:rsidRPr="00250776">
        <w:t>esponse, dated 27 November 2014. The type of submission can be discussed with the TGA prior to submission.</w:t>
      </w:r>
    </w:p>
    <w:p w14:paraId="69B835C0" w14:textId="77777777" w:rsidR="001F6CD8" w:rsidRPr="001F6CD8" w:rsidRDefault="00067A73" w:rsidP="00654E1B">
      <w:pPr>
        <w:pStyle w:val="Numberbullet0"/>
        <w:numPr>
          <w:ilvl w:val="0"/>
          <w:numId w:val="13"/>
        </w:numPr>
      </w:pPr>
      <w:r w:rsidRPr="00250776">
        <w:t>Batch Release Testing by Laboratories Branch:</w:t>
      </w:r>
      <w:r>
        <w:t xml:space="preserve"> </w:t>
      </w:r>
      <w:r w:rsidRPr="00250776">
        <w:t xml:space="preserve">It is a condition of registration that, as a minimum, the first five independent batches of </w:t>
      </w:r>
      <w:r w:rsidR="00525466">
        <w:t>Inflectra</w:t>
      </w:r>
      <w:r>
        <w:t>, Emisima, Flixceli, Inflectra</w:t>
      </w:r>
      <w:r w:rsidRPr="00250776">
        <w:t xml:space="preserve"> infliximab (rmc) imported into Australia are not released for sale until samples and/or the manufacturer’s release data have been assessed and endorsed for release by the TGA Laboratories Branch.</w:t>
      </w:r>
    </w:p>
    <w:p w14:paraId="5AF2EB27" w14:textId="65504C33" w:rsidR="00584401" w:rsidRPr="00250776" w:rsidRDefault="00584401" w:rsidP="00584401">
      <w:pPr>
        <w:pStyle w:val="Heading4"/>
      </w:pPr>
      <w:r w:rsidRPr="00250776">
        <w:t xml:space="preserve">Summary of </w:t>
      </w:r>
      <w:r w:rsidR="009F4AB2">
        <w:t>i</w:t>
      </w:r>
      <w:r w:rsidRPr="00250776">
        <w:t>ssues</w:t>
      </w:r>
    </w:p>
    <w:p w14:paraId="3434204B" w14:textId="77777777" w:rsidR="00584401" w:rsidRDefault="00584401" w:rsidP="00584401">
      <w:pPr>
        <w:pStyle w:val="Heading6"/>
      </w:pPr>
      <w:r>
        <w:t xml:space="preserve">Summary of issues </w:t>
      </w:r>
      <w:r w:rsidRPr="00250776">
        <w:t>rheumatology indications</w:t>
      </w:r>
    </w:p>
    <w:p w14:paraId="4EC7B104" w14:textId="77777777" w:rsidR="00584401" w:rsidRPr="00250776" w:rsidRDefault="00584401" w:rsidP="00584401">
      <w:r w:rsidRPr="00250776">
        <w:t>The primary issues with this submission for the rheumatology indications and in general are as follows:</w:t>
      </w:r>
    </w:p>
    <w:p w14:paraId="5DDEC323" w14:textId="77777777" w:rsidR="00584401" w:rsidRPr="00250776" w:rsidRDefault="00584401" w:rsidP="00654E1B">
      <w:pPr>
        <w:pStyle w:val="Numberbullet0"/>
        <w:numPr>
          <w:ilvl w:val="0"/>
          <w:numId w:val="14"/>
        </w:numPr>
      </w:pPr>
      <w:r w:rsidRPr="00250776">
        <w:lastRenderedPageBreak/>
        <w:t xml:space="preserve">The first major issue concerns the adequacy of the evidence in </w:t>
      </w:r>
      <w:r>
        <w:t>RA</w:t>
      </w:r>
      <w:r w:rsidRPr="00250776">
        <w:t xml:space="preserve"> and </w:t>
      </w:r>
      <w:r>
        <w:t>AS</w:t>
      </w:r>
      <w:r w:rsidRPr="00250776">
        <w:t xml:space="preserve"> and the ability to extrapolate this evidence and what is known about the pathophysiology of the diseases in the various indications and the mechanism of action of infliximab to the indications without specific clinical trial data, namely </w:t>
      </w:r>
      <w:proofErr w:type="spellStart"/>
      <w:r>
        <w:t>PsA</w:t>
      </w:r>
      <w:proofErr w:type="spellEnd"/>
      <w:r w:rsidRPr="00250776">
        <w:t xml:space="preserve">, </w:t>
      </w:r>
      <w:r>
        <w:t>CD</w:t>
      </w:r>
      <w:r w:rsidRPr="00250776">
        <w:t xml:space="preserve">, </w:t>
      </w:r>
      <w:r>
        <w:t>UC</w:t>
      </w:r>
      <w:r w:rsidRPr="00250776">
        <w:t xml:space="preserve"> and plaque psoriasis.</w:t>
      </w:r>
    </w:p>
    <w:p w14:paraId="45F10A01" w14:textId="77777777" w:rsidR="00584401" w:rsidRPr="00250776" w:rsidRDefault="00584401" w:rsidP="00654E1B">
      <w:pPr>
        <w:pStyle w:val="Numberbullet0"/>
        <w:numPr>
          <w:ilvl w:val="0"/>
          <w:numId w:val="14"/>
        </w:numPr>
      </w:pPr>
      <w:r w:rsidRPr="00250776">
        <w:t xml:space="preserve">The second major issue concerns the differences observed in the rates of </w:t>
      </w:r>
      <w:r>
        <w:t>TB</w:t>
      </w:r>
      <w:r w:rsidRPr="00250776">
        <w:t xml:space="preserve"> and serious pneumonia between </w:t>
      </w:r>
      <w:r w:rsidR="00525466">
        <w:t>Inflectra</w:t>
      </w:r>
      <w:r w:rsidRPr="00250776">
        <w:t xml:space="preserve"> and Remicade.</w:t>
      </w:r>
    </w:p>
    <w:p w14:paraId="4B199E9B" w14:textId="77777777" w:rsidR="00584401" w:rsidRDefault="00584401" w:rsidP="00654E1B">
      <w:pPr>
        <w:pStyle w:val="Numberbullet0"/>
        <w:numPr>
          <w:ilvl w:val="0"/>
          <w:numId w:val="14"/>
        </w:numPr>
      </w:pPr>
      <w:r w:rsidRPr="00250776">
        <w:t xml:space="preserve">The third major issue concerns the ways in which information about the </w:t>
      </w:r>
      <w:proofErr w:type="spellStart"/>
      <w:r w:rsidRPr="00250776">
        <w:t>biosimilarity</w:t>
      </w:r>
      <w:proofErr w:type="spellEnd"/>
      <w:r w:rsidRPr="00250776">
        <w:t xml:space="preserve"> to the reference product should be communicated in the PI, CMI and any educational materials including </w:t>
      </w:r>
      <w:r>
        <w:t>DHCPL</w:t>
      </w:r>
      <w:r w:rsidRPr="00250776">
        <w:t>.</w:t>
      </w:r>
    </w:p>
    <w:p w14:paraId="30E67CC5" w14:textId="77777777" w:rsidR="00584401" w:rsidRDefault="00584401" w:rsidP="00584401">
      <w:pPr>
        <w:pStyle w:val="Heading6"/>
      </w:pPr>
      <w:r>
        <w:t>Summary of issues inflammatory bowel disease</w:t>
      </w:r>
    </w:p>
    <w:p w14:paraId="154D70F4" w14:textId="77777777" w:rsidR="00584401" w:rsidRPr="00FA17A0" w:rsidRDefault="00584401" w:rsidP="00654E1B">
      <w:pPr>
        <w:pStyle w:val="Numberbullet0"/>
        <w:numPr>
          <w:ilvl w:val="0"/>
          <w:numId w:val="15"/>
        </w:numPr>
      </w:pPr>
      <w:r w:rsidRPr="00FA17A0">
        <w:t xml:space="preserve">No studies of </w:t>
      </w:r>
      <w:r w:rsidR="00525466">
        <w:t>Inflectra</w:t>
      </w:r>
      <w:r w:rsidRPr="00FA17A0">
        <w:t xml:space="preserve"> in </w:t>
      </w:r>
      <w:r>
        <w:t>inflammatory bowel disease</w:t>
      </w:r>
      <w:r w:rsidRPr="00FA17A0">
        <w:t xml:space="preserve"> have been presented for evaluation. The sponsor is seeking approval for these indications based on extrapolation of indications. It is not clear whether this is appropriate. The mechanisms of action of Remicade in </w:t>
      </w:r>
      <w:r>
        <w:t>inflammatory bowel disease</w:t>
      </w:r>
      <w:r w:rsidRPr="00FA17A0">
        <w:t xml:space="preserve"> may be different from its mechanisms of action in other indications and may include </w:t>
      </w:r>
      <w:r>
        <w:t>ADCC.</w:t>
      </w:r>
    </w:p>
    <w:p w14:paraId="56F2FCE2" w14:textId="77777777" w:rsidR="00584401" w:rsidRDefault="00584401" w:rsidP="00654E1B">
      <w:pPr>
        <w:pStyle w:val="Numberbullet0"/>
        <w:numPr>
          <w:ilvl w:val="0"/>
          <w:numId w:val="15"/>
        </w:numPr>
      </w:pPr>
      <w:r w:rsidRPr="00FA17A0">
        <w:t xml:space="preserve">Nonclinical testing has shown a difference in potential ADCC between Remicade, the innovator and </w:t>
      </w:r>
      <w:r w:rsidR="00525466">
        <w:t>Inflectra</w:t>
      </w:r>
      <w:r w:rsidRPr="00FA17A0">
        <w:t xml:space="preserve"> under specific circ</w:t>
      </w:r>
      <w:r>
        <w:t>umstances.</w:t>
      </w:r>
    </w:p>
    <w:p w14:paraId="42DC4570" w14:textId="1FA11BEC" w:rsidR="00584401" w:rsidRDefault="00584401" w:rsidP="004860F4">
      <w:pPr>
        <w:pStyle w:val="Numberbullet0"/>
        <w:numPr>
          <w:ilvl w:val="0"/>
          <w:numId w:val="15"/>
        </w:numPr>
      </w:pPr>
      <w:r w:rsidRPr="00FA17A0">
        <w:t xml:space="preserve">The submission did not contain any pharmacokinetic data for children </w:t>
      </w:r>
      <w:r w:rsidR="00CC73FE" w:rsidRPr="00FA17A0">
        <w:t>however,</w:t>
      </w:r>
      <w:r w:rsidRPr="00FA17A0">
        <w:t xml:space="preserve"> the </w:t>
      </w:r>
      <w:r>
        <w:t>inflammatory bowel disease</w:t>
      </w:r>
      <w:r w:rsidRPr="00FA17A0">
        <w:t xml:space="preserve"> indications include use in children aged from 6 years. It is not clear whether pharmacokinetic data in children, should be required.</w:t>
      </w:r>
    </w:p>
    <w:p w14:paraId="1760C3A4" w14:textId="77777777" w:rsidR="00584401" w:rsidRDefault="00584401" w:rsidP="00584401">
      <w:pPr>
        <w:pStyle w:val="Heading6"/>
      </w:pPr>
      <w:r>
        <w:t>Summary of issues</w:t>
      </w:r>
      <w:r w:rsidRPr="00584401">
        <w:t xml:space="preserve"> </w:t>
      </w:r>
      <w:r w:rsidRPr="001B07B1">
        <w:t>psoriasis</w:t>
      </w:r>
    </w:p>
    <w:p w14:paraId="763E17E8" w14:textId="4A141B70" w:rsidR="00584401" w:rsidRPr="008F7820" w:rsidRDefault="00584401" w:rsidP="00584401">
      <w:r w:rsidRPr="008F7820">
        <w:t xml:space="preserve">No studies of </w:t>
      </w:r>
      <w:r w:rsidR="00525466">
        <w:t>Inflectra</w:t>
      </w:r>
      <w:r w:rsidRPr="008F7820">
        <w:t xml:space="preserve"> (the proposed biosimilar infliximab) in psoriasis</w:t>
      </w:r>
      <w:r w:rsidR="007F1408">
        <w:t xml:space="preserve"> (</w:t>
      </w:r>
      <w:proofErr w:type="spellStart"/>
      <w:r w:rsidR="007F1408">
        <w:t>PsA</w:t>
      </w:r>
      <w:proofErr w:type="spellEnd"/>
      <w:r w:rsidR="007F1408">
        <w:t>)</w:t>
      </w:r>
      <w:r w:rsidRPr="008F7820">
        <w:t xml:space="preserve"> patients have</w:t>
      </w:r>
      <w:r>
        <w:t xml:space="preserve"> been presented for evaluation. </w:t>
      </w:r>
      <w:r w:rsidRPr="008F7820">
        <w:t xml:space="preserve">The sponsor is seeking approval for use of </w:t>
      </w:r>
      <w:r w:rsidR="00525466">
        <w:t>Inflectra</w:t>
      </w:r>
      <w:r w:rsidRPr="008F7820">
        <w:t xml:space="preserve"> in psoriasis on the basis of extrapolation of indications.</w:t>
      </w:r>
    </w:p>
    <w:p w14:paraId="47281B5D" w14:textId="77777777" w:rsidR="00584401" w:rsidRPr="008F7820" w:rsidRDefault="00584401" w:rsidP="00584401">
      <w:r w:rsidRPr="008F7820">
        <w:t xml:space="preserve">One issue is to what extent infliximab’s mechanism of action varies by indication due to varying contributions of </w:t>
      </w:r>
      <w:proofErr w:type="spellStart"/>
      <w:r w:rsidRPr="008F7820">
        <w:t>Fc</w:t>
      </w:r>
      <w:r>
        <w:t>γ</w:t>
      </w:r>
      <w:r w:rsidRPr="008F7820">
        <w:t>RIIIA</w:t>
      </w:r>
      <w:proofErr w:type="spellEnd"/>
      <w:r>
        <w:t xml:space="preserve"> </w:t>
      </w:r>
      <w:r w:rsidRPr="008F7820">
        <w:t xml:space="preserve">mediated effects. A view was put that </w:t>
      </w:r>
      <w:r>
        <w:t>ADCC</w:t>
      </w:r>
      <w:r w:rsidRPr="008F7820">
        <w:t xml:space="preserve"> was the key biological effect of infliximab that would be </w:t>
      </w:r>
      <w:proofErr w:type="spellStart"/>
      <w:r w:rsidRPr="008F7820">
        <w:t>FcγRIIIa</w:t>
      </w:r>
      <w:proofErr w:type="spellEnd"/>
      <w:r>
        <w:t xml:space="preserve"> </w:t>
      </w:r>
      <w:r w:rsidRPr="008F7820">
        <w:t xml:space="preserve">mediated. The sponsor argues against ADCC being of relevance in infliximab’s action in psoriasis. It seems unlikely ADCC has a dominant role; also, it is an open question as to whether </w:t>
      </w:r>
      <w:proofErr w:type="spellStart"/>
      <w:r w:rsidRPr="008F7820">
        <w:t>FcγRIIIa</w:t>
      </w:r>
      <w:proofErr w:type="spellEnd"/>
      <w:r>
        <w:t xml:space="preserve"> </w:t>
      </w:r>
      <w:r w:rsidRPr="008F7820">
        <w:t xml:space="preserve">binding differences noted in </w:t>
      </w:r>
      <w:r>
        <w:t>the quality evaluation</w:t>
      </w:r>
      <w:r w:rsidRPr="008F7820">
        <w:t xml:space="preserve"> translate to differences in ADCC in patients. However, a degree of uncertainty remains.</w:t>
      </w:r>
    </w:p>
    <w:p w14:paraId="68AE90D4" w14:textId="77777777" w:rsidR="00584401" w:rsidRPr="008F7820" w:rsidRDefault="00584401" w:rsidP="00584401">
      <w:r w:rsidRPr="008F7820">
        <w:t xml:space="preserve">A second broad issue is that while efficacy appeared similar for the two agents in RA and AS, this could be because those two models are insensitive, that is do not detect true differences that might be clinically relevant in other indications. </w:t>
      </w:r>
      <w:r>
        <w:t>The clinical unit 4 reviewer</w:t>
      </w:r>
      <w:r w:rsidRPr="008F7820">
        <w:t xml:space="preserve"> think</w:t>
      </w:r>
      <w:r>
        <w:t>s</w:t>
      </w:r>
      <w:r w:rsidRPr="008F7820">
        <w:t xml:space="preserve"> the reasonably close match in efficacy outcomes in the main RA and AS studies, and the fact that efficacy was comparable across agents in two indications, offsets this risk sufficiently.</w:t>
      </w:r>
    </w:p>
    <w:p w14:paraId="0BF71140" w14:textId="77777777" w:rsidR="00584401" w:rsidRPr="00584401" w:rsidRDefault="00584401" w:rsidP="00584401">
      <w:r w:rsidRPr="008F7820">
        <w:t xml:space="preserve">A third and critical issue is that the safety of the two agents was not similar in an important regard that is the incidence of active </w:t>
      </w:r>
      <w:r>
        <w:t>TB</w:t>
      </w:r>
      <w:r w:rsidRPr="008F7820">
        <w:t xml:space="preserve"> (including disseminated disease). There are grounds to argue that a difference of the magnitude seen cannot be offset sufficiently by post-marketing activities.</w:t>
      </w:r>
    </w:p>
    <w:p w14:paraId="205D7DDF" w14:textId="77777777" w:rsidR="00D23139" w:rsidRDefault="00D23139" w:rsidP="00D23139">
      <w:pPr>
        <w:pStyle w:val="Heading4"/>
      </w:pPr>
      <w:r w:rsidRPr="00D23139">
        <w:t>Proposed action</w:t>
      </w:r>
    </w:p>
    <w:p w14:paraId="3DB2A1A3" w14:textId="77777777" w:rsidR="00584401" w:rsidRPr="00250776" w:rsidRDefault="00584401" w:rsidP="00584401">
      <w:r>
        <w:t>The Delegate had</w:t>
      </w:r>
      <w:r w:rsidRPr="00250776">
        <w:t xml:space="preserve"> no reason to say, at this time, that the application for </w:t>
      </w:r>
      <w:r w:rsidR="00525466">
        <w:t>Inflectra</w:t>
      </w:r>
      <w:r w:rsidRPr="00250776">
        <w:t xml:space="preserve"> should not be approved for registration for the indications involving </w:t>
      </w:r>
      <w:r>
        <w:t>RA</w:t>
      </w:r>
      <w:r w:rsidRPr="00250776">
        <w:t xml:space="preserve">, </w:t>
      </w:r>
      <w:r>
        <w:t xml:space="preserve">AS and </w:t>
      </w:r>
      <w:proofErr w:type="spellStart"/>
      <w:r>
        <w:t>PsA</w:t>
      </w:r>
      <w:r w:rsidRPr="00250776">
        <w:t>.</w:t>
      </w:r>
      <w:proofErr w:type="spellEnd"/>
    </w:p>
    <w:p w14:paraId="08EFCAF3" w14:textId="77777777" w:rsidR="00584401" w:rsidRPr="00167385" w:rsidRDefault="00584401" w:rsidP="00584401">
      <w:r>
        <w:t xml:space="preserve">The </w:t>
      </w:r>
      <w:r w:rsidRPr="00FA17A0">
        <w:t xml:space="preserve">clinical unit 1 reviewer </w:t>
      </w:r>
      <w:r>
        <w:t>has</w:t>
      </w:r>
      <w:r w:rsidRPr="00167385">
        <w:t xml:space="preserve"> no objection to th</w:t>
      </w:r>
      <w:r>
        <w:t>e registration of</w:t>
      </w:r>
      <w:r w:rsidRPr="00167385">
        <w:t xml:space="preserve"> for the following indications:</w:t>
      </w:r>
    </w:p>
    <w:p w14:paraId="724992DB" w14:textId="77777777" w:rsidR="00584401" w:rsidRPr="00FA17A0" w:rsidRDefault="00584401" w:rsidP="00584401">
      <w:pPr>
        <w:ind w:left="720"/>
        <w:rPr>
          <w:i/>
        </w:rPr>
      </w:pPr>
      <w:r w:rsidRPr="00FA17A0">
        <w:rPr>
          <w:i/>
        </w:rPr>
        <w:lastRenderedPageBreak/>
        <w:t>Crohn’s Disease in Adults and in Children and adolescents (6 to 17 years)</w:t>
      </w:r>
    </w:p>
    <w:p w14:paraId="0B93DFD0" w14:textId="77777777" w:rsidR="00584401" w:rsidRPr="00FA17A0" w:rsidRDefault="00525466" w:rsidP="00584401">
      <w:pPr>
        <w:ind w:left="720"/>
        <w:rPr>
          <w:i/>
        </w:rPr>
      </w:pPr>
      <w:r>
        <w:rPr>
          <w:i/>
        </w:rPr>
        <w:t>Inflectra</w:t>
      </w:r>
      <w:r w:rsidR="00584401" w:rsidRPr="00FA17A0">
        <w:rPr>
          <w:i/>
        </w:rPr>
        <w:t xml:space="preserve"> is indicated for the treatment of moderate to severe Crohn’s disease, to reduce the signs and symptoms and to induce and maintain clinical remission in patients who have an inadequate response to conventional therapies.</w:t>
      </w:r>
    </w:p>
    <w:p w14:paraId="42FDD29A" w14:textId="77777777" w:rsidR="00584401" w:rsidRPr="00FA17A0" w:rsidRDefault="00584401" w:rsidP="00584401">
      <w:pPr>
        <w:ind w:left="720"/>
        <w:rPr>
          <w:i/>
        </w:rPr>
      </w:pPr>
      <w:r w:rsidRPr="00FA17A0">
        <w:rPr>
          <w:i/>
        </w:rPr>
        <w:t>Refractory Fistulising Crohn’s Disease</w:t>
      </w:r>
    </w:p>
    <w:p w14:paraId="1E8545F3" w14:textId="77777777" w:rsidR="00584401" w:rsidRPr="00FA17A0" w:rsidRDefault="00525466" w:rsidP="00584401">
      <w:pPr>
        <w:ind w:left="720"/>
        <w:rPr>
          <w:i/>
        </w:rPr>
      </w:pPr>
      <w:r>
        <w:rPr>
          <w:i/>
        </w:rPr>
        <w:t>Inflectra</w:t>
      </w:r>
      <w:r w:rsidR="00584401" w:rsidRPr="00FA17A0">
        <w:rPr>
          <w:i/>
        </w:rPr>
        <w:t xml:space="preserve"> is indicated for reducing the number of draining </w:t>
      </w:r>
      <w:proofErr w:type="spellStart"/>
      <w:r w:rsidR="00584401" w:rsidRPr="00FA17A0">
        <w:rPr>
          <w:i/>
        </w:rPr>
        <w:t>enterocutaneous</w:t>
      </w:r>
      <w:proofErr w:type="spellEnd"/>
      <w:r w:rsidR="00584401" w:rsidRPr="00FA17A0">
        <w:rPr>
          <w:i/>
        </w:rPr>
        <w:t xml:space="preserve"> and rectovaginal fistulas and maintaining fistula closure in adult patients.</w:t>
      </w:r>
    </w:p>
    <w:p w14:paraId="79D9333F" w14:textId="77777777" w:rsidR="00584401" w:rsidRDefault="00584401" w:rsidP="00584401">
      <w:pPr>
        <w:ind w:left="720"/>
        <w:rPr>
          <w:i/>
        </w:rPr>
      </w:pPr>
      <w:r w:rsidRPr="00FA17A0">
        <w:rPr>
          <w:i/>
        </w:rPr>
        <w:t>Ulcerative colitis in Adults and in Children and adolescents (6 to 17 years)</w:t>
      </w:r>
    </w:p>
    <w:p w14:paraId="1C8FEC07" w14:textId="77777777" w:rsidR="00584401" w:rsidRPr="00FA17A0" w:rsidRDefault="00525466" w:rsidP="00584401">
      <w:pPr>
        <w:ind w:left="720"/>
        <w:rPr>
          <w:i/>
        </w:rPr>
      </w:pPr>
      <w:r>
        <w:rPr>
          <w:i/>
        </w:rPr>
        <w:t>Inflectra</w:t>
      </w:r>
      <w:r w:rsidR="00584401" w:rsidRPr="00FA17A0">
        <w:rPr>
          <w:i/>
        </w:rPr>
        <w:t xml:space="preserve"> is indicated for the treatment of moderately severe to severe active ulcerative colitis in patients who have had an inadequate response to conventional therapy.</w:t>
      </w:r>
    </w:p>
    <w:p w14:paraId="585E90FF" w14:textId="77777777" w:rsidR="00584401" w:rsidRDefault="00584401" w:rsidP="00584401">
      <w:r w:rsidRPr="001B07B1">
        <w:t xml:space="preserve">On balance </w:t>
      </w:r>
      <w:r>
        <w:t>t</w:t>
      </w:r>
      <w:r w:rsidRPr="008F5C8C">
        <w:t xml:space="preserve">he clinical </w:t>
      </w:r>
      <w:r>
        <w:t>unit</w:t>
      </w:r>
      <w:r w:rsidRPr="008F5C8C">
        <w:t xml:space="preserve"> 4 reviewer </w:t>
      </w:r>
      <w:r w:rsidRPr="001B07B1">
        <w:t xml:space="preserve">would be prepared to recommend (to the TGA Delegate) approval of the psoriasis indication, if there is satisfactory evidence of efficacy and safety in the RA and AS target populations (for example if the imbalance in active TB can be shown to be unrelated to a differential impact on immunosuppression; also if the issue of model sensitivity is addressed sufficiently). </w:t>
      </w:r>
      <w:r>
        <w:t>The clinical unit 4 reviewer’s</w:t>
      </w:r>
      <w:r w:rsidRPr="001B07B1">
        <w:t xml:space="preserve"> recommendation is also contingent upon the views of the ACPM concerning the </w:t>
      </w:r>
      <w:proofErr w:type="spellStart"/>
      <w:r w:rsidRPr="008F5C8C">
        <w:t>FcγRIIIa</w:t>
      </w:r>
      <w:proofErr w:type="spellEnd"/>
      <w:r w:rsidRPr="001B07B1">
        <w:t>/ ADCC issue relating to psoriasis.</w:t>
      </w:r>
    </w:p>
    <w:p w14:paraId="3EED7947" w14:textId="77777777" w:rsidR="00584401" w:rsidRPr="00584401" w:rsidRDefault="00584401" w:rsidP="00584401">
      <w:r>
        <w:t>The clinical unit 4 reviewer</w:t>
      </w:r>
      <w:r w:rsidRPr="008F5C8C">
        <w:t xml:space="preserve"> </w:t>
      </w:r>
      <w:r>
        <w:t>is</w:t>
      </w:r>
      <w:r w:rsidRPr="008F5C8C">
        <w:t xml:space="preserve"> not in a position to say, at this time, that the product should be approved for treatment of adult patients with moderate to severe plaque psoriasis for whom phototherapy or conventional systemic treatments have been inadequate or are inappropriate. This is because approval in psoriasis depends upon approval in other indications.</w:t>
      </w:r>
    </w:p>
    <w:p w14:paraId="37526F30" w14:textId="77777777" w:rsidR="00D23139" w:rsidRDefault="00D23139" w:rsidP="00D23139">
      <w:pPr>
        <w:pStyle w:val="Heading4"/>
      </w:pPr>
      <w:r w:rsidRPr="00D23139">
        <w:t>Request for ACPM advice</w:t>
      </w:r>
      <w:r w:rsidR="00DB36BA">
        <w:t xml:space="preserve"> (April 2015 ACPM meeting)</w:t>
      </w:r>
    </w:p>
    <w:p w14:paraId="70804878" w14:textId="77777777" w:rsidR="00DB36BA" w:rsidRPr="00250776" w:rsidRDefault="00DB36BA" w:rsidP="00DB36BA">
      <w:r w:rsidRPr="00250776">
        <w:t>The committee is requested to provide advice on the following specific issues. Please note that the committee is also requested to provide advice on the matters raised in</w:t>
      </w:r>
      <w:r>
        <w:t xml:space="preserve"> the sections of advice from clinical evaluation unit 1 and clinical evaluation unit 4</w:t>
      </w:r>
      <w:r w:rsidRPr="00250776">
        <w:t>.</w:t>
      </w:r>
    </w:p>
    <w:p w14:paraId="0469211A" w14:textId="77777777" w:rsidR="00DB36BA" w:rsidRPr="00250776" w:rsidRDefault="00DB36BA" w:rsidP="00654E1B">
      <w:pPr>
        <w:pStyle w:val="Numberbullet0"/>
        <w:numPr>
          <w:ilvl w:val="0"/>
          <w:numId w:val="16"/>
        </w:numPr>
      </w:pPr>
      <w:r w:rsidRPr="00250776">
        <w:t>Is the difference in pharmacokinetic results for the antibody positive population in study CT-P13 1.1 in patients with ankylosing spondylitis of clinical concern?</w:t>
      </w:r>
    </w:p>
    <w:p w14:paraId="50279F83" w14:textId="77777777" w:rsidR="00DB36BA" w:rsidRPr="00250776" w:rsidRDefault="00DB36BA" w:rsidP="00654E1B">
      <w:pPr>
        <w:pStyle w:val="Numberbullet0"/>
        <w:numPr>
          <w:ilvl w:val="0"/>
          <w:numId w:val="16"/>
        </w:numPr>
      </w:pPr>
      <w:r w:rsidRPr="00250776">
        <w:t>Is there sufficient clinical trial evidence of similarity to support the indications relating to rheumatoid arthritis and ankylosing spondylitis for this biosimilar infliximab?</w:t>
      </w:r>
    </w:p>
    <w:p w14:paraId="1B1F3FDB" w14:textId="77777777" w:rsidR="00DB36BA" w:rsidRPr="00250776" w:rsidRDefault="00DB36BA" w:rsidP="00654E1B">
      <w:pPr>
        <w:pStyle w:val="Numberbullet0"/>
        <w:numPr>
          <w:ilvl w:val="0"/>
          <w:numId w:val="16"/>
        </w:numPr>
      </w:pPr>
      <w:r w:rsidRPr="00250776">
        <w:t>Is there sufficient evidence with regard to pathophysiology, mechanism of action of infliximab and from the similarity in clinical trial evidence in rheumatoid arthritis and ankylosing spondylitis to support extrapolation of the data to the indi</w:t>
      </w:r>
      <w:r>
        <w:t>cation of psoriatic arthritis?</w:t>
      </w:r>
    </w:p>
    <w:p w14:paraId="18E1712E" w14:textId="77777777" w:rsidR="00DB36BA" w:rsidRPr="00250776" w:rsidRDefault="00DB36BA" w:rsidP="00654E1B">
      <w:pPr>
        <w:pStyle w:val="Numberbullet0"/>
        <w:numPr>
          <w:ilvl w:val="0"/>
          <w:numId w:val="16"/>
        </w:numPr>
      </w:pPr>
      <w:r w:rsidRPr="00250776">
        <w:t>What are ACPM’s views regarding the differential rates of both serious pneumonia and TB in the CT-P13 clinical trial programme?</w:t>
      </w:r>
      <w:r>
        <w:t xml:space="preserve"> </w:t>
      </w:r>
      <w:r w:rsidRPr="00250776">
        <w:t>Is the incidence of TB and serious pneumonia observed within the expected range?</w:t>
      </w:r>
      <w:r>
        <w:t xml:space="preserve"> </w:t>
      </w:r>
      <w:r w:rsidRPr="00250776">
        <w:t>Are the findings acceptable to conclude similarity with the safety profile of Remicade?</w:t>
      </w:r>
      <w:r>
        <w:t xml:space="preserve"> </w:t>
      </w:r>
      <w:r w:rsidRPr="00250776">
        <w:t>The reviewer</w:t>
      </w:r>
      <w:r>
        <w:t xml:space="preserve"> (clinical evaluation unit 4)</w:t>
      </w:r>
      <w:r w:rsidRPr="00250776">
        <w:t xml:space="preserve"> with regard to plaque psoriasis has also expressed concern over this issue.</w:t>
      </w:r>
    </w:p>
    <w:p w14:paraId="1BBFA32B" w14:textId="3EDABB8F" w:rsidR="00DB36BA" w:rsidRPr="00250776" w:rsidRDefault="00DB36BA" w:rsidP="00654E1B">
      <w:pPr>
        <w:pStyle w:val="Numberbullet0"/>
        <w:numPr>
          <w:ilvl w:val="0"/>
          <w:numId w:val="16"/>
        </w:numPr>
      </w:pPr>
      <w:r w:rsidRPr="00250776">
        <w:t>What are the ACPM’s views on how this product, which is a biosimilar medicine, should be communicated and reported in the PI, CMI</w:t>
      </w:r>
      <w:r w:rsidR="00CC73FE">
        <w:t xml:space="preserve"> and so on</w:t>
      </w:r>
      <w:r w:rsidRPr="00250776">
        <w:t>?</w:t>
      </w:r>
      <w:r>
        <w:t xml:space="preserve"> </w:t>
      </w:r>
      <w:r w:rsidRPr="00250776">
        <w:t xml:space="preserve">Should there be anything further, </w:t>
      </w:r>
      <w:r>
        <w:t>for example</w:t>
      </w:r>
      <w:r w:rsidRPr="00250776">
        <w:t xml:space="preserve"> educational material?</w:t>
      </w:r>
    </w:p>
    <w:p w14:paraId="21E3579A" w14:textId="77777777" w:rsidR="00DB36BA" w:rsidRPr="00CF1FDF" w:rsidRDefault="00DB36BA" w:rsidP="00654E1B">
      <w:pPr>
        <w:pStyle w:val="Numberbullet0"/>
        <w:numPr>
          <w:ilvl w:val="0"/>
          <w:numId w:val="16"/>
        </w:numPr>
      </w:pPr>
      <w:r w:rsidRPr="00CF1FDF">
        <w:lastRenderedPageBreak/>
        <w:t>Has sufficient evidence and/or justification been presented to support extrapolation of the data to the indications of Crohn’s disease and ulcerative colitis</w:t>
      </w:r>
      <w:r>
        <w:t xml:space="preserve"> in both adults and children?</w:t>
      </w:r>
    </w:p>
    <w:p w14:paraId="29A48484" w14:textId="77777777" w:rsidR="00DB36BA" w:rsidRPr="00CF1FDF" w:rsidRDefault="00DB36BA" w:rsidP="00654E1B">
      <w:pPr>
        <w:pStyle w:val="Numberbullet0"/>
        <w:numPr>
          <w:ilvl w:val="0"/>
          <w:numId w:val="16"/>
        </w:numPr>
      </w:pPr>
      <w:r w:rsidRPr="00CF1FDF">
        <w:t>Has sufficient evidence and/or justification been presented to support extrapolation of the data to the indication of psoriasis?</w:t>
      </w:r>
    </w:p>
    <w:p w14:paraId="277C8011" w14:textId="77777777" w:rsidR="00DB36BA" w:rsidRPr="00CF1FDF" w:rsidRDefault="00DB36BA" w:rsidP="00654E1B">
      <w:pPr>
        <w:pStyle w:val="Numberbullet0"/>
        <w:numPr>
          <w:ilvl w:val="0"/>
          <w:numId w:val="16"/>
        </w:numPr>
      </w:pPr>
      <w:r w:rsidRPr="00CF1FDF">
        <w:t>The reviewer with regard to the indication for Crohn’s disease and ulcerative colitis has asked a number of specific questions of the ACPM. The</w:t>
      </w:r>
      <w:r>
        <w:t>se are above (in advice from clinical evaluation section 1).</w:t>
      </w:r>
    </w:p>
    <w:p w14:paraId="6E49C3EC" w14:textId="77777777" w:rsidR="00DB36BA" w:rsidRPr="00CF1FDF" w:rsidRDefault="00DB36BA" w:rsidP="00654E1B">
      <w:pPr>
        <w:pStyle w:val="Numberbullet0"/>
        <w:numPr>
          <w:ilvl w:val="0"/>
          <w:numId w:val="16"/>
        </w:numPr>
      </w:pPr>
      <w:r w:rsidRPr="00CF1FDF">
        <w:t>The reviewer with regard to the indication for plaque psoriasis has asked a number of specific questions of the ACPM. The</w:t>
      </w:r>
      <w:r>
        <w:t>se are located above (in advice from clinical evaluation unit 4).</w:t>
      </w:r>
    </w:p>
    <w:p w14:paraId="1EEE13F8" w14:textId="77777777" w:rsidR="00DB36BA" w:rsidRPr="00DB36BA" w:rsidRDefault="00DB36BA" w:rsidP="00DB36BA">
      <w:r w:rsidRPr="00CF1FDF">
        <w:t>The committee is also requested to provide advice on any other issues that it thinks may be relevant to a decision on whether or n</w:t>
      </w:r>
      <w:r>
        <w:t>ot to approve this application.</w:t>
      </w:r>
    </w:p>
    <w:p w14:paraId="798D24EA" w14:textId="21C95331" w:rsidR="00E75E97" w:rsidRDefault="00DB36BA" w:rsidP="00D23139">
      <w:pPr>
        <w:pStyle w:val="Heading4"/>
      </w:pPr>
      <w:r>
        <w:t xml:space="preserve">Response from </w:t>
      </w:r>
      <w:r w:rsidR="007F1408">
        <w:t>s</w:t>
      </w:r>
      <w:r>
        <w:t>ponsor</w:t>
      </w:r>
    </w:p>
    <w:p w14:paraId="18EB8FB3" w14:textId="77777777" w:rsidR="00CC73FE" w:rsidRDefault="00E75E97" w:rsidP="00A5194D">
      <w:pPr>
        <w:pStyle w:val="Heading4"/>
        <w:rPr>
          <w:b w:val="0"/>
          <w:bCs w:val="0"/>
        </w:rPr>
      </w:pPr>
      <w:r w:rsidRPr="00E75E97">
        <w:rPr>
          <w:b w:val="0"/>
          <w:bCs w:val="0"/>
        </w:rPr>
        <w:t>The sponsor</w:t>
      </w:r>
      <w:r>
        <w:rPr>
          <w:b w:val="0"/>
          <w:bCs w:val="0"/>
        </w:rPr>
        <w:t xml:space="preserve"> responded </w:t>
      </w:r>
      <w:r w:rsidR="00047E16">
        <w:rPr>
          <w:b w:val="0"/>
          <w:bCs w:val="0"/>
        </w:rPr>
        <w:t xml:space="preserve">to questions, providing </w:t>
      </w:r>
      <w:r>
        <w:rPr>
          <w:b w:val="0"/>
          <w:bCs w:val="0"/>
        </w:rPr>
        <w:t xml:space="preserve">additional information for consideration by the </w:t>
      </w:r>
      <w:r w:rsidRPr="00E75E97">
        <w:rPr>
          <w:b w:val="0"/>
          <w:bCs w:val="0"/>
        </w:rPr>
        <w:t>Advisory Committee</w:t>
      </w:r>
      <w:r>
        <w:rPr>
          <w:b w:val="0"/>
          <w:bCs w:val="0"/>
        </w:rPr>
        <w:t>.</w:t>
      </w:r>
    </w:p>
    <w:p w14:paraId="65599C80" w14:textId="51B14687" w:rsidR="00200B27" w:rsidRPr="00011F9A" w:rsidRDefault="00200B27" w:rsidP="00A5194D">
      <w:pPr>
        <w:pStyle w:val="Heading4"/>
      </w:pPr>
      <w:r w:rsidRPr="00011F9A">
        <w:t>Advisory Committee Considerations</w:t>
      </w:r>
      <w:r>
        <w:t xml:space="preserve"> </w:t>
      </w:r>
      <w:r w:rsidRPr="00BE5FAE">
        <w:t>April 2015 ACPM Meeting</w:t>
      </w:r>
    </w:p>
    <w:p w14:paraId="39D5D130" w14:textId="77777777" w:rsidR="00200B27" w:rsidRPr="00011F9A" w:rsidRDefault="00200B27" w:rsidP="00200B27">
      <w:r w:rsidRPr="00011F9A">
        <w:t xml:space="preserve">The </w:t>
      </w:r>
      <w:r>
        <w:t>ACPM</w:t>
      </w:r>
      <w:r w:rsidRPr="00011F9A">
        <w:t xml:space="preserve"> having considered the evaluations and the Delegate’s overview, as well as the sponsor’s response to these documents, advised the following:</w:t>
      </w:r>
    </w:p>
    <w:p w14:paraId="5AC6ED7C" w14:textId="77777777" w:rsidR="00200B27" w:rsidRPr="00011F9A" w:rsidRDefault="00200B27" w:rsidP="00200B27">
      <w:r w:rsidRPr="00011F9A">
        <w:t xml:space="preserve">The ACPM, taking into account the submitted evidence of efficacy, safety and quality, considered </w:t>
      </w:r>
      <w:r w:rsidR="00525466">
        <w:t>Inflectra</w:t>
      </w:r>
      <w:r w:rsidRPr="00011F9A">
        <w:t xml:space="preserve">, </w:t>
      </w:r>
      <w:r>
        <w:t>Emisima</w:t>
      </w:r>
      <w:r w:rsidRPr="00011F9A">
        <w:t xml:space="preserve">, </w:t>
      </w:r>
      <w:r>
        <w:t>Flixceli</w:t>
      </w:r>
      <w:r w:rsidRPr="00011F9A">
        <w:t xml:space="preserve">, </w:t>
      </w:r>
      <w:r w:rsidR="00525466">
        <w:t>Remsima</w:t>
      </w:r>
      <w:r w:rsidRPr="00011F9A">
        <w:t xml:space="preserve"> lyophilised powder, containing 100 mg of infliximab to have an overall positive benefit–risk profile for the following indications:</w:t>
      </w:r>
    </w:p>
    <w:p w14:paraId="1C91A017" w14:textId="77777777" w:rsidR="00200B27" w:rsidRPr="00011F9A" w:rsidRDefault="00200B27" w:rsidP="00200B27">
      <w:pPr>
        <w:ind w:left="720"/>
        <w:rPr>
          <w:i/>
        </w:rPr>
      </w:pPr>
      <w:r w:rsidRPr="00011F9A">
        <w:rPr>
          <w:i/>
        </w:rPr>
        <w:t xml:space="preserve">Rheumatoid Arthritis in adults </w:t>
      </w:r>
    </w:p>
    <w:p w14:paraId="19B7575E" w14:textId="77777777" w:rsidR="00200B27" w:rsidRPr="00011F9A" w:rsidRDefault="00525466" w:rsidP="00200B27">
      <w:pPr>
        <w:ind w:left="720"/>
        <w:rPr>
          <w:i/>
        </w:rPr>
      </w:pPr>
      <w:r>
        <w:rPr>
          <w:i/>
        </w:rPr>
        <w:t>Inflectra</w:t>
      </w:r>
      <w:r w:rsidR="00200B27" w:rsidRPr="00011F9A">
        <w:rPr>
          <w:i/>
        </w:rPr>
        <w:t>, in combination with methotrexate, is indicated for the reduction of signs and symptoms and prevention of structural joint damage (erosions and joint space narrowi</w:t>
      </w:r>
      <w:r w:rsidR="00200B27">
        <w:rPr>
          <w:i/>
        </w:rPr>
        <w:t>ng) in:</w:t>
      </w:r>
    </w:p>
    <w:p w14:paraId="299F6FCA" w14:textId="65364EC6" w:rsidR="00200B27" w:rsidRPr="00011F9A" w:rsidRDefault="00CC73FE" w:rsidP="00200B27">
      <w:pPr>
        <w:ind w:left="1440"/>
        <w:rPr>
          <w:i/>
        </w:rPr>
      </w:pPr>
      <w:r w:rsidRPr="00011F9A">
        <w:rPr>
          <w:i/>
        </w:rPr>
        <w:t>Patients</w:t>
      </w:r>
      <w:r w:rsidR="00200B27" w:rsidRPr="00011F9A">
        <w:rPr>
          <w:i/>
        </w:rPr>
        <w:t xml:space="preserve"> with active disease desp</w:t>
      </w:r>
      <w:r w:rsidR="00200B27">
        <w:rPr>
          <w:i/>
        </w:rPr>
        <w:t>ite treatment with methotrexate</w:t>
      </w:r>
    </w:p>
    <w:p w14:paraId="64906C86" w14:textId="5DC6D84C" w:rsidR="00200B27" w:rsidRPr="00011F9A" w:rsidRDefault="00CC73FE" w:rsidP="00200B27">
      <w:pPr>
        <w:ind w:left="1440"/>
        <w:rPr>
          <w:i/>
        </w:rPr>
      </w:pPr>
      <w:r w:rsidRPr="00011F9A">
        <w:rPr>
          <w:i/>
        </w:rPr>
        <w:t>Patients</w:t>
      </w:r>
      <w:r w:rsidR="00200B27" w:rsidRPr="00011F9A">
        <w:rPr>
          <w:i/>
        </w:rPr>
        <w:t xml:space="preserve"> with active disease who have not pr</w:t>
      </w:r>
      <w:r w:rsidR="00200B27">
        <w:rPr>
          <w:i/>
        </w:rPr>
        <w:t>eviously received methotrexate.</w:t>
      </w:r>
    </w:p>
    <w:p w14:paraId="13A05036" w14:textId="77777777" w:rsidR="00200B27" w:rsidRPr="00011F9A" w:rsidRDefault="00525466" w:rsidP="00200B27">
      <w:pPr>
        <w:ind w:left="720"/>
        <w:rPr>
          <w:i/>
        </w:rPr>
      </w:pPr>
      <w:r>
        <w:rPr>
          <w:i/>
        </w:rPr>
        <w:t>Inflectra</w:t>
      </w:r>
      <w:r w:rsidR="00200B27" w:rsidRPr="00011F9A">
        <w:rPr>
          <w:i/>
        </w:rPr>
        <w:t xml:space="preserve"> should be given in combination with methotrexate. Efficacy and safety in Rheumatoid Arthritis have been demonstrated only in</w:t>
      </w:r>
      <w:r w:rsidR="00200B27">
        <w:rPr>
          <w:i/>
        </w:rPr>
        <w:t xml:space="preserve"> combination with methotrexate.</w:t>
      </w:r>
    </w:p>
    <w:p w14:paraId="0831E0F1" w14:textId="77777777" w:rsidR="00200B27" w:rsidRPr="00011F9A" w:rsidRDefault="00200B27" w:rsidP="00200B27">
      <w:pPr>
        <w:ind w:left="720"/>
        <w:rPr>
          <w:i/>
        </w:rPr>
      </w:pPr>
      <w:r>
        <w:rPr>
          <w:i/>
        </w:rPr>
        <w:t>Ankylosing Spondylitis</w:t>
      </w:r>
    </w:p>
    <w:p w14:paraId="7C8F2F4D" w14:textId="77777777" w:rsidR="00200B27" w:rsidRPr="00011F9A" w:rsidRDefault="00525466" w:rsidP="00200B27">
      <w:pPr>
        <w:ind w:left="720"/>
        <w:rPr>
          <w:i/>
        </w:rPr>
      </w:pPr>
      <w:r>
        <w:rPr>
          <w:i/>
        </w:rPr>
        <w:t>Inflectra</w:t>
      </w:r>
      <w:r w:rsidR="00200B27" w:rsidRPr="00011F9A">
        <w:rPr>
          <w:i/>
        </w:rPr>
        <w:t xml:space="preserve"> is indicated for the reduction of signs and symptoms and improvement in physical function i</w:t>
      </w:r>
      <w:r w:rsidR="00200B27">
        <w:rPr>
          <w:i/>
        </w:rPr>
        <w:t>n patients with active disease.</w:t>
      </w:r>
    </w:p>
    <w:p w14:paraId="1C168E31" w14:textId="77777777" w:rsidR="00200B27" w:rsidRPr="00011F9A" w:rsidRDefault="00200B27" w:rsidP="00200B27">
      <w:pPr>
        <w:ind w:left="720"/>
        <w:rPr>
          <w:i/>
        </w:rPr>
      </w:pPr>
      <w:r>
        <w:rPr>
          <w:i/>
        </w:rPr>
        <w:t>Psoriatic arthritis</w:t>
      </w:r>
    </w:p>
    <w:p w14:paraId="2859B2F6" w14:textId="77777777" w:rsidR="00200B27" w:rsidRPr="00011F9A" w:rsidRDefault="00525466" w:rsidP="00200B27">
      <w:pPr>
        <w:ind w:left="720"/>
        <w:rPr>
          <w:i/>
        </w:rPr>
      </w:pPr>
      <w:r>
        <w:rPr>
          <w:i/>
        </w:rPr>
        <w:t>Inflectra</w:t>
      </w:r>
      <w:r w:rsidR="00200B27" w:rsidRPr="00011F9A">
        <w:rPr>
          <w:i/>
        </w:rPr>
        <w:t xml:space="preserve"> is indicated for the treatment of the signs and symptoms, as well as for the improvement in physical function in adult patients with active and progressive psoriatic arthritis who have responded inadequately to disease-modifying anti-</w:t>
      </w:r>
      <w:r w:rsidR="00200B27">
        <w:rPr>
          <w:i/>
        </w:rPr>
        <w:t>rheumatic drug (DMARD) therapy.</w:t>
      </w:r>
    </w:p>
    <w:p w14:paraId="143353F2" w14:textId="77777777" w:rsidR="00200B27" w:rsidRPr="00011F9A" w:rsidRDefault="00525466" w:rsidP="00200B27">
      <w:pPr>
        <w:ind w:left="720"/>
        <w:rPr>
          <w:i/>
        </w:rPr>
      </w:pPr>
      <w:r>
        <w:rPr>
          <w:i/>
        </w:rPr>
        <w:t>Inflectra</w:t>
      </w:r>
      <w:r w:rsidR="00200B27" w:rsidRPr="00011F9A">
        <w:rPr>
          <w:i/>
        </w:rPr>
        <w:t xml:space="preserve"> may be administered in</w:t>
      </w:r>
      <w:r w:rsidR="00200B27">
        <w:rPr>
          <w:i/>
        </w:rPr>
        <w:t xml:space="preserve"> combination with methotrexate.</w:t>
      </w:r>
    </w:p>
    <w:p w14:paraId="102836D2" w14:textId="77777777" w:rsidR="00200B27" w:rsidRPr="00011F9A" w:rsidRDefault="00200B27" w:rsidP="00200B27">
      <w:pPr>
        <w:ind w:left="720"/>
        <w:rPr>
          <w:i/>
        </w:rPr>
      </w:pPr>
      <w:r>
        <w:rPr>
          <w:i/>
        </w:rPr>
        <w:t>Psoriasis</w:t>
      </w:r>
    </w:p>
    <w:p w14:paraId="71CBC9D6" w14:textId="77777777" w:rsidR="00200B27" w:rsidRPr="00011F9A" w:rsidRDefault="00525466" w:rsidP="00200B27">
      <w:pPr>
        <w:ind w:left="720"/>
        <w:rPr>
          <w:i/>
        </w:rPr>
      </w:pPr>
      <w:r>
        <w:rPr>
          <w:i/>
        </w:rPr>
        <w:lastRenderedPageBreak/>
        <w:t>Inflectra</w:t>
      </w:r>
      <w:r w:rsidR="00200B27" w:rsidRPr="00011F9A">
        <w:rPr>
          <w:i/>
        </w:rPr>
        <w:t xml:space="preserve"> is indicated for the treatment of adult patients with moderate to severe plaque psoriasis for whom phototherapy or conventional systemic treatments have been inadequate or are inappropriate. Safety and efficacy beyond 12 mo</w:t>
      </w:r>
      <w:r w:rsidR="00200B27">
        <w:rPr>
          <w:i/>
        </w:rPr>
        <w:t>nths have not been established.</w:t>
      </w:r>
    </w:p>
    <w:p w14:paraId="320B15BF" w14:textId="77777777" w:rsidR="00200B27" w:rsidRPr="00011F9A" w:rsidRDefault="00200B27" w:rsidP="00200B27">
      <w:r w:rsidRPr="00011F9A">
        <w:t xml:space="preserve">The ACPM, taking into account the submitted evidence of pharmaceutical quality, safety and efficacy considered </w:t>
      </w:r>
      <w:r w:rsidR="00525466">
        <w:t>Inflectra</w:t>
      </w:r>
      <w:r w:rsidRPr="00011F9A">
        <w:t xml:space="preserve">, </w:t>
      </w:r>
      <w:r>
        <w:t>Emisima</w:t>
      </w:r>
      <w:r w:rsidRPr="00011F9A">
        <w:t xml:space="preserve">, </w:t>
      </w:r>
      <w:r>
        <w:t>Flixceli</w:t>
      </w:r>
      <w:r w:rsidRPr="00011F9A">
        <w:t xml:space="preserve">, </w:t>
      </w:r>
      <w:r>
        <w:t>Inflectra</w:t>
      </w:r>
      <w:r w:rsidRPr="00011F9A">
        <w:t xml:space="preserve"> lyophilised powder, containing 100 mg of infliximab has a negative benefit-risk profile for the proposed indications:</w:t>
      </w:r>
    </w:p>
    <w:p w14:paraId="6E4E15BA" w14:textId="77777777" w:rsidR="00200B27" w:rsidRPr="00011F9A" w:rsidRDefault="00200B27" w:rsidP="00200B27">
      <w:pPr>
        <w:ind w:left="720"/>
        <w:rPr>
          <w:i/>
        </w:rPr>
      </w:pPr>
      <w:r w:rsidRPr="00011F9A">
        <w:rPr>
          <w:i/>
        </w:rPr>
        <w:t xml:space="preserve">Crohn’s Disease in Adults and in Children </w:t>
      </w:r>
      <w:r>
        <w:rPr>
          <w:i/>
        </w:rPr>
        <w:t>and adolescents (6 to 17 years)</w:t>
      </w:r>
    </w:p>
    <w:p w14:paraId="44A47C80" w14:textId="77777777" w:rsidR="00200B27" w:rsidRPr="00011F9A" w:rsidRDefault="00525466" w:rsidP="00200B27">
      <w:pPr>
        <w:ind w:left="720"/>
        <w:rPr>
          <w:i/>
        </w:rPr>
      </w:pPr>
      <w:r>
        <w:rPr>
          <w:i/>
        </w:rPr>
        <w:t>Inflectra</w:t>
      </w:r>
      <w:r w:rsidR="00200B27" w:rsidRPr="00011F9A">
        <w:rPr>
          <w:i/>
        </w:rPr>
        <w:t xml:space="preserve"> is indicated for the treatment of moderate to severe Crohn’s disease, to reduce the signs and symptoms and to induce and maintain clinical remission in patients who have an inadequate response to conventional therapies.</w:t>
      </w:r>
    </w:p>
    <w:p w14:paraId="7549251F" w14:textId="77777777" w:rsidR="00200B27" w:rsidRPr="00011F9A" w:rsidRDefault="00200B27" w:rsidP="00200B27">
      <w:pPr>
        <w:ind w:left="720"/>
        <w:rPr>
          <w:i/>
        </w:rPr>
      </w:pPr>
      <w:r w:rsidRPr="00011F9A">
        <w:rPr>
          <w:i/>
        </w:rPr>
        <w:t>Refract</w:t>
      </w:r>
      <w:r>
        <w:rPr>
          <w:i/>
        </w:rPr>
        <w:t>ory Fistulising Crohn’s Disease</w:t>
      </w:r>
    </w:p>
    <w:p w14:paraId="12220250" w14:textId="77777777" w:rsidR="00200B27" w:rsidRPr="00011F9A" w:rsidRDefault="00525466" w:rsidP="00200B27">
      <w:pPr>
        <w:ind w:left="720"/>
        <w:rPr>
          <w:i/>
        </w:rPr>
      </w:pPr>
      <w:r>
        <w:rPr>
          <w:i/>
        </w:rPr>
        <w:t>Inflectra</w:t>
      </w:r>
      <w:r w:rsidR="00200B27" w:rsidRPr="00011F9A">
        <w:rPr>
          <w:i/>
        </w:rPr>
        <w:t xml:space="preserve"> is indicated for reducing the number of draining </w:t>
      </w:r>
      <w:proofErr w:type="spellStart"/>
      <w:r w:rsidR="00200B27" w:rsidRPr="00011F9A">
        <w:rPr>
          <w:i/>
        </w:rPr>
        <w:t>enterocutaneous</w:t>
      </w:r>
      <w:proofErr w:type="spellEnd"/>
      <w:r w:rsidR="00200B27" w:rsidRPr="00011F9A">
        <w:rPr>
          <w:i/>
        </w:rPr>
        <w:t xml:space="preserve"> and rectovaginal fistulas and maintaining fistula closure in adult patients. </w:t>
      </w:r>
    </w:p>
    <w:p w14:paraId="3DBF67D7" w14:textId="77777777" w:rsidR="00200B27" w:rsidRPr="00011F9A" w:rsidRDefault="00200B27" w:rsidP="00200B27">
      <w:pPr>
        <w:ind w:left="720"/>
        <w:rPr>
          <w:i/>
        </w:rPr>
      </w:pPr>
      <w:r w:rsidRPr="00011F9A">
        <w:rPr>
          <w:i/>
        </w:rPr>
        <w:t xml:space="preserve">Ulcerative colitis in Adults and in Children and adolescents (6 to 17 years) </w:t>
      </w:r>
    </w:p>
    <w:p w14:paraId="72FF8675" w14:textId="77777777" w:rsidR="00200B27" w:rsidRPr="00011F9A" w:rsidRDefault="00525466" w:rsidP="00200B27">
      <w:pPr>
        <w:ind w:left="720"/>
        <w:rPr>
          <w:i/>
        </w:rPr>
      </w:pPr>
      <w:r>
        <w:rPr>
          <w:i/>
        </w:rPr>
        <w:t>Inflectra</w:t>
      </w:r>
      <w:r w:rsidR="00200B27" w:rsidRPr="00011F9A">
        <w:rPr>
          <w:i/>
        </w:rPr>
        <w:t xml:space="preserve"> is indicated for the treatment of moderately severe to severe active ulcerative colitis in patients who have had an inadequate response to conventional therapy.</w:t>
      </w:r>
    </w:p>
    <w:p w14:paraId="4FD63129" w14:textId="77777777" w:rsidR="00200B27" w:rsidRPr="00011F9A" w:rsidRDefault="00200B27" w:rsidP="00200B27">
      <w:r w:rsidRPr="00011F9A">
        <w:t>In making both these recommendations the ACPM:</w:t>
      </w:r>
    </w:p>
    <w:p w14:paraId="6728D912" w14:textId="77777777" w:rsidR="00200B27" w:rsidRPr="00011F9A" w:rsidRDefault="00200B27" w:rsidP="00200B27">
      <w:pPr>
        <w:pStyle w:val="ListBullet"/>
      </w:pPr>
      <w:r>
        <w:t>The ACPM w</w:t>
      </w:r>
      <w:r w:rsidRPr="00011F9A">
        <w:t xml:space="preserve">as of the view that there are differences in the chemical qualities and purity of </w:t>
      </w:r>
      <w:r w:rsidR="00525466">
        <w:t>Inflectra</w:t>
      </w:r>
      <w:r w:rsidRPr="00011F9A">
        <w:t xml:space="preserve"> and </w:t>
      </w:r>
      <w:r>
        <w:t>Remicade</w:t>
      </w:r>
      <w:r w:rsidRPr="00011F9A">
        <w:t xml:space="preserve"> which could reasonably not be anticipated to result in clinically meaningful differences in efficacy, PK, immunog</w:t>
      </w:r>
      <w:r>
        <w:t xml:space="preserve">enicity and safety between the two medicines. However, </w:t>
      </w:r>
      <w:proofErr w:type="spellStart"/>
      <w:r>
        <w:t xml:space="preserve">non </w:t>
      </w:r>
      <w:r w:rsidRPr="00011F9A">
        <w:t>inferior</w:t>
      </w:r>
      <w:proofErr w:type="spellEnd"/>
      <w:r w:rsidRPr="00011F9A">
        <w:t xml:space="preserve"> efficacy of </w:t>
      </w:r>
      <w:r w:rsidR="00525466">
        <w:t>Inflectra</w:t>
      </w:r>
      <w:r w:rsidRPr="00011F9A">
        <w:t xml:space="preserve"> ha</w:t>
      </w:r>
      <w:r>
        <w:t>s been established only for RA.</w:t>
      </w:r>
    </w:p>
    <w:p w14:paraId="251C65F3" w14:textId="77777777" w:rsidR="00200B27" w:rsidRPr="00011F9A" w:rsidRDefault="00200B27" w:rsidP="00200B27">
      <w:pPr>
        <w:pStyle w:val="ListBullet"/>
      </w:pPr>
      <w:r>
        <w:t>The ACPM c</w:t>
      </w:r>
      <w:r w:rsidRPr="00011F9A">
        <w:t xml:space="preserve">onsidered extrapolation is possible to </w:t>
      </w:r>
      <w:r>
        <w:t>AS</w:t>
      </w:r>
      <w:r w:rsidRPr="00011F9A">
        <w:t xml:space="preserve">, </w:t>
      </w:r>
      <w:proofErr w:type="spellStart"/>
      <w:r>
        <w:t>PsA</w:t>
      </w:r>
      <w:proofErr w:type="spellEnd"/>
      <w:r w:rsidRPr="00011F9A">
        <w:t xml:space="preserve"> and </w:t>
      </w:r>
      <w:r w:rsidRPr="00BE5FAE">
        <w:t>psoriasis</w:t>
      </w:r>
      <w:r w:rsidRPr="00011F9A">
        <w:t>.</w:t>
      </w:r>
    </w:p>
    <w:p w14:paraId="4D7FF005" w14:textId="77777777" w:rsidR="00200B27" w:rsidRPr="00011F9A" w:rsidRDefault="00200B27" w:rsidP="00200B27">
      <w:pPr>
        <w:pStyle w:val="ListBullet"/>
      </w:pPr>
      <w:r>
        <w:t>The ACPM n</w:t>
      </w:r>
      <w:r w:rsidRPr="00011F9A">
        <w:t xml:space="preserve">oted the comparative data on PK, PD </w:t>
      </w:r>
      <w:r>
        <w:t>and immunogenicity are limited.</w:t>
      </w:r>
    </w:p>
    <w:p w14:paraId="4027DA5D" w14:textId="77777777" w:rsidR="00200B27" w:rsidRPr="00011F9A" w:rsidRDefault="00200B27" w:rsidP="00200B27">
      <w:pPr>
        <w:pStyle w:val="ListBullet"/>
      </w:pPr>
      <w:r w:rsidRPr="00BE5FAE">
        <w:t>The ACPM noted</w:t>
      </w:r>
      <w:r w:rsidRPr="00011F9A">
        <w:t xml:space="preserve"> it has not been established that the role of TNFα in </w:t>
      </w:r>
      <w:r>
        <w:t>CD</w:t>
      </w:r>
      <w:r w:rsidRPr="00011F9A">
        <w:t xml:space="preserve"> and </w:t>
      </w:r>
      <w:r>
        <w:t>UC</w:t>
      </w:r>
      <w:r w:rsidRPr="00011F9A">
        <w:t xml:space="preserve"> is identical to that in </w:t>
      </w:r>
      <w:r>
        <w:t>RA</w:t>
      </w:r>
      <w:r w:rsidRPr="00011F9A">
        <w:t>.</w:t>
      </w:r>
    </w:p>
    <w:p w14:paraId="53F106DD" w14:textId="6479FA90" w:rsidR="00200B27" w:rsidRPr="00011F9A" w:rsidRDefault="00200B27" w:rsidP="00200B27">
      <w:pPr>
        <w:pStyle w:val="ListBullet"/>
      </w:pPr>
      <w:r w:rsidRPr="00BE5FAE">
        <w:t xml:space="preserve">The ACPM noted </w:t>
      </w:r>
      <w:r>
        <w:t>t</w:t>
      </w:r>
      <w:r w:rsidRPr="00011F9A">
        <w:t xml:space="preserve">he application proposes a dose of </w:t>
      </w:r>
      <w:r w:rsidR="00525466">
        <w:t>Inflectra</w:t>
      </w:r>
      <w:r w:rsidRPr="00011F9A">
        <w:t xml:space="preserve"> in </w:t>
      </w:r>
      <w:r>
        <w:t>inflammatory bowel disease</w:t>
      </w:r>
      <w:r w:rsidRPr="00011F9A">
        <w:t xml:space="preserve"> indications of 5 mg/</w:t>
      </w:r>
      <w:r w:rsidR="00CC73FE" w:rsidRPr="00011F9A">
        <w:t>kg, which</w:t>
      </w:r>
      <w:r w:rsidRPr="00011F9A">
        <w:t xml:space="preserve"> may be increased to 10 mg under certain circumstances. However, the </w:t>
      </w:r>
      <w:r w:rsidR="00525466">
        <w:t>Inflectra</w:t>
      </w:r>
      <w:r w:rsidRPr="00011F9A">
        <w:t xml:space="preserve"> clinical trial programme did not utilise doses over 5 mg/kg for any patients.</w:t>
      </w:r>
    </w:p>
    <w:p w14:paraId="60A12765" w14:textId="77777777" w:rsidR="00200B27" w:rsidRPr="00011F9A" w:rsidRDefault="00200B27" w:rsidP="00200B27">
      <w:pPr>
        <w:pStyle w:val="ListBullet"/>
      </w:pPr>
      <w:r w:rsidRPr="00011F9A">
        <w:t xml:space="preserve">In the absence of efficacy and safety data on the use of </w:t>
      </w:r>
      <w:r w:rsidR="00525466">
        <w:t>Inflectra</w:t>
      </w:r>
      <w:r w:rsidRPr="00011F9A">
        <w:t xml:space="preserve">, particularly in children and adolescents with </w:t>
      </w:r>
      <w:r>
        <w:t>inflammatory bowel disease</w:t>
      </w:r>
      <w:r w:rsidRPr="00011F9A">
        <w:t xml:space="preserve">, the ACPM considered the dossier does not contain sufficient data to extend </w:t>
      </w:r>
      <w:r w:rsidR="00525466">
        <w:t>Inflectra</w:t>
      </w:r>
      <w:r w:rsidRPr="00011F9A">
        <w:t xml:space="preserve"> use to </w:t>
      </w:r>
      <w:r>
        <w:t>inflammatory bowel disease</w:t>
      </w:r>
      <w:r w:rsidRPr="00011F9A">
        <w:t xml:space="preserve"> indications.</w:t>
      </w:r>
    </w:p>
    <w:p w14:paraId="2171491A" w14:textId="0D3F3B6A" w:rsidR="00200B27" w:rsidRPr="00011F9A" w:rsidRDefault="00200B27" w:rsidP="00200B27">
      <w:pPr>
        <w:pStyle w:val="ListBullet"/>
      </w:pPr>
      <w:r>
        <w:t>The ACPM c</w:t>
      </w:r>
      <w:r w:rsidRPr="00011F9A">
        <w:t xml:space="preserve">onsidered the properties of two anti-TNF </w:t>
      </w:r>
      <w:r w:rsidR="00CC73FE" w:rsidRPr="00011F9A">
        <w:t>agents, which</w:t>
      </w:r>
      <w:r w:rsidRPr="00011F9A">
        <w:t xml:space="preserve"> are not intact immunoglobulin molecules. It was noted that </w:t>
      </w:r>
      <w:proofErr w:type="spellStart"/>
      <w:r w:rsidRPr="00011F9A">
        <w:t>certolizumab</w:t>
      </w:r>
      <w:proofErr w:type="spellEnd"/>
      <w:r w:rsidRPr="00011F9A">
        <w:t xml:space="preserve"> pegol is a PEGylated Fab′ fragment of humanised anti</w:t>
      </w:r>
      <w:r>
        <w:t xml:space="preserve">-TNF and thus cannot mediate Fc </w:t>
      </w:r>
      <w:r w:rsidRPr="00011F9A">
        <w:t xml:space="preserve">related functions and thus </w:t>
      </w:r>
      <w:r>
        <w:t xml:space="preserve">cannot mediate ADCC, complement </w:t>
      </w:r>
      <w:r w:rsidRPr="00011F9A">
        <w:t xml:space="preserve">mediated cytotoxicity or reverse signalling through cell bound TNFα. Certolizumab pegol has not been approved by TGA for use in </w:t>
      </w:r>
      <w:r>
        <w:t>inflammatory bowel disease</w:t>
      </w:r>
      <w:r w:rsidRPr="00011F9A">
        <w:t xml:space="preserve"> but is considered to be effective in these disorders. This suggests that ADCC may not be important in the diseases in which </w:t>
      </w:r>
      <w:proofErr w:type="spellStart"/>
      <w:r w:rsidRPr="00011F9A">
        <w:t>certolizumab</w:t>
      </w:r>
      <w:proofErr w:type="spellEnd"/>
      <w:r w:rsidRPr="00011F9A">
        <w:t xml:space="preserve"> is effective. However, </w:t>
      </w:r>
      <w:proofErr w:type="spellStart"/>
      <w:r w:rsidRPr="00011F9A">
        <w:t>etanercept</w:t>
      </w:r>
      <w:proofErr w:type="spellEnd"/>
      <w:r w:rsidRPr="00011F9A">
        <w:t xml:space="preserve">, derived from TNF receptor and which does not mediate reverse signalling or Fc related functions has not been shown to be effective in </w:t>
      </w:r>
      <w:r>
        <w:t>inflammatory bowel disease</w:t>
      </w:r>
      <w:r w:rsidRPr="00011F9A">
        <w:t xml:space="preserve"> and is not licensed in any jurisdiction for </w:t>
      </w:r>
      <w:r>
        <w:t xml:space="preserve">inflammatory </w:t>
      </w:r>
      <w:r>
        <w:lastRenderedPageBreak/>
        <w:t>bowel disease</w:t>
      </w:r>
      <w:r w:rsidRPr="00011F9A">
        <w:t xml:space="preserve"> indications. It does therefore remain possible that these functions are </w:t>
      </w:r>
      <w:r>
        <w:t xml:space="preserve">important in the action of anti </w:t>
      </w:r>
      <w:r w:rsidRPr="00011F9A">
        <w:t xml:space="preserve">TNFα agents in </w:t>
      </w:r>
      <w:r>
        <w:t>inflammatory bowel disease</w:t>
      </w:r>
      <w:r w:rsidRPr="00011F9A">
        <w:t xml:space="preserve">. It is therefore difficult to extrapolate the efficacy of </w:t>
      </w:r>
      <w:r w:rsidR="00525466">
        <w:t>Inflectra</w:t>
      </w:r>
      <w:r w:rsidRPr="00011F9A">
        <w:t xml:space="preserve"> from RA, in which reverse signalling and Fc related activities are not important, to </w:t>
      </w:r>
      <w:r>
        <w:t>inflammatory bowel disease</w:t>
      </w:r>
      <w:r w:rsidRPr="00011F9A">
        <w:t xml:space="preserve"> where they may be</w:t>
      </w:r>
      <w:r>
        <w:t>.</w:t>
      </w:r>
    </w:p>
    <w:p w14:paraId="120E2425" w14:textId="77777777" w:rsidR="00200B27" w:rsidRPr="00011F9A" w:rsidRDefault="00200B27" w:rsidP="00200B27">
      <w:pPr>
        <w:pStyle w:val="ListBullet"/>
      </w:pPr>
      <w:r w:rsidRPr="00011F9A">
        <w:t xml:space="preserve">The ACPM noted that the 12 day half-life of </w:t>
      </w:r>
      <w:r w:rsidR="00525466">
        <w:t>Inflectra</w:t>
      </w:r>
      <w:r w:rsidRPr="00011F9A">
        <w:t xml:space="preserve"> in </w:t>
      </w:r>
      <w:r>
        <w:t>AS</w:t>
      </w:r>
      <w:r w:rsidRPr="00011F9A">
        <w:t xml:space="preserve"> is evidence of functional Fc but did not consider this sufficient clinical evidence that all Fc related functions of Remicade can be extrapolated to </w:t>
      </w:r>
      <w:r w:rsidR="00525466">
        <w:t>Inflectra</w:t>
      </w:r>
      <w:r w:rsidRPr="00011F9A">
        <w:t>.</w:t>
      </w:r>
    </w:p>
    <w:p w14:paraId="438D4DAC" w14:textId="77777777" w:rsidR="00200B27" w:rsidRPr="00011F9A" w:rsidRDefault="00200B27" w:rsidP="00A5194D">
      <w:pPr>
        <w:pStyle w:val="Heading5"/>
      </w:pPr>
      <w:r w:rsidRPr="00011F9A">
        <w:rPr>
          <w:rFonts w:eastAsia="MS Mincho"/>
        </w:rPr>
        <w:t>Proposed conditions of registration</w:t>
      </w:r>
    </w:p>
    <w:p w14:paraId="1EE99C19" w14:textId="77777777" w:rsidR="00200B27" w:rsidRPr="00011F9A" w:rsidRDefault="00200B27" w:rsidP="00200B27">
      <w:r w:rsidRPr="00011F9A">
        <w:t xml:space="preserve">The ACPM agreed with the </w:t>
      </w:r>
      <w:r>
        <w:t>Delegate</w:t>
      </w:r>
      <w:r w:rsidRPr="00011F9A">
        <w:t xml:space="preserve"> on the proposed conditions of registration and specifically advised on the inclusion of the following:</w:t>
      </w:r>
    </w:p>
    <w:p w14:paraId="0316320B" w14:textId="77777777" w:rsidR="00200B27" w:rsidRPr="00011F9A" w:rsidRDefault="00200B27" w:rsidP="00200B27">
      <w:pPr>
        <w:pStyle w:val="ListBullet"/>
      </w:pPr>
      <w:r w:rsidRPr="00011F9A">
        <w:t>Inclusion in the RMP for the sponsor to monitor the inciden</w:t>
      </w:r>
      <w:r>
        <w:t>ce of TB and serious pneumonia.</w:t>
      </w:r>
    </w:p>
    <w:p w14:paraId="058A8400" w14:textId="77777777" w:rsidR="00200B27" w:rsidRPr="00011F9A" w:rsidRDefault="00200B27" w:rsidP="00200B27">
      <w:pPr>
        <w:pStyle w:val="ListBullet"/>
      </w:pPr>
      <w:r w:rsidRPr="00011F9A">
        <w:t xml:space="preserve">Provision in the RMP to monitor for differences in efficacy between second line use in RA and use as first line therapy in RA and as therapy for </w:t>
      </w:r>
      <w:r>
        <w:t>AS</w:t>
      </w:r>
      <w:r w:rsidRPr="00011F9A">
        <w:t xml:space="preserve">, </w:t>
      </w:r>
      <w:proofErr w:type="spellStart"/>
      <w:r>
        <w:t>PsA</w:t>
      </w:r>
      <w:proofErr w:type="spellEnd"/>
      <w:r w:rsidRPr="00011F9A">
        <w:t xml:space="preserve"> and psoriasis.</w:t>
      </w:r>
    </w:p>
    <w:p w14:paraId="2DF6A9BA" w14:textId="77777777" w:rsidR="00200B27" w:rsidRPr="00011F9A" w:rsidRDefault="00200B27" w:rsidP="00A5194D">
      <w:pPr>
        <w:pStyle w:val="Heading5"/>
      </w:pPr>
      <w:r w:rsidRPr="00011F9A">
        <w:rPr>
          <w:rFonts w:eastAsia="MS Mincho"/>
        </w:rPr>
        <w:t>Proposed Product Information (PI)/Consumer Medicine Information (CMI) amendments</w:t>
      </w:r>
    </w:p>
    <w:p w14:paraId="6ADA181B" w14:textId="77777777" w:rsidR="00200B27" w:rsidRPr="00011F9A" w:rsidRDefault="00200B27" w:rsidP="00200B27">
      <w:r w:rsidRPr="00011F9A">
        <w:t xml:space="preserve">The ACPM agreed with the </w:t>
      </w:r>
      <w:r>
        <w:t>Delegate</w:t>
      </w:r>
      <w:r w:rsidRPr="00011F9A">
        <w:t xml:space="preserve"> to the proposed amendments to the </w:t>
      </w:r>
      <w:r>
        <w:t>PI and CMI</w:t>
      </w:r>
      <w:r w:rsidRPr="00011F9A">
        <w:t xml:space="preserve"> and specifically advised on</w:t>
      </w:r>
      <w:r>
        <w:t xml:space="preserve"> the inclusion of the following:</w:t>
      </w:r>
    </w:p>
    <w:p w14:paraId="4BDBA2B4" w14:textId="77777777" w:rsidR="00200B27" w:rsidRPr="00011F9A" w:rsidRDefault="00200B27" w:rsidP="00200B27">
      <w:pPr>
        <w:pStyle w:val="ListBullet"/>
      </w:pPr>
      <w:r w:rsidRPr="00011F9A">
        <w:t xml:space="preserve">The consumer should be provided with a clear explanation </w:t>
      </w:r>
      <w:r>
        <w:t>of what a biosimilar product is</w:t>
      </w:r>
    </w:p>
    <w:p w14:paraId="43FDC25C" w14:textId="77777777" w:rsidR="00200B27" w:rsidRPr="00011F9A" w:rsidRDefault="00200B27" w:rsidP="00200B27">
      <w:pPr>
        <w:pStyle w:val="ListBullet"/>
      </w:pPr>
      <w:r w:rsidRPr="00011F9A">
        <w:t>Highlight in the PI and the relevant section of the CMI the importance of TB screening and prophylaxis of TB in those patients at risk of re-activation of the disease.</w:t>
      </w:r>
    </w:p>
    <w:p w14:paraId="79161DA2" w14:textId="2CBDA6D9" w:rsidR="00200B27" w:rsidRPr="00011F9A" w:rsidRDefault="00200B27" w:rsidP="00A5194D">
      <w:pPr>
        <w:pStyle w:val="Heading5"/>
      </w:pPr>
      <w:r w:rsidRPr="00011F9A">
        <w:rPr>
          <w:rFonts w:eastAsia="MS Mincho"/>
        </w:rPr>
        <w:t xml:space="preserve">Specific </w:t>
      </w:r>
      <w:r w:rsidR="009F4AB2">
        <w:rPr>
          <w:rFonts w:eastAsia="MS Mincho"/>
        </w:rPr>
        <w:t>a</w:t>
      </w:r>
      <w:r w:rsidRPr="00011F9A">
        <w:rPr>
          <w:rFonts w:eastAsia="MS Mincho"/>
        </w:rPr>
        <w:t>dvice</w:t>
      </w:r>
    </w:p>
    <w:p w14:paraId="607BC45D" w14:textId="77777777" w:rsidR="00200B27" w:rsidRPr="00011F9A" w:rsidRDefault="00200B27" w:rsidP="00200B27">
      <w:r w:rsidRPr="00011F9A">
        <w:t>The ACPM advised the following in response to the Delegate’s specific questions on this submission:</w:t>
      </w:r>
    </w:p>
    <w:p w14:paraId="07290F03" w14:textId="77777777" w:rsidR="00200B27" w:rsidRPr="00A5194D" w:rsidRDefault="00200B27" w:rsidP="00654E1B">
      <w:pPr>
        <w:pStyle w:val="Numberbullet0"/>
        <w:numPr>
          <w:ilvl w:val="0"/>
          <w:numId w:val="24"/>
        </w:numPr>
        <w:rPr>
          <w:i/>
        </w:rPr>
      </w:pPr>
      <w:r w:rsidRPr="00A5194D">
        <w:rPr>
          <w:i/>
        </w:rPr>
        <w:t>Is the difference in pharmacokinetic results for the antibody positive population in study CT-P13 1.1 in patients with ankylosing spondylitis of clinical concern?</w:t>
      </w:r>
    </w:p>
    <w:p w14:paraId="4D3196CB" w14:textId="77777777" w:rsidR="00200B27" w:rsidRPr="00011F9A" w:rsidRDefault="00200B27" w:rsidP="00200B27">
      <w:r w:rsidRPr="00011F9A">
        <w:t xml:space="preserve">The ACPM noted that the equivalence criteria were not met because the upper bound of the </w:t>
      </w:r>
      <w:r>
        <w:t>CI</w:t>
      </w:r>
      <w:r w:rsidRPr="00011F9A">
        <w:t xml:space="preserve"> for </w:t>
      </w:r>
      <w:r>
        <w:t>AUC</w:t>
      </w:r>
      <w:r w:rsidRPr="00011F9A">
        <w:t xml:space="preserve"> was outside the pre-specified range. However, the ACPM advised that this is unlikely to impact efficacy (or safety).</w:t>
      </w:r>
    </w:p>
    <w:p w14:paraId="0272C623" w14:textId="77777777" w:rsidR="00200B27" w:rsidRPr="00C53DD2" w:rsidRDefault="00200B27" w:rsidP="00654E1B">
      <w:pPr>
        <w:pStyle w:val="Numberbullet0"/>
        <w:numPr>
          <w:ilvl w:val="0"/>
          <w:numId w:val="2"/>
        </w:numPr>
        <w:rPr>
          <w:i/>
        </w:rPr>
      </w:pPr>
      <w:r w:rsidRPr="00C53DD2">
        <w:rPr>
          <w:i/>
        </w:rPr>
        <w:t xml:space="preserve">Is there sufficient clinical trial evidence of similarity to support the indications relating to </w:t>
      </w:r>
      <w:r>
        <w:rPr>
          <w:i/>
        </w:rPr>
        <w:t>RA</w:t>
      </w:r>
      <w:r w:rsidRPr="00C53DD2">
        <w:rPr>
          <w:i/>
        </w:rPr>
        <w:t xml:space="preserve"> and </w:t>
      </w:r>
      <w:r>
        <w:rPr>
          <w:i/>
        </w:rPr>
        <w:t>AS</w:t>
      </w:r>
      <w:r w:rsidRPr="00C53DD2">
        <w:rPr>
          <w:i/>
        </w:rPr>
        <w:t xml:space="preserve"> for this biosimilar infliximab?</w:t>
      </w:r>
    </w:p>
    <w:p w14:paraId="0827DEC5" w14:textId="77777777" w:rsidR="00200B27" w:rsidRPr="00011F9A" w:rsidRDefault="00200B27" w:rsidP="00200B27">
      <w:r w:rsidRPr="00011F9A">
        <w:t xml:space="preserve">The ACPM advised that there is sufficient clinical trial evidence of similarity to support the indications relating to </w:t>
      </w:r>
      <w:r>
        <w:t>RA</w:t>
      </w:r>
      <w:r w:rsidRPr="00011F9A">
        <w:t xml:space="preserve"> and </w:t>
      </w:r>
      <w:r>
        <w:t>AS</w:t>
      </w:r>
      <w:r w:rsidRPr="00011F9A">
        <w:t xml:space="preserve"> </w:t>
      </w:r>
      <w:r>
        <w:t>for this biosimilar infliximab.</w:t>
      </w:r>
    </w:p>
    <w:p w14:paraId="7C99EBEE" w14:textId="77777777" w:rsidR="00200B27" w:rsidRPr="00C53DD2" w:rsidRDefault="00200B27" w:rsidP="00654E1B">
      <w:pPr>
        <w:pStyle w:val="Numberbullet0"/>
        <w:numPr>
          <w:ilvl w:val="0"/>
          <w:numId w:val="2"/>
        </w:numPr>
        <w:rPr>
          <w:i/>
        </w:rPr>
      </w:pPr>
      <w:r w:rsidRPr="00C53DD2">
        <w:rPr>
          <w:i/>
        </w:rPr>
        <w:t xml:space="preserve">Is there sufficient evidence with regard to pathophysiology, mechanism of action of infliximab and from the similarity in clinical trial evidence in </w:t>
      </w:r>
      <w:r>
        <w:rPr>
          <w:i/>
        </w:rPr>
        <w:t>RA</w:t>
      </w:r>
      <w:r w:rsidRPr="00C53DD2">
        <w:rPr>
          <w:i/>
        </w:rPr>
        <w:t xml:space="preserve"> and </w:t>
      </w:r>
      <w:r>
        <w:rPr>
          <w:i/>
        </w:rPr>
        <w:t>AS</w:t>
      </w:r>
      <w:r w:rsidRPr="00C53DD2">
        <w:rPr>
          <w:i/>
        </w:rPr>
        <w:t xml:space="preserve"> to support extrapolation of the data to the indication of </w:t>
      </w:r>
      <w:proofErr w:type="spellStart"/>
      <w:r>
        <w:rPr>
          <w:i/>
        </w:rPr>
        <w:t>PsA</w:t>
      </w:r>
      <w:proofErr w:type="spellEnd"/>
      <w:r w:rsidRPr="00C53DD2">
        <w:rPr>
          <w:i/>
        </w:rPr>
        <w:t>?</w:t>
      </w:r>
    </w:p>
    <w:p w14:paraId="37FCFB6B" w14:textId="77777777" w:rsidR="00200B27" w:rsidRPr="00011F9A" w:rsidRDefault="00200B27" w:rsidP="00200B27">
      <w:r w:rsidRPr="00011F9A">
        <w:t xml:space="preserve">The AS data come from study CT-P13 1.1 which was a Phase I safety, PK and PD study. The efficacy outcomes supported the extension of indication to AS since when ASAS scores were compared </w:t>
      </w:r>
      <w:r w:rsidRPr="000F245F">
        <w:t xml:space="preserve">the odds ratio for </w:t>
      </w:r>
      <w:r w:rsidRPr="00011F9A">
        <w:t>% responders was close to 1.00 in each comparison with 95% CI straddling 1.00. However, the 95% CIs were wide and outside th</w:t>
      </w:r>
      <w:r>
        <w:t>e range usually required in non-</w:t>
      </w:r>
      <w:r w:rsidRPr="00011F9A">
        <w:t>inferiority comparisons. The AS indication is thus dependent on extrapolation from RA and cannot be used for extrapolation of</w:t>
      </w:r>
      <w:r>
        <w:t xml:space="preserve"> efficacy to other indications.</w:t>
      </w:r>
    </w:p>
    <w:p w14:paraId="7F460D10" w14:textId="77777777" w:rsidR="00200B27" w:rsidRPr="00011F9A" w:rsidRDefault="00200B27" w:rsidP="00200B27">
      <w:r w:rsidRPr="00011F9A">
        <w:lastRenderedPageBreak/>
        <w:t xml:space="preserve">The ACPM accepted the evidence for RA was sufficient to conclude similarity between </w:t>
      </w:r>
      <w:r w:rsidR="00525466">
        <w:t>Inflectra</w:t>
      </w:r>
      <w:r w:rsidRPr="00011F9A">
        <w:t xml:space="preserve"> and </w:t>
      </w:r>
      <w:r>
        <w:t>Remicade</w:t>
      </w:r>
      <w:r w:rsidRPr="00011F9A">
        <w:t xml:space="preserve"> and that, given the similar mechanisms of action between RA and AS, that the data can be extrapolated to support the </w:t>
      </w:r>
      <w:proofErr w:type="spellStart"/>
      <w:r w:rsidRPr="00011F9A">
        <w:t>PsA</w:t>
      </w:r>
      <w:proofErr w:type="spellEnd"/>
      <w:r w:rsidRPr="00011F9A">
        <w:t xml:space="preserve"> indication.</w:t>
      </w:r>
    </w:p>
    <w:p w14:paraId="3D700CCF" w14:textId="77777777" w:rsidR="00200B27" w:rsidRPr="00C53DD2" w:rsidRDefault="00200B27" w:rsidP="00654E1B">
      <w:pPr>
        <w:pStyle w:val="Numberbullet0"/>
        <w:numPr>
          <w:ilvl w:val="0"/>
          <w:numId w:val="2"/>
        </w:numPr>
        <w:rPr>
          <w:i/>
        </w:rPr>
      </w:pPr>
      <w:r w:rsidRPr="00C53DD2">
        <w:rPr>
          <w:i/>
        </w:rPr>
        <w:t>What are ACPM’s views regarding the differential rates of both serious pneumonia and TB in the CT-P13 clinical trial programme? Is the incidence of TB and serious pneumonia observed within the expected range? Are the findings acceptable to conclude similarity with the safety profile of Remicade? The reviewer with regard to plaque psoriasis has also expressed concern over this issue.</w:t>
      </w:r>
    </w:p>
    <w:p w14:paraId="0EA82D8E" w14:textId="5E847FF0" w:rsidR="00200B27" w:rsidRPr="00011F9A" w:rsidRDefault="00200B27" w:rsidP="00200B27">
      <w:r w:rsidRPr="00011F9A">
        <w:t xml:space="preserve">The ACPM noted that these are a cause for concern and cannot be easily dismissed as a randomisation problem or statistical aberration and noted that infection risk </w:t>
      </w:r>
      <w:r>
        <w:t>is a recognised feature of anti</w:t>
      </w:r>
      <w:r w:rsidR="00207188">
        <w:t>-</w:t>
      </w:r>
      <w:r w:rsidRPr="00011F9A">
        <w:t xml:space="preserve">TNF use. However, the ACPM was of the view that, the difference in diagnosis of TB disease may be explained by the higher prevalence of and deficiencies and/or variability in screening for TB infection in the countries where the trial programme was conducted. Nonetheless, the ACPM noted that there is insufficient evidence to discount the possibility that there are different rates of TB activation for this biosimilar product compared to the incidence with </w:t>
      </w:r>
      <w:r>
        <w:t>Remicade</w:t>
      </w:r>
      <w:r w:rsidRPr="00011F9A">
        <w:t xml:space="preserve">. The ACPM advised that this highlights the importance of high quality screening for TB as well as initiating TB prophylaxis in patients deemed to be at risk of TB reactivation prior to starting treatment with any infliximab product. The ACPM noted that such monitoring was included in the PI but </w:t>
      </w:r>
      <w:r w:rsidRPr="000F245F">
        <w:t>wished to re-enforce the</w:t>
      </w:r>
      <w:r w:rsidRPr="00011F9A">
        <w:t xml:space="preserve"> importance of such monitoring in the </w:t>
      </w:r>
      <w:r>
        <w:t>PI</w:t>
      </w:r>
      <w:r w:rsidRPr="00011F9A">
        <w:t xml:space="preserve"> and in surveillance in the RMP.</w:t>
      </w:r>
    </w:p>
    <w:p w14:paraId="64E85795" w14:textId="77777777" w:rsidR="00200B27" w:rsidRPr="00011F9A" w:rsidRDefault="00200B27" w:rsidP="00200B27">
      <w:r w:rsidRPr="00011F9A">
        <w:t xml:space="preserve">Despite the differences, the ACPM advised that the findings are acceptable to conclude similarity with the safety profile of </w:t>
      </w:r>
      <w:r>
        <w:t>Remicade</w:t>
      </w:r>
      <w:r w:rsidRPr="00011F9A">
        <w:t xml:space="preserve">. For pneumonia, ACPM noted the imbalance but considered the finding acceptable to conclude similarity with </w:t>
      </w:r>
      <w:r>
        <w:t>Remicade</w:t>
      </w:r>
      <w:r w:rsidRPr="00011F9A">
        <w:t>.</w:t>
      </w:r>
    </w:p>
    <w:p w14:paraId="4074D568" w14:textId="77777777" w:rsidR="00200B27" w:rsidRPr="00C53DD2" w:rsidRDefault="00200B27" w:rsidP="00654E1B">
      <w:pPr>
        <w:pStyle w:val="Numberbullet0"/>
        <w:numPr>
          <w:ilvl w:val="0"/>
          <w:numId w:val="2"/>
        </w:numPr>
        <w:rPr>
          <w:i/>
        </w:rPr>
      </w:pPr>
      <w:r w:rsidRPr="00C53DD2">
        <w:rPr>
          <w:i/>
        </w:rPr>
        <w:t xml:space="preserve">What are the ACPM’s views on how this product, which is a biosimilar medicine, should be communicated </w:t>
      </w:r>
      <w:r>
        <w:rPr>
          <w:i/>
        </w:rPr>
        <w:t>and reported in the PI, CMI etcetera</w:t>
      </w:r>
      <w:r w:rsidRPr="00C53DD2">
        <w:rPr>
          <w:i/>
        </w:rPr>
        <w:t>? Should there be anything further, for example educational material?</w:t>
      </w:r>
    </w:p>
    <w:p w14:paraId="5D2BCE4C" w14:textId="77777777" w:rsidR="00200B27" w:rsidRPr="00011F9A" w:rsidRDefault="00200B27" w:rsidP="00200B27">
      <w:r w:rsidRPr="00011F9A">
        <w:t>The ACPM advised that there needs to be an explanation in the PI and CMI regarding what is a biosimilar product. An educational ‘Dear Doctor’ letter on the subject might also be useful.</w:t>
      </w:r>
    </w:p>
    <w:p w14:paraId="74961971" w14:textId="77777777" w:rsidR="00200B27" w:rsidRPr="00C53DD2" w:rsidRDefault="00200B27" w:rsidP="00654E1B">
      <w:pPr>
        <w:pStyle w:val="Numberbullet0"/>
        <w:numPr>
          <w:ilvl w:val="0"/>
          <w:numId w:val="2"/>
        </w:numPr>
        <w:rPr>
          <w:i/>
        </w:rPr>
      </w:pPr>
      <w:r w:rsidRPr="00C53DD2">
        <w:rPr>
          <w:i/>
        </w:rPr>
        <w:t>Has sufficient evidence and/or justification been presented to support extrapolation of the data to the indications of Crohn’s disease and ulcerative colit</w:t>
      </w:r>
      <w:r>
        <w:rPr>
          <w:i/>
        </w:rPr>
        <w:t>is in both adults and children?</w:t>
      </w:r>
    </w:p>
    <w:p w14:paraId="3D5AEA1B" w14:textId="77777777" w:rsidR="00200B27" w:rsidRPr="004A4BC1" w:rsidRDefault="00200B27" w:rsidP="00200B27">
      <w:r w:rsidRPr="004A4BC1">
        <w:t xml:space="preserve">The ACPM noted that it has not been established that the role of TNFα in </w:t>
      </w:r>
      <w:r>
        <w:t>CD</w:t>
      </w:r>
      <w:r w:rsidRPr="004A4BC1">
        <w:t xml:space="preserve"> and </w:t>
      </w:r>
      <w:r>
        <w:t>UC</w:t>
      </w:r>
      <w:r w:rsidRPr="004A4BC1">
        <w:t xml:space="preserve"> is identical to that in </w:t>
      </w:r>
      <w:r>
        <w:t>RA</w:t>
      </w:r>
      <w:r w:rsidRPr="004A4BC1">
        <w:t xml:space="preserve">. The binding of </w:t>
      </w:r>
      <w:proofErr w:type="spellStart"/>
      <w:r w:rsidRPr="004A4BC1">
        <w:t>sTNF</w:t>
      </w:r>
      <w:proofErr w:type="spellEnd"/>
      <w:r w:rsidRPr="004A4BC1">
        <w:t>α does not fully exp</w:t>
      </w:r>
      <w:r>
        <w:t xml:space="preserve">lain the mode of action of anti </w:t>
      </w:r>
      <w:r w:rsidRPr="004A4BC1">
        <w:t xml:space="preserve">TNF agents in </w:t>
      </w:r>
      <w:r>
        <w:t>inflammatory bowel disease</w:t>
      </w:r>
      <w:r w:rsidRPr="004A4BC1">
        <w:t xml:space="preserve">. The ACPM also noted that larger doses are required to treat </w:t>
      </w:r>
      <w:r>
        <w:t>inflammatory bowel disease</w:t>
      </w:r>
      <w:r w:rsidRPr="004A4BC1">
        <w:t xml:space="preserve"> and there also might be a different spectrum of activity of infliximab in these conditions. Therefore, the ACPM advised that the data are inadequate from the single pivotal trial in RA (where binding of </w:t>
      </w:r>
      <w:proofErr w:type="spellStart"/>
      <w:r w:rsidRPr="004A4BC1">
        <w:t>sTNF</w:t>
      </w:r>
      <w:proofErr w:type="spellEnd"/>
      <w:r w:rsidRPr="004A4BC1">
        <w:t xml:space="preserve">α is thought to be the most important property of infliximab) to be reassured that the results presented can be extrapolated to </w:t>
      </w:r>
      <w:r>
        <w:t>CD and UC.</w:t>
      </w:r>
    </w:p>
    <w:p w14:paraId="63D3D091" w14:textId="77777777" w:rsidR="00200B27" w:rsidRPr="00C53DD2" w:rsidRDefault="00200B27" w:rsidP="00654E1B">
      <w:pPr>
        <w:pStyle w:val="Numberbullet0"/>
        <w:numPr>
          <w:ilvl w:val="0"/>
          <w:numId w:val="2"/>
        </w:numPr>
        <w:rPr>
          <w:i/>
        </w:rPr>
      </w:pPr>
      <w:r w:rsidRPr="00C53DD2">
        <w:rPr>
          <w:i/>
        </w:rPr>
        <w:t>Has sufficient evidence and/or justification been presented to support extrapolation of the data to the indication of psoriasis?</w:t>
      </w:r>
    </w:p>
    <w:p w14:paraId="4FF544CF" w14:textId="77777777" w:rsidR="00200B27" w:rsidRPr="004A4BC1" w:rsidRDefault="00200B27" w:rsidP="00200B27">
      <w:r w:rsidRPr="004A4BC1">
        <w:t xml:space="preserve">The ACPM noted that, although there is differential target tissue, the ACPM advised there are sufficient data and similarities in conditions and treatment doses to support extrapolation of the data </w:t>
      </w:r>
      <w:r>
        <w:t>to the indication of psoriasis.</w:t>
      </w:r>
    </w:p>
    <w:p w14:paraId="0F5D95E4" w14:textId="77777777" w:rsidR="00200B27" w:rsidRPr="004A4BC1" w:rsidRDefault="00200B27" w:rsidP="00200B27">
      <w:r w:rsidRPr="004A4BC1">
        <w:t>The reviewer</w:t>
      </w:r>
      <w:r>
        <w:t xml:space="preserve"> (clinical unit 1)</w:t>
      </w:r>
      <w:r w:rsidRPr="004A4BC1">
        <w:t xml:space="preserve"> with regard to the GI indications has asked the following </w:t>
      </w:r>
      <w:r>
        <w:t>specific questions of the ACPM:</w:t>
      </w:r>
    </w:p>
    <w:p w14:paraId="144BF365" w14:textId="77777777" w:rsidR="00200B27" w:rsidRPr="00C53DD2" w:rsidRDefault="00200B27" w:rsidP="00654E1B">
      <w:pPr>
        <w:pStyle w:val="Numberbullet0"/>
        <w:numPr>
          <w:ilvl w:val="0"/>
          <w:numId w:val="2"/>
        </w:numPr>
        <w:rPr>
          <w:i/>
        </w:rPr>
      </w:pPr>
      <w:r w:rsidRPr="00C53DD2">
        <w:rPr>
          <w:i/>
        </w:rPr>
        <w:lastRenderedPageBreak/>
        <w:t xml:space="preserve">Are there reasonable grounds for concern that the difference in </w:t>
      </w:r>
      <w:proofErr w:type="spellStart"/>
      <w:r w:rsidRPr="00C53DD2">
        <w:rPr>
          <w:i/>
        </w:rPr>
        <w:t>FcγRIIIa</w:t>
      </w:r>
      <w:proofErr w:type="spellEnd"/>
      <w:r w:rsidRPr="00C53DD2">
        <w:rPr>
          <w:i/>
        </w:rPr>
        <w:t xml:space="preserve"> binding between </w:t>
      </w:r>
      <w:r w:rsidR="00525466">
        <w:rPr>
          <w:i/>
        </w:rPr>
        <w:t>Inflectra</w:t>
      </w:r>
      <w:r w:rsidRPr="00C53DD2">
        <w:rPr>
          <w:i/>
        </w:rPr>
        <w:t xml:space="preserve"> and Remicade, and hence potential ADCC could result in differences in efficacy for the </w:t>
      </w:r>
      <w:r>
        <w:rPr>
          <w:i/>
        </w:rPr>
        <w:t>inflammatory bowel disease</w:t>
      </w:r>
      <w:r w:rsidRPr="00C53DD2">
        <w:rPr>
          <w:i/>
        </w:rPr>
        <w:t xml:space="preserve"> indications?</w:t>
      </w:r>
    </w:p>
    <w:p w14:paraId="40C51992" w14:textId="77777777" w:rsidR="00200B27" w:rsidRPr="004A4BC1" w:rsidRDefault="00200B27" w:rsidP="00200B27">
      <w:r w:rsidRPr="004A4BC1">
        <w:t xml:space="preserve">The ACPM noted that </w:t>
      </w:r>
      <w:r w:rsidR="00525466">
        <w:t>Inflectra</w:t>
      </w:r>
      <w:r w:rsidRPr="004A4BC1">
        <w:t xml:space="preserve"> clearly binds to membrane associated TNFα but advised that the application is unsupported by clinical evidence that the binding imparts to </w:t>
      </w:r>
      <w:r w:rsidR="00525466">
        <w:t>Inflectra</w:t>
      </w:r>
      <w:r w:rsidRPr="004A4BC1">
        <w:t xml:space="preserve"> all the properties of </w:t>
      </w:r>
      <w:r>
        <w:t>Remicade</w:t>
      </w:r>
      <w:r w:rsidRPr="004A4BC1">
        <w:t>.</w:t>
      </w:r>
    </w:p>
    <w:p w14:paraId="6472D280" w14:textId="77777777" w:rsidR="00200B27" w:rsidRPr="00C53DD2" w:rsidRDefault="00200B27" w:rsidP="00654E1B">
      <w:pPr>
        <w:pStyle w:val="Numberbullet0"/>
        <w:numPr>
          <w:ilvl w:val="0"/>
          <w:numId w:val="2"/>
        </w:numPr>
        <w:rPr>
          <w:i/>
        </w:rPr>
      </w:pPr>
      <w:r w:rsidRPr="00C53DD2">
        <w:rPr>
          <w:i/>
        </w:rPr>
        <w:t xml:space="preserve">Are these grounds of sufficient concern that the </w:t>
      </w:r>
      <w:r>
        <w:rPr>
          <w:i/>
        </w:rPr>
        <w:t>inflammatory bowel disease</w:t>
      </w:r>
      <w:r w:rsidRPr="00C53DD2">
        <w:rPr>
          <w:i/>
        </w:rPr>
        <w:t xml:space="preserve"> indications for Remicade should not apply to </w:t>
      </w:r>
      <w:r w:rsidR="00525466">
        <w:rPr>
          <w:i/>
        </w:rPr>
        <w:t>Inflectra</w:t>
      </w:r>
      <w:r w:rsidRPr="00C53DD2">
        <w:rPr>
          <w:i/>
        </w:rPr>
        <w:t>?</w:t>
      </w:r>
    </w:p>
    <w:p w14:paraId="240257E3" w14:textId="77777777" w:rsidR="00200B27" w:rsidRPr="004A4BC1" w:rsidRDefault="00200B27" w:rsidP="00200B27">
      <w:r w:rsidRPr="004A4BC1">
        <w:t xml:space="preserve">The ACPM advised that there are grounds for concern that the </w:t>
      </w:r>
      <w:r>
        <w:t>inflammatory bowel disease</w:t>
      </w:r>
      <w:r w:rsidRPr="004A4BC1">
        <w:t xml:space="preserve"> indications should not apply to </w:t>
      </w:r>
      <w:r w:rsidR="00525466">
        <w:t>Inflectra</w:t>
      </w:r>
      <w:r w:rsidRPr="004A4BC1">
        <w:t xml:space="preserve"> </w:t>
      </w:r>
      <w:r>
        <w:t>(</w:t>
      </w:r>
      <w:r w:rsidRPr="004A4BC1">
        <w:t>see question 6 above</w:t>
      </w:r>
      <w:r>
        <w:t>)</w:t>
      </w:r>
      <w:r w:rsidRPr="004A4BC1">
        <w:t>.</w:t>
      </w:r>
    </w:p>
    <w:p w14:paraId="08F25BB6" w14:textId="77777777" w:rsidR="00200B27" w:rsidRPr="00C53DD2" w:rsidRDefault="00200B27" w:rsidP="00654E1B">
      <w:pPr>
        <w:pStyle w:val="Numberbullet0"/>
        <w:keepNext/>
        <w:numPr>
          <w:ilvl w:val="0"/>
          <w:numId w:val="2"/>
        </w:numPr>
        <w:rPr>
          <w:i/>
        </w:rPr>
      </w:pPr>
      <w:r w:rsidRPr="00C53DD2">
        <w:rPr>
          <w:i/>
        </w:rPr>
        <w:t>Should consideration be deferred until further evidence of similarity is available?</w:t>
      </w:r>
    </w:p>
    <w:p w14:paraId="54B50A17" w14:textId="77777777" w:rsidR="00200B27" w:rsidRPr="004A4BC1" w:rsidRDefault="00200B27" w:rsidP="00200B27">
      <w:r w:rsidRPr="004A4BC1">
        <w:t xml:space="preserve">The ACPM advised that it is premature to recommend registration for the </w:t>
      </w:r>
      <w:r>
        <w:t>inflammatory bowel disease</w:t>
      </w:r>
      <w:r w:rsidRPr="004A4BC1">
        <w:t xml:space="preserve"> indications for </w:t>
      </w:r>
      <w:r w:rsidR="00525466">
        <w:t>Inflectra</w:t>
      </w:r>
      <w:r w:rsidRPr="004A4BC1">
        <w:t xml:space="preserve"> and that further clinical evidence should be submitted to reassure the </w:t>
      </w:r>
      <w:r>
        <w:t>ACPM</w:t>
      </w:r>
      <w:r w:rsidRPr="004A4BC1">
        <w:t xml:space="preserve"> before the </w:t>
      </w:r>
      <w:r>
        <w:t>inflammatory bowel disease</w:t>
      </w:r>
      <w:r w:rsidRPr="004A4BC1">
        <w:t xml:space="preserve"> indication is approved for </w:t>
      </w:r>
      <w:r w:rsidR="00525466">
        <w:t>Inflectra</w:t>
      </w:r>
      <w:r w:rsidRPr="004A4BC1">
        <w:t>.</w:t>
      </w:r>
    </w:p>
    <w:p w14:paraId="4050FE4E" w14:textId="77777777" w:rsidR="00200B27" w:rsidRPr="00C53DD2" w:rsidRDefault="00200B27" w:rsidP="00654E1B">
      <w:pPr>
        <w:pStyle w:val="Numberbullet0"/>
        <w:numPr>
          <w:ilvl w:val="0"/>
          <w:numId w:val="2"/>
        </w:numPr>
        <w:rPr>
          <w:i/>
        </w:rPr>
      </w:pPr>
      <w:r w:rsidRPr="00C53DD2">
        <w:rPr>
          <w:i/>
        </w:rPr>
        <w:t xml:space="preserve">Is there a need for comparison of the pharmacokinetics of </w:t>
      </w:r>
      <w:r w:rsidR="00525466">
        <w:rPr>
          <w:i/>
        </w:rPr>
        <w:t>Inflectra</w:t>
      </w:r>
      <w:r w:rsidRPr="00C53DD2">
        <w:rPr>
          <w:i/>
        </w:rPr>
        <w:t xml:space="preserve"> and Remicade in children aged from 6 years?</w:t>
      </w:r>
    </w:p>
    <w:p w14:paraId="7E38CA07" w14:textId="77777777" w:rsidR="00200B27" w:rsidRPr="004A4BC1" w:rsidRDefault="00200B27" w:rsidP="00200B27">
      <w:r w:rsidRPr="004A4BC1">
        <w:t xml:space="preserve">The ACPM agreed with the Delegate that as </w:t>
      </w:r>
      <w:proofErr w:type="spellStart"/>
      <w:r w:rsidR="00525466">
        <w:t>Inflectra</w:t>
      </w:r>
      <w:r w:rsidRPr="004A4BC1">
        <w:t>’s</w:t>
      </w:r>
      <w:proofErr w:type="spellEnd"/>
      <w:r w:rsidRPr="004A4BC1">
        <w:t xml:space="preserve"> pharmacokinetics in children is unlikely to be different to that of </w:t>
      </w:r>
      <w:r>
        <w:t>Remicade.</w:t>
      </w:r>
    </w:p>
    <w:p w14:paraId="63AB6A9F" w14:textId="77777777" w:rsidR="00200B27" w:rsidRPr="004A4BC1" w:rsidRDefault="00200B27" w:rsidP="00200B27">
      <w:r w:rsidRPr="004A4BC1">
        <w:t>The reviewer</w:t>
      </w:r>
      <w:r>
        <w:t xml:space="preserve"> (clinical unit 4)</w:t>
      </w:r>
      <w:r w:rsidRPr="004A4BC1">
        <w:t xml:space="preserve"> with regard to the plaque psoriasis indication asked the following specific questions</w:t>
      </w:r>
      <w:r>
        <w:t xml:space="preserve"> of the ACPM:</w:t>
      </w:r>
    </w:p>
    <w:p w14:paraId="42264E2C" w14:textId="77777777" w:rsidR="00200B27" w:rsidRPr="00C53DD2" w:rsidRDefault="00200B27" w:rsidP="00654E1B">
      <w:pPr>
        <w:pStyle w:val="Numberbullet0"/>
        <w:numPr>
          <w:ilvl w:val="0"/>
          <w:numId w:val="2"/>
        </w:numPr>
        <w:rPr>
          <w:i/>
        </w:rPr>
      </w:pPr>
      <w:r w:rsidRPr="00C53DD2">
        <w:rPr>
          <w:i/>
        </w:rPr>
        <w:t>Is there concern that the observed imbalance in active tuberculosis could make it difficult to declare the two products biosimilar?</w:t>
      </w:r>
    </w:p>
    <w:p w14:paraId="5291C3DA" w14:textId="77777777" w:rsidR="00200B27" w:rsidRPr="004A4BC1" w:rsidRDefault="00200B27" w:rsidP="00200B27">
      <w:r w:rsidRPr="004A4BC1">
        <w:t>See response to Q</w:t>
      </w:r>
      <w:r>
        <w:t xml:space="preserve">uestion </w:t>
      </w:r>
      <w:r w:rsidRPr="004A4BC1">
        <w:t>4.</w:t>
      </w:r>
    </w:p>
    <w:p w14:paraId="3D13622E" w14:textId="77777777" w:rsidR="00200B27" w:rsidRPr="00C53DD2" w:rsidRDefault="00200B27" w:rsidP="00654E1B">
      <w:pPr>
        <w:pStyle w:val="Numberbullet0"/>
        <w:numPr>
          <w:ilvl w:val="0"/>
          <w:numId w:val="2"/>
        </w:numPr>
        <w:rPr>
          <w:i/>
        </w:rPr>
      </w:pPr>
      <w:r w:rsidRPr="00C53DD2">
        <w:rPr>
          <w:i/>
        </w:rPr>
        <w:t>Is there concern that studies showing comparability of efficacy in RA and AS are insufficiently sensitive to detect real differences in efficacy, which might be seen in psoriasis?</w:t>
      </w:r>
    </w:p>
    <w:p w14:paraId="2BAA4C57" w14:textId="77777777" w:rsidR="00200B27" w:rsidRPr="004A4BC1" w:rsidRDefault="00200B27" w:rsidP="00200B27">
      <w:r w:rsidRPr="004A4BC1">
        <w:t>The ACPM agreed that it is quite possible that the studies comparing efficacy in RA and AS are insufficiently sensitive to detect real differences in efficacy and therefore that differences in efficacy might exist in psoriasis. The ACPM did not consider this uncertainty precluded the psoriasis indication. However, monitoring of efficacy and safety in psoriasis should be incorporated into the RMP.</w:t>
      </w:r>
    </w:p>
    <w:p w14:paraId="3F3F5FFA" w14:textId="77777777" w:rsidR="00200B27" w:rsidRPr="00C53DD2" w:rsidRDefault="00200B27" w:rsidP="00654E1B">
      <w:pPr>
        <w:pStyle w:val="Numberbullet0"/>
        <w:numPr>
          <w:ilvl w:val="0"/>
          <w:numId w:val="2"/>
        </w:numPr>
        <w:rPr>
          <w:i/>
        </w:rPr>
      </w:pPr>
      <w:r w:rsidRPr="00C53DD2">
        <w:rPr>
          <w:i/>
        </w:rPr>
        <w:t xml:space="preserve">Is there concern that the demonstrated difference in affinity to </w:t>
      </w:r>
      <w:proofErr w:type="spellStart"/>
      <w:r w:rsidRPr="00C53DD2">
        <w:rPr>
          <w:i/>
        </w:rPr>
        <w:t>Fc</w:t>
      </w:r>
      <w:r>
        <w:rPr>
          <w:i/>
        </w:rPr>
        <w:t>γ</w:t>
      </w:r>
      <w:r w:rsidRPr="00C53DD2">
        <w:rPr>
          <w:i/>
        </w:rPr>
        <w:t>RIIIa</w:t>
      </w:r>
      <w:proofErr w:type="spellEnd"/>
      <w:r w:rsidRPr="00C53DD2">
        <w:rPr>
          <w:i/>
        </w:rPr>
        <w:t xml:space="preserve"> will translate, for example via differential capacity for the two products to leverage ADCC, into varying efficacy in psoriasis?</w:t>
      </w:r>
    </w:p>
    <w:p w14:paraId="7D51C066" w14:textId="77777777" w:rsidR="00200B27" w:rsidRPr="004A4BC1" w:rsidRDefault="00200B27" w:rsidP="00200B27">
      <w:r w:rsidRPr="004A4BC1">
        <w:t xml:space="preserve">The ACPM noted that the difference in </w:t>
      </w:r>
      <w:proofErr w:type="spellStart"/>
      <w:r w:rsidRPr="004A4BC1">
        <w:t>Fc</w:t>
      </w:r>
      <w:r>
        <w:t>γ</w:t>
      </w:r>
      <w:r w:rsidRPr="004A4BC1">
        <w:t>RIIIa</w:t>
      </w:r>
      <w:proofErr w:type="spellEnd"/>
      <w:r w:rsidRPr="004A4BC1">
        <w:t xml:space="preserve"> was small. Further, the ACPM was not convinced that this demons</w:t>
      </w:r>
      <w:r>
        <w:t xml:space="preserve">trated difference in Fc binding </w:t>
      </w:r>
      <w:r w:rsidRPr="004A4BC1">
        <w:t>related activity was of clinical significance or that there is strong evidence of an important ro</w:t>
      </w:r>
      <w:r>
        <w:t>le for ADCC in RA or psoriasis.</w:t>
      </w:r>
    </w:p>
    <w:p w14:paraId="444F0D4E" w14:textId="77777777" w:rsidR="00200B27" w:rsidRPr="00C53DD2" w:rsidRDefault="00200B27" w:rsidP="00654E1B">
      <w:pPr>
        <w:pStyle w:val="Numberbullet0"/>
        <w:numPr>
          <w:ilvl w:val="0"/>
          <w:numId w:val="2"/>
        </w:numPr>
        <w:rPr>
          <w:i/>
        </w:rPr>
      </w:pPr>
      <w:r>
        <w:rPr>
          <w:i/>
        </w:rPr>
        <w:t>In relation to Q</w:t>
      </w:r>
      <w:r w:rsidRPr="00C53DD2">
        <w:rPr>
          <w:i/>
        </w:rPr>
        <w:t>uestion 14, if the ACPM considers that there is uncertainty about this issue; is the degree of uncertainty sufficient to invalidate the extrapolation of indications to psoriasis?</w:t>
      </w:r>
    </w:p>
    <w:p w14:paraId="27BE33BE" w14:textId="77777777" w:rsidR="00200B27" w:rsidRPr="004A4BC1" w:rsidRDefault="00200B27" w:rsidP="00200B27">
      <w:r w:rsidRPr="004A4BC1">
        <w:t>The ACPM did not consider there was clinically significant uncertainty and that the results from RA can be extrapolated to psoriasis.</w:t>
      </w:r>
    </w:p>
    <w:p w14:paraId="46D3C1A9" w14:textId="77777777" w:rsidR="00200B27" w:rsidRPr="00C53DD2" w:rsidRDefault="00200B27" w:rsidP="00654E1B">
      <w:pPr>
        <w:pStyle w:val="Numberbullet0"/>
        <w:numPr>
          <w:ilvl w:val="0"/>
          <w:numId w:val="2"/>
        </w:numPr>
        <w:rPr>
          <w:i/>
        </w:rPr>
      </w:pPr>
      <w:r w:rsidRPr="00C53DD2">
        <w:rPr>
          <w:i/>
        </w:rPr>
        <w:t xml:space="preserve">Is the balance of efficacy and safety of </w:t>
      </w:r>
      <w:r w:rsidR="00525466">
        <w:rPr>
          <w:i/>
        </w:rPr>
        <w:t>Inflectra</w:t>
      </w:r>
      <w:r w:rsidRPr="00C53DD2">
        <w:rPr>
          <w:i/>
        </w:rPr>
        <w:t xml:space="preserve"> sufficiently established to approve the psoriasis indication?</w:t>
      </w:r>
    </w:p>
    <w:p w14:paraId="44B94EBB" w14:textId="77777777" w:rsidR="00200B27" w:rsidRPr="004A4BC1" w:rsidRDefault="00200B27" w:rsidP="00200B27">
      <w:r w:rsidRPr="004A4BC1">
        <w:lastRenderedPageBreak/>
        <w:t>The ACPM advised that there is sufficient efficacy and safety data to approve the psoriasis indication.</w:t>
      </w:r>
    </w:p>
    <w:p w14:paraId="140E29B6" w14:textId="77777777" w:rsidR="00200B27" w:rsidRDefault="00200B27" w:rsidP="00200B27">
      <w:r w:rsidRPr="004A4BC1">
        <w:t>The ACPM advised that implementation by the sponsor of the recommendations outlined above to the satisfaction of the TGA, in addition to the evidence of efficacy and safety provided would support the safe and e</w:t>
      </w:r>
      <w:r>
        <w:t>ffective use of these products.</w:t>
      </w:r>
    </w:p>
    <w:p w14:paraId="5F3379AA" w14:textId="485DE05C" w:rsidR="006F72AD" w:rsidRDefault="006F72AD" w:rsidP="006F72AD">
      <w:pPr>
        <w:pStyle w:val="Comment"/>
      </w:pPr>
      <w:r w:rsidRPr="000F245F">
        <w:rPr>
          <w:b/>
        </w:rPr>
        <w:t>Timeline:</w:t>
      </w:r>
      <w:r>
        <w:t xml:space="preserve"> </w:t>
      </w:r>
      <w:r w:rsidR="00207188">
        <w:t>T</w:t>
      </w:r>
      <w:r>
        <w:t>he application was resubmitted to the June 2015 ACPM for additional advice as additional information had become available.</w:t>
      </w:r>
    </w:p>
    <w:p w14:paraId="54CF5C14" w14:textId="77777777" w:rsidR="00E86142" w:rsidRDefault="002716AC" w:rsidP="002716AC">
      <w:pPr>
        <w:pStyle w:val="Heading3"/>
      </w:pPr>
      <w:bookmarkStart w:id="171" w:name="_Toc44577034"/>
      <w:r w:rsidRPr="00117E9A">
        <w:t>Delegate’s</w:t>
      </w:r>
      <w:r w:rsidR="007F5DB2" w:rsidRPr="00117E9A">
        <w:t xml:space="preserve"> o</w:t>
      </w:r>
      <w:r w:rsidR="00E86142" w:rsidRPr="00117E9A">
        <w:t>verview for June 2015 ACPM</w:t>
      </w:r>
      <w:bookmarkEnd w:id="171"/>
    </w:p>
    <w:p w14:paraId="320C45A1" w14:textId="043CF021" w:rsidR="00200B27" w:rsidRDefault="00200B27" w:rsidP="00200B27">
      <w:r>
        <w:t>Following the advice from the April ACPM Meeting</w:t>
      </w:r>
      <w:r w:rsidR="00CC73FE">
        <w:t>,</w:t>
      </w:r>
      <w:r>
        <w:t xml:space="preserve"> further advice was sought by the Delegate responsible for the inflammatory bowel disease indications (clinical unit 1). The request for advice summary and the sponsors Pre-ACPM response for the June 2015 ACPM are presented below.</w:t>
      </w:r>
    </w:p>
    <w:p w14:paraId="1BD80D94" w14:textId="77777777" w:rsidR="00200B27" w:rsidRPr="00E47286" w:rsidRDefault="00200B27" w:rsidP="00200B27">
      <w:pPr>
        <w:pStyle w:val="Heading4"/>
        <w:rPr>
          <w:szCs w:val="22"/>
        </w:rPr>
      </w:pPr>
      <w:r>
        <w:t>Background</w:t>
      </w:r>
    </w:p>
    <w:p w14:paraId="4A8DA34F" w14:textId="77777777" w:rsidR="00200B27" w:rsidRPr="002F7237" w:rsidRDefault="00200B27" w:rsidP="002F7237">
      <w:r w:rsidRPr="002F7237">
        <w:t xml:space="preserve">Previously the ACPM considered there were insufficient data on the use of </w:t>
      </w:r>
      <w:r w:rsidR="00525466" w:rsidRPr="002F7237">
        <w:t>Inflectra</w:t>
      </w:r>
      <w:r w:rsidRPr="002F7237">
        <w:t xml:space="preserve"> in inflammatory bowel disease indications. Additional information, particularly post-market efficacy and safety data in inflammatory bowel disease data have been made available.</w:t>
      </w:r>
    </w:p>
    <w:p w14:paraId="36BEDE8C" w14:textId="77777777" w:rsidR="00200B27" w:rsidRPr="002F7237" w:rsidRDefault="00200B27" w:rsidP="002F7237">
      <w:r w:rsidRPr="002F7237">
        <w:t xml:space="preserve">The ACPM previously considered that in the absence of efficacy and safety data on the use of </w:t>
      </w:r>
      <w:r w:rsidR="00525466" w:rsidRPr="002F7237">
        <w:t>Inflectra</w:t>
      </w:r>
      <w:r w:rsidRPr="002F7237">
        <w:t xml:space="preserve"> in children was of concern. New information on paediatric use of </w:t>
      </w:r>
      <w:r w:rsidR="00525466" w:rsidRPr="002F7237">
        <w:t>Inflectra</w:t>
      </w:r>
      <w:r w:rsidRPr="002F7237">
        <w:t xml:space="preserve"> is now available.</w:t>
      </w:r>
    </w:p>
    <w:p w14:paraId="536C7A53" w14:textId="77777777" w:rsidR="00200B27" w:rsidRDefault="00200B27" w:rsidP="00200B27">
      <w:r>
        <w:t>At the</w:t>
      </w:r>
      <w:r w:rsidRPr="00E55829">
        <w:t xml:space="preserve"> ACPM meeting in April 2015 the ACPM provided advice on a submission to register </w:t>
      </w:r>
      <w:r w:rsidR="00525466">
        <w:t>Inflectra</w:t>
      </w:r>
      <w:r w:rsidRPr="00E55829">
        <w:t xml:space="preserve"> </w:t>
      </w:r>
      <w:r>
        <w:t>(</w:t>
      </w:r>
      <w:r w:rsidRPr="00890A78">
        <w:t>also referred to as CT-P13</w:t>
      </w:r>
      <w:r>
        <w:t xml:space="preserve">) </w:t>
      </w:r>
      <w:r w:rsidRPr="00E55829">
        <w:t>and the alternative tradenames as a biosimilar infliximab. The ACPM considered that the product had an overall positive benefit–risk profile for the current indications of infliximab (</w:t>
      </w:r>
      <w:r>
        <w:t>Remicade</w:t>
      </w:r>
      <w:r w:rsidRPr="00E55829">
        <w:t>) other than the indications pertaining to inflammatory bowel disease. These indications are:</w:t>
      </w:r>
    </w:p>
    <w:p w14:paraId="039D975A" w14:textId="77777777" w:rsidR="00200B27" w:rsidRPr="000F245F" w:rsidRDefault="00200B27" w:rsidP="00200B27">
      <w:pPr>
        <w:ind w:left="720"/>
        <w:rPr>
          <w:i/>
        </w:rPr>
      </w:pPr>
      <w:r w:rsidRPr="000F245F">
        <w:rPr>
          <w:i/>
        </w:rPr>
        <w:t xml:space="preserve">Crohn’s Disease in Adults and in Children </w:t>
      </w:r>
      <w:r>
        <w:rPr>
          <w:i/>
        </w:rPr>
        <w:t>and adolescents (6 to 17 years)</w:t>
      </w:r>
    </w:p>
    <w:p w14:paraId="4FC3F8F6" w14:textId="77777777" w:rsidR="00200B27" w:rsidRPr="000F245F" w:rsidRDefault="00525466" w:rsidP="00200B27">
      <w:pPr>
        <w:ind w:left="720"/>
        <w:rPr>
          <w:i/>
        </w:rPr>
      </w:pPr>
      <w:r>
        <w:rPr>
          <w:i/>
        </w:rPr>
        <w:t>Inflectra</w:t>
      </w:r>
      <w:r w:rsidR="00200B27" w:rsidRPr="000F245F">
        <w:rPr>
          <w:i/>
        </w:rPr>
        <w:t xml:space="preserve"> is indicated for the treatment of moderate to severe Crohn’s disease, to reduce the signs and symptoms and to induce and maintain clinical remission in patients who have an inadequate response to conventional</w:t>
      </w:r>
      <w:r w:rsidR="00200B27">
        <w:rPr>
          <w:i/>
        </w:rPr>
        <w:t xml:space="preserve"> therapies.</w:t>
      </w:r>
    </w:p>
    <w:p w14:paraId="2C32E815" w14:textId="77777777" w:rsidR="00200B27" w:rsidRPr="000F245F" w:rsidRDefault="00200B27" w:rsidP="00200B27">
      <w:pPr>
        <w:ind w:left="720"/>
        <w:rPr>
          <w:i/>
        </w:rPr>
      </w:pPr>
      <w:r w:rsidRPr="000F245F">
        <w:rPr>
          <w:i/>
        </w:rPr>
        <w:t>Refract</w:t>
      </w:r>
      <w:r>
        <w:rPr>
          <w:i/>
        </w:rPr>
        <w:t>ory Fistulising Crohn’s Disease</w:t>
      </w:r>
    </w:p>
    <w:p w14:paraId="37FE4AFE" w14:textId="77777777" w:rsidR="00200B27" w:rsidRPr="000F245F" w:rsidRDefault="00525466" w:rsidP="00200B27">
      <w:pPr>
        <w:ind w:left="720"/>
        <w:rPr>
          <w:i/>
        </w:rPr>
      </w:pPr>
      <w:r>
        <w:rPr>
          <w:i/>
        </w:rPr>
        <w:t>Inflectra</w:t>
      </w:r>
      <w:r w:rsidR="00200B27" w:rsidRPr="000F245F">
        <w:rPr>
          <w:i/>
        </w:rPr>
        <w:t xml:space="preserve"> is indicated for reducing the number of draining </w:t>
      </w:r>
      <w:proofErr w:type="spellStart"/>
      <w:r w:rsidR="00200B27" w:rsidRPr="000F245F">
        <w:rPr>
          <w:i/>
        </w:rPr>
        <w:t>enterocutaneous</w:t>
      </w:r>
      <w:proofErr w:type="spellEnd"/>
      <w:r w:rsidR="00200B27" w:rsidRPr="000F245F">
        <w:rPr>
          <w:i/>
        </w:rPr>
        <w:t xml:space="preserve"> and rectovaginal fistulas and maintaining fis</w:t>
      </w:r>
      <w:r w:rsidR="00200B27">
        <w:rPr>
          <w:i/>
        </w:rPr>
        <w:t>tula closure in adult patients.</w:t>
      </w:r>
    </w:p>
    <w:p w14:paraId="318FB230" w14:textId="585570FA" w:rsidR="00200B27" w:rsidRDefault="00200B27" w:rsidP="00200B27">
      <w:pPr>
        <w:ind w:left="720"/>
        <w:rPr>
          <w:i/>
        </w:rPr>
      </w:pPr>
      <w:r w:rsidRPr="000F245F">
        <w:rPr>
          <w:i/>
        </w:rPr>
        <w:t xml:space="preserve">Ulcerative colitis in Adults and in Children </w:t>
      </w:r>
      <w:r>
        <w:rPr>
          <w:i/>
        </w:rPr>
        <w:t>and adolescents (6 to 17 years).</w:t>
      </w:r>
    </w:p>
    <w:p w14:paraId="60DC0EE5" w14:textId="7357ADB2" w:rsidR="00707737" w:rsidRPr="000F245F" w:rsidRDefault="00707737" w:rsidP="00200B27">
      <w:pPr>
        <w:ind w:left="720"/>
        <w:rPr>
          <w:i/>
        </w:rPr>
      </w:pPr>
      <w:r>
        <w:rPr>
          <w:i/>
        </w:rPr>
        <w:t>Inflectra</w:t>
      </w:r>
      <w:r w:rsidRPr="00707737">
        <w:rPr>
          <w:i/>
        </w:rPr>
        <w:t xml:space="preserve"> is indicated for the treatment of moderately severe to severe active ulcerative colitis in patients who have had an inadequate response to conventional therapy.</w:t>
      </w:r>
    </w:p>
    <w:p w14:paraId="70B3B2F3" w14:textId="77777777" w:rsidR="00200B27" w:rsidRPr="00E55829" w:rsidRDefault="00200B27" w:rsidP="00200B27">
      <w:r w:rsidRPr="00E55829">
        <w:t>The sponsor has now respond</w:t>
      </w:r>
      <w:r>
        <w:t>ed to the advice in the ACPM’s r</w:t>
      </w:r>
      <w:r w:rsidRPr="00E55829">
        <w:t xml:space="preserve">esolution </w:t>
      </w:r>
      <w:r>
        <w:t>#</w:t>
      </w:r>
      <w:r w:rsidRPr="00E55829">
        <w:t>2339. Updated versions of the following previously submitted information were includ</w:t>
      </w:r>
      <w:r>
        <w:t>ed with the sponsor’s response:</w:t>
      </w:r>
    </w:p>
    <w:p w14:paraId="38E51A7A" w14:textId="77777777" w:rsidR="00200B27" w:rsidRPr="002F7237" w:rsidRDefault="00200B27" w:rsidP="002F7237">
      <w:pPr>
        <w:pStyle w:val="ListBullet"/>
      </w:pPr>
      <w:r w:rsidRPr="002F7237">
        <w:t>PK modelling report; was previously submitted as part of response to the first round of questions (June 2014)</w:t>
      </w:r>
    </w:p>
    <w:p w14:paraId="48357A16" w14:textId="547504FC" w:rsidR="00200B27" w:rsidRPr="002F7237" w:rsidRDefault="00200B27" w:rsidP="002F7237">
      <w:pPr>
        <w:pStyle w:val="ListBullet"/>
      </w:pPr>
      <w:r w:rsidRPr="002F7237">
        <w:t xml:space="preserve">Korean </w:t>
      </w:r>
      <w:r w:rsidR="00207188">
        <w:t>post-marketing surveillance</w:t>
      </w:r>
      <w:r w:rsidRPr="002F7237">
        <w:t xml:space="preserve"> study; previously submitted as response to Question 4 of the second round of questions (Sept</w:t>
      </w:r>
      <w:r w:rsidR="00207188">
        <w:t>ember</w:t>
      </w:r>
      <w:r w:rsidRPr="002F7237">
        <w:t xml:space="preserve"> 2014)</w:t>
      </w:r>
    </w:p>
    <w:p w14:paraId="46996792" w14:textId="77777777" w:rsidR="00200B27" w:rsidRPr="002F7237" w:rsidRDefault="00200B27" w:rsidP="002F7237">
      <w:pPr>
        <w:pStyle w:val="ListBullet"/>
      </w:pPr>
      <w:r w:rsidRPr="002F7237">
        <w:lastRenderedPageBreak/>
        <w:t>EU studies (Norway, Hungary, Czech); these studies were discussed during the face to face meeting held with TGA on 14th November 2014. The study reports were provided as follow up information</w:t>
      </w:r>
    </w:p>
    <w:p w14:paraId="0627341E" w14:textId="77777777" w:rsidR="00200B27" w:rsidRPr="002F7237" w:rsidRDefault="00200B27" w:rsidP="002F7237">
      <w:pPr>
        <w:pStyle w:val="ListBullet"/>
      </w:pPr>
      <w:r w:rsidRPr="002F7237">
        <w:t xml:space="preserve">A poster presentation on the use of </w:t>
      </w:r>
      <w:r w:rsidR="00525466" w:rsidRPr="002F7237">
        <w:t>Inflectra</w:t>
      </w:r>
      <w:r w:rsidRPr="002F7237">
        <w:t xml:space="preserve"> in 50 paediatric patients with inflammatory bowel disease in Poland.</w:t>
      </w:r>
    </w:p>
    <w:p w14:paraId="290721D7" w14:textId="2DB5D420" w:rsidR="00200B27" w:rsidRPr="00E55829" w:rsidRDefault="00200B27" w:rsidP="00200B27">
      <w:r w:rsidRPr="00E55829">
        <w:t>The major points addressed by th</w:t>
      </w:r>
      <w:r>
        <w:t>e sponsor are summarised below.</w:t>
      </w:r>
    </w:p>
    <w:p w14:paraId="11A9FEC3" w14:textId="5CCE6615" w:rsidR="00200B27" w:rsidRPr="00E55829" w:rsidRDefault="00200B27" w:rsidP="00200B27">
      <w:pPr>
        <w:pStyle w:val="Heading4"/>
      </w:pPr>
      <w:r>
        <w:t>Regulatory considerations</w:t>
      </w:r>
    </w:p>
    <w:p w14:paraId="419F4785" w14:textId="1630817A" w:rsidR="00200B27" w:rsidRPr="00E55829" w:rsidRDefault="00200B27" w:rsidP="00200B27">
      <w:r w:rsidRPr="00E55829">
        <w:t xml:space="preserve">The sponsor has noted that the </w:t>
      </w:r>
      <w:r w:rsidRPr="00BD4758">
        <w:t xml:space="preserve">TGA has adopted the EU </w:t>
      </w:r>
      <w:r w:rsidR="00207188">
        <w:t>G</w:t>
      </w:r>
      <w:r w:rsidRPr="00B12B14">
        <w:t>uideline</w:t>
      </w:r>
      <w:r w:rsidR="00B12B14" w:rsidRPr="00B12B14">
        <w:t>.</w:t>
      </w:r>
      <w:r w:rsidR="00B12B14" w:rsidRPr="00B12B14">
        <w:rPr>
          <w:vertAlign w:val="superscript"/>
        </w:rPr>
        <w:fldChar w:fldCharType="begin"/>
      </w:r>
      <w:r w:rsidR="00B12B14" w:rsidRPr="00B12B14">
        <w:rPr>
          <w:vertAlign w:val="superscript"/>
        </w:rPr>
        <w:instrText xml:space="preserve"> NOTEREF _Ref31790732 \h  \* MERGEFORMAT </w:instrText>
      </w:r>
      <w:r w:rsidR="00B12B14" w:rsidRPr="00B12B14">
        <w:rPr>
          <w:vertAlign w:val="superscript"/>
        </w:rPr>
      </w:r>
      <w:r w:rsidR="00B12B14" w:rsidRPr="00B12B14">
        <w:rPr>
          <w:vertAlign w:val="superscript"/>
        </w:rPr>
        <w:fldChar w:fldCharType="separate"/>
      </w:r>
      <w:r w:rsidR="00B461DE">
        <w:rPr>
          <w:b/>
          <w:bCs/>
          <w:vertAlign w:val="superscript"/>
          <w:lang w:val="en-US"/>
        </w:rPr>
        <w:t>Error! Bookmark not defined.</w:t>
      </w:r>
      <w:r w:rsidR="00B12B14" w:rsidRPr="00B12B14">
        <w:rPr>
          <w:vertAlign w:val="superscript"/>
        </w:rPr>
        <w:fldChar w:fldCharType="end"/>
      </w:r>
      <w:r w:rsidRPr="00B12B14">
        <w:t xml:space="preserve"> Regarding</w:t>
      </w:r>
      <w:r>
        <w:t xml:space="preserve"> extrapolation of indication, t</w:t>
      </w:r>
      <w:r w:rsidRPr="00E55829">
        <w:t xml:space="preserve">he sponsor believes that it has met the criteria in that guideline for extrapolation to the </w:t>
      </w:r>
      <w:r>
        <w:t>inflammatory bowel disease</w:t>
      </w:r>
      <w:r w:rsidRPr="00E55829">
        <w:t xml:space="preserve"> indications for CT-P13 (</w:t>
      </w:r>
      <w:r w:rsidR="00525466">
        <w:t>Inflectra</w:t>
      </w:r>
      <w:r>
        <w:t>)</w:t>
      </w:r>
      <w:r w:rsidRPr="00E55829">
        <w:t xml:space="preserve"> based on an extensive body of evidence supporting structural and biologic</w:t>
      </w:r>
      <w:r>
        <w:t>al similarity between CT</w:t>
      </w:r>
      <w:r>
        <w:noBreakHyphen/>
      </w:r>
      <w:r w:rsidRPr="00E55829">
        <w:t xml:space="preserve">P13 and </w:t>
      </w:r>
      <w:r>
        <w:t>Remicade</w:t>
      </w:r>
      <w:r w:rsidRPr="00E55829">
        <w:t xml:space="preserve"> in conjunction with demonstrated clinical comparability between the two products in </w:t>
      </w:r>
      <w:r>
        <w:t>RA</w:t>
      </w:r>
      <w:r w:rsidRPr="00E55829">
        <w:t xml:space="preserve"> and </w:t>
      </w:r>
      <w:r>
        <w:t>AS</w:t>
      </w:r>
      <w:r w:rsidRPr="00E55829">
        <w:t xml:space="preserve">. The sponsor has noted that other regulators including the EMA and the Japanese Ministry of Health, Labour and Welfare have approved </w:t>
      </w:r>
      <w:r w:rsidR="00525466">
        <w:t>Inflectra</w:t>
      </w:r>
      <w:r w:rsidRPr="00E55829">
        <w:t xml:space="preserve"> for all the indications currently approved for </w:t>
      </w:r>
      <w:r>
        <w:t>Remicade</w:t>
      </w:r>
      <w:r w:rsidRPr="00E55829">
        <w:t xml:space="preserve">, including the </w:t>
      </w:r>
      <w:r>
        <w:t>inflammatory bowel disease</w:t>
      </w:r>
      <w:r w:rsidRPr="00E55829">
        <w:t xml:space="preserve"> indications. The TGA’s clinical evaluator also recommended approval of all those indications.</w:t>
      </w:r>
    </w:p>
    <w:p w14:paraId="16879A80" w14:textId="48471F55" w:rsidR="00200B27" w:rsidRPr="00E55829" w:rsidRDefault="00200B27" w:rsidP="00200B27">
      <w:r w:rsidRPr="00E55829">
        <w:t xml:space="preserve">The ACPM was advised at the </w:t>
      </w:r>
      <w:r>
        <w:t>April 2015</w:t>
      </w:r>
      <w:r w:rsidRPr="00E55829">
        <w:t xml:space="preserve"> meeting that Health Canada has not approved </w:t>
      </w:r>
      <w:r w:rsidR="00525466">
        <w:t>Inflectra</w:t>
      </w:r>
      <w:r w:rsidRPr="00E55829">
        <w:t xml:space="preserve"> for the </w:t>
      </w:r>
      <w:r>
        <w:t>inflammatory bowel disease</w:t>
      </w:r>
      <w:r w:rsidRPr="00E55829">
        <w:t xml:space="preserve"> indications. The sponsor has noted that there were scientific and regulatory reasons for Health Canada no</w:t>
      </w:r>
      <w:r>
        <w:t>t approving those indications, for example;</w:t>
      </w:r>
      <w:r w:rsidRPr="00E55829">
        <w:t xml:space="preserve"> </w:t>
      </w:r>
      <w:r>
        <w:t>p</w:t>
      </w:r>
      <w:r w:rsidRPr="00E55829">
        <w:t xml:space="preserve">rocedural constraints for the review of the </w:t>
      </w:r>
      <w:r>
        <w:t xml:space="preserve">totality of </w:t>
      </w:r>
      <w:r w:rsidRPr="00E55829">
        <w:t>the evidence, lack of the external scientific expert input, lack of the opportunity for applicants to submit additional d</w:t>
      </w:r>
      <w:r>
        <w:t>ata or engage in open dialogue.</w:t>
      </w:r>
    </w:p>
    <w:p w14:paraId="6B3EEA87" w14:textId="1575F912" w:rsidR="00200B27" w:rsidRPr="00E55829" w:rsidRDefault="00200B27" w:rsidP="00200B27">
      <w:r w:rsidRPr="00E55829">
        <w:t xml:space="preserve">Health Canada in a meeting held in February 2015 with </w:t>
      </w:r>
      <w:r>
        <w:t>[information redacted]</w:t>
      </w:r>
      <w:r w:rsidRPr="00E55829">
        <w:t xml:space="preserve"> (the sponsor in Canada). The Biologics and Genetic Therapies Directorate (BGTD) of Health Canada have provided an update on the current situation in </w:t>
      </w:r>
      <w:r w:rsidR="00CC73FE" w:rsidRPr="00E55829">
        <w:t>Canada, which</w:t>
      </w:r>
      <w:r w:rsidRPr="00E55829">
        <w:t xml:space="preserve"> is included in the papers</w:t>
      </w:r>
      <w:r>
        <w:t xml:space="preserve"> for the June 2015 ACPM</w:t>
      </w:r>
      <w:r w:rsidRPr="00E55829">
        <w:t>.</w:t>
      </w:r>
    </w:p>
    <w:p w14:paraId="67B82890" w14:textId="31492FE4" w:rsidR="00200B27" w:rsidRPr="00B53A59" w:rsidRDefault="00200B27" w:rsidP="00200B27">
      <w:pPr>
        <w:pStyle w:val="Heading5"/>
      </w:pPr>
      <w:r w:rsidRPr="00B53A59">
        <w:t>Extrapolation of therapeutic similarity</w:t>
      </w:r>
    </w:p>
    <w:p w14:paraId="1EF90F54" w14:textId="0A9DF27A" w:rsidR="00200B27" w:rsidRPr="00B53A59" w:rsidRDefault="00200B27" w:rsidP="00200B27">
      <w:r w:rsidRPr="00B53A59">
        <w:t>The EU Guideline</w:t>
      </w:r>
      <w:r w:rsidR="00207188" w:rsidRPr="00B53A59">
        <w:t>;</w:t>
      </w:r>
      <w:r w:rsidR="00B53A59" w:rsidRPr="00B53A59">
        <w:rPr>
          <w:rStyle w:val="FootnoteReference"/>
        </w:rPr>
        <w:footnoteReference w:id="33"/>
      </w:r>
      <w:r w:rsidR="00B12B14" w:rsidRPr="00B53A59">
        <w:rPr>
          <w:vertAlign w:val="superscript"/>
        </w:rPr>
        <w:fldChar w:fldCharType="begin"/>
      </w:r>
      <w:r w:rsidR="00B12B14" w:rsidRPr="00B53A59">
        <w:rPr>
          <w:vertAlign w:val="superscript"/>
        </w:rPr>
        <w:instrText xml:space="preserve"> NOTEREF _Ref31790732 \h  \* MERGEFORMAT </w:instrText>
      </w:r>
      <w:r w:rsidR="00B12B14" w:rsidRPr="00B53A59">
        <w:rPr>
          <w:vertAlign w:val="superscript"/>
        </w:rPr>
      </w:r>
      <w:r w:rsidR="00B12B14" w:rsidRPr="00B53A59">
        <w:rPr>
          <w:vertAlign w:val="superscript"/>
        </w:rPr>
        <w:fldChar w:fldCharType="separate"/>
      </w:r>
      <w:r w:rsidR="00B461DE">
        <w:rPr>
          <w:b/>
          <w:bCs/>
          <w:vertAlign w:val="superscript"/>
          <w:lang w:val="en-US"/>
        </w:rPr>
        <w:t>Error! Bookmark not defined.</w:t>
      </w:r>
      <w:r w:rsidR="00B12B14" w:rsidRPr="00B53A59">
        <w:rPr>
          <w:vertAlign w:val="superscript"/>
        </w:rPr>
        <w:fldChar w:fldCharType="end"/>
      </w:r>
      <w:r w:rsidRPr="00B53A59">
        <w:t xml:space="preserve"> states the following in regard to the extrapolation of clinical data for medicinal products with multiple indications:</w:t>
      </w:r>
    </w:p>
    <w:p w14:paraId="53CDDC63" w14:textId="2080A9B5" w:rsidR="00200B27" w:rsidRPr="00E55829" w:rsidRDefault="00200B27" w:rsidP="00200B27">
      <w:pPr>
        <w:ind w:left="720"/>
      </w:pPr>
      <w:r w:rsidRPr="00B53A59">
        <w:t>‘</w:t>
      </w:r>
      <w:r w:rsidRPr="00B53A59">
        <w:rPr>
          <w:i/>
        </w:rPr>
        <w:t>In case the originally authorised medicinal product has more than one indication, the efficacy and safety of</w:t>
      </w:r>
      <w:r w:rsidRPr="00E55829">
        <w:rPr>
          <w:i/>
        </w:rPr>
        <w:t xml:space="preserve"> the medicinal product c</w:t>
      </w:r>
      <w:r>
        <w:rPr>
          <w:i/>
        </w:rPr>
        <w:t xml:space="preserve">laimed to be similar has to be </w:t>
      </w:r>
      <w:r w:rsidRPr="00E55829">
        <w:rPr>
          <w:i/>
        </w:rPr>
        <w:t xml:space="preserve">justified or, if necessary, demonstrated separately for each of the claimed indications. In certain cases, it may be possible to extrapolate therapeutic similarity shown in one indication to other indications of the reference medicinal product. Justification will depend on </w:t>
      </w:r>
      <w:r>
        <w:rPr>
          <w:i/>
        </w:rPr>
        <w:t>for example,</w:t>
      </w:r>
      <w:r w:rsidRPr="00E55829">
        <w:rPr>
          <w:i/>
        </w:rPr>
        <w:t xml:space="preserve"> clinical experience, available literature data, whether or not the same mechanisms of action or the same receptor(s) are involved in all indications. Possible safety issues in different subpopulations should also be addressed.’</w:t>
      </w:r>
    </w:p>
    <w:p w14:paraId="1B8C97C3" w14:textId="658D0ED9" w:rsidR="00200B27" w:rsidRPr="00E55829" w:rsidRDefault="00200B27" w:rsidP="00200B27">
      <w:r w:rsidRPr="00E55829">
        <w:t xml:space="preserve">The above recommendation does not specify the extent or nature of the justification for extrapolation of indications where the originally authorised product has multiple indications. This requires case by case </w:t>
      </w:r>
      <w:r w:rsidR="00CC73FE" w:rsidRPr="00E55829">
        <w:t>consideration, which</w:t>
      </w:r>
      <w:r w:rsidRPr="00E55829">
        <w:t xml:space="preserve"> allows the possibility of regulatory agencies reaching different conclusion when presented with the same dataset.</w:t>
      </w:r>
    </w:p>
    <w:p w14:paraId="7BA6C67D" w14:textId="3159D75C" w:rsidR="00200B27" w:rsidRPr="00E55829" w:rsidRDefault="00207188" w:rsidP="00200B27">
      <w:r>
        <w:lastRenderedPageBreak/>
        <w:t xml:space="preserve">The </w:t>
      </w:r>
      <w:r w:rsidR="00200B27" w:rsidRPr="00E55829">
        <w:t xml:space="preserve">ACPM noted that it has not been established that the role of TNFα in </w:t>
      </w:r>
      <w:r w:rsidR="00200B27">
        <w:t>CD</w:t>
      </w:r>
      <w:r w:rsidR="00200B27" w:rsidRPr="00E55829">
        <w:t xml:space="preserve"> and </w:t>
      </w:r>
      <w:r w:rsidR="00200B27">
        <w:t>UC</w:t>
      </w:r>
      <w:r w:rsidR="00200B27" w:rsidRPr="00E55829">
        <w:t xml:space="preserve"> is identical to that in </w:t>
      </w:r>
      <w:r w:rsidR="00200B27">
        <w:t>RA</w:t>
      </w:r>
      <w:r w:rsidR="00200B27" w:rsidRPr="00E55829">
        <w:t xml:space="preserve"> and that the binding of </w:t>
      </w:r>
      <w:proofErr w:type="spellStart"/>
      <w:r w:rsidR="00200B27">
        <w:t>s</w:t>
      </w:r>
      <w:r w:rsidR="00200B27" w:rsidRPr="00E55829">
        <w:t>TNF</w:t>
      </w:r>
      <w:proofErr w:type="spellEnd"/>
      <w:r w:rsidR="00200B27" w:rsidRPr="00E55829">
        <w:t>α does not fully exp</w:t>
      </w:r>
      <w:r w:rsidR="00200B27">
        <w:t xml:space="preserve">lain the mode of action of anti </w:t>
      </w:r>
      <w:r w:rsidR="00200B27" w:rsidRPr="00E55829">
        <w:t>TNF agents</w:t>
      </w:r>
      <w:r w:rsidR="00200B27">
        <w:t xml:space="preserve"> in inflammatory bowel disease.</w:t>
      </w:r>
    </w:p>
    <w:p w14:paraId="4819A185" w14:textId="7948AED0" w:rsidR="00200B27" w:rsidRPr="00E55829" w:rsidRDefault="00200B27" w:rsidP="00200B27">
      <w:r w:rsidRPr="00E55829">
        <w:t xml:space="preserve">The sponsor has noted that the role of TNFα might not be identical across indications but in all </w:t>
      </w:r>
      <w:r w:rsidR="00801757" w:rsidRPr="00E55829">
        <w:t>indications,</w:t>
      </w:r>
      <w:r w:rsidRPr="00E55829">
        <w:t xml:space="preserve"> for which licensure is sought TNFα is a key factor in inflammation, and structural damage, and is found at high concentrations at the sites of inflammation and in the serum of these patients. Published papers were submitted to support the following statements regarding t</w:t>
      </w:r>
      <w:r>
        <w:t>he mechanisms of action of TNFα; i</w:t>
      </w:r>
      <w:r w:rsidRPr="00E55829">
        <w:t xml:space="preserve">n patients with CD, high levels of TNFα are found in the deeper layers of the lamina </w:t>
      </w:r>
      <w:proofErr w:type="spellStart"/>
      <w:r w:rsidRPr="00E55829">
        <w:t>propria</w:t>
      </w:r>
      <w:proofErr w:type="spellEnd"/>
      <w:r w:rsidRPr="00E55829">
        <w:t xml:space="preserve"> and submucosa; and in patients with UC high levels of TNFα are observed in the sub epithelium and upper layers o</w:t>
      </w:r>
      <w:r>
        <w:t xml:space="preserve">f the lamina </w:t>
      </w:r>
      <w:proofErr w:type="spellStart"/>
      <w:r>
        <w:t>propria</w:t>
      </w:r>
      <w:proofErr w:type="spellEnd"/>
      <w:r>
        <w:t xml:space="preserve">. Thus anti </w:t>
      </w:r>
      <w:r w:rsidRPr="00E55829">
        <w:t xml:space="preserve">TNFα therapy is an important option in the management </w:t>
      </w:r>
      <w:r>
        <w:t>of these inflammatory diseases.</w:t>
      </w:r>
    </w:p>
    <w:p w14:paraId="1A564BC0" w14:textId="0DE39D17" w:rsidR="00200B27" w:rsidRPr="00E55829" w:rsidRDefault="00200B27" w:rsidP="00200B27">
      <w:r w:rsidRPr="00E55829">
        <w:t xml:space="preserve">Ten published papers identifying mechanisms of action of </w:t>
      </w:r>
      <w:proofErr w:type="spellStart"/>
      <w:r w:rsidRPr="00E55829">
        <w:t>sTNF</w:t>
      </w:r>
      <w:proofErr w:type="spellEnd"/>
      <w:r w:rsidRPr="00E55829">
        <w:t xml:space="preserve">α and a further 7 papers discussing the action and/ or inhibition of </w:t>
      </w:r>
      <w:proofErr w:type="spellStart"/>
      <w:r>
        <w:t>tmTNF</w:t>
      </w:r>
      <w:proofErr w:type="spellEnd"/>
      <w:r>
        <w:t>α</w:t>
      </w:r>
      <w:r w:rsidRPr="00E55829">
        <w:t xml:space="preserve"> in </w:t>
      </w:r>
      <w:r>
        <w:t>inflammatory bowel disease</w:t>
      </w:r>
      <w:r w:rsidRPr="00E55829">
        <w:t xml:space="preserve"> were then described.</w:t>
      </w:r>
    </w:p>
    <w:p w14:paraId="7BA4D5D2" w14:textId="61A3DBD2" w:rsidR="00200B27" w:rsidRPr="003A0ABC" w:rsidRDefault="00200B27" w:rsidP="00200B27">
      <w:r w:rsidRPr="00E55829">
        <w:t>The above papers provided details on the multiple mechanisms of action of TNFα. As</w:t>
      </w:r>
      <w:r>
        <w:t>surance that structural and non</w:t>
      </w:r>
      <w:r w:rsidRPr="00E55829">
        <w:t>clinical findings translate to similarity can only be extrapolated to indications where the mechanism of action of infliximab is the same as the mechanism of action in clinical study indications</w:t>
      </w:r>
      <w:r w:rsidRPr="003A0ABC">
        <w:t xml:space="preserve">. This was the basis of concern that the </w:t>
      </w:r>
      <w:r>
        <w:t>inflammatory bowel disease</w:t>
      </w:r>
      <w:r w:rsidRPr="003A0ABC">
        <w:t xml:space="preserve"> indications of Remicade could not be approved for </w:t>
      </w:r>
      <w:r w:rsidR="00525466">
        <w:t>Inflectra</w:t>
      </w:r>
      <w:r w:rsidRPr="003A0ABC">
        <w:t xml:space="preserve"> but that the remaining indications for Remicade could be approved.</w:t>
      </w:r>
    </w:p>
    <w:p w14:paraId="7DABC7A8" w14:textId="3C1D42F6" w:rsidR="00200B27" w:rsidRPr="00E55829" w:rsidRDefault="00200B27" w:rsidP="00200B27">
      <w:r w:rsidRPr="00E55829">
        <w:t xml:space="preserve">The sponsor has previously provided data that it considered sufficiently characterised all mechanisms of action using physiologically relevant models and has demonstrated similarity of </w:t>
      </w:r>
      <w:r w:rsidR="00525466">
        <w:t>Inflectra</w:t>
      </w:r>
      <w:r>
        <w:t xml:space="preserve"> (CT-P13) with Remicade in:</w:t>
      </w:r>
    </w:p>
    <w:p w14:paraId="4217674D" w14:textId="2F6D16F7" w:rsidR="00200B27" w:rsidRPr="00E55829" w:rsidRDefault="00200B27" w:rsidP="009F4AB2">
      <w:pPr>
        <w:pStyle w:val="ListBullet"/>
      </w:pPr>
      <w:r>
        <w:t>b</w:t>
      </w:r>
      <w:r w:rsidRPr="00E55829">
        <w:t>ind</w:t>
      </w:r>
      <w:r>
        <w:t>ing and neutrali</w:t>
      </w:r>
      <w:r w:rsidR="00207188">
        <w:t>s</w:t>
      </w:r>
      <w:r>
        <w:t xml:space="preserve">ation of </w:t>
      </w:r>
      <w:proofErr w:type="spellStart"/>
      <w:r>
        <w:t>sTNF</w:t>
      </w:r>
      <w:proofErr w:type="spellEnd"/>
      <w:r>
        <w:t>α</w:t>
      </w:r>
    </w:p>
    <w:p w14:paraId="16E2C4C6" w14:textId="7AE4D748" w:rsidR="00200B27" w:rsidRPr="00E55829" w:rsidRDefault="00200B27" w:rsidP="009F4AB2">
      <w:pPr>
        <w:pStyle w:val="ListBullet"/>
      </w:pPr>
      <w:r>
        <w:t xml:space="preserve">binding to </w:t>
      </w:r>
      <w:proofErr w:type="spellStart"/>
      <w:r>
        <w:t>tmTNF</w:t>
      </w:r>
      <w:proofErr w:type="spellEnd"/>
      <w:r>
        <w:t>α</w:t>
      </w:r>
    </w:p>
    <w:p w14:paraId="14A3A491" w14:textId="264C09C2" w:rsidR="00200B27" w:rsidRPr="00E55829" w:rsidRDefault="00200B27" w:rsidP="009F4AB2">
      <w:pPr>
        <w:pStyle w:val="ListBullet"/>
      </w:pPr>
      <w:r>
        <w:t>i</w:t>
      </w:r>
      <w:r w:rsidRPr="00E55829">
        <w:t>nduction of reverse signalling and resulting suppression of cytok</w:t>
      </w:r>
      <w:r>
        <w:t>ines and induction of apoptosis</w:t>
      </w:r>
    </w:p>
    <w:p w14:paraId="64ED10D6" w14:textId="4E7B1EE0" w:rsidR="00200B27" w:rsidRDefault="00200B27" w:rsidP="009F4AB2">
      <w:pPr>
        <w:pStyle w:val="ListBullet"/>
      </w:pPr>
      <w:r>
        <w:t>i</w:t>
      </w:r>
      <w:r w:rsidRPr="00E55829">
        <w:t>nduction of regulatory macrophages</w:t>
      </w:r>
      <w:r>
        <w:t>.</w:t>
      </w:r>
    </w:p>
    <w:p w14:paraId="75ABCA7D" w14:textId="5AB539FA" w:rsidR="00200B27" w:rsidRPr="00553452" w:rsidRDefault="00200B27" w:rsidP="00200B27">
      <w:r w:rsidRPr="00553452">
        <w:t xml:space="preserve">The ACPM has expressed concern that reverse signalling, Fc relative activities and </w:t>
      </w:r>
      <w:r>
        <w:t>ADCC</w:t>
      </w:r>
      <w:r w:rsidRPr="00553452">
        <w:t xml:space="preserve"> may be </w:t>
      </w:r>
      <w:r>
        <w:t xml:space="preserve">important in the action of anti </w:t>
      </w:r>
      <w:r w:rsidRPr="00553452">
        <w:t xml:space="preserve">TNFα agents in </w:t>
      </w:r>
      <w:r>
        <w:t>inflammatory bowel disease</w:t>
      </w:r>
      <w:r w:rsidRPr="00553452">
        <w:t xml:space="preserve"> and that it was difficult to extrapolate efficacy of </w:t>
      </w:r>
      <w:r w:rsidR="00525466">
        <w:t>Inflectra</w:t>
      </w:r>
      <w:r w:rsidRPr="00553452">
        <w:t xml:space="preserve"> in </w:t>
      </w:r>
      <w:r>
        <w:t>RA</w:t>
      </w:r>
      <w:r w:rsidRPr="00553452">
        <w:t xml:space="preserve">, in which reverse signalling and Fc related activities are not important, to </w:t>
      </w:r>
      <w:r>
        <w:t>inflammatory bowel disease</w:t>
      </w:r>
      <w:r w:rsidRPr="00553452">
        <w:t xml:space="preserve"> where those mechanisms may be important. The sponsor has provided in vitro comparative tests for these mechanisms of action and contends that an efficacy comparison in the indications with likely varying mechanisms of action is not needed. </w:t>
      </w:r>
      <w:r>
        <w:t>A document</w:t>
      </w:r>
      <w:r w:rsidRPr="00553452">
        <w:t xml:space="preserve"> submitted by the sponsor summarised the </w:t>
      </w:r>
      <w:r w:rsidR="00801757" w:rsidRPr="00553452">
        <w:t>assays that</w:t>
      </w:r>
      <w:r w:rsidRPr="00553452">
        <w:t xml:space="preserve"> have been performed. </w:t>
      </w:r>
      <w:r>
        <w:t xml:space="preserve">The Delegate </w:t>
      </w:r>
      <w:r w:rsidRPr="00553452">
        <w:t>note</w:t>
      </w:r>
      <w:r>
        <w:t>d</w:t>
      </w:r>
      <w:r w:rsidRPr="00553452">
        <w:t xml:space="preserve"> the nonclinical evaluator did not consider that this product should be rejected due to insufficient evidence of comparability of the mechanism of action between </w:t>
      </w:r>
      <w:r w:rsidR="00525466">
        <w:t>Inflectra</w:t>
      </w:r>
      <w:r w:rsidRPr="00553452">
        <w:t xml:space="preserve"> and </w:t>
      </w:r>
      <w:r>
        <w:t>Remicade</w:t>
      </w:r>
      <w:r w:rsidRPr="00553452">
        <w:t>.</w:t>
      </w:r>
    </w:p>
    <w:p w14:paraId="5A841B10" w14:textId="0716D893" w:rsidR="00200B27" w:rsidRPr="00553452" w:rsidRDefault="00200B27" w:rsidP="00200B27">
      <w:pPr>
        <w:pStyle w:val="Heading5"/>
      </w:pPr>
      <w:r w:rsidRPr="00553452">
        <w:t xml:space="preserve">Dose required to treat </w:t>
      </w:r>
      <w:r>
        <w:t>inflammatory bowel disease</w:t>
      </w:r>
      <w:r w:rsidRPr="00553452">
        <w:t xml:space="preserve"> is higher than the rheumatoid arthritis dose and there might be a different spectrum of activity of </w:t>
      </w:r>
      <w:r>
        <w:t>infliximab in these conditions</w:t>
      </w:r>
    </w:p>
    <w:p w14:paraId="190F262F" w14:textId="5843B22B" w:rsidR="00200B27" w:rsidRPr="00553452" w:rsidRDefault="00200B27" w:rsidP="00200B27">
      <w:r w:rsidRPr="00553452">
        <w:t xml:space="preserve">The ACPM previously noted that the dose of </w:t>
      </w:r>
      <w:r w:rsidR="00525466">
        <w:t>Inflectra</w:t>
      </w:r>
      <w:r w:rsidRPr="00553452">
        <w:t xml:space="preserve"> in </w:t>
      </w:r>
      <w:r>
        <w:t>inflammatory bowel disease</w:t>
      </w:r>
      <w:r w:rsidRPr="00553452">
        <w:t xml:space="preserve"> indications is 5 mg/</w:t>
      </w:r>
      <w:r w:rsidR="00801757" w:rsidRPr="00553452">
        <w:t>kg, which</w:t>
      </w:r>
      <w:r w:rsidRPr="00553452">
        <w:t xml:space="preserve"> may be increased to 10 mg under certain circumstances. However, the </w:t>
      </w:r>
      <w:r w:rsidR="00525466">
        <w:t>Inflectra</w:t>
      </w:r>
      <w:r w:rsidRPr="00553452">
        <w:t xml:space="preserve"> clinical trial programme did not utilise doses over 5 mg/kg for any patients. The infliximab dose regimen for patients with </w:t>
      </w:r>
      <w:r>
        <w:t>RA</w:t>
      </w:r>
      <w:r w:rsidR="00801757">
        <w:t xml:space="preserve"> is 3 mg/kg at W</w:t>
      </w:r>
      <w:r w:rsidRPr="00553452">
        <w:t xml:space="preserve">eeks 0, 2 and 6 then every 8 weeks thereafter. For the </w:t>
      </w:r>
      <w:r>
        <w:t>inflammatory bowel disease</w:t>
      </w:r>
      <w:r w:rsidRPr="00553452">
        <w:t xml:space="preserve"> indications the recommended doses are for an initial dose regimen of 5 mg/kg at weeks 0, 2 and 6 and </w:t>
      </w:r>
      <w:r w:rsidRPr="00553452">
        <w:lastRenderedPageBreak/>
        <w:t>then maint</w:t>
      </w:r>
      <w:r>
        <w:t>enance doses of 5 mg/kg every 8 </w:t>
      </w:r>
      <w:r w:rsidRPr="00553452">
        <w:t xml:space="preserve">weeks thereafter. For patients with </w:t>
      </w:r>
      <w:r>
        <w:t>CD</w:t>
      </w:r>
      <w:r w:rsidRPr="00553452">
        <w:t xml:space="preserve"> indications the maintenance doses may be increased to 10 mg/kg for patients who have an incomplete response during maintenance treatment. This higher dose applies t</w:t>
      </w:r>
      <w:r>
        <w:t>o children as young as 6 years.</w:t>
      </w:r>
    </w:p>
    <w:p w14:paraId="753885BB" w14:textId="39277F69" w:rsidR="00200B27" w:rsidRPr="00553452" w:rsidRDefault="00200B27" w:rsidP="00200B27">
      <w:r w:rsidRPr="00553452">
        <w:t xml:space="preserve">The sponsor performed Study CT-P13 3.1 in patients with </w:t>
      </w:r>
      <w:r>
        <w:t>AS</w:t>
      </w:r>
      <w:r w:rsidRPr="00553452">
        <w:t xml:space="preserve"> who received the 5 mg/kg dose regimen</w:t>
      </w:r>
      <w:r>
        <w:t xml:space="preserve">. This was a randomised, double blind, multicentre, parallel </w:t>
      </w:r>
      <w:r w:rsidRPr="00553452">
        <w:t>group Phase I study designed to compare the pharmacokinetics and safety of multiple doses of CT-P13 (5 mg/kg) with the reference product, Remicad</w:t>
      </w:r>
      <w:r>
        <w:t xml:space="preserve">e (5 mg/kg) administered by a 2 </w:t>
      </w:r>
      <w:r w:rsidRPr="00553452">
        <w:t xml:space="preserve">hour IV infusion per dose in patients with active </w:t>
      </w:r>
      <w:r>
        <w:t>AS</w:t>
      </w:r>
      <w:r w:rsidRPr="00553452">
        <w:t>. Patients were randomly assigned in a 1:1 ratio to receive either CT</w:t>
      </w:r>
      <w:r>
        <w:t>-</w:t>
      </w:r>
      <w:r w:rsidRPr="00553452">
        <w:t>P13 or Remicade as a single dose of study treatment on the first day of each dosing period. The total duration of the study was up to 68 weeks. The dosing interval in the maintenance phase was 8 weeks.</w:t>
      </w:r>
    </w:p>
    <w:p w14:paraId="146F3AAB" w14:textId="64B546E9" w:rsidR="00200B27" w:rsidRPr="00553452" w:rsidRDefault="00200B27" w:rsidP="00200B27">
      <w:r w:rsidRPr="00553452">
        <w:t>The sponsor submitted a dose proportionality of CT-P13 extrapolated from a population pharmacokinetic analysis. While this analysis demonstra</w:t>
      </w:r>
      <w:r>
        <w:t>ted linearity within the 3 to 5 </w:t>
      </w:r>
      <w:r w:rsidRPr="00553452">
        <w:t xml:space="preserve">mg/kg dose range it did not address whether there could be loss of linearity with doses of 10 mg/kg. The pharmacokinetic parameters of </w:t>
      </w:r>
      <w:r>
        <w:t>Remicade</w:t>
      </w:r>
      <w:r w:rsidRPr="00553452">
        <w:t xml:space="preserve"> are known to be proportional to the doses given (5 and 10 mg/kg in patients with </w:t>
      </w:r>
      <w:r>
        <w:t>CD</w:t>
      </w:r>
      <w:r w:rsidRPr="00553452">
        <w:t xml:space="preserve">, 5, 10, and 20 mg/kg in patients with RA) in previous reports of pharmacokinetics of </w:t>
      </w:r>
      <w:r>
        <w:t>Remicade</w:t>
      </w:r>
      <w:r w:rsidRPr="00553452">
        <w:t xml:space="preserve"> and as stated in the PI for </w:t>
      </w:r>
      <w:r>
        <w:t>Remicade</w:t>
      </w:r>
      <w:r w:rsidRPr="00553452">
        <w:t xml:space="preserve">. It is therefore reasonable to assume that dose proportionality for </w:t>
      </w:r>
      <w:r w:rsidR="00525466">
        <w:t>Inflectra</w:t>
      </w:r>
      <w:r w:rsidRPr="00553452">
        <w:t xml:space="preserve"> at doses u</w:t>
      </w:r>
      <w:r>
        <w:t>p to 20 mg/kg would also occur.</w:t>
      </w:r>
    </w:p>
    <w:p w14:paraId="0A2A5C9C" w14:textId="79A7D36E" w:rsidR="00200B27" w:rsidRPr="00553452" w:rsidRDefault="00200B27" w:rsidP="00200B27">
      <w:pPr>
        <w:pStyle w:val="Heading5"/>
      </w:pPr>
      <w:r>
        <w:t>Post-market studies</w:t>
      </w:r>
    </w:p>
    <w:p w14:paraId="162F7FC7" w14:textId="2B97CCA2" w:rsidR="00200B27" w:rsidRPr="00553452" w:rsidRDefault="00200B27" w:rsidP="00200B27">
      <w:r w:rsidRPr="00553452">
        <w:t>Updates from four post-market studies were presented.</w:t>
      </w:r>
    </w:p>
    <w:p w14:paraId="3745A420" w14:textId="7757E4B0" w:rsidR="00200B27" w:rsidRPr="00A60BBE" w:rsidRDefault="00200B27" w:rsidP="00200B27">
      <w:pPr>
        <w:pStyle w:val="Heading6"/>
      </w:pPr>
      <w:r w:rsidRPr="00A60BBE">
        <w:t>Czech Republic Cohort Assessment</w:t>
      </w:r>
    </w:p>
    <w:p w14:paraId="58F813F7" w14:textId="54001F82" w:rsidR="00200B27" w:rsidRPr="00294E01" w:rsidRDefault="00200B27" w:rsidP="00200B27">
      <w:pPr>
        <w:pStyle w:val="Comment"/>
      </w:pPr>
      <w:r w:rsidRPr="00294E01">
        <w:rPr>
          <w:b/>
        </w:rPr>
        <w:t>Comment:</w:t>
      </w:r>
      <w:r w:rsidR="00801757">
        <w:t xml:space="preserve"> N</w:t>
      </w:r>
      <w:r w:rsidRPr="00294E01">
        <w:t xml:space="preserve">o response or remission results were provided for patients who had switched from other therapies. For patients commencing therapy, particularly those with CD the results appear extremely good, though this is based on </w:t>
      </w:r>
      <w:r>
        <w:t xml:space="preserve">very low patient numbers. Cross </w:t>
      </w:r>
      <w:r w:rsidRPr="00294E01">
        <w:t xml:space="preserve">study comparisons with </w:t>
      </w:r>
      <w:r>
        <w:t>Remicade</w:t>
      </w:r>
      <w:r w:rsidRPr="00294E01">
        <w:t xml:space="preserve"> are limited due to the use of different methods of assessment of clinical response/ remission, as well as the size and design of the assessment.</w:t>
      </w:r>
    </w:p>
    <w:p w14:paraId="4022D44E" w14:textId="367CA410" w:rsidR="00200B27" w:rsidRPr="00294E01" w:rsidRDefault="00200B27" w:rsidP="00200B27">
      <w:pPr>
        <w:pStyle w:val="Heading6"/>
      </w:pPr>
      <w:r>
        <w:t>Hungarian Cohort Assessment</w:t>
      </w:r>
    </w:p>
    <w:p w14:paraId="36556A3A" w14:textId="70223903" w:rsidR="00200B27" w:rsidRPr="00A42380" w:rsidRDefault="00200B27" w:rsidP="00200B27">
      <w:pPr>
        <w:pStyle w:val="Comment"/>
        <w:ind w:left="1134" w:hanging="1134"/>
      </w:pPr>
      <w:r w:rsidRPr="00A42380">
        <w:rPr>
          <w:b/>
        </w:rPr>
        <w:t>Comment:</w:t>
      </w:r>
      <w:r w:rsidRPr="00A42380">
        <w:t xml:space="preserve"> While cross study comparison with </w:t>
      </w:r>
      <w:r>
        <w:t>Remicade</w:t>
      </w:r>
      <w:r w:rsidRPr="00A42380">
        <w:t xml:space="preserve"> efficacy and antibody positivity rates is limited by the use of differing definitions of remission, assessment time</w:t>
      </w:r>
      <w:r>
        <w:t xml:space="preserve"> </w:t>
      </w:r>
      <w:r w:rsidRPr="00A42380">
        <w:t xml:space="preserve">points and study design it is clear that </w:t>
      </w:r>
      <w:r w:rsidR="00525466">
        <w:t>Inflectra</w:t>
      </w:r>
      <w:r w:rsidRPr="00A42380">
        <w:t xml:space="preserve"> has some efficacy. The </w:t>
      </w:r>
      <w:r>
        <w:t>ADA</w:t>
      </w:r>
      <w:r w:rsidRPr="00A42380">
        <w:t xml:space="preserve"> levels are difficult to interpret due to the small numbers of patients assessed and the pre-existing antibody in patient</w:t>
      </w:r>
      <w:r>
        <w:t xml:space="preserve">s who were anti </w:t>
      </w:r>
      <w:r w:rsidRPr="00A42380">
        <w:t>TNF naï</w:t>
      </w:r>
      <w:r>
        <w:t xml:space="preserve">ve. Antibody positivity in anti </w:t>
      </w:r>
      <w:r w:rsidRPr="00A42380">
        <w:t>TNF experienced patients at baseline was also quite high.</w:t>
      </w:r>
    </w:p>
    <w:p w14:paraId="05D8FF47" w14:textId="412677D8" w:rsidR="00200B27" w:rsidRPr="00A42380" w:rsidRDefault="00200B27" w:rsidP="00200B27">
      <w:pPr>
        <w:pStyle w:val="Heading6"/>
      </w:pPr>
      <w:r>
        <w:t>Korean Surveillance Study</w:t>
      </w:r>
    </w:p>
    <w:p w14:paraId="52573F63" w14:textId="2F92180A" w:rsidR="00200B27" w:rsidRPr="00A42380" w:rsidRDefault="00200B27" w:rsidP="00200B27">
      <w:pPr>
        <w:pStyle w:val="Comment"/>
      </w:pPr>
      <w:r w:rsidRPr="00FC6524">
        <w:rPr>
          <w:b/>
        </w:rPr>
        <w:t>Comment:</w:t>
      </w:r>
      <w:r w:rsidRPr="00A42380">
        <w:t xml:space="preserve"> The above data allow some comparison with the studies of </w:t>
      </w:r>
      <w:r>
        <w:t>Remicade</w:t>
      </w:r>
      <w:r w:rsidRPr="00A42380">
        <w:t xml:space="preserve"> described in the PI for </w:t>
      </w:r>
      <w:r>
        <w:t>Remicade</w:t>
      </w:r>
      <w:r w:rsidRPr="00A42380">
        <w:t xml:space="preserve"> because the same definition of clinical remission and response for CD was used and there are some efficacy data for the Weeks 14 and 30 assessments. Differences in study size, design and patient selection still limit the comparison </w:t>
      </w:r>
      <w:r w:rsidR="00801757" w:rsidRPr="00A42380">
        <w:t>however,</w:t>
      </w:r>
      <w:r w:rsidRPr="00A42380">
        <w:t xml:space="preserve"> the efficacy results for </w:t>
      </w:r>
      <w:r w:rsidR="00525466">
        <w:t>Inflectra</w:t>
      </w:r>
      <w:r w:rsidRPr="00A42380">
        <w:t xml:space="preserve"> appear broadly comparable to those of </w:t>
      </w:r>
      <w:r>
        <w:t>Remicade.</w:t>
      </w:r>
    </w:p>
    <w:p w14:paraId="78279619" w14:textId="190846D4" w:rsidR="00200B27" w:rsidRPr="00A42380" w:rsidRDefault="00200B27" w:rsidP="00200B27">
      <w:pPr>
        <w:pStyle w:val="Heading6"/>
      </w:pPr>
      <w:r>
        <w:t>Norwegian Cohort Assessment</w:t>
      </w:r>
    </w:p>
    <w:p w14:paraId="5FDBD206" w14:textId="56F15733" w:rsidR="00200B27" w:rsidRPr="00A42380" w:rsidRDefault="00200B27" w:rsidP="00200B27">
      <w:pPr>
        <w:pStyle w:val="Comment"/>
      </w:pPr>
      <w:r w:rsidRPr="00A42380">
        <w:rPr>
          <w:b/>
        </w:rPr>
        <w:t>Comment:</w:t>
      </w:r>
      <w:r>
        <w:t xml:space="preserve"> </w:t>
      </w:r>
      <w:r w:rsidRPr="00A42380">
        <w:t xml:space="preserve">The definitions of clinical remission and response for CD in this cohort assessment have allowed for reporting of higher rates of remission than for response. </w:t>
      </w:r>
      <w:r w:rsidR="00801757" w:rsidRPr="00A42380">
        <w:t>Nevertheless,</w:t>
      </w:r>
      <w:r w:rsidRPr="00A42380">
        <w:t xml:space="preserve"> the results are similar to those of other post-market </w:t>
      </w:r>
      <w:r w:rsidRPr="00A42380">
        <w:lastRenderedPageBreak/>
        <w:t xml:space="preserve">studies of </w:t>
      </w:r>
      <w:r w:rsidR="00525466">
        <w:t>Inflectra</w:t>
      </w:r>
      <w:r w:rsidRPr="00A42380">
        <w:t xml:space="preserve"> and broadly consistent with results for </w:t>
      </w:r>
      <w:r>
        <w:t>Remicade</w:t>
      </w:r>
      <w:r w:rsidRPr="00A42380">
        <w:t xml:space="preserve"> in both CD and UC.</w:t>
      </w:r>
    </w:p>
    <w:p w14:paraId="0F152333" w14:textId="1E578E0F" w:rsidR="00200B27" w:rsidRPr="00BB57EA" w:rsidRDefault="00200B27" w:rsidP="00200B27">
      <w:pPr>
        <w:pStyle w:val="Heading5"/>
      </w:pPr>
      <w:r>
        <w:t>Paediatric data in inflammatory bowel disease</w:t>
      </w:r>
    </w:p>
    <w:p w14:paraId="38F40809" w14:textId="7663468D" w:rsidR="00200B27" w:rsidRPr="00BB57EA" w:rsidRDefault="00200B27" w:rsidP="00200B27">
      <w:r w:rsidRPr="00BB57EA">
        <w:t xml:space="preserve">The ACPM previously considered there were insufficient data to extend </w:t>
      </w:r>
      <w:r w:rsidR="00525466">
        <w:t>Inflectra</w:t>
      </w:r>
      <w:r w:rsidRPr="00BB57EA">
        <w:t xml:space="preserve"> use to </w:t>
      </w:r>
      <w:r>
        <w:t>inflammatory bowel disease</w:t>
      </w:r>
      <w:r w:rsidRPr="00BB57EA">
        <w:t xml:space="preserve"> indications. Limited information on the use of </w:t>
      </w:r>
      <w:r w:rsidR="00525466">
        <w:t>Inflectra</w:t>
      </w:r>
      <w:r w:rsidRPr="00BB57EA">
        <w:t xml:space="preserve"> in a cohort of children with </w:t>
      </w:r>
      <w:r>
        <w:t>inflammatory bowel disease</w:t>
      </w:r>
      <w:r w:rsidRPr="00BB57EA">
        <w:t xml:space="preserve"> was presented in 2 posters from D. </w:t>
      </w:r>
      <w:proofErr w:type="spellStart"/>
      <w:r w:rsidRPr="00BB57EA">
        <w:t>Jarzebicka</w:t>
      </w:r>
      <w:proofErr w:type="spellEnd"/>
      <w:r w:rsidRPr="00BB57EA">
        <w:t xml:space="preserve"> et al. These posters presented preliminary efficacy data from 32 paediatric CD patients and 6 paediatric UC patients. The posters were presented at the 10th Congress of European Crohn’s and Colitis</w:t>
      </w:r>
      <w:r>
        <w:t xml:space="preserve"> Organisation (ECCO) in Spain. </w:t>
      </w:r>
      <w:r w:rsidRPr="00BB57EA">
        <w:t xml:space="preserve">Another poster, by J. </w:t>
      </w:r>
      <w:proofErr w:type="spellStart"/>
      <w:r w:rsidRPr="00BB57EA">
        <w:t>Sieczkowska</w:t>
      </w:r>
      <w:proofErr w:type="spellEnd"/>
      <w:r w:rsidRPr="00BB57EA">
        <w:t xml:space="preserve"> et al</w:t>
      </w:r>
      <w:r w:rsidR="00207188">
        <w:t>.</w:t>
      </w:r>
      <w:r w:rsidRPr="00BB57EA">
        <w:t xml:space="preserve">, presented efficacy data from 12 children with CD treated in Poland. It was not possible to determine whether these children were a subset of the 32 children included in the cohort described in the poster by D. </w:t>
      </w:r>
      <w:proofErr w:type="spellStart"/>
      <w:r w:rsidRPr="00BB57EA">
        <w:t>Jarzebicka</w:t>
      </w:r>
      <w:proofErr w:type="spellEnd"/>
      <w:r w:rsidRPr="00BB57EA">
        <w:t xml:space="preserve"> et al.</w:t>
      </w:r>
      <w:r w:rsidR="00207188">
        <w:t>,</w:t>
      </w:r>
      <w:r w:rsidRPr="00BB57EA">
        <w:t xml:space="preserve"> though the sponsor has stated these were independent groups in Poland and </w:t>
      </w:r>
      <w:r>
        <w:t>the data were from 50 children.</w:t>
      </w:r>
    </w:p>
    <w:p w14:paraId="04E51711" w14:textId="429ACFE4" w:rsidR="00200B27" w:rsidRPr="00BB57EA" w:rsidRDefault="00200B27" w:rsidP="00200B27">
      <w:r w:rsidRPr="00BB57EA">
        <w:t xml:space="preserve">Efficacy assessment was primarily by </w:t>
      </w:r>
      <w:r>
        <w:t>Paediatric Crohn’s Disease Activity Index (</w:t>
      </w:r>
      <w:r w:rsidRPr="00BB57EA">
        <w:t>PCDAI</w:t>
      </w:r>
      <w:r>
        <w:t>)</w:t>
      </w:r>
      <w:r w:rsidRPr="00BB57EA">
        <w:t xml:space="preserve"> for the induction period only. In all 3 </w:t>
      </w:r>
      <w:r w:rsidR="00801757" w:rsidRPr="00BB57EA">
        <w:t>posters,</w:t>
      </w:r>
      <w:r w:rsidRPr="00BB57EA">
        <w:t xml:space="preserve"> there was a reduction from baseline in mean PCDAI in these</w:t>
      </w:r>
      <w:r>
        <w:t xml:space="preserve"> children.</w:t>
      </w:r>
    </w:p>
    <w:p w14:paraId="63B299D3" w14:textId="19FAC2CC" w:rsidR="00200B27" w:rsidRPr="00BB57EA" w:rsidRDefault="00200B27" w:rsidP="00200B27">
      <w:pPr>
        <w:pStyle w:val="Heading5"/>
      </w:pPr>
      <w:r w:rsidRPr="00BB57EA">
        <w:t>Safety informati</w:t>
      </w:r>
      <w:r>
        <w:t>on from the post-market studies</w:t>
      </w:r>
    </w:p>
    <w:p w14:paraId="55C42BC3" w14:textId="3C5997BB" w:rsidR="00200B27" w:rsidRPr="00BB57EA" w:rsidRDefault="00200B27" w:rsidP="00200B27">
      <w:r w:rsidRPr="00BB57EA">
        <w:t>The post-market data presented</w:t>
      </w:r>
      <w:r>
        <w:t xml:space="preserve"> are generally from small, </w:t>
      </w:r>
      <w:proofErr w:type="spellStart"/>
      <w:r>
        <w:t xml:space="preserve">non </w:t>
      </w:r>
      <w:r w:rsidRPr="00BB57EA">
        <w:t>randomised</w:t>
      </w:r>
      <w:proofErr w:type="spellEnd"/>
      <w:r w:rsidRPr="00BB57EA">
        <w:t xml:space="preserve">, uncontrolled, open studies of short duration data. Among these studies from a total of 518 patients with </w:t>
      </w:r>
      <w:r>
        <w:t>inflammatory bowel disease</w:t>
      </w:r>
      <w:r w:rsidRPr="00BB57EA">
        <w:t xml:space="preserve"> there was only one new case of TB (in a Korean patient). Infusion reactions were reported in none of the Czech patients, 6 Hungarian patients, 9</w:t>
      </w:r>
      <w:r w:rsidR="00207188">
        <w:t> </w:t>
      </w:r>
      <w:r w:rsidRPr="00BB57EA">
        <w:t>Korean patients and at least 2 Norwegian patients. Two Norwegian patients discontinued due to infusion reactions, one of which was considered to be severe.</w:t>
      </w:r>
    </w:p>
    <w:p w14:paraId="61CFB832" w14:textId="77777777" w:rsidR="00200B27" w:rsidRPr="00BB57EA" w:rsidRDefault="00200B27" w:rsidP="00200B27">
      <w:pPr>
        <w:pStyle w:val="Heading5"/>
      </w:pPr>
      <w:r>
        <w:t>Discussion</w:t>
      </w:r>
    </w:p>
    <w:p w14:paraId="78DA46A1" w14:textId="77777777" w:rsidR="00200B27" w:rsidRPr="00BB57EA" w:rsidRDefault="00200B27" w:rsidP="00200B27">
      <w:r w:rsidRPr="00BB57EA">
        <w:t xml:space="preserve">The issues of concern to the ACPM regarding the benefits and risks from the use of </w:t>
      </w:r>
      <w:r w:rsidR="00525466">
        <w:t>Inflectra</w:t>
      </w:r>
      <w:r w:rsidRPr="00BB57EA">
        <w:t xml:space="preserve"> in patients with </w:t>
      </w:r>
      <w:r>
        <w:t>inflammatory bowel disease</w:t>
      </w:r>
      <w:r w:rsidRPr="00BB57EA">
        <w:t xml:space="preserve"> have been further assessed. The additional information comprised further scientific justification for extrapolation of the indications to include </w:t>
      </w:r>
      <w:r>
        <w:t>inflammatory bowel disease</w:t>
      </w:r>
      <w:r w:rsidRPr="00BB57EA">
        <w:t xml:space="preserve"> indications and additional post-market data. </w:t>
      </w:r>
      <w:r>
        <w:t>The Delegate</w:t>
      </w:r>
      <w:r w:rsidRPr="00BB57EA">
        <w:t xml:space="preserve"> previously had no objection to the inclusion of </w:t>
      </w:r>
      <w:r>
        <w:t>inflammatory bowel disease</w:t>
      </w:r>
      <w:r w:rsidRPr="00BB57EA">
        <w:t xml:space="preserve"> indications for </w:t>
      </w:r>
      <w:r w:rsidR="00525466">
        <w:t>Inflectra</w:t>
      </w:r>
      <w:r w:rsidRPr="00BB57EA">
        <w:t xml:space="preserve"> and continue</w:t>
      </w:r>
      <w:r>
        <w:t>s</w:t>
      </w:r>
      <w:r w:rsidRPr="00BB57EA">
        <w:t xml:space="preserve"> to consider that inclusion of these indications is acceptab</w:t>
      </w:r>
      <w:r>
        <w:t>le based on the data submitted.</w:t>
      </w:r>
    </w:p>
    <w:p w14:paraId="68D480FA" w14:textId="63D2F950" w:rsidR="00200B27" w:rsidRPr="00BB57EA" w:rsidRDefault="00200B27" w:rsidP="00200B27">
      <w:r w:rsidRPr="00BB57EA">
        <w:t xml:space="preserve">The sponsor has presented more recent safety and efficacy data on the use of </w:t>
      </w:r>
      <w:r w:rsidR="00525466">
        <w:t>Inflectra</w:t>
      </w:r>
      <w:r w:rsidRPr="00BB57EA">
        <w:t xml:space="preserve"> in </w:t>
      </w:r>
      <w:r>
        <w:t>inflammatory bowel disease</w:t>
      </w:r>
      <w:r w:rsidRPr="00BB57EA">
        <w:t xml:space="preserve"> indications. These are post-market case series and one open study and do not provide a direct comparison of either the safety or efficacy of </w:t>
      </w:r>
      <w:r w:rsidR="00525466">
        <w:t>Inflectra</w:t>
      </w:r>
      <w:r w:rsidRPr="00BB57EA">
        <w:t xml:space="preserve"> with the innovator infliximab product, </w:t>
      </w:r>
      <w:r>
        <w:t>Remicade</w:t>
      </w:r>
      <w:r w:rsidRPr="00BB57EA">
        <w:t xml:space="preserve">. They </w:t>
      </w:r>
      <w:r>
        <w:t>are open, uncontrolled, and non</w:t>
      </w:r>
      <w:r w:rsidR="00207188">
        <w:noBreakHyphen/>
      </w:r>
      <w:r w:rsidRPr="00BB57EA">
        <w:t>randomised. Varying methods were used to assess efficacy, the duration of assessment included the induction period only in the majorit</w:t>
      </w:r>
      <w:r>
        <w:t xml:space="preserve">y of cases and only broad cross </w:t>
      </w:r>
      <w:r w:rsidRPr="00BB57EA">
        <w:t xml:space="preserve">study comparisons with the efficacy of </w:t>
      </w:r>
      <w:r>
        <w:t xml:space="preserve">Remicade is possible. </w:t>
      </w:r>
      <w:r w:rsidR="00801757">
        <w:t>Nevertheless,</w:t>
      </w:r>
      <w:r>
        <w:t xml:space="preserve"> the Delegate</w:t>
      </w:r>
      <w:r w:rsidRPr="00BB57EA">
        <w:t xml:space="preserve"> do</w:t>
      </w:r>
      <w:r>
        <w:t>es</w:t>
      </w:r>
      <w:r w:rsidRPr="00BB57EA">
        <w:t xml:space="preserve"> not consider that a comprehensive development program to examine the efficacy and safety of </w:t>
      </w:r>
      <w:r w:rsidR="00525466">
        <w:t>Inflectra</w:t>
      </w:r>
      <w:r w:rsidRPr="00BB57EA">
        <w:t xml:space="preserve"> in </w:t>
      </w:r>
      <w:r>
        <w:t>inflammatory bowel disease</w:t>
      </w:r>
      <w:r w:rsidRPr="00BB57EA">
        <w:t xml:space="preserve"> indications is necessary given the comparative data on structure and function previously considered acceptable for the o</w:t>
      </w:r>
      <w:r>
        <w:t>ther indications of infliximab.</w:t>
      </w:r>
    </w:p>
    <w:p w14:paraId="3B64E5A4" w14:textId="77777777" w:rsidR="00200B27" w:rsidRDefault="00200B27" w:rsidP="00200B27">
      <w:r w:rsidRPr="00BB57EA">
        <w:t xml:space="preserve">The major issue of concern currently is the exposure of children to </w:t>
      </w:r>
      <w:r w:rsidR="00525466">
        <w:t>Inflectra</w:t>
      </w:r>
      <w:r w:rsidRPr="00BB57EA">
        <w:t xml:space="preserve">. Data are available only from poster presentations from the 10th ECCO, held in February 2015. While efficacy of </w:t>
      </w:r>
      <w:r w:rsidR="00525466">
        <w:t>Inflectra</w:t>
      </w:r>
      <w:r w:rsidRPr="00BB57EA">
        <w:t xml:space="preserve"> was shown in these cohorts of children no information on the ages of the children treated or the severity of initial disease w</w:t>
      </w:r>
      <w:r>
        <w:t>as</w:t>
      </w:r>
      <w:r w:rsidRPr="00BB57EA">
        <w:t xml:space="preserve"> provided, nor were safety data presented. However, data on use of a product in paediatric subgroups is not a requirement in any of the adopted EU guidelines concerning </w:t>
      </w:r>
      <w:proofErr w:type="spellStart"/>
      <w:r w:rsidRPr="00BB57EA">
        <w:t>biosimilars</w:t>
      </w:r>
      <w:proofErr w:type="spellEnd"/>
      <w:r w:rsidRPr="00BB57EA">
        <w:t xml:space="preserve">. The Australian specific guideline is under review. Given this, </w:t>
      </w:r>
      <w:r>
        <w:t>the Delegate is</w:t>
      </w:r>
      <w:r w:rsidRPr="00BB57EA">
        <w:t xml:space="preserve"> inclined to consider the limited information provided to be acceptable.</w:t>
      </w:r>
    </w:p>
    <w:p w14:paraId="28CA90DB" w14:textId="77777777" w:rsidR="00200B27" w:rsidRPr="00C34EAF" w:rsidRDefault="00200B27" w:rsidP="00200B27">
      <w:pPr>
        <w:pStyle w:val="Heading5"/>
      </w:pPr>
      <w:r w:rsidRPr="00C34EAF">
        <w:lastRenderedPageBreak/>
        <w:t>Proposed action</w:t>
      </w:r>
    </w:p>
    <w:p w14:paraId="7E23F7F3" w14:textId="77777777" w:rsidR="00200B27" w:rsidRPr="00BB57EA" w:rsidRDefault="00200B27" w:rsidP="00200B27">
      <w:r w:rsidRPr="00C34EAF">
        <w:t xml:space="preserve">The Delegate had no reason to say, at this time, that the application for </w:t>
      </w:r>
      <w:r w:rsidR="00525466">
        <w:t>Inflectra</w:t>
      </w:r>
      <w:r>
        <w:t xml:space="preserve"> </w:t>
      </w:r>
      <w:r w:rsidRPr="00C34EAF">
        <w:t>should not be approved for registration.</w:t>
      </w:r>
    </w:p>
    <w:p w14:paraId="44EC0FAD" w14:textId="77777777" w:rsidR="00200B27" w:rsidRPr="00BB57EA" w:rsidRDefault="00200B27" w:rsidP="00200B27">
      <w:pPr>
        <w:pStyle w:val="Heading4"/>
      </w:pPr>
      <w:r>
        <w:t>Advice sought (for the June 2015 ACPM meeting)</w:t>
      </w:r>
    </w:p>
    <w:p w14:paraId="2F2236FE" w14:textId="77777777" w:rsidR="00200B27" w:rsidRPr="00BB57EA" w:rsidRDefault="00200B27" w:rsidP="00053448">
      <w:r w:rsidRPr="00BB57EA">
        <w:t>The committee is requested to provide advice on</w:t>
      </w:r>
      <w:r>
        <w:t xml:space="preserve"> the following specific </w:t>
      </w:r>
      <w:r w:rsidRPr="00207188">
        <w:t>issues</w:t>
      </w:r>
      <w:r>
        <w:t>:</w:t>
      </w:r>
    </w:p>
    <w:p w14:paraId="4EA46B44" w14:textId="3498DB03" w:rsidR="00200B27" w:rsidRPr="00BB57EA" w:rsidRDefault="00200B27" w:rsidP="00654E1B">
      <w:pPr>
        <w:pStyle w:val="Numberbullet0"/>
        <w:numPr>
          <w:ilvl w:val="0"/>
          <w:numId w:val="25"/>
        </w:numPr>
      </w:pPr>
      <w:r w:rsidRPr="00BB57EA">
        <w:t xml:space="preserve">The ACPM has previously considered </w:t>
      </w:r>
      <w:r w:rsidR="00525466">
        <w:t>Inflectra</w:t>
      </w:r>
      <w:r w:rsidRPr="00BB57EA">
        <w:t xml:space="preserve"> to have an overall positive benefit–risk profile for the indications of </w:t>
      </w:r>
      <w:r>
        <w:t>Remicade</w:t>
      </w:r>
      <w:r w:rsidRPr="00BB57EA">
        <w:t xml:space="preserve"> (infliximab) other than the </w:t>
      </w:r>
      <w:r>
        <w:t>inflammatory bowel disease</w:t>
      </w:r>
      <w:r w:rsidRPr="00BB57EA">
        <w:t xml:space="preserve"> indications. Having considered the additional justifications and post-market data concerning the safety and efficacy of </w:t>
      </w:r>
      <w:r w:rsidR="00525466">
        <w:t>Inflectra</w:t>
      </w:r>
      <w:r w:rsidRPr="00BB57EA">
        <w:t xml:space="preserve"> in </w:t>
      </w:r>
      <w:r>
        <w:t>inflammatory bowel disease</w:t>
      </w:r>
      <w:r w:rsidRPr="00BB57EA">
        <w:t xml:space="preserve"> </w:t>
      </w:r>
      <w:r w:rsidR="00801757" w:rsidRPr="00BB57EA">
        <w:t>indications,</w:t>
      </w:r>
      <w:r w:rsidRPr="00BB57EA">
        <w:t xml:space="preserve"> does the committee continue</w:t>
      </w:r>
      <w:r>
        <w:t xml:space="preserve"> to consider that the benefit–</w:t>
      </w:r>
      <w:r w:rsidRPr="00BB57EA">
        <w:t>risk p</w:t>
      </w:r>
      <w:r>
        <w:t xml:space="preserve">rofile for </w:t>
      </w:r>
      <w:r w:rsidR="00525466">
        <w:t>Inflectra</w:t>
      </w:r>
      <w:r>
        <w:t xml:space="preserve"> is negative?</w:t>
      </w:r>
    </w:p>
    <w:p w14:paraId="14B3E400" w14:textId="77777777" w:rsidR="00200B27" w:rsidRPr="00BB57EA" w:rsidRDefault="00200B27" w:rsidP="00654E1B">
      <w:pPr>
        <w:pStyle w:val="Numberbullet0"/>
        <w:numPr>
          <w:ilvl w:val="0"/>
          <w:numId w:val="25"/>
        </w:numPr>
      </w:pPr>
      <w:r w:rsidRPr="00BB57EA">
        <w:t xml:space="preserve">The ACPM previously considered that efficacy and safety data on the use of </w:t>
      </w:r>
      <w:r w:rsidR="00525466">
        <w:t>Inflectra</w:t>
      </w:r>
      <w:r w:rsidRPr="00BB57EA">
        <w:t xml:space="preserve">, particularly in children and adolescents with </w:t>
      </w:r>
      <w:r>
        <w:t>inflammatory bowel disease</w:t>
      </w:r>
      <w:r w:rsidRPr="00BB57EA">
        <w:t xml:space="preserve"> was required. Does the committee now consider the additional information on the use of </w:t>
      </w:r>
      <w:r w:rsidR="00525466">
        <w:t>Inflectra</w:t>
      </w:r>
      <w:r w:rsidRPr="00BB57EA">
        <w:t xml:space="preserve"> in </w:t>
      </w:r>
      <w:r>
        <w:t>inflammatory bowel disease</w:t>
      </w:r>
      <w:r w:rsidRPr="00BB57EA">
        <w:t xml:space="preserve"> and specifically in paediatric patients with </w:t>
      </w:r>
      <w:r>
        <w:t>inflammatory bowel disease</w:t>
      </w:r>
      <w:r w:rsidRPr="00BB57EA">
        <w:t xml:space="preserve"> adequ</w:t>
      </w:r>
      <w:r>
        <w:t>ately addresses their concerns?</w:t>
      </w:r>
    </w:p>
    <w:p w14:paraId="25770B34" w14:textId="21A37ED8" w:rsidR="00CF5B2F" w:rsidRDefault="007F5DB2" w:rsidP="00200B27">
      <w:pPr>
        <w:pStyle w:val="Heading4"/>
      </w:pPr>
      <w:r>
        <w:t>Sponsor r</w:t>
      </w:r>
      <w:r w:rsidR="00200B27">
        <w:t>esponse</w:t>
      </w:r>
      <w:r w:rsidR="006F72AD">
        <w:t xml:space="preserve"> to the </w:t>
      </w:r>
      <w:r w:rsidR="009F4AB2">
        <w:t>d</w:t>
      </w:r>
      <w:r w:rsidR="006F72AD">
        <w:t>elegate’s overview for the June 2015 ACPM meeting</w:t>
      </w:r>
    </w:p>
    <w:p w14:paraId="27EC9EBB" w14:textId="373B4EC5" w:rsidR="00CF5B2F" w:rsidRPr="00CA4849" w:rsidRDefault="00CF5B2F" w:rsidP="00FE095F">
      <w:r w:rsidRPr="003025D7">
        <w:t>The sponsor responded to questions, providing additional information for consideration by the Advisory Committee.</w:t>
      </w:r>
    </w:p>
    <w:p w14:paraId="362026E6" w14:textId="77777777" w:rsidR="00200B27" w:rsidRPr="00C53DD2" w:rsidRDefault="00200B27" w:rsidP="00200B27">
      <w:pPr>
        <w:pStyle w:val="Heading4"/>
      </w:pPr>
      <w:r>
        <w:t>June</w:t>
      </w:r>
      <w:r w:rsidRPr="00C53DD2">
        <w:t xml:space="preserve"> 2015 ACPM Meeting</w:t>
      </w:r>
    </w:p>
    <w:p w14:paraId="0A8117E8" w14:textId="77777777" w:rsidR="00200B27" w:rsidRPr="004A4BC1" w:rsidRDefault="00200B27" w:rsidP="00200B27">
      <w:r w:rsidRPr="004A4BC1">
        <w:t xml:space="preserve">The ACPM, taking into account the additional submitted evidence of efficacy and safety considered </w:t>
      </w:r>
      <w:r w:rsidR="00525466">
        <w:t>Inflectra</w:t>
      </w:r>
      <w:r w:rsidRPr="004A4BC1">
        <w:t>, lyophilised powder, containing 100 mg of infliximab</w:t>
      </w:r>
      <w:r>
        <w:t xml:space="preserve"> (rmc)</w:t>
      </w:r>
      <w:r w:rsidRPr="004A4BC1">
        <w:t xml:space="preserve"> to have an overall positive benefit–risk profile for the following indications:</w:t>
      </w:r>
    </w:p>
    <w:p w14:paraId="157EC44C" w14:textId="77777777" w:rsidR="00200B27" w:rsidRDefault="00200B27" w:rsidP="00200B27">
      <w:pPr>
        <w:ind w:left="720"/>
        <w:rPr>
          <w:i/>
        </w:rPr>
      </w:pPr>
      <w:r w:rsidRPr="004A4BC1">
        <w:rPr>
          <w:i/>
        </w:rPr>
        <w:t>Crohn’s Disease in Adults and in Children a</w:t>
      </w:r>
      <w:r>
        <w:rPr>
          <w:i/>
        </w:rPr>
        <w:t>nd adolescents (6 to 17 years):</w:t>
      </w:r>
    </w:p>
    <w:p w14:paraId="3B3D671C" w14:textId="77777777" w:rsidR="00200B27" w:rsidRPr="004A4BC1" w:rsidRDefault="00525466" w:rsidP="00200B27">
      <w:pPr>
        <w:ind w:left="720"/>
        <w:rPr>
          <w:i/>
        </w:rPr>
      </w:pPr>
      <w:r>
        <w:rPr>
          <w:i/>
        </w:rPr>
        <w:t>Inflectra</w:t>
      </w:r>
      <w:r w:rsidR="00200B27" w:rsidRPr="004A4BC1">
        <w:rPr>
          <w:i/>
        </w:rPr>
        <w:t xml:space="preserve">, </w:t>
      </w:r>
      <w:r w:rsidR="00200B27">
        <w:rPr>
          <w:i/>
        </w:rPr>
        <w:t>Emisima</w:t>
      </w:r>
      <w:r w:rsidR="00200B27" w:rsidRPr="004A4BC1">
        <w:rPr>
          <w:i/>
        </w:rPr>
        <w:t xml:space="preserve">, </w:t>
      </w:r>
      <w:r w:rsidR="00200B27">
        <w:rPr>
          <w:i/>
        </w:rPr>
        <w:t>Flixceli</w:t>
      </w:r>
      <w:r w:rsidR="00200B27" w:rsidRPr="004A4BC1">
        <w:rPr>
          <w:i/>
        </w:rPr>
        <w:t xml:space="preserve">, </w:t>
      </w:r>
      <w:r>
        <w:rPr>
          <w:i/>
        </w:rPr>
        <w:t xml:space="preserve">Remsima </w:t>
      </w:r>
      <w:r w:rsidR="00200B27" w:rsidRPr="004A4BC1">
        <w:rPr>
          <w:i/>
        </w:rPr>
        <w:t>is indicated for the treatment of moderate to severe Crohn’s disease, to reduce the signs and symptoms and to induce and maintain clinical remission in patients who have an inadequate response to conventional therapies.</w:t>
      </w:r>
    </w:p>
    <w:p w14:paraId="3DA96C4C" w14:textId="77777777" w:rsidR="00200B27" w:rsidRDefault="00200B27" w:rsidP="00200B27">
      <w:pPr>
        <w:ind w:left="720"/>
        <w:rPr>
          <w:i/>
        </w:rPr>
      </w:pPr>
      <w:r w:rsidRPr="004A4BC1">
        <w:rPr>
          <w:i/>
        </w:rPr>
        <w:t>Refracto</w:t>
      </w:r>
      <w:r>
        <w:rPr>
          <w:i/>
        </w:rPr>
        <w:t>ry Fistulising Crohn’s Disease:</w:t>
      </w:r>
    </w:p>
    <w:p w14:paraId="27AC7242" w14:textId="77777777" w:rsidR="00200B27" w:rsidRPr="004A4BC1" w:rsidRDefault="00525466" w:rsidP="00200B27">
      <w:pPr>
        <w:ind w:left="720"/>
        <w:rPr>
          <w:i/>
        </w:rPr>
      </w:pPr>
      <w:r>
        <w:rPr>
          <w:i/>
        </w:rPr>
        <w:t>Inflectra</w:t>
      </w:r>
      <w:r w:rsidR="00200B27" w:rsidRPr="004A4BC1">
        <w:rPr>
          <w:i/>
        </w:rPr>
        <w:t xml:space="preserve">, </w:t>
      </w:r>
      <w:r w:rsidR="00200B27">
        <w:rPr>
          <w:i/>
        </w:rPr>
        <w:t>Emisima</w:t>
      </w:r>
      <w:r w:rsidR="00200B27" w:rsidRPr="004A4BC1">
        <w:rPr>
          <w:i/>
        </w:rPr>
        <w:t xml:space="preserve">, </w:t>
      </w:r>
      <w:r w:rsidR="00200B27">
        <w:rPr>
          <w:i/>
        </w:rPr>
        <w:t>Flixceli</w:t>
      </w:r>
      <w:r w:rsidR="00200B27" w:rsidRPr="004A4BC1">
        <w:rPr>
          <w:i/>
        </w:rPr>
        <w:t xml:space="preserve">, </w:t>
      </w:r>
      <w:r>
        <w:rPr>
          <w:i/>
        </w:rPr>
        <w:t>Remsima</w:t>
      </w:r>
      <w:r w:rsidR="00200B27" w:rsidRPr="004A4BC1">
        <w:rPr>
          <w:i/>
        </w:rPr>
        <w:t xml:space="preserve"> is indicated for reducing the number of draining </w:t>
      </w:r>
      <w:proofErr w:type="spellStart"/>
      <w:r w:rsidR="00200B27" w:rsidRPr="004A4BC1">
        <w:rPr>
          <w:i/>
        </w:rPr>
        <w:t>enterocutaneous</w:t>
      </w:r>
      <w:proofErr w:type="spellEnd"/>
      <w:r w:rsidR="00200B27" w:rsidRPr="004A4BC1">
        <w:rPr>
          <w:i/>
        </w:rPr>
        <w:t xml:space="preserve"> and rectovaginal fistulas and maintaining fistula closure in adult patients.</w:t>
      </w:r>
    </w:p>
    <w:p w14:paraId="1DA80EDE" w14:textId="77777777" w:rsidR="00200B27" w:rsidRDefault="00200B27" w:rsidP="00200B27">
      <w:pPr>
        <w:ind w:left="720"/>
        <w:rPr>
          <w:i/>
        </w:rPr>
      </w:pPr>
      <w:r w:rsidRPr="004A4BC1">
        <w:rPr>
          <w:i/>
        </w:rPr>
        <w:t>Ulcerative colitis in Adults and in Children a</w:t>
      </w:r>
      <w:r>
        <w:rPr>
          <w:i/>
        </w:rPr>
        <w:t>nd adolescents (6 to 17 years):</w:t>
      </w:r>
    </w:p>
    <w:p w14:paraId="534F19AA" w14:textId="77777777" w:rsidR="00200B27" w:rsidRPr="004A4BC1" w:rsidRDefault="00525466" w:rsidP="00200B27">
      <w:pPr>
        <w:ind w:left="720"/>
        <w:rPr>
          <w:i/>
        </w:rPr>
      </w:pPr>
      <w:r>
        <w:rPr>
          <w:i/>
        </w:rPr>
        <w:t>Inflectra</w:t>
      </w:r>
      <w:r w:rsidR="00200B27" w:rsidRPr="004A4BC1">
        <w:rPr>
          <w:i/>
        </w:rPr>
        <w:t xml:space="preserve">, </w:t>
      </w:r>
      <w:r w:rsidR="00200B27">
        <w:rPr>
          <w:i/>
        </w:rPr>
        <w:t>Emisima</w:t>
      </w:r>
      <w:r w:rsidR="00200B27" w:rsidRPr="004A4BC1">
        <w:rPr>
          <w:i/>
        </w:rPr>
        <w:t xml:space="preserve">, </w:t>
      </w:r>
      <w:r w:rsidR="00200B27">
        <w:rPr>
          <w:i/>
        </w:rPr>
        <w:t>Flixceli</w:t>
      </w:r>
      <w:r w:rsidR="00200B27" w:rsidRPr="004A4BC1">
        <w:rPr>
          <w:i/>
        </w:rPr>
        <w:t xml:space="preserve">, </w:t>
      </w:r>
      <w:r>
        <w:rPr>
          <w:i/>
        </w:rPr>
        <w:t>Remsima</w:t>
      </w:r>
      <w:r w:rsidR="00200B27" w:rsidRPr="004A4BC1">
        <w:rPr>
          <w:i/>
        </w:rPr>
        <w:t xml:space="preserve"> is indicated for the treatment of moderately severe to severe active ulcerative colitis in patients who have had an inadequate response to conventional therapy.</w:t>
      </w:r>
    </w:p>
    <w:p w14:paraId="1C985F62" w14:textId="77777777" w:rsidR="00200B27" w:rsidRPr="004A4BC1" w:rsidRDefault="00200B27" w:rsidP="00200B27">
      <w:pPr>
        <w:pStyle w:val="Heading5"/>
      </w:pPr>
      <w:r w:rsidRPr="004A4BC1">
        <w:t>Specific advice</w:t>
      </w:r>
    </w:p>
    <w:p w14:paraId="1C8FF72A" w14:textId="77777777" w:rsidR="00200B27" w:rsidRPr="004A4BC1" w:rsidRDefault="00200B27" w:rsidP="00200B27">
      <w:r w:rsidRPr="004A4BC1">
        <w:t xml:space="preserve">The ACPM advised the following in response to the specific </w:t>
      </w:r>
      <w:r>
        <w:t>Delegate</w:t>
      </w:r>
      <w:r w:rsidRPr="004A4BC1">
        <w:t>’s questions on this submission:</w:t>
      </w:r>
    </w:p>
    <w:p w14:paraId="5A09C173" w14:textId="1EC1ECFB" w:rsidR="00200B27" w:rsidRPr="00200B27" w:rsidRDefault="00200B27" w:rsidP="00654E1B">
      <w:pPr>
        <w:pStyle w:val="Numberbullet0"/>
        <w:numPr>
          <w:ilvl w:val="0"/>
          <w:numId w:val="20"/>
        </w:numPr>
        <w:rPr>
          <w:i/>
        </w:rPr>
      </w:pPr>
      <w:r w:rsidRPr="00200B27">
        <w:rPr>
          <w:i/>
        </w:rPr>
        <w:t xml:space="preserve">The ACPM has previously considered </w:t>
      </w:r>
      <w:r w:rsidR="00525466">
        <w:rPr>
          <w:i/>
        </w:rPr>
        <w:t>Inflectra</w:t>
      </w:r>
      <w:r w:rsidRPr="00200B27">
        <w:rPr>
          <w:i/>
        </w:rPr>
        <w:t xml:space="preserve"> to have an overall positive benefit–risk profile for the indications of Remicade (infliximab) other than the inflammatory bowel disease indications. Having considered the additional justifications and post-market data concerning the safety and efficacy of </w:t>
      </w:r>
      <w:r w:rsidR="00525466">
        <w:rPr>
          <w:i/>
        </w:rPr>
        <w:t>Inflectra</w:t>
      </w:r>
      <w:r w:rsidRPr="00200B27">
        <w:rPr>
          <w:i/>
        </w:rPr>
        <w:t xml:space="preserve"> in inflammatory bowel disease </w:t>
      </w:r>
      <w:r w:rsidR="00801757" w:rsidRPr="00200B27">
        <w:rPr>
          <w:i/>
        </w:rPr>
        <w:lastRenderedPageBreak/>
        <w:t>indications,</w:t>
      </w:r>
      <w:r w:rsidRPr="00200B27">
        <w:rPr>
          <w:i/>
        </w:rPr>
        <w:t xml:space="preserve"> does the committee continue to consider that the benefit–risk profile for </w:t>
      </w:r>
      <w:r w:rsidR="00525466">
        <w:rPr>
          <w:i/>
        </w:rPr>
        <w:t>Inflectra</w:t>
      </w:r>
      <w:r w:rsidRPr="00200B27">
        <w:rPr>
          <w:i/>
        </w:rPr>
        <w:t xml:space="preserve"> is negative?</w:t>
      </w:r>
    </w:p>
    <w:p w14:paraId="434F45A6" w14:textId="77777777" w:rsidR="00200B27" w:rsidRPr="004A4BC1" w:rsidRDefault="00200B27" w:rsidP="00200B27">
      <w:r w:rsidRPr="004A4BC1">
        <w:t xml:space="preserve">The ACPM advised that after consideration of the additional justifications and post-market data concerning the safety and efficacy of </w:t>
      </w:r>
      <w:r w:rsidR="00525466">
        <w:t>Inflectra</w:t>
      </w:r>
      <w:r w:rsidRPr="004A4BC1">
        <w:t xml:space="preserve"> in </w:t>
      </w:r>
      <w:r>
        <w:t>inflammatory bowel disease</w:t>
      </w:r>
      <w:r w:rsidRPr="004A4BC1">
        <w:t xml:space="preserve"> indications that the committee no longer considers the benefit-risk profile for those indications to be negative.</w:t>
      </w:r>
    </w:p>
    <w:p w14:paraId="532FC838" w14:textId="77777777" w:rsidR="00200B27" w:rsidRPr="00C53DD2" w:rsidRDefault="00200B27" w:rsidP="00654E1B">
      <w:pPr>
        <w:pStyle w:val="Numberbullet0"/>
        <w:numPr>
          <w:ilvl w:val="0"/>
          <w:numId w:val="2"/>
        </w:numPr>
        <w:rPr>
          <w:i/>
        </w:rPr>
      </w:pPr>
      <w:r w:rsidRPr="00C53DD2">
        <w:rPr>
          <w:i/>
        </w:rPr>
        <w:t xml:space="preserve">The ACPM previously considered that efficacy and safety data on the use of </w:t>
      </w:r>
      <w:r w:rsidR="00525466">
        <w:rPr>
          <w:i/>
        </w:rPr>
        <w:t>Inflectra</w:t>
      </w:r>
      <w:r w:rsidRPr="00C53DD2">
        <w:rPr>
          <w:i/>
        </w:rPr>
        <w:t xml:space="preserve">, particularly in children and adolescents with </w:t>
      </w:r>
      <w:r>
        <w:rPr>
          <w:i/>
        </w:rPr>
        <w:t>inflammatory bowel disease</w:t>
      </w:r>
      <w:r w:rsidRPr="00C53DD2">
        <w:rPr>
          <w:i/>
        </w:rPr>
        <w:t xml:space="preserve"> was required. Does the committee now consider the additional information on the use of </w:t>
      </w:r>
      <w:r w:rsidR="00525466">
        <w:rPr>
          <w:i/>
        </w:rPr>
        <w:t>Inflectra</w:t>
      </w:r>
      <w:r w:rsidRPr="00C53DD2">
        <w:rPr>
          <w:i/>
        </w:rPr>
        <w:t xml:space="preserve"> in </w:t>
      </w:r>
      <w:r>
        <w:rPr>
          <w:i/>
        </w:rPr>
        <w:t>inflammatory bowel disease</w:t>
      </w:r>
      <w:r w:rsidRPr="00C53DD2">
        <w:rPr>
          <w:i/>
        </w:rPr>
        <w:t xml:space="preserve"> and specifically in paediatric patients with </w:t>
      </w:r>
      <w:r>
        <w:rPr>
          <w:i/>
        </w:rPr>
        <w:t>inflammatory bowel disease</w:t>
      </w:r>
      <w:r w:rsidRPr="00C53DD2">
        <w:rPr>
          <w:i/>
        </w:rPr>
        <w:t xml:space="preserve"> adequately addresses their concerns?</w:t>
      </w:r>
    </w:p>
    <w:p w14:paraId="6B210128" w14:textId="77777777" w:rsidR="00200B27" w:rsidRPr="004A4BC1" w:rsidRDefault="00200B27" w:rsidP="00200B27">
      <w:r w:rsidRPr="004A4BC1">
        <w:t xml:space="preserve">The ACPM advised that in considering the additional information on the use of </w:t>
      </w:r>
      <w:r w:rsidR="00525466">
        <w:t>Inflectra</w:t>
      </w:r>
      <w:r w:rsidRPr="004A4BC1">
        <w:t xml:space="preserve"> in </w:t>
      </w:r>
      <w:r>
        <w:t>inflammatory bowel disease</w:t>
      </w:r>
      <w:r w:rsidRPr="004A4BC1">
        <w:t xml:space="preserve"> and specifically in paediatric patients with </w:t>
      </w:r>
      <w:r>
        <w:t>inflammatory bowel disease</w:t>
      </w:r>
      <w:r w:rsidRPr="004A4BC1">
        <w:t xml:space="preserve">, that their concerns regarding the use of </w:t>
      </w:r>
      <w:r w:rsidR="00525466">
        <w:t>Inflectra</w:t>
      </w:r>
      <w:r w:rsidRPr="004A4BC1">
        <w:t xml:space="preserve"> in children and adolescent’s with </w:t>
      </w:r>
      <w:r>
        <w:t>inflammatory bowel disease</w:t>
      </w:r>
      <w:r w:rsidRPr="004A4BC1">
        <w:t xml:space="preserve"> have been adequately addressed.</w:t>
      </w:r>
    </w:p>
    <w:p w14:paraId="6C363C30" w14:textId="77777777" w:rsidR="00200B27" w:rsidRPr="00D02A09" w:rsidRDefault="00200B27" w:rsidP="00200B27">
      <w:pPr>
        <w:pStyle w:val="Heading3"/>
      </w:pPr>
      <w:bookmarkStart w:id="172" w:name="_Toc455678990"/>
      <w:bookmarkStart w:id="173" w:name="_Toc44577035"/>
      <w:r w:rsidRPr="00D02A09">
        <w:t>Outcome</w:t>
      </w:r>
      <w:bookmarkEnd w:id="172"/>
      <w:bookmarkEnd w:id="173"/>
    </w:p>
    <w:p w14:paraId="77AFE390" w14:textId="77777777" w:rsidR="00200B27" w:rsidRPr="00D02A09" w:rsidRDefault="00200B27" w:rsidP="00200B27">
      <w:r w:rsidRPr="00D02A09">
        <w:t xml:space="preserve">Based on a review of quality, safety and efficacy, TGA approved the registration of </w:t>
      </w:r>
      <w:r>
        <w:t xml:space="preserve">Remsima/ Emisima/ Flixceli/ Inflectra (infliximab (rmc)) 100 mg powder for injection vial </w:t>
      </w:r>
      <w:r w:rsidRPr="00D02A09">
        <w:t>indicated for:</w:t>
      </w:r>
    </w:p>
    <w:p w14:paraId="31B9FB55" w14:textId="77777777" w:rsidR="00200B27" w:rsidRPr="0036256B" w:rsidRDefault="00200B27" w:rsidP="00200B27">
      <w:pPr>
        <w:ind w:left="720"/>
        <w:rPr>
          <w:i/>
        </w:rPr>
      </w:pPr>
      <w:r w:rsidRPr="0036256B">
        <w:rPr>
          <w:i/>
        </w:rPr>
        <w:t>Rheumatoid Arthritis in adults</w:t>
      </w:r>
    </w:p>
    <w:p w14:paraId="46EBB4A2" w14:textId="7E793305" w:rsidR="00200B27" w:rsidRPr="0036256B" w:rsidRDefault="00DD4AC6" w:rsidP="00200B27">
      <w:pPr>
        <w:ind w:left="720"/>
        <w:rPr>
          <w:i/>
        </w:rPr>
      </w:pPr>
      <w:r>
        <w:rPr>
          <w:i/>
        </w:rPr>
        <w:t xml:space="preserve">Remsima </w:t>
      </w:r>
      <w:r w:rsidR="00200B27">
        <w:rPr>
          <w:i/>
        </w:rPr>
        <w:t>or Emisima or Flixceli</w:t>
      </w:r>
      <w:r w:rsidR="00200B27" w:rsidRPr="0036256B">
        <w:rPr>
          <w:i/>
        </w:rPr>
        <w:t xml:space="preserve"> </w:t>
      </w:r>
      <w:r w:rsidR="00200B27">
        <w:rPr>
          <w:i/>
        </w:rPr>
        <w:t xml:space="preserve">or Inflectra </w:t>
      </w:r>
      <w:r w:rsidR="00200B27" w:rsidRPr="0036256B">
        <w:rPr>
          <w:i/>
        </w:rPr>
        <w:t>in combination with methotrexate, is indicated for the reduction of signs and symptoms and prevention of structural joint damage (erosions and joint space narrowing) in:</w:t>
      </w:r>
    </w:p>
    <w:p w14:paraId="5B7D9300" w14:textId="77777777" w:rsidR="00200B27" w:rsidRPr="0036256B" w:rsidRDefault="00200B27" w:rsidP="00200B27">
      <w:pPr>
        <w:ind w:left="720"/>
        <w:rPr>
          <w:i/>
        </w:rPr>
      </w:pPr>
      <w:r>
        <w:rPr>
          <w:i/>
        </w:rPr>
        <w:t>-</w:t>
      </w:r>
      <w:r w:rsidRPr="0036256B">
        <w:rPr>
          <w:i/>
        </w:rPr>
        <w:t>patients with active disease despite treatment with methotrexate</w:t>
      </w:r>
    </w:p>
    <w:p w14:paraId="7B7D5345" w14:textId="77777777" w:rsidR="00200B27" w:rsidRPr="0036256B" w:rsidRDefault="00200B27" w:rsidP="00200B27">
      <w:pPr>
        <w:ind w:left="720"/>
        <w:rPr>
          <w:i/>
        </w:rPr>
      </w:pPr>
      <w:r>
        <w:rPr>
          <w:i/>
        </w:rPr>
        <w:t>-</w:t>
      </w:r>
      <w:r w:rsidRPr="0036256B">
        <w:rPr>
          <w:i/>
        </w:rPr>
        <w:t>patients with active disease who have not previously received methotrexate.</w:t>
      </w:r>
    </w:p>
    <w:p w14:paraId="11F069F7" w14:textId="77777777" w:rsidR="00200B27" w:rsidRPr="0036256B" w:rsidRDefault="00200B27" w:rsidP="00200B27">
      <w:pPr>
        <w:ind w:left="720"/>
        <w:rPr>
          <w:i/>
        </w:rPr>
      </w:pPr>
      <w:r w:rsidRPr="0036256B">
        <w:rPr>
          <w:i/>
        </w:rPr>
        <w:t xml:space="preserve">Remsima </w:t>
      </w:r>
      <w:r w:rsidRPr="00623D6D">
        <w:rPr>
          <w:i/>
        </w:rPr>
        <w:t xml:space="preserve">or </w:t>
      </w:r>
      <w:r>
        <w:rPr>
          <w:i/>
        </w:rPr>
        <w:t>Emisima</w:t>
      </w:r>
      <w:r w:rsidRPr="00623D6D">
        <w:rPr>
          <w:i/>
        </w:rPr>
        <w:t xml:space="preserve"> or Flixceli or Inflectra </w:t>
      </w:r>
      <w:r w:rsidRPr="0036256B">
        <w:rPr>
          <w:i/>
        </w:rPr>
        <w:t>should be given in combination with methotrexate. Efficacy and safety in Rheumatoid Arthritis have been demonstrated only in combination with methotrexate.</w:t>
      </w:r>
    </w:p>
    <w:p w14:paraId="4F1DF1C9" w14:textId="77777777" w:rsidR="00200B27" w:rsidRPr="0036256B" w:rsidRDefault="00200B27" w:rsidP="00200B27">
      <w:pPr>
        <w:ind w:left="720"/>
        <w:rPr>
          <w:i/>
        </w:rPr>
      </w:pPr>
      <w:r w:rsidRPr="0036256B">
        <w:rPr>
          <w:i/>
        </w:rPr>
        <w:t>Ankylosing Spondylitis</w:t>
      </w:r>
    </w:p>
    <w:p w14:paraId="4AD189AE" w14:textId="77777777" w:rsidR="00200B27" w:rsidRPr="0036256B" w:rsidRDefault="00200B27" w:rsidP="00200B27">
      <w:pPr>
        <w:ind w:left="720"/>
        <w:rPr>
          <w:i/>
        </w:rPr>
      </w:pPr>
      <w:r w:rsidRPr="0036256B">
        <w:rPr>
          <w:i/>
        </w:rPr>
        <w:t xml:space="preserve">Remsima </w:t>
      </w:r>
      <w:r w:rsidRPr="00623D6D">
        <w:rPr>
          <w:i/>
        </w:rPr>
        <w:t xml:space="preserve">or </w:t>
      </w:r>
      <w:r>
        <w:rPr>
          <w:i/>
        </w:rPr>
        <w:t>Emisima</w:t>
      </w:r>
      <w:r w:rsidRPr="00623D6D">
        <w:rPr>
          <w:i/>
        </w:rPr>
        <w:t xml:space="preserve"> or Flixceli or Inflectra </w:t>
      </w:r>
      <w:r w:rsidRPr="0036256B">
        <w:rPr>
          <w:i/>
        </w:rPr>
        <w:t>is indicated for the reduction of signs and symptoms and improvement in physical function in patients with active disease</w:t>
      </w:r>
    </w:p>
    <w:p w14:paraId="639BB3FF" w14:textId="77777777" w:rsidR="00200B27" w:rsidRPr="0036256B" w:rsidRDefault="00200B27" w:rsidP="00200B27">
      <w:pPr>
        <w:ind w:left="720"/>
        <w:rPr>
          <w:i/>
        </w:rPr>
      </w:pPr>
      <w:r w:rsidRPr="0036256B">
        <w:rPr>
          <w:i/>
        </w:rPr>
        <w:t>Psoriatic arthritis</w:t>
      </w:r>
    </w:p>
    <w:p w14:paraId="67552B08" w14:textId="77777777" w:rsidR="00200B27" w:rsidRPr="0036256B" w:rsidRDefault="00200B27" w:rsidP="00200B27">
      <w:pPr>
        <w:ind w:left="720"/>
        <w:rPr>
          <w:i/>
        </w:rPr>
      </w:pPr>
      <w:r w:rsidRPr="0036256B">
        <w:rPr>
          <w:i/>
        </w:rPr>
        <w:t xml:space="preserve">Remsima </w:t>
      </w:r>
      <w:r w:rsidRPr="00623D6D">
        <w:rPr>
          <w:i/>
        </w:rPr>
        <w:t xml:space="preserve">or </w:t>
      </w:r>
      <w:r>
        <w:rPr>
          <w:i/>
        </w:rPr>
        <w:t>Emisima</w:t>
      </w:r>
      <w:r w:rsidRPr="00623D6D">
        <w:rPr>
          <w:i/>
        </w:rPr>
        <w:t xml:space="preserve"> or Flixceli or Inflectra </w:t>
      </w:r>
      <w:r w:rsidRPr="0036256B">
        <w:rPr>
          <w:i/>
        </w:rPr>
        <w:t>is indicated for the treatment of the signs and symptoms, as well as for the improvement in physical function in adult patients with active and progressive psoriatic arthritis who have responded inadequately to disease modifying anti-rheumatic drug (DMARD) therapy.</w:t>
      </w:r>
    </w:p>
    <w:p w14:paraId="4960B33D" w14:textId="77777777" w:rsidR="00200B27" w:rsidRPr="0036256B" w:rsidRDefault="00200B27" w:rsidP="00200B27">
      <w:pPr>
        <w:ind w:left="720"/>
        <w:rPr>
          <w:i/>
        </w:rPr>
      </w:pPr>
      <w:r w:rsidRPr="0036256B">
        <w:rPr>
          <w:i/>
        </w:rPr>
        <w:t xml:space="preserve">Remsima </w:t>
      </w:r>
      <w:r w:rsidRPr="00623D6D">
        <w:rPr>
          <w:i/>
        </w:rPr>
        <w:t xml:space="preserve">or </w:t>
      </w:r>
      <w:r>
        <w:rPr>
          <w:i/>
        </w:rPr>
        <w:t>Emisima</w:t>
      </w:r>
      <w:r w:rsidRPr="00623D6D">
        <w:rPr>
          <w:i/>
        </w:rPr>
        <w:t xml:space="preserve"> or Flixceli or Inflectra </w:t>
      </w:r>
      <w:r w:rsidRPr="0036256B">
        <w:rPr>
          <w:i/>
        </w:rPr>
        <w:t>may be administered in combination with methotrexate.</w:t>
      </w:r>
    </w:p>
    <w:p w14:paraId="1DC90321" w14:textId="77777777" w:rsidR="00200B27" w:rsidRPr="0036256B" w:rsidRDefault="00200B27" w:rsidP="00200B27">
      <w:pPr>
        <w:ind w:left="720"/>
        <w:rPr>
          <w:i/>
        </w:rPr>
      </w:pPr>
      <w:r w:rsidRPr="0036256B">
        <w:rPr>
          <w:i/>
        </w:rPr>
        <w:t>Psoriasis</w:t>
      </w:r>
    </w:p>
    <w:p w14:paraId="4389C5E8" w14:textId="77777777" w:rsidR="00200B27" w:rsidRPr="0036256B" w:rsidRDefault="00200B27" w:rsidP="00200B27">
      <w:pPr>
        <w:ind w:left="720"/>
        <w:rPr>
          <w:i/>
        </w:rPr>
      </w:pPr>
      <w:r w:rsidRPr="0036256B">
        <w:rPr>
          <w:i/>
        </w:rPr>
        <w:t>Remsima</w:t>
      </w:r>
      <w:r>
        <w:rPr>
          <w:i/>
        </w:rPr>
        <w:t xml:space="preserve"> </w:t>
      </w:r>
      <w:r w:rsidRPr="00623D6D">
        <w:rPr>
          <w:i/>
        </w:rPr>
        <w:t xml:space="preserve">or </w:t>
      </w:r>
      <w:r>
        <w:rPr>
          <w:i/>
        </w:rPr>
        <w:t>Emisima</w:t>
      </w:r>
      <w:r w:rsidRPr="00623D6D">
        <w:rPr>
          <w:i/>
        </w:rPr>
        <w:t xml:space="preserve"> or Flixceli or Inflectra</w:t>
      </w:r>
      <w:r w:rsidRPr="0036256B">
        <w:rPr>
          <w:i/>
        </w:rPr>
        <w:t xml:space="preserve"> is indicated for the treatment of adult patients with moderate to severe plaque psoriasis for whom phototherapy or conventional systemic treatments have been inadequate or are inappropriate. Safety and efficacy beyond 12 months have not been established.</w:t>
      </w:r>
    </w:p>
    <w:p w14:paraId="177A229C" w14:textId="77777777" w:rsidR="00200B27" w:rsidRPr="0036256B" w:rsidRDefault="00200B27" w:rsidP="00200B27">
      <w:pPr>
        <w:ind w:left="720"/>
        <w:rPr>
          <w:i/>
        </w:rPr>
      </w:pPr>
      <w:r w:rsidRPr="0036256B">
        <w:rPr>
          <w:i/>
        </w:rPr>
        <w:t>Crohn's Disease in Adults and in Children and adolescents (6 to 17 years)</w:t>
      </w:r>
    </w:p>
    <w:p w14:paraId="438E7F88" w14:textId="77777777" w:rsidR="00200B27" w:rsidRPr="0036256B" w:rsidRDefault="00200B27" w:rsidP="00200B27">
      <w:pPr>
        <w:ind w:left="720"/>
        <w:rPr>
          <w:i/>
        </w:rPr>
      </w:pPr>
      <w:r w:rsidRPr="0036256B">
        <w:rPr>
          <w:i/>
        </w:rPr>
        <w:lastRenderedPageBreak/>
        <w:t>Remsima</w:t>
      </w:r>
      <w:r w:rsidRPr="00623D6D">
        <w:rPr>
          <w:i/>
        </w:rPr>
        <w:t xml:space="preserve"> or </w:t>
      </w:r>
      <w:r>
        <w:rPr>
          <w:i/>
        </w:rPr>
        <w:t>Emisima</w:t>
      </w:r>
      <w:r w:rsidRPr="00623D6D">
        <w:rPr>
          <w:i/>
        </w:rPr>
        <w:t xml:space="preserve"> or Flixceli or Inflectra</w:t>
      </w:r>
      <w:r w:rsidRPr="0036256B">
        <w:rPr>
          <w:i/>
        </w:rPr>
        <w:t xml:space="preserve"> is indicated for the treatment of moderate to severe Crohn's disease, to reduce the signs and symptoms and to induce and maintain clinical remission in patients who have an inadequate response to conventional therapies.</w:t>
      </w:r>
    </w:p>
    <w:p w14:paraId="4CBF5B79" w14:textId="77777777" w:rsidR="00200B27" w:rsidRPr="0036256B" w:rsidRDefault="00200B27" w:rsidP="00200B27">
      <w:pPr>
        <w:ind w:left="720"/>
        <w:rPr>
          <w:i/>
        </w:rPr>
      </w:pPr>
      <w:r w:rsidRPr="0036256B">
        <w:rPr>
          <w:i/>
        </w:rPr>
        <w:t>Refractory Fistulising Crohn’s Disease</w:t>
      </w:r>
    </w:p>
    <w:p w14:paraId="64250D57" w14:textId="77777777" w:rsidR="00200B27" w:rsidRPr="0036256B" w:rsidRDefault="00200B27" w:rsidP="00200B27">
      <w:pPr>
        <w:ind w:left="720"/>
        <w:rPr>
          <w:i/>
        </w:rPr>
      </w:pPr>
      <w:r w:rsidRPr="0036256B">
        <w:rPr>
          <w:i/>
        </w:rPr>
        <w:t xml:space="preserve">Remsima </w:t>
      </w:r>
      <w:r w:rsidRPr="00623D6D">
        <w:rPr>
          <w:i/>
        </w:rPr>
        <w:t xml:space="preserve">or </w:t>
      </w:r>
      <w:r>
        <w:rPr>
          <w:i/>
        </w:rPr>
        <w:t>Emisima</w:t>
      </w:r>
      <w:r w:rsidRPr="00623D6D">
        <w:rPr>
          <w:i/>
        </w:rPr>
        <w:t xml:space="preserve"> or Flixceli or Inflectra </w:t>
      </w:r>
      <w:r w:rsidRPr="0036256B">
        <w:rPr>
          <w:i/>
        </w:rPr>
        <w:t xml:space="preserve">is indicated for reducing the number of draining </w:t>
      </w:r>
      <w:proofErr w:type="spellStart"/>
      <w:r w:rsidRPr="0036256B">
        <w:rPr>
          <w:i/>
        </w:rPr>
        <w:t>enterocutaneous</w:t>
      </w:r>
      <w:proofErr w:type="spellEnd"/>
      <w:r w:rsidRPr="0036256B">
        <w:rPr>
          <w:i/>
        </w:rPr>
        <w:t xml:space="preserve"> and rectovaginal fistulas and maintaining fistula closure in adult patients.</w:t>
      </w:r>
    </w:p>
    <w:p w14:paraId="7C7DC161" w14:textId="77777777" w:rsidR="00200B27" w:rsidRPr="0036256B" w:rsidRDefault="00200B27" w:rsidP="00200B27">
      <w:pPr>
        <w:ind w:left="720"/>
        <w:rPr>
          <w:i/>
        </w:rPr>
      </w:pPr>
      <w:r w:rsidRPr="0036256B">
        <w:rPr>
          <w:i/>
        </w:rPr>
        <w:t>Ulcerative colitis in Adults and in Children and adolescents (6 to 17 years)</w:t>
      </w:r>
    </w:p>
    <w:p w14:paraId="7F70B353" w14:textId="77777777" w:rsidR="00200B27" w:rsidRPr="00D23139" w:rsidRDefault="00200B27" w:rsidP="00200B27">
      <w:pPr>
        <w:ind w:left="720"/>
      </w:pPr>
      <w:r w:rsidRPr="0036256B">
        <w:rPr>
          <w:i/>
        </w:rPr>
        <w:t>Remsima</w:t>
      </w:r>
      <w:r w:rsidRPr="00623D6D">
        <w:rPr>
          <w:i/>
        </w:rPr>
        <w:t xml:space="preserve"> or </w:t>
      </w:r>
      <w:r>
        <w:rPr>
          <w:i/>
        </w:rPr>
        <w:t>Emisima</w:t>
      </w:r>
      <w:r w:rsidRPr="00623D6D">
        <w:rPr>
          <w:i/>
        </w:rPr>
        <w:t xml:space="preserve"> or Flixceli or Inflectra</w:t>
      </w:r>
      <w:r w:rsidRPr="0036256B">
        <w:rPr>
          <w:i/>
        </w:rPr>
        <w:t xml:space="preserve"> is indicated for the treatment of moderately severe to severe active ulcerative colitis in patients who have had an inadequate response to conventional therapy.</w:t>
      </w:r>
    </w:p>
    <w:p w14:paraId="219C788E" w14:textId="77777777" w:rsidR="00200B27" w:rsidRPr="00D23139" w:rsidRDefault="00200B27" w:rsidP="00200B27">
      <w:pPr>
        <w:pStyle w:val="Heading4"/>
      </w:pPr>
      <w:r w:rsidRPr="00D23139">
        <w:t>Specific conditions of registration applying to these goods</w:t>
      </w:r>
    </w:p>
    <w:p w14:paraId="0AC9ADBD" w14:textId="0AA753C3" w:rsidR="00200B27" w:rsidRPr="005A3E11" w:rsidRDefault="00200B27" w:rsidP="004E4BB1">
      <w:pPr>
        <w:pStyle w:val="Numberbullet0"/>
        <w:numPr>
          <w:ilvl w:val="0"/>
          <w:numId w:val="26"/>
        </w:numPr>
      </w:pPr>
      <w:r w:rsidRPr="005A3E11">
        <w:t>Implement EU Risk Management Plan Version 4.0 (dated May 2014, DLP 15 Apri</w:t>
      </w:r>
      <w:r>
        <w:t xml:space="preserve">l </w:t>
      </w:r>
      <w:r w:rsidRPr="005A3E11">
        <w:t>2013) and Australian Specific Annex Version 2</w:t>
      </w:r>
      <w:r>
        <w:t>.0 (dated 31</w:t>
      </w:r>
      <w:r w:rsidR="00207188">
        <w:t xml:space="preserve"> J</w:t>
      </w:r>
      <w:r>
        <w:t xml:space="preserve">uly 2015), and any </w:t>
      </w:r>
      <w:r w:rsidRPr="005A3E11">
        <w:t>future updates (where TGA approved) as a condition of registration.</w:t>
      </w:r>
    </w:p>
    <w:p w14:paraId="761AF071" w14:textId="77777777" w:rsidR="00200B27" w:rsidRPr="005A3E11" w:rsidRDefault="00200B27" w:rsidP="00654E1B">
      <w:pPr>
        <w:pStyle w:val="Numberbullet0"/>
        <w:numPr>
          <w:ilvl w:val="0"/>
          <w:numId w:val="2"/>
        </w:numPr>
      </w:pPr>
      <w:r w:rsidRPr="005A3E11">
        <w:t xml:space="preserve">Provide interim reports of the </w:t>
      </w:r>
      <w:r>
        <w:t>a</w:t>
      </w:r>
      <w:r w:rsidRPr="005A3E11">
        <w:t xml:space="preserve">dditional </w:t>
      </w:r>
      <w:r>
        <w:t>p</w:t>
      </w:r>
      <w:r w:rsidRPr="005A3E11">
        <w:t>harmaco</w:t>
      </w:r>
      <w:r>
        <w:t xml:space="preserve">vigilance activities referenced </w:t>
      </w:r>
      <w:r w:rsidRPr="005A3E11">
        <w:t>in the pharmacovigilance plan through PSURs/PBRERs.</w:t>
      </w:r>
    </w:p>
    <w:p w14:paraId="02871584" w14:textId="77777777" w:rsidR="00200B27" w:rsidRPr="005A3E11" w:rsidRDefault="00200B27" w:rsidP="00654E1B">
      <w:pPr>
        <w:pStyle w:val="Numberbullet0"/>
        <w:numPr>
          <w:ilvl w:val="0"/>
          <w:numId w:val="2"/>
        </w:numPr>
      </w:pPr>
      <w:r w:rsidRPr="005A3E11">
        <w:t xml:space="preserve">Provide final reports of the </w:t>
      </w:r>
      <w:r>
        <w:t>a</w:t>
      </w:r>
      <w:r w:rsidRPr="005A3E11">
        <w:t xml:space="preserve">dditional </w:t>
      </w:r>
      <w:r>
        <w:t>p</w:t>
      </w:r>
      <w:r w:rsidRPr="005A3E11">
        <w:t xml:space="preserve">harmacovigilance </w:t>
      </w:r>
      <w:r>
        <w:t>a</w:t>
      </w:r>
      <w:r w:rsidRPr="005A3E11">
        <w:t>ctivities refe</w:t>
      </w:r>
      <w:r>
        <w:t xml:space="preserve">renced in </w:t>
      </w:r>
      <w:r w:rsidRPr="005A3E11">
        <w:t>the pharmacovigilance plan, once available.</w:t>
      </w:r>
    </w:p>
    <w:p w14:paraId="1351232D" w14:textId="77777777" w:rsidR="00200B27" w:rsidRPr="005A3E11" w:rsidRDefault="00200B27" w:rsidP="00654E1B">
      <w:pPr>
        <w:pStyle w:val="Numberbullet0"/>
        <w:numPr>
          <w:ilvl w:val="0"/>
          <w:numId w:val="2"/>
        </w:numPr>
      </w:pPr>
      <w:r w:rsidRPr="005A3E11">
        <w:t xml:space="preserve">Implement </w:t>
      </w:r>
      <w:r>
        <w:t>a</w:t>
      </w:r>
      <w:r w:rsidRPr="005A3E11">
        <w:t xml:space="preserve">dditional </w:t>
      </w:r>
      <w:r>
        <w:t>r</w:t>
      </w:r>
      <w:r w:rsidRPr="005A3E11">
        <w:t xml:space="preserve">isk </w:t>
      </w:r>
      <w:r>
        <w:t>m</w:t>
      </w:r>
      <w:r w:rsidRPr="005A3E11">
        <w:t xml:space="preserve">inimisation </w:t>
      </w:r>
      <w:r>
        <w:t>a</w:t>
      </w:r>
      <w:r w:rsidRPr="005A3E11">
        <w:t>ctivitie</w:t>
      </w:r>
      <w:r>
        <w:t xml:space="preserve">s, within 3 months of approval, </w:t>
      </w:r>
      <w:r w:rsidRPr="005A3E11">
        <w:t xml:space="preserve">where approved by the TGA </w:t>
      </w:r>
      <w:r>
        <w:t>PSAB</w:t>
      </w:r>
      <w:r w:rsidRPr="005A3E11">
        <w:t>.</w:t>
      </w:r>
    </w:p>
    <w:p w14:paraId="2ABF2DFF" w14:textId="77777777" w:rsidR="00200B27" w:rsidRPr="005A3E11" w:rsidRDefault="00200B27" w:rsidP="00654E1B">
      <w:pPr>
        <w:pStyle w:val="Numberbullet0"/>
        <w:numPr>
          <w:ilvl w:val="0"/>
          <w:numId w:val="2"/>
        </w:numPr>
      </w:pPr>
      <w:r w:rsidRPr="005A3E11">
        <w:t xml:space="preserve">Provide the amalgamated report from registry data that </w:t>
      </w:r>
      <w:r>
        <w:t xml:space="preserve">will report on TB </w:t>
      </w:r>
      <w:r w:rsidRPr="005A3E11">
        <w:t>and other serious infections when it is available.</w:t>
      </w:r>
    </w:p>
    <w:p w14:paraId="03546668" w14:textId="77777777" w:rsidR="00200B27" w:rsidRPr="005A3E11" w:rsidRDefault="00200B27" w:rsidP="00654E1B">
      <w:pPr>
        <w:pStyle w:val="Numberbullet0"/>
        <w:numPr>
          <w:ilvl w:val="0"/>
          <w:numId w:val="2"/>
        </w:numPr>
      </w:pPr>
      <w:r w:rsidRPr="005A3E11">
        <w:t>The final study report for study CT-PI33.4 must be submitted to the TGA, within 3</w:t>
      </w:r>
      <w:r>
        <w:t xml:space="preserve"> </w:t>
      </w:r>
      <w:r w:rsidRPr="005A3E11">
        <w:t>months of completion for evaluation as a minor variation Category I submission:</w:t>
      </w:r>
    </w:p>
    <w:p w14:paraId="57E9644B" w14:textId="13B25E40" w:rsidR="00200B27" w:rsidRPr="005A3E11" w:rsidRDefault="00200B27" w:rsidP="00654E1B">
      <w:pPr>
        <w:pStyle w:val="Numberbullet0"/>
        <w:numPr>
          <w:ilvl w:val="0"/>
          <w:numId w:val="2"/>
        </w:numPr>
      </w:pPr>
      <w:r>
        <w:t>Batch release t</w:t>
      </w:r>
      <w:r w:rsidRPr="005A3E11">
        <w:t xml:space="preserve">esting by </w:t>
      </w:r>
      <w:r>
        <w:t xml:space="preserve">TGA </w:t>
      </w:r>
      <w:r w:rsidRPr="005A3E11">
        <w:t>Laboratories Branch:</w:t>
      </w:r>
      <w:r>
        <w:t xml:space="preserve"> </w:t>
      </w:r>
      <w:r w:rsidRPr="005A3E11">
        <w:t>It is a condition of registration that, as a minimum, the first five independent</w:t>
      </w:r>
      <w:r>
        <w:t xml:space="preserve"> batches of Re</w:t>
      </w:r>
      <w:r w:rsidR="00801757">
        <w:t>m</w:t>
      </w:r>
      <w:r>
        <w:t>sima, Emisima, Flixceli, Inflectra; infliximab (rm</w:t>
      </w:r>
      <w:r w:rsidRPr="005A3E11">
        <w:t>c) imported into</w:t>
      </w:r>
      <w:r>
        <w:t xml:space="preserve"> </w:t>
      </w:r>
      <w:r w:rsidRPr="005A3E11">
        <w:t>Australia are not released for sale until samples and/or the manufacturer's release</w:t>
      </w:r>
      <w:r>
        <w:t xml:space="preserve"> </w:t>
      </w:r>
      <w:r w:rsidRPr="005A3E11">
        <w:t>data have been assessed and endorsed for release by the TGA Laboratories Branch.</w:t>
      </w:r>
    </w:p>
    <w:p w14:paraId="2FB97A26" w14:textId="77777777" w:rsidR="00200B27" w:rsidRPr="00F3307E" w:rsidRDefault="00200B27" w:rsidP="00200B27">
      <w:pPr>
        <w:pStyle w:val="Heading3"/>
      </w:pPr>
      <w:bookmarkStart w:id="174" w:name="_Toc455678991"/>
      <w:bookmarkStart w:id="175" w:name="_Toc44577036"/>
      <w:r w:rsidRPr="00F3307E">
        <w:t>Final outcome</w:t>
      </w:r>
      <w:bookmarkEnd w:id="174"/>
      <w:bookmarkEnd w:id="175"/>
    </w:p>
    <w:p w14:paraId="798FD9AB" w14:textId="77777777" w:rsidR="00200B27" w:rsidRDefault="00200B27" w:rsidP="00200B27">
      <w:r>
        <w:t>The PI approved at the time of the initial decision to approve the registration of Remsima/ Emisima/ Flixceli/ Inflectra (infliximab (rmc)) 100 mg powder for injection vial is at Attachment 1.</w:t>
      </w:r>
    </w:p>
    <w:p w14:paraId="1E9E7B78" w14:textId="77777777" w:rsidR="00200B27" w:rsidRDefault="00200B27" w:rsidP="00200B27">
      <w:r w:rsidRPr="0053258F">
        <w:t>Following the initial decision described above and subsequent to the entry of the product into the ARTG, a third party sought a review under the provisions of Section 60 of the Therapeutics Goods Act of the decision by a Delegate of the Minister to approve the PI for the product.</w:t>
      </w:r>
    </w:p>
    <w:p w14:paraId="40F3784B" w14:textId="031A3216" w:rsidR="00200B27" w:rsidRDefault="00200B27" w:rsidP="00200B27">
      <w:r>
        <w:t>The appeal wa</w:t>
      </w:r>
      <w:r w:rsidRPr="000B2392">
        <w:t>s not seeking to review the decision to approve the product</w:t>
      </w:r>
      <w:r>
        <w:t xml:space="preserve">, </w:t>
      </w:r>
      <w:r w:rsidRPr="000B2392">
        <w:t xml:space="preserve">but </w:t>
      </w:r>
      <w:r>
        <w:t xml:space="preserve">was seeking amendments to </w:t>
      </w:r>
      <w:r w:rsidRPr="000B2392">
        <w:t>the spec</w:t>
      </w:r>
      <w:r>
        <w:t>ific wording of the approved PI.</w:t>
      </w:r>
    </w:p>
    <w:p w14:paraId="575ABCF2" w14:textId="77777777" w:rsidR="00200B27" w:rsidRPr="00464321" w:rsidRDefault="00200B27" w:rsidP="00200B27">
      <w:pPr>
        <w:pStyle w:val="Heading4"/>
      </w:pPr>
      <w:r w:rsidRPr="00464321">
        <w:lastRenderedPageBreak/>
        <w:t>Outcome of s60 appeal</w:t>
      </w:r>
    </w:p>
    <w:p w14:paraId="4F0F78BD" w14:textId="77777777" w:rsidR="00200B27" w:rsidRPr="00464321" w:rsidRDefault="00200B27" w:rsidP="00200B27">
      <w:r w:rsidRPr="00464321">
        <w:t xml:space="preserve">The s60 </w:t>
      </w:r>
      <w:r>
        <w:t>Delegate</w:t>
      </w:r>
      <w:r w:rsidRPr="00464321">
        <w:t xml:space="preserve"> decided to set aside the decision to approve the current </w:t>
      </w:r>
      <w:r>
        <w:t>PI</w:t>
      </w:r>
      <w:r w:rsidRPr="00464321">
        <w:t xml:space="preserve"> and substitute in its place a decision to approve an amended v</w:t>
      </w:r>
      <w:r>
        <w:t xml:space="preserve">ersion in order to be satisfied </w:t>
      </w:r>
      <w:r w:rsidRPr="00464321">
        <w:t xml:space="preserve">that the </w:t>
      </w:r>
      <w:r>
        <w:t>PI</w:t>
      </w:r>
      <w:r w:rsidRPr="00464321">
        <w:t xml:space="preserve"> reflects the basis on which the Secretary decided under subsection 25(3) of the Act to register the goods.</w:t>
      </w:r>
    </w:p>
    <w:p w14:paraId="1F97C8EC" w14:textId="77777777" w:rsidR="00200B27" w:rsidRDefault="00200B27" w:rsidP="00200B27">
      <w:r>
        <w:t>The</w:t>
      </w:r>
      <w:r w:rsidRPr="004363CF">
        <w:t xml:space="preserve"> </w:t>
      </w:r>
      <w:r>
        <w:t>s60 D</w:t>
      </w:r>
      <w:r w:rsidRPr="004363CF">
        <w:t>elegate’s decision</w:t>
      </w:r>
      <w:r>
        <w:t xml:space="preserve"> </w:t>
      </w:r>
      <w:r w:rsidR="004E4BB1">
        <w:t>was</w:t>
      </w:r>
      <w:r>
        <w:t xml:space="preserve"> the subject of an appeal to</w:t>
      </w:r>
      <w:r w:rsidRPr="004363CF">
        <w:t xml:space="preserve"> the Administrative Appeals Tribunal (AAT) as provided for in secti</w:t>
      </w:r>
      <w:r>
        <w:t xml:space="preserve">on 60 (6) (b) of the Act. The s60 </w:t>
      </w:r>
      <w:r w:rsidR="00085157">
        <w:t>Delegate’s</w:t>
      </w:r>
      <w:r>
        <w:t xml:space="preserve"> decision </w:t>
      </w:r>
      <w:r w:rsidR="004E4BB1">
        <w:t>was</w:t>
      </w:r>
      <w:r>
        <w:t xml:space="preserve"> stayed until the AAT has determined the matter. </w:t>
      </w:r>
      <w:r w:rsidR="00536092">
        <w:t>Therefore,</w:t>
      </w:r>
      <w:r>
        <w:t xml:space="preserve"> the current approved PI is the PI approved by the Secretary’s Delegate.</w:t>
      </w:r>
    </w:p>
    <w:p w14:paraId="1D03CC8B" w14:textId="77777777" w:rsidR="00536092" w:rsidRDefault="00536092" w:rsidP="00536092">
      <w:pPr>
        <w:pStyle w:val="Heading4"/>
      </w:pPr>
      <w:r>
        <w:t>Outcome of AAT appeal</w:t>
      </w:r>
    </w:p>
    <w:p w14:paraId="35CABCED" w14:textId="77777777" w:rsidR="004E4BB1" w:rsidRDefault="004E4BB1" w:rsidP="00536092">
      <w:r>
        <w:t xml:space="preserve">The Administrative Appeals Tribunal decided that the Product Information approved by the Secretary’s Delegate should be the approved Product Information for the product. This decision was implemented </w:t>
      </w:r>
      <w:r w:rsidR="00921E61">
        <w:t>by the TGA on 12 February 2018.</w:t>
      </w:r>
    </w:p>
    <w:p w14:paraId="3DBE8E10" w14:textId="77777777" w:rsidR="00536092" w:rsidRPr="00536092" w:rsidRDefault="004E4BB1" w:rsidP="00536092">
      <w:r>
        <w:t>The approved Product Information is at Attachment 1.</w:t>
      </w:r>
    </w:p>
    <w:p w14:paraId="525CDDF8" w14:textId="77777777" w:rsidR="00200B27" w:rsidRPr="004363CF" w:rsidRDefault="00200B27" w:rsidP="00200B27">
      <w:pPr>
        <w:pStyle w:val="Heading2"/>
      </w:pPr>
      <w:bookmarkStart w:id="176" w:name="_Toc455678992"/>
      <w:bookmarkStart w:id="177" w:name="_Toc44577037"/>
      <w:r w:rsidRPr="004363CF">
        <w:t>Attachment 1. Product Information</w:t>
      </w:r>
      <w:bookmarkEnd w:id="176"/>
      <w:bookmarkEnd w:id="177"/>
    </w:p>
    <w:p w14:paraId="4FBC4AFC" w14:textId="16F0C2FA" w:rsidR="00200B27" w:rsidRPr="00243CD3" w:rsidRDefault="00200B27" w:rsidP="00200B27">
      <w:pPr>
        <w:rPr>
          <w:lang w:eastAsia="en-AU"/>
        </w:rPr>
      </w:pPr>
      <w:r w:rsidRPr="00243CD3">
        <w:t xml:space="preserve">The PI for </w:t>
      </w:r>
      <w:r w:rsidR="00525466">
        <w:t>Inflectra</w:t>
      </w:r>
      <w:r w:rsidRPr="00243CD3">
        <w:t xml:space="preserve"> </w:t>
      </w:r>
      <w:r>
        <w:t xml:space="preserve">approved with the submission which is described in </w:t>
      </w:r>
      <w:r w:rsidRPr="002B3624">
        <w:t>this AusPAR</w:t>
      </w:r>
      <w:r>
        <w:t xml:space="preserve"> </w:t>
      </w:r>
      <w:r w:rsidRPr="00243CD3">
        <w:t>is at Attachment 1</w:t>
      </w:r>
      <w:r w:rsidR="00207188">
        <w:t>.</w:t>
      </w:r>
      <w:r>
        <w:rPr>
          <w:rStyle w:val="FootnoteReference"/>
        </w:rPr>
        <w:footnoteReference w:id="34"/>
      </w:r>
      <w:r w:rsidRPr="00243CD3">
        <w:t xml:space="preserve"> For the most recent PI, please refer to the TGA website at &lt;</w:t>
      </w:r>
      <w:hyperlink r:id="rId31" w:history="1">
        <w:r w:rsidRPr="00243CD3">
          <w:rPr>
            <w:rStyle w:val="Hyperlink"/>
            <w:color w:val="auto"/>
          </w:rPr>
          <w:t>https://www.tga.gov.au/product-information-pi</w:t>
        </w:r>
      </w:hyperlink>
      <w:r w:rsidRPr="00243CD3">
        <w:t>&gt;</w:t>
      </w:r>
      <w:r>
        <w:rPr>
          <w:rStyle w:val="FootnoteReference"/>
        </w:rPr>
        <w:footnoteReference w:id="35"/>
      </w:r>
      <w:r w:rsidRPr="00243CD3">
        <w:t xml:space="preserve">. The PI for Emisima, Flixceli, and </w:t>
      </w:r>
      <w:r w:rsidR="00EB7C28">
        <w:t>Remsima</w:t>
      </w:r>
      <w:r w:rsidR="006A20F8">
        <w:t>,</w:t>
      </w:r>
      <w:r w:rsidR="00EB7C28">
        <w:t xml:space="preserve"> </w:t>
      </w:r>
      <w:r w:rsidRPr="00243CD3">
        <w:t>Inflectra is identical except for the product name</w:t>
      </w:r>
      <w:r w:rsidR="00801757">
        <w:t xml:space="preserve"> (also attached)</w:t>
      </w:r>
      <w:r w:rsidRPr="00243CD3">
        <w:t>.</w:t>
      </w:r>
    </w:p>
    <w:p w14:paraId="53A3A65E" w14:textId="1D6C8DB3" w:rsidR="00770CAC" w:rsidRDefault="004E4BB1" w:rsidP="004E4BB1">
      <w:pPr>
        <w:pStyle w:val="Heading2"/>
      </w:pPr>
      <w:bookmarkStart w:id="178" w:name="_Toc44577038"/>
      <w:r>
        <w:t xml:space="preserve">Attachment </w:t>
      </w:r>
      <w:r w:rsidR="00DD4AC6">
        <w:t>2</w:t>
      </w:r>
      <w:r>
        <w:t>. Reports from Clinical Units 1 and 4</w:t>
      </w:r>
      <w:bookmarkEnd w:id="133"/>
      <w:bookmarkEnd w:id="168"/>
      <w:bookmarkEnd w:id="169"/>
      <w:bookmarkEnd w:id="178"/>
    </w:p>
    <w:p w14:paraId="48324EFF" w14:textId="77777777" w:rsidR="00291957" w:rsidRDefault="00291957" w:rsidP="00291957">
      <w:pPr>
        <w:rPr>
          <w:lang w:eastAsia="ja-JP"/>
        </w:rPr>
      </w:pPr>
    </w:p>
    <w:p w14:paraId="4D0D6739" w14:textId="77777777" w:rsidR="00C80137" w:rsidRPr="001D043B" w:rsidRDefault="00C80137" w:rsidP="003A7F6C">
      <w:pPr>
        <w:pStyle w:val="TableTitle"/>
        <w:sectPr w:rsidR="00C80137" w:rsidRPr="001D043B" w:rsidSect="00B452CE">
          <w:headerReference w:type="even" r:id="rId32"/>
          <w:headerReference w:type="default" r:id="rId33"/>
          <w:headerReference w:type="first" r:id="rId34"/>
          <w:footerReference w:type="first" r:id="rId35"/>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5FC83791" w14:textId="77777777" w:rsidTr="00A05FA4">
        <w:trPr>
          <w:trHeight w:hRule="exact" w:val="704"/>
        </w:trPr>
        <w:tc>
          <w:tcPr>
            <w:tcW w:w="9175" w:type="dxa"/>
          </w:tcPr>
          <w:p w14:paraId="163DE6B4" w14:textId="77777777" w:rsidR="001C32CD" w:rsidRPr="00487162" w:rsidRDefault="001C32CD" w:rsidP="00A05FA4">
            <w:pPr>
              <w:pStyle w:val="TGASignoff"/>
            </w:pPr>
            <w:r w:rsidRPr="00487162">
              <w:lastRenderedPageBreak/>
              <w:t>Therapeutic Goods Administration</w:t>
            </w:r>
          </w:p>
        </w:tc>
      </w:tr>
      <w:tr w:rsidR="001C32CD" w:rsidRPr="004C239D" w14:paraId="5996ABB4" w14:textId="77777777" w:rsidTr="00A05FA4">
        <w:trPr>
          <w:trHeight w:val="1221"/>
        </w:trPr>
        <w:tc>
          <w:tcPr>
            <w:tcW w:w="9175" w:type="dxa"/>
            <w:tcMar>
              <w:top w:w="28" w:type="dxa"/>
            </w:tcMar>
          </w:tcPr>
          <w:p w14:paraId="1F08AE03" w14:textId="77777777" w:rsidR="001C32CD" w:rsidRPr="00487162" w:rsidRDefault="001C32CD" w:rsidP="00A05FA4">
            <w:pPr>
              <w:pStyle w:val="Address"/>
            </w:pPr>
            <w:r w:rsidRPr="00487162">
              <w:t>PO Box 100 Woden ACT 2606 Australia</w:t>
            </w:r>
          </w:p>
          <w:p w14:paraId="2B0877FE" w14:textId="77777777" w:rsidR="001C32CD" w:rsidRPr="00487162" w:rsidRDefault="001C32CD" w:rsidP="00A05FA4">
            <w:pPr>
              <w:pStyle w:val="Address"/>
            </w:pPr>
            <w:r w:rsidRPr="00487162">
              <w:t xml:space="preserve">Email: </w:t>
            </w:r>
            <w:hyperlink r:id="rId36" w:history="1">
              <w:r w:rsidRPr="004C239D">
                <w:rPr>
                  <w:rStyle w:val="Hyperlink"/>
                </w:rPr>
                <w:t>info@tga.gov.au</w:t>
              </w:r>
            </w:hyperlink>
            <w:r w:rsidRPr="00487162">
              <w:t xml:space="preserve">  Phone: 1800 020 653  Fax: 02 6232 8605</w:t>
            </w:r>
          </w:p>
          <w:p w14:paraId="7EF00903" w14:textId="77777777" w:rsidR="001C32CD" w:rsidRPr="004C239D" w:rsidRDefault="00077133" w:rsidP="00A05FA4">
            <w:pPr>
              <w:pStyle w:val="Address"/>
              <w:spacing w:line="260" w:lineRule="atLeast"/>
              <w:rPr>
                <w:b/>
                <w:color w:val="0000FF"/>
                <w:u w:val="single"/>
              </w:rPr>
            </w:pPr>
            <w:hyperlink r:id="rId37" w:history="1">
              <w:r w:rsidR="007C6B9B" w:rsidRPr="007C6B9B">
                <w:rPr>
                  <w:rStyle w:val="Hyperlink"/>
                  <w:b/>
                </w:rPr>
                <w:t>https://www.tga.gov.au</w:t>
              </w:r>
            </w:hyperlink>
          </w:p>
        </w:tc>
      </w:tr>
    </w:tbl>
    <w:p w14:paraId="0445FCB9" w14:textId="77777777" w:rsidR="00774E1D" w:rsidRPr="008A5E0B" w:rsidRDefault="00774E1D" w:rsidP="004C239D"/>
    <w:sectPr w:rsidR="00774E1D" w:rsidRPr="008A5E0B" w:rsidSect="001C32CD">
      <w:headerReference w:type="even" r:id="rId38"/>
      <w:headerReference w:type="default" r:id="rId39"/>
      <w:footerReference w:type="default" r:id="rId40"/>
      <w:headerReference w:type="first" r:id="rId41"/>
      <w:footerReference w:type="first" r:id="rId42"/>
      <w:pgSz w:w="11906" w:h="16838" w:code="9"/>
      <w:pgMar w:top="13467" w:right="1701" w:bottom="426" w:left="1701" w:header="907" w:footer="0"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60E714A" w16cid:durableId="2256C5ED"/>
  <w16cid:commentId w16cid:paraId="25764A4E" w16cid:durableId="21F65F0C"/>
  <w16cid:commentId w16cid:paraId="62987FE2" w16cid:durableId="2249196D"/>
  <w16cid:commentId w16cid:paraId="6E8E2D55" w16cid:durableId="21EBE047"/>
  <w16cid:commentId w16cid:paraId="3332889F" w16cid:durableId="2249196F"/>
  <w16cid:commentId w16cid:paraId="24ABE851" w16cid:durableId="21F7930D"/>
  <w16cid:commentId w16cid:paraId="0E309278" w16cid:durableId="22491971"/>
  <w16cid:commentId w16cid:paraId="6B2A5270" w16cid:durableId="221F6ACF"/>
  <w16cid:commentId w16cid:paraId="4EDEB9F8" w16cid:durableId="22491973"/>
  <w16cid:commentId w16cid:paraId="6E255A74" w16cid:durableId="221F6843"/>
  <w16cid:commentId w16cid:paraId="28A10D5C" w16cid:durableId="22491975"/>
  <w16cid:commentId w16cid:paraId="3BE0B3B9" w16cid:durableId="222840B0"/>
  <w16cid:commentId w16cid:paraId="445CCFEE" w16cid:durableId="22491977"/>
  <w16cid:commentId w16cid:paraId="214CE975" w16cid:durableId="21ED18E5"/>
  <w16cid:commentId w16cid:paraId="6512AF83" w16cid:durableId="21F797DD"/>
  <w16cid:commentId w16cid:paraId="76445EDF" w16cid:durableId="2249197A"/>
  <w16cid:commentId w16cid:paraId="0F1DD87A" w16cid:durableId="221F6C60"/>
  <w16cid:commentId w16cid:paraId="01E608BA" w16cid:durableId="2249197C"/>
  <w16cid:commentId w16cid:paraId="3AB03344" w16cid:durableId="22491EAB"/>
  <w16cid:commentId w16cid:paraId="0C267852" w16cid:durableId="2226E02E"/>
  <w16cid:commentId w16cid:paraId="1D683214" w16cid:durableId="2249197E"/>
  <w16cid:commentId w16cid:paraId="5C1FE079" w16cid:durableId="2226E02F"/>
  <w16cid:commentId w16cid:paraId="3F694E71" w16cid:durableId="22491980"/>
  <w16cid:commentId w16cid:paraId="783DE81F" w16cid:durableId="2226E031"/>
  <w16cid:commentId w16cid:paraId="5157F178" w16cid:durableId="22491982"/>
  <w16cid:commentId w16cid:paraId="66460266" w16cid:durableId="2226E474"/>
  <w16cid:commentId w16cid:paraId="43AC51BA" w16cid:durableId="22491984"/>
  <w16cid:commentId w16cid:paraId="5AA11117" w16cid:durableId="2226E3A1"/>
  <w16cid:commentId w16cid:paraId="1F0DDD72" w16cid:durableId="22491986"/>
  <w16cid:commentId w16cid:paraId="546A4523" w16cid:durableId="2226E68C"/>
  <w16cid:commentId w16cid:paraId="2C09A517" w16cid:durableId="22491988"/>
  <w16cid:commentId w16cid:paraId="4BF873E8" w16cid:durableId="22491989"/>
  <w16cid:commentId w16cid:paraId="05BD9E65" w16cid:durableId="21F7BC03"/>
  <w16cid:commentId w16cid:paraId="46D5FDFF" w16cid:durableId="2249198B"/>
  <w16cid:commentId w16cid:paraId="4549B323" w16cid:durableId="21F7C22D"/>
  <w16cid:commentId w16cid:paraId="665D5BD7" w16cid:durableId="2249198D"/>
  <w16cid:commentId w16cid:paraId="276B1C32" w16cid:durableId="21F684D3"/>
  <w16cid:commentId w16cid:paraId="457D0906" w16cid:durableId="2249198F"/>
  <w16cid:commentId w16cid:paraId="0433C9C6" w16cid:durableId="2256C4FD"/>
  <w16cid:commentId w16cid:paraId="3B69474C" w16cid:durableId="21F69BAD"/>
  <w16cid:commentId w16cid:paraId="48319075" w16cid:durableId="22491991"/>
  <w16cid:commentId w16cid:paraId="22985D71" w16cid:durableId="22491E64"/>
  <w16cid:commentId w16cid:paraId="377741EC" w16cid:durableId="21ED1A6B"/>
  <w16cid:commentId w16cid:paraId="0B6AFDFC" w16cid:durableId="22491993"/>
  <w16cid:commentId w16cid:paraId="3BDA0CC8" w16cid:durableId="21ED1ADB"/>
  <w16cid:commentId w16cid:paraId="55142D13" w16cid:durableId="21EEA883"/>
  <w16cid:commentId w16cid:paraId="44F38F23" w16cid:durableId="22491996"/>
  <w16cid:commentId w16cid:paraId="3EC4B405" w16cid:durableId="21ED2637"/>
  <w16cid:commentId w16cid:paraId="69159677" w16cid:durableId="21F6AC88"/>
  <w16cid:commentId w16cid:paraId="15BE4201" w16cid:durableId="22491999"/>
  <w16cid:commentId w16cid:paraId="1B3B0035" w16cid:durableId="21ED271E"/>
  <w16cid:commentId w16cid:paraId="2CB2225F" w16cid:durableId="21F6AEE8"/>
  <w16cid:commentId w16cid:paraId="07481C5D" w16cid:durableId="2249199C"/>
  <w16cid:commentId w16cid:paraId="7DE07C16" w16cid:durableId="2249199D"/>
  <w16cid:commentId w16cid:paraId="0577BA7E" w16cid:durableId="22491B7D"/>
  <w16cid:commentId w16cid:paraId="27932368" w16cid:durableId="2249199E"/>
  <w16cid:commentId w16cid:paraId="4EDAF98E" w16cid:durableId="22491B97"/>
  <w16cid:commentId w16cid:paraId="666F2F9D" w16cid:durableId="222449B0"/>
  <w16cid:commentId w16cid:paraId="38B2F2EF" w16cid:durableId="224919A0"/>
  <w16cid:commentId w16cid:paraId="05AF86D8" w16cid:durableId="21EE8178"/>
  <w16cid:commentId w16cid:paraId="280D0E0E" w16cid:durableId="224919A2"/>
  <w16cid:commentId w16cid:paraId="3E6912BC" w16cid:durableId="22038C64"/>
  <w16cid:commentId w16cid:paraId="2D66A364" w16cid:durableId="224919A4"/>
  <w16cid:commentId w16cid:paraId="1F7CDDDB" w16cid:durableId="22491DC3"/>
  <w16cid:commentId w16cid:paraId="4086D70F" w16cid:durableId="224919A5"/>
  <w16cid:commentId w16cid:paraId="2934860C" w16cid:durableId="224919A6"/>
  <w16cid:commentId w16cid:paraId="5833067C" w16cid:durableId="22491DB4"/>
  <w16cid:commentId w16cid:paraId="09CED8B9" w16cid:durableId="224919A7"/>
  <w16cid:commentId w16cid:paraId="6D46DE9A" w16cid:durableId="224919A8"/>
  <w16cid:commentId w16cid:paraId="22D17EA0" w16cid:durableId="224919A9"/>
  <w16cid:commentId w16cid:paraId="45477307" w16cid:durableId="224919AA"/>
  <w16cid:commentId w16cid:paraId="620C77B6" w16cid:durableId="2224A227"/>
  <w16cid:commentId w16cid:paraId="0493474C" w16cid:durableId="224919AC"/>
  <w16cid:commentId w16cid:paraId="35E74718" w16cid:durableId="2226E056"/>
  <w16cid:commentId w16cid:paraId="26EB9F4B" w16cid:durableId="224919AE"/>
  <w16cid:commentId w16cid:paraId="6EC4B7D0" w16cid:durableId="22491CB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7CDE5B" w14:textId="77777777" w:rsidR="00077133" w:rsidRDefault="00077133" w:rsidP="00C40A36">
      <w:pPr>
        <w:spacing w:after="0"/>
      </w:pPr>
      <w:r>
        <w:separator/>
      </w:r>
    </w:p>
  </w:endnote>
  <w:endnote w:type="continuationSeparator" w:id="0">
    <w:p w14:paraId="0D410499" w14:textId="77777777" w:rsidR="00077133" w:rsidRDefault="00077133"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altName w:val="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PMingLiU">
    <w:altName w:val="新細明體"/>
    <w:panose1 w:val="02020500000000000000"/>
    <w:charset w:val="88"/>
    <w:family w:val="roman"/>
    <w:pitch w:val="variable"/>
    <w:sig w:usb0="A00002FF" w:usb1="2A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Helv">
    <w:panose1 w:val="020B0604020202030204"/>
    <w:charset w:val="00"/>
    <w:family w:val="swiss"/>
    <w:notTrueType/>
    <w:pitch w:val="variable"/>
    <w:sig w:usb0="00000003" w:usb1="00000000" w:usb2="00000000" w:usb3="00000000" w:csb0="00000001" w:csb1="00000000"/>
  </w:font>
  <w:font w:name="MS Minngs">
    <w:altName w:val="MS Mincho"/>
    <w:panose1 w:val="00000000000000000000"/>
    <w:charset w:val="80"/>
    <w:family w:val="roman"/>
    <w:notTrueType/>
    <w:pitch w:val="fixed"/>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MingLiU">
    <w:altName w:val="細明體"/>
    <w:panose1 w:val="02020509000000000000"/>
    <w:charset w:val="88"/>
    <w:family w:val="modern"/>
    <w:pitch w:val="fixed"/>
    <w:sig w:usb0="A00002FF" w:usb1="2A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55D80B" w14:textId="77777777" w:rsidR="00077133" w:rsidRDefault="000771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077133" w:rsidRPr="00487162" w14:paraId="5F2DE32D" w14:textId="77777777" w:rsidTr="00DB750B">
      <w:trPr>
        <w:trHeight w:val="269"/>
      </w:trPr>
      <w:tc>
        <w:tcPr>
          <w:tcW w:w="7371" w:type="dxa"/>
          <w:tcMar>
            <w:top w:w="142" w:type="dxa"/>
            <w:bottom w:w="0" w:type="dxa"/>
          </w:tcMar>
        </w:tcPr>
        <w:p w14:paraId="21190996" w14:textId="48E6FF7F" w:rsidR="00077133" w:rsidRPr="00487162" w:rsidRDefault="00077133" w:rsidP="00D441A1">
          <w:pPr>
            <w:pStyle w:val="Footer"/>
          </w:pPr>
          <w:r w:rsidRPr="00D84AE5">
            <w:rPr>
              <w:szCs w:val="17"/>
            </w:rPr>
            <w:t xml:space="preserve">AusPAR </w:t>
          </w:r>
          <w:r w:rsidRPr="00D84AE5">
            <w:rPr>
              <w:rFonts w:asciiTheme="minorHAnsi" w:hAnsiTheme="minorHAnsi" w:cs="Helv"/>
              <w:color w:val="000000"/>
              <w:szCs w:val="17"/>
              <w:lang w:eastAsia="en-AU"/>
            </w:rPr>
            <w:t xml:space="preserve">Emisima, Flixceli, Inflectra, </w:t>
          </w:r>
          <w:r w:rsidRPr="00D84AE5">
            <w:rPr>
              <w:rFonts w:asciiTheme="minorHAnsi" w:hAnsiTheme="minorHAnsi" w:cs="Helv"/>
              <w:color w:val="000000"/>
              <w:szCs w:val="17"/>
            </w:rPr>
            <w:t xml:space="preserve">Remsima </w:t>
          </w:r>
          <w:r w:rsidRPr="00D84AE5">
            <w:rPr>
              <w:rFonts w:asciiTheme="minorHAnsi" w:hAnsiTheme="minorHAnsi" w:cs="Helv"/>
              <w:color w:val="000000"/>
              <w:szCs w:val="17"/>
              <w:lang w:eastAsia="en-AU"/>
            </w:rPr>
            <w:t xml:space="preserve">Infliximab (rmc) </w:t>
          </w:r>
          <w:r>
            <w:rPr>
              <w:szCs w:val="17"/>
            </w:rPr>
            <w:t xml:space="preserve">PM-2013-03247-1-3 </w:t>
          </w:r>
          <w:r>
            <w:rPr>
              <w:szCs w:val="17"/>
            </w:rPr>
            <w:br/>
            <w:t>Final 3 June 2020</w:t>
          </w:r>
        </w:p>
      </w:tc>
      <w:tc>
        <w:tcPr>
          <w:tcW w:w="1490" w:type="dxa"/>
          <w:tcMar>
            <w:top w:w="142" w:type="dxa"/>
            <w:bottom w:w="0" w:type="dxa"/>
          </w:tcMar>
        </w:tcPr>
        <w:p w14:paraId="58917477" w14:textId="533655BC" w:rsidR="00077133" w:rsidRPr="00487162" w:rsidRDefault="00077133" w:rsidP="00DB750B">
          <w:pPr>
            <w:pStyle w:val="Footer"/>
            <w:jc w:val="right"/>
          </w:pPr>
          <w:r w:rsidRPr="00487162">
            <w:t xml:space="preserve">Page </w:t>
          </w:r>
          <w:r>
            <w:fldChar w:fldCharType="begin"/>
          </w:r>
          <w:r>
            <w:instrText xml:space="preserve"> PAGE  \* Arabic </w:instrText>
          </w:r>
          <w:r>
            <w:fldChar w:fldCharType="separate"/>
          </w:r>
          <w:r w:rsidR="009E68DF">
            <w:rPr>
              <w:noProof/>
            </w:rPr>
            <w:t>2</w:t>
          </w:r>
          <w:r>
            <w:fldChar w:fldCharType="end"/>
          </w:r>
          <w:r w:rsidRPr="00487162">
            <w:t xml:space="preserve"> of </w:t>
          </w:r>
          <w:r>
            <w:rPr>
              <w:noProof/>
            </w:rPr>
            <w:fldChar w:fldCharType="begin"/>
          </w:r>
          <w:r>
            <w:rPr>
              <w:noProof/>
            </w:rPr>
            <w:instrText xml:space="preserve"> NUMPAGES  \* Arabic </w:instrText>
          </w:r>
          <w:r>
            <w:rPr>
              <w:noProof/>
            </w:rPr>
            <w:fldChar w:fldCharType="separate"/>
          </w:r>
          <w:r w:rsidR="009E68DF">
            <w:rPr>
              <w:noProof/>
            </w:rPr>
            <w:t>93</w:t>
          </w:r>
          <w:r>
            <w:rPr>
              <w:noProof/>
            </w:rPr>
            <w:fldChar w:fldCharType="end"/>
          </w:r>
        </w:p>
      </w:tc>
    </w:tr>
  </w:tbl>
  <w:p w14:paraId="7E712F67" w14:textId="77777777" w:rsidR="00077133" w:rsidRDefault="00077133" w:rsidP="003D1E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D89F81" w14:textId="77777777" w:rsidR="00077133" w:rsidRDefault="0007713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077133" w:rsidRPr="00487162" w14:paraId="0564ACAF" w14:textId="77777777" w:rsidTr="00E45619">
      <w:trPr>
        <w:trHeight w:val="269"/>
      </w:trPr>
      <w:tc>
        <w:tcPr>
          <w:tcW w:w="4519" w:type="dxa"/>
          <w:tcBorders>
            <w:top w:val="single" w:sz="4" w:space="0" w:color="auto"/>
          </w:tcBorders>
          <w:tcMar>
            <w:top w:w="142" w:type="dxa"/>
            <w:bottom w:w="0" w:type="dxa"/>
          </w:tcMar>
        </w:tcPr>
        <w:p w14:paraId="0804AEC7" w14:textId="77777777" w:rsidR="00077133" w:rsidRPr="00487162" w:rsidRDefault="00077133" w:rsidP="00FE1DEE">
          <w:pPr>
            <w:pStyle w:val="Footer"/>
          </w:pPr>
          <w:r w:rsidRPr="00487162">
            <w:t>Document title, Part #, Section # - Section title</w:t>
          </w:r>
        </w:p>
        <w:p w14:paraId="36B1C5F6" w14:textId="77777777" w:rsidR="00077133" w:rsidRPr="00487162" w:rsidRDefault="00077133" w:rsidP="00FE1DEE">
          <w:pPr>
            <w:pStyle w:val="Footer"/>
          </w:pPr>
          <w:r w:rsidRPr="00487162">
            <w:t>V1.0 October 2010</w:t>
          </w:r>
        </w:p>
      </w:tc>
      <w:tc>
        <w:tcPr>
          <w:tcW w:w="4342" w:type="dxa"/>
          <w:tcBorders>
            <w:top w:val="single" w:sz="4" w:space="0" w:color="auto"/>
          </w:tcBorders>
          <w:tcMar>
            <w:top w:w="142" w:type="dxa"/>
            <w:bottom w:w="0" w:type="dxa"/>
          </w:tcMar>
        </w:tcPr>
        <w:p w14:paraId="5D0434A6" w14:textId="7CB6DA4F" w:rsidR="00077133" w:rsidRPr="00487162" w:rsidRDefault="00077133"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Pr>
              <w:noProof/>
            </w:rPr>
            <w:fldChar w:fldCharType="begin"/>
          </w:r>
          <w:r>
            <w:rPr>
              <w:noProof/>
            </w:rPr>
            <w:instrText xml:space="preserve"> NUMPAGES  </w:instrText>
          </w:r>
          <w:r>
            <w:rPr>
              <w:noProof/>
            </w:rPr>
            <w:fldChar w:fldCharType="separate"/>
          </w:r>
          <w:r>
            <w:rPr>
              <w:noProof/>
            </w:rPr>
            <w:t>92</w:t>
          </w:r>
          <w:r>
            <w:rPr>
              <w:noProof/>
            </w:rPr>
            <w:fldChar w:fldCharType="end"/>
          </w:r>
        </w:p>
      </w:tc>
    </w:tr>
  </w:tbl>
  <w:p w14:paraId="02416A07" w14:textId="77777777" w:rsidR="00077133" w:rsidRDefault="0007713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E3CAC7" w14:textId="77777777" w:rsidR="00077133" w:rsidRPr="001C32CD" w:rsidRDefault="00077133" w:rsidP="001C32C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077133" w14:paraId="751A7CC2" w14:textId="77777777" w:rsidTr="0010601F">
      <w:trPr>
        <w:trHeight w:val="108"/>
      </w:trPr>
      <w:tc>
        <w:tcPr>
          <w:tcW w:w="8875" w:type="dxa"/>
          <w:gridSpan w:val="2"/>
          <w:tcBorders>
            <w:bottom w:val="single" w:sz="4" w:space="0" w:color="auto"/>
          </w:tcBorders>
          <w:tcMar>
            <w:right w:w="284" w:type="dxa"/>
          </w:tcMar>
        </w:tcPr>
        <w:p w14:paraId="31BE6492" w14:textId="77777777" w:rsidR="00077133" w:rsidRDefault="00077133" w:rsidP="006E08B3">
          <w:pPr>
            <w:pStyle w:val="Heading3"/>
          </w:pPr>
          <w:r>
            <w:t>Copyright</w:t>
          </w:r>
        </w:p>
        <w:p w14:paraId="7025036A" w14:textId="77777777" w:rsidR="00077133" w:rsidRDefault="00077133" w:rsidP="006E08B3">
          <w:r>
            <w:rPr>
              <w:rFonts w:cs="Arial"/>
            </w:rPr>
            <w:t>©</w:t>
          </w:r>
          <w:r>
            <w:t xml:space="preserve"> Commonwealth of Australia [add year]</w:t>
          </w:r>
        </w:p>
        <w:p w14:paraId="5700DEB3" w14:textId="77777777" w:rsidR="00077133" w:rsidRDefault="00077133" w:rsidP="006E08B3"/>
        <w:p w14:paraId="576C4B86" w14:textId="77777777" w:rsidR="00077133" w:rsidRDefault="00077133"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709A2CFE" w14:textId="77777777" w:rsidR="00077133" w:rsidRDefault="00077133" w:rsidP="006E08B3"/>
        <w:p w14:paraId="65BCF9E4" w14:textId="77777777" w:rsidR="00077133" w:rsidRDefault="00077133" w:rsidP="006E08B3">
          <w:pPr>
            <w:pStyle w:val="Heading3"/>
          </w:pPr>
          <w:r>
            <w:t>Confidentiality</w:t>
          </w:r>
        </w:p>
        <w:p w14:paraId="1DCB9624" w14:textId="77777777" w:rsidR="00077133" w:rsidRDefault="00077133"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264BB5A7" w14:textId="77777777" w:rsidR="00077133" w:rsidRDefault="00077133" w:rsidP="006E08B3"/>
        <w:p w14:paraId="41848196" w14:textId="77777777" w:rsidR="00077133" w:rsidRDefault="00077133" w:rsidP="006E08B3">
          <w:r>
            <w:t>For submission made by individuals, all personal details, other than your name, will be removed from your submission before it is published on the TGA’s Internet site.</w:t>
          </w:r>
        </w:p>
        <w:p w14:paraId="136C40FF" w14:textId="77777777" w:rsidR="00077133" w:rsidRDefault="00077133" w:rsidP="006E08B3"/>
        <w:p w14:paraId="3B062086" w14:textId="77777777" w:rsidR="00077133" w:rsidRDefault="00077133"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077133" w14:paraId="40D933B8" w14:textId="77777777" w:rsidTr="0010601F">
      <w:trPr>
        <w:trHeight w:val="417"/>
      </w:trPr>
      <w:tc>
        <w:tcPr>
          <w:tcW w:w="4519" w:type="dxa"/>
          <w:tcBorders>
            <w:top w:val="single" w:sz="4" w:space="0" w:color="auto"/>
          </w:tcBorders>
          <w:tcMar>
            <w:top w:w="142" w:type="dxa"/>
            <w:bottom w:w="0" w:type="dxa"/>
          </w:tcMar>
        </w:tcPr>
        <w:p w14:paraId="143114A4" w14:textId="77777777" w:rsidR="00077133" w:rsidRDefault="00077133" w:rsidP="006E08B3">
          <w:r>
            <w:t>Document title, Part #, Section # - Section title</w:t>
          </w:r>
        </w:p>
        <w:p w14:paraId="39F19C4A" w14:textId="77777777" w:rsidR="00077133" w:rsidRDefault="00077133" w:rsidP="006E08B3">
          <w:r>
            <w:t>V1.0 October 2010</w:t>
          </w:r>
        </w:p>
      </w:tc>
      <w:tc>
        <w:tcPr>
          <w:tcW w:w="4356" w:type="dxa"/>
          <w:tcBorders>
            <w:top w:val="single" w:sz="4" w:space="0" w:color="auto"/>
          </w:tcBorders>
          <w:tcMar>
            <w:top w:w="142" w:type="dxa"/>
            <w:bottom w:w="0" w:type="dxa"/>
          </w:tcMar>
        </w:tcPr>
        <w:p w14:paraId="05058C04" w14:textId="51CFEA68" w:rsidR="00077133" w:rsidRDefault="00077133"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Pr>
              <w:noProof/>
            </w:rPr>
            <w:fldChar w:fldCharType="begin"/>
          </w:r>
          <w:r>
            <w:rPr>
              <w:noProof/>
            </w:rPr>
            <w:instrText xml:space="preserve"> NUMPAGES  \* Arabic </w:instrText>
          </w:r>
          <w:r>
            <w:rPr>
              <w:noProof/>
            </w:rPr>
            <w:fldChar w:fldCharType="separate"/>
          </w:r>
          <w:r>
            <w:rPr>
              <w:noProof/>
            </w:rPr>
            <w:t>92</w:t>
          </w:r>
          <w:r>
            <w:rPr>
              <w:noProof/>
            </w:rPr>
            <w:fldChar w:fldCharType="end"/>
          </w:r>
          <w:r>
            <w:t xml:space="preserve">  </w:t>
          </w:r>
        </w:p>
      </w:tc>
    </w:tr>
  </w:tbl>
  <w:p w14:paraId="67A1F182" w14:textId="77777777" w:rsidR="00077133" w:rsidRDefault="00077133"/>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8AAE15" w14:textId="77777777" w:rsidR="00077133" w:rsidRDefault="00077133" w:rsidP="00C40A36">
      <w:pPr>
        <w:spacing w:after="0"/>
      </w:pPr>
      <w:r>
        <w:separator/>
      </w:r>
    </w:p>
  </w:footnote>
  <w:footnote w:type="continuationSeparator" w:id="0">
    <w:p w14:paraId="421BFC90" w14:textId="77777777" w:rsidR="00077133" w:rsidRDefault="00077133" w:rsidP="00C40A36">
      <w:pPr>
        <w:spacing w:after="0"/>
      </w:pPr>
      <w:r>
        <w:continuationSeparator/>
      </w:r>
    </w:p>
  </w:footnote>
  <w:footnote w:id="1">
    <w:p w14:paraId="515F8325" w14:textId="407B177F" w:rsidR="00077133" w:rsidRDefault="00077133" w:rsidP="00077133">
      <w:pPr>
        <w:pStyle w:val="FootnoteText"/>
        <w:ind w:right="-1277"/>
      </w:pPr>
      <w:r>
        <w:rPr>
          <w:rStyle w:val="FootnoteReference"/>
        </w:rPr>
        <w:footnoteRef/>
      </w:r>
      <w:r>
        <w:t xml:space="preserve"> The sponsorship for the product has changed subsequent to registration. Details are provided in the body of the AusPAR.</w:t>
      </w:r>
    </w:p>
  </w:footnote>
  <w:footnote w:id="2">
    <w:p w14:paraId="5836F17D" w14:textId="40384EAF" w:rsidR="00077133" w:rsidRPr="00891631" w:rsidRDefault="00077133" w:rsidP="00891631">
      <w:pPr>
        <w:pStyle w:val="FootnoteText"/>
      </w:pPr>
      <w:r w:rsidRPr="00891631">
        <w:rPr>
          <w:rStyle w:val="FootnoteReference"/>
        </w:rPr>
        <w:footnoteRef/>
      </w:r>
      <w:r w:rsidRPr="00891631">
        <w:t xml:space="preserve"> Not all of the trade names were registered at the same time. Inflectra was entered onto the ARTG on 19</w:t>
      </w:r>
      <w:r>
        <w:t> </w:t>
      </w:r>
      <w:r w:rsidRPr="00891631">
        <w:t xml:space="preserve">August 2015. Remsima, </w:t>
      </w:r>
      <w:proofErr w:type="spellStart"/>
      <w:r w:rsidRPr="00891631">
        <w:t>Emsima</w:t>
      </w:r>
      <w:proofErr w:type="spellEnd"/>
      <w:r w:rsidRPr="00891631">
        <w:t xml:space="preserve"> and Flixceli were entered onto the ARTG on 27 November 2015.</w:t>
      </w:r>
    </w:p>
  </w:footnote>
  <w:footnote w:id="3">
    <w:p w14:paraId="4EDB3A73" w14:textId="2D960168" w:rsidR="00077133" w:rsidRPr="00891631" w:rsidRDefault="00077133" w:rsidP="00891631">
      <w:pPr>
        <w:pStyle w:val="FootnoteText"/>
      </w:pPr>
      <w:r w:rsidRPr="00891631">
        <w:rPr>
          <w:rStyle w:val="FootnoteReference"/>
        </w:rPr>
        <w:footnoteRef/>
      </w:r>
      <w:r w:rsidRPr="00891631">
        <w:t xml:space="preserve"> In most references to the product</w:t>
      </w:r>
      <w:r>
        <w:t>,</w:t>
      </w:r>
      <w:r w:rsidRPr="00891631">
        <w:t xml:space="preserve"> only the trade name Inflectra (or CT-P13) will be cited.</w:t>
      </w:r>
    </w:p>
  </w:footnote>
  <w:footnote w:id="4">
    <w:p w14:paraId="4B5E3926" w14:textId="52AE5428" w:rsidR="00077133" w:rsidRPr="005D4A8B" w:rsidRDefault="00077133" w:rsidP="00891631">
      <w:pPr>
        <w:pStyle w:val="FootnoteText"/>
        <w:rPr>
          <w:szCs w:val="18"/>
        </w:rPr>
      </w:pPr>
      <w:r w:rsidRPr="009A65F1">
        <w:rPr>
          <w:vertAlign w:val="superscript"/>
        </w:rPr>
        <w:footnoteRef/>
      </w:r>
      <w:r w:rsidRPr="00EA7838">
        <w:t xml:space="preserve"> </w:t>
      </w:r>
      <w:r w:rsidRPr="00E132F9">
        <w:t xml:space="preserve">The original sponsor at the time of submission was Pharmbio Pty Ltd. </w:t>
      </w:r>
      <w:r>
        <w:t xml:space="preserve">Following approval sponsorship was transferred to </w:t>
      </w:r>
      <w:proofErr w:type="spellStart"/>
      <w:r>
        <w:t>Hospira</w:t>
      </w:r>
      <w:proofErr w:type="spellEnd"/>
      <w:r>
        <w:t xml:space="preserve"> Pty Ltd.  The current sponsor for Inflectra is Pfizer Australia Pty Ltd; the current sponsor for </w:t>
      </w:r>
      <w:r>
        <w:rPr>
          <w:rFonts w:asciiTheme="minorHAnsi" w:hAnsiTheme="minorHAnsi" w:cs="Helv"/>
          <w:color w:val="000000"/>
        </w:rPr>
        <w:t>Remsima,</w:t>
      </w:r>
      <w:r>
        <w:rPr>
          <w:rFonts w:asciiTheme="minorHAnsi" w:hAnsiTheme="minorHAnsi" w:cs="Helv"/>
          <w:color w:val="000000"/>
          <w:lang w:eastAsia="en-AU"/>
        </w:rPr>
        <w:t xml:space="preserve"> Emisima, and Flixceli is Celltrion Healthcare Australia Pty Ltd.</w:t>
      </w:r>
    </w:p>
  </w:footnote>
  <w:footnote w:id="5">
    <w:p w14:paraId="472ECF5C" w14:textId="392E0265" w:rsidR="00077133" w:rsidRDefault="00077133">
      <w:pPr>
        <w:pStyle w:val="FootnoteText"/>
      </w:pPr>
      <w:r>
        <w:rPr>
          <w:rStyle w:val="FootnoteReference"/>
        </w:rPr>
        <w:footnoteRef/>
      </w:r>
      <w:r>
        <w:t xml:space="preserve"> Not all of the trade names were registered in Australia at the same time. Inflectra was entered onto the ARTG on 19 August 2015. Remsima, </w:t>
      </w:r>
      <w:proofErr w:type="spellStart"/>
      <w:r>
        <w:t>Emsima</w:t>
      </w:r>
      <w:proofErr w:type="spellEnd"/>
      <w:r>
        <w:t xml:space="preserve"> and Flixceli were entered onto the ARTG on 27 November 2015.</w:t>
      </w:r>
    </w:p>
  </w:footnote>
  <w:footnote w:id="6">
    <w:p w14:paraId="78C34BCE" w14:textId="7ABDAF42" w:rsidR="00077133" w:rsidRDefault="00077133" w:rsidP="00AA32F8">
      <w:pPr>
        <w:pStyle w:val="FootnoteText"/>
      </w:pPr>
      <w:r>
        <w:rPr>
          <w:rStyle w:val="FootnoteReference"/>
        </w:rPr>
        <w:footnoteRef/>
      </w:r>
      <w:r>
        <w:t xml:space="preserve"> Since initial approval, the shelf life has been extended to 36 months via post approval variation.</w:t>
      </w:r>
    </w:p>
  </w:footnote>
  <w:footnote w:id="7">
    <w:p w14:paraId="77401857" w14:textId="77777777" w:rsidR="00077133" w:rsidRDefault="00077133" w:rsidP="00546601">
      <w:pPr>
        <w:pStyle w:val="FootnoteText"/>
      </w:pPr>
      <w:r>
        <w:rPr>
          <w:rStyle w:val="FootnoteReference"/>
        </w:rPr>
        <w:footnoteRef/>
      </w:r>
      <w:r>
        <w:t xml:space="preserve"> Issues discussed did not impact on the final quality assessment.</w:t>
      </w:r>
    </w:p>
  </w:footnote>
  <w:footnote w:id="8">
    <w:p w14:paraId="70F2C135" w14:textId="77777777" w:rsidR="00077133" w:rsidRDefault="00077133" w:rsidP="00584E17">
      <w:pPr>
        <w:pStyle w:val="FootnoteText"/>
      </w:pPr>
      <w:r>
        <w:rPr>
          <w:rStyle w:val="FootnoteReference"/>
        </w:rPr>
        <w:footnoteRef/>
      </w:r>
      <w:r>
        <w:t xml:space="preserve"> </w:t>
      </w:r>
      <w:r w:rsidRPr="005537DB">
        <w:t>EMA/CHMP/BMWP/403543/2010</w:t>
      </w:r>
      <w:r>
        <w:t xml:space="preserve"> </w:t>
      </w:r>
      <w:r w:rsidRPr="00886699">
        <w:t>EMA Guideline</w:t>
      </w:r>
      <w:r>
        <w:t xml:space="preserve"> </w:t>
      </w:r>
      <w:r w:rsidRPr="00886699">
        <w:t>on Similar Biological Medicinal Products Containing Monoclonal Antibodies: N</w:t>
      </w:r>
      <w:r>
        <w:t>onclinical and Clinical Issues</w:t>
      </w:r>
    </w:p>
  </w:footnote>
  <w:footnote w:id="9">
    <w:p w14:paraId="2BEAF4FB" w14:textId="77777777" w:rsidR="00077133" w:rsidRDefault="00077133" w:rsidP="00584E17">
      <w:pPr>
        <w:pStyle w:val="FootnoteText"/>
      </w:pPr>
      <w:r>
        <w:rPr>
          <w:rStyle w:val="FootnoteReference"/>
        </w:rPr>
        <w:footnoteRef/>
      </w:r>
      <w:r>
        <w:t xml:space="preserve"> </w:t>
      </w:r>
      <w:r w:rsidRPr="00814B1E">
        <w:t xml:space="preserve">Australian Category </w:t>
      </w:r>
      <w:r>
        <w:t>C</w:t>
      </w:r>
      <w:r w:rsidRPr="00814B1E">
        <w:t xml:space="preserve"> for the use of medicines in pregnancy is defined as</w:t>
      </w:r>
      <w:r w:rsidRPr="00814B1E">
        <w:rPr>
          <w:i/>
        </w:rPr>
        <w:t>:</w:t>
      </w:r>
      <w:r w:rsidRPr="00814B1E">
        <w:rPr>
          <w:rFonts w:ascii="Verdana" w:hAnsi="Verdana"/>
          <w:i/>
          <w:sz w:val="21"/>
          <w:szCs w:val="21"/>
          <w:lang w:val="en"/>
        </w:rPr>
        <w:t xml:space="preserve"> ‘</w:t>
      </w:r>
      <w:r w:rsidRPr="00814B1E">
        <w:rPr>
          <w:i/>
          <w:lang w:val="en"/>
        </w:rPr>
        <w:t>Drugs which, owing to their pharmacological effects, have caused or may be suspected of causing, harmful effects on the human fetus or neonate without causing malformations. These effects may be reversible. Accompanying texts should be consulted for further details</w:t>
      </w:r>
      <w:r>
        <w:rPr>
          <w:i/>
          <w:lang w:val="en"/>
        </w:rPr>
        <w:t>’</w:t>
      </w:r>
      <w:r w:rsidRPr="00814B1E">
        <w:rPr>
          <w:i/>
          <w:lang w:val="en"/>
        </w:rPr>
        <w:t>.</w:t>
      </w:r>
    </w:p>
  </w:footnote>
  <w:footnote w:id="10">
    <w:p w14:paraId="6FC51C38" w14:textId="77777777" w:rsidR="00077133" w:rsidRDefault="00077133" w:rsidP="00584E17">
      <w:pPr>
        <w:pStyle w:val="FootnoteText"/>
      </w:pPr>
      <w:r>
        <w:rPr>
          <w:rStyle w:val="FootnoteReference"/>
        </w:rPr>
        <w:footnoteRef/>
      </w:r>
      <w:r>
        <w:t xml:space="preserve"> </w:t>
      </w:r>
      <w:r w:rsidRPr="008F78EE">
        <w:t>CHMP/437/04 Guideline on Similar Biological Medicinal Products.</w:t>
      </w:r>
    </w:p>
  </w:footnote>
  <w:footnote w:id="11">
    <w:p w14:paraId="77D884C7" w14:textId="77777777" w:rsidR="00077133" w:rsidRDefault="00077133" w:rsidP="00584E17">
      <w:pPr>
        <w:pStyle w:val="FootnoteText"/>
      </w:pPr>
      <w:r>
        <w:rPr>
          <w:rStyle w:val="FootnoteReference"/>
        </w:rPr>
        <w:footnoteRef/>
      </w:r>
      <w:r>
        <w:t xml:space="preserve"> </w:t>
      </w:r>
      <w:r w:rsidRPr="008F78EE">
        <w:t>EMA/CHMP/BMWP/403543/2010</w:t>
      </w:r>
      <w:r>
        <w:t xml:space="preserve"> </w:t>
      </w:r>
      <w:r w:rsidRPr="008F78EE">
        <w:t>Guideline on similar biological medicinal products containing monoclonal antibodies</w:t>
      </w:r>
    </w:p>
  </w:footnote>
  <w:footnote w:id="12">
    <w:p w14:paraId="486AD0FC" w14:textId="77777777" w:rsidR="00077133" w:rsidRDefault="00077133" w:rsidP="00584E17">
      <w:pPr>
        <w:pStyle w:val="FootnoteText"/>
      </w:pPr>
      <w:r>
        <w:rPr>
          <w:rStyle w:val="FootnoteReference"/>
        </w:rPr>
        <w:footnoteRef/>
      </w:r>
      <w:r>
        <w:t xml:space="preserve"> </w:t>
      </w:r>
      <w:r w:rsidRPr="005537DB">
        <w:t>EMEA/CPMP/EWP/556/95 rev 1</w:t>
      </w:r>
      <w:r>
        <w:t xml:space="preserve"> </w:t>
      </w:r>
      <w:r w:rsidRPr="008F78EE">
        <w:t>Points to consider on clinical investigation of medicinal products other than non-steroid anti-inflammatory dru</w:t>
      </w:r>
      <w:r>
        <w:t>gs (NSAID) for treatment of RA</w:t>
      </w:r>
    </w:p>
  </w:footnote>
  <w:footnote w:id="13">
    <w:p w14:paraId="44E035C7" w14:textId="77777777" w:rsidR="00077133" w:rsidRDefault="00077133" w:rsidP="00584E17">
      <w:pPr>
        <w:pStyle w:val="FootnoteText"/>
      </w:pPr>
      <w:r>
        <w:rPr>
          <w:rStyle w:val="FootnoteReference"/>
        </w:rPr>
        <w:footnoteRef/>
      </w:r>
      <w:r w:rsidRPr="005537DB">
        <w:t>CPMP/EWP/4891/03</w:t>
      </w:r>
      <w:r>
        <w:t xml:space="preserve"> Guideline </w:t>
      </w:r>
      <w:r w:rsidRPr="008F78EE">
        <w:t xml:space="preserve">on clinical investigation of medicinal products for the treatment of Ankylosing Spondylitis, </w:t>
      </w:r>
    </w:p>
  </w:footnote>
  <w:footnote w:id="14">
    <w:p w14:paraId="687BF226" w14:textId="77777777" w:rsidR="00077133" w:rsidRDefault="00077133" w:rsidP="00C80CB2">
      <w:pPr>
        <w:pStyle w:val="FootnoteText"/>
      </w:pPr>
      <w:r>
        <w:rPr>
          <w:rStyle w:val="FootnoteReference"/>
        </w:rPr>
        <w:footnoteRef/>
      </w:r>
      <w:r>
        <w:t xml:space="preserve"> </w:t>
      </w:r>
      <w:r w:rsidRPr="00D7252D">
        <w:t xml:space="preserve">ACR responses are presented as the numerical improvement in multiple disease assessment criteria. For example, an ACR 20 response is defined as a </w:t>
      </w:r>
      <w:r>
        <w:t xml:space="preserve">≥ </w:t>
      </w:r>
      <w:r w:rsidRPr="00D7252D">
        <w:t>20% improvement in (1) swollen joint count (66 joints) and tender j</w:t>
      </w:r>
      <w:r>
        <w:t xml:space="preserve">oint count (68 joints) and (2) </w:t>
      </w:r>
      <w:r w:rsidRPr="00D7252D">
        <w:t>≥</w:t>
      </w:r>
      <w:r>
        <w:t xml:space="preserve"> </w:t>
      </w:r>
      <w:r w:rsidRPr="00D7252D">
        <w:t xml:space="preserve">20% improvement in 3 of the following 5 assessments - patient’s assessment of pain, patient’s global assessment of disease activity, physician’s global assessment of disease activity, patient’s assessment of physical function as measured by the </w:t>
      </w:r>
      <w:r>
        <w:t>health assessment questionnaire</w:t>
      </w:r>
      <w:r w:rsidRPr="00D7252D">
        <w:t xml:space="preserve"> and CRP. ACR 50 and ACR 70 are similarly defined.</w:t>
      </w:r>
    </w:p>
  </w:footnote>
  <w:footnote w:id="15">
    <w:p w14:paraId="76059A5B" w14:textId="77777777" w:rsidR="00077133" w:rsidRDefault="00077133" w:rsidP="00C80CB2">
      <w:pPr>
        <w:pStyle w:val="FootnoteText"/>
      </w:pPr>
      <w:r>
        <w:rPr>
          <w:rStyle w:val="FootnoteReference"/>
        </w:rPr>
        <w:footnoteRef/>
      </w:r>
      <w:r>
        <w:t xml:space="preserve"> </w:t>
      </w:r>
      <w:r w:rsidRPr="00D7252D">
        <w:t>The SF-36 is a multi-purpose, short-form health survey with only 36 questions. It yields an 8-scale profile of functional health and well-being scores as well as psychometrically-based physical and mental health summary measures and a preference-based health utility index. It measures eight domains of health: physical functioning, role limitations due to physical health, bodily pain, general health perceptions, vitality, social functioning, role limitations due to emotional problems, and mental health. It yields scale scores for each of these eight health domains, and two summary measures of physical and mental health. It is a generic measure, as opposed to one that targets a specific age, disease, or treatment group.</w:t>
      </w:r>
    </w:p>
  </w:footnote>
  <w:footnote w:id="16">
    <w:p w14:paraId="4FFF8D3E" w14:textId="77777777" w:rsidR="00077133" w:rsidRDefault="00077133" w:rsidP="00C80CB2">
      <w:pPr>
        <w:pStyle w:val="FootnoteText"/>
      </w:pPr>
      <w:r>
        <w:rPr>
          <w:rStyle w:val="FootnoteReference"/>
        </w:rPr>
        <w:footnoteRef/>
      </w:r>
      <w:r>
        <w:t xml:space="preserve"> </w:t>
      </w:r>
      <w:r w:rsidRPr="00D7252D">
        <w:t>Disease activity score and DAS28 is a measure of the activity of rheumatoid arthritis. The DAS is based upon treatment decisions of rheumatologists in daily clinical practice.</w:t>
      </w:r>
    </w:p>
  </w:footnote>
  <w:footnote w:id="17">
    <w:p w14:paraId="19DA6ADA" w14:textId="77777777" w:rsidR="00077133" w:rsidRDefault="00077133" w:rsidP="00C80CB2">
      <w:pPr>
        <w:pStyle w:val="FootnoteText"/>
      </w:pPr>
      <w:r>
        <w:rPr>
          <w:rStyle w:val="FootnoteReference"/>
        </w:rPr>
        <w:footnoteRef/>
      </w:r>
      <w:r>
        <w:t xml:space="preserve"> </w:t>
      </w:r>
      <w:r w:rsidRPr="00D7252D">
        <w:t>EULAR (European League against Rheumatism) response criteria are based on the assessment of disease activity using the Disease Activity Score (DAS), a statistically-derived index consisting of number of tender joints, number of swollen joints, erythrocyte sedimentation rate, and global disease activity.</w:t>
      </w:r>
    </w:p>
  </w:footnote>
  <w:footnote w:id="18">
    <w:p w14:paraId="6B41F32D" w14:textId="77777777" w:rsidR="00077133" w:rsidRDefault="00077133" w:rsidP="00C80CB2">
      <w:pPr>
        <w:pStyle w:val="FootnoteText"/>
      </w:pPr>
      <w:r>
        <w:rPr>
          <w:rStyle w:val="FootnoteReference"/>
        </w:rPr>
        <w:footnoteRef/>
      </w:r>
      <w:r>
        <w:t xml:space="preserve"> </w:t>
      </w:r>
      <w:proofErr w:type="spellStart"/>
      <w:r w:rsidRPr="00F408EA">
        <w:t>Askling</w:t>
      </w:r>
      <w:proofErr w:type="spellEnd"/>
      <w:r w:rsidRPr="00F408EA">
        <w:t xml:space="preserve"> J, </w:t>
      </w:r>
      <w:r>
        <w:t>et al</w:t>
      </w:r>
      <w:r w:rsidRPr="00F408EA">
        <w:t xml:space="preserve"> Haematopoietic malignancies in rheumatoid arthritis: lymphoma risk and characteristics after exposure to tumour necrosis factor antagonists. </w:t>
      </w:r>
      <w:r w:rsidRPr="00F408EA">
        <w:rPr>
          <w:i/>
        </w:rPr>
        <w:t>Ann Rheum Dis</w:t>
      </w:r>
      <w:r>
        <w:t xml:space="preserve"> 2005; 64</w:t>
      </w:r>
      <w:r w:rsidRPr="00F408EA">
        <w:t>:1414-</w:t>
      </w:r>
      <w:r>
        <w:t>14</w:t>
      </w:r>
      <w:r w:rsidRPr="00F408EA">
        <w:t>20.</w:t>
      </w:r>
    </w:p>
  </w:footnote>
  <w:footnote w:id="19">
    <w:p w14:paraId="5C1AF836" w14:textId="77777777" w:rsidR="00077133" w:rsidRDefault="00077133" w:rsidP="00C80CB2">
      <w:pPr>
        <w:pStyle w:val="FootnoteText"/>
      </w:pPr>
      <w:r>
        <w:rPr>
          <w:rStyle w:val="FootnoteReference"/>
        </w:rPr>
        <w:footnoteRef/>
      </w:r>
      <w:r>
        <w:t xml:space="preserve"> </w:t>
      </w:r>
      <w:proofErr w:type="spellStart"/>
      <w:r>
        <w:t>Bathon</w:t>
      </w:r>
      <w:proofErr w:type="spellEnd"/>
      <w:r>
        <w:t xml:space="preserve"> J M et al A comparison of </w:t>
      </w:r>
      <w:proofErr w:type="spellStart"/>
      <w:r>
        <w:t>etanercept</w:t>
      </w:r>
      <w:proofErr w:type="spellEnd"/>
      <w:r>
        <w:t xml:space="preserve"> and methotrexate in patients with early rheumatoid arthritis. </w:t>
      </w:r>
      <w:r w:rsidRPr="00F408EA">
        <w:rPr>
          <w:i/>
        </w:rPr>
        <w:t xml:space="preserve">New </w:t>
      </w:r>
      <w:proofErr w:type="spellStart"/>
      <w:r w:rsidRPr="00F408EA">
        <w:rPr>
          <w:i/>
        </w:rPr>
        <w:t>Eng</w:t>
      </w:r>
      <w:proofErr w:type="spellEnd"/>
      <w:r w:rsidRPr="00F408EA">
        <w:rPr>
          <w:i/>
        </w:rPr>
        <w:t xml:space="preserve"> J Med</w:t>
      </w:r>
      <w:r>
        <w:t xml:space="preserve"> 2000; 343: 1586-1593.</w:t>
      </w:r>
    </w:p>
  </w:footnote>
  <w:footnote w:id="20">
    <w:p w14:paraId="11782528" w14:textId="77777777" w:rsidR="00077133" w:rsidRDefault="00077133" w:rsidP="00C80CB2">
      <w:pPr>
        <w:pStyle w:val="FootnoteText"/>
      </w:pPr>
      <w:r>
        <w:rPr>
          <w:rStyle w:val="FootnoteReference"/>
        </w:rPr>
        <w:footnoteRef/>
      </w:r>
      <w:r>
        <w:t xml:space="preserve"> </w:t>
      </w:r>
      <w:proofErr w:type="spellStart"/>
      <w:r w:rsidRPr="00F408EA">
        <w:t>Smolen</w:t>
      </w:r>
      <w:proofErr w:type="spellEnd"/>
      <w:r w:rsidRPr="00F408EA">
        <w:t xml:space="preserve"> JS, Emery P. Infliximab: 12 years of experience. </w:t>
      </w:r>
      <w:r w:rsidRPr="00F408EA">
        <w:rPr>
          <w:i/>
        </w:rPr>
        <w:t xml:space="preserve">Arthritis Res </w:t>
      </w:r>
      <w:proofErr w:type="spellStart"/>
      <w:r w:rsidRPr="00F408EA">
        <w:rPr>
          <w:i/>
        </w:rPr>
        <w:t>Ther</w:t>
      </w:r>
      <w:proofErr w:type="spellEnd"/>
      <w:r w:rsidRPr="00F408EA">
        <w:t xml:space="preserve"> 2011;13:S2.</w:t>
      </w:r>
    </w:p>
  </w:footnote>
  <w:footnote w:id="21">
    <w:p w14:paraId="49362255" w14:textId="77777777" w:rsidR="00077133" w:rsidRDefault="00077133" w:rsidP="00C80CB2">
      <w:pPr>
        <w:pStyle w:val="FootnoteText"/>
      </w:pPr>
      <w:r>
        <w:rPr>
          <w:rStyle w:val="FootnoteReference"/>
        </w:rPr>
        <w:footnoteRef/>
      </w:r>
      <w:r>
        <w:t xml:space="preserve"> </w:t>
      </w:r>
      <w:proofErr w:type="spellStart"/>
      <w:r w:rsidRPr="00F408EA">
        <w:t>Steenholdt</w:t>
      </w:r>
      <w:proofErr w:type="spellEnd"/>
      <w:r w:rsidRPr="00F408EA">
        <w:t xml:space="preserve"> C, </w:t>
      </w:r>
      <w:r>
        <w:t>et al</w:t>
      </w:r>
      <w:r w:rsidRPr="00F408EA">
        <w:t xml:space="preserve">. Severe infusion reactions to infliximab: aetiology, immunogenicity and risk factors in patients with inflammatory bowel disease. </w:t>
      </w:r>
      <w:r w:rsidRPr="00F408EA">
        <w:rPr>
          <w:i/>
        </w:rPr>
        <w:t xml:space="preserve">Aliment </w:t>
      </w:r>
      <w:proofErr w:type="spellStart"/>
      <w:r w:rsidRPr="00F408EA">
        <w:rPr>
          <w:i/>
        </w:rPr>
        <w:t>Pharmacol</w:t>
      </w:r>
      <w:proofErr w:type="spellEnd"/>
      <w:r w:rsidRPr="00F408EA">
        <w:rPr>
          <w:i/>
        </w:rPr>
        <w:t xml:space="preserve"> </w:t>
      </w:r>
      <w:proofErr w:type="spellStart"/>
      <w:r w:rsidRPr="00F408EA">
        <w:rPr>
          <w:i/>
        </w:rPr>
        <w:t>Ther</w:t>
      </w:r>
      <w:proofErr w:type="spellEnd"/>
      <w:r>
        <w:t xml:space="preserve"> 2011; 34</w:t>
      </w:r>
      <w:r w:rsidRPr="00F408EA">
        <w:t>:51-</w:t>
      </w:r>
      <w:r>
        <w:t>5</w:t>
      </w:r>
      <w:r w:rsidRPr="00F408EA">
        <w:t>8</w:t>
      </w:r>
      <w:r>
        <w:t>.</w:t>
      </w:r>
    </w:p>
  </w:footnote>
  <w:footnote w:id="22">
    <w:p w14:paraId="3CCFF690" w14:textId="77777777" w:rsidR="00077133" w:rsidRDefault="00077133" w:rsidP="00C80CB2">
      <w:pPr>
        <w:pStyle w:val="FootnoteText"/>
      </w:pPr>
      <w:r>
        <w:rPr>
          <w:rStyle w:val="FootnoteReference"/>
        </w:rPr>
        <w:footnoteRef/>
      </w:r>
      <w:r>
        <w:t xml:space="preserve"> </w:t>
      </w:r>
      <w:proofErr w:type="spellStart"/>
      <w:r w:rsidRPr="00F408EA">
        <w:t>Wiens</w:t>
      </w:r>
      <w:proofErr w:type="spellEnd"/>
      <w:r w:rsidRPr="00F408EA">
        <w:t xml:space="preserve"> A, </w:t>
      </w:r>
      <w:r>
        <w:t>et al</w:t>
      </w:r>
      <w:r w:rsidRPr="00F408EA">
        <w:t xml:space="preserve">. A meta-analysis of the efficacy and safety of using infliximab for the treatment of rheumatoid arthritis. </w:t>
      </w:r>
      <w:proofErr w:type="spellStart"/>
      <w:r w:rsidRPr="00F408EA">
        <w:rPr>
          <w:i/>
        </w:rPr>
        <w:t>Clin</w:t>
      </w:r>
      <w:proofErr w:type="spellEnd"/>
      <w:r w:rsidRPr="00F408EA">
        <w:rPr>
          <w:i/>
        </w:rPr>
        <w:t xml:space="preserve"> </w:t>
      </w:r>
      <w:proofErr w:type="spellStart"/>
      <w:r w:rsidRPr="00F408EA">
        <w:rPr>
          <w:i/>
        </w:rPr>
        <w:t>Rheumatol</w:t>
      </w:r>
      <w:proofErr w:type="spellEnd"/>
      <w:r>
        <w:t xml:space="preserve"> 2009; 28</w:t>
      </w:r>
      <w:r w:rsidRPr="00F408EA">
        <w:t>:1365-</w:t>
      </w:r>
      <w:r>
        <w:t>13</w:t>
      </w:r>
      <w:r w:rsidRPr="00F408EA">
        <w:t>73</w:t>
      </w:r>
      <w:r>
        <w:t>.</w:t>
      </w:r>
    </w:p>
  </w:footnote>
  <w:footnote w:id="23">
    <w:p w14:paraId="1132CA6E" w14:textId="77777777" w:rsidR="00077133" w:rsidRPr="007C4DD9" w:rsidRDefault="00077133" w:rsidP="00C80CB2">
      <w:pPr>
        <w:pStyle w:val="FootnoteText"/>
        <w:rPr>
          <w:bCs/>
        </w:rPr>
      </w:pPr>
      <w:r>
        <w:rPr>
          <w:rStyle w:val="FootnoteReference"/>
        </w:rPr>
        <w:footnoteRef/>
      </w:r>
      <w:r>
        <w:t xml:space="preserve"> Winthrop k L et al </w:t>
      </w:r>
      <w:r w:rsidRPr="007C4DD9">
        <w:rPr>
          <w:bCs/>
        </w:rPr>
        <w:t>Nontuberculous Mycobacteria Infections and Anti–</w:t>
      </w:r>
      <w:proofErr w:type="spellStart"/>
      <w:r w:rsidRPr="007C4DD9">
        <w:rPr>
          <w:bCs/>
        </w:rPr>
        <w:t>Tumor</w:t>
      </w:r>
      <w:proofErr w:type="spellEnd"/>
      <w:r w:rsidRPr="007C4DD9">
        <w:rPr>
          <w:bCs/>
        </w:rPr>
        <w:t xml:space="preserve"> Necrosis Factor-α Therapy</w:t>
      </w:r>
      <w:r>
        <w:rPr>
          <w:bCs/>
        </w:rPr>
        <w:t xml:space="preserve"> </w:t>
      </w:r>
      <w:proofErr w:type="spellStart"/>
      <w:r>
        <w:rPr>
          <w:bCs/>
        </w:rPr>
        <w:t>Emerg</w:t>
      </w:r>
      <w:proofErr w:type="spellEnd"/>
      <w:r>
        <w:rPr>
          <w:bCs/>
        </w:rPr>
        <w:t xml:space="preserve"> Infect Dis 2009; 15:1556-1561.</w:t>
      </w:r>
    </w:p>
  </w:footnote>
  <w:footnote w:id="24">
    <w:p w14:paraId="648CA8D0" w14:textId="77777777" w:rsidR="00077133" w:rsidRDefault="00077133" w:rsidP="00C80CB2">
      <w:pPr>
        <w:pStyle w:val="FootnoteText"/>
      </w:pPr>
      <w:r>
        <w:rPr>
          <w:rStyle w:val="FootnoteReference"/>
        </w:rPr>
        <w:footnoteRef/>
      </w:r>
      <w:r>
        <w:t xml:space="preserve"> </w:t>
      </w:r>
      <w:r w:rsidRPr="007C4DD9">
        <w:t>Wolfe F, Michaud K. The effect of methotrexate and anti-</w:t>
      </w:r>
      <w:proofErr w:type="spellStart"/>
      <w:r w:rsidRPr="007C4DD9">
        <w:t>tumor</w:t>
      </w:r>
      <w:proofErr w:type="spellEnd"/>
      <w:r w:rsidRPr="007C4DD9">
        <w:t xml:space="preserve"> necrosis factor therapy on the risk of lymphoma in rheumatoid arthritis in 19,562 patients during 89,710 person-years of observation. </w:t>
      </w:r>
      <w:r w:rsidRPr="007C4DD9">
        <w:rPr>
          <w:i/>
        </w:rPr>
        <w:t xml:space="preserve">Arthritis Rheum </w:t>
      </w:r>
      <w:r>
        <w:t>2007; 56</w:t>
      </w:r>
      <w:r w:rsidRPr="007C4DD9">
        <w:t>:1433-</w:t>
      </w:r>
      <w:r>
        <w:t>143</w:t>
      </w:r>
      <w:r w:rsidRPr="007C4DD9">
        <w:t>9</w:t>
      </w:r>
      <w:r>
        <w:t>.</w:t>
      </w:r>
    </w:p>
  </w:footnote>
  <w:footnote w:id="25">
    <w:p w14:paraId="03351F04" w14:textId="77777777" w:rsidR="00077133" w:rsidRDefault="00077133" w:rsidP="00C1578B">
      <w:pPr>
        <w:pStyle w:val="FootnoteText"/>
        <w:rPr>
          <w:rFonts w:asciiTheme="minorHAnsi" w:eastAsia="Times New Roman" w:hAnsiTheme="minorHAnsi"/>
          <w:sz w:val="19"/>
        </w:rPr>
      </w:pPr>
      <w:r>
        <w:rPr>
          <w:rStyle w:val="FootnoteReference"/>
        </w:rPr>
        <w:footnoteRef/>
      </w:r>
      <w:r>
        <w:t xml:space="preserve"> Multiple references including: </w:t>
      </w:r>
      <w:proofErr w:type="spellStart"/>
      <w:r>
        <w:t>Bodro</w:t>
      </w:r>
      <w:proofErr w:type="spellEnd"/>
      <w:r>
        <w:t xml:space="preserve"> M et al </w:t>
      </w:r>
      <w:proofErr w:type="spellStart"/>
      <w:r>
        <w:t>Legionellosis</w:t>
      </w:r>
      <w:proofErr w:type="spellEnd"/>
      <w:r>
        <w:t xml:space="preserve"> and biologic therapies. </w:t>
      </w:r>
      <w:proofErr w:type="spellStart"/>
      <w:r>
        <w:rPr>
          <w:i/>
        </w:rPr>
        <w:t>Respir</w:t>
      </w:r>
      <w:proofErr w:type="spellEnd"/>
      <w:r>
        <w:rPr>
          <w:i/>
        </w:rPr>
        <w:t xml:space="preserve"> Med </w:t>
      </w:r>
      <w:r w:rsidRPr="00DA1B4E">
        <w:t>2014;</w:t>
      </w:r>
      <w:r>
        <w:rPr>
          <w:i/>
        </w:rPr>
        <w:t xml:space="preserve"> </w:t>
      </w:r>
      <w:r w:rsidRPr="00DA1B4E">
        <w:t>108:1223-1228</w:t>
      </w:r>
      <w:r>
        <w:t xml:space="preserve">. Hofmann A et al. Fulminant </w:t>
      </w:r>
      <w:proofErr w:type="spellStart"/>
      <w:r>
        <w:t>legionellosis</w:t>
      </w:r>
      <w:proofErr w:type="spellEnd"/>
      <w:r>
        <w:t xml:space="preserve"> in two patients treated with infliximab for Crohn's disease: case series and literature review. </w:t>
      </w:r>
      <w:r>
        <w:rPr>
          <w:i/>
        </w:rPr>
        <w:t xml:space="preserve">Can J </w:t>
      </w:r>
      <w:proofErr w:type="spellStart"/>
      <w:r>
        <w:rPr>
          <w:i/>
        </w:rPr>
        <w:t>Gastroenterol</w:t>
      </w:r>
      <w:proofErr w:type="spellEnd"/>
      <w:r>
        <w:t xml:space="preserve"> 2009; 23: 829-833.</w:t>
      </w:r>
    </w:p>
  </w:footnote>
  <w:footnote w:id="26">
    <w:p w14:paraId="27F37BB3" w14:textId="77777777" w:rsidR="00077133" w:rsidRDefault="00077133" w:rsidP="00C1578B">
      <w:pPr>
        <w:pStyle w:val="FootnoteText"/>
      </w:pPr>
      <w:r>
        <w:rPr>
          <w:rStyle w:val="FootnoteReference"/>
        </w:rPr>
        <w:footnoteRef/>
      </w:r>
      <w:r>
        <w:t xml:space="preserve"> US Food and Drug Administration (2011). FDA Drug Safety Communication: Drug labels for the </w:t>
      </w:r>
      <w:proofErr w:type="spellStart"/>
      <w:r>
        <w:t>Tumor</w:t>
      </w:r>
      <w:proofErr w:type="spellEnd"/>
      <w:r>
        <w:t xml:space="preserve"> Necrosis Factor-alpha (TNFα) blockers now include warnings about infection with Legionella and Listeria bacteria.</w:t>
      </w:r>
    </w:p>
  </w:footnote>
  <w:footnote w:id="27">
    <w:p w14:paraId="42DD520E" w14:textId="77777777" w:rsidR="00077133" w:rsidRDefault="00077133" w:rsidP="00AF433A">
      <w:pPr>
        <w:pStyle w:val="FootnoteText"/>
      </w:pPr>
      <w:r>
        <w:rPr>
          <w:rStyle w:val="FootnoteReference"/>
        </w:rPr>
        <w:footnoteRef/>
      </w:r>
      <w:r>
        <w:t xml:space="preserve"> Reverse signalling involves TNFα acting as a receptor as well as a ligand. In the receptor role, </w:t>
      </w:r>
      <w:proofErr w:type="spellStart"/>
      <w:r>
        <w:t>tmTNF</w:t>
      </w:r>
      <w:proofErr w:type="spellEnd"/>
      <w:r>
        <w:t xml:space="preserve">α signals back into the </w:t>
      </w:r>
      <w:proofErr w:type="spellStart"/>
      <w:r>
        <w:t>tmTNF</w:t>
      </w:r>
      <w:proofErr w:type="spellEnd"/>
      <w:r>
        <w:t>α expressing cell (hence the term ‘reverse signalling’) activating signalling pathways which can lead to numerous effects including cell activation, apoptosis and cytokine suppression, depending on the state of the cell.</w:t>
      </w:r>
    </w:p>
  </w:footnote>
  <w:footnote w:id="28">
    <w:p w14:paraId="3FA1AD44" w14:textId="77777777" w:rsidR="00077133" w:rsidRDefault="00077133" w:rsidP="00B02A2F">
      <w:pPr>
        <w:pStyle w:val="FootnoteText"/>
      </w:pPr>
      <w:r>
        <w:rPr>
          <w:rStyle w:val="FootnoteReference"/>
        </w:rPr>
        <w:footnoteRef/>
      </w:r>
      <w:r>
        <w:t xml:space="preserve"> </w:t>
      </w:r>
      <w:r w:rsidRPr="00722920">
        <w:t xml:space="preserve">van der Linden </w:t>
      </w:r>
      <w:r>
        <w:t xml:space="preserve">S </w:t>
      </w:r>
      <w:r w:rsidRPr="00722920">
        <w:t xml:space="preserve">et al </w:t>
      </w:r>
      <w:r>
        <w:t xml:space="preserve">Evaluation of diagnostic criteria for ankylosing spondylitis. A proposal for modification of the New York criteria. </w:t>
      </w:r>
      <w:r w:rsidRPr="001D46B5">
        <w:rPr>
          <w:i/>
        </w:rPr>
        <w:t>Arthritis and Rheumatism</w:t>
      </w:r>
      <w:r>
        <w:t xml:space="preserve"> </w:t>
      </w:r>
      <w:r w:rsidRPr="00722920">
        <w:t>1984</w:t>
      </w:r>
      <w:r>
        <w:t>; 27: 361-368</w:t>
      </w:r>
    </w:p>
  </w:footnote>
  <w:footnote w:id="29">
    <w:p w14:paraId="3880DCCD" w14:textId="77777777" w:rsidR="00077133" w:rsidRDefault="00077133" w:rsidP="00B02A2F">
      <w:pPr>
        <w:pStyle w:val="FootnoteText"/>
        <w:rPr>
          <w:rFonts w:eastAsia="MS Mincho"/>
          <w:sz w:val="20"/>
          <w:lang w:eastAsia="ja-JP"/>
        </w:rPr>
      </w:pPr>
      <w:r>
        <w:rPr>
          <w:rStyle w:val="FootnoteReference"/>
        </w:rPr>
        <w:footnoteRef/>
      </w:r>
      <w:r>
        <w:t xml:space="preserve"> ASAS20 = improvement of 20% on Assessment of </w:t>
      </w:r>
      <w:proofErr w:type="spellStart"/>
      <w:r>
        <w:t>SpondyloArthritis</w:t>
      </w:r>
      <w:proofErr w:type="spellEnd"/>
      <w:r>
        <w:t xml:space="preserve"> International Society (ASAS) scale</w:t>
      </w:r>
    </w:p>
  </w:footnote>
  <w:footnote w:id="30">
    <w:p w14:paraId="42A368CF" w14:textId="77777777" w:rsidR="00077133" w:rsidRDefault="00077133" w:rsidP="00B02A2F">
      <w:pPr>
        <w:pStyle w:val="FootnoteText"/>
      </w:pPr>
      <w:r>
        <w:rPr>
          <w:rStyle w:val="FootnoteReference"/>
        </w:rPr>
        <w:footnoteRef/>
      </w:r>
      <w:r>
        <w:t xml:space="preserve"> </w:t>
      </w:r>
      <w:r w:rsidRPr="00175B5C">
        <w:t>BASDAI consists of a one through 10 scale (one being no problem and 10 being the worst problem) which is used to answer 6 questions pertaining to the 5 major symptoms of AS</w:t>
      </w:r>
    </w:p>
  </w:footnote>
  <w:footnote w:id="31">
    <w:p w14:paraId="11F899DB" w14:textId="1AE7A970" w:rsidR="00077133" w:rsidRDefault="00077133" w:rsidP="00F5515C">
      <w:pPr>
        <w:pStyle w:val="FootnoteText"/>
      </w:pPr>
      <w:r>
        <w:rPr>
          <w:rStyle w:val="FootnoteReference"/>
        </w:rPr>
        <w:footnoteRef/>
      </w:r>
      <w:r>
        <w:t xml:space="preserve"> </w:t>
      </w:r>
      <w:r w:rsidRPr="009C3F8A">
        <w:t xml:space="preserve"> Sampson H A et al</w:t>
      </w:r>
      <w:r>
        <w:t>.;</w:t>
      </w:r>
      <w:r w:rsidRPr="009C3F8A">
        <w:t xml:space="preserve"> Second symposium on the definition and management of anaphylaxis: Summary report—Second National Institute of Allergy and Infectious Disease/Food Allergy and Anaphylaxis Network symposium </w:t>
      </w:r>
      <w:r w:rsidRPr="009C3F8A">
        <w:rPr>
          <w:i/>
        </w:rPr>
        <w:t xml:space="preserve">J Allergy </w:t>
      </w:r>
      <w:proofErr w:type="spellStart"/>
      <w:r w:rsidRPr="009C3F8A">
        <w:rPr>
          <w:i/>
        </w:rPr>
        <w:t>Clin</w:t>
      </w:r>
      <w:proofErr w:type="spellEnd"/>
      <w:r w:rsidRPr="009C3F8A">
        <w:rPr>
          <w:i/>
        </w:rPr>
        <w:t xml:space="preserve"> </w:t>
      </w:r>
      <w:proofErr w:type="spellStart"/>
      <w:r w:rsidRPr="009C3F8A">
        <w:rPr>
          <w:i/>
        </w:rPr>
        <w:t>Immunol</w:t>
      </w:r>
      <w:proofErr w:type="spellEnd"/>
      <w:r w:rsidRPr="009C3F8A">
        <w:t xml:space="preserve"> 2006;117:391-397.</w:t>
      </w:r>
    </w:p>
  </w:footnote>
  <w:footnote w:id="32">
    <w:p w14:paraId="09331312" w14:textId="77777777" w:rsidR="00077133" w:rsidRDefault="00077133">
      <w:pPr>
        <w:pStyle w:val="FootnoteText"/>
      </w:pPr>
      <w:r>
        <w:rPr>
          <w:rStyle w:val="FootnoteReference"/>
        </w:rPr>
        <w:footnoteRef/>
      </w:r>
      <w:r>
        <w:t xml:space="preserve"> These issues were resolved prior to registration</w:t>
      </w:r>
    </w:p>
  </w:footnote>
  <w:footnote w:id="33">
    <w:p w14:paraId="1006C40D" w14:textId="00B15DA2" w:rsidR="00077133" w:rsidRPr="00B53A59" w:rsidRDefault="00077133" w:rsidP="00B53A59">
      <w:pPr>
        <w:pStyle w:val="FootnoteText"/>
      </w:pPr>
      <w:r>
        <w:rPr>
          <w:rStyle w:val="FootnoteReference"/>
        </w:rPr>
        <w:footnoteRef/>
      </w:r>
      <w:r>
        <w:t xml:space="preserve">  EMEA/CHMP/BMWP/42832/2005: Guideline on similar biological medicinal products Containing Biotechnology-Derived Proteins as Active Substances: Non-Clinical and Clinical Issues</w:t>
      </w:r>
    </w:p>
  </w:footnote>
  <w:footnote w:id="34">
    <w:p w14:paraId="2DAE3E5C" w14:textId="75AF5062" w:rsidR="00077133" w:rsidRPr="00053448" w:rsidRDefault="00077133" w:rsidP="00200B27">
      <w:pPr>
        <w:pStyle w:val="FootnoteText"/>
        <w:rPr>
          <w:lang w:val="en-US"/>
        </w:rPr>
      </w:pPr>
      <w:r>
        <w:rPr>
          <w:rStyle w:val="FootnoteReference"/>
        </w:rPr>
        <w:footnoteRef/>
      </w:r>
      <w:r>
        <w:rPr>
          <w:lang w:val="en-US"/>
        </w:rPr>
        <w:t xml:space="preserve"> </w:t>
      </w:r>
      <w:r w:rsidRPr="002C61C3">
        <w:rPr>
          <w:lang w:val="en-US"/>
        </w:rPr>
        <w:t>Please note that the sponsor has changed subsequent to registration. At the time of publication of this AusPAR</w:t>
      </w:r>
      <w:r w:rsidRPr="00053448">
        <w:rPr>
          <w:lang w:val="en-US"/>
        </w:rPr>
        <w:t xml:space="preserve"> Pfizer Australia Pty Ltd is the </w:t>
      </w:r>
      <w:r w:rsidRPr="002C61C3">
        <w:t xml:space="preserve">current sponsor for Inflectra and Celltrion Healthcare Australia Pty ltd for </w:t>
      </w:r>
      <w:r w:rsidRPr="00B51CFA">
        <w:rPr>
          <w:rFonts w:asciiTheme="minorHAnsi" w:hAnsiTheme="minorHAnsi" w:cs="Helv"/>
          <w:color w:val="000000"/>
        </w:rPr>
        <w:t>Remsima,</w:t>
      </w:r>
      <w:r w:rsidRPr="00B51CFA">
        <w:rPr>
          <w:rFonts w:asciiTheme="minorHAnsi" w:hAnsiTheme="minorHAnsi" w:cs="Helv"/>
          <w:color w:val="000000"/>
          <w:lang w:eastAsia="en-AU"/>
        </w:rPr>
        <w:t xml:space="preserve"> Emisima, and Flixceli </w:t>
      </w:r>
    </w:p>
  </w:footnote>
  <w:footnote w:id="35">
    <w:p w14:paraId="109B0D04" w14:textId="77777777" w:rsidR="00077133" w:rsidRDefault="00077133" w:rsidP="00200B27">
      <w:pPr>
        <w:pStyle w:val="FootnoteText"/>
      </w:pPr>
      <w:r w:rsidRPr="002C61C3">
        <w:rPr>
          <w:rStyle w:val="FootnoteReference"/>
        </w:rPr>
        <w:footnoteRef/>
      </w:r>
      <w:r w:rsidRPr="002C61C3">
        <w:t xml:space="preserve"> The currently </w:t>
      </w:r>
      <w:r w:rsidRPr="00B51CFA">
        <w:t>approved PI is the subject of the s60 appeal described above. The outcome of that appeal is cur</w:t>
      </w:r>
      <w:r w:rsidRPr="00E85DF3">
        <w:t>rently the subject of an AAT appeal.</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FDE34C" w14:textId="77777777" w:rsidR="00077133" w:rsidRDefault="000771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C58160" w14:textId="77777777" w:rsidR="00077133" w:rsidRDefault="00077133" w:rsidP="00E45619">
    <w:pPr>
      <w:pStyle w:val="Header"/>
    </w:pPr>
    <w:r>
      <w:t>Therapeutic Goods Administration</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E5C68D" w14:textId="77777777" w:rsidR="00077133" w:rsidRDefault="00077133">
    <w:pPr>
      <w:rPr>
        <w:noProof/>
        <w:lang w:eastAsia="en-AU"/>
      </w:rPr>
    </w:pPr>
    <w:r w:rsidRPr="00347824">
      <w:rPr>
        <w:noProof/>
        <w:lang w:eastAsia="en-AU"/>
      </w:rPr>
      <w:drawing>
        <wp:anchor distT="0" distB="0" distL="114300" distR="114300" simplePos="0" relativeHeight="251659264" behindDoc="1" locked="0" layoutInCell="1" allowOverlap="1" wp14:anchorId="104FA024" wp14:editId="59BF43DE">
          <wp:simplePos x="0" y="0"/>
          <wp:positionH relativeFrom="column">
            <wp:posOffset>-1089660</wp:posOffset>
          </wp:positionH>
          <wp:positionV relativeFrom="paragraph">
            <wp:posOffset>-585470</wp:posOffset>
          </wp:positionV>
          <wp:extent cx="7572375" cy="10706100"/>
          <wp:effectExtent l="19050" t="0" r="0" b="0"/>
          <wp:wrapNone/>
          <wp:docPr id="10"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70FEBEB9" w14:textId="26DA97E8" w:rsidR="00077133" w:rsidRDefault="00077133" w:rsidP="00593AD1">
    <w:pPr>
      <w:pStyle w:val="HeaderNoLin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92A64A" w14:textId="77777777" w:rsidR="00077133" w:rsidRDefault="0007713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83FB09" w14:textId="77777777" w:rsidR="00077133" w:rsidRDefault="00077133">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85DB1D" w14:textId="77777777" w:rsidR="00077133" w:rsidRDefault="00077133">
    <w:pPr>
      <w:pStyle w:val="Header"/>
    </w:pPr>
    <w:r>
      <w:t>Therapeutic Goods Administration</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0501AA" w14:textId="77777777" w:rsidR="00077133" w:rsidRDefault="0007713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CB569" w14:textId="77777777" w:rsidR="00077133" w:rsidRDefault="00077133" w:rsidP="004C239D">
    <w:pPr>
      <w:pStyle w:val="HeaderNoLine"/>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222D8C" w14:textId="77777777" w:rsidR="00077133" w:rsidRDefault="00077133" w:rsidP="006E08B3">
    <w:r>
      <w:t>Therapeutic Goods Administration</w:t>
    </w:r>
  </w:p>
  <w:p w14:paraId="7B3A260D" w14:textId="77777777" w:rsidR="00077133" w:rsidRDefault="00077133" w:rsidP="006D03E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978561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B38739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25C2BE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862A98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858964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33A870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8"/>
    <w:multiLevelType w:val="singleLevel"/>
    <w:tmpl w:val="99A00734"/>
    <w:lvl w:ilvl="0">
      <w:start w:val="1"/>
      <w:numFmt w:val="decimal"/>
      <w:pStyle w:val="ListNumber"/>
      <w:lvlText w:val="%1."/>
      <w:lvlJc w:val="left"/>
      <w:pPr>
        <w:tabs>
          <w:tab w:val="num" w:pos="360"/>
        </w:tabs>
        <w:ind w:left="360" w:hanging="360"/>
      </w:pPr>
    </w:lvl>
  </w:abstractNum>
  <w:abstractNum w:abstractNumId="7"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8" w15:restartNumberingAfterBreak="0">
    <w:nsid w:val="168F13E9"/>
    <w:multiLevelType w:val="multilevel"/>
    <w:tmpl w:val="7D525382"/>
    <w:styleLink w:val="ListBullets"/>
    <w:lvl w:ilvl="0">
      <w:start w:val="1"/>
      <w:numFmt w:val="bullet"/>
      <w:pStyle w:val="ListBullet"/>
      <w:lvlText w:val="•"/>
      <w:lvlJc w:val="left"/>
      <w:pPr>
        <w:ind w:left="360" w:hanging="360"/>
      </w:pPr>
      <w:rPr>
        <w:rFonts w:ascii="Arial" w:hAnsi="Aria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15:restartNumberingAfterBreak="0">
    <w:nsid w:val="2E831FAE"/>
    <w:multiLevelType w:val="hybridMultilevel"/>
    <w:tmpl w:val="1772B59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30DA54A7"/>
    <w:multiLevelType w:val="hybridMultilevel"/>
    <w:tmpl w:val="C1C416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F7D50A2"/>
    <w:multiLevelType w:val="hybridMultilevel"/>
    <w:tmpl w:val="26BA3A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52BC30F0"/>
    <w:multiLevelType w:val="hybridMultilevel"/>
    <w:tmpl w:val="5DEEF4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FFA4047"/>
    <w:multiLevelType w:val="hybridMultilevel"/>
    <w:tmpl w:val="59464E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1981E97"/>
    <w:multiLevelType w:val="hybridMultilevel"/>
    <w:tmpl w:val="9580FDE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8"/>
  </w:num>
  <w:num w:numId="2">
    <w:abstractNumId w:val="7"/>
  </w:num>
  <w:num w:numId="3">
    <w:abstractNumId w:val="8"/>
  </w:num>
  <w:num w:numId="4">
    <w:abstractNumId w:val="7"/>
  </w:num>
  <w:num w:numId="5">
    <w:abstractNumId w:val="11"/>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num>
  <w:num w:numId="28">
    <w:abstractNumId w:val="14"/>
  </w:num>
  <w:num w:numId="29">
    <w:abstractNumId w:val="13"/>
  </w:num>
  <w:num w:numId="30">
    <w:abstractNumId w:val="10"/>
  </w:num>
  <w:num w:numId="31">
    <w:abstractNumId w:val="5"/>
  </w:num>
  <w:num w:numId="32">
    <w:abstractNumId w:val="4"/>
  </w:num>
  <w:num w:numId="33">
    <w:abstractNumId w:val="6"/>
  </w:num>
  <w:num w:numId="34">
    <w:abstractNumId w:val="3"/>
  </w:num>
  <w:num w:numId="35">
    <w:abstractNumId w:val="2"/>
  </w:num>
  <w:num w:numId="36">
    <w:abstractNumId w:val="1"/>
  </w:num>
  <w:num w:numId="37">
    <w:abstractNumId w:val="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bordersDoNotSurroundHeader/>
  <w:bordersDoNotSurroundFooter/>
  <w:proofState w:spelling="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3686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1437"/>
    <w:rsid w:val="00002031"/>
    <w:rsid w:val="00004734"/>
    <w:rsid w:val="00006B22"/>
    <w:rsid w:val="0001276A"/>
    <w:rsid w:val="000246AE"/>
    <w:rsid w:val="00025C67"/>
    <w:rsid w:val="0004076D"/>
    <w:rsid w:val="00044772"/>
    <w:rsid w:val="00047E16"/>
    <w:rsid w:val="00053448"/>
    <w:rsid w:val="0005559E"/>
    <w:rsid w:val="00060443"/>
    <w:rsid w:val="000604D6"/>
    <w:rsid w:val="00067A73"/>
    <w:rsid w:val="000734D8"/>
    <w:rsid w:val="00077133"/>
    <w:rsid w:val="00077775"/>
    <w:rsid w:val="00080865"/>
    <w:rsid w:val="00085157"/>
    <w:rsid w:val="00087328"/>
    <w:rsid w:val="00090471"/>
    <w:rsid w:val="00093842"/>
    <w:rsid w:val="00095AA0"/>
    <w:rsid w:val="00096AA7"/>
    <w:rsid w:val="0009736E"/>
    <w:rsid w:val="000A3864"/>
    <w:rsid w:val="000A3AED"/>
    <w:rsid w:val="000A3EFE"/>
    <w:rsid w:val="000B3532"/>
    <w:rsid w:val="000B3A75"/>
    <w:rsid w:val="000C00C2"/>
    <w:rsid w:val="000C690F"/>
    <w:rsid w:val="000D1295"/>
    <w:rsid w:val="000D1641"/>
    <w:rsid w:val="000D391B"/>
    <w:rsid w:val="000D3D6D"/>
    <w:rsid w:val="000D4FC7"/>
    <w:rsid w:val="000E6196"/>
    <w:rsid w:val="000F4869"/>
    <w:rsid w:val="000F4CAB"/>
    <w:rsid w:val="000F5B42"/>
    <w:rsid w:val="000F6E6F"/>
    <w:rsid w:val="0010601F"/>
    <w:rsid w:val="0010788A"/>
    <w:rsid w:val="00107A31"/>
    <w:rsid w:val="00110EA5"/>
    <w:rsid w:val="00112F56"/>
    <w:rsid w:val="00117E9A"/>
    <w:rsid w:val="00123EE2"/>
    <w:rsid w:val="00125318"/>
    <w:rsid w:val="001305A2"/>
    <w:rsid w:val="00133238"/>
    <w:rsid w:val="00133A1B"/>
    <w:rsid w:val="0014197B"/>
    <w:rsid w:val="001447CD"/>
    <w:rsid w:val="00144B77"/>
    <w:rsid w:val="001455BE"/>
    <w:rsid w:val="00147BF2"/>
    <w:rsid w:val="001516B1"/>
    <w:rsid w:val="00154EBB"/>
    <w:rsid w:val="00156316"/>
    <w:rsid w:val="00156E7E"/>
    <w:rsid w:val="00161181"/>
    <w:rsid w:val="00162D14"/>
    <w:rsid w:val="001638EC"/>
    <w:rsid w:val="00165389"/>
    <w:rsid w:val="00170561"/>
    <w:rsid w:val="0017693F"/>
    <w:rsid w:val="0018110E"/>
    <w:rsid w:val="00181684"/>
    <w:rsid w:val="001843C6"/>
    <w:rsid w:val="001850E0"/>
    <w:rsid w:val="001956F4"/>
    <w:rsid w:val="001A2158"/>
    <w:rsid w:val="001A525F"/>
    <w:rsid w:val="001A6281"/>
    <w:rsid w:val="001B09F9"/>
    <w:rsid w:val="001B1D10"/>
    <w:rsid w:val="001B371B"/>
    <w:rsid w:val="001B5C90"/>
    <w:rsid w:val="001B6448"/>
    <w:rsid w:val="001C32CD"/>
    <w:rsid w:val="001D2984"/>
    <w:rsid w:val="001D4232"/>
    <w:rsid w:val="001D758C"/>
    <w:rsid w:val="001E07CF"/>
    <w:rsid w:val="001E59F1"/>
    <w:rsid w:val="001E7763"/>
    <w:rsid w:val="001F2CEE"/>
    <w:rsid w:val="001F37C3"/>
    <w:rsid w:val="001F49EB"/>
    <w:rsid w:val="001F6CBA"/>
    <w:rsid w:val="001F6CD8"/>
    <w:rsid w:val="00200B27"/>
    <w:rsid w:val="00201D4E"/>
    <w:rsid w:val="00207188"/>
    <w:rsid w:val="002074A2"/>
    <w:rsid w:val="002076C9"/>
    <w:rsid w:val="00220B8A"/>
    <w:rsid w:val="002257F3"/>
    <w:rsid w:val="00233456"/>
    <w:rsid w:val="002339A5"/>
    <w:rsid w:val="00234357"/>
    <w:rsid w:val="00240E5E"/>
    <w:rsid w:val="0024595D"/>
    <w:rsid w:val="00250E5F"/>
    <w:rsid w:val="00251437"/>
    <w:rsid w:val="002518A7"/>
    <w:rsid w:val="00257848"/>
    <w:rsid w:val="00257941"/>
    <w:rsid w:val="00261FC3"/>
    <w:rsid w:val="00267ADF"/>
    <w:rsid w:val="0027084A"/>
    <w:rsid w:val="002716AC"/>
    <w:rsid w:val="00286434"/>
    <w:rsid w:val="00286C59"/>
    <w:rsid w:val="00291957"/>
    <w:rsid w:val="002942D1"/>
    <w:rsid w:val="0029501A"/>
    <w:rsid w:val="00295D6E"/>
    <w:rsid w:val="002A3721"/>
    <w:rsid w:val="002B1638"/>
    <w:rsid w:val="002B2CE7"/>
    <w:rsid w:val="002B3624"/>
    <w:rsid w:val="002B6DE8"/>
    <w:rsid w:val="002C61C3"/>
    <w:rsid w:val="002D0952"/>
    <w:rsid w:val="002E40B3"/>
    <w:rsid w:val="002E4C9A"/>
    <w:rsid w:val="002E551D"/>
    <w:rsid w:val="002F11F8"/>
    <w:rsid w:val="002F3482"/>
    <w:rsid w:val="002F3F56"/>
    <w:rsid w:val="002F44B5"/>
    <w:rsid w:val="002F7237"/>
    <w:rsid w:val="003025D7"/>
    <w:rsid w:val="00311AC0"/>
    <w:rsid w:val="003134FE"/>
    <w:rsid w:val="00314F95"/>
    <w:rsid w:val="003176FC"/>
    <w:rsid w:val="0032583B"/>
    <w:rsid w:val="00327883"/>
    <w:rsid w:val="00335504"/>
    <w:rsid w:val="00340C18"/>
    <w:rsid w:val="003442FD"/>
    <w:rsid w:val="00347824"/>
    <w:rsid w:val="00350567"/>
    <w:rsid w:val="003521E8"/>
    <w:rsid w:val="00370CE3"/>
    <w:rsid w:val="003728F3"/>
    <w:rsid w:val="0037496E"/>
    <w:rsid w:val="003771C1"/>
    <w:rsid w:val="00383221"/>
    <w:rsid w:val="00385E43"/>
    <w:rsid w:val="00386150"/>
    <w:rsid w:val="003874CE"/>
    <w:rsid w:val="00390900"/>
    <w:rsid w:val="003A7F6C"/>
    <w:rsid w:val="003B4D60"/>
    <w:rsid w:val="003B7E39"/>
    <w:rsid w:val="003C187F"/>
    <w:rsid w:val="003C2405"/>
    <w:rsid w:val="003C58DC"/>
    <w:rsid w:val="003C7A75"/>
    <w:rsid w:val="003D1E62"/>
    <w:rsid w:val="003D36AA"/>
    <w:rsid w:val="003E0B99"/>
    <w:rsid w:val="003E2486"/>
    <w:rsid w:val="003E3208"/>
    <w:rsid w:val="003F0B04"/>
    <w:rsid w:val="004002E6"/>
    <w:rsid w:val="0040134E"/>
    <w:rsid w:val="00413EB3"/>
    <w:rsid w:val="0042001C"/>
    <w:rsid w:val="00432153"/>
    <w:rsid w:val="004334C7"/>
    <w:rsid w:val="00433EDE"/>
    <w:rsid w:val="0043713A"/>
    <w:rsid w:val="00440A2D"/>
    <w:rsid w:val="00441C3F"/>
    <w:rsid w:val="004564A7"/>
    <w:rsid w:val="004617BF"/>
    <w:rsid w:val="00463658"/>
    <w:rsid w:val="004637A0"/>
    <w:rsid w:val="004722CC"/>
    <w:rsid w:val="00477C0F"/>
    <w:rsid w:val="004860F4"/>
    <w:rsid w:val="004936E4"/>
    <w:rsid w:val="00494E60"/>
    <w:rsid w:val="00497487"/>
    <w:rsid w:val="004A6189"/>
    <w:rsid w:val="004A7390"/>
    <w:rsid w:val="004B7B76"/>
    <w:rsid w:val="004C239D"/>
    <w:rsid w:val="004C2DCA"/>
    <w:rsid w:val="004C61D2"/>
    <w:rsid w:val="004D4AAF"/>
    <w:rsid w:val="004D65BB"/>
    <w:rsid w:val="004E0756"/>
    <w:rsid w:val="004E196B"/>
    <w:rsid w:val="004E4BB1"/>
    <w:rsid w:val="004F0C4A"/>
    <w:rsid w:val="004F0F38"/>
    <w:rsid w:val="004F47D6"/>
    <w:rsid w:val="00501921"/>
    <w:rsid w:val="00510AC1"/>
    <w:rsid w:val="00525466"/>
    <w:rsid w:val="00530084"/>
    <w:rsid w:val="00530297"/>
    <w:rsid w:val="00530354"/>
    <w:rsid w:val="00536092"/>
    <w:rsid w:val="0053625B"/>
    <w:rsid w:val="005434C6"/>
    <w:rsid w:val="00543B39"/>
    <w:rsid w:val="00546154"/>
    <w:rsid w:val="00546601"/>
    <w:rsid w:val="00550096"/>
    <w:rsid w:val="00555280"/>
    <w:rsid w:val="00557FF9"/>
    <w:rsid w:val="00561C2D"/>
    <w:rsid w:val="00562327"/>
    <w:rsid w:val="005711D5"/>
    <w:rsid w:val="00576378"/>
    <w:rsid w:val="00577130"/>
    <w:rsid w:val="00577945"/>
    <w:rsid w:val="00577E38"/>
    <w:rsid w:val="00584401"/>
    <w:rsid w:val="00584E17"/>
    <w:rsid w:val="00585322"/>
    <w:rsid w:val="005857C6"/>
    <w:rsid w:val="00587BC1"/>
    <w:rsid w:val="00592F6E"/>
    <w:rsid w:val="00593AD1"/>
    <w:rsid w:val="00595114"/>
    <w:rsid w:val="005A68B6"/>
    <w:rsid w:val="005B3854"/>
    <w:rsid w:val="005C5570"/>
    <w:rsid w:val="005C6586"/>
    <w:rsid w:val="005C79A4"/>
    <w:rsid w:val="005D3103"/>
    <w:rsid w:val="005D5442"/>
    <w:rsid w:val="005D5660"/>
    <w:rsid w:val="006009F8"/>
    <w:rsid w:val="00603953"/>
    <w:rsid w:val="00603F32"/>
    <w:rsid w:val="00605AD4"/>
    <w:rsid w:val="006136D7"/>
    <w:rsid w:val="00617629"/>
    <w:rsid w:val="00625A6E"/>
    <w:rsid w:val="00632398"/>
    <w:rsid w:val="00640FC3"/>
    <w:rsid w:val="00642020"/>
    <w:rsid w:val="006425DC"/>
    <w:rsid w:val="00642E4C"/>
    <w:rsid w:val="00645D9A"/>
    <w:rsid w:val="0065337B"/>
    <w:rsid w:val="0065419D"/>
    <w:rsid w:val="00654E1B"/>
    <w:rsid w:val="006604D8"/>
    <w:rsid w:val="00664A5B"/>
    <w:rsid w:val="00665DFF"/>
    <w:rsid w:val="0066735C"/>
    <w:rsid w:val="006720A9"/>
    <w:rsid w:val="00674238"/>
    <w:rsid w:val="006763D2"/>
    <w:rsid w:val="00680C08"/>
    <w:rsid w:val="00684511"/>
    <w:rsid w:val="006916A0"/>
    <w:rsid w:val="006931B1"/>
    <w:rsid w:val="0069348C"/>
    <w:rsid w:val="006A15C0"/>
    <w:rsid w:val="006A20F8"/>
    <w:rsid w:val="006A4296"/>
    <w:rsid w:val="006A4FAC"/>
    <w:rsid w:val="006A7BF0"/>
    <w:rsid w:val="006B1DE3"/>
    <w:rsid w:val="006B2AB7"/>
    <w:rsid w:val="006C3E2A"/>
    <w:rsid w:val="006C642F"/>
    <w:rsid w:val="006D03E5"/>
    <w:rsid w:val="006D1EBC"/>
    <w:rsid w:val="006D3941"/>
    <w:rsid w:val="006D5D3E"/>
    <w:rsid w:val="006E08B3"/>
    <w:rsid w:val="006F17AC"/>
    <w:rsid w:val="006F25B8"/>
    <w:rsid w:val="006F2EE0"/>
    <w:rsid w:val="006F572E"/>
    <w:rsid w:val="006F72AD"/>
    <w:rsid w:val="00703FC0"/>
    <w:rsid w:val="007046D6"/>
    <w:rsid w:val="00705043"/>
    <w:rsid w:val="00705DB0"/>
    <w:rsid w:val="00707737"/>
    <w:rsid w:val="007123DC"/>
    <w:rsid w:val="00722B57"/>
    <w:rsid w:val="00730F8A"/>
    <w:rsid w:val="0073327E"/>
    <w:rsid w:val="00735A8C"/>
    <w:rsid w:val="0074253D"/>
    <w:rsid w:val="0074429B"/>
    <w:rsid w:val="00745F3F"/>
    <w:rsid w:val="007509FA"/>
    <w:rsid w:val="007615BC"/>
    <w:rsid w:val="00762F05"/>
    <w:rsid w:val="007652FF"/>
    <w:rsid w:val="00770CAC"/>
    <w:rsid w:val="00770EF1"/>
    <w:rsid w:val="007739A1"/>
    <w:rsid w:val="00773EF7"/>
    <w:rsid w:val="00774E1D"/>
    <w:rsid w:val="007765D8"/>
    <w:rsid w:val="0077675A"/>
    <w:rsid w:val="00780355"/>
    <w:rsid w:val="00780CC3"/>
    <w:rsid w:val="007819FD"/>
    <w:rsid w:val="00785717"/>
    <w:rsid w:val="00785721"/>
    <w:rsid w:val="00791173"/>
    <w:rsid w:val="00793A59"/>
    <w:rsid w:val="007B6132"/>
    <w:rsid w:val="007B6E9F"/>
    <w:rsid w:val="007C1216"/>
    <w:rsid w:val="007C1AF7"/>
    <w:rsid w:val="007C3D27"/>
    <w:rsid w:val="007C6B9B"/>
    <w:rsid w:val="007D09F7"/>
    <w:rsid w:val="007D0E4E"/>
    <w:rsid w:val="007F13F6"/>
    <w:rsid w:val="007F1408"/>
    <w:rsid w:val="007F306E"/>
    <w:rsid w:val="007F5DB2"/>
    <w:rsid w:val="00801757"/>
    <w:rsid w:val="00805D27"/>
    <w:rsid w:val="00806DCB"/>
    <w:rsid w:val="00821776"/>
    <w:rsid w:val="008321F5"/>
    <w:rsid w:val="00832369"/>
    <w:rsid w:val="00834660"/>
    <w:rsid w:val="008362F5"/>
    <w:rsid w:val="00836BC2"/>
    <w:rsid w:val="0085156D"/>
    <w:rsid w:val="00854206"/>
    <w:rsid w:val="0085641B"/>
    <w:rsid w:val="00857136"/>
    <w:rsid w:val="008726AE"/>
    <w:rsid w:val="00875A6B"/>
    <w:rsid w:val="00882603"/>
    <w:rsid w:val="00885B11"/>
    <w:rsid w:val="00886D15"/>
    <w:rsid w:val="00887DD8"/>
    <w:rsid w:val="00891631"/>
    <w:rsid w:val="00891BA9"/>
    <w:rsid w:val="00896018"/>
    <w:rsid w:val="008960DD"/>
    <w:rsid w:val="0089635C"/>
    <w:rsid w:val="008A2B9D"/>
    <w:rsid w:val="008A3D9F"/>
    <w:rsid w:val="008A4197"/>
    <w:rsid w:val="008A5E0B"/>
    <w:rsid w:val="008A6D59"/>
    <w:rsid w:val="008B4B03"/>
    <w:rsid w:val="008B596F"/>
    <w:rsid w:val="008C159F"/>
    <w:rsid w:val="008C1623"/>
    <w:rsid w:val="008C1850"/>
    <w:rsid w:val="008C30CC"/>
    <w:rsid w:val="008C51A9"/>
    <w:rsid w:val="008C7345"/>
    <w:rsid w:val="008E7846"/>
    <w:rsid w:val="008F02E5"/>
    <w:rsid w:val="008F1CCC"/>
    <w:rsid w:val="008F2967"/>
    <w:rsid w:val="008F34BA"/>
    <w:rsid w:val="008F3965"/>
    <w:rsid w:val="008F456C"/>
    <w:rsid w:val="008F6943"/>
    <w:rsid w:val="008F7891"/>
    <w:rsid w:val="00902A21"/>
    <w:rsid w:val="009176BA"/>
    <w:rsid w:val="00917A83"/>
    <w:rsid w:val="00920330"/>
    <w:rsid w:val="009219D7"/>
    <w:rsid w:val="00921E61"/>
    <w:rsid w:val="00922D53"/>
    <w:rsid w:val="00923B70"/>
    <w:rsid w:val="00924482"/>
    <w:rsid w:val="00930237"/>
    <w:rsid w:val="009329BF"/>
    <w:rsid w:val="00937C17"/>
    <w:rsid w:val="00940A89"/>
    <w:rsid w:val="00946EA5"/>
    <w:rsid w:val="00963C08"/>
    <w:rsid w:val="0097058C"/>
    <w:rsid w:val="009752A5"/>
    <w:rsid w:val="00981EAC"/>
    <w:rsid w:val="0098585A"/>
    <w:rsid w:val="00992D50"/>
    <w:rsid w:val="009940A8"/>
    <w:rsid w:val="009A4CED"/>
    <w:rsid w:val="009A690D"/>
    <w:rsid w:val="009B145C"/>
    <w:rsid w:val="009B1D12"/>
    <w:rsid w:val="009B38B1"/>
    <w:rsid w:val="009B416B"/>
    <w:rsid w:val="009B5A9A"/>
    <w:rsid w:val="009C4BD5"/>
    <w:rsid w:val="009C6863"/>
    <w:rsid w:val="009D7B77"/>
    <w:rsid w:val="009E0BB0"/>
    <w:rsid w:val="009E3FBB"/>
    <w:rsid w:val="009E5F77"/>
    <w:rsid w:val="009E68DF"/>
    <w:rsid w:val="009F16DF"/>
    <w:rsid w:val="009F19A0"/>
    <w:rsid w:val="009F2F8C"/>
    <w:rsid w:val="009F4AB2"/>
    <w:rsid w:val="009F4F36"/>
    <w:rsid w:val="009F7353"/>
    <w:rsid w:val="009F7573"/>
    <w:rsid w:val="00A0451E"/>
    <w:rsid w:val="00A04F85"/>
    <w:rsid w:val="00A05FA4"/>
    <w:rsid w:val="00A102E4"/>
    <w:rsid w:val="00A12C42"/>
    <w:rsid w:val="00A13016"/>
    <w:rsid w:val="00A14DF7"/>
    <w:rsid w:val="00A3246D"/>
    <w:rsid w:val="00A3556B"/>
    <w:rsid w:val="00A36FA7"/>
    <w:rsid w:val="00A44DDB"/>
    <w:rsid w:val="00A45ABC"/>
    <w:rsid w:val="00A467DB"/>
    <w:rsid w:val="00A475B7"/>
    <w:rsid w:val="00A47AF7"/>
    <w:rsid w:val="00A47C3E"/>
    <w:rsid w:val="00A50226"/>
    <w:rsid w:val="00A5194D"/>
    <w:rsid w:val="00A60BAD"/>
    <w:rsid w:val="00A71717"/>
    <w:rsid w:val="00A80B5B"/>
    <w:rsid w:val="00A84E36"/>
    <w:rsid w:val="00A870A9"/>
    <w:rsid w:val="00A9020F"/>
    <w:rsid w:val="00A95A1A"/>
    <w:rsid w:val="00A95C53"/>
    <w:rsid w:val="00A964D1"/>
    <w:rsid w:val="00A97F7D"/>
    <w:rsid w:val="00AA0ED0"/>
    <w:rsid w:val="00AA1A88"/>
    <w:rsid w:val="00AA32F8"/>
    <w:rsid w:val="00AA6980"/>
    <w:rsid w:val="00AC1BE4"/>
    <w:rsid w:val="00AC2B40"/>
    <w:rsid w:val="00AC2BB2"/>
    <w:rsid w:val="00AC2C3C"/>
    <w:rsid w:val="00AC3C81"/>
    <w:rsid w:val="00AC512D"/>
    <w:rsid w:val="00AC5F20"/>
    <w:rsid w:val="00AD0083"/>
    <w:rsid w:val="00AD3935"/>
    <w:rsid w:val="00AD771A"/>
    <w:rsid w:val="00AD78E4"/>
    <w:rsid w:val="00AE0794"/>
    <w:rsid w:val="00AE65EB"/>
    <w:rsid w:val="00AE67A7"/>
    <w:rsid w:val="00AF0647"/>
    <w:rsid w:val="00AF1D94"/>
    <w:rsid w:val="00AF3C18"/>
    <w:rsid w:val="00AF433A"/>
    <w:rsid w:val="00AF60C5"/>
    <w:rsid w:val="00AF7DB6"/>
    <w:rsid w:val="00B009C6"/>
    <w:rsid w:val="00B01548"/>
    <w:rsid w:val="00B02A2F"/>
    <w:rsid w:val="00B12B14"/>
    <w:rsid w:val="00B139B9"/>
    <w:rsid w:val="00B13EBD"/>
    <w:rsid w:val="00B159B8"/>
    <w:rsid w:val="00B21763"/>
    <w:rsid w:val="00B21D29"/>
    <w:rsid w:val="00B23C8A"/>
    <w:rsid w:val="00B25034"/>
    <w:rsid w:val="00B30E62"/>
    <w:rsid w:val="00B33588"/>
    <w:rsid w:val="00B33863"/>
    <w:rsid w:val="00B35843"/>
    <w:rsid w:val="00B37D17"/>
    <w:rsid w:val="00B4175E"/>
    <w:rsid w:val="00B421CC"/>
    <w:rsid w:val="00B452CE"/>
    <w:rsid w:val="00B461DE"/>
    <w:rsid w:val="00B46B14"/>
    <w:rsid w:val="00B51CFA"/>
    <w:rsid w:val="00B53A59"/>
    <w:rsid w:val="00B54C25"/>
    <w:rsid w:val="00B648A0"/>
    <w:rsid w:val="00B70AE9"/>
    <w:rsid w:val="00B76B91"/>
    <w:rsid w:val="00B77EB1"/>
    <w:rsid w:val="00B811C6"/>
    <w:rsid w:val="00B855B0"/>
    <w:rsid w:val="00B86337"/>
    <w:rsid w:val="00B868D8"/>
    <w:rsid w:val="00B92E08"/>
    <w:rsid w:val="00BB0763"/>
    <w:rsid w:val="00BC1334"/>
    <w:rsid w:val="00BC1FC7"/>
    <w:rsid w:val="00BC622A"/>
    <w:rsid w:val="00BE0A78"/>
    <w:rsid w:val="00BE3834"/>
    <w:rsid w:val="00BE5543"/>
    <w:rsid w:val="00BE79F0"/>
    <w:rsid w:val="00BF046D"/>
    <w:rsid w:val="00BF1190"/>
    <w:rsid w:val="00BF5D04"/>
    <w:rsid w:val="00C009AA"/>
    <w:rsid w:val="00C1164D"/>
    <w:rsid w:val="00C14CEF"/>
    <w:rsid w:val="00C1578B"/>
    <w:rsid w:val="00C16861"/>
    <w:rsid w:val="00C27262"/>
    <w:rsid w:val="00C346AB"/>
    <w:rsid w:val="00C404A6"/>
    <w:rsid w:val="00C40A36"/>
    <w:rsid w:val="00C41A55"/>
    <w:rsid w:val="00C44419"/>
    <w:rsid w:val="00C44709"/>
    <w:rsid w:val="00C45E7B"/>
    <w:rsid w:val="00C471B1"/>
    <w:rsid w:val="00C5209D"/>
    <w:rsid w:val="00C537DB"/>
    <w:rsid w:val="00C6316B"/>
    <w:rsid w:val="00C634A9"/>
    <w:rsid w:val="00C64586"/>
    <w:rsid w:val="00C70D53"/>
    <w:rsid w:val="00C71B9A"/>
    <w:rsid w:val="00C73D0B"/>
    <w:rsid w:val="00C772FF"/>
    <w:rsid w:val="00C80137"/>
    <w:rsid w:val="00C801AF"/>
    <w:rsid w:val="00C80256"/>
    <w:rsid w:val="00C80CB2"/>
    <w:rsid w:val="00C81736"/>
    <w:rsid w:val="00C82D1D"/>
    <w:rsid w:val="00C859F2"/>
    <w:rsid w:val="00C94CD4"/>
    <w:rsid w:val="00C96C99"/>
    <w:rsid w:val="00C9747E"/>
    <w:rsid w:val="00C97929"/>
    <w:rsid w:val="00C97B34"/>
    <w:rsid w:val="00CA35BF"/>
    <w:rsid w:val="00CA4781"/>
    <w:rsid w:val="00CA4849"/>
    <w:rsid w:val="00CB6BC0"/>
    <w:rsid w:val="00CB7EF9"/>
    <w:rsid w:val="00CC1B7C"/>
    <w:rsid w:val="00CC2F46"/>
    <w:rsid w:val="00CC553A"/>
    <w:rsid w:val="00CC727F"/>
    <w:rsid w:val="00CC73FE"/>
    <w:rsid w:val="00CD6EB0"/>
    <w:rsid w:val="00CF0B1A"/>
    <w:rsid w:val="00CF15C3"/>
    <w:rsid w:val="00CF2B6F"/>
    <w:rsid w:val="00CF2F3E"/>
    <w:rsid w:val="00CF58B6"/>
    <w:rsid w:val="00CF5B2F"/>
    <w:rsid w:val="00D0062D"/>
    <w:rsid w:val="00D017ED"/>
    <w:rsid w:val="00D040D3"/>
    <w:rsid w:val="00D04C65"/>
    <w:rsid w:val="00D1522F"/>
    <w:rsid w:val="00D201D2"/>
    <w:rsid w:val="00D20F79"/>
    <w:rsid w:val="00D216E7"/>
    <w:rsid w:val="00D224FE"/>
    <w:rsid w:val="00D23139"/>
    <w:rsid w:val="00D306CE"/>
    <w:rsid w:val="00D41B1A"/>
    <w:rsid w:val="00D425BB"/>
    <w:rsid w:val="00D441A1"/>
    <w:rsid w:val="00D46CB3"/>
    <w:rsid w:val="00D517D6"/>
    <w:rsid w:val="00D6493E"/>
    <w:rsid w:val="00D663FF"/>
    <w:rsid w:val="00D7195D"/>
    <w:rsid w:val="00D727CE"/>
    <w:rsid w:val="00D7301E"/>
    <w:rsid w:val="00D73C7E"/>
    <w:rsid w:val="00D8225F"/>
    <w:rsid w:val="00D83AE1"/>
    <w:rsid w:val="00D855D4"/>
    <w:rsid w:val="00D862F7"/>
    <w:rsid w:val="00D902C9"/>
    <w:rsid w:val="00D93466"/>
    <w:rsid w:val="00D94B5B"/>
    <w:rsid w:val="00DA1124"/>
    <w:rsid w:val="00DA5C73"/>
    <w:rsid w:val="00DB318B"/>
    <w:rsid w:val="00DB36BA"/>
    <w:rsid w:val="00DB6124"/>
    <w:rsid w:val="00DB750B"/>
    <w:rsid w:val="00DB75B7"/>
    <w:rsid w:val="00DC6E02"/>
    <w:rsid w:val="00DD28CD"/>
    <w:rsid w:val="00DD4AC6"/>
    <w:rsid w:val="00DE02AE"/>
    <w:rsid w:val="00DE2EE9"/>
    <w:rsid w:val="00DF10ED"/>
    <w:rsid w:val="00DF1D7F"/>
    <w:rsid w:val="00DF4BE4"/>
    <w:rsid w:val="00E018EC"/>
    <w:rsid w:val="00E02BE5"/>
    <w:rsid w:val="00E02FB4"/>
    <w:rsid w:val="00E034A2"/>
    <w:rsid w:val="00E13FC7"/>
    <w:rsid w:val="00E14E20"/>
    <w:rsid w:val="00E20571"/>
    <w:rsid w:val="00E235F7"/>
    <w:rsid w:val="00E23659"/>
    <w:rsid w:val="00E239D4"/>
    <w:rsid w:val="00E24725"/>
    <w:rsid w:val="00E26130"/>
    <w:rsid w:val="00E34868"/>
    <w:rsid w:val="00E37A9D"/>
    <w:rsid w:val="00E40B22"/>
    <w:rsid w:val="00E44ED1"/>
    <w:rsid w:val="00E45619"/>
    <w:rsid w:val="00E4588F"/>
    <w:rsid w:val="00E46DA3"/>
    <w:rsid w:val="00E50992"/>
    <w:rsid w:val="00E51BB1"/>
    <w:rsid w:val="00E624A5"/>
    <w:rsid w:val="00E625C7"/>
    <w:rsid w:val="00E64BA4"/>
    <w:rsid w:val="00E700EB"/>
    <w:rsid w:val="00E7344E"/>
    <w:rsid w:val="00E75E97"/>
    <w:rsid w:val="00E77C7F"/>
    <w:rsid w:val="00E82665"/>
    <w:rsid w:val="00E82F10"/>
    <w:rsid w:val="00E86142"/>
    <w:rsid w:val="00EA6C38"/>
    <w:rsid w:val="00EB0798"/>
    <w:rsid w:val="00EB40AD"/>
    <w:rsid w:val="00EB586E"/>
    <w:rsid w:val="00EB5FC8"/>
    <w:rsid w:val="00EB7C28"/>
    <w:rsid w:val="00EC147C"/>
    <w:rsid w:val="00EC463D"/>
    <w:rsid w:val="00EC703E"/>
    <w:rsid w:val="00EC7A85"/>
    <w:rsid w:val="00ED2922"/>
    <w:rsid w:val="00ED3CAD"/>
    <w:rsid w:val="00ED5A41"/>
    <w:rsid w:val="00EE1DE8"/>
    <w:rsid w:val="00EE27C2"/>
    <w:rsid w:val="00EE5433"/>
    <w:rsid w:val="00EE56E8"/>
    <w:rsid w:val="00EE5A8D"/>
    <w:rsid w:val="00EE5F9E"/>
    <w:rsid w:val="00EF0890"/>
    <w:rsid w:val="00EF4355"/>
    <w:rsid w:val="00EF4BAD"/>
    <w:rsid w:val="00EF59DC"/>
    <w:rsid w:val="00F018F1"/>
    <w:rsid w:val="00F033EC"/>
    <w:rsid w:val="00F04F68"/>
    <w:rsid w:val="00F12670"/>
    <w:rsid w:val="00F14B27"/>
    <w:rsid w:val="00F3148D"/>
    <w:rsid w:val="00F325C5"/>
    <w:rsid w:val="00F32FE0"/>
    <w:rsid w:val="00F35298"/>
    <w:rsid w:val="00F423EF"/>
    <w:rsid w:val="00F47333"/>
    <w:rsid w:val="00F47E37"/>
    <w:rsid w:val="00F53C07"/>
    <w:rsid w:val="00F54B65"/>
    <w:rsid w:val="00F5515C"/>
    <w:rsid w:val="00F640B6"/>
    <w:rsid w:val="00F66DF2"/>
    <w:rsid w:val="00F80E40"/>
    <w:rsid w:val="00F8413D"/>
    <w:rsid w:val="00F848D9"/>
    <w:rsid w:val="00FA5B82"/>
    <w:rsid w:val="00FA639E"/>
    <w:rsid w:val="00FB62FF"/>
    <w:rsid w:val="00FC1FCA"/>
    <w:rsid w:val="00FC25E4"/>
    <w:rsid w:val="00FC4EF7"/>
    <w:rsid w:val="00FC53B3"/>
    <w:rsid w:val="00FC63C6"/>
    <w:rsid w:val="00FC7A6F"/>
    <w:rsid w:val="00FD0824"/>
    <w:rsid w:val="00FD119B"/>
    <w:rsid w:val="00FD1EDC"/>
    <w:rsid w:val="00FD73AD"/>
    <w:rsid w:val="00FE095F"/>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426BF638"/>
  <w15:docId w15:val="{8D023004-A770-4628-B954-ABC6C792E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Batang"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1">
    <w:lsdException w:name="Normal" w:uiPriority="1" w:qFormat="1"/>
    <w:lsdException w:name="heading 1" w:uiPriority="0"/>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95AA0"/>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077133"/>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ilvl w:val="0"/>
        <w:numId w:val="0"/>
      </w:numPr>
      <w:ind w:left="425" w:hanging="425"/>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qFormat/>
    <w:rsid w:val="00AA32F8"/>
    <w:pPr>
      <w:adjustRightInd w:val="0"/>
      <w:snapToGrid w:val="0"/>
      <w:spacing w:before="0" w:after="0"/>
      <w:ind w:left="720"/>
      <w:contextualSpacing/>
    </w:pPr>
    <w:rPr>
      <w:rFonts w:eastAsia="MS Mincho"/>
      <w:szCs w:val="20"/>
      <w:lang w:eastAsia="ja-JP"/>
    </w:rPr>
  </w:style>
  <w:style w:type="character" w:customStyle="1" w:styleId="st1">
    <w:name w:val="st1"/>
    <w:basedOn w:val="DefaultParagraphFont"/>
    <w:rsid w:val="00C80CB2"/>
  </w:style>
  <w:style w:type="character" w:customStyle="1" w:styleId="tgc">
    <w:name w:val="_tgc"/>
    <w:basedOn w:val="DefaultParagraphFont"/>
    <w:rsid w:val="00E82F10"/>
  </w:style>
  <w:style w:type="paragraph" w:customStyle="1" w:styleId="Default">
    <w:name w:val="Default"/>
    <w:rsid w:val="00DF10E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itledefault">
    <w:name w:val="title_default"/>
    <w:basedOn w:val="DefaultParagraphFont"/>
    <w:rsid w:val="00921E61"/>
  </w:style>
  <w:style w:type="paragraph" w:styleId="BodyText">
    <w:name w:val="Body Text"/>
    <w:basedOn w:val="Normal"/>
    <w:link w:val="BodyTextChar"/>
    <w:uiPriority w:val="1"/>
    <w:qFormat/>
    <w:rsid w:val="009F19A0"/>
    <w:pPr>
      <w:autoSpaceDE w:val="0"/>
      <w:autoSpaceDN w:val="0"/>
      <w:adjustRightInd w:val="0"/>
      <w:spacing w:before="0" w:after="0" w:line="240" w:lineRule="auto"/>
      <w:ind w:left="39"/>
    </w:pPr>
    <w:rPr>
      <w:rFonts w:eastAsia="Batang" w:cs="Cambria"/>
    </w:rPr>
  </w:style>
  <w:style w:type="character" w:customStyle="1" w:styleId="BodyTextChar">
    <w:name w:val="Body Text Char"/>
    <w:basedOn w:val="DefaultParagraphFont"/>
    <w:link w:val="BodyText"/>
    <w:uiPriority w:val="1"/>
    <w:rsid w:val="009F19A0"/>
    <w:rPr>
      <w:rFonts w:ascii="Cambria" w:hAnsi="Cambria" w:cs="Cambria"/>
    </w:rPr>
  </w:style>
  <w:style w:type="paragraph" w:styleId="ListNumber">
    <w:name w:val="List Number"/>
    <w:basedOn w:val="Normal"/>
    <w:uiPriority w:val="99"/>
    <w:unhideWhenUsed/>
    <w:rsid w:val="009F4AB2"/>
    <w:pPr>
      <w:numPr>
        <w:numId w:val="33"/>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074070">
      <w:bodyDiv w:val="1"/>
      <w:marLeft w:val="0"/>
      <w:marRight w:val="0"/>
      <w:marTop w:val="0"/>
      <w:marBottom w:val="0"/>
      <w:divBdr>
        <w:top w:val="none" w:sz="0" w:space="0" w:color="auto"/>
        <w:left w:val="none" w:sz="0" w:space="0" w:color="auto"/>
        <w:bottom w:val="none" w:sz="0" w:space="0" w:color="auto"/>
        <w:right w:val="none" w:sz="0" w:space="0" w:color="auto"/>
      </w:divBdr>
    </w:div>
    <w:div w:id="174422990">
      <w:bodyDiv w:val="1"/>
      <w:marLeft w:val="0"/>
      <w:marRight w:val="0"/>
      <w:marTop w:val="0"/>
      <w:marBottom w:val="0"/>
      <w:divBdr>
        <w:top w:val="none" w:sz="0" w:space="0" w:color="auto"/>
        <w:left w:val="none" w:sz="0" w:space="0" w:color="auto"/>
        <w:bottom w:val="none" w:sz="0" w:space="0" w:color="auto"/>
        <w:right w:val="none" w:sz="0" w:space="0" w:color="auto"/>
      </w:divBdr>
    </w:div>
    <w:div w:id="309211699">
      <w:bodyDiv w:val="1"/>
      <w:marLeft w:val="0"/>
      <w:marRight w:val="0"/>
      <w:marTop w:val="0"/>
      <w:marBottom w:val="0"/>
      <w:divBdr>
        <w:top w:val="none" w:sz="0" w:space="0" w:color="auto"/>
        <w:left w:val="none" w:sz="0" w:space="0" w:color="auto"/>
        <w:bottom w:val="none" w:sz="0" w:space="0" w:color="auto"/>
        <w:right w:val="none" w:sz="0" w:space="0" w:color="auto"/>
      </w:divBdr>
    </w:div>
    <w:div w:id="494566940">
      <w:bodyDiv w:val="1"/>
      <w:marLeft w:val="0"/>
      <w:marRight w:val="0"/>
      <w:marTop w:val="0"/>
      <w:marBottom w:val="0"/>
      <w:divBdr>
        <w:top w:val="none" w:sz="0" w:space="0" w:color="auto"/>
        <w:left w:val="none" w:sz="0" w:space="0" w:color="auto"/>
        <w:bottom w:val="none" w:sz="0" w:space="0" w:color="auto"/>
        <w:right w:val="none" w:sz="0" w:space="0" w:color="auto"/>
      </w:divBdr>
    </w:div>
    <w:div w:id="1034499099">
      <w:bodyDiv w:val="1"/>
      <w:marLeft w:val="0"/>
      <w:marRight w:val="0"/>
      <w:marTop w:val="0"/>
      <w:marBottom w:val="0"/>
      <w:divBdr>
        <w:top w:val="none" w:sz="0" w:space="0" w:color="auto"/>
        <w:left w:val="none" w:sz="0" w:space="0" w:color="auto"/>
        <w:bottom w:val="none" w:sz="0" w:space="0" w:color="auto"/>
        <w:right w:val="none" w:sz="0" w:space="0" w:color="auto"/>
      </w:divBdr>
    </w:div>
    <w:div w:id="1121656824">
      <w:bodyDiv w:val="1"/>
      <w:marLeft w:val="0"/>
      <w:marRight w:val="0"/>
      <w:marTop w:val="0"/>
      <w:marBottom w:val="0"/>
      <w:divBdr>
        <w:top w:val="none" w:sz="0" w:space="0" w:color="auto"/>
        <w:left w:val="none" w:sz="0" w:space="0" w:color="auto"/>
        <w:bottom w:val="none" w:sz="0" w:space="0" w:color="auto"/>
        <w:right w:val="none" w:sz="0" w:space="0" w:color="auto"/>
      </w:divBdr>
    </w:div>
    <w:div w:id="1327438367">
      <w:bodyDiv w:val="1"/>
      <w:marLeft w:val="0"/>
      <w:marRight w:val="0"/>
      <w:marTop w:val="0"/>
      <w:marBottom w:val="0"/>
      <w:divBdr>
        <w:top w:val="none" w:sz="0" w:space="0" w:color="auto"/>
        <w:left w:val="none" w:sz="0" w:space="0" w:color="auto"/>
        <w:bottom w:val="none" w:sz="0" w:space="0" w:color="auto"/>
        <w:right w:val="none" w:sz="0" w:space="0" w:color="auto"/>
      </w:divBdr>
    </w:div>
    <w:div w:id="2002200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ga.gov.au" TargetMode="External"/><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header" Target="header8.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eader" Target="header6.xml"/><Relationship Id="rId42"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header" Target="header5.xml"/><Relationship Id="rId38"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yperlink" Target="https://www.tga.gov.au/product-information-pi" TargetMode="External"/><Relationship Id="rId20" Type="http://schemas.openxmlformats.org/officeDocument/2006/relationships/image" Target="media/image5.emf"/><Relationship Id="rId29" Type="http://schemas.openxmlformats.org/officeDocument/2006/relationships/image" Target="media/image14.emf"/><Relationship Id="rId41" Type="http://schemas.openxmlformats.org/officeDocument/2006/relationships/header" Target="header9.xml"/><Relationship Id="rId75"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header" Target="header4.xml"/><Relationship Id="rId37" Type="http://schemas.openxmlformats.org/officeDocument/2006/relationships/hyperlink" Target="https://www.tga.gov.au" TargetMode="External"/><Relationship Id="rId40"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yperlink" Target="mailto:info@tga.gov.au" TargetMode="Externa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hyperlink" Target="https://www.tga.gov.au/product-information-pi"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image" Target="media/image12.emf"/><Relationship Id="rId30" Type="http://schemas.openxmlformats.org/officeDocument/2006/relationships/image" Target="media/image15.png"/><Relationship Id="rId35" Type="http://schemas.openxmlformats.org/officeDocument/2006/relationships/footer" Target="footer4.xml"/><Relationship Id="rId43"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ilel\AppData\Local\Hewlett-Packard\HP%20TRIM\TEMP\HPTRIM.2324\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A8A6CB-2C82-49CD-89E8-DD815C20F4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Template>
  <TotalTime>0</TotalTime>
  <Pages>93</Pages>
  <Words>35178</Words>
  <Characters>200517</Characters>
  <Application>Microsoft Office Word</Application>
  <DocSecurity>0</DocSecurity>
  <Lines>1670</Lines>
  <Paragraphs>470</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Australian public assessment for...</vt:lpstr>
      <vt:lpstr>Australian public assessment for...</vt:lpstr>
    </vt:vector>
  </TitlesOfParts>
  <Company>Department of Health Therapeutic Goods Administration</Company>
  <LinksUpToDate>false</LinksUpToDate>
  <CharactersWithSpaces>235225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Infliximab (rmc)</dc:title>
  <dc:subject>prescription medicines</dc:subject>
  <dc:creator>Therapeutic Goods Administratio</dc:creator>
  <cp:keywords/>
  <cp:lastPrinted>2020-06-03T05:07:00Z</cp:lastPrinted>
  <dcterms:created xsi:type="dcterms:W3CDTF">2020-07-02T00:10:00Z</dcterms:created>
  <dcterms:modified xsi:type="dcterms:W3CDTF">2020-07-02T00:10:00Z</dcterms:modified>
  <cp:category/>
</cp:coreProperties>
</file>