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8ECF0" w14:textId="3107C4D2" w:rsidR="008669BA" w:rsidRPr="00B54968" w:rsidRDefault="00281C64" w:rsidP="003E2009">
      <w:pPr>
        <w:pStyle w:val="Default"/>
        <w:rPr>
          <w:rFonts w:ascii="Times New Roman" w:hAnsi="Times New Roman" w:cs="Times New Roman"/>
          <w:b/>
          <w:bCs/>
          <w:color w:val="auto"/>
          <w:sz w:val="40"/>
          <w:szCs w:val="22"/>
        </w:rPr>
      </w:pPr>
      <w:r>
        <w:rPr>
          <w:rFonts w:ascii="Times New Roman" w:hAnsi="Times New Roman" w:cs="Times New Roman"/>
          <w:b/>
          <w:color w:val="auto"/>
          <w:sz w:val="40"/>
          <w:szCs w:val="22"/>
        </w:rPr>
        <w:t>INFLECTRA</w:t>
      </w:r>
      <w:r w:rsidR="00715359" w:rsidRPr="00B54968">
        <w:rPr>
          <w:rFonts w:ascii="Times New Roman" w:hAnsi="Times New Roman" w:cs="Times New Roman"/>
          <w:color w:val="auto"/>
          <w:sz w:val="44"/>
          <w:vertAlign w:val="superscript"/>
        </w:rPr>
        <w:t>®</w:t>
      </w:r>
      <w:r w:rsidR="00150E4C" w:rsidRPr="00B54968">
        <w:rPr>
          <w:rFonts w:ascii="Times New Roman" w:hAnsi="Times New Roman" w:cs="Times New Roman"/>
          <w:b/>
          <w:bCs/>
          <w:color w:val="auto"/>
          <w:sz w:val="40"/>
          <w:szCs w:val="22"/>
        </w:rPr>
        <w:t xml:space="preserve"> </w:t>
      </w:r>
    </w:p>
    <w:p w14:paraId="0DE6A9E1" w14:textId="77777777" w:rsidR="008669BA" w:rsidRPr="00B54968" w:rsidRDefault="00497413" w:rsidP="003E2009">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PRODUCT INFORMATION </w:t>
      </w:r>
    </w:p>
    <w:p w14:paraId="650FC56C" w14:textId="77777777" w:rsidR="008669BA" w:rsidRPr="00B54968" w:rsidRDefault="0051526C" w:rsidP="003E2009">
      <w:pPr>
        <w:pStyle w:val="Default"/>
        <w:tabs>
          <w:tab w:val="left" w:pos="3540"/>
        </w:tabs>
        <w:rPr>
          <w:rFonts w:ascii="Times New Roman" w:hAnsi="Times New Roman" w:cs="Times New Roman"/>
          <w:color w:val="auto"/>
          <w:sz w:val="22"/>
          <w:szCs w:val="22"/>
        </w:rPr>
      </w:pPr>
      <w:r w:rsidRPr="00B54968">
        <w:rPr>
          <w:rFonts w:ascii="Times New Roman" w:hAnsi="Times New Roman" w:cs="Times New Roman"/>
          <w:color w:val="auto"/>
          <w:sz w:val="22"/>
          <w:szCs w:val="22"/>
        </w:rPr>
        <w:tab/>
      </w:r>
    </w:p>
    <w:p w14:paraId="2915B247" w14:textId="77777777" w:rsidR="008669BA"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NAME OF THE MEDICINE </w:t>
      </w:r>
    </w:p>
    <w:p w14:paraId="406512CD" w14:textId="1216732D" w:rsidR="008669BA" w:rsidRPr="00B54968" w:rsidRDefault="00281C64"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C86861" w:rsidRPr="00B54968">
        <w:rPr>
          <w:rFonts w:ascii="Times New Roman" w:hAnsi="Times New Roman" w:cs="Times New Roman"/>
          <w:color w:val="auto"/>
          <w:sz w:val="22"/>
          <w:szCs w:val="22"/>
        </w:rPr>
        <w:t>infliximab</w:t>
      </w:r>
      <w:r w:rsidR="00741553" w:rsidRPr="00B54968">
        <w:rPr>
          <w:rFonts w:ascii="Times New Roman" w:hAnsi="Times New Roman" w:cs="Times New Roman"/>
          <w:color w:val="auto"/>
          <w:sz w:val="22"/>
          <w:szCs w:val="22"/>
        </w:rPr>
        <w:t xml:space="preserve"> (rmc</w:t>
      </w:r>
      <w:r w:rsidR="00C86861" w:rsidRPr="00B54968">
        <w:rPr>
          <w:rFonts w:ascii="Times New Roman" w:hAnsi="Times New Roman" w:cs="Times New Roman"/>
          <w:color w:val="auto"/>
          <w:sz w:val="22"/>
          <w:szCs w:val="22"/>
        </w:rPr>
        <w:t xml:space="preserve">) </w:t>
      </w:r>
      <w:r w:rsidR="00741553" w:rsidRPr="00B54968">
        <w:rPr>
          <w:rFonts w:ascii="Times New Roman" w:hAnsi="Times New Roman" w:cs="Times New Roman"/>
          <w:color w:val="auto"/>
          <w:sz w:val="22"/>
          <w:szCs w:val="22"/>
        </w:rPr>
        <w:t>100mg P</w:t>
      </w:r>
      <w:r w:rsidR="00150E4C" w:rsidRPr="00B54968">
        <w:rPr>
          <w:rFonts w:ascii="Times New Roman" w:hAnsi="Times New Roman" w:cs="Times New Roman"/>
          <w:color w:val="auto"/>
          <w:sz w:val="22"/>
          <w:szCs w:val="22"/>
        </w:rPr>
        <w:t xml:space="preserve">owder for </w:t>
      </w:r>
      <w:r w:rsidR="00741553" w:rsidRPr="00B54968">
        <w:rPr>
          <w:rFonts w:ascii="Times New Roman" w:hAnsi="Times New Roman" w:cs="Times New Roman"/>
          <w:color w:val="auto"/>
          <w:sz w:val="22"/>
          <w:szCs w:val="22"/>
        </w:rPr>
        <w:t>I</w:t>
      </w:r>
      <w:r w:rsidR="00150E4C" w:rsidRPr="00B54968">
        <w:rPr>
          <w:rFonts w:ascii="Times New Roman" w:hAnsi="Times New Roman" w:cs="Times New Roman"/>
          <w:color w:val="auto"/>
          <w:sz w:val="22"/>
          <w:szCs w:val="22"/>
        </w:rPr>
        <w:t>njection</w:t>
      </w:r>
    </w:p>
    <w:p w14:paraId="008F277B" w14:textId="77777777" w:rsidR="008669BA" w:rsidRPr="00B54968" w:rsidRDefault="0051526C" w:rsidP="003E2009">
      <w:pPr>
        <w:pStyle w:val="Default"/>
        <w:tabs>
          <w:tab w:val="left" w:pos="5820"/>
        </w:tabs>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ab/>
      </w:r>
    </w:p>
    <w:p w14:paraId="0EEA4778" w14:textId="77777777" w:rsidR="008669BA"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DESCRIPTION </w:t>
      </w:r>
    </w:p>
    <w:p w14:paraId="4CC47965" w14:textId="024D3262" w:rsidR="008669BA"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Each vial of </w:t>
      </w:r>
      <w:r w:rsidR="00281C64">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contains infliximab 100 mg. </w:t>
      </w:r>
      <w:r w:rsidR="00066BB7" w:rsidRPr="00B54968">
        <w:rPr>
          <w:rFonts w:ascii="Times New Roman" w:hAnsi="Times New Roman" w:cs="Times New Roman"/>
          <w:color w:val="auto"/>
          <w:sz w:val="22"/>
          <w:szCs w:val="22"/>
        </w:rPr>
        <w:t>Infliximab</w:t>
      </w:r>
      <w:r w:rsidR="009C54CC" w:rsidRPr="00B54968">
        <w:rPr>
          <w:rFonts w:ascii="Times New Roman" w:hAnsi="Times New Roman" w:cs="Times New Roman"/>
          <w:color w:val="auto"/>
          <w:sz w:val="22"/>
          <w:szCs w:val="22"/>
          <w:lang w:eastAsia="ko-KR"/>
        </w:rPr>
        <w:t xml:space="preserve"> </w:t>
      </w:r>
      <w:r w:rsidR="00066BB7" w:rsidRPr="00B54968">
        <w:rPr>
          <w:rFonts w:ascii="Times New Roman" w:hAnsi="Times New Roman" w:cs="Times New Roman"/>
          <w:color w:val="auto"/>
          <w:sz w:val="22"/>
          <w:szCs w:val="22"/>
        </w:rPr>
        <w:t xml:space="preserve">is a chimeric human-murine IgG monoclonal antibody produced in murine </w:t>
      </w:r>
      <w:proofErr w:type="spellStart"/>
      <w:r w:rsidR="00066BB7" w:rsidRPr="00B54968">
        <w:rPr>
          <w:rFonts w:ascii="Times New Roman" w:hAnsi="Times New Roman" w:cs="Times New Roman"/>
          <w:color w:val="auto"/>
          <w:sz w:val="22"/>
          <w:szCs w:val="22"/>
        </w:rPr>
        <w:t>hybridoma</w:t>
      </w:r>
      <w:proofErr w:type="spellEnd"/>
      <w:r w:rsidR="00066BB7" w:rsidRPr="00B54968">
        <w:rPr>
          <w:rFonts w:ascii="Times New Roman" w:hAnsi="Times New Roman" w:cs="Times New Roman"/>
          <w:color w:val="auto"/>
          <w:sz w:val="22"/>
          <w:szCs w:val="22"/>
        </w:rPr>
        <w:t xml:space="preserve"> cells by recombinant DNA technology. After reconstitution</w:t>
      </w:r>
      <w:r w:rsidR="00045650" w:rsidRPr="00B54968">
        <w:rPr>
          <w:rFonts w:ascii="Times New Roman" w:hAnsi="Times New Roman" w:cs="Times New Roman"/>
          <w:color w:val="auto"/>
          <w:sz w:val="22"/>
          <w:szCs w:val="22"/>
        </w:rPr>
        <w:t xml:space="preserve"> </w:t>
      </w:r>
      <w:r w:rsidR="00066BB7" w:rsidRPr="00B54968">
        <w:rPr>
          <w:rFonts w:ascii="Times New Roman" w:hAnsi="Times New Roman" w:cs="Times New Roman"/>
          <w:color w:val="auto"/>
          <w:sz w:val="22"/>
          <w:szCs w:val="22"/>
        </w:rPr>
        <w:t xml:space="preserve">each ml contains 10 mg of infliximab. </w:t>
      </w:r>
      <w:r w:rsidRPr="00B54968">
        <w:rPr>
          <w:rFonts w:ascii="Times New Roman" w:hAnsi="Times New Roman" w:cs="Times New Roman"/>
          <w:color w:val="auto"/>
          <w:sz w:val="22"/>
          <w:szCs w:val="22"/>
        </w:rPr>
        <w:t xml:space="preserve">Inactive Ingredients: sodium phosphate monobasic monohydrate, sodium phosphate dibasic </w:t>
      </w:r>
      <w:proofErr w:type="spellStart"/>
      <w:r w:rsidRPr="00B54968">
        <w:rPr>
          <w:rFonts w:ascii="Times New Roman" w:hAnsi="Times New Roman" w:cs="Times New Roman"/>
          <w:color w:val="auto"/>
          <w:sz w:val="22"/>
          <w:szCs w:val="22"/>
        </w:rPr>
        <w:t>dihydrate</w:t>
      </w:r>
      <w:proofErr w:type="spellEnd"/>
      <w:r w:rsidRPr="00B54968">
        <w:rPr>
          <w:rFonts w:ascii="Times New Roman" w:hAnsi="Times New Roman" w:cs="Times New Roman"/>
          <w:color w:val="auto"/>
          <w:sz w:val="22"/>
          <w:szCs w:val="22"/>
        </w:rPr>
        <w:t xml:space="preserve">, sucrose and </w:t>
      </w:r>
      <w:proofErr w:type="spellStart"/>
      <w:r w:rsidRPr="00B54968">
        <w:rPr>
          <w:rFonts w:ascii="Times New Roman" w:hAnsi="Times New Roman" w:cs="Times New Roman"/>
          <w:color w:val="auto"/>
          <w:sz w:val="22"/>
          <w:szCs w:val="22"/>
        </w:rPr>
        <w:t>polysorbate</w:t>
      </w:r>
      <w:proofErr w:type="spellEnd"/>
      <w:r w:rsidRPr="00B54968">
        <w:rPr>
          <w:rFonts w:ascii="Times New Roman" w:hAnsi="Times New Roman" w:cs="Times New Roman"/>
          <w:color w:val="auto"/>
          <w:sz w:val="22"/>
          <w:szCs w:val="22"/>
        </w:rPr>
        <w:t xml:space="preserve"> 80. </w:t>
      </w:r>
    </w:p>
    <w:p w14:paraId="287202E1" w14:textId="23DC1FF0" w:rsidR="008669BA" w:rsidRPr="00B54968" w:rsidRDefault="008669BA" w:rsidP="003E2009">
      <w:pPr>
        <w:pStyle w:val="Default"/>
        <w:rPr>
          <w:rFonts w:ascii="Times New Roman" w:hAnsi="Times New Roman" w:cs="Times New Roman"/>
          <w:color w:val="auto"/>
          <w:sz w:val="22"/>
          <w:szCs w:val="22"/>
          <w:lang w:eastAsia="ko-KR"/>
        </w:rPr>
      </w:pPr>
    </w:p>
    <w:p w14:paraId="62AC4EB7" w14:textId="202F5EF3" w:rsidR="004246A3" w:rsidRPr="00972E0D" w:rsidRDefault="00281C64" w:rsidP="003E2009">
      <w:pPr>
        <w:pStyle w:val="Default"/>
        <w:rPr>
          <w:rFonts w:ascii="Times New Roman" w:hAnsi="Times New Roman" w:cs="Times New Roman"/>
          <w:color w:val="auto"/>
          <w:sz w:val="22"/>
          <w:szCs w:val="22"/>
          <w:lang w:eastAsia="ko-KR"/>
        </w:rPr>
      </w:pPr>
      <w:r>
        <w:rPr>
          <w:rFonts w:ascii="Times New Roman" w:hAnsi="Times New Roman" w:cs="Times New Roman"/>
          <w:color w:val="auto"/>
          <w:sz w:val="22"/>
          <w:szCs w:val="22"/>
        </w:rPr>
        <w:t>INFLECTRA</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(infliximab) is an approved biosimilar to the reference product </w:t>
      </w:r>
      <w:r w:rsidR="001A691C">
        <w:rPr>
          <w:rFonts w:ascii="Times New Roman" w:hAnsi="Times New Roman" w:cs="Times New Roman"/>
          <w:color w:val="auto"/>
          <w:sz w:val="22"/>
          <w:szCs w:val="22"/>
        </w:rPr>
        <w:t>REMICADE</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(infliximab). </w:t>
      </w:r>
      <w:r w:rsidR="0015282D" w:rsidRPr="0015282D">
        <w:rPr>
          <w:rFonts w:ascii="Times New Roman" w:hAnsi="Times New Roman" w:cs="Times New Roman"/>
          <w:color w:val="auto"/>
          <w:sz w:val="22"/>
          <w:szCs w:val="22"/>
        </w:rPr>
        <w:t xml:space="preserve">Comparability in safety, efficacy and quality </w:t>
      </w:r>
      <w:r w:rsidR="004246A3" w:rsidRPr="00972E0D">
        <w:rPr>
          <w:rFonts w:ascii="Times New Roman" w:hAnsi="Times New Roman" w:cs="Times New Roman"/>
          <w:color w:val="auto"/>
          <w:sz w:val="22"/>
          <w:szCs w:val="22"/>
        </w:rPr>
        <w:t xml:space="preserve">between </w:t>
      </w:r>
      <w:r>
        <w:rPr>
          <w:rFonts w:ascii="Times New Roman" w:hAnsi="Times New Roman" w:cs="Times New Roman"/>
          <w:color w:val="auto"/>
          <w:sz w:val="22"/>
          <w:szCs w:val="22"/>
        </w:rPr>
        <w:t>INFLECTRA</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and </w:t>
      </w:r>
      <w:r w:rsidR="001A691C">
        <w:rPr>
          <w:rFonts w:ascii="Times New Roman" w:hAnsi="Times New Roman" w:cs="Times New Roman"/>
          <w:color w:val="auto"/>
          <w:sz w:val="22"/>
          <w:szCs w:val="22"/>
        </w:rPr>
        <w:t>REMICADE</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w:t>
      </w:r>
      <w:r w:rsidR="004246A3">
        <w:rPr>
          <w:rFonts w:ascii="Times New Roman" w:hAnsi="Times New Roman" w:cs="Times New Roman"/>
          <w:color w:val="auto"/>
          <w:sz w:val="22"/>
          <w:szCs w:val="22"/>
        </w:rPr>
        <w:t>h</w:t>
      </w:r>
      <w:r w:rsidR="004246A3" w:rsidRPr="00972E0D">
        <w:rPr>
          <w:rFonts w:ascii="Times New Roman" w:hAnsi="Times New Roman" w:cs="Times New Roman"/>
          <w:color w:val="auto"/>
          <w:sz w:val="22"/>
          <w:szCs w:val="22"/>
        </w:rPr>
        <w:t>as</w:t>
      </w:r>
      <w:r w:rsidR="004246A3">
        <w:rPr>
          <w:rFonts w:ascii="Times New Roman" w:hAnsi="Times New Roman" w:cs="Times New Roman"/>
          <w:color w:val="auto"/>
          <w:sz w:val="22"/>
          <w:szCs w:val="22"/>
        </w:rPr>
        <w:t xml:space="preserve"> been </w:t>
      </w:r>
      <w:r w:rsidR="004246A3" w:rsidRPr="00972E0D">
        <w:rPr>
          <w:rFonts w:ascii="Times New Roman" w:hAnsi="Times New Roman" w:cs="Times New Roman"/>
          <w:color w:val="auto"/>
          <w:sz w:val="22"/>
          <w:szCs w:val="22"/>
        </w:rPr>
        <w:t>established</w:t>
      </w:r>
      <w:r w:rsidR="004246A3" w:rsidRPr="00972E0D">
        <w:rPr>
          <w:rFonts w:ascii="Times New Roman" w:hAnsi="Times New Roman" w:cs="Times New Roman"/>
          <w:i/>
          <w:color w:val="auto"/>
          <w:sz w:val="22"/>
          <w:szCs w:val="22"/>
        </w:rPr>
        <w:t>.</w:t>
      </w:r>
    </w:p>
    <w:p w14:paraId="4BC2CA47" w14:textId="77777777" w:rsidR="008267D3" w:rsidRPr="004246A3" w:rsidRDefault="008267D3" w:rsidP="003E2009">
      <w:pPr>
        <w:pStyle w:val="Default"/>
        <w:rPr>
          <w:rFonts w:ascii="Times New Roman" w:hAnsi="Times New Roman" w:cs="Times New Roman"/>
          <w:color w:val="auto"/>
          <w:sz w:val="20"/>
          <w:szCs w:val="20"/>
          <w:lang w:eastAsia="ko-KR"/>
        </w:rPr>
      </w:pPr>
    </w:p>
    <w:p w14:paraId="0AD6EF25" w14:textId="77777777" w:rsidR="008669BA"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PHARMACOLOGY </w:t>
      </w:r>
    </w:p>
    <w:p w14:paraId="72A120C0" w14:textId="77777777" w:rsidR="008669BA"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Actions: Infliximab</w:t>
      </w:r>
      <w:r w:rsidR="009C54CC"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is a chimeric human-murine monoclonal antibody that binds to human </w:t>
      </w:r>
      <w:proofErr w:type="spellStart"/>
      <w:r w:rsidRPr="00B54968">
        <w:rPr>
          <w:rFonts w:ascii="Times New Roman" w:hAnsi="Times New Roman" w:cs="Times New Roman"/>
          <w:color w:val="auto"/>
          <w:sz w:val="22"/>
          <w:szCs w:val="22"/>
        </w:rPr>
        <w:t>tumour</w:t>
      </w:r>
      <w:proofErr w:type="spellEnd"/>
      <w:r w:rsidRPr="00B54968">
        <w:rPr>
          <w:rFonts w:ascii="Times New Roman" w:hAnsi="Times New Roman" w:cs="Times New Roman"/>
          <w:color w:val="auto"/>
          <w:sz w:val="22"/>
          <w:szCs w:val="22"/>
        </w:rPr>
        <w:t xml:space="preserve"> necrosis factor alpha (TNFα). TNFα is a pro-inflammatory and </w:t>
      </w:r>
      <w:proofErr w:type="spellStart"/>
      <w:r w:rsidRPr="00B54968">
        <w:rPr>
          <w:rFonts w:ascii="Times New Roman" w:hAnsi="Times New Roman" w:cs="Times New Roman"/>
          <w:color w:val="auto"/>
          <w:sz w:val="22"/>
          <w:szCs w:val="22"/>
        </w:rPr>
        <w:t>immunoregulatory</w:t>
      </w:r>
      <w:proofErr w:type="spellEnd"/>
      <w:r w:rsidRPr="00B54968">
        <w:rPr>
          <w:rFonts w:ascii="Times New Roman" w:hAnsi="Times New Roman" w:cs="Times New Roman"/>
          <w:color w:val="auto"/>
          <w:sz w:val="22"/>
          <w:szCs w:val="22"/>
        </w:rPr>
        <w:t xml:space="preserve"> cytokine that, when overexpressed, mediates chronic inflammation in diseases such as Crohn’s disease and rheumatoid arthritis. </w:t>
      </w:r>
    </w:p>
    <w:p w14:paraId="2A725C70" w14:textId="77777777" w:rsidR="00F43D4A" w:rsidRPr="00B54968" w:rsidRDefault="00F43D4A" w:rsidP="003E2009">
      <w:pPr>
        <w:pStyle w:val="Default"/>
        <w:rPr>
          <w:rFonts w:ascii="Times New Roman" w:hAnsi="Times New Roman" w:cs="Times New Roman"/>
          <w:color w:val="auto"/>
          <w:sz w:val="22"/>
          <w:szCs w:val="22"/>
          <w:lang w:eastAsia="ko-KR"/>
        </w:rPr>
      </w:pPr>
    </w:p>
    <w:p w14:paraId="005103BE" w14:textId="77777777" w:rsidR="00A02600"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Cellular responses to TNFα include: </w:t>
      </w:r>
    </w:p>
    <w:p w14:paraId="3F093557" w14:textId="77777777" w:rsidR="008669BA" w:rsidRPr="00B54968" w:rsidRDefault="00497413" w:rsidP="003E2009">
      <w:pPr>
        <w:pStyle w:val="Default"/>
        <w:numPr>
          <w:ilvl w:val="0"/>
          <w:numId w:val="3"/>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up-regulation of other pro-inflammatory cytokines such as interleukin (IL) 1 and IL-12 </w:t>
      </w:r>
    </w:p>
    <w:p w14:paraId="5F500F9D" w14:textId="77777777" w:rsidR="008669BA" w:rsidRPr="00B54968" w:rsidRDefault="00497413" w:rsidP="003E2009">
      <w:pPr>
        <w:pStyle w:val="Default"/>
        <w:numPr>
          <w:ilvl w:val="0"/>
          <w:numId w:val="3"/>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up-regulation of chemokines such as IL-8 </w:t>
      </w:r>
    </w:p>
    <w:p w14:paraId="1D73ED6D" w14:textId="77777777" w:rsidR="008669BA" w:rsidRPr="00B54968" w:rsidRDefault="00497413" w:rsidP="003E2009">
      <w:pPr>
        <w:pStyle w:val="Default"/>
        <w:numPr>
          <w:ilvl w:val="0"/>
          <w:numId w:val="3"/>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priming and activation of neutrophils </w:t>
      </w:r>
    </w:p>
    <w:p w14:paraId="03683DF3" w14:textId="77777777" w:rsidR="008669BA" w:rsidRPr="00B54968" w:rsidRDefault="00497413" w:rsidP="003E2009">
      <w:pPr>
        <w:pStyle w:val="Default"/>
        <w:numPr>
          <w:ilvl w:val="0"/>
          <w:numId w:val="3"/>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up-regulation of adhesion molecules and tissue factor by endothelial cells </w:t>
      </w:r>
    </w:p>
    <w:p w14:paraId="511D5477" w14:textId="77777777" w:rsidR="008669BA" w:rsidRPr="00B54968" w:rsidRDefault="00497413" w:rsidP="003E2009">
      <w:pPr>
        <w:pStyle w:val="Default"/>
        <w:numPr>
          <w:ilvl w:val="0"/>
          <w:numId w:val="3"/>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induction of proliferation and increased synthesis of IL-6 and </w:t>
      </w:r>
      <w:proofErr w:type="spellStart"/>
      <w:r w:rsidRPr="00B54968">
        <w:rPr>
          <w:rFonts w:ascii="Times New Roman" w:hAnsi="Times New Roman" w:cs="Times New Roman"/>
          <w:color w:val="auto"/>
          <w:sz w:val="22"/>
          <w:szCs w:val="22"/>
        </w:rPr>
        <w:t>metalloproteinases</w:t>
      </w:r>
      <w:proofErr w:type="spellEnd"/>
      <w:r w:rsidRPr="00B54968">
        <w:rPr>
          <w:rFonts w:ascii="Times New Roman" w:hAnsi="Times New Roman" w:cs="Times New Roman"/>
          <w:color w:val="auto"/>
          <w:sz w:val="22"/>
          <w:szCs w:val="22"/>
        </w:rPr>
        <w:t xml:space="preserve"> by fibroblasts. </w:t>
      </w:r>
    </w:p>
    <w:p w14:paraId="6D3E341E" w14:textId="77777777" w:rsidR="008669BA" w:rsidRPr="00B54968" w:rsidRDefault="008669BA" w:rsidP="003E2009">
      <w:pPr>
        <w:pStyle w:val="Default"/>
        <w:rPr>
          <w:rFonts w:ascii="Times New Roman" w:hAnsi="Times New Roman" w:cs="Times New Roman"/>
          <w:color w:val="auto"/>
          <w:sz w:val="22"/>
          <w:szCs w:val="22"/>
        </w:rPr>
      </w:pPr>
    </w:p>
    <w:p w14:paraId="06624967" w14:textId="77777777" w:rsidR="008669BA"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is a chimeric IgG1 monoclonal antibody composed of human constant and murine variable regions, having an approximate molecular weight of 149,100 </w:t>
      </w:r>
      <w:proofErr w:type="spellStart"/>
      <w:r w:rsidRPr="00B54968">
        <w:rPr>
          <w:rFonts w:ascii="Times New Roman" w:hAnsi="Times New Roman" w:cs="Times New Roman"/>
          <w:color w:val="auto"/>
          <w:sz w:val="22"/>
          <w:szCs w:val="22"/>
        </w:rPr>
        <w:t>daltons</w:t>
      </w:r>
      <w:proofErr w:type="spellEnd"/>
      <w:r w:rsidRPr="00B54968">
        <w:rPr>
          <w:rFonts w:ascii="Times New Roman" w:hAnsi="Times New Roman" w:cs="Times New Roman"/>
          <w:color w:val="auto"/>
          <w:sz w:val="22"/>
          <w:szCs w:val="22"/>
        </w:rPr>
        <w:t>. Infliximab</w:t>
      </w:r>
      <w:r w:rsidR="009C54CC"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is produced by recombinant cell line cultured by continuous perfusion and it is purified by a series of steps that includes measures to inactivate and remove viruses. </w:t>
      </w:r>
    </w:p>
    <w:p w14:paraId="03A6BA7B" w14:textId="77777777" w:rsidR="008669BA" w:rsidRPr="00B54968" w:rsidRDefault="008669BA" w:rsidP="003E2009">
      <w:pPr>
        <w:pStyle w:val="Default"/>
        <w:rPr>
          <w:rFonts w:ascii="Times New Roman" w:hAnsi="Times New Roman" w:cs="Times New Roman"/>
          <w:color w:val="auto"/>
          <w:sz w:val="22"/>
          <w:szCs w:val="22"/>
        </w:rPr>
      </w:pPr>
    </w:p>
    <w:p w14:paraId="2E4CADCB" w14:textId="77777777" w:rsidR="008669BA" w:rsidRPr="00B54968" w:rsidRDefault="00497413" w:rsidP="003E2009">
      <w:pPr>
        <w:pStyle w:val="Default"/>
        <w:rPr>
          <w:rFonts w:ascii="Times New Roman" w:hAnsi="Times New Roman" w:cs="Times New Roman"/>
          <w:color w:val="auto"/>
          <w:sz w:val="18"/>
          <w:szCs w:val="18"/>
        </w:rPr>
      </w:pPr>
      <w:r w:rsidRPr="00B54968">
        <w:rPr>
          <w:rFonts w:ascii="Times New Roman" w:hAnsi="Times New Roman" w:cs="Times New Roman"/>
          <w:color w:val="auto"/>
          <w:sz w:val="22"/>
          <w:szCs w:val="22"/>
        </w:rPr>
        <w:t>Infliximab</w:t>
      </w:r>
      <w:r w:rsidR="009C54CC" w:rsidRPr="00B54968">
        <w:rPr>
          <w:rFonts w:ascii="Times New Roman" w:hAnsi="Times New Roman" w:cs="Times New Roman"/>
          <w:color w:val="auto"/>
          <w:sz w:val="22"/>
          <w:szCs w:val="22"/>
          <w:lang w:eastAsia="ko-KR"/>
        </w:rPr>
        <w:t xml:space="preserve"> </w:t>
      </w:r>
      <w:proofErr w:type="spellStart"/>
      <w:r w:rsidRPr="00B54968">
        <w:rPr>
          <w:rFonts w:ascii="Times New Roman" w:hAnsi="Times New Roman" w:cs="Times New Roman"/>
          <w:color w:val="auto"/>
          <w:sz w:val="22"/>
          <w:szCs w:val="22"/>
        </w:rPr>
        <w:t>neutralises</w:t>
      </w:r>
      <w:proofErr w:type="spellEnd"/>
      <w:r w:rsidRPr="00B54968">
        <w:rPr>
          <w:rFonts w:ascii="Times New Roman" w:hAnsi="Times New Roman" w:cs="Times New Roman"/>
          <w:color w:val="auto"/>
          <w:sz w:val="22"/>
          <w:szCs w:val="22"/>
        </w:rPr>
        <w:t xml:space="preserve"> the biological activity of TNFα by binding with high affinity to the soluble and transmembrane forms of TNFα and inhibits binding of TNFα with its receptors. Infliximab</w:t>
      </w:r>
      <w:r w:rsidR="00F43D4A"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does not </w:t>
      </w:r>
      <w:proofErr w:type="spellStart"/>
      <w:r w:rsidRPr="00B54968">
        <w:rPr>
          <w:rFonts w:ascii="Times New Roman" w:hAnsi="Times New Roman" w:cs="Times New Roman"/>
          <w:color w:val="auto"/>
          <w:sz w:val="22"/>
          <w:szCs w:val="22"/>
        </w:rPr>
        <w:t>neutralise</w:t>
      </w:r>
      <w:proofErr w:type="spellEnd"/>
      <w:r w:rsidRPr="00B54968">
        <w:rPr>
          <w:rFonts w:ascii="Times New Roman" w:hAnsi="Times New Roman" w:cs="Times New Roman"/>
          <w:color w:val="auto"/>
          <w:sz w:val="22"/>
          <w:szCs w:val="22"/>
        </w:rPr>
        <w:t xml:space="preserve"> TNFβ (</w:t>
      </w:r>
      <w:proofErr w:type="spellStart"/>
      <w:r w:rsidRPr="00B54968">
        <w:rPr>
          <w:rFonts w:ascii="Times New Roman" w:hAnsi="Times New Roman" w:cs="Times New Roman"/>
          <w:color w:val="auto"/>
          <w:sz w:val="22"/>
          <w:szCs w:val="22"/>
        </w:rPr>
        <w:t>lymphotoxin</w:t>
      </w:r>
      <w:proofErr w:type="spellEnd"/>
      <w:r w:rsidRPr="00B54968">
        <w:rPr>
          <w:rFonts w:ascii="Times New Roman" w:hAnsi="Times New Roman" w:cs="Times New Roman"/>
          <w:color w:val="auto"/>
          <w:sz w:val="22"/>
          <w:szCs w:val="22"/>
        </w:rPr>
        <w:t xml:space="preserve"> α), a related cytokine that </w:t>
      </w:r>
      <w:proofErr w:type="spellStart"/>
      <w:r w:rsidRPr="00B54968">
        <w:rPr>
          <w:rFonts w:ascii="Times New Roman" w:hAnsi="Times New Roman" w:cs="Times New Roman"/>
          <w:color w:val="auto"/>
          <w:sz w:val="22"/>
          <w:szCs w:val="22"/>
        </w:rPr>
        <w:t>utilises</w:t>
      </w:r>
      <w:proofErr w:type="spellEnd"/>
      <w:r w:rsidRPr="00B54968">
        <w:rPr>
          <w:rFonts w:ascii="Times New Roman" w:hAnsi="Times New Roman" w:cs="Times New Roman"/>
          <w:color w:val="auto"/>
          <w:sz w:val="22"/>
          <w:szCs w:val="22"/>
        </w:rPr>
        <w:t xml:space="preserve"> the same receptors as TNFα. Biological activities attributed to TNFα include: induction of pro-inflammatory cytokines such as IL-1 and IL-6, enhancement of leukocyte migration by increasing endothelial layer permeability and expression of adhesion molecules by endothelial cells and leukocytes, activation of neutrophil and eosinophil functional activity and induction of acute phase and other liver proteins. Cells expressing transmembrane TNFα bound by infliximab can be lysed </w:t>
      </w:r>
      <w:r w:rsidRPr="00B54968">
        <w:rPr>
          <w:rFonts w:ascii="Times New Roman" w:hAnsi="Times New Roman" w:cs="Times New Roman"/>
          <w:i/>
          <w:iCs/>
          <w:color w:val="auto"/>
          <w:sz w:val="22"/>
          <w:szCs w:val="22"/>
        </w:rPr>
        <w:t xml:space="preserve">in vitro </w:t>
      </w:r>
      <w:r w:rsidRPr="00B54968">
        <w:rPr>
          <w:rFonts w:ascii="Times New Roman" w:hAnsi="Times New Roman" w:cs="Times New Roman"/>
          <w:color w:val="auto"/>
          <w:sz w:val="22"/>
          <w:szCs w:val="22"/>
        </w:rPr>
        <w:t xml:space="preserve">by complement or effector cells. Infliximab inhibits the functional activity of TNFα in a wide variety of </w:t>
      </w:r>
      <w:r w:rsidRPr="00B54968">
        <w:rPr>
          <w:rFonts w:ascii="Times New Roman" w:hAnsi="Times New Roman" w:cs="Times New Roman"/>
          <w:i/>
          <w:iCs/>
          <w:color w:val="auto"/>
          <w:sz w:val="22"/>
          <w:szCs w:val="22"/>
        </w:rPr>
        <w:t xml:space="preserve">in vitro </w:t>
      </w:r>
      <w:r w:rsidRPr="00B54968">
        <w:rPr>
          <w:rFonts w:ascii="Times New Roman" w:hAnsi="Times New Roman" w:cs="Times New Roman"/>
          <w:color w:val="auto"/>
          <w:sz w:val="22"/>
          <w:szCs w:val="22"/>
        </w:rPr>
        <w:t xml:space="preserve">bioassays </w:t>
      </w:r>
      <w:proofErr w:type="spellStart"/>
      <w:r w:rsidRPr="00B54968">
        <w:rPr>
          <w:rFonts w:ascii="Times New Roman" w:hAnsi="Times New Roman" w:cs="Times New Roman"/>
          <w:color w:val="auto"/>
          <w:sz w:val="22"/>
          <w:szCs w:val="22"/>
        </w:rPr>
        <w:t>utilising</w:t>
      </w:r>
      <w:proofErr w:type="spellEnd"/>
      <w:r w:rsidRPr="00B54968">
        <w:rPr>
          <w:rFonts w:ascii="Times New Roman" w:hAnsi="Times New Roman" w:cs="Times New Roman"/>
          <w:color w:val="auto"/>
          <w:sz w:val="22"/>
          <w:szCs w:val="22"/>
        </w:rPr>
        <w:t xml:space="preserve"> human fibroblasts, endothelial cells, neutrophils, B and T lymphocytes and epithelial cells.</w:t>
      </w:r>
      <w:r w:rsidRPr="00B54968">
        <w:rPr>
          <w:rFonts w:ascii="Times New Roman" w:hAnsi="Times New Roman" w:cs="Times New Roman"/>
          <w:color w:val="auto"/>
          <w:sz w:val="18"/>
          <w:szCs w:val="18"/>
        </w:rPr>
        <w:t xml:space="preserve"> </w:t>
      </w:r>
    </w:p>
    <w:p w14:paraId="4EB4058F" w14:textId="77777777" w:rsidR="008669BA" w:rsidRPr="00B54968" w:rsidRDefault="008669BA" w:rsidP="003E2009">
      <w:pPr>
        <w:pStyle w:val="Default"/>
        <w:rPr>
          <w:rFonts w:ascii="Times New Roman" w:hAnsi="Times New Roman" w:cs="Times New Roman"/>
          <w:b/>
          <w:color w:val="auto"/>
          <w:sz w:val="22"/>
          <w:szCs w:val="22"/>
        </w:rPr>
      </w:pPr>
    </w:p>
    <w:p w14:paraId="6B461D5B" w14:textId="77777777" w:rsidR="008669BA" w:rsidRPr="00B54968" w:rsidRDefault="00497413" w:rsidP="003E2009">
      <w:pPr>
        <w:pStyle w:val="Default"/>
        <w:rPr>
          <w:rFonts w:ascii="Times New Roman" w:hAnsi="Times New Roman" w:cs="Times New Roman"/>
          <w:b/>
          <w:color w:val="auto"/>
          <w:sz w:val="22"/>
          <w:szCs w:val="22"/>
        </w:rPr>
      </w:pPr>
      <w:r w:rsidRPr="00B54968">
        <w:rPr>
          <w:rFonts w:ascii="Times New Roman" w:hAnsi="Times New Roman" w:cs="Times New Roman"/>
          <w:b/>
          <w:color w:val="auto"/>
          <w:sz w:val="22"/>
          <w:szCs w:val="22"/>
        </w:rPr>
        <w:t xml:space="preserve">Pharmacodynamics </w:t>
      </w:r>
    </w:p>
    <w:p w14:paraId="7BE1272A" w14:textId="77777777" w:rsidR="008669BA"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Elevated concentrations of TNFα have been found in the sera and stools of adult Crohn’s disease patients and in the joints of rheumatoid arthritis patients and correlate with elevated disease activity. Increased concentrations of TNFα have also been found in joint fluid/tissue and in psoriatic skin lesions in patients with psoriatic arthritis. In psoriatic arthritis, treatment with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resulted in a reduction in the number of T-cells and blood vessels in the synovium and psoriatic skin as well as a reduction of macrophages in the synovium. In patients with Crohn's disease, treatment with </w:t>
      </w:r>
      <w:r w:rsidR="000B49CE" w:rsidRPr="00B54968">
        <w:rPr>
          <w:rFonts w:ascii="Times New Roman" w:hAnsi="Times New Roman" w:cs="Times New Roman"/>
          <w:color w:val="auto"/>
          <w:sz w:val="22"/>
          <w:szCs w:val="22"/>
          <w:lang w:eastAsia="ko-KR"/>
        </w:rPr>
        <w:t>infliximab</w:t>
      </w:r>
      <w:r w:rsidR="000B49CE"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reduced infiltration of inflammatory cells and TNFα production in inflamed areas of the intestine; it </w:t>
      </w:r>
      <w:r w:rsidRPr="00B54968">
        <w:rPr>
          <w:rFonts w:ascii="Times New Roman" w:hAnsi="Times New Roman" w:cs="Times New Roman"/>
          <w:color w:val="auto"/>
          <w:sz w:val="22"/>
          <w:szCs w:val="22"/>
        </w:rPr>
        <w:lastRenderedPageBreak/>
        <w:t xml:space="preserve">also reduced the proportion of mononuclear cells from the lamina </w:t>
      </w:r>
      <w:proofErr w:type="spellStart"/>
      <w:r w:rsidRPr="00B54968">
        <w:rPr>
          <w:rFonts w:ascii="Times New Roman" w:hAnsi="Times New Roman" w:cs="Times New Roman"/>
          <w:color w:val="auto"/>
          <w:sz w:val="22"/>
          <w:szCs w:val="22"/>
        </w:rPr>
        <w:t>propria</w:t>
      </w:r>
      <w:proofErr w:type="spellEnd"/>
      <w:r w:rsidRPr="00B54968">
        <w:rPr>
          <w:rFonts w:ascii="Times New Roman" w:hAnsi="Times New Roman" w:cs="Times New Roman"/>
          <w:color w:val="auto"/>
          <w:sz w:val="22"/>
          <w:szCs w:val="22"/>
        </w:rPr>
        <w:t xml:space="preserve"> able to express TNFα and interferon γ. In patients with rheumatoid arthritis, treatment with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reduced infiltration of inflammatory cells into inflamed areas of the joint as well as expression of molecules mediating cellular adhesion, </w:t>
      </w:r>
      <w:proofErr w:type="spellStart"/>
      <w:r w:rsidRPr="00B54968">
        <w:rPr>
          <w:rFonts w:ascii="Times New Roman" w:hAnsi="Times New Roman" w:cs="Times New Roman"/>
          <w:color w:val="auto"/>
          <w:sz w:val="22"/>
          <w:szCs w:val="22"/>
        </w:rPr>
        <w:t>chemoattraction</w:t>
      </w:r>
      <w:proofErr w:type="spellEnd"/>
      <w:r w:rsidRPr="00B54968">
        <w:rPr>
          <w:rFonts w:ascii="Times New Roman" w:hAnsi="Times New Roman" w:cs="Times New Roman"/>
          <w:color w:val="auto"/>
          <w:sz w:val="22"/>
          <w:szCs w:val="22"/>
        </w:rPr>
        <w:t xml:space="preserve"> and tissue degradation. After treatment with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patients with rheumatoid arthritis or Crohn's disease exhibited decreased levels of serum IL-6 and C-reactive protein (CRP) compared to their baseline values. In patients with rheumatoid arthritis, peripheral blood lymphocytes further showed no significant decrease in number or in proliferative responses to </w:t>
      </w:r>
      <w:r w:rsidRPr="00B54968">
        <w:rPr>
          <w:rFonts w:ascii="Times New Roman" w:hAnsi="Times New Roman" w:cs="Times New Roman"/>
          <w:i/>
          <w:iCs/>
          <w:color w:val="auto"/>
          <w:sz w:val="22"/>
          <w:szCs w:val="22"/>
        </w:rPr>
        <w:t xml:space="preserve">in vitro </w:t>
      </w:r>
      <w:proofErr w:type="spellStart"/>
      <w:r w:rsidRPr="00B54968">
        <w:rPr>
          <w:rFonts w:ascii="Times New Roman" w:hAnsi="Times New Roman" w:cs="Times New Roman"/>
          <w:color w:val="auto"/>
          <w:sz w:val="22"/>
          <w:szCs w:val="22"/>
        </w:rPr>
        <w:t>mitogenic</w:t>
      </w:r>
      <w:proofErr w:type="spellEnd"/>
      <w:r w:rsidRPr="00B54968">
        <w:rPr>
          <w:rFonts w:ascii="Times New Roman" w:hAnsi="Times New Roman" w:cs="Times New Roman"/>
          <w:color w:val="auto"/>
          <w:sz w:val="22"/>
          <w:szCs w:val="22"/>
        </w:rPr>
        <w:t xml:space="preserve"> stimulation when compared to untreated patients’ cells. In psoriasis patients, treatment with infliximab resulted in decreases in epidermal inflammation and normalization of keratinocyte differentiation in psoriatic plaques. </w:t>
      </w:r>
    </w:p>
    <w:p w14:paraId="07A860E2" w14:textId="77777777" w:rsidR="008669BA" w:rsidRPr="00B54968" w:rsidRDefault="008669BA" w:rsidP="003E2009">
      <w:pPr>
        <w:pStyle w:val="Default"/>
        <w:rPr>
          <w:rFonts w:ascii="Times New Roman" w:hAnsi="Times New Roman" w:cs="Times New Roman"/>
          <w:color w:val="auto"/>
          <w:sz w:val="22"/>
          <w:szCs w:val="22"/>
        </w:rPr>
      </w:pPr>
    </w:p>
    <w:p w14:paraId="619983DC" w14:textId="545A5549" w:rsidR="008669BA" w:rsidRPr="00B54968" w:rsidRDefault="004E6CD0" w:rsidP="003E2009">
      <w:pPr>
        <w:pStyle w:val="Default"/>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t xml:space="preserve">Comparability of </w:t>
      </w:r>
      <w:r w:rsidR="00281C64">
        <w:rPr>
          <w:rFonts w:ascii="Times New Roman" w:hAnsi="Times New Roman" w:cs="Times New Roman"/>
          <w:b/>
          <w:i/>
          <w:color w:val="auto"/>
          <w:sz w:val="22"/>
          <w:szCs w:val="22"/>
        </w:rPr>
        <w:t>INFLECTRA</w:t>
      </w:r>
      <w:r w:rsidR="00F43D4A" w:rsidRPr="00B54968">
        <w:rPr>
          <w:rFonts w:ascii="Times New Roman" w:hAnsi="Times New Roman" w:cs="Times New Roman"/>
          <w:b/>
          <w:i/>
          <w:color w:val="auto"/>
          <w:sz w:val="22"/>
          <w:szCs w:val="22"/>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59646CE1" w14:textId="4EED229C" w:rsidR="008669BA" w:rsidRPr="00B54968" w:rsidRDefault="004E6CD0"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As part of the pharmaceutical and nonclinical development </w:t>
      </w:r>
      <w:proofErr w:type="spellStart"/>
      <w:r w:rsidRPr="00B54968">
        <w:rPr>
          <w:rFonts w:ascii="Times New Roman" w:hAnsi="Times New Roman" w:cs="Times New Roman"/>
          <w:color w:val="auto"/>
          <w:sz w:val="22"/>
          <w:szCs w:val="22"/>
        </w:rPr>
        <w:t>programme</w:t>
      </w:r>
      <w:proofErr w:type="spellEnd"/>
      <w:r w:rsidRPr="00B54968">
        <w:rPr>
          <w:rFonts w:ascii="Times New Roman" w:hAnsi="Times New Roman" w:cs="Times New Roman"/>
          <w:color w:val="auto"/>
          <w:sz w:val="22"/>
          <w:szCs w:val="22"/>
        </w:rPr>
        <w:t xml:space="preserve"> of </w:t>
      </w:r>
      <w:r w:rsidR="00281C64">
        <w:rPr>
          <w:rFonts w:ascii="Times New Roman" w:hAnsi="Times New Roman" w:cs="Times New Roman"/>
          <w:color w:val="auto"/>
          <w:sz w:val="22"/>
          <w:szCs w:val="22"/>
        </w:rPr>
        <w:t>INFLECTRA</w:t>
      </w:r>
      <w:r w:rsidR="00F43D4A" w:rsidRPr="00B54968">
        <w:rPr>
          <w:rFonts w:ascii="Times New Roman" w:hAnsi="Times New Roman" w:cs="Times New Roman"/>
          <w:b/>
          <w:i/>
          <w:color w:val="auto"/>
          <w:sz w:val="22"/>
          <w:szCs w:val="22"/>
          <w:vertAlign w:val="superscript"/>
        </w:rPr>
        <w:t>®</w:t>
      </w:r>
      <w:r w:rsidRPr="00B54968">
        <w:rPr>
          <w:rFonts w:ascii="Times New Roman" w:hAnsi="Times New Roman" w:cs="Times New Roman"/>
          <w:color w:val="auto"/>
          <w:sz w:val="22"/>
          <w:szCs w:val="22"/>
        </w:rPr>
        <w:t xml:space="preserve">, 33 </w:t>
      </w:r>
      <w:r w:rsidRPr="00B54968">
        <w:rPr>
          <w:rFonts w:ascii="Times New Roman" w:hAnsi="Times New Roman" w:cs="Times New Roman"/>
          <w:i/>
          <w:color w:val="auto"/>
          <w:sz w:val="22"/>
          <w:szCs w:val="22"/>
        </w:rPr>
        <w:t>in vitro</w:t>
      </w:r>
      <w:r w:rsidRPr="00B54968">
        <w:rPr>
          <w:rFonts w:ascii="Times New Roman" w:hAnsi="Times New Roman" w:cs="Times New Roman"/>
          <w:color w:val="auto"/>
          <w:sz w:val="22"/>
          <w:szCs w:val="22"/>
        </w:rPr>
        <w:t xml:space="preserve"> tests in comparison to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have been conducted. These tests covered investigations of the binding affinity of </w:t>
      </w:r>
      <w:r w:rsidR="00281C64">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for human TNFα, for soluble human TNFα in trimeric and monomeric forms, for </w:t>
      </w:r>
      <w:proofErr w:type="spellStart"/>
      <w:r w:rsidRPr="00B54968">
        <w:rPr>
          <w:rFonts w:ascii="Times New Roman" w:hAnsi="Times New Roman" w:cs="Times New Roman"/>
          <w:color w:val="auto"/>
          <w:sz w:val="22"/>
          <w:szCs w:val="22"/>
        </w:rPr>
        <w:t>tmTNF</w:t>
      </w:r>
      <w:proofErr w:type="spellEnd"/>
      <w:r w:rsidRPr="00B54968">
        <w:rPr>
          <w:rFonts w:ascii="Times New Roman" w:hAnsi="Times New Roman" w:cs="Times New Roman"/>
          <w:color w:val="auto"/>
          <w:sz w:val="22"/>
          <w:szCs w:val="22"/>
        </w:rPr>
        <w:t xml:space="preserve">α-Jurkat cells, </w:t>
      </w:r>
      <w:proofErr w:type="spellStart"/>
      <w:r w:rsidRPr="00B54968">
        <w:rPr>
          <w:rFonts w:ascii="Times New Roman" w:hAnsi="Times New Roman" w:cs="Times New Roman"/>
          <w:color w:val="auto"/>
          <w:sz w:val="22"/>
          <w:szCs w:val="22"/>
        </w:rPr>
        <w:t>Fcγ</w:t>
      </w:r>
      <w:proofErr w:type="spellEnd"/>
      <w:r w:rsidRPr="00B54968">
        <w:rPr>
          <w:rFonts w:ascii="Times New Roman" w:hAnsi="Times New Roman" w:cs="Times New Roman"/>
          <w:color w:val="auto"/>
          <w:sz w:val="22"/>
          <w:szCs w:val="22"/>
        </w:rPr>
        <w:t xml:space="preserve"> receptors (</w:t>
      </w:r>
      <w:proofErr w:type="spellStart"/>
      <w:r w:rsidRPr="00B54968">
        <w:rPr>
          <w:rFonts w:ascii="Times New Roman" w:hAnsi="Times New Roman" w:cs="Times New Roman"/>
          <w:color w:val="auto"/>
          <w:sz w:val="22"/>
          <w:szCs w:val="22"/>
        </w:rPr>
        <w:t>FcγRI</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FcγRIIa</w:t>
      </w:r>
      <w:proofErr w:type="spellEnd"/>
      <w:r w:rsidRPr="00B54968">
        <w:rPr>
          <w:rFonts w:ascii="Times New Roman" w:hAnsi="Times New Roman" w:cs="Times New Roman"/>
          <w:color w:val="auto"/>
          <w:sz w:val="22"/>
          <w:szCs w:val="22"/>
        </w:rPr>
        <w:t xml:space="preserve"> and </w:t>
      </w:r>
      <w:proofErr w:type="spellStart"/>
      <w:r w:rsidRPr="00B54968">
        <w:rPr>
          <w:rFonts w:ascii="Times New Roman" w:hAnsi="Times New Roman" w:cs="Times New Roman"/>
          <w:color w:val="auto"/>
          <w:sz w:val="22"/>
          <w:szCs w:val="22"/>
        </w:rPr>
        <w:t>FcγRIIIa</w:t>
      </w:r>
      <w:proofErr w:type="spellEnd"/>
      <w:r w:rsidRPr="00B54968">
        <w:rPr>
          <w:rFonts w:ascii="Times New Roman" w:hAnsi="Times New Roman" w:cs="Times New Roman"/>
          <w:color w:val="auto"/>
          <w:sz w:val="22"/>
          <w:szCs w:val="22"/>
        </w:rPr>
        <w:t xml:space="preserve">), neonatal Fc receptor, and to C1q as well as tests on tissues cross </w:t>
      </w:r>
      <w:proofErr w:type="spellStart"/>
      <w:r w:rsidRPr="00B54968">
        <w:rPr>
          <w:rFonts w:ascii="Times New Roman" w:hAnsi="Times New Roman" w:cs="Times New Roman"/>
          <w:color w:val="auto"/>
          <w:sz w:val="22"/>
          <w:szCs w:val="22"/>
        </w:rPr>
        <w:t>reactivities</w:t>
      </w:r>
      <w:proofErr w:type="spellEnd"/>
      <w:r w:rsidRPr="00B54968">
        <w:rPr>
          <w:rFonts w:ascii="Times New Roman" w:hAnsi="Times New Roman" w:cs="Times New Roman"/>
          <w:color w:val="auto"/>
          <w:sz w:val="22"/>
          <w:szCs w:val="22"/>
        </w:rPr>
        <w:t xml:space="preserve">. Overall, these tests found that </w:t>
      </w:r>
      <w:r w:rsidR="00281C64">
        <w:rPr>
          <w:rFonts w:ascii="Times New Roman" w:hAnsi="Times New Roman" w:cs="Times New Roman"/>
          <w:color w:val="auto"/>
          <w:sz w:val="22"/>
          <w:szCs w:val="22"/>
        </w:rPr>
        <w:t>INFLECTRA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are comparable. In addition, functional tests showed that </w:t>
      </w:r>
      <w:r w:rsidR="00281C64">
        <w:rPr>
          <w:rFonts w:ascii="Times New Roman" w:hAnsi="Times New Roman" w:cs="Times New Roman"/>
          <w:color w:val="auto"/>
          <w:sz w:val="22"/>
          <w:szCs w:val="22"/>
        </w:rPr>
        <w:t>INFLECTRA</w:t>
      </w:r>
      <w:r w:rsidR="009C46EE" w:rsidRPr="00B54968">
        <w:rPr>
          <w:rFonts w:ascii="Times New Roman" w:hAnsi="Times New Roman" w:cs="Times New Roman"/>
          <w:color w:val="auto"/>
          <w:sz w:val="22"/>
          <w:szCs w:val="22"/>
          <w:vertAlign w:val="superscript"/>
        </w:rPr>
        <w:t>®</w:t>
      </w:r>
      <w:r w:rsidR="00000A53"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are comparable with regard to </w:t>
      </w:r>
      <w:proofErr w:type="spellStart"/>
      <w:r w:rsidRPr="00B54968">
        <w:rPr>
          <w:rFonts w:ascii="Times New Roman" w:hAnsi="Times New Roman" w:cs="Times New Roman"/>
          <w:color w:val="auto"/>
          <w:sz w:val="22"/>
          <w:szCs w:val="22"/>
        </w:rPr>
        <w:t>neutralising</w:t>
      </w:r>
      <w:proofErr w:type="spellEnd"/>
      <w:r w:rsidRPr="00B54968">
        <w:rPr>
          <w:rFonts w:ascii="Times New Roman" w:hAnsi="Times New Roman" w:cs="Times New Roman"/>
          <w:color w:val="auto"/>
          <w:sz w:val="22"/>
          <w:szCs w:val="22"/>
        </w:rPr>
        <w:t xml:space="preserve"> TNFα, complement-dependent cytotoxicity (CDC), apoptosis, antibody-dependent cell-mediated cytotoxicity (ADCC). Both products did not show any binding affinity for </w:t>
      </w:r>
      <w:proofErr w:type="spellStart"/>
      <w:r w:rsidRPr="00B54968">
        <w:rPr>
          <w:rFonts w:ascii="Times New Roman" w:hAnsi="Times New Roman" w:cs="Times New Roman"/>
          <w:color w:val="auto"/>
          <w:sz w:val="22"/>
          <w:szCs w:val="22"/>
        </w:rPr>
        <w:t>TNFß</w:t>
      </w:r>
      <w:proofErr w:type="spellEnd"/>
      <w:r w:rsidRPr="00B54968">
        <w:rPr>
          <w:rFonts w:ascii="Times New Roman" w:hAnsi="Times New Roman" w:cs="Times New Roman"/>
          <w:color w:val="auto"/>
          <w:sz w:val="22"/>
          <w:szCs w:val="22"/>
        </w:rPr>
        <w:t>.</w:t>
      </w:r>
    </w:p>
    <w:p w14:paraId="7CB1EB65" w14:textId="77777777" w:rsidR="008669BA" w:rsidRPr="00B54968" w:rsidRDefault="008669BA" w:rsidP="003E2009">
      <w:pPr>
        <w:pStyle w:val="Default"/>
        <w:rPr>
          <w:rFonts w:ascii="Times New Roman" w:hAnsi="Times New Roman" w:cs="Times New Roman"/>
          <w:color w:val="auto"/>
          <w:sz w:val="22"/>
          <w:szCs w:val="22"/>
        </w:rPr>
      </w:pPr>
    </w:p>
    <w:p w14:paraId="50A084F7" w14:textId="77777777" w:rsidR="008669BA" w:rsidRPr="00B54968" w:rsidRDefault="00497413" w:rsidP="003E2009">
      <w:pPr>
        <w:pStyle w:val="Default"/>
        <w:rPr>
          <w:rFonts w:ascii="Times New Roman" w:hAnsi="Times New Roman" w:cs="Times New Roman"/>
          <w:b/>
          <w:color w:val="auto"/>
          <w:sz w:val="22"/>
          <w:szCs w:val="22"/>
        </w:rPr>
      </w:pPr>
      <w:r w:rsidRPr="00B54968">
        <w:rPr>
          <w:rFonts w:ascii="Times New Roman" w:hAnsi="Times New Roman" w:cs="Times New Roman"/>
          <w:b/>
          <w:color w:val="auto"/>
          <w:sz w:val="22"/>
          <w:szCs w:val="22"/>
        </w:rPr>
        <w:t xml:space="preserve">Pharmacokinetics </w:t>
      </w:r>
    </w:p>
    <w:p w14:paraId="3919DA90" w14:textId="77777777" w:rsidR="008669BA" w:rsidRPr="00B54968" w:rsidRDefault="00B42860" w:rsidP="003E2009">
      <w:pPr>
        <w:pStyle w:val="Default"/>
        <w:ind w:right="-188"/>
        <w:rPr>
          <w:rFonts w:ascii="Times New Roman" w:hAnsi="Times New Roman" w:cs="Times New Roman"/>
          <w:color w:val="auto"/>
          <w:sz w:val="22"/>
          <w:szCs w:val="22"/>
        </w:rPr>
      </w:pPr>
      <w:r w:rsidRPr="00B54968">
        <w:rPr>
          <w:rFonts w:ascii="Times New Roman" w:hAnsi="Times New Roman" w:cs="Times New Roman"/>
          <w:color w:val="auto"/>
          <w:sz w:val="22"/>
          <w:szCs w:val="22"/>
        </w:rPr>
        <w:t>In clinical trials in rheumatoid arthritis and Crohn’s disease patients, single dose intravenous infusions of 1, 3, 5, 10 or 20 mg/kg of infliximab yielded dose proportional increases in the maximum serum concentration (</w:t>
      </w:r>
      <w:proofErr w:type="spellStart"/>
      <w:r w:rsidRPr="00B54968">
        <w:rPr>
          <w:rFonts w:ascii="Times New Roman" w:hAnsi="Times New Roman" w:cs="Times New Roman"/>
          <w:color w:val="auto"/>
          <w:sz w:val="22"/>
          <w:szCs w:val="22"/>
        </w:rPr>
        <w:t>Cmax</w:t>
      </w:r>
      <w:proofErr w:type="spellEnd"/>
      <w:r w:rsidRPr="00B54968">
        <w:rPr>
          <w:rFonts w:ascii="Times New Roman" w:hAnsi="Times New Roman" w:cs="Times New Roman"/>
          <w:color w:val="auto"/>
          <w:sz w:val="22"/>
          <w:szCs w:val="22"/>
        </w:rPr>
        <w:t>) and area under the concentration-time curve (AUC).</w:t>
      </w:r>
      <w:r w:rsidR="00497413" w:rsidRPr="00B54968">
        <w:rPr>
          <w:rFonts w:ascii="Times New Roman" w:hAnsi="Times New Roman" w:cs="Times New Roman"/>
          <w:color w:val="auto"/>
          <w:sz w:val="22"/>
          <w:szCs w:val="22"/>
        </w:rPr>
        <w:t xml:space="preserve"> The volume of distribution at steady state (median </w:t>
      </w:r>
      <w:proofErr w:type="spellStart"/>
      <w:r w:rsidR="00497413" w:rsidRPr="00B54968">
        <w:rPr>
          <w:rFonts w:ascii="Times New Roman" w:hAnsi="Times New Roman" w:cs="Times New Roman"/>
          <w:color w:val="auto"/>
          <w:sz w:val="22"/>
          <w:szCs w:val="22"/>
        </w:rPr>
        <w:t>Vss</w:t>
      </w:r>
      <w:proofErr w:type="spellEnd"/>
      <w:r w:rsidR="00497413" w:rsidRPr="00B54968">
        <w:rPr>
          <w:rFonts w:ascii="Times New Roman" w:hAnsi="Times New Roman" w:cs="Times New Roman"/>
          <w:color w:val="auto"/>
          <w:sz w:val="22"/>
          <w:szCs w:val="22"/>
        </w:rPr>
        <w:t xml:space="preserve"> of 3.0 to 4.1 </w:t>
      </w:r>
      <w:proofErr w:type="spellStart"/>
      <w:r w:rsidR="00497413" w:rsidRPr="00B54968">
        <w:rPr>
          <w:rFonts w:ascii="Times New Roman" w:hAnsi="Times New Roman" w:cs="Times New Roman"/>
          <w:color w:val="auto"/>
          <w:sz w:val="22"/>
          <w:szCs w:val="22"/>
        </w:rPr>
        <w:t>litres</w:t>
      </w:r>
      <w:proofErr w:type="spellEnd"/>
      <w:r w:rsidR="00497413" w:rsidRPr="00B54968">
        <w:rPr>
          <w:rFonts w:ascii="Times New Roman" w:hAnsi="Times New Roman" w:cs="Times New Roman"/>
          <w:color w:val="auto"/>
          <w:sz w:val="22"/>
          <w:szCs w:val="22"/>
        </w:rPr>
        <w:t xml:space="preserve">) was not dependent on the administered dose and indicated that infliximab is predominantly distributed within the vascular compartment. The elimination pathways for infliximab have not been </w:t>
      </w:r>
      <w:proofErr w:type="spellStart"/>
      <w:r w:rsidR="00497413" w:rsidRPr="00B54968">
        <w:rPr>
          <w:rFonts w:ascii="Times New Roman" w:hAnsi="Times New Roman" w:cs="Times New Roman"/>
          <w:color w:val="auto"/>
          <w:sz w:val="22"/>
          <w:szCs w:val="22"/>
        </w:rPr>
        <w:t>characterised</w:t>
      </w:r>
      <w:proofErr w:type="spellEnd"/>
      <w:r w:rsidR="00497413" w:rsidRPr="00B54968">
        <w:rPr>
          <w:rFonts w:ascii="Times New Roman" w:hAnsi="Times New Roman" w:cs="Times New Roman"/>
          <w:color w:val="auto"/>
          <w:sz w:val="22"/>
          <w:szCs w:val="22"/>
        </w:rPr>
        <w:t xml:space="preserve">. No major differences in clearance or volume of distribution were observed in patient subgroups defined by age, weight or hepatic or renal function. </w:t>
      </w:r>
      <w:proofErr w:type="spellStart"/>
      <w:r w:rsidR="00497413" w:rsidRPr="00B54968">
        <w:rPr>
          <w:rFonts w:ascii="Times New Roman" w:hAnsi="Times New Roman" w:cs="Times New Roman"/>
          <w:color w:val="auto"/>
          <w:sz w:val="22"/>
          <w:szCs w:val="22"/>
        </w:rPr>
        <w:t>Paediatric</w:t>
      </w:r>
      <w:proofErr w:type="spellEnd"/>
      <w:r w:rsidR="00497413" w:rsidRPr="00B54968">
        <w:rPr>
          <w:rFonts w:ascii="Times New Roman" w:hAnsi="Times New Roman" w:cs="Times New Roman"/>
          <w:color w:val="auto"/>
          <w:sz w:val="22"/>
          <w:szCs w:val="22"/>
        </w:rPr>
        <w:t xml:space="preserve"> Crohn’s patients in the 5 mg/kg and 10 mg/kg treatment groups had slightly higher serum concentrations after the initial infusion and slightly lower serum concentrations at later time periods (4 to 12 weeks) compared to adult Crohn’s patients. No notable differences in single dose pharmacokinetic parameters and terminal half-life were observed between </w:t>
      </w:r>
      <w:proofErr w:type="spellStart"/>
      <w:r w:rsidR="00497413" w:rsidRPr="00B54968">
        <w:rPr>
          <w:rFonts w:ascii="Times New Roman" w:hAnsi="Times New Roman" w:cs="Times New Roman"/>
          <w:color w:val="auto"/>
          <w:sz w:val="22"/>
          <w:szCs w:val="22"/>
        </w:rPr>
        <w:t>paediatric</w:t>
      </w:r>
      <w:proofErr w:type="spellEnd"/>
      <w:r w:rsidR="00497413" w:rsidRPr="00B54968">
        <w:rPr>
          <w:rFonts w:ascii="Times New Roman" w:hAnsi="Times New Roman" w:cs="Times New Roman"/>
          <w:color w:val="auto"/>
          <w:sz w:val="22"/>
          <w:szCs w:val="22"/>
        </w:rPr>
        <w:t xml:space="preserve"> and adult Crohn’s disease patients. The relatively small number of patients evaluated makes further detailed comparison difficult. </w:t>
      </w:r>
    </w:p>
    <w:p w14:paraId="2FE29031" w14:textId="77777777" w:rsidR="008669BA" w:rsidRPr="00B54968" w:rsidRDefault="008669BA" w:rsidP="003E2009">
      <w:pPr>
        <w:pStyle w:val="Default"/>
        <w:rPr>
          <w:rFonts w:ascii="Times New Roman" w:hAnsi="Times New Roman" w:cs="Times New Roman"/>
          <w:color w:val="auto"/>
          <w:sz w:val="22"/>
          <w:szCs w:val="22"/>
        </w:rPr>
      </w:pPr>
    </w:p>
    <w:p w14:paraId="21C28563" w14:textId="77777777" w:rsidR="008669BA" w:rsidRPr="00B54968" w:rsidRDefault="00497413" w:rsidP="003E2009">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t xml:space="preserve">Infliximab pharmacokinetic characteristics (including peak and trough concentrations and terminal half-life) were similar in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(aged 6 to 17 years old) and adult patients with Crohn's disease or ulcerative colitis following the administration of 5 mg/kg infliximab. </w:t>
      </w:r>
    </w:p>
    <w:p w14:paraId="3E83FBC9" w14:textId="77777777" w:rsidR="008669BA" w:rsidRPr="00B54968" w:rsidRDefault="008669BA" w:rsidP="003E2009">
      <w:pPr>
        <w:pStyle w:val="Default"/>
        <w:rPr>
          <w:rFonts w:ascii="Times New Roman" w:hAnsi="Times New Roman" w:cs="Times New Roman"/>
          <w:color w:val="auto"/>
          <w:sz w:val="22"/>
          <w:szCs w:val="22"/>
          <w:lang w:eastAsia="ko-KR"/>
        </w:rPr>
      </w:pPr>
    </w:p>
    <w:p w14:paraId="685F192C" w14:textId="77777777" w:rsidR="008669BA"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At single doses of 3 and 10 mg/kg in rheumatoid arthritis patients and 5 mg/kg in Crohn’s disease patients, the median </w:t>
      </w:r>
      <w:proofErr w:type="spellStart"/>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max</w:t>
      </w:r>
      <w:proofErr w:type="spellEnd"/>
      <w:r w:rsidRPr="00B54968">
        <w:rPr>
          <w:rFonts w:ascii="Times New Roman" w:hAnsi="Times New Roman" w:cs="Times New Roman"/>
          <w:color w:val="auto"/>
          <w:sz w:val="22"/>
          <w:szCs w:val="22"/>
        </w:rPr>
        <w:t xml:space="preserve"> values were 77 and 277 μg/mL and 118 μg/mL respectively. The median terminal half-life at these doses ranged from 8 to 9.5 days. In most patients, infliximab could be detected in the serum for at least 8 weeks after a single infusion. Following the 3-dose regimen a slight accumulation of infliximab was observed in the serum after the second dose and no further clinically relevant accumulation thereafter. The proportion of patients who had undetectable infliximab concentrations at 8 weeks, after a maintenance infusion, was approximately 20%. </w:t>
      </w:r>
    </w:p>
    <w:p w14:paraId="23558DF2" w14:textId="77777777" w:rsidR="008669BA" w:rsidRPr="00B54968" w:rsidRDefault="008669BA" w:rsidP="003E2009">
      <w:pPr>
        <w:pStyle w:val="Default"/>
        <w:rPr>
          <w:rFonts w:ascii="Times New Roman" w:hAnsi="Times New Roman" w:cs="Times New Roman"/>
          <w:color w:val="auto"/>
          <w:sz w:val="22"/>
          <w:szCs w:val="22"/>
        </w:rPr>
      </w:pPr>
    </w:p>
    <w:p w14:paraId="2433320A" w14:textId="77777777" w:rsidR="008669BA"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Limited pharmacokinetic studies of infliximab in psoriasis appear to show no significant differences to the pharmacokinetics in other indications. </w:t>
      </w:r>
    </w:p>
    <w:p w14:paraId="238C8F75" w14:textId="77777777" w:rsidR="00DE1196" w:rsidRDefault="00DE1196" w:rsidP="003E2009">
      <w:pPr>
        <w:pStyle w:val="Default"/>
        <w:rPr>
          <w:rFonts w:ascii="Times New Roman" w:hAnsi="Times New Roman" w:cs="Times New Roman"/>
          <w:b/>
          <w:i/>
          <w:color w:val="auto"/>
          <w:sz w:val="22"/>
          <w:szCs w:val="22"/>
        </w:rPr>
      </w:pPr>
    </w:p>
    <w:p w14:paraId="156878FD" w14:textId="7A5592C9" w:rsidR="008669BA" w:rsidRPr="00B54968" w:rsidRDefault="00E5645E" w:rsidP="003E2009">
      <w:pPr>
        <w:pStyle w:val="Default"/>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t>Comparability of</w:t>
      </w:r>
      <w:r w:rsidR="00150E4C" w:rsidRPr="00B54968">
        <w:rPr>
          <w:rFonts w:ascii="Times New Roman" w:hAnsi="Times New Roman" w:cs="Times New Roman"/>
          <w:b/>
          <w:i/>
          <w:color w:val="auto"/>
          <w:sz w:val="22"/>
          <w:szCs w:val="22"/>
        </w:rPr>
        <w:t xml:space="preserve"> </w:t>
      </w:r>
      <w:r w:rsidR="00281C64">
        <w:rPr>
          <w:rFonts w:ascii="Times New Roman" w:hAnsi="Times New Roman" w:cs="Times New Roman"/>
          <w:b/>
          <w:i/>
          <w:color w:val="auto"/>
          <w:sz w:val="22"/>
          <w:szCs w:val="22"/>
        </w:rPr>
        <w:t>INFLECTRA</w:t>
      </w:r>
      <w:r w:rsidR="009C46EE" w:rsidRPr="00B54968">
        <w:rPr>
          <w:rFonts w:ascii="Times New Roman" w:hAnsi="Times New Roman" w:cs="Times New Roman"/>
          <w:color w:val="auto"/>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63F63203" w14:textId="3FED1A3D" w:rsidR="008669BA" w:rsidRPr="00B54968" w:rsidRDefault="00F52711"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Equivalent pharmacokinetic (PK) profiles of </w:t>
      </w:r>
      <w:r w:rsidR="00281C64">
        <w:rPr>
          <w:rFonts w:ascii="Times New Roman" w:hAnsi="Times New Roman" w:cs="Times New Roman"/>
          <w:color w:val="auto"/>
          <w:sz w:val="22"/>
          <w:szCs w:val="22"/>
        </w:rPr>
        <w:t>INFLECTRA</w:t>
      </w:r>
      <w:r w:rsidR="009C46EE"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have been demonstrated in a </w:t>
      </w:r>
      <w:proofErr w:type="spellStart"/>
      <w:r w:rsidR="00DD0F2E" w:rsidRPr="00B54968">
        <w:rPr>
          <w:rFonts w:ascii="Times New Roman" w:hAnsi="Times New Roman" w:cs="Times New Roman"/>
          <w:color w:val="auto"/>
          <w:sz w:val="22"/>
          <w:szCs w:val="22"/>
        </w:rPr>
        <w:t>randomised</w:t>
      </w:r>
      <w:proofErr w:type="spellEnd"/>
      <w:r w:rsidR="00DD0F2E" w:rsidRPr="00B54968">
        <w:rPr>
          <w:rFonts w:ascii="Times New Roman" w:hAnsi="Times New Roman" w:cs="Times New Roman"/>
          <w:color w:val="auto"/>
          <w:sz w:val="22"/>
          <w:szCs w:val="22"/>
        </w:rPr>
        <w:t>, double-blind, parallel-group, Phase 1 study</w:t>
      </w:r>
      <w:r w:rsidRPr="00B54968">
        <w:rPr>
          <w:rFonts w:ascii="Times New Roman" w:hAnsi="Times New Roman" w:cs="Times New Roman"/>
          <w:color w:val="auto"/>
          <w:sz w:val="22"/>
          <w:szCs w:val="22"/>
        </w:rPr>
        <w:t xml:space="preserve"> in patients with ankylosing spondylitis (AS).</w:t>
      </w:r>
    </w:p>
    <w:p w14:paraId="76E98E74" w14:textId="1009AF03" w:rsidR="008669BA" w:rsidRPr="00B54968" w:rsidRDefault="00F52711"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Mean values for </w:t>
      </w:r>
      <w:proofErr w:type="spellStart"/>
      <w:r w:rsidRPr="00B54968">
        <w:rPr>
          <w:rFonts w:ascii="Times New Roman" w:hAnsi="Times New Roman" w:cs="Times New Roman"/>
          <w:color w:val="auto"/>
          <w:sz w:val="22"/>
          <w:szCs w:val="22"/>
        </w:rPr>
        <w:t>AUC</w:t>
      </w:r>
      <w:r w:rsidRPr="00B54968">
        <w:rPr>
          <w:rFonts w:ascii="Times New Roman" w:hAnsi="Times New Roman" w:cs="Times New Roman"/>
          <w:color w:val="auto"/>
          <w:sz w:val="22"/>
          <w:szCs w:val="22"/>
          <w:vertAlign w:val="subscript"/>
        </w:rPr>
        <w:t>tau</w:t>
      </w:r>
      <w:proofErr w:type="spellEnd"/>
      <w:r w:rsidRPr="00B54968">
        <w:rPr>
          <w:rFonts w:ascii="Times New Roman" w:hAnsi="Times New Roman" w:cs="Times New Roman"/>
          <w:color w:val="auto"/>
          <w:sz w:val="22"/>
          <w:szCs w:val="22"/>
          <w:vertAlign w:val="subscript"/>
        </w:rPr>
        <w:t xml:space="preserve"> </w:t>
      </w:r>
      <w:r w:rsidRPr="00B54968">
        <w:rPr>
          <w:rFonts w:ascii="Times New Roman" w:hAnsi="Times New Roman" w:cs="Times New Roman"/>
          <w:color w:val="auto"/>
          <w:sz w:val="22"/>
          <w:szCs w:val="22"/>
        </w:rPr>
        <w:t>and C</w:t>
      </w:r>
      <w:r w:rsidRPr="00B54968">
        <w:rPr>
          <w:rFonts w:ascii="Times New Roman" w:hAnsi="Times New Roman" w:cs="Times New Roman"/>
          <w:color w:val="auto"/>
          <w:sz w:val="22"/>
          <w:szCs w:val="22"/>
          <w:vertAlign w:val="subscript"/>
        </w:rPr>
        <w:t>MAX,SS</w:t>
      </w:r>
      <w:r w:rsidRPr="00B54968">
        <w:rPr>
          <w:rFonts w:ascii="Times New Roman" w:hAnsi="Times New Roman" w:cs="Times New Roman"/>
          <w:color w:val="auto"/>
          <w:sz w:val="22"/>
          <w:szCs w:val="22"/>
        </w:rPr>
        <w:t xml:space="preserve"> were similar between the treatment groups and the 90% CIs of ratio of geometric means for both </w:t>
      </w:r>
      <w:proofErr w:type="spellStart"/>
      <w:r w:rsidRPr="00B54968">
        <w:rPr>
          <w:rFonts w:ascii="Times New Roman" w:hAnsi="Times New Roman" w:cs="Times New Roman"/>
          <w:color w:val="auto"/>
          <w:sz w:val="22"/>
          <w:szCs w:val="22"/>
        </w:rPr>
        <w:t>AUC</w:t>
      </w:r>
      <w:r w:rsidRPr="00B54968">
        <w:rPr>
          <w:rFonts w:ascii="Times New Roman" w:hAnsi="Times New Roman" w:cs="Times New Roman"/>
          <w:color w:val="auto"/>
          <w:sz w:val="22"/>
          <w:szCs w:val="22"/>
          <w:vertAlign w:val="subscript"/>
        </w:rPr>
        <w:t>tau</w:t>
      </w:r>
      <w:proofErr w:type="spellEnd"/>
      <w:r w:rsidRPr="00B54968">
        <w:rPr>
          <w:rFonts w:ascii="Times New Roman" w:hAnsi="Times New Roman" w:cs="Times New Roman"/>
          <w:color w:val="auto"/>
          <w:sz w:val="22"/>
          <w:szCs w:val="22"/>
        </w:rPr>
        <w:t xml:space="preserve"> and </w:t>
      </w:r>
      <w:proofErr w:type="spellStart"/>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max,ss</w:t>
      </w:r>
      <w:proofErr w:type="spellEnd"/>
      <w:r w:rsidRPr="00B54968">
        <w:rPr>
          <w:rFonts w:ascii="Times New Roman" w:hAnsi="Times New Roman" w:cs="Times New Roman"/>
          <w:color w:val="auto"/>
          <w:sz w:val="22"/>
          <w:szCs w:val="22"/>
          <w:vertAlign w:val="subscript"/>
        </w:rPr>
        <w:t xml:space="preserve"> </w:t>
      </w:r>
      <w:r w:rsidRPr="00B54968">
        <w:rPr>
          <w:rFonts w:ascii="Times New Roman" w:hAnsi="Times New Roman" w:cs="Times New Roman"/>
          <w:color w:val="auto"/>
          <w:sz w:val="22"/>
          <w:szCs w:val="22"/>
        </w:rPr>
        <w:t xml:space="preserve">were entirely within the reference range of 80–125% indicating that </w:t>
      </w:r>
      <w:r w:rsidR="00281C64">
        <w:rPr>
          <w:rFonts w:ascii="Times New Roman" w:hAnsi="Times New Roman" w:cs="Times New Roman"/>
          <w:color w:val="auto"/>
          <w:sz w:val="22"/>
          <w:szCs w:val="22"/>
        </w:rPr>
        <w:t>INFLECTRA</w:t>
      </w:r>
      <w:r w:rsidR="009C46EE"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is bioequivalent to the reference product </w:t>
      </w:r>
      <w:r w:rsidR="001A691C">
        <w:rPr>
          <w:rFonts w:ascii="Times New Roman" w:hAnsi="Times New Roman" w:cs="Times New Roman"/>
          <w:color w:val="auto"/>
          <w:sz w:val="22"/>
          <w:szCs w:val="22"/>
        </w:rPr>
        <w:t>REMICADE</w:t>
      </w:r>
      <w:r w:rsidR="00184DF3"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in terms of </w:t>
      </w:r>
      <w:proofErr w:type="spellStart"/>
      <w:r w:rsidRPr="00B54968">
        <w:rPr>
          <w:rFonts w:ascii="Times New Roman" w:hAnsi="Times New Roman" w:cs="Times New Roman"/>
          <w:color w:val="auto"/>
          <w:sz w:val="22"/>
          <w:szCs w:val="22"/>
        </w:rPr>
        <w:t>AUC</w:t>
      </w:r>
      <w:r w:rsidRPr="00B54968">
        <w:rPr>
          <w:rFonts w:ascii="Times New Roman" w:hAnsi="Times New Roman" w:cs="Times New Roman"/>
          <w:color w:val="auto"/>
          <w:sz w:val="22"/>
          <w:szCs w:val="22"/>
          <w:vertAlign w:val="subscript"/>
        </w:rPr>
        <w:t>tau</w:t>
      </w:r>
      <w:proofErr w:type="spellEnd"/>
      <w:r w:rsidRPr="00B54968">
        <w:rPr>
          <w:rFonts w:ascii="Times New Roman" w:hAnsi="Times New Roman" w:cs="Times New Roman"/>
          <w:color w:val="auto"/>
          <w:sz w:val="22"/>
          <w:szCs w:val="22"/>
          <w:vertAlign w:val="subscript"/>
        </w:rPr>
        <w:t xml:space="preserve"> </w:t>
      </w:r>
      <w:r w:rsidRPr="00B54968">
        <w:rPr>
          <w:rFonts w:ascii="Times New Roman" w:hAnsi="Times New Roman" w:cs="Times New Roman"/>
          <w:color w:val="auto"/>
          <w:sz w:val="22"/>
          <w:szCs w:val="22"/>
        </w:rPr>
        <w:t xml:space="preserve">and </w:t>
      </w:r>
      <w:proofErr w:type="spellStart"/>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max,ss</w:t>
      </w:r>
      <w:proofErr w:type="spellEnd"/>
      <w:r w:rsidRPr="00B54968">
        <w:rPr>
          <w:rFonts w:ascii="Times New Roman" w:hAnsi="Times New Roman" w:cs="Times New Roman"/>
          <w:color w:val="auto"/>
          <w:sz w:val="22"/>
          <w:szCs w:val="22"/>
          <w:vertAlign w:val="subscript"/>
        </w:rPr>
        <w:t>.</w:t>
      </w:r>
      <w:r w:rsidRPr="00B54968">
        <w:rPr>
          <w:rFonts w:ascii="Times New Roman" w:hAnsi="Times New Roman" w:cs="Times New Roman"/>
          <w:color w:val="auto"/>
          <w:sz w:val="22"/>
          <w:szCs w:val="22"/>
        </w:rPr>
        <w:t xml:space="preserve"> </w:t>
      </w:r>
      <w:r w:rsidR="00797B6D"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The pharmacokinetic parameters are summarized in Table 1</w:t>
      </w:r>
      <w:r w:rsidR="00C446DC" w:rsidRPr="00B54968">
        <w:rPr>
          <w:rFonts w:ascii="Times New Roman" w:hAnsi="Times New Roman" w:cs="Times New Roman"/>
          <w:color w:val="auto"/>
          <w:sz w:val="22"/>
          <w:szCs w:val="22"/>
        </w:rPr>
        <w:t>.</w:t>
      </w:r>
    </w:p>
    <w:p w14:paraId="790AF185" w14:textId="77777777" w:rsidR="008669BA" w:rsidRPr="00B54968" w:rsidRDefault="008669BA" w:rsidP="003E2009">
      <w:pPr>
        <w:pStyle w:val="Default"/>
        <w:rPr>
          <w:rFonts w:ascii="Times New Roman" w:hAnsi="Times New Roman" w:cs="Times New Roman"/>
          <w:color w:val="auto"/>
          <w:sz w:val="22"/>
          <w:szCs w:val="22"/>
        </w:rPr>
      </w:pPr>
    </w:p>
    <w:p w14:paraId="476ADDFE" w14:textId="2C17C9D0" w:rsidR="00A02600" w:rsidRPr="00B54968" w:rsidRDefault="001779A0" w:rsidP="003E2009">
      <w:pPr>
        <w:pStyle w:val="Default"/>
        <w:spacing w:after="120" w:line="276" w:lineRule="auto"/>
        <w:ind w:left="1440" w:hanging="1440"/>
        <w:rPr>
          <w:rFonts w:ascii="Times New Roman" w:hAnsi="Times New Roman" w:cs="Times New Roman"/>
          <w:b/>
          <w:bCs/>
          <w:sz w:val="22"/>
          <w:szCs w:val="20"/>
        </w:rPr>
      </w:pPr>
      <w:r w:rsidRPr="00B54968" w:rsidDel="005C390A">
        <w:rPr>
          <w:rFonts w:ascii="Times New Roman" w:hAnsi="Times New Roman" w:cs="Times New Roman"/>
          <w:b/>
          <w:bCs/>
          <w:sz w:val="22"/>
          <w:szCs w:val="20"/>
        </w:rPr>
        <w:t>Table 1.</w:t>
      </w:r>
      <w:r w:rsidR="00B54968">
        <w:rPr>
          <w:rFonts w:ascii="Times New Roman" w:hAnsi="Times New Roman" w:cs="Times New Roman" w:hint="eastAsia"/>
          <w:b/>
          <w:bCs/>
          <w:sz w:val="22"/>
          <w:szCs w:val="20"/>
          <w:lang w:eastAsia="ko-KR"/>
        </w:rPr>
        <w:tab/>
      </w:r>
      <w:r w:rsidR="00F52711" w:rsidRPr="00B54968" w:rsidDel="005C390A">
        <w:rPr>
          <w:rFonts w:ascii="Times New Roman" w:hAnsi="Times New Roman" w:cs="Times New Roman"/>
          <w:b/>
          <w:bCs/>
          <w:sz w:val="22"/>
          <w:szCs w:val="20"/>
        </w:rPr>
        <w:t xml:space="preserve">Primary Serum Pharmacokinetic Parameters of the PK Population between Week 22 and 30 (Study </w:t>
      </w:r>
      <w:r w:rsidR="00972CFF">
        <w:rPr>
          <w:rFonts w:ascii="Times New Roman" w:hAnsi="Times New Roman" w:cs="Times New Roman"/>
          <w:b/>
          <w:bCs/>
          <w:sz w:val="22"/>
          <w:szCs w:val="20"/>
        </w:rPr>
        <w:t>PLANET AS in Ankylosing Spondylitis</w:t>
      </w:r>
      <w:r w:rsidR="00F52711" w:rsidRPr="00B54968" w:rsidDel="005C390A">
        <w:rPr>
          <w:rFonts w:ascii="Times New Roman" w:hAnsi="Times New Roman" w:cs="Times New Roman"/>
          <w:b/>
          <w:bCs/>
          <w:sz w:val="22"/>
          <w:szCs w:val="20"/>
        </w:rPr>
        <w:t>)</w:t>
      </w:r>
    </w:p>
    <w:tbl>
      <w:tblPr>
        <w:tblStyle w:val="3"/>
        <w:tblW w:w="0" w:type="auto"/>
        <w:tblInd w:w="108" w:type="dxa"/>
        <w:tblLook w:val="04A0" w:firstRow="1" w:lastRow="0" w:firstColumn="1" w:lastColumn="0" w:noHBand="0" w:noVBand="1"/>
      </w:tblPr>
      <w:tblGrid>
        <w:gridCol w:w="1276"/>
        <w:gridCol w:w="1701"/>
        <w:gridCol w:w="2410"/>
        <w:gridCol w:w="1842"/>
        <w:gridCol w:w="1843"/>
      </w:tblGrid>
      <w:tr w:rsidR="000F43AE" w:rsidRPr="00B54968" w14:paraId="69006A9B" w14:textId="77777777" w:rsidTr="003E2009">
        <w:trPr>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69D332BC" w14:textId="77777777" w:rsidR="00A02600" w:rsidRPr="00B54968" w:rsidRDefault="00B42860" w:rsidP="003E2009">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Parameter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4E51DA" w14:textId="5600255D" w:rsidR="00F52711" w:rsidRPr="00AC2984" w:rsidRDefault="00281C64" w:rsidP="003E2009">
            <w:pPr>
              <w:adjustRightInd w:val="0"/>
              <w:rPr>
                <w:rFonts w:ascii="Times New Roman" w:hAnsi="Times New Roman" w:cs="Times New Roman"/>
                <w:b/>
                <w:sz w:val="18"/>
                <w:szCs w:val="18"/>
                <w:lang w:val="de-DE"/>
              </w:rPr>
            </w:pPr>
            <w:r>
              <w:rPr>
                <w:rFonts w:ascii="Times New Roman" w:hAnsi="Times New Roman" w:cs="Times New Roman"/>
                <w:b/>
                <w:sz w:val="18"/>
                <w:szCs w:val="18"/>
                <w:lang w:val="de-DE"/>
              </w:rPr>
              <w:t>INFLECTRA</w:t>
            </w:r>
            <w:r w:rsidR="00184DF3" w:rsidRPr="00AC2984">
              <w:rPr>
                <w:rFonts w:ascii="Times New Roman" w:hAnsi="Times New Roman" w:cs="Times New Roman"/>
                <w:b/>
                <w:sz w:val="18"/>
                <w:szCs w:val="18"/>
                <w:vertAlign w:val="superscript"/>
                <w:lang w:val="de-DE"/>
              </w:rPr>
              <w:t>®</w:t>
            </w:r>
          </w:p>
          <w:p w14:paraId="65A70630" w14:textId="77777777" w:rsidR="00A02600" w:rsidRPr="00AC2984" w:rsidRDefault="00B42860" w:rsidP="003E2009">
            <w:pPr>
              <w:adjustRightInd w:val="0"/>
              <w:rPr>
                <w:rFonts w:ascii="Times New Roman" w:hAnsi="Times New Roman" w:cs="Times New Roman"/>
                <w:b/>
                <w:sz w:val="18"/>
                <w:szCs w:val="18"/>
                <w:lang w:val="de-DE"/>
              </w:rPr>
            </w:pPr>
            <w:r w:rsidRPr="00AC2984">
              <w:rPr>
                <w:rFonts w:ascii="Times New Roman" w:hAnsi="Times New Roman" w:cs="Times New Roman"/>
                <w:b/>
                <w:sz w:val="18"/>
                <w:szCs w:val="18"/>
                <w:lang w:val="de-DE"/>
              </w:rPr>
              <w:t>(5 mg/kg)</w:t>
            </w:r>
          </w:p>
          <w:p w14:paraId="53A55227" w14:textId="77777777" w:rsidR="00A02600" w:rsidRPr="004246A3" w:rsidRDefault="00B42860" w:rsidP="003E2009">
            <w:pPr>
              <w:adjustRightInd w:val="0"/>
              <w:rPr>
                <w:rFonts w:ascii="Times New Roman" w:hAnsi="Times New Roman" w:cs="Times New Roman"/>
                <w:b/>
                <w:sz w:val="18"/>
                <w:szCs w:val="18"/>
                <w:lang w:val="de-DE"/>
              </w:rPr>
            </w:pPr>
            <w:r w:rsidRPr="00AC2984">
              <w:rPr>
                <w:rFonts w:ascii="Times New Roman" w:hAnsi="Times New Roman" w:cs="Times New Roman"/>
                <w:b/>
                <w:sz w:val="18"/>
                <w:szCs w:val="18"/>
                <w:lang w:val="de-DE"/>
              </w:rPr>
              <w:t>(n=112)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4D7F88" w14:textId="08C3C4A1" w:rsidR="00A02600" w:rsidRPr="00B54968" w:rsidRDefault="001A691C" w:rsidP="003E2009">
            <w:pPr>
              <w:adjustRightInd w:val="0"/>
              <w:rPr>
                <w:rFonts w:ascii="Times New Roman" w:hAnsi="Times New Roman" w:cs="Times New Roman"/>
                <w:b/>
                <w:sz w:val="18"/>
                <w:szCs w:val="18"/>
              </w:rPr>
            </w:pPr>
            <w:r>
              <w:rPr>
                <w:rFonts w:ascii="Times New Roman" w:hAnsi="Times New Roman" w:cs="Times New Roman"/>
                <w:b/>
                <w:sz w:val="18"/>
                <w:szCs w:val="18"/>
              </w:rPr>
              <w:t>REMICADE</w:t>
            </w:r>
            <w:r w:rsidR="00B42860" w:rsidRPr="00B54968">
              <w:rPr>
                <w:rFonts w:ascii="Times New Roman" w:hAnsi="Times New Roman" w:cs="Times New Roman"/>
                <w:b/>
                <w:sz w:val="18"/>
                <w:szCs w:val="18"/>
                <w:vertAlign w:val="superscript"/>
              </w:rPr>
              <w:t>®</w:t>
            </w:r>
          </w:p>
          <w:p w14:paraId="20224453" w14:textId="77777777" w:rsidR="00A02600" w:rsidRPr="00B54968" w:rsidRDefault="00B42860" w:rsidP="003E2009">
            <w:pPr>
              <w:adjustRightInd w:val="0"/>
              <w:rPr>
                <w:rFonts w:ascii="Times New Roman" w:hAnsi="Times New Roman" w:cs="Times New Roman"/>
                <w:b/>
                <w:sz w:val="18"/>
                <w:szCs w:val="18"/>
              </w:rPr>
            </w:pPr>
            <w:r w:rsidRPr="00B54968">
              <w:rPr>
                <w:rFonts w:ascii="Times New Roman" w:hAnsi="Times New Roman" w:cs="Times New Roman"/>
                <w:b/>
                <w:sz w:val="18"/>
                <w:szCs w:val="18"/>
              </w:rPr>
              <w:t>(Schering-Plough, Belgium)</w:t>
            </w:r>
          </w:p>
          <w:p w14:paraId="5DA3D54E" w14:textId="77777777" w:rsidR="00A02600" w:rsidRPr="00B54968" w:rsidRDefault="00B42860" w:rsidP="003E2009">
            <w:pPr>
              <w:adjustRightInd w:val="0"/>
              <w:rPr>
                <w:rFonts w:ascii="Times New Roman" w:hAnsi="Times New Roman" w:cs="Times New Roman"/>
                <w:b/>
                <w:sz w:val="18"/>
                <w:szCs w:val="18"/>
              </w:rPr>
            </w:pPr>
            <w:r w:rsidRPr="00B54968">
              <w:rPr>
                <w:rFonts w:ascii="Times New Roman" w:hAnsi="Times New Roman" w:cs="Times New Roman"/>
                <w:b/>
                <w:sz w:val="18"/>
                <w:szCs w:val="18"/>
              </w:rPr>
              <w:t>(5 mg/kg)</w:t>
            </w:r>
          </w:p>
          <w:p w14:paraId="713AF12B" w14:textId="77777777" w:rsidR="00A02600" w:rsidRPr="00B54968" w:rsidRDefault="00B42860" w:rsidP="003E2009">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(n=110)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42E4AC" w14:textId="77777777" w:rsidR="00A02600" w:rsidRPr="00B54968" w:rsidRDefault="00B42860" w:rsidP="003E2009">
            <w:pPr>
              <w:adjustRightInd w:val="0"/>
              <w:rPr>
                <w:rFonts w:ascii="Times New Roman" w:hAnsi="Times New Roman" w:cs="Times New Roman"/>
                <w:b/>
                <w:sz w:val="18"/>
                <w:szCs w:val="18"/>
              </w:rPr>
            </w:pPr>
            <w:r w:rsidRPr="00B54968">
              <w:rPr>
                <w:rFonts w:ascii="Times New Roman" w:hAnsi="Times New Roman" w:cs="Times New Roman"/>
                <w:b/>
                <w:sz w:val="18"/>
                <w:szCs w:val="18"/>
              </w:rPr>
              <w:t>Ratio (%) of</w:t>
            </w:r>
          </w:p>
          <w:p w14:paraId="0A4B839D" w14:textId="77777777" w:rsidR="00A02600" w:rsidRPr="00B54968" w:rsidRDefault="00B42860" w:rsidP="003E2009">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Geometric Mean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04CB85" w14:textId="77777777" w:rsidR="00A02600" w:rsidRPr="00B54968" w:rsidRDefault="00B42860" w:rsidP="003E2009">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90% CI of Ratio</w:t>
            </w:r>
          </w:p>
        </w:tc>
      </w:tr>
      <w:tr w:rsidR="000F43AE" w:rsidRPr="00B54968" w14:paraId="6A55ED7F"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5006AC7A" w14:textId="77777777" w:rsidR="00A02600" w:rsidRPr="00B54968" w:rsidRDefault="00B42860" w:rsidP="003E2009">
            <w:pPr>
              <w:autoSpaceDE w:val="0"/>
              <w:autoSpaceDN w:val="0"/>
              <w:adjustRightInd w:val="0"/>
              <w:rPr>
                <w:rFonts w:ascii="Times New Roman" w:hAnsi="Times New Roman" w:cs="Times New Roman"/>
                <w:sz w:val="18"/>
                <w:szCs w:val="18"/>
              </w:rPr>
            </w:pPr>
            <w:proofErr w:type="spellStart"/>
            <w:r w:rsidRPr="00B54968">
              <w:rPr>
                <w:rFonts w:ascii="Times New Roman" w:hAnsi="Times New Roman" w:cs="Times New Roman"/>
                <w:sz w:val="18"/>
                <w:szCs w:val="18"/>
              </w:rPr>
              <w:t>AUC</w:t>
            </w:r>
            <w:r w:rsidRPr="00B54968">
              <w:rPr>
                <w:rFonts w:ascii="Times New Roman" w:hAnsi="Times New Roman" w:cs="Times New Roman"/>
                <w:sz w:val="18"/>
                <w:szCs w:val="18"/>
                <w:vertAlign w:val="subscript"/>
              </w:rPr>
              <w:t>tau</w:t>
            </w:r>
            <w:proofErr w:type="spellEnd"/>
            <w:r w:rsidRPr="00B54968">
              <w:rPr>
                <w:rFonts w:ascii="Times New Roman" w:hAnsi="Times New Roman" w:cs="Times New Roman"/>
                <w:sz w:val="18"/>
                <w:szCs w:val="18"/>
                <w:vertAlign w:val="subscript"/>
              </w:rPr>
              <w:t xml:space="preserve"> </w:t>
            </w:r>
            <w:r w:rsidRPr="00B54968">
              <w:rPr>
                <w:rFonts w:ascii="Times New Roman" w:hAnsi="Times New Roman" w:cs="Times New Roman"/>
                <w:sz w:val="18"/>
                <w:szCs w:val="18"/>
              </w:rPr>
              <w:t>(μg*h/mL)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139AF0" w14:textId="77777777" w:rsidR="00F52711" w:rsidRPr="00B54968" w:rsidRDefault="00B42860" w:rsidP="003E2009">
            <w:pPr>
              <w:adjustRightInd w:val="0"/>
              <w:rPr>
                <w:rFonts w:ascii="Times New Roman" w:hAnsi="Times New Roman" w:cs="Times New Roman"/>
                <w:sz w:val="18"/>
                <w:szCs w:val="18"/>
              </w:rPr>
            </w:pPr>
            <w:r w:rsidRPr="00B54968">
              <w:rPr>
                <w:rFonts w:ascii="Times New Roman" w:hAnsi="Times New Roman" w:cs="Times New Roman"/>
                <w:sz w:val="18"/>
                <w:szCs w:val="18"/>
              </w:rPr>
              <w:t>32,750.99</w:t>
            </w:r>
          </w:p>
          <w:p w14:paraId="2A2BC221" w14:textId="77777777" w:rsidR="00A02600" w:rsidRPr="00B54968" w:rsidRDefault="00B42860" w:rsidP="003E200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C336C4" w14:textId="77777777" w:rsidR="00A02600" w:rsidRPr="00B54968" w:rsidRDefault="00B42860" w:rsidP="003E2009">
            <w:pPr>
              <w:adjustRightInd w:val="0"/>
              <w:rPr>
                <w:rFonts w:ascii="Times New Roman" w:hAnsi="Times New Roman" w:cs="Times New Roman"/>
                <w:sz w:val="18"/>
                <w:szCs w:val="18"/>
              </w:rPr>
            </w:pPr>
            <w:r w:rsidRPr="00B54968">
              <w:rPr>
                <w:rFonts w:ascii="Times New Roman" w:hAnsi="Times New Roman" w:cs="Times New Roman"/>
                <w:sz w:val="18"/>
                <w:szCs w:val="18"/>
              </w:rPr>
              <w:t>31,366.00</w:t>
            </w:r>
          </w:p>
          <w:p w14:paraId="3B18E1AF" w14:textId="77777777" w:rsidR="00A02600" w:rsidRPr="00B54968" w:rsidRDefault="00B42860" w:rsidP="003E200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496C061" w14:textId="77777777" w:rsidR="00A02600" w:rsidRPr="00B54968" w:rsidRDefault="00B42860" w:rsidP="003E200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104.42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5F1FDA" w14:textId="77777777" w:rsidR="00A02600" w:rsidRPr="00B54968" w:rsidRDefault="00B42860" w:rsidP="003E200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94.25 – 115.67</w:t>
            </w:r>
          </w:p>
        </w:tc>
      </w:tr>
      <w:tr w:rsidR="000F43AE" w:rsidRPr="00B54968" w14:paraId="355E1746"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7D851246" w14:textId="77777777" w:rsidR="00A02600" w:rsidRPr="00B54968" w:rsidRDefault="00B42860" w:rsidP="003E200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C</w:t>
            </w:r>
            <w:r w:rsidRPr="00B54968">
              <w:rPr>
                <w:rFonts w:ascii="Times New Roman" w:hAnsi="Times New Roman" w:cs="Times New Roman"/>
                <w:sz w:val="18"/>
                <w:szCs w:val="18"/>
                <w:vertAlign w:val="subscript"/>
              </w:rPr>
              <w:t>MAX,SS</w:t>
            </w:r>
            <w:r w:rsidRPr="00B54968">
              <w:rPr>
                <w:rFonts w:ascii="Times New Roman" w:hAnsi="Times New Roman" w:cs="Times New Roman"/>
                <w:sz w:val="18"/>
                <w:szCs w:val="18"/>
              </w:rPr>
              <w:t xml:space="preserve"> (μg/mL)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1B1245" w14:textId="77777777" w:rsidR="00F52711" w:rsidRPr="00B54968" w:rsidRDefault="00B42860" w:rsidP="003E2009">
            <w:pPr>
              <w:adjustRightInd w:val="0"/>
              <w:rPr>
                <w:rFonts w:ascii="Times New Roman" w:hAnsi="Times New Roman" w:cs="Times New Roman"/>
                <w:sz w:val="18"/>
                <w:szCs w:val="18"/>
              </w:rPr>
            </w:pPr>
            <w:r w:rsidRPr="00B54968">
              <w:rPr>
                <w:rFonts w:ascii="Times New Roman" w:hAnsi="Times New Roman" w:cs="Times New Roman"/>
                <w:sz w:val="18"/>
                <w:szCs w:val="18"/>
              </w:rPr>
              <w:t>147.04</w:t>
            </w:r>
          </w:p>
          <w:p w14:paraId="2A98D13C" w14:textId="77777777" w:rsidR="00A02600" w:rsidRPr="00B54968" w:rsidRDefault="00B42860" w:rsidP="003E200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9FC17D" w14:textId="77777777" w:rsidR="00A02600" w:rsidRPr="00B54968" w:rsidRDefault="00B42860" w:rsidP="003E2009">
            <w:pPr>
              <w:adjustRightInd w:val="0"/>
              <w:rPr>
                <w:rFonts w:ascii="Times New Roman" w:hAnsi="Times New Roman" w:cs="Times New Roman"/>
                <w:sz w:val="18"/>
                <w:szCs w:val="18"/>
              </w:rPr>
            </w:pPr>
            <w:r w:rsidRPr="00B54968">
              <w:rPr>
                <w:rFonts w:ascii="Times New Roman" w:hAnsi="Times New Roman" w:cs="Times New Roman"/>
                <w:sz w:val="18"/>
                <w:szCs w:val="18"/>
              </w:rPr>
              <w:t>144.81</w:t>
            </w:r>
          </w:p>
          <w:p w14:paraId="62CEB851" w14:textId="77777777" w:rsidR="00A02600" w:rsidRPr="00B54968" w:rsidRDefault="00B42860" w:rsidP="003E200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F81E873" w14:textId="77777777" w:rsidR="00A02600" w:rsidRPr="00B54968" w:rsidRDefault="00B42860" w:rsidP="003E200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101.53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BF4245" w14:textId="77777777" w:rsidR="00A02600" w:rsidRPr="00B54968" w:rsidRDefault="00B42860" w:rsidP="003E200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94.67 – 108.89</w:t>
            </w:r>
          </w:p>
        </w:tc>
      </w:tr>
      <w:tr w:rsidR="000F43AE" w:rsidRPr="00B54968" w14:paraId="55136B93"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75AFB9D5" w14:textId="77777777" w:rsidR="00A02600" w:rsidRPr="00B54968" w:rsidRDefault="00B42860" w:rsidP="003E2009">
            <w:pPr>
              <w:autoSpaceDE w:val="0"/>
              <w:autoSpaceDN w:val="0"/>
              <w:adjustRightInd w:val="0"/>
              <w:rPr>
                <w:rFonts w:ascii="Times New Roman" w:hAnsi="Times New Roman" w:cs="Times New Roman"/>
                <w:sz w:val="18"/>
                <w:szCs w:val="18"/>
                <w:lang w:val="de-DE"/>
              </w:rPr>
            </w:pPr>
            <w:r w:rsidRPr="00B54968">
              <w:rPr>
                <w:rFonts w:ascii="Times New Roman" w:hAnsi="Times New Roman" w:cs="Times New Roman"/>
                <w:sz w:val="18"/>
                <w:szCs w:val="18"/>
                <w:lang w:val="de-DE"/>
              </w:rPr>
              <w:t>C</w:t>
            </w:r>
            <w:r w:rsidRPr="00B54968">
              <w:rPr>
                <w:rFonts w:ascii="Times New Roman" w:hAnsi="Times New Roman" w:cs="Times New Roman"/>
                <w:sz w:val="18"/>
                <w:szCs w:val="18"/>
                <w:vertAlign w:val="subscript"/>
                <w:lang w:val="de-DE"/>
              </w:rPr>
              <w:t>MIN,SS</w:t>
            </w:r>
            <w:r w:rsidRPr="00B54968">
              <w:rPr>
                <w:rFonts w:ascii="Times New Roman" w:hAnsi="Times New Roman" w:cs="Times New Roman"/>
                <w:sz w:val="18"/>
                <w:szCs w:val="18"/>
                <w:lang w:val="de-DE"/>
              </w:rPr>
              <w:t xml:space="preserve"> (</w:t>
            </w:r>
            <w:r w:rsidRPr="00B54968">
              <w:rPr>
                <w:rFonts w:ascii="Times New Roman" w:hAnsi="Times New Roman" w:cs="Times New Roman"/>
                <w:sz w:val="18"/>
                <w:szCs w:val="18"/>
              </w:rPr>
              <w:t>μ</w:t>
            </w:r>
            <w:r w:rsidRPr="00B54968">
              <w:rPr>
                <w:rFonts w:ascii="Times New Roman" w:hAnsi="Times New Roman" w:cs="Times New Roman"/>
                <w:sz w:val="18"/>
                <w:szCs w:val="18"/>
                <w:lang w:val="de-DE"/>
              </w:rPr>
              <w:t>g/mL)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7925AC" w14:textId="77777777" w:rsidR="00F52711" w:rsidRPr="00B54968" w:rsidRDefault="00B42860" w:rsidP="003E2009">
            <w:pPr>
              <w:adjustRightInd w:val="0"/>
              <w:rPr>
                <w:rFonts w:ascii="Times New Roman" w:hAnsi="Times New Roman" w:cs="Times New Roman"/>
                <w:sz w:val="18"/>
                <w:szCs w:val="18"/>
              </w:rPr>
            </w:pPr>
            <w:r w:rsidRPr="00B54968">
              <w:rPr>
                <w:rFonts w:ascii="Times New Roman" w:hAnsi="Times New Roman" w:cs="Times New Roman"/>
                <w:sz w:val="18"/>
                <w:szCs w:val="18"/>
              </w:rPr>
              <w:t>4.23 (139.5)</w:t>
            </w:r>
          </w:p>
          <w:p w14:paraId="4FA73D15" w14:textId="77777777" w:rsidR="00A02600" w:rsidRPr="00B54968" w:rsidRDefault="00B42860" w:rsidP="003E200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(n=108)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DF235F" w14:textId="77777777" w:rsidR="00A02600" w:rsidRPr="00B54968" w:rsidRDefault="00B42860" w:rsidP="003E2009">
            <w:pPr>
              <w:adjustRightInd w:val="0"/>
              <w:rPr>
                <w:rFonts w:ascii="Times New Roman" w:hAnsi="Times New Roman" w:cs="Times New Roman"/>
                <w:sz w:val="18"/>
                <w:szCs w:val="18"/>
              </w:rPr>
            </w:pPr>
            <w:r w:rsidRPr="00B54968">
              <w:rPr>
                <w:rFonts w:ascii="Times New Roman" w:hAnsi="Times New Roman" w:cs="Times New Roman"/>
                <w:sz w:val="18"/>
                <w:szCs w:val="18"/>
              </w:rPr>
              <w:t>3.59 (88.1)</w:t>
            </w:r>
          </w:p>
          <w:p w14:paraId="545CDE0F" w14:textId="77777777" w:rsidR="00A02600" w:rsidRPr="00B54968" w:rsidRDefault="00B42860" w:rsidP="003E200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(n=108)</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FCA88" w14:textId="77777777" w:rsidR="00A02600" w:rsidRPr="00B54968" w:rsidRDefault="00A02600" w:rsidP="003E2009">
            <w:pPr>
              <w:autoSpaceDE w:val="0"/>
              <w:autoSpaceDN w:val="0"/>
              <w:adjustRightInd w:val="0"/>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97828" w14:textId="77777777" w:rsidR="00A02600" w:rsidRPr="00B54968" w:rsidRDefault="00A02600" w:rsidP="003E2009">
            <w:pPr>
              <w:autoSpaceDE w:val="0"/>
              <w:autoSpaceDN w:val="0"/>
              <w:adjustRightInd w:val="0"/>
              <w:rPr>
                <w:rFonts w:ascii="Times New Roman" w:hAnsi="Times New Roman" w:cs="Times New Roman"/>
                <w:sz w:val="18"/>
                <w:szCs w:val="18"/>
              </w:rPr>
            </w:pPr>
          </w:p>
        </w:tc>
      </w:tr>
      <w:tr w:rsidR="000F43AE" w:rsidRPr="00B54968" w14:paraId="15575402"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6512C675" w14:textId="77777777" w:rsidR="00A02600" w:rsidRPr="00B54968" w:rsidRDefault="00B42860" w:rsidP="003E2009">
            <w:pPr>
              <w:adjustRightInd w:val="0"/>
              <w:rPr>
                <w:rFonts w:ascii="Times New Roman" w:hAnsi="Times New Roman" w:cs="Times New Roman"/>
                <w:sz w:val="18"/>
                <w:szCs w:val="18"/>
              </w:rPr>
            </w:pPr>
            <w:r w:rsidRPr="00B54968">
              <w:rPr>
                <w:rFonts w:ascii="Times New Roman" w:hAnsi="Times New Roman" w:cs="Times New Roman"/>
                <w:sz w:val="18"/>
                <w:szCs w:val="18"/>
              </w:rPr>
              <w:t>T</w:t>
            </w:r>
            <w:r w:rsidRPr="00B54968">
              <w:rPr>
                <w:rFonts w:ascii="Times New Roman" w:hAnsi="Times New Roman" w:cs="Times New Roman"/>
                <w:sz w:val="18"/>
                <w:szCs w:val="18"/>
                <w:vertAlign w:val="subscript"/>
              </w:rPr>
              <w:t>½</w:t>
            </w:r>
          </w:p>
          <w:p w14:paraId="1C547177" w14:textId="77777777" w:rsidR="00A02600" w:rsidRPr="00B54968" w:rsidRDefault="00B42860" w:rsidP="003E200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91987A" w14:textId="77777777" w:rsidR="00F52711" w:rsidRPr="00B54968" w:rsidRDefault="00B42860" w:rsidP="003E2009">
            <w:pPr>
              <w:adjustRightInd w:val="0"/>
              <w:rPr>
                <w:rFonts w:ascii="Times New Roman" w:hAnsi="Times New Roman" w:cs="Times New Roman"/>
                <w:sz w:val="18"/>
                <w:szCs w:val="18"/>
              </w:rPr>
            </w:pPr>
            <w:r w:rsidRPr="00B54968">
              <w:rPr>
                <w:rFonts w:ascii="Times New Roman" w:hAnsi="Times New Roman" w:cs="Times New Roman"/>
                <w:sz w:val="18"/>
                <w:szCs w:val="18"/>
              </w:rPr>
              <w:t>291.27 (32.3)</w:t>
            </w:r>
          </w:p>
          <w:p w14:paraId="62936DA4" w14:textId="77777777" w:rsidR="00A02600" w:rsidRPr="00B54968" w:rsidRDefault="00B42860" w:rsidP="003E200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(n=102)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E20704" w14:textId="77777777" w:rsidR="00A02600" w:rsidRPr="00B54968" w:rsidRDefault="00B42860" w:rsidP="003E2009">
            <w:pPr>
              <w:adjustRightInd w:val="0"/>
              <w:rPr>
                <w:rFonts w:ascii="Times New Roman" w:hAnsi="Times New Roman" w:cs="Times New Roman"/>
                <w:sz w:val="18"/>
                <w:szCs w:val="18"/>
              </w:rPr>
            </w:pPr>
            <w:r w:rsidRPr="00B54968">
              <w:rPr>
                <w:rFonts w:ascii="Times New Roman" w:hAnsi="Times New Roman" w:cs="Times New Roman"/>
                <w:sz w:val="18"/>
                <w:szCs w:val="18"/>
              </w:rPr>
              <w:t>298.31 (32.9)</w:t>
            </w:r>
          </w:p>
          <w:p w14:paraId="16340783" w14:textId="77777777" w:rsidR="00A02600" w:rsidRPr="00B54968" w:rsidRDefault="00B42860" w:rsidP="003E200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(n=98)</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0E502" w14:textId="77777777" w:rsidR="00A02600" w:rsidRPr="00B54968" w:rsidRDefault="00A02600" w:rsidP="003E2009">
            <w:pPr>
              <w:autoSpaceDE w:val="0"/>
              <w:autoSpaceDN w:val="0"/>
              <w:adjustRightInd w:val="0"/>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E7550" w14:textId="77777777" w:rsidR="00A02600" w:rsidRPr="00B54968" w:rsidRDefault="00A02600" w:rsidP="003E2009">
            <w:pPr>
              <w:autoSpaceDE w:val="0"/>
              <w:autoSpaceDN w:val="0"/>
              <w:adjustRightInd w:val="0"/>
              <w:rPr>
                <w:rFonts w:ascii="Times New Roman" w:hAnsi="Times New Roman" w:cs="Times New Roman"/>
                <w:sz w:val="18"/>
                <w:szCs w:val="18"/>
              </w:rPr>
            </w:pPr>
          </w:p>
        </w:tc>
      </w:tr>
    </w:tbl>
    <w:p w14:paraId="523E9150" w14:textId="77777777" w:rsidR="00A02600" w:rsidRPr="00B54968" w:rsidRDefault="00F52711" w:rsidP="003E2009">
      <w:pPr>
        <w:adjustRightInd w:val="0"/>
        <w:rPr>
          <w:rFonts w:ascii="Times New Roman" w:hAnsi="Times New Roman" w:cs="Times New Roman"/>
          <w:kern w:val="2"/>
          <w:sz w:val="18"/>
          <w:szCs w:val="18"/>
          <w:lang w:val="en-CA" w:eastAsia="ko-KR"/>
        </w:rPr>
      </w:pPr>
      <w:proofErr w:type="spellStart"/>
      <w:r w:rsidRPr="00B54968">
        <w:rPr>
          <w:rFonts w:ascii="Times New Roman" w:hAnsi="Times New Roman" w:cs="Times New Roman"/>
          <w:sz w:val="18"/>
          <w:szCs w:val="18"/>
          <w:lang w:val="en-CA"/>
        </w:rPr>
        <w:t>AUCτ</w:t>
      </w:r>
      <w:proofErr w:type="spellEnd"/>
      <w:r w:rsidRPr="00B54968">
        <w:rPr>
          <w:rFonts w:ascii="Times New Roman" w:hAnsi="Times New Roman" w:cs="Times New Roman"/>
          <w:sz w:val="18"/>
          <w:szCs w:val="18"/>
          <w:lang w:val="en-CA"/>
        </w:rPr>
        <w:t>=Area under the concentration-time curve over the dosing interval; C</w:t>
      </w:r>
      <w:r w:rsidRPr="00B54968">
        <w:rPr>
          <w:rFonts w:ascii="Times New Roman" w:hAnsi="Times New Roman" w:cs="Times New Roman"/>
          <w:sz w:val="18"/>
          <w:szCs w:val="18"/>
          <w:vertAlign w:val="subscript"/>
          <w:lang w:val="en-CA"/>
        </w:rPr>
        <w:t>MAX,SS</w:t>
      </w:r>
      <w:r w:rsidRPr="00B54968">
        <w:rPr>
          <w:rFonts w:ascii="Times New Roman" w:hAnsi="Times New Roman" w:cs="Times New Roman"/>
          <w:sz w:val="18"/>
          <w:szCs w:val="18"/>
          <w:lang w:val="en-CA"/>
        </w:rPr>
        <w:t>=Maximum serum concentration at steady state; C</w:t>
      </w:r>
      <w:r w:rsidRPr="00B54968">
        <w:rPr>
          <w:rFonts w:ascii="Times New Roman" w:hAnsi="Times New Roman" w:cs="Times New Roman"/>
          <w:sz w:val="18"/>
          <w:szCs w:val="18"/>
          <w:vertAlign w:val="subscript"/>
          <w:lang w:val="en-CA"/>
        </w:rPr>
        <w:t>MIN,SS</w:t>
      </w:r>
      <w:r w:rsidRPr="00B54968">
        <w:rPr>
          <w:rFonts w:ascii="Times New Roman" w:hAnsi="Times New Roman" w:cs="Times New Roman"/>
          <w:sz w:val="18"/>
          <w:szCs w:val="18"/>
          <w:lang w:val="en-CA"/>
        </w:rPr>
        <w:t>=Minimum serum concentration at steady state; T</w:t>
      </w:r>
      <w:r w:rsidRPr="00B54968">
        <w:rPr>
          <w:rFonts w:ascii="Times New Roman" w:hAnsi="Times New Roman" w:cs="Times New Roman"/>
          <w:sz w:val="18"/>
          <w:szCs w:val="18"/>
          <w:vertAlign w:val="subscript"/>
          <w:lang w:val="en-CA"/>
        </w:rPr>
        <w:t>MAX</w:t>
      </w:r>
      <w:r w:rsidRPr="00B54968">
        <w:rPr>
          <w:rFonts w:ascii="Times New Roman" w:hAnsi="Times New Roman" w:cs="Times New Roman"/>
          <w:sz w:val="18"/>
          <w:szCs w:val="18"/>
          <w:lang w:val="en-CA"/>
        </w:rPr>
        <w:t>=Time to reach C</w:t>
      </w:r>
      <w:r w:rsidRPr="00B54968">
        <w:rPr>
          <w:rFonts w:ascii="Times New Roman" w:hAnsi="Times New Roman" w:cs="Times New Roman"/>
          <w:sz w:val="18"/>
          <w:szCs w:val="18"/>
          <w:vertAlign w:val="subscript"/>
          <w:lang w:val="en-CA"/>
        </w:rPr>
        <w:t>MAX</w:t>
      </w:r>
      <w:r w:rsidRPr="00B54968">
        <w:rPr>
          <w:rFonts w:ascii="Times New Roman" w:hAnsi="Times New Roman" w:cs="Times New Roman"/>
          <w:sz w:val="18"/>
          <w:szCs w:val="18"/>
          <w:lang w:val="en-CA"/>
        </w:rPr>
        <w:t xml:space="preserve">; CI=Confidence interval </w:t>
      </w:r>
    </w:p>
    <w:p w14:paraId="455999EE" w14:textId="77777777" w:rsidR="00A02600" w:rsidRPr="00B54968" w:rsidRDefault="000338F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w:t>
      </w:r>
      <w:r w:rsidR="0011546D" w:rsidRPr="00B54968">
        <w:rPr>
          <w:rFonts w:ascii="Times New Roman" w:hAnsi="Times New Roman" w:cs="Times New Roman"/>
          <w:color w:val="auto"/>
          <w:sz w:val="22"/>
          <w:szCs w:val="22"/>
        </w:rPr>
        <w:t xml:space="preserve">following </w:t>
      </w:r>
      <w:r w:rsidRPr="00B54968">
        <w:rPr>
          <w:rFonts w:ascii="Times New Roman" w:hAnsi="Times New Roman" w:cs="Times New Roman"/>
          <w:color w:val="auto"/>
          <w:sz w:val="22"/>
          <w:szCs w:val="22"/>
        </w:rPr>
        <w:t>secondary PK endpoints</w:t>
      </w:r>
      <w:r w:rsidR="0011546D"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min</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max</w:t>
      </w:r>
      <w:proofErr w:type="spellEnd"/>
      <w:r w:rsidRPr="00B54968">
        <w:rPr>
          <w:rFonts w:ascii="Times New Roman" w:hAnsi="Times New Roman" w:cs="Times New Roman"/>
          <w:color w:val="auto"/>
          <w:sz w:val="22"/>
          <w:szCs w:val="22"/>
          <w:vertAlign w:val="subscript"/>
        </w:rPr>
        <w:t xml:space="preserve"> </w:t>
      </w:r>
      <w:r w:rsidRPr="00B54968">
        <w:rPr>
          <w:rFonts w:ascii="Times New Roman" w:hAnsi="Times New Roman" w:cs="Times New Roman"/>
          <w:color w:val="auto"/>
          <w:sz w:val="22"/>
          <w:szCs w:val="22"/>
        </w:rPr>
        <w:t xml:space="preserve">and </w:t>
      </w:r>
      <w:proofErr w:type="spellStart"/>
      <w:r w:rsidRPr="00B54968">
        <w:rPr>
          <w:rFonts w:ascii="Times New Roman" w:hAnsi="Times New Roman" w:cs="Times New Roman"/>
          <w:color w:val="auto"/>
          <w:sz w:val="22"/>
          <w:szCs w:val="22"/>
        </w:rPr>
        <w:t>T</w:t>
      </w:r>
      <w:r w:rsidRPr="00B54968">
        <w:rPr>
          <w:rFonts w:ascii="Times New Roman" w:hAnsi="Times New Roman" w:cs="Times New Roman"/>
          <w:color w:val="auto"/>
          <w:sz w:val="22"/>
          <w:szCs w:val="22"/>
          <w:vertAlign w:val="subscript"/>
        </w:rPr>
        <w:t>max</w:t>
      </w:r>
      <w:proofErr w:type="spellEnd"/>
      <w:r w:rsidRPr="00B54968">
        <w:rPr>
          <w:rFonts w:ascii="Times New Roman" w:hAnsi="Times New Roman" w:cs="Times New Roman"/>
          <w:color w:val="auto"/>
          <w:sz w:val="22"/>
          <w:szCs w:val="22"/>
        </w:rPr>
        <w:t xml:space="preserve"> were assessed up to week 54 and these results remained comparable</w:t>
      </w:r>
      <w:r w:rsidR="0011546D" w:rsidRPr="00B54968">
        <w:rPr>
          <w:rFonts w:ascii="Times New Roman" w:hAnsi="Times New Roman" w:cs="Times New Roman"/>
          <w:color w:val="auto"/>
          <w:sz w:val="22"/>
          <w:szCs w:val="22"/>
        </w:rPr>
        <w:t>.</w:t>
      </w:r>
    </w:p>
    <w:p w14:paraId="19732092" w14:textId="77777777" w:rsidR="00A02600" w:rsidRPr="00B54968" w:rsidRDefault="00A02600" w:rsidP="003E2009">
      <w:pPr>
        <w:pStyle w:val="Default"/>
        <w:rPr>
          <w:rFonts w:ascii="Times New Roman" w:hAnsi="Times New Roman" w:cs="Times New Roman"/>
          <w:color w:val="auto"/>
          <w:sz w:val="22"/>
          <w:szCs w:val="22"/>
        </w:rPr>
      </w:pPr>
    </w:p>
    <w:p w14:paraId="70B54419" w14:textId="5EA6530D" w:rsidR="00A02600" w:rsidRPr="00B54968" w:rsidRDefault="002970A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These results are supported by the PK evaluation in </w:t>
      </w:r>
      <w:r w:rsidR="00894B47" w:rsidRPr="00B54968">
        <w:rPr>
          <w:rFonts w:ascii="Times New Roman" w:hAnsi="Times New Roman" w:cs="Times New Roman"/>
          <w:color w:val="auto"/>
          <w:sz w:val="22"/>
          <w:szCs w:val="22"/>
        </w:rPr>
        <w:t xml:space="preserve">a Phase 3 </w:t>
      </w:r>
      <w:proofErr w:type="spellStart"/>
      <w:r w:rsidR="005A664D" w:rsidRPr="00B54968">
        <w:rPr>
          <w:rFonts w:ascii="Times New Roman" w:hAnsi="Times New Roman" w:cs="Times New Roman"/>
          <w:color w:val="auto"/>
          <w:sz w:val="22"/>
          <w:szCs w:val="22"/>
        </w:rPr>
        <w:t>randomised</w:t>
      </w:r>
      <w:proofErr w:type="spellEnd"/>
      <w:r w:rsidR="005A664D" w:rsidRPr="00B54968">
        <w:rPr>
          <w:rFonts w:ascii="Times New Roman" w:hAnsi="Times New Roman" w:cs="Times New Roman"/>
          <w:color w:val="auto"/>
          <w:sz w:val="22"/>
          <w:szCs w:val="22"/>
        </w:rPr>
        <w:t xml:space="preserve">, double-blind, </w:t>
      </w:r>
      <w:proofErr w:type="spellStart"/>
      <w:r w:rsidR="005A664D" w:rsidRPr="00B54968">
        <w:rPr>
          <w:rFonts w:ascii="Times New Roman" w:hAnsi="Times New Roman" w:cs="Times New Roman"/>
          <w:color w:val="auto"/>
          <w:sz w:val="22"/>
          <w:szCs w:val="22"/>
        </w:rPr>
        <w:t>multicentre</w:t>
      </w:r>
      <w:proofErr w:type="spellEnd"/>
      <w:r w:rsidR="005A664D" w:rsidRPr="00B54968">
        <w:rPr>
          <w:rFonts w:ascii="Times New Roman" w:hAnsi="Times New Roman" w:cs="Times New Roman"/>
          <w:color w:val="auto"/>
          <w:sz w:val="22"/>
          <w:szCs w:val="22"/>
        </w:rPr>
        <w:t>, parallel-group study in patients with active R</w:t>
      </w:r>
      <w:r w:rsidR="00894B47" w:rsidRPr="00B54968">
        <w:rPr>
          <w:rFonts w:ascii="Times New Roman" w:hAnsi="Times New Roman" w:cs="Times New Roman"/>
          <w:color w:val="auto"/>
          <w:sz w:val="22"/>
          <w:szCs w:val="22"/>
        </w:rPr>
        <w:t xml:space="preserve">heumatoid </w:t>
      </w:r>
      <w:r w:rsidR="005A664D" w:rsidRPr="00B54968">
        <w:rPr>
          <w:rFonts w:ascii="Times New Roman" w:hAnsi="Times New Roman" w:cs="Times New Roman"/>
          <w:color w:val="auto"/>
          <w:sz w:val="22"/>
          <w:szCs w:val="22"/>
        </w:rPr>
        <w:t>A</w:t>
      </w:r>
      <w:r w:rsidR="00894B47" w:rsidRPr="00B54968">
        <w:rPr>
          <w:rFonts w:ascii="Times New Roman" w:hAnsi="Times New Roman" w:cs="Times New Roman"/>
          <w:color w:val="auto"/>
          <w:sz w:val="22"/>
          <w:szCs w:val="22"/>
        </w:rPr>
        <w:t>rthritis (RA)</w:t>
      </w:r>
      <w:r w:rsidR="005A664D"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The analyses of the secondary PK parameters showed that the PK profile of </w:t>
      </w:r>
      <w:r w:rsidR="00281C64">
        <w:rPr>
          <w:rFonts w:ascii="Times New Roman" w:hAnsi="Times New Roman" w:cs="Times New Roman"/>
          <w:color w:val="auto"/>
          <w:sz w:val="22"/>
          <w:szCs w:val="22"/>
        </w:rPr>
        <w:t>INFLECTRA</w:t>
      </w:r>
      <w:r w:rsidR="009C46EE"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is comparable to </w:t>
      </w:r>
      <w:r w:rsidR="001A691C">
        <w:rPr>
          <w:rFonts w:ascii="Times New Roman" w:hAnsi="Times New Roman" w:cs="Times New Roman"/>
          <w:color w:val="auto"/>
          <w:sz w:val="22"/>
          <w:szCs w:val="22"/>
        </w:rPr>
        <w:t>REMICADE</w:t>
      </w:r>
      <w:r w:rsidR="00B42860"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in this patient population as well.</w:t>
      </w:r>
      <w:r w:rsidR="00C446DC" w:rsidRPr="00B54968">
        <w:rPr>
          <w:rFonts w:ascii="Times New Roman" w:hAnsi="Times New Roman" w:cs="Times New Roman"/>
          <w:color w:val="auto"/>
          <w:sz w:val="22"/>
          <w:szCs w:val="22"/>
        </w:rPr>
        <w:t xml:space="preserve"> The pharmacokinetic parameters are summarized below in Table 2 and Table 3.</w:t>
      </w:r>
    </w:p>
    <w:p w14:paraId="750262B9" w14:textId="27A5FF50" w:rsidR="00A02600" w:rsidRPr="00B54968" w:rsidRDefault="00A02600" w:rsidP="003E2009">
      <w:pPr>
        <w:pStyle w:val="Default"/>
        <w:rPr>
          <w:rFonts w:ascii="Times New Roman" w:hAnsi="Times New Roman" w:cs="Times New Roman"/>
          <w:color w:val="auto"/>
          <w:sz w:val="22"/>
          <w:szCs w:val="22"/>
        </w:rPr>
      </w:pPr>
    </w:p>
    <w:p w14:paraId="779245EB" w14:textId="10840FAC" w:rsidR="00A02600" w:rsidRPr="00B54968" w:rsidRDefault="00680720" w:rsidP="003E2009">
      <w:pPr>
        <w:pStyle w:val="Default"/>
        <w:spacing w:after="120" w:line="276" w:lineRule="auto"/>
        <w:rPr>
          <w:rFonts w:ascii="Times New Roman" w:hAnsi="Times New Roman" w:cs="Times New Roman"/>
          <w:b/>
          <w:bCs/>
          <w:sz w:val="22"/>
          <w:szCs w:val="20"/>
        </w:rPr>
      </w:pPr>
      <w:r w:rsidRPr="00B54968">
        <w:rPr>
          <w:rFonts w:ascii="Times New Roman" w:hAnsi="Times New Roman" w:cs="Times New Roman"/>
          <w:b/>
          <w:bCs/>
          <w:sz w:val="22"/>
          <w:szCs w:val="20"/>
        </w:rPr>
        <w:t>Table 2:</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 xml:space="preserve">Geometric mean (%CV) of Infliximab at Week 30 (PK population)  </w:t>
      </w:r>
      <w:r w:rsidR="00972CFF">
        <w:rPr>
          <w:rFonts w:ascii="Times New Roman" w:hAnsi="Times New Roman" w:cs="Times New Roman"/>
          <w:b/>
          <w:bCs/>
          <w:sz w:val="22"/>
          <w:szCs w:val="20"/>
        </w:rPr>
        <w:t>- Study PLANET RA in Rheumatoid Arthritis</w:t>
      </w:r>
    </w:p>
    <w:tbl>
      <w:tblPr>
        <w:tblStyle w:val="3"/>
        <w:tblW w:w="0" w:type="auto"/>
        <w:tblInd w:w="108" w:type="dxa"/>
        <w:tblLook w:val="04A0" w:firstRow="1" w:lastRow="0" w:firstColumn="1" w:lastColumn="0" w:noHBand="0" w:noVBand="1"/>
      </w:tblPr>
      <w:tblGrid>
        <w:gridCol w:w="1680"/>
        <w:gridCol w:w="3696"/>
        <w:gridCol w:w="3696"/>
      </w:tblGrid>
      <w:tr w:rsidR="000F43AE" w:rsidRPr="00B54968" w14:paraId="6C8912A6" w14:textId="77777777" w:rsidTr="003E2009">
        <w:trPr>
          <w:tblHeader/>
        </w:trPr>
        <w:tc>
          <w:tcPr>
            <w:tcW w:w="1680" w:type="dxa"/>
            <w:tcBorders>
              <w:top w:val="single" w:sz="4" w:space="0" w:color="auto"/>
              <w:left w:val="single" w:sz="4" w:space="0" w:color="auto"/>
              <w:bottom w:val="single" w:sz="4" w:space="0" w:color="auto"/>
              <w:right w:val="single" w:sz="4" w:space="0" w:color="auto"/>
            </w:tcBorders>
            <w:vAlign w:val="center"/>
            <w:hideMark/>
          </w:tcPr>
          <w:p w14:paraId="41914C2C" w14:textId="77777777" w:rsidR="00A02600" w:rsidRPr="00B54968" w:rsidRDefault="00B42860" w:rsidP="003E2009">
            <w:pPr>
              <w:autoSpaceDE w:val="0"/>
              <w:autoSpaceDN w:val="0"/>
              <w:adjustRightInd w:val="0"/>
              <w:rPr>
                <w:rFonts w:ascii="Times New Roman" w:hAnsi="Times New Roman" w:cs="Times New Roman"/>
                <w:b/>
                <w:sz w:val="18"/>
                <w:szCs w:val="20"/>
              </w:rPr>
            </w:pPr>
            <w:r w:rsidRPr="00B54968">
              <w:rPr>
                <w:rFonts w:ascii="Times New Roman" w:hAnsi="Times New Roman" w:cs="Times New Roman"/>
                <w:b/>
                <w:sz w:val="18"/>
                <w:szCs w:val="20"/>
              </w:rPr>
              <w:t>Parameter</w:t>
            </w:r>
          </w:p>
        </w:tc>
        <w:tc>
          <w:tcPr>
            <w:tcW w:w="3696" w:type="dxa"/>
            <w:tcBorders>
              <w:top w:val="single" w:sz="4" w:space="0" w:color="auto"/>
              <w:left w:val="single" w:sz="4" w:space="0" w:color="auto"/>
              <w:bottom w:val="single" w:sz="4" w:space="0" w:color="auto"/>
              <w:right w:val="single" w:sz="4" w:space="0" w:color="auto"/>
            </w:tcBorders>
            <w:vAlign w:val="center"/>
            <w:hideMark/>
          </w:tcPr>
          <w:p w14:paraId="455EC9EA" w14:textId="2DCCF3A3" w:rsidR="002B0C47" w:rsidRPr="00B54968" w:rsidRDefault="00281C64" w:rsidP="003E2009">
            <w:pPr>
              <w:adjustRightInd w:val="0"/>
              <w:rPr>
                <w:rFonts w:ascii="Times New Roman" w:hAnsi="Times New Roman" w:cs="Times New Roman"/>
                <w:b/>
                <w:sz w:val="18"/>
                <w:szCs w:val="20"/>
                <w:lang w:val="de-DE" w:eastAsia="ko-KR"/>
              </w:rPr>
            </w:pPr>
            <w:r>
              <w:rPr>
                <w:rFonts w:ascii="Times New Roman" w:hAnsi="Times New Roman" w:cs="Times New Roman"/>
                <w:b/>
                <w:sz w:val="18"/>
                <w:szCs w:val="20"/>
                <w:lang w:val="de-DE"/>
              </w:rPr>
              <w:t>INFLECTRA</w:t>
            </w:r>
            <w:r w:rsidR="00184DF3" w:rsidRPr="00B54968">
              <w:rPr>
                <w:rFonts w:ascii="Times New Roman" w:hAnsi="Times New Roman" w:cs="Times New Roman"/>
                <w:sz w:val="18"/>
                <w:vertAlign w:val="superscript"/>
                <w:lang w:val="de-DE"/>
              </w:rPr>
              <w:t>®</w:t>
            </w:r>
          </w:p>
          <w:p w14:paraId="6074F23E" w14:textId="77777777" w:rsidR="00A02600" w:rsidRPr="00B54968" w:rsidRDefault="00B42860" w:rsidP="003E2009">
            <w:pPr>
              <w:adjustRightInd w:val="0"/>
              <w:rPr>
                <w:rFonts w:ascii="Times New Roman" w:hAnsi="Times New Roman" w:cs="Times New Roman"/>
                <w:b/>
                <w:sz w:val="18"/>
                <w:szCs w:val="20"/>
                <w:lang w:val="de-DE"/>
              </w:rPr>
            </w:pPr>
            <w:r w:rsidRPr="00B54968">
              <w:rPr>
                <w:rFonts w:ascii="Times New Roman" w:hAnsi="Times New Roman" w:cs="Times New Roman"/>
                <w:b/>
                <w:sz w:val="18"/>
                <w:szCs w:val="20"/>
                <w:lang w:val="de-DE"/>
              </w:rPr>
              <w:t>(3 mg/kg)</w:t>
            </w:r>
          </w:p>
          <w:p w14:paraId="017E255F" w14:textId="77777777" w:rsidR="00A02600" w:rsidRPr="00B54968" w:rsidRDefault="00B42860" w:rsidP="003E2009">
            <w:pPr>
              <w:autoSpaceDE w:val="0"/>
              <w:autoSpaceDN w:val="0"/>
              <w:adjustRightInd w:val="0"/>
              <w:rPr>
                <w:rFonts w:ascii="Times New Roman" w:hAnsi="Times New Roman" w:cs="Times New Roman"/>
                <w:b/>
                <w:sz w:val="18"/>
                <w:szCs w:val="20"/>
                <w:lang w:val="de-DE"/>
              </w:rPr>
            </w:pPr>
            <w:r w:rsidRPr="00B54968">
              <w:rPr>
                <w:rFonts w:ascii="Times New Roman" w:hAnsi="Times New Roman" w:cs="Times New Roman"/>
                <w:b/>
                <w:sz w:val="18"/>
                <w:szCs w:val="20"/>
                <w:lang w:val="de-DE"/>
              </w:rPr>
              <w:t>(n=292)</w:t>
            </w:r>
          </w:p>
        </w:tc>
        <w:tc>
          <w:tcPr>
            <w:tcW w:w="3696" w:type="dxa"/>
            <w:tcBorders>
              <w:top w:val="single" w:sz="4" w:space="0" w:color="auto"/>
              <w:left w:val="single" w:sz="4" w:space="0" w:color="auto"/>
              <w:bottom w:val="single" w:sz="4" w:space="0" w:color="auto"/>
              <w:right w:val="single" w:sz="4" w:space="0" w:color="auto"/>
            </w:tcBorders>
            <w:vAlign w:val="center"/>
            <w:hideMark/>
          </w:tcPr>
          <w:p w14:paraId="5F6C4FC1" w14:textId="5902CB3D" w:rsidR="00A02600" w:rsidRPr="00B54968" w:rsidRDefault="001A691C" w:rsidP="003E2009">
            <w:pPr>
              <w:adjustRightInd w:val="0"/>
              <w:rPr>
                <w:rFonts w:ascii="Times New Roman" w:hAnsi="Times New Roman" w:cs="Times New Roman"/>
                <w:b/>
                <w:sz w:val="18"/>
                <w:szCs w:val="20"/>
              </w:rPr>
            </w:pPr>
            <w:r>
              <w:rPr>
                <w:rFonts w:ascii="Times New Roman" w:hAnsi="Times New Roman" w:cs="Times New Roman"/>
                <w:b/>
                <w:sz w:val="18"/>
                <w:szCs w:val="20"/>
              </w:rPr>
              <w:t>REMICADE</w:t>
            </w:r>
            <w:r w:rsidR="00B42860" w:rsidRPr="00B54968">
              <w:rPr>
                <w:rFonts w:ascii="Times New Roman" w:hAnsi="Times New Roman" w:cs="Times New Roman"/>
                <w:b/>
                <w:sz w:val="18"/>
                <w:szCs w:val="20"/>
                <w:vertAlign w:val="superscript"/>
              </w:rPr>
              <w:t>®</w:t>
            </w:r>
          </w:p>
          <w:p w14:paraId="593C7954" w14:textId="77777777" w:rsidR="00A02600" w:rsidRPr="00B54968" w:rsidRDefault="00B42860" w:rsidP="003E2009">
            <w:pPr>
              <w:adjustRightInd w:val="0"/>
              <w:rPr>
                <w:rFonts w:ascii="Times New Roman" w:hAnsi="Times New Roman" w:cs="Times New Roman"/>
                <w:b/>
                <w:sz w:val="18"/>
                <w:szCs w:val="20"/>
              </w:rPr>
            </w:pPr>
            <w:r w:rsidRPr="00B54968">
              <w:rPr>
                <w:rFonts w:ascii="Times New Roman" w:hAnsi="Times New Roman" w:cs="Times New Roman"/>
                <w:b/>
                <w:sz w:val="18"/>
                <w:szCs w:val="20"/>
              </w:rPr>
              <w:t>(Schering-Plough, Belgium)</w:t>
            </w:r>
          </w:p>
          <w:p w14:paraId="00076522" w14:textId="77777777" w:rsidR="00A02600" w:rsidRPr="00B54968" w:rsidRDefault="00B42860" w:rsidP="003E2009">
            <w:pPr>
              <w:adjustRightInd w:val="0"/>
              <w:rPr>
                <w:rFonts w:ascii="Times New Roman" w:hAnsi="Times New Roman" w:cs="Times New Roman"/>
                <w:b/>
                <w:sz w:val="18"/>
                <w:szCs w:val="20"/>
              </w:rPr>
            </w:pPr>
            <w:r w:rsidRPr="00B54968">
              <w:rPr>
                <w:rFonts w:ascii="Times New Roman" w:hAnsi="Times New Roman" w:cs="Times New Roman"/>
                <w:b/>
                <w:sz w:val="18"/>
                <w:szCs w:val="20"/>
              </w:rPr>
              <w:t>(3 mg/kg)</w:t>
            </w:r>
          </w:p>
          <w:p w14:paraId="36BF861F" w14:textId="77777777" w:rsidR="00A02600" w:rsidRPr="00B54968" w:rsidRDefault="00B42860" w:rsidP="003E2009">
            <w:pPr>
              <w:autoSpaceDE w:val="0"/>
              <w:autoSpaceDN w:val="0"/>
              <w:adjustRightInd w:val="0"/>
              <w:rPr>
                <w:rFonts w:ascii="Times New Roman" w:hAnsi="Times New Roman" w:cs="Times New Roman"/>
                <w:b/>
                <w:sz w:val="18"/>
                <w:szCs w:val="20"/>
              </w:rPr>
            </w:pPr>
            <w:r w:rsidRPr="00B54968">
              <w:rPr>
                <w:rFonts w:ascii="Times New Roman" w:hAnsi="Times New Roman" w:cs="Times New Roman"/>
                <w:b/>
                <w:sz w:val="18"/>
                <w:szCs w:val="20"/>
              </w:rPr>
              <w:t>(n=289)</w:t>
            </w:r>
          </w:p>
        </w:tc>
      </w:tr>
      <w:tr w:rsidR="000F43AE" w:rsidRPr="00B54968" w14:paraId="1C3DF41C" w14:textId="77777777" w:rsidTr="001A691C">
        <w:trPr>
          <w:trHeight w:val="636"/>
        </w:trPr>
        <w:tc>
          <w:tcPr>
            <w:tcW w:w="1680" w:type="dxa"/>
            <w:tcBorders>
              <w:top w:val="single" w:sz="4" w:space="0" w:color="auto"/>
              <w:left w:val="single" w:sz="4" w:space="0" w:color="auto"/>
              <w:bottom w:val="single" w:sz="4" w:space="0" w:color="auto"/>
              <w:right w:val="single" w:sz="4" w:space="0" w:color="auto"/>
            </w:tcBorders>
            <w:vAlign w:val="center"/>
            <w:hideMark/>
          </w:tcPr>
          <w:p w14:paraId="619D6B68" w14:textId="77777777" w:rsidR="00A02600" w:rsidRPr="00B54968" w:rsidRDefault="00B42860" w:rsidP="003E2009">
            <w:pPr>
              <w:adjustRightInd w:val="0"/>
              <w:rPr>
                <w:rFonts w:ascii="Times New Roman" w:hAnsi="Times New Roman" w:cs="Times New Roman"/>
                <w:sz w:val="18"/>
                <w:szCs w:val="20"/>
                <w:vertAlign w:val="subscript"/>
              </w:rPr>
            </w:pPr>
            <w:r w:rsidRPr="00B54968">
              <w:rPr>
                <w:rFonts w:ascii="Times New Roman" w:hAnsi="Times New Roman" w:cs="Times New Roman"/>
                <w:sz w:val="18"/>
                <w:szCs w:val="20"/>
              </w:rPr>
              <w:t>C</w:t>
            </w:r>
            <w:r w:rsidRPr="00B54968">
              <w:rPr>
                <w:rFonts w:ascii="Times New Roman" w:hAnsi="Times New Roman" w:cs="Times New Roman"/>
                <w:sz w:val="18"/>
                <w:szCs w:val="20"/>
                <w:vertAlign w:val="subscript"/>
              </w:rPr>
              <w:t>MAX</w:t>
            </w:r>
          </w:p>
          <w:p w14:paraId="6F2E4D6B" w14:textId="77777777" w:rsidR="00A02600" w:rsidRPr="00B54968" w:rsidRDefault="00B42860" w:rsidP="003E200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(μg/mL)</w:t>
            </w:r>
          </w:p>
        </w:tc>
        <w:tc>
          <w:tcPr>
            <w:tcW w:w="3696" w:type="dxa"/>
            <w:tcBorders>
              <w:top w:val="single" w:sz="4" w:space="0" w:color="auto"/>
              <w:left w:val="single" w:sz="4" w:space="0" w:color="auto"/>
              <w:bottom w:val="single" w:sz="4" w:space="0" w:color="auto"/>
              <w:right w:val="single" w:sz="4" w:space="0" w:color="auto"/>
            </w:tcBorders>
            <w:vAlign w:val="center"/>
            <w:hideMark/>
          </w:tcPr>
          <w:p w14:paraId="5E5CFD80" w14:textId="77777777" w:rsidR="00680720" w:rsidRPr="00B54968" w:rsidRDefault="00B42860" w:rsidP="003E2009">
            <w:pPr>
              <w:adjustRightInd w:val="0"/>
              <w:spacing w:line="276" w:lineRule="auto"/>
              <w:rPr>
                <w:rFonts w:ascii="Times New Roman" w:hAnsi="Times New Roman" w:cs="Times New Roman"/>
                <w:sz w:val="18"/>
                <w:szCs w:val="20"/>
              </w:rPr>
            </w:pPr>
            <w:r w:rsidRPr="00B54968">
              <w:rPr>
                <w:rFonts w:ascii="Times New Roman" w:hAnsi="Times New Roman" w:cs="Times New Roman"/>
                <w:sz w:val="18"/>
                <w:szCs w:val="20"/>
              </w:rPr>
              <w:t>83.87 (38)</w:t>
            </w:r>
          </w:p>
          <w:p w14:paraId="30760C9D" w14:textId="77777777" w:rsidR="00A02600" w:rsidRPr="00B54968" w:rsidRDefault="00B42860" w:rsidP="003E200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(n=243)</w:t>
            </w:r>
          </w:p>
        </w:tc>
        <w:tc>
          <w:tcPr>
            <w:tcW w:w="3696" w:type="dxa"/>
            <w:tcBorders>
              <w:top w:val="single" w:sz="4" w:space="0" w:color="auto"/>
              <w:left w:val="single" w:sz="4" w:space="0" w:color="auto"/>
              <w:bottom w:val="single" w:sz="4" w:space="0" w:color="auto"/>
              <w:right w:val="single" w:sz="4" w:space="0" w:color="auto"/>
            </w:tcBorders>
            <w:vAlign w:val="center"/>
            <w:hideMark/>
          </w:tcPr>
          <w:p w14:paraId="3BCEB934" w14:textId="77777777" w:rsidR="00A02600" w:rsidRPr="00B54968" w:rsidRDefault="00B42860" w:rsidP="003E2009">
            <w:pPr>
              <w:adjustRightInd w:val="0"/>
              <w:rPr>
                <w:rFonts w:ascii="Times New Roman" w:hAnsi="Times New Roman" w:cs="Times New Roman"/>
                <w:sz w:val="18"/>
                <w:szCs w:val="20"/>
              </w:rPr>
            </w:pPr>
            <w:r w:rsidRPr="00B54968">
              <w:rPr>
                <w:rFonts w:ascii="Times New Roman" w:hAnsi="Times New Roman" w:cs="Times New Roman"/>
                <w:sz w:val="18"/>
                <w:szCs w:val="20"/>
              </w:rPr>
              <w:t>83.78 (35)</w:t>
            </w:r>
          </w:p>
          <w:p w14:paraId="04A3D563" w14:textId="77777777" w:rsidR="00A02600" w:rsidRPr="00B54968" w:rsidRDefault="00B42860" w:rsidP="003E200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(n=245)</w:t>
            </w:r>
          </w:p>
        </w:tc>
      </w:tr>
      <w:tr w:rsidR="000F43AE" w:rsidRPr="00B54968" w14:paraId="6AC36AC1" w14:textId="77777777" w:rsidTr="001A691C">
        <w:trPr>
          <w:trHeight w:val="636"/>
        </w:trPr>
        <w:tc>
          <w:tcPr>
            <w:tcW w:w="1680" w:type="dxa"/>
            <w:tcBorders>
              <w:top w:val="single" w:sz="4" w:space="0" w:color="auto"/>
              <w:left w:val="single" w:sz="4" w:space="0" w:color="auto"/>
              <w:bottom w:val="single" w:sz="4" w:space="0" w:color="auto"/>
              <w:right w:val="single" w:sz="4" w:space="0" w:color="auto"/>
            </w:tcBorders>
            <w:vAlign w:val="center"/>
            <w:hideMark/>
          </w:tcPr>
          <w:p w14:paraId="0FCA920B" w14:textId="77777777" w:rsidR="00A02600" w:rsidRPr="00B54968" w:rsidRDefault="00B42860" w:rsidP="003E2009">
            <w:pPr>
              <w:adjustRightInd w:val="0"/>
              <w:rPr>
                <w:rFonts w:ascii="Times New Roman" w:hAnsi="Times New Roman" w:cs="Times New Roman"/>
                <w:sz w:val="18"/>
                <w:szCs w:val="20"/>
              </w:rPr>
            </w:pPr>
            <w:r w:rsidRPr="00B54968">
              <w:rPr>
                <w:rFonts w:ascii="Times New Roman" w:hAnsi="Times New Roman" w:cs="Times New Roman"/>
                <w:sz w:val="18"/>
                <w:szCs w:val="20"/>
              </w:rPr>
              <w:t>T</w:t>
            </w:r>
            <w:r w:rsidRPr="00B54968">
              <w:rPr>
                <w:rFonts w:ascii="Times New Roman" w:hAnsi="Times New Roman" w:cs="Times New Roman"/>
                <w:sz w:val="18"/>
                <w:szCs w:val="20"/>
                <w:vertAlign w:val="subscript"/>
              </w:rPr>
              <w:t>MAX</w:t>
            </w:r>
          </w:p>
          <w:p w14:paraId="6951687D" w14:textId="77777777" w:rsidR="00A02600" w:rsidRPr="00B54968" w:rsidRDefault="00B42860" w:rsidP="003E200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(h)</w:t>
            </w:r>
          </w:p>
        </w:tc>
        <w:tc>
          <w:tcPr>
            <w:tcW w:w="3696" w:type="dxa"/>
            <w:tcBorders>
              <w:top w:val="single" w:sz="4" w:space="0" w:color="auto"/>
              <w:left w:val="single" w:sz="4" w:space="0" w:color="auto"/>
              <w:bottom w:val="single" w:sz="4" w:space="0" w:color="auto"/>
              <w:right w:val="single" w:sz="4" w:space="0" w:color="auto"/>
            </w:tcBorders>
            <w:vAlign w:val="center"/>
            <w:hideMark/>
          </w:tcPr>
          <w:p w14:paraId="732281F6" w14:textId="77777777" w:rsidR="00680720" w:rsidRPr="00B54968" w:rsidRDefault="00B42860" w:rsidP="003E2009">
            <w:pPr>
              <w:adjustRightInd w:val="0"/>
              <w:spacing w:line="276" w:lineRule="auto"/>
              <w:rPr>
                <w:rFonts w:ascii="Times New Roman" w:hAnsi="Times New Roman" w:cs="Times New Roman"/>
                <w:sz w:val="18"/>
                <w:szCs w:val="20"/>
              </w:rPr>
            </w:pPr>
            <w:r w:rsidRPr="00B54968">
              <w:rPr>
                <w:rFonts w:ascii="Times New Roman" w:hAnsi="Times New Roman" w:cs="Times New Roman"/>
                <w:sz w:val="18"/>
                <w:szCs w:val="20"/>
              </w:rPr>
              <w:t>2.08 (2.00, 3.58)</w:t>
            </w:r>
          </w:p>
          <w:p w14:paraId="0DE0B28E" w14:textId="77777777" w:rsidR="00A02600" w:rsidRPr="00B54968" w:rsidRDefault="00B42860" w:rsidP="003E200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(n=243)</w:t>
            </w:r>
          </w:p>
        </w:tc>
        <w:tc>
          <w:tcPr>
            <w:tcW w:w="3696" w:type="dxa"/>
            <w:tcBorders>
              <w:top w:val="single" w:sz="4" w:space="0" w:color="auto"/>
              <w:left w:val="single" w:sz="4" w:space="0" w:color="auto"/>
              <w:bottom w:val="single" w:sz="4" w:space="0" w:color="auto"/>
              <w:right w:val="single" w:sz="4" w:space="0" w:color="auto"/>
            </w:tcBorders>
            <w:vAlign w:val="center"/>
            <w:hideMark/>
          </w:tcPr>
          <w:p w14:paraId="002EB28E" w14:textId="77777777" w:rsidR="00A02600" w:rsidRPr="00B54968" w:rsidRDefault="00B42860" w:rsidP="003E2009">
            <w:pPr>
              <w:adjustRightInd w:val="0"/>
              <w:rPr>
                <w:rFonts w:ascii="Times New Roman" w:hAnsi="Times New Roman" w:cs="Times New Roman"/>
                <w:sz w:val="18"/>
                <w:szCs w:val="20"/>
              </w:rPr>
            </w:pPr>
            <w:r w:rsidRPr="00B54968">
              <w:rPr>
                <w:rFonts w:ascii="Times New Roman" w:hAnsi="Times New Roman" w:cs="Times New Roman"/>
                <w:sz w:val="18"/>
                <w:szCs w:val="20"/>
              </w:rPr>
              <w:t>2.25 (0.10, 3.33)</w:t>
            </w:r>
          </w:p>
          <w:p w14:paraId="1A849135" w14:textId="77777777" w:rsidR="00A02600" w:rsidRPr="00B54968" w:rsidRDefault="00B42860" w:rsidP="003E200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(n=245)</w:t>
            </w:r>
          </w:p>
        </w:tc>
      </w:tr>
    </w:tbl>
    <w:p w14:paraId="65E367C7" w14:textId="77777777" w:rsidR="00A02600" w:rsidRPr="00B54968" w:rsidRDefault="00680720" w:rsidP="003E2009">
      <w:pPr>
        <w:pStyle w:val="Default"/>
        <w:rPr>
          <w:rFonts w:ascii="Times New Roman" w:hAnsi="Times New Roman" w:cs="Times New Roman"/>
          <w:color w:val="auto"/>
          <w:sz w:val="18"/>
          <w:szCs w:val="18"/>
        </w:rPr>
      </w:pPr>
      <w:r w:rsidRPr="00B54968">
        <w:rPr>
          <w:rFonts w:ascii="Times New Roman" w:hAnsi="Times New Roman" w:cs="Times New Roman"/>
          <w:color w:val="auto"/>
          <w:sz w:val="18"/>
          <w:szCs w:val="18"/>
          <w:lang w:val="en-CA"/>
        </w:rPr>
        <w:t>C</w:t>
      </w:r>
      <w:r w:rsidRPr="00B54968">
        <w:rPr>
          <w:rFonts w:ascii="Times New Roman" w:hAnsi="Times New Roman" w:cs="Times New Roman"/>
          <w:color w:val="auto"/>
          <w:sz w:val="18"/>
          <w:szCs w:val="18"/>
          <w:vertAlign w:val="subscript"/>
          <w:lang w:val="en-CA"/>
        </w:rPr>
        <w:t>MAX,SS</w:t>
      </w:r>
      <w:r w:rsidRPr="00B54968">
        <w:rPr>
          <w:rFonts w:ascii="Times New Roman" w:hAnsi="Times New Roman" w:cs="Times New Roman"/>
          <w:color w:val="auto"/>
          <w:sz w:val="18"/>
          <w:szCs w:val="18"/>
          <w:lang w:val="en-CA"/>
        </w:rPr>
        <w:t>=Maximum serum concentration at steady state; C</w:t>
      </w:r>
      <w:r w:rsidRPr="00B54968">
        <w:rPr>
          <w:rFonts w:ascii="Times New Roman" w:hAnsi="Times New Roman" w:cs="Times New Roman"/>
          <w:color w:val="auto"/>
          <w:sz w:val="18"/>
          <w:szCs w:val="18"/>
          <w:vertAlign w:val="subscript"/>
          <w:lang w:val="en-CA"/>
        </w:rPr>
        <w:t>MIN,SS</w:t>
      </w:r>
      <w:r w:rsidRPr="00B54968">
        <w:rPr>
          <w:rFonts w:ascii="Times New Roman" w:hAnsi="Times New Roman" w:cs="Times New Roman"/>
          <w:color w:val="auto"/>
          <w:sz w:val="18"/>
          <w:szCs w:val="18"/>
          <w:lang w:val="en-CA"/>
        </w:rPr>
        <w:t>=Minimum serum concentration at steady state; T</w:t>
      </w:r>
      <w:r w:rsidRPr="00B54968">
        <w:rPr>
          <w:rFonts w:ascii="Times New Roman" w:hAnsi="Times New Roman" w:cs="Times New Roman"/>
          <w:color w:val="auto"/>
          <w:sz w:val="18"/>
          <w:szCs w:val="18"/>
          <w:vertAlign w:val="subscript"/>
          <w:lang w:val="en-CA"/>
        </w:rPr>
        <w:t>MAX</w:t>
      </w:r>
      <w:r w:rsidRPr="00B54968">
        <w:rPr>
          <w:rFonts w:ascii="Times New Roman" w:hAnsi="Times New Roman" w:cs="Times New Roman"/>
          <w:color w:val="auto"/>
          <w:sz w:val="18"/>
          <w:szCs w:val="18"/>
          <w:lang w:val="en-CA"/>
        </w:rPr>
        <w:t>=Time to reach C</w:t>
      </w:r>
      <w:r w:rsidRPr="00B54968">
        <w:rPr>
          <w:rFonts w:ascii="Times New Roman" w:hAnsi="Times New Roman" w:cs="Times New Roman"/>
          <w:color w:val="auto"/>
          <w:sz w:val="18"/>
          <w:szCs w:val="18"/>
          <w:vertAlign w:val="subscript"/>
          <w:lang w:val="en-CA"/>
        </w:rPr>
        <w:t>MAX</w:t>
      </w:r>
      <w:r w:rsidRPr="00B54968">
        <w:rPr>
          <w:rFonts w:ascii="Times New Roman" w:hAnsi="Times New Roman" w:cs="Times New Roman"/>
          <w:color w:val="auto"/>
          <w:sz w:val="18"/>
          <w:szCs w:val="18"/>
          <w:lang w:val="en-CA"/>
        </w:rPr>
        <w:t>; CI=Confidence interval</w:t>
      </w:r>
    </w:p>
    <w:p w14:paraId="60111E66" w14:textId="77777777" w:rsidR="00A02600" w:rsidRPr="00B54968" w:rsidRDefault="00A02600" w:rsidP="003E2009">
      <w:pPr>
        <w:tabs>
          <w:tab w:val="right" w:pos="9360"/>
        </w:tabs>
        <w:adjustRightInd w:val="0"/>
        <w:spacing w:after="120"/>
        <w:rPr>
          <w:rFonts w:ascii="Times New Roman" w:hAnsi="Times New Roman" w:cs="Times New Roman"/>
          <w:b/>
        </w:rPr>
      </w:pPr>
    </w:p>
    <w:p w14:paraId="165FEFF7" w14:textId="2640763B" w:rsidR="00A02600" w:rsidRPr="00B54968" w:rsidRDefault="002A2C7B" w:rsidP="003E2009">
      <w:pPr>
        <w:pStyle w:val="Default"/>
        <w:pageBreakBefore/>
        <w:spacing w:after="120" w:line="276" w:lineRule="auto"/>
        <w:rPr>
          <w:rFonts w:ascii="Times New Roman" w:hAnsi="Times New Roman" w:cs="Times New Roman"/>
          <w:b/>
          <w:bCs/>
          <w:sz w:val="22"/>
          <w:szCs w:val="20"/>
        </w:rPr>
      </w:pPr>
      <w:r w:rsidRPr="00B54968">
        <w:rPr>
          <w:rFonts w:ascii="Times New Roman" w:hAnsi="Times New Roman" w:cs="Times New Roman"/>
          <w:b/>
          <w:bCs/>
          <w:sz w:val="22"/>
          <w:szCs w:val="20"/>
        </w:rPr>
        <w:lastRenderedPageBreak/>
        <w:t>Table 3:</w:t>
      </w:r>
      <w:r w:rsidR="00B54968">
        <w:rPr>
          <w:rFonts w:ascii="Times New Roman" w:hAnsi="Times New Roman" w:cs="Times New Roman" w:hint="eastAsia"/>
          <w:b/>
          <w:bCs/>
          <w:sz w:val="22"/>
          <w:szCs w:val="20"/>
        </w:rPr>
        <w:tab/>
      </w:r>
      <w:r w:rsidRPr="00B54968">
        <w:rPr>
          <w:rFonts w:ascii="Times New Roman" w:hAnsi="Times New Roman" w:cs="Times New Roman"/>
          <w:b/>
          <w:bCs/>
          <w:sz w:val="22"/>
          <w:szCs w:val="20"/>
        </w:rPr>
        <w:t xml:space="preserve">Geometric mean (%CV) of Infliximab at Week 54 (PK population) </w:t>
      </w:r>
      <w:r w:rsidR="00972CFF">
        <w:rPr>
          <w:rFonts w:ascii="Times New Roman" w:hAnsi="Times New Roman" w:cs="Times New Roman"/>
          <w:b/>
          <w:bCs/>
          <w:sz w:val="22"/>
          <w:szCs w:val="20"/>
        </w:rPr>
        <w:t>–Study PLANET RA in Rheumatoid Arthritis</w:t>
      </w:r>
      <w:r w:rsidRPr="00B54968">
        <w:rPr>
          <w:rFonts w:ascii="Times New Roman" w:hAnsi="Times New Roman" w:cs="Times New Roman"/>
          <w:b/>
          <w:bCs/>
          <w:sz w:val="22"/>
          <w:szCs w:val="20"/>
        </w:rPr>
        <w:t xml:space="preserve"> </w:t>
      </w:r>
    </w:p>
    <w:tbl>
      <w:tblPr>
        <w:tblStyle w:val="3"/>
        <w:tblW w:w="0" w:type="auto"/>
        <w:tblInd w:w="108" w:type="dxa"/>
        <w:tblLook w:val="04A0" w:firstRow="1" w:lastRow="0" w:firstColumn="1" w:lastColumn="0" w:noHBand="0" w:noVBand="1"/>
      </w:tblPr>
      <w:tblGrid>
        <w:gridCol w:w="1204"/>
        <w:gridCol w:w="1898"/>
        <w:gridCol w:w="1899"/>
        <w:gridCol w:w="2035"/>
        <w:gridCol w:w="2036"/>
      </w:tblGrid>
      <w:tr w:rsidR="00B1668B" w:rsidRPr="00B54968" w14:paraId="756B16BC" w14:textId="77777777" w:rsidTr="003E2009">
        <w:trPr>
          <w:trHeight w:val="353"/>
          <w:tblHeader/>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985A2EE" w14:textId="77777777" w:rsidR="002A2C7B" w:rsidRPr="00B54968" w:rsidRDefault="00B42860" w:rsidP="003E2009">
            <w:pPr>
              <w:autoSpaceDE w:val="0"/>
              <w:autoSpaceDN w:val="0"/>
              <w:adjustRightInd w:val="0"/>
              <w:spacing w:after="200" w:line="276" w:lineRule="auto"/>
              <w:rPr>
                <w:rFonts w:ascii="Times New Roman" w:hAnsi="Times New Roman" w:cs="Times New Roman"/>
                <w:b/>
                <w:sz w:val="18"/>
                <w:szCs w:val="20"/>
              </w:rPr>
            </w:pPr>
            <w:r w:rsidRPr="00B54968">
              <w:rPr>
                <w:rFonts w:ascii="Times New Roman" w:hAnsi="Times New Roman" w:cs="Times New Roman"/>
                <w:b/>
                <w:sz w:val="18"/>
                <w:szCs w:val="20"/>
              </w:rPr>
              <w:t>Parameter</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16C87A40" w14:textId="77777777" w:rsidR="00A02600" w:rsidRPr="00B54968" w:rsidRDefault="00B42860" w:rsidP="003E2009">
            <w:pPr>
              <w:autoSpaceDE w:val="0"/>
              <w:autoSpaceDN w:val="0"/>
              <w:adjustRightInd w:val="0"/>
              <w:rPr>
                <w:rFonts w:ascii="Times New Roman" w:hAnsi="Times New Roman" w:cs="Times New Roman"/>
                <w:b/>
                <w:sz w:val="18"/>
                <w:szCs w:val="20"/>
              </w:rPr>
            </w:pPr>
            <w:r w:rsidRPr="00B54968">
              <w:rPr>
                <w:rFonts w:ascii="Times New Roman" w:hAnsi="Times New Roman" w:cs="Times New Roman"/>
                <w:b/>
                <w:sz w:val="18"/>
                <w:szCs w:val="20"/>
              </w:rPr>
              <w:t>n/N (%)</w:t>
            </w:r>
          </w:p>
        </w:tc>
        <w:tc>
          <w:tcPr>
            <w:tcW w:w="2035" w:type="dxa"/>
            <w:vMerge w:val="restart"/>
            <w:tcBorders>
              <w:top w:val="single" w:sz="4" w:space="0" w:color="auto"/>
              <w:left w:val="single" w:sz="4" w:space="0" w:color="auto"/>
              <w:bottom w:val="single" w:sz="4" w:space="0" w:color="auto"/>
              <w:right w:val="single" w:sz="4" w:space="0" w:color="auto"/>
            </w:tcBorders>
            <w:vAlign w:val="center"/>
            <w:hideMark/>
          </w:tcPr>
          <w:p w14:paraId="2406B168" w14:textId="2AAB8CDB" w:rsidR="00A02600" w:rsidRPr="00B54968" w:rsidRDefault="00281C64" w:rsidP="003E2009">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INFLECTRA</w:t>
            </w:r>
            <w:r w:rsidR="00B42860" w:rsidRPr="00B54968">
              <w:rPr>
                <w:rFonts w:ascii="Times New Roman" w:hAnsi="Times New Roman" w:cs="Times New Roman"/>
                <w:sz w:val="18"/>
                <w:vertAlign w:val="superscript"/>
              </w:rPr>
              <w:t>®</w:t>
            </w:r>
          </w:p>
        </w:tc>
        <w:tc>
          <w:tcPr>
            <w:tcW w:w="2036" w:type="dxa"/>
            <w:vMerge w:val="restart"/>
            <w:tcBorders>
              <w:top w:val="single" w:sz="4" w:space="0" w:color="auto"/>
              <w:left w:val="single" w:sz="4" w:space="0" w:color="auto"/>
              <w:bottom w:val="single" w:sz="4" w:space="0" w:color="auto"/>
              <w:right w:val="single" w:sz="4" w:space="0" w:color="auto"/>
            </w:tcBorders>
            <w:vAlign w:val="center"/>
            <w:hideMark/>
          </w:tcPr>
          <w:p w14:paraId="2FD0B98D" w14:textId="20861B61" w:rsidR="00A02600" w:rsidRPr="00B54968" w:rsidRDefault="001A691C" w:rsidP="003E2009">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REMICADE</w:t>
            </w:r>
            <w:r w:rsidR="00B42860" w:rsidRPr="00B54968">
              <w:rPr>
                <w:rFonts w:ascii="Times New Roman" w:hAnsi="Times New Roman" w:cs="Times New Roman"/>
                <w:b/>
                <w:sz w:val="18"/>
                <w:szCs w:val="20"/>
                <w:vertAlign w:val="superscript"/>
              </w:rPr>
              <w:t>®</w:t>
            </w:r>
          </w:p>
        </w:tc>
      </w:tr>
      <w:tr w:rsidR="00E46F75" w:rsidRPr="00B54968" w14:paraId="71420599" w14:textId="77777777" w:rsidTr="00BB5E5C">
        <w:trPr>
          <w:trHeight w:val="353"/>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8541333" w14:textId="77777777" w:rsidR="00A02600" w:rsidRPr="00B54968" w:rsidRDefault="00A02600" w:rsidP="003E2009">
            <w:pPr>
              <w:rPr>
                <w:rFonts w:ascii="Times New Roman" w:hAnsi="Times New Roman" w:cs="Times New Roman"/>
                <w:b/>
                <w:sz w:val="18"/>
                <w:szCs w:val="20"/>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3C714A65" w14:textId="124782D5" w:rsidR="00A02600" w:rsidRPr="00B54968" w:rsidRDefault="00281C64" w:rsidP="003E2009">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INFLECTRA</w:t>
            </w:r>
            <w:r w:rsidR="00B42860" w:rsidRPr="00B54968">
              <w:rPr>
                <w:rFonts w:ascii="Times New Roman" w:hAnsi="Times New Roman" w:cs="Times New Roman"/>
                <w:sz w:val="18"/>
                <w:vertAlign w:val="superscript"/>
              </w:rPr>
              <w:t>®</w:t>
            </w:r>
          </w:p>
        </w:tc>
        <w:tc>
          <w:tcPr>
            <w:tcW w:w="1899" w:type="dxa"/>
            <w:tcBorders>
              <w:top w:val="single" w:sz="4" w:space="0" w:color="auto"/>
              <w:left w:val="single" w:sz="4" w:space="0" w:color="auto"/>
              <w:bottom w:val="single" w:sz="4" w:space="0" w:color="auto"/>
              <w:right w:val="single" w:sz="4" w:space="0" w:color="auto"/>
            </w:tcBorders>
            <w:vAlign w:val="center"/>
            <w:hideMark/>
          </w:tcPr>
          <w:p w14:paraId="613FC760" w14:textId="2F23BDAC" w:rsidR="00A02600" w:rsidRPr="00B54968" w:rsidRDefault="001A691C" w:rsidP="003E2009">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REMICADE</w:t>
            </w:r>
            <w:r w:rsidR="00B42860" w:rsidRPr="00B54968">
              <w:rPr>
                <w:rFonts w:ascii="Times New Roman" w:hAnsi="Times New Roman" w:cs="Times New Roman"/>
                <w:b/>
                <w:sz w:val="18"/>
                <w:szCs w:val="20"/>
                <w:vertAlign w:val="superscript"/>
              </w:rPr>
              <w:t>®</w:t>
            </w:r>
          </w:p>
        </w:tc>
        <w:tc>
          <w:tcPr>
            <w:tcW w:w="2035" w:type="dxa"/>
            <w:vMerge/>
            <w:tcBorders>
              <w:top w:val="single" w:sz="4" w:space="0" w:color="auto"/>
              <w:left w:val="single" w:sz="4" w:space="0" w:color="auto"/>
              <w:bottom w:val="single" w:sz="4" w:space="0" w:color="auto"/>
              <w:right w:val="single" w:sz="4" w:space="0" w:color="auto"/>
            </w:tcBorders>
            <w:vAlign w:val="center"/>
            <w:hideMark/>
          </w:tcPr>
          <w:p w14:paraId="66D0A10A" w14:textId="77777777" w:rsidR="00A02600" w:rsidRPr="00B54968" w:rsidRDefault="00A02600" w:rsidP="003E2009">
            <w:pPr>
              <w:rPr>
                <w:rFonts w:ascii="Times New Roman" w:hAnsi="Times New Roman" w:cs="Times New Roman"/>
                <w:b/>
                <w:sz w:val="18"/>
                <w:szCs w:val="20"/>
              </w:rP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14:paraId="6CBEDD70" w14:textId="77777777" w:rsidR="00A02600" w:rsidRPr="00B54968" w:rsidRDefault="00A02600" w:rsidP="003E2009">
            <w:pPr>
              <w:rPr>
                <w:rFonts w:ascii="Times New Roman" w:hAnsi="Times New Roman" w:cs="Times New Roman"/>
                <w:b/>
                <w:sz w:val="18"/>
                <w:szCs w:val="20"/>
              </w:rPr>
            </w:pPr>
          </w:p>
        </w:tc>
      </w:tr>
      <w:tr w:rsidR="00E46F75" w:rsidRPr="00B54968" w14:paraId="5B000874" w14:textId="77777777" w:rsidTr="001A691C">
        <w:trPr>
          <w:trHeight w:val="698"/>
        </w:trPr>
        <w:tc>
          <w:tcPr>
            <w:tcW w:w="1204" w:type="dxa"/>
            <w:tcBorders>
              <w:top w:val="single" w:sz="4" w:space="0" w:color="auto"/>
              <w:left w:val="single" w:sz="4" w:space="0" w:color="auto"/>
              <w:bottom w:val="single" w:sz="4" w:space="0" w:color="auto"/>
              <w:right w:val="single" w:sz="4" w:space="0" w:color="auto"/>
            </w:tcBorders>
            <w:vAlign w:val="center"/>
            <w:hideMark/>
          </w:tcPr>
          <w:p w14:paraId="0CDDBECA" w14:textId="77777777" w:rsidR="00A02600" w:rsidRPr="00B54968" w:rsidRDefault="00B42860" w:rsidP="003E200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C</w:t>
            </w:r>
            <w:r w:rsidRPr="00B54968">
              <w:rPr>
                <w:rFonts w:ascii="Times New Roman" w:hAnsi="Times New Roman" w:cs="Times New Roman"/>
                <w:sz w:val="18"/>
                <w:szCs w:val="20"/>
                <w:vertAlign w:val="subscript"/>
              </w:rPr>
              <w:t xml:space="preserve">MAX </w:t>
            </w:r>
            <w:r w:rsidRPr="00B54968">
              <w:rPr>
                <w:rFonts w:ascii="Times New Roman" w:hAnsi="Times New Roman" w:cs="Times New Roman"/>
                <w:sz w:val="18"/>
                <w:szCs w:val="20"/>
              </w:rPr>
              <w:t>(μg/mL)</w:t>
            </w:r>
          </w:p>
        </w:tc>
        <w:tc>
          <w:tcPr>
            <w:tcW w:w="1898" w:type="dxa"/>
            <w:tcBorders>
              <w:top w:val="single" w:sz="4" w:space="0" w:color="auto"/>
              <w:left w:val="single" w:sz="4" w:space="0" w:color="auto"/>
              <w:bottom w:val="single" w:sz="4" w:space="0" w:color="auto"/>
              <w:right w:val="single" w:sz="4" w:space="0" w:color="auto"/>
            </w:tcBorders>
            <w:vAlign w:val="center"/>
            <w:hideMark/>
          </w:tcPr>
          <w:p w14:paraId="31ECF6C4" w14:textId="77777777" w:rsidR="00A02600" w:rsidRPr="00B54968" w:rsidRDefault="00B42860" w:rsidP="003E200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221/290 (76.2)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6AC39D8F" w14:textId="77777777" w:rsidR="00A02600" w:rsidRPr="00B54968" w:rsidRDefault="00B42860" w:rsidP="003E2009">
            <w:pPr>
              <w:autoSpaceDE w:val="0"/>
              <w:autoSpaceDN w:val="0"/>
              <w:adjustRightInd w:val="0"/>
              <w:spacing w:before="120"/>
              <w:rPr>
                <w:rFonts w:ascii="Times New Roman" w:hAnsi="Times New Roman" w:cs="Times New Roman"/>
                <w:sz w:val="18"/>
                <w:szCs w:val="20"/>
              </w:rPr>
            </w:pPr>
            <w:r w:rsidRPr="00B54968">
              <w:rPr>
                <w:rFonts w:ascii="Times New Roman" w:hAnsi="Times New Roman" w:cs="Times New Roman"/>
                <w:sz w:val="18"/>
                <w:szCs w:val="20"/>
              </w:rPr>
              <w:t>208/288 (72.2)</w:t>
            </w:r>
          </w:p>
        </w:tc>
        <w:tc>
          <w:tcPr>
            <w:tcW w:w="2035" w:type="dxa"/>
            <w:tcBorders>
              <w:top w:val="single" w:sz="4" w:space="0" w:color="auto"/>
              <w:left w:val="single" w:sz="4" w:space="0" w:color="auto"/>
              <w:bottom w:val="single" w:sz="4" w:space="0" w:color="auto"/>
              <w:right w:val="single" w:sz="4" w:space="0" w:color="auto"/>
            </w:tcBorders>
            <w:vAlign w:val="center"/>
            <w:hideMark/>
          </w:tcPr>
          <w:p w14:paraId="6D80676A" w14:textId="77777777" w:rsidR="00A02600" w:rsidRPr="00B54968" w:rsidRDefault="00B42860" w:rsidP="003E2009">
            <w:pPr>
              <w:autoSpaceDE w:val="0"/>
              <w:autoSpaceDN w:val="0"/>
              <w:adjustRightInd w:val="0"/>
              <w:spacing w:before="120"/>
              <w:rPr>
                <w:rFonts w:ascii="Times New Roman" w:hAnsi="Times New Roman" w:cs="Times New Roman"/>
                <w:sz w:val="18"/>
                <w:szCs w:val="20"/>
              </w:rPr>
            </w:pPr>
            <w:r w:rsidRPr="00B54968">
              <w:rPr>
                <w:rFonts w:ascii="Times New Roman" w:hAnsi="Times New Roman" w:cs="Times New Roman"/>
                <w:sz w:val="18"/>
                <w:szCs w:val="20"/>
              </w:rPr>
              <w:t>75.34 (38)</w:t>
            </w:r>
          </w:p>
        </w:tc>
        <w:tc>
          <w:tcPr>
            <w:tcW w:w="2036" w:type="dxa"/>
            <w:tcBorders>
              <w:top w:val="single" w:sz="4" w:space="0" w:color="auto"/>
              <w:left w:val="single" w:sz="4" w:space="0" w:color="auto"/>
              <w:bottom w:val="single" w:sz="4" w:space="0" w:color="auto"/>
              <w:right w:val="single" w:sz="4" w:space="0" w:color="auto"/>
            </w:tcBorders>
            <w:vAlign w:val="center"/>
            <w:hideMark/>
          </w:tcPr>
          <w:p w14:paraId="720C3FFF" w14:textId="77777777" w:rsidR="00A02600" w:rsidRPr="00B54968" w:rsidRDefault="00B42860" w:rsidP="003E200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69.16 (32)</w:t>
            </w:r>
          </w:p>
        </w:tc>
      </w:tr>
      <w:tr w:rsidR="00E46F75" w:rsidRPr="00B54968" w14:paraId="221F7452" w14:textId="77777777" w:rsidTr="001A691C">
        <w:trPr>
          <w:trHeight w:val="698"/>
        </w:trPr>
        <w:tc>
          <w:tcPr>
            <w:tcW w:w="1204" w:type="dxa"/>
            <w:tcBorders>
              <w:top w:val="single" w:sz="4" w:space="0" w:color="auto"/>
              <w:left w:val="single" w:sz="4" w:space="0" w:color="auto"/>
              <w:bottom w:val="single" w:sz="4" w:space="0" w:color="auto"/>
              <w:right w:val="single" w:sz="4" w:space="0" w:color="auto"/>
            </w:tcBorders>
            <w:vAlign w:val="center"/>
            <w:hideMark/>
          </w:tcPr>
          <w:p w14:paraId="2B513CDC" w14:textId="77777777" w:rsidR="00A02600" w:rsidRPr="00B54968" w:rsidRDefault="00B42860" w:rsidP="003E200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T</w:t>
            </w:r>
            <w:r w:rsidRPr="00B54968">
              <w:rPr>
                <w:rFonts w:ascii="Times New Roman" w:hAnsi="Times New Roman" w:cs="Times New Roman"/>
                <w:sz w:val="18"/>
                <w:szCs w:val="20"/>
                <w:vertAlign w:val="subscript"/>
              </w:rPr>
              <w:t xml:space="preserve">MAX </w:t>
            </w:r>
            <w:r w:rsidRPr="00B54968">
              <w:rPr>
                <w:rFonts w:ascii="Times New Roman" w:hAnsi="Times New Roman" w:cs="Times New Roman"/>
                <w:sz w:val="18"/>
                <w:szCs w:val="20"/>
              </w:rPr>
              <w:t>(h)*</w:t>
            </w:r>
          </w:p>
        </w:tc>
        <w:tc>
          <w:tcPr>
            <w:tcW w:w="1898" w:type="dxa"/>
            <w:tcBorders>
              <w:top w:val="single" w:sz="4" w:space="0" w:color="auto"/>
              <w:left w:val="single" w:sz="4" w:space="0" w:color="auto"/>
              <w:bottom w:val="single" w:sz="4" w:space="0" w:color="auto"/>
              <w:right w:val="single" w:sz="4" w:space="0" w:color="auto"/>
            </w:tcBorders>
            <w:vAlign w:val="center"/>
            <w:hideMark/>
          </w:tcPr>
          <w:p w14:paraId="66987AEB" w14:textId="77777777" w:rsidR="00A02600" w:rsidRPr="00B54968" w:rsidRDefault="00B42860" w:rsidP="003E200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221/290 (76.2)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02B06FA7" w14:textId="77777777" w:rsidR="00A02600" w:rsidRPr="00B54968" w:rsidRDefault="00B42860" w:rsidP="003E200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208/288 (72.2)</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5B80AD2" w14:textId="77777777" w:rsidR="00A02600" w:rsidRPr="00B54968" w:rsidRDefault="00B42860" w:rsidP="003E200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2.12 (2.00, 3.18)</w:t>
            </w:r>
          </w:p>
        </w:tc>
        <w:tc>
          <w:tcPr>
            <w:tcW w:w="2036" w:type="dxa"/>
            <w:tcBorders>
              <w:top w:val="single" w:sz="4" w:space="0" w:color="auto"/>
              <w:left w:val="single" w:sz="4" w:space="0" w:color="auto"/>
              <w:bottom w:val="single" w:sz="4" w:space="0" w:color="auto"/>
              <w:right w:val="single" w:sz="4" w:space="0" w:color="auto"/>
            </w:tcBorders>
            <w:vAlign w:val="center"/>
            <w:hideMark/>
          </w:tcPr>
          <w:p w14:paraId="4083FA20" w14:textId="77777777" w:rsidR="00A02600" w:rsidRPr="00B54968" w:rsidRDefault="00B42860" w:rsidP="003E200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2.08 (1.92, 3.32)</w:t>
            </w:r>
          </w:p>
        </w:tc>
      </w:tr>
    </w:tbl>
    <w:p w14:paraId="2BBE2756" w14:textId="77777777" w:rsidR="00A02600" w:rsidRPr="00B54968" w:rsidRDefault="002A2C7B" w:rsidP="003E2009">
      <w:pPr>
        <w:adjustRightInd w:val="0"/>
        <w:spacing w:after="0" w:line="240" w:lineRule="auto"/>
        <w:rPr>
          <w:rFonts w:ascii="Times New Roman" w:hAnsi="Times New Roman" w:cs="Times New Roman"/>
          <w:sz w:val="18"/>
          <w:szCs w:val="18"/>
          <w:lang w:val="en-CA"/>
        </w:rPr>
      </w:pPr>
      <w:r w:rsidRPr="00B54968">
        <w:rPr>
          <w:rFonts w:ascii="Times New Roman" w:hAnsi="Times New Roman" w:cs="Times New Roman"/>
          <w:sz w:val="18"/>
          <w:szCs w:val="18"/>
          <w:lang w:val="en-CA"/>
        </w:rPr>
        <w:t>C</w:t>
      </w:r>
      <w:r w:rsidRPr="00B54968">
        <w:rPr>
          <w:rFonts w:ascii="Times New Roman" w:hAnsi="Times New Roman" w:cs="Times New Roman"/>
          <w:sz w:val="18"/>
          <w:szCs w:val="18"/>
          <w:vertAlign w:val="subscript"/>
          <w:lang w:val="en-CA"/>
        </w:rPr>
        <w:t>MAX,SS</w:t>
      </w:r>
      <w:r w:rsidRPr="00B54968">
        <w:rPr>
          <w:rFonts w:ascii="Times New Roman" w:hAnsi="Times New Roman" w:cs="Times New Roman"/>
          <w:sz w:val="18"/>
          <w:szCs w:val="18"/>
          <w:lang w:val="en-CA"/>
        </w:rPr>
        <w:t>=Maximum serum concentration at steady state; T</w:t>
      </w:r>
      <w:r w:rsidRPr="00B54968">
        <w:rPr>
          <w:rFonts w:ascii="Times New Roman" w:hAnsi="Times New Roman" w:cs="Times New Roman"/>
          <w:sz w:val="18"/>
          <w:szCs w:val="18"/>
          <w:vertAlign w:val="subscript"/>
          <w:lang w:val="en-CA"/>
        </w:rPr>
        <w:t>MAX</w:t>
      </w:r>
      <w:r w:rsidRPr="00B54968">
        <w:rPr>
          <w:rFonts w:ascii="Times New Roman" w:hAnsi="Times New Roman" w:cs="Times New Roman"/>
          <w:sz w:val="18"/>
          <w:szCs w:val="18"/>
          <w:lang w:val="en-CA"/>
        </w:rPr>
        <w:t xml:space="preserve">=Time to reach </w:t>
      </w:r>
    </w:p>
    <w:p w14:paraId="38F7D4E6" w14:textId="7877C41D" w:rsidR="00A02600" w:rsidRPr="00B54968" w:rsidRDefault="002A2C7B" w:rsidP="003E2009">
      <w:pPr>
        <w:adjustRightInd w:val="0"/>
        <w:spacing w:after="0" w:line="240" w:lineRule="auto"/>
        <w:rPr>
          <w:rFonts w:ascii="Times New Roman" w:hAnsi="Times New Roman" w:cs="Times New Roman"/>
          <w:sz w:val="18"/>
          <w:szCs w:val="18"/>
          <w:lang w:val="en-CA"/>
        </w:rPr>
      </w:pPr>
      <w:r w:rsidRPr="00B54968">
        <w:rPr>
          <w:rFonts w:ascii="Times New Roman" w:hAnsi="Times New Roman" w:cs="Times New Roman"/>
          <w:sz w:val="18"/>
          <w:szCs w:val="18"/>
          <w:lang w:val="en-CA"/>
        </w:rPr>
        <w:t>*</w:t>
      </w:r>
      <w:proofErr w:type="spellStart"/>
      <w:r w:rsidRPr="00B54968">
        <w:rPr>
          <w:rFonts w:ascii="Times New Roman" w:hAnsi="Times New Roman" w:cs="Times New Roman"/>
          <w:sz w:val="18"/>
          <w:szCs w:val="18"/>
          <w:lang w:val="en-CA"/>
        </w:rPr>
        <w:t>T</w:t>
      </w:r>
      <w:r w:rsidRPr="00B54968">
        <w:rPr>
          <w:rFonts w:ascii="Times New Roman" w:hAnsi="Times New Roman" w:cs="Times New Roman"/>
          <w:sz w:val="18"/>
          <w:szCs w:val="18"/>
          <w:vertAlign w:val="subscript"/>
          <w:lang w:val="en-CA"/>
        </w:rPr>
        <w:t>max</w:t>
      </w:r>
      <w:proofErr w:type="spellEnd"/>
      <w:r w:rsidRPr="00B54968">
        <w:rPr>
          <w:rFonts w:ascii="Times New Roman" w:hAnsi="Times New Roman" w:cs="Times New Roman"/>
          <w:sz w:val="18"/>
          <w:szCs w:val="18"/>
          <w:lang w:val="en-CA"/>
        </w:rPr>
        <w:t xml:space="preserve"> was reported as median (minimum, maximum)</w:t>
      </w:r>
    </w:p>
    <w:p w14:paraId="16AF6069" w14:textId="4F1D0556" w:rsidR="00A02600" w:rsidRPr="00B54968" w:rsidRDefault="00A02600" w:rsidP="003E2009">
      <w:pPr>
        <w:pStyle w:val="Default"/>
        <w:widowControl w:val="0"/>
        <w:rPr>
          <w:rFonts w:ascii="Times New Roman" w:hAnsi="Times New Roman" w:cs="Times New Roman"/>
          <w:b/>
          <w:bCs/>
          <w:color w:val="auto"/>
          <w:sz w:val="22"/>
          <w:szCs w:val="22"/>
        </w:rPr>
      </w:pPr>
    </w:p>
    <w:p w14:paraId="1953F81B" w14:textId="085420C5" w:rsidR="00A02600" w:rsidRPr="00B54968" w:rsidRDefault="00497413" w:rsidP="003E2009">
      <w:pPr>
        <w:pStyle w:val="Default"/>
        <w:widowControl w:val="0"/>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CLINICAL TRIALS </w:t>
      </w:r>
    </w:p>
    <w:p w14:paraId="11D28F36" w14:textId="77777777" w:rsidR="00330800" w:rsidRPr="00B54968" w:rsidRDefault="00330800" w:rsidP="003E2009">
      <w:pPr>
        <w:pStyle w:val="Default"/>
        <w:widowControl w:val="0"/>
        <w:rPr>
          <w:rFonts w:ascii="Times New Roman" w:hAnsi="Times New Roman" w:cs="Times New Roman"/>
          <w:b/>
          <w:bCs/>
          <w:color w:val="auto"/>
          <w:sz w:val="22"/>
          <w:szCs w:val="22"/>
        </w:rPr>
      </w:pPr>
    </w:p>
    <w:p w14:paraId="45E5BE30" w14:textId="5C72CD9D" w:rsidR="00094BE0" w:rsidRPr="00B54968" w:rsidRDefault="00094BE0" w:rsidP="003E2009">
      <w:pPr>
        <w:pStyle w:val="Default"/>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t xml:space="preserve">Comparability of </w:t>
      </w:r>
      <w:r w:rsidR="00281C64">
        <w:rPr>
          <w:rFonts w:ascii="Times New Roman" w:hAnsi="Times New Roman" w:cs="Times New Roman"/>
          <w:b/>
          <w:i/>
          <w:color w:val="auto"/>
          <w:sz w:val="22"/>
          <w:szCs w:val="22"/>
        </w:rPr>
        <w:t>INFLECTRA</w:t>
      </w:r>
      <w:r w:rsidRPr="00B54968">
        <w:rPr>
          <w:rFonts w:ascii="Times New Roman" w:hAnsi="Times New Roman" w:cs="Times New Roman"/>
          <w:color w:val="auto"/>
          <w:sz w:val="22"/>
          <w:szCs w:val="22"/>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2454ED2C" w14:textId="3B46EEA1" w:rsidR="00094BE0" w:rsidRPr="00B54968" w:rsidRDefault="00094BE0" w:rsidP="003E2009">
      <w:pPr>
        <w:pStyle w:val="Default"/>
        <w:rPr>
          <w:rFonts w:ascii="Times New Roman" w:hAnsi="Times New Roman" w:cs="Times New Roman"/>
          <w:sz w:val="22"/>
          <w:szCs w:val="22"/>
        </w:rPr>
      </w:pPr>
      <w:r w:rsidRPr="00B54968">
        <w:rPr>
          <w:rFonts w:ascii="Times New Roman" w:hAnsi="Times New Roman" w:cs="Times New Roman"/>
          <w:sz w:val="22"/>
          <w:szCs w:val="22"/>
        </w:rPr>
        <w:t xml:space="preserve">The clinical development program to show clinical comparability between </w:t>
      </w:r>
      <w:r w:rsidR="00281C64">
        <w:rPr>
          <w:rFonts w:ascii="Times New Roman" w:hAnsi="Times New Roman" w:cs="Times New Roman"/>
          <w:sz w:val="22"/>
          <w:szCs w:val="22"/>
        </w:rPr>
        <w:t>INFLECTRA</w:t>
      </w:r>
      <w:r w:rsidR="0000044A" w:rsidRPr="00B54968">
        <w:rPr>
          <w:rFonts w:ascii="Times New Roman" w:hAnsi="Times New Roman" w:cs="Times New Roman"/>
          <w:sz w:val="22"/>
          <w:szCs w:val="22"/>
          <w:vertAlign w:val="superscript"/>
        </w:rPr>
        <w:t>®</w:t>
      </w:r>
      <w:r w:rsidR="0000044A" w:rsidRPr="00B54968">
        <w:rPr>
          <w:rFonts w:ascii="Times New Roman" w:hAnsi="Times New Roman" w:cs="Times New Roman"/>
          <w:sz w:val="22"/>
          <w:szCs w:val="22"/>
        </w:rPr>
        <w:t xml:space="preserve"> </w:t>
      </w:r>
      <w:r w:rsidRPr="00B54968">
        <w:rPr>
          <w:rFonts w:ascii="Times New Roman" w:hAnsi="Times New Roman" w:cs="Times New Roman"/>
          <w:sz w:val="22"/>
          <w:szCs w:val="22"/>
        </w:rPr>
        <w:t>and the reference product is based on</w:t>
      </w:r>
    </w:p>
    <w:p w14:paraId="691B8307" w14:textId="2B3D743A" w:rsidR="00094BE0" w:rsidRPr="00B54968" w:rsidRDefault="00094BE0" w:rsidP="003E2009">
      <w:pPr>
        <w:pStyle w:val="Default"/>
        <w:numPr>
          <w:ilvl w:val="0"/>
          <w:numId w:val="9"/>
        </w:numPr>
        <w:rPr>
          <w:rFonts w:ascii="Times New Roman" w:hAnsi="Times New Roman" w:cs="Times New Roman"/>
          <w:sz w:val="22"/>
          <w:szCs w:val="22"/>
        </w:rPr>
      </w:pPr>
      <w:r w:rsidRPr="00B54968">
        <w:rPr>
          <w:rFonts w:ascii="Times New Roman" w:hAnsi="Times New Roman" w:cs="Times New Roman"/>
          <w:sz w:val="22"/>
          <w:szCs w:val="22"/>
        </w:rPr>
        <w:t>A pivotal comparative pharmacokinetic (PK) phase 1 study (PLANET AS</w:t>
      </w:r>
      <w:r w:rsidR="00972CFF">
        <w:rPr>
          <w:rFonts w:ascii="Times New Roman" w:hAnsi="Times New Roman" w:cs="Times New Roman"/>
          <w:sz w:val="22"/>
          <w:szCs w:val="22"/>
        </w:rPr>
        <w:t xml:space="preserve"> (CT-P13 1.1)</w:t>
      </w:r>
      <w:r w:rsidRPr="00B54968">
        <w:rPr>
          <w:rFonts w:ascii="Times New Roman" w:hAnsi="Times New Roman" w:cs="Times New Roman"/>
          <w:sz w:val="22"/>
          <w:szCs w:val="22"/>
        </w:rPr>
        <w:t xml:space="preserve">) in 250 patients with ankylosing spondylitis (AS) of which 128 patients received </w:t>
      </w:r>
      <w:r w:rsidR="00281C64">
        <w:rPr>
          <w:rFonts w:ascii="Times New Roman" w:hAnsi="Times New Roman" w:cs="Times New Roman"/>
          <w:sz w:val="22"/>
          <w:szCs w:val="22"/>
        </w:rPr>
        <w:t>INFLECTRA</w:t>
      </w:r>
      <w:r w:rsidR="0000044A" w:rsidRPr="00B54968">
        <w:rPr>
          <w:rFonts w:ascii="Times New Roman" w:hAnsi="Times New Roman" w:cs="Times New Roman"/>
          <w:sz w:val="22"/>
          <w:szCs w:val="22"/>
          <w:vertAlign w:val="superscript"/>
        </w:rPr>
        <w:t>®</w:t>
      </w:r>
      <w:r w:rsidRPr="00B54968">
        <w:rPr>
          <w:rFonts w:ascii="Times New Roman" w:hAnsi="Times New Roman" w:cs="Times New Roman"/>
          <w:sz w:val="22"/>
          <w:szCs w:val="22"/>
        </w:rPr>
        <w:t>.</w:t>
      </w:r>
    </w:p>
    <w:p w14:paraId="5F7E9FC6" w14:textId="6FA09176" w:rsidR="00094BE0" w:rsidRPr="00B54968" w:rsidRDefault="00094BE0" w:rsidP="003E2009">
      <w:pPr>
        <w:pStyle w:val="Default"/>
        <w:numPr>
          <w:ilvl w:val="0"/>
          <w:numId w:val="9"/>
        </w:numPr>
        <w:rPr>
          <w:rFonts w:ascii="Times New Roman" w:hAnsi="Times New Roman" w:cs="Times New Roman"/>
          <w:sz w:val="22"/>
          <w:szCs w:val="22"/>
        </w:rPr>
      </w:pPr>
      <w:r w:rsidRPr="00B54968">
        <w:rPr>
          <w:rFonts w:ascii="Times New Roman" w:hAnsi="Times New Roman" w:cs="Times New Roman"/>
          <w:sz w:val="22"/>
          <w:szCs w:val="22"/>
        </w:rPr>
        <w:t>A pivotal comparative efficacy and safety study (PLANET RA</w:t>
      </w:r>
      <w:r w:rsidR="00972CFF">
        <w:rPr>
          <w:rFonts w:ascii="Times New Roman" w:hAnsi="Times New Roman" w:cs="Times New Roman"/>
          <w:sz w:val="22"/>
          <w:szCs w:val="22"/>
        </w:rPr>
        <w:t xml:space="preserve"> (CT-P13 3.1</w:t>
      </w:r>
      <w:r w:rsidRPr="00B54968">
        <w:rPr>
          <w:rFonts w:ascii="Times New Roman" w:hAnsi="Times New Roman" w:cs="Times New Roman"/>
          <w:sz w:val="22"/>
          <w:szCs w:val="22"/>
        </w:rPr>
        <w:t xml:space="preserve">) in 606 patients with rheumatoid arthritis (RA) of which 301 patients received </w:t>
      </w:r>
      <w:r w:rsidR="00281C64">
        <w:rPr>
          <w:rFonts w:ascii="Times New Roman" w:hAnsi="Times New Roman" w:cs="Times New Roman"/>
          <w:sz w:val="22"/>
          <w:szCs w:val="22"/>
        </w:rPr>
        <w:t>INFLECTRA</w:t>
      </w:r>
      <w:r w:rsidR="00E27364" w:rsidRPr="00B54968">
        <w:rPr>
          <w:rFonts w:ascii="Times New Roman" w:hAnsi="Times New Roman" w:cs="Times New Roman"/>
          <w:sz w:val="22"/>
          <w:szCs w:val="22"/>
          <w:vertAlign w:val="superscript"/>
        </w:rPr>
        <w:t>®</w:t>
      </w:r>
      <w:r w:rsidRPr="00B54968">
        <w:rPr>
          <w:rFonts w:ascii="Times New Roman" w:hAnsi="Times New Roman" w:cs="Times New Roman"/>
          <w:sz w:val="22"/>
          <w:szCs w:val="22"/>
        </w:rPr>
        <w:t>.</w:t>
      </w:r>
    </w:p>
    <w:p w14:paraId="55B8EAC5" w14:textId="017653D6" w:rsidR="00D77681" w:rsidRDefault="00D77681" w:rsidP="003E2009">
      <w:pPr>
        <w:pStyle w:val="Default"/>
        <w:rPr>
          <w:rFonts w:ascii="Times New Roman" w:hAnsi="Times New Roman" w:cs="Times New Roman"/>
          <w:sz w:val="22"/>
          <w:szCs w:val="22"/>
        </w:rPr>
      </w:pPr>
    </w:p>
    <w:p w14:paraId="7A5C7756" w14:textId="77777777" w:rsidR="00E8624B" w:rsidRPr="00B54968" w:rsidRDefault="00E8624B" w:rsidP="003E2009">
      <w:pPr>
        <w:pStyle w:val="Default"/>
        <w:rPr>
          <w:rFonts w:ascii="Times New Roman" w:hAnsi="Times New Roman" w:cs="Times New Roman"/>
          <w:sz w:val="22"/>
          <w:szCs w:val="22"/>
        </w:rPr>
      </w:pPr>
      <w:r w:rsidRPr="00B54968">
        <w:rPr>
          <w:rFonts w:ascii="Times New Roman" w:hAnsi="Times New Roman" w:cs="Times New Roman"/>
          <w:sz w:val="22"/>
          <w:szCs w:val="22"/>
        </w:rPr>
        <w:t xml:space="preserve">A summary of the design and subject demographics of the two studies is presented in </w:t>
      </w:r>
      <w:r w:rsidRPr="00AC2984">
        <w:rPr>
          <w:rFonts w:ascii="Times New Roman" w:hAnsi="Times New Roman" w:cs="Times New Roman"/>
          <w:sz w:val="22"/>
          <w:szCs w:val="22"/>
        </w:rPr>
        <w:t>Table 4</w:t>
      </w:r>
      <w:r w:rsidRPr="00E95372">
        <w:rPr>
          <w:rFonts w:ascii="Times New Roman" w:hAnsi="Times New Roman" w:cs="Times New Roman"/>
          <w:sz w:val="22"/>
          <w:szCs w:val="22"/>
        </w:rPr>
        <w:t>.</w:t>
      </w:r>
    </w:p>
    <w:p w14:paraId="53954358" w14:textId="76C13695" w:rsidR="00B54968" w:rsidRPr="00B54968" w:rsidRDefault="00B54968" w:rsidP="003E2009">
      <w:pPr>
        <w:pStyle w:val="Default"/>
        <w:rPr>
          <w:rFonts w:ascii="Times New Roman" w:hAnsi="Times New Roman" w:cs="Times New Roman"/>
          <w:sz w:val="22"/>
          <w:szCs w:val="22"/>
          <w:lang w:eastAsia="ko-KR"/>
        </w:rPr>
      </w:pPr>
    </w:p>
    <w:p w14:paraId="6AAD4013" w14:textId="3F20E485" w:rsidR="00094BE0" w:rsidRPr="00B54968" w:rsidRDefault="00B54968" w:rsidP="003E2009">
      <w:pPr>
        <w:pStyle w:val="Default"/>
        <w:spacing w:after="120" w:line="276" w:lineRule="auto"/>
        <w:rPr>
          <w:rFonts w:ascii="Times New Roman" w:hAnsi="Times New Roman" w:cs="Times New Roman"/>
          <w:szCs w:val="22"/>
        </w:rPr>
      </w:pPr>
      <w:r w:rsidRPr="00B54968">
        <w:rPr>
          <w:rFonts w:ascii="Times New Roman" w:hAnsi="Times New Roman" w:cs="Times New Roman"/>
          <w:b/>
          <w:bCs/>
          <w:sz w:val="22"/>
          <w:szCs w:val="20"/>
        </w:rPr>
        <w:t>Table 4</w:t>
      </w:r>
      <w:r w:rsidRPr="00B54968">
        <w:rPr>
          <w:rFonts w:ascii="Times New Roman" w:hAnsi="Times New Roman" w:cs="Times New Roman"/>
          <w:b/>
          <w:sz w:val="22"/>
          <w:szCs w:val="20"/>
        </w:rPr>
        <w:t xml:space="preserve">: </w:t>
      </w:r>
      <w:r w:rsidRPr="00B54968">
        <w:rPr>
          <w:rFonts w:ascii="Times New Roman" w:hAnsi="Times New Roman" w:cs="Times New Roman" w:hint="eastAsia"/>
          <w:b/>
          <w:sz w:val="22"/>
          <w:szCs w:val="20"/>
          <w:lang w:eastAsia="ko-KR"/>
        </w:rPr>
        <w:tab/>
      </w:r>
      <w:r w:rsidRPr="00B54968">
        <w:rPr>
          <w:rFonts w:ascii="Times New Roman" w:hAnsi="Times New Roman" w:cs="Times New Roman"/>
          <w:b/>
          <w:sz w:val="22"/>
          <w:szCs w:val="20"/>
        </w:rPr>
        <w:t>Study PLANET AS and PLANET RA patient demographics and study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1702"/>
        <w:gridCol w:w="1701"/>
        <w:gridCol w:w="993"/>
        <w:gridCol w:w="1985"/>
        <w:gridCol w:w="1904"/>
      </w:tblGrid>
      <w:tr w:rsidR="00362719" w:rsidRPr="00B54968" w14:paraId="2FF93700" w14:textId="77777777" w:rsidTr="00362719">
        <w:trPr>
          <w:trHeight w:val="310"/>
          <w:tblHeader/>
        </w:trPr>
        <w:tc>
          <w:tcPr>
            <w:tcW w:w="518" w:type="pct"/>
            <w:tcBorders>
              <w:top w:val="single" w:sz="4" w:space="0" w:color="auto"/>
              <w:left w:val="single" w:sz="4" w:space="0" w:color="auto"/>
              <w:right w:val="single" w:sz="4" w:space="0" w:color="auto"/>
            </w:tcBorders>
            <w:vAlign w:val="center"/>
          </w:tcPr>
          <w:p w14:paraId="301CC027" w14:textId="77777777" w:rsidR="00094BE0" w:rsidRPr="00B54968" w:rsidRDefault="00094BE0" w:rsidP="003E2009">
            <w:pPr>
              <w:pStyle w:val="Default"/>
              <w:rPr>
                <w:rFonts w:ascii="Times New Roman" w:hAnsi="Times New Roman" w:cs="Times New Roman"/>
                <w:b/>
                <w:sz w:val="18"/>
                <w:szCs w:val="20"/>
              </w:rPr>
            </w:pPr>
            <w:r w:rsidRPr="00B54968">
              <w:rPr>
                <w:rFonts w:ascii="Times New Roman" w:hAnsi="Times New Roman" w:cs="Times New Roman"/>
                <w:b/>
                <w:sz w:val="18"/>
                <w:szCs w:val="20"/>
              </w:rPr>
              <w:t>STUDY</w:t>
            </w:r>
          </w:p>
        </w:tc>
        <w:tc>
          <w:tcPr>
            <w:tcW w:w="921" w:type="pct"/>
            <w:tcBorders>
              <w:top w:val="single" w:sz="4" w:space="0" w:color="auto"/>
              <w:left w:val="single" w:sz="4" w:space="0" w:color="auto"/>
              <w:right w:val="single" w:sz="4" w:space="0" w:color="auto"/>
            </w:tcBorders>
            <w:vAlign w:val="center"/>
          </w:tcPr>
          <w:p w14:paraId="5A045442" w14:textId="77777777" w:rsidR="00094BE0" w:rsidRPr="00B54968" w:rsidRDefault="00094BE0" w:rsidP="003E2009">
            <w:pPr>
              <w:pStyle w:val="Default"/>
              <w:rPr>
                <w:rFonts w:ascii="Times New Roman" w:hAnsi="Times New Roman" w:cs="Times New Roman"/>
                <w:b/>
                <w:sz w:val="18"/>
                <w:szCs w:val="20"/>
              </w:rPr>
            </w:pPr>
            <w:r w:rsidRPr="00B54968">
              <w:rPr>
                <w:rFonts w:ascii="Times New Roman" w:hAnsi="Times New Roman" w:cs="Times New Roman"/>
                <w:b/>
                <w:sz w:val="18"/>
                <w:szCs w:val="20"/>
              </w:rPr>
              <w:t>Design</w:t>
            </w:r>
          </w:p>
        </w:tc>
        <w:tc>
          <w:tcPr>
            <w:tcW w:w="920" w:type="pct"/>
            <w:tcBorders>
              <w:top w:val="single" w:sz="4" w:space="0" w:color="auto"/>
              <w:left w:val="single" w:sz="4" w:space="0" w:color="auto"/>
              <w:right w:val="single" w:sz="4" w:space="0" w:color="auto"/>
            </w:tcBorders>
            <w:vAlign w:val="center"/>
          </w:tcPr>
          <w:p w14:paraId="73215BBD" w14:textId="77777777" w:rsidR="00094BE0" w:rsidRPr="00B54968" w:rsidRDefault="00094BE0" w:rsidP="003E2009">
            <w:pPr>
              <w:pStyle w:val="Default"/>
              <w:rPr>
                <w:rFonts w:ascii="Times New Roman" w:hAnsi="Times New Roman" w:cs="Times New Roman"/>
                <w:b/>
                <w:sz w:val="18"/>
                <w:szCs w:val="20"/>
              </w:rPr>
            </w:pPr>
            <w:r w:rsidRPr="00B54968">
              <w:rPr>
                <w:rFonts w:ascii="Times New Roman" w:hAnsi="Times New Roman" w:cs="Times New Roman"/>
                <w:b/>
                <w:sz w:val="18"/>
                <w:szCs w:val="20"/>
              </w:rPr>
              <w:t>Dosage, route of administration and duration</w:t>
            </w:r>
          </w:p>
        </w:tc>
        <w:tc>
          <w:tcPr>
            <w:tcW w:w="537" w:type="pct"/>
            <w:tcBorders>
              <w:top w:val="single" w:sz="4" w:space="0" w:color="auto"/>
              <w:left w:val="single" w:sz="4" w:space="0" w:color="auto"/>
              <w:right w:val="single" w:sz="4" w:space="0" w:color="auto"/>
            </w:tcBorders>
            <w:vAlign w:val="center"/>
          </w:tcPr>
          <w:p w14:paraId="61C953D9" w14:textId="77777777" w:rsidR="00094BE0" w:rsidRPr="00B54968" w:rsidRDefault="00094BE0" w:rsidP="003E2009">
            <w:pPr>
              <w:pStyle w:val="Default"/>
              <w:kinsoku w:val="0"/>
              <w:overflowPunct w:val="0"/>
              <w:rPr>
                <w:rFonts w:ascii="Times New Roman" w:hAnsi="Times New Roman" w:cs="Times New Roman"/>
                <w:b/>
                <w:sz w:val="18"/>
                <w:szCs w:val="20"/>
              </w:rPr>
            </w:pPr>
            <w:r w:rsidRPr="00B54968">
              <w:rPr>
                <w:rFonts w:ascii="Times New Roman" w:hAnsi="Times New Roman" w:cs="Times New Roman"/>
                <w:b/>
                <w:bCs/>
                <w:sz w:val="18"/>
                <w:szCs w:val="20"/>
              </w:rPr>
              <w:t>Number of patients</w:t>
            </w:r>
          </w:p>
        </w:tc>
        <w:tc>
          <w:tcPr>
            <w:tcW w:w="1074" w:type="pct"/>
            <w:tcBorders>
              <w:top w:val="single" w:sz="4" w:space="0" w:color="auto"/>
              <w:left w:val="single" w:sz="4" w:space="0" w:color="auto"/>
              <w:right w:val="single" w:sz="4" w:space="0" w:color="auto"/>
            </w:tcBorders>
            <w:vAlign w:val="center"/>
          </w:tcPr>
          <w:p w14:paraId="03A2A525" w14:textId="77777777" w:rsidR="00094BE0" w:rsidRPr="00B54968" w:rsidRDefault="00094BE0" w:rsidP="003E2009">
            <w:pPr>
              <w:pStyle w:val="Default"/>
              <w:rPr>
                <w:rFonts w:ascii="Times New Roman" w:hAnsi="Times New Roman" w:cs="Times New Roman"/>
                <w:b/>
                <w:sz w:val="18"/>
                <w:szCs w:val="20"/>
              </w:rPr>
            </w:pPr>
            <w:r w:rsidRPr="00B54968">
              <w:rPr>
                <w:rFonts w:ascii="Times New Roman" w:hAnsi="Times New Roman" w:cs="Times New Roman"/>
                <w:b/>
                <w:sz w:val="18"/>
                <w:szCs w:val="20"/>
              </w:rPr>
              <w:t>Mean age (range)</w:t>
            </w:r>
          </w:p>
        </w:tc>
        <w:tc>
          <w:tcPr>
            <w:tcW w:w="1030" w:type="pct"/>
            <w:tcBorders>
              <w:top w:val="single" w:sz="4" w:space="0" w:color="auto"/>
              <w:left w:val="single" w:sz="4" w:space="0" w:color="auto"/>
              <w:right w:val="single" w:sz="4" w:space="0" w:color="auto"/>
            </w:tcBorders>
            <w:vAlign w:val="center"/>
          </w:tcPr>
          <w:p w14:paraId="11A632D8" w14:textId="77777777" w:rsidR="00094BE0" w:rsidRPr="00B54968" w:rsidRDefault="00094BE0" w:rsidP="003E2009">
            <w:pPr>
              <w:pStyle w:val="Default"/>
              <w:rPr>
                <w:rFonts w:ascii="Times New Roman" w:hAnsi="Times New Roman" w:cs="Times New Roman"/>
                <w:b/>
                <w:sz w:val="18"/>
                <w:szCs w:val="20"/>
              </w:rPr>
            </w:pPr>
            <w:r w:rsidRPr="00B54968">
              <w:rPr>
                <w:rFonts w:ascii="Times New Roman" w:hAnsi="Times New Roman" w:cs="Times New Roman"/>
                <w:b/>
                <w:sz w:val="18"/>
                <w:szCs w:val="20"/>
              </w:rPr>
              <w:t>Gender and Race n (%)</w:t>
            </w:r>
          </w:p>
        </w:tc>
      </w:tr>
      <w:tr w:rsidR="00B54968" w:rsidRPr="00B54968" w14:paraId="7095B1CC" w14:textId="77777777" w:rsidTr="00362719">
        <w:trPr>
          <w:trHeight w:val="2440"/>
        </w:trPr>
        <w:tc>
          <w:tcPr>
            <w:tcW w:w="518" w:type="pct"/>
          </w:tcPr>
          <w:p w14:paraId="06BFCD20" w14:textId="77777777" w:rsidR="00094BE0" w:rsidRPr="00941F48" w:rsidRDefault="00094BE0" w:rsidP="003E2009">
            <w:pPr>
              <w:pStyle w:val="Default"/>
              <w:rPr>
                <w:rFonts w:ascii="Times New Roman" w:hAnsi="Times New Roman" w:cs="Times New Roman"/>
                <w:sz w:val="18"/>
                <w:szCs w:val="20"/>
              </w:rPr>
            </w:pPr>
            <w:r w:rsidRPr="00941F48">
              <w:rPr>
                <w:rFonts w:ascii="Times New Roman" w:hAnsi="Times New Roman" w:cs="Times New Roman"/>
                <w:sz w:val="18"/>
                <w:szCs w:val="20"/>
              </w:rPr>
              <w:t xml:space="preserve">PLANET AS </w:t>
            </w:r>
          </w:p>
        </w:tc>
        <w:tc>
          <w:tcPr>
            <w:tcW w:w="921" w:type="pct"/>
          </w:tcPr>
          <w:p w14:paraId="072CFB1A" w14:textId="712E8033" w:rsidR="00FE5B26" w:rsidRDefault="00094BE0" w:rsidP="003E2009">
            <w:pPr>
              <w:pStyle w:val="Default"/>
              <w:rPr>
                <w:rFonts w:ascii="Times New Roman" w:hAnsi="Times New Roman" w:cs="Times New Roman"/>
                <w:sz w:val="18"/>
                <w:szCs w:val="20"/>
                <w:lang w:val="en-GB"/>
              </w:rPr>
            </w:pPr>
            <w:r w:rsidRPr="00B54968">
              <w:rPr>
                <w:rFonts w:ascii="Times New Roman" w:hAnsi="Times New Roman" w:cs="Times New Roman"/>
                <w:sz w:val="18"/>
                <w:szCs w:val="20"/>
                <w:lang w:val="en-GB"/>
              </w:rPr>
              <w:t>Prospective Phase 1, randomized, double-blind, multicentre, multiple single-dose intravenous infusion, parallel-group in ankylosing spondylitis</w:t>
            </w:r>
          </w:p>
          <w:p w14:paraId="1FF91599" w14:textId="77777777" w:rsidR="00094BE0" w:rsidRPr="000F43AE" w:rsidRDefault="00094BE0" w:rsidP="003E2009">
            <w:pPr>
              <w:rPr>
                <w:lang w:val="en-GB"/>
              </w:rPr>
            </w:pPr>
          </w:p>
        </w:tc>
        <w:tc>
          <w:tcPr>
            <w:tcW w:w="920" w:type="pct"/>
          </w:tcPr>
          <w:p w14:paraId="63A9C9F1" w14:textId="7DF94523" w:rsidR="00094BE0" w:rsidRPr="00B54968" w:rsidRDefault="00281C64" w:rsidP="003E2009">
            <w:pPr>
              <w:pStyle w:val="Default"/>
              <w:rPr>
                <w:rFonts w:ascii="Times New Roman" w:hAnsi="Times New Roman" w:cs="Times New Roman"/>
                <w:sz w:val="18"/>
                <w:szCs w:val="20"/>
              </w:rPr>
            </w:pPr>
            <w:r>
              <w:rPr>
                <w:rFonts w:ascii="Times New Roman" w:hAnsi="Times New Roman" w:cs="Times New Roman"/>
                <w:sz w:val="18"/>
                <w:szCs w:val="20"/>
              </w:rPr>
              <w:t>INFLECTRA</w:t>
            </w:r>
            <w:r w:rsidR="0000044A" w:rsidRPr="00336B3E">
              <w:rPr>
                <w:rFonts w:ascii="Times New Roman" w:hAnsi="Times New Roman" w:cs="Times New Roman"/>
                <w:sz w:val="18"/>
                <w:szCs w:val="20"/>
                <w:vertAlign w:val="superscript"/>
              </w:rPr>
              <w:t>®</w:t>
            </w:r>
            <w:r w:rsidR="0000044A" w:rsidRPr="00B54968">
              <w:rPr>
                <w:rFonts w:ascii="Times New Roman" w:hAnsi="Times New Roman" w:cs="Times New Roman"/>
                <w:sz w:val="18"/>
                <w:szCs w:val="20"/>
              </w:rPr>
              <w:t xml:space="preserve"> </w:t>
            </w:r>
            <w:r w:rsidR="00094BE0" w:rsidRPr="00B54968">
              <w:rPr>
                <w:rFonts w:ascii="Times New Roman" w:hAnsi="Times New Roman" w:cs="Times New Roman"/>
                <w:sz w:val="18"/>
                <w:szCs w:val="20"/>
              </w:rPr>
              <w:t xml:space="preserve"> or REMICADE</w:t>
            </w:r>
            <w:r w:rsidR="00094BE0" w:rsidRPr="00B54968">
              <w:rPr>
                <w:rFonts w:ascii="Times New Roman" w:hAnsi="Times New Roman" w:cs="Times New Roman"/>
                <w:sz w:val="18"/>
                <w:szCs w:val="20"/>
                <w:vertAlign w:val="superscript"/>
              </w:rPr>
              <w:t xml:space="preserve">® </w:t>
            </w:r>
          </w:p>
          <w:p w14:paraId="03B516EB"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5 mg/kg </w:t>
            </w:r>
            <w:proofErr w:type="spellStart"/>
            <w:r w:rsidRPr="00B54968">
              <w:rPr>
                <w:rFonts w:ascii="Times New Roman" w:hAnsi="Times New Roman" w:cs="Times New Roman"/>
                <w:sz w:val="18"/>
                <w:szCs w:val="20"/>
              </w:rPr>
              <w:t>bw</w:t>
            </w:r>
            <w:proofErr w:type="spellEnd"/>
            <w:r w:rsidRPr="00B54968">
              <w:rPr>
                <w:rFonts w:ascii="Times New Roman" w:hAnsi="Times New Roman" w:cs="Times New Roman"/>
                <w:sz w:val="18"/>
                <w:szCs w:val="20"/>
              </w:rPr>
              <w:t xml:space="preserve"> administered as 2h </w:t>
            </w:r>
            <w:r w:rsidRPr="00B54968">
              <w:rPr>
                <w:rFonts w:ascii="Times New Roman" w:hAnsi="Times New Roman" w:cs="Times New Roman"/>
                <w:sz w:val="18"/>
                <w:szCs w:val="20"/>
                <w:lang w:val="en-GB"/>
              </w:rPr>
              <w:t xml:space="preserve">intravenous </w:t>
            </w:r>
            <w:r w:rsidRPr="00B54968">
              <w:rPr>
                <w:rFonts w:ascii="Times New Roman" w:hAnsi="Times New Roman" w:cs="Times New Roman"/>
                <w:sz w:val="18"/>
                <w:szCs w:val="20"/>
              </w:rPr>
              <w:t>infusion; at Weeks 0, 2, 6, then every 8 weeks up to 54 weeks</w:t>
            </w:r>
          </w:p>
        </w:tc>
        <w:tc>
          <w:tcPr>
            <w:tcW w:w="537" w:type="pct"/>
          </w:tcPr>
          <w:p w14:paraId="553CEC38"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250</w:t>
            </w:r>
          </w:p>
        </w:tc>
        <w:tc>
          <w:tcPr>
            <w:tcW w:w="1074" w:type="pct"/>
          </w:tcPr>
          <w:p w14:paraId="1D3EF8B0"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38.9</w:t>
            </w:r>
          </w:p>
          <w:p w14:paraId="13D73156"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(18 to 69)</w:t>
            </w:r>
          </w:p>
        </w:tc>
        <w:tc>
          <w:tcPr>
            <w:tcW w:w="1030" w:type="pct"/>
            <w:tcMar>
              <w:left w:w="72" w:type="dxa"/>
              <w:right w:w="43" w:type="dxa"/>
            </w:tcMar>
          </w:tcPr>
          <w:p w14:paraId="418C68F7"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202 (80.8%) male</w:t>
            </w:r>
          </w:p>
          <w:p w14:paraId="42A39277"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48 (19.2%) female </w:t>
            </w:r>
          </w:p>
          <w:p w14:paraId="1836A4B1"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189 (75.6%) White </w:t>
            </w:r>
          </w:p>
          <w:p w14:paraId="0358DC64"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29 (11.6%) Asian </w:t>
            </w:r>
          </w:p>
          <w:p w14:paraId="030BA3C0"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32 (12.8%) Other </w:t>
            </w:r>
          </w:p>
        </w:tc>
      </w:tr>
      <w:tr w:rsidR="00B54968" w:rsidRPr="00B54968" w14:paraId="7336C625" w14:textId="77777777" w:rsidTr="00362719">
        <w:trPr>
          <w:trHeight w:val="2468"/>
        </w:trPr>
        <w:tc>
          <w:tcPr>
            <w:tcW w:w="518" w:type="pct"/>
          </w:tcPr>
          <w:p w14:paraId="39D2D008" w14:textId="77777777" w:rsidR="00094BE0" w:rsidRPr="00941F48" w:rsidRDefault="00094BE0" w:rsidP="003E2009">
            <w:pPr>
              <w:pStyle w:val="Default"/>
              <w:rPr>
                <w:rFonts w:ascii="Times New Roman" w:hAnsi="Times New Roman" w:cs="Times New Roman"/>
                <w:sz w:val="18"/>
                <w:szCs w:val="20"/>
              </w:rPr>
            </w:pPr>
            <w:r w:rsidRPr="00941F48">
              <w:rPr>
                <w:rFonts w:ascii="Times New Roman" w:hAnsi="Times New Roman" w:cs="Times New Roman"/>
                <w:sz w:val="18"/>
                <w:szCs w:val="20"/>
              </w:rPr>
              <w:t xml:space="preserve">PLANET RA </w:t>
            </w:r>
          </w:p>
        </w:tc>
        <w:tc>
          <w:tcPr>
            <w:tcW w:w="921" w:type="pct"/>
          </w:tcPr>
          <w:p w14:paraId="6783831E"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Prospective Phase 3, </w:t>
            </w:r>
            <w:r w:rsidRPr="00B54968">
              <w:rPr>
                <w:rFonts w:ascii="Times New Roman" w:hAnsi="Times New Roman" w:cs="Times New Roman"/>
                <w:sz w:val="18"/>
                <w:szCs w:val="20"/>
                <w:lang w:val="en-GB"/>
              </w:rPr>
              <w:t xml:space="preserve">randomized, </w:t>
            </w:r>
            <w:r w:rsidRPr="00B54968">
              <w:rPr>
                <w:rFonts w:ascii="Times New Roman" w:hAnsi="Times New Roman" w:cs="Times New Roman"/>
                <w:sz w:val="18"/>
                <w:szCs w:val="20"/>
              </w:rPr>
              <w:t xml:space="preserve">double blind, </w:t>
            </w:r>
            <w:proofErr w:type="spellStart"/>
            <w:r w:rsidRPr="00B54968">
              <w:rPr>
                <w:rFonts w:ascii="Times New Roman" w:hAnsi="Times New Roman" w:cs="Times New Roman"/>
                <w:sz w:val="18"/>
                <w:szCs w:val="20"/>
              </w:rPr>
              <w:t>multicentre</w:t>
            </w:r>
            <w:proofErr w:type="spellEnd"/>
            <w:r w:rsidRPr="00B54968">
              <w:rPr>
                <w:rFonts w:ascii="Times New Roman" w:hAnsi="Times New Roman" w:cs="Times New Roman"/>
                <w:sz w:val="18"/>
                <w:szCs w:val="20"/>
              </w:rPr>
              <w:t xml:space="preserve">, multiple single dose </w:t>
            </w:r>
            <w:r w:rsidRPr="00B54968">
              <w:rPr>
                <w:rFonts w:ascii="Times New Roman" w:hAnsi="Times New Roman" w:cs="Times New Roman"/>
                <w:sz w:val="18"/>
                <w:szCs w:val="20"/>
                <w:lang w:val="en-GB"/>
              </w:rPr>
              <w:t xml:space="preserve">intravenous </w:t>
            </w:r>
            <w:r w:rsidRPr="00B54968">
              <w:rPr>
                <w:rFonts w:ascii="Times New Roman" w:hAnsi="Times New Roman" w:cs="Times New Roman"/>
                <w:sz w:val="18"/>
                <w:szCs w:val="20"/>
              </w:rPr>
              <w:t>infusion, parallel group in rheumatoid arthritis</w:t>
            </w:r>
          </w:p>
        </w:tc>
        <w:tc>
          <w:tcPr>
            <w:tcW w:w="920" w:type="pct"/>
          </w:tcPr>
          <w:p w14:paraId="3B4A094A" w14:textId="5EDE57DC" w:rsidR="00094BE0" w:rsidRPr="00B54968" w:rsidRDefault="00281C64" w:rsidP="003E2009">
            <w:pPr>
              <w:pStyle w:val="Default"/>
              <w:rPr>
                <w:rFonts w:ascii="Times New Roman" w:hAnsi="Times New Roman" w:cs="Times New Roman"/>
                <w:sz w:val="18"/>
                <w:szCs w:val="20"/>
                <w:lang w:val="en-GB"/>
              </w:rPr>
            </w:pPr>
            <w:r>
              <w:rPr>
                <w:rFonts w:ascii="Times New Roman" w:hAnsi="Times New Roman" w:cs="Times New Roman"/>
                <w:sz w:val="18"/>
                <w:szCs w:val="20"/>
                <w:lang w:val="en-GB"/>
              </w:rPr>
              <w:t>INFLECTRA</w:t>
            </w:r>
            <w:r w:rsidR="0000044A" w:rsidRPr="00B54968">
              <w:rPr>
                <w:rFonts w:ascii="Times New Roman" w:hAnsi="Times New Roman" w:cs="Times New Roman"/>
                <w:sz w:val="18"/>
                <w:szCs w:val="20"/>
                <w:vertAlign w:val="superscript"/>
                <w:lang w:val="en-GB"/>
              </w:rPr>
              <w:t>®</w:t>
            </w:r>
            <w:r w:rsidR="0000044A" w:rsidRPr="00B54968">
              <w:rPr>
                <w:rFonts w:ascii="Times New Roman" w:hAnsi="Times New Roman" w:cs="Times New Roman"/>
                <w:sz w:val="18"/>
                <w:szCs w:val="20"/>
                <w:lang w:val="en-GB"/>
              </w:rPr>
              <w:t xml:space="preserve"> </w:t>
            </w:r>
            <w:r w:rsidR="00094BE0" w:rsidRPr="00B54968">
              <w:rPr>
                <w:rFonts w:ascii="Times New Roman" w:hAnsi="Times New Roman" w:cs="Times New Roman"/>
                <w:sz w:val="18"/>
                <w:szCs w:val="20"/>
                <w:lang w:val="en-GB"/>
              </w:rPr>
              <w:t xml:space="preserve"> or REMICADE</w:t>
            </w:r>
            <w:r w:rsidR="00094BE0" w:rsidRPr="00B54968">
              <w:rPr>
                <w:rFonts w:ascii="Times New Roman" w:hAnsi="Times New Roman" w:cs="Times New Roman"/>
                <w:sz w:val="18"/>
                <w:szCs w:val="20"/>
                <w:vertAlign w:val="superscript"/>
                <w:lang w:val="en-GB"/>
              </w:rPr>
              <w:t>®</w:t>
            </w:r>
            <w:r w:rsidR="00094BE0" w:rsidRPr="00B54968">
              <w:rPr>
                <w:rFonts w:ascii="Times New Roman" w:hAnsi="Times New Roman" w:cs="Times New Roman"/>
                <w:sz w:val="18"/>
                <w:szCs w:val="20"/>
                <w:lang w:val="en-GB"/>
              </w:rPr>
              <w:t xml:space="preserve"> </w:t>
            </w:r>
          </w:p>
          <w:p w14:paraId="22532B3C"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(3 mg/kg </w:t>
            </w:r>
            <w:proofErr w:type="spellStart"/>
            <w:r w:rsidRPr="00B54968">
              <w:rPr>
                <w:rFonts w:ascii="Times New Roman" w:hAnsi="Times New Roman" w:cs="Times New Roman"/>
                <w:sz w:val="18"/>
                <w:szCs w:val="20"/>
              </w:rPr>
              <w:t>bw</w:t>
            </w:r>
            <w:proofErr w:type="spellEnd"/>
            <w:r w:rsidRPr="00B54968">
              <w:rPr>
                <w:rFonts w:ascii="Times New Roman" w:hAnsi="Times New Roman" w:cs="Times New Roman"/>
                <w:sz w:val="18"/>
                <w:szCs w:val="20"/>
              </w:rPr>
              <w:t xml:space="preserve">) administered as 2h </w:t>
            </w:r>
            <w:r w:rsidRPr="00B54968">
              <w:rPr>
                <w:rFonts w:ascii="Times New Roman" w:hAnsi="Times New Roman" w:cs="Times New Roman"/>
                <w:sz w:val="18"/>
                <w:szCs w:val="20"/>
                <w:lang w:val="en-GB"/>
              </w:rPr>
              <w:t>intravenous</w:t>
            </w:r>
            <w:r w:rsidRPr="00B54968">
              <w:rPr>
                <w:rFonts w:ascii="Times New Roman" w:hAnsi="Times New Roman" w:cs="Times New Roman"/>
                <w:sz w:val="18"/>
                <w:szCs w:val="20"/>
              </w:rPr>
              <w:t xml:space="preserve"> infusion; at Weeks 0, 2, 6, then every 8 weeks up to 54 weeks, co-administered with MTX and folic acid; 54 weeks</w:t>
            </w:r>
          </w:p>
        </w:tc>
        <w:tc>
          <w:tcPr>
            <w:tcW w:w="537" w:type="pct"/>
          </w:tcPr>
          <w:p w14:paraId="6BAE5DFB"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606</w:t>
            </w:r>
          </w:p>
        </w:tc>
        <w:tc>
          <w:tcPr>
            <w:tcW w:w="1074" w:type="pct"/>
          </w:tcPr>
          <w:p w14:paraId="1B586770"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48.8</w:t>
            </w:r>
          </w:p>
          <w:p w14:paraId="2984F3E7"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(18 to 75)</w:t>
            </w:r>
          </w:p>
        </w:tc>
        <w:tc>
          <w:tcPr>
            <w:tcW w:w="1030" w:type="pct"/>
            <w:tcMar>
              <w:left w:w="72" w:type="dxa"/>
              <w:right w:w="43" w:type="dxa"/>
            </w:tcMar>
          </w:tcPr>
          <w:p w14:paraId="6C8DB1F1"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105 (17.3%) male </w:t>
            </w:r>
          </w:p>
          <w:p w14:paraId="12F06044"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501 (82.7%) female </w:t>
            </w:r>
          </w:p>
          <w:p w14:paraId="2AA9D1F8"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442 (72.9%) White </w:t>
            </w:r>
          </w:p>
          <w:p w14:paraId="4FE8D296"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3 (0.5%) Black </w:t>
            </w:r>
          </w:p>
          <w:p w14:paraId="31E3A6E0"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71 (11.7%) Asian </w:t>
            </w:r>
          </w:p>
          <w:p w14:paraId="0585A5D0" w14:textId="77777777" w:rsidR="00094BE0" w:rsidRPr="00B54968" w:rsidRDefault="00094BE0" w:rsidP="003E200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90 (14.9%) Other </w:t>
            </w:r>
          </w:p>
        </w:tc>
      </w:tr>
    </w:tbl>
    <w:p w14:paraId="1BE9FF13" w14:textId="77777777" w:rsidR="00631718" w:rsidRDefault="00631718" w:rsidP="003E2009">
      <w:pPr>
        <w:spacing w:after="0" w:line="240" w:lineRule="auto"/>
        <w:rPr>
          <w:rFonts w:ascii="Times New Roman" w:hAnsi="Times New Roman" w:cs="Times New Roman"/>
          <w:b/>
          <w:szCs w:val="20"/>
        </w:rPr>
      </w:pPr>
    </w:p>
    <w:p w14:paraId="42A98540" w14:textId="4A813835" w:rsidR="00A97F2E" w:rsidRDefault="006B7033" w:rsidP="003E2009">
      <w:pPr>
        <w:spacing w:after="0" w:line="240" w:lineRule="auto"/>
        <w:rPr>
          <w:rFonts w:ascii="Times New Roman" w:hAnsi="Times New Roman" w:cs="Times New Roman"/>
          <w:b/>
          <w:szCs w:val="20"/>
        </w:rPr>
      </w:pPr>
      <w:r>
        <w:rPr>
          <w:rFonts w:ascii="Times New Roman" w:hAnsi="Times New Roman" w:cs="Times New Roman"/>
          <w:b/>
          <w:szCs w:val="20"/>
        </w:rPr>
        <w:t>PLANET RA</w:t>
      </w:r>
      <w:r w:rsidR="005B0DCB">
        <w:rPr>
          <w:rFonts w:ascii="Times New Roman" w:hAnsi="Times New Roman" w:cs="Times New Roman"/>
          <w:b/>
          <w:szCs w:val="20"/>
        </w:rPr>
        <w:t xml:space="preserve"> study</w:t>
      </w:r>
      <w:r>
        <w:rPr>
          <w:rFonts w:ascii="Times New Roman" w:hAnsi="Times New Roman" w:cs="Times New Roman"/>
          <w:b/>
          <w:szCs w:val="20"/>
        </w:rPr>
        <w:t xml:space="preserve">: </w:t>
      </w:r>
    </w:p>
    <w:p w14:paraId="72A75C4D" w14:textId="12DD6E6A" w:rsidR="00330800" w:rsidRPr="00B54968" w:rsidRDefault="00330800" w:rsidP="003E2009">
      <w:pPr>
        <w:spacing w:after="0" w:line="240" w:lineRule="auto"/>
        <w:rPr>
          <w:rFonts w:ascii="Times New Roman" w:hAnsi="Times New Roman" w:cs="Times New Roman"/>
          <w:iCs/>
          <w:lang w:eastAsia="ko-KR"/>
        </w:rPr>
      </w:pPr>
      <w:r w:rsidRPr="00B54968">
        <w:rPr>
          <w:rFonts w:ascii="Times New Roman" w:hAnsi="Times New Roman" w:cs="Times New Roman"/>
          <w:iCs/>
        </w:rPr>
        <w:t xml:space="preserve">Therapeutic equivalence of </w:t>
      </w:r>
      <w:r w:rsidR="00281C64">
        <w:rPr>
          <w:rFonts w:ascii="Times New Roman" w:hAnsi="Times New Roman" w:cs="Times New Roman"/>
          <w:iCs/>
        </w:rPr>
        <w:t>INFLECTRA</w:t>
      </w:r>
      <w:r w:rsidRPr="00B54968">
        <w:rPr>
          <w:rFonts w:ascii="Times New Roman" w:hAnsi="Times New Roman" w:cs="Times New Roman"/>
          <w:iCs/>
          <w:vertAlign w:val="superscript"/>
        </w:rPr>
        <w:t>®</w:t>
      </w:r>
      <w:r w:rsidRPr="00B54968">
        <w:rPr>
          <w:rFonts w:ascii="Times New Roman" w:hAnsi="Times New Roman" w:cs="Times New Roman"/>
          <w:iCs/>
        </w:rPr>
        <w:t xml:space="preserve"> and </w:t>
      </w:r>
      <w:r w:rsidR="001A691C">
        <w:rPr>
          <w:rFonts w:ascii="Times New Roman" w:hAnsi="Times New Roman" w:cs="Times New Roman"/>
          <w:iCs/>
        </w:rPr>
        <w:t>REMICADE</w:t>
      </w:r>
      <w:r w:rsidRPr="00B54968">
        <w:rPr>
          <w:rFonts w:ascii="Times New Roman" w:hAnsi="Times New Roman" w:cs="Times New Roman"/>
          <w:iCs/>
          <w:vertAlign w:val="superscript"/>
        </w:rPr>
        <w:t>®</w:t>
      </w:r>
      <w:r w:rsidRPr="00B54968">
        <w:rPr>
          <w:rFonts w:ascii="Times New Roman" w:hAnsi="Times New Roman" w:cs="Times New Roman"/>
          <w:iCs/>
        </w:rPr>
        <w:t xml:space="preserve"> was demonstrated in a double-blind, </w:t>
      </w:r>
      <w:proofErr w:type="spellStart"/>
      <w:r w:rsidRPr="00B54968">
        <w:rPr>
          <w:rFonts w:ascii="Times New Roman" w:hAnsi="Times New Roman" w:cs="Times New Roman"/>
          <w:iCs/>
        </w:rPr>
        <w:t>randomised</w:t>
      </w:r>
      <w:proofErr w:type="spellEnd"/>
      <w:r w:rsidRPr="00B54968">
        <w:rPr>
          <w:rFonts w:ascii="Times New Roman" w:hAnsi="Times New Roman" w:cs="Times New Roman"/>
          <w:iCs/>
        </w:rPr>
        <w:t xml:space="preserve">, </w:t>
      </w:r>
      <w:proofErr w:type="spellStart"/>
      <w:r w:rsidRPr="00B54968">
        <w:rPr>
          <w:rFonts w:ascii="Times New Roman" w:hAnsi="Times New Roman" w:cs="Times New Roman"/>
          <w:iCs/>
        </w:rPr>
        <w:t>multicentre</w:t>
      </w:r>
      <w:proofErr w:type="spellEnd"/>
      <w:r w:rsidRPr="00B54968">
        <w:rPr>
          <w:rFonts w:ascii="Times New Roman" w:hAnsi="Times New Roman" w:cs="Times New Roman"/>
          <w:iCs/>
        </w:rPr>
        <w:t>, parallel-group, prospective Phase 3 study in adult patients with RA not receiving adequate response with methotrexate alone.</w:t>
      </w:r>
    </w:p>
    <w:p w14:paraId="64015865" w14:textId="77777777" w:rsidR="00B54968" w:rsidRPr="00B54968" w:rsidRDefault="00B54968" w:rsidP="003E2009">
      <w:pPr>
        <w:spacing w:after="0" w:line="240" w:lineRule="auto"/>
        <w:rPr>
          <w:rFonts w:ascii="Times New Roman" w:hAnsi="Times New Roman" w:cs="Times New Roman"/>
          <w:iCs/>
          <w:lang w:eastAsia="ko-KR"/>
        </w:rPr>
      </w:pPr>
    </w:p>
    <w:p w14:paraId="198CFAC0" w14:textId="77777777" w:rsidR="00330800" w:rsidRPr="00B54968" w:rsidRDefault="00330800" w:rsidP="003E2009">
      <w:pPr>
        <w:spacing w:after="0" w:line="240" w:lineRule="auto"/>
        <w:rPr>
          <w:rFonts w:ascii="Times New Roman" w:hAnsi="Times New Roman" w:cs="Times New Roman"/>
          <w:iCs/>
          <w:lang w:eastAsia="ko-KR"/>
        </w:rPr>
      </w:pPr>
      <w:r w:rsidRPr="00B54968">
        <w:rPr>
          <w:rFonts w:ascii="Times New Roman" w:hAnsi="Times New Roman" w:cs="Times New Roman"/>
          <w:iCs/>
        </w:rPr>
        <w:t>The primary efficacy endpoint was the proportion of patients achieving clinical response according to the ACR20 criteria at Week 30.</w:t>
      </w:r>
    </w:p>
    <w:p w14:paraId="22A90C82" w14:textId="77777777" w:rsidR="00B54968" w:rsidRPr="00B54968" w:rsidRDefault="00B54968" w:rsidP="003E2009">
      <w:pPr>
        <w:spacing w:after="0" w:line="240" w:lineRule="auto"/>
        <w:rPr>
          <w:rFonts w:ascii="Times New Roman" w:hAnsi="Times New Roman" w:cs="Times New Roman"/>
          <w:iCs/>
          <w:lang w:eastAsia="ko-KR"/>
        </w:rPr>
      </w:pPr>
    </w:p>
    <w:p w14:paraId="507C4621" w14:textId="53E183AA" w:rsidR="00330800" w:rsidRPr="00B54968" w:rsidRDefault="00330800" w:rsidP="003E2009">
      <w:pPr>
        <w:spacing w:after="0" w:line="240" w:lineRule="auto"/>
        <w:rPr>
          <w:rFonts w:ascii="Times New Roman" w:hAnsi="Times New Roman" w:cs="Times New Roman"/>
          <w:iCs/>
          <w:lang w:eastAsia="ko-KR"/>
        </w:rPr>
      </w:pPr>
      <w:r w:rsidRPr="00B54968">
        <w:rPr>
          <w:rFonts w:ascii="Times New Roman" w:hAnsi="Times New Roman" w:cs="Times New Roman"/>
          <w:iCs/>
        </w:rPr>
        <w:t xml:space="preserve">In the all-randomized population, the proportion of patients achieving clinical response according to the ACR20 criteria at Week 30 was similar in the </w:t>
      </w:r>
      <w:r w:rsidR="00281C64">
        <w:rPr>
          <w:rFonts w:ascii="Times New Roman" w:hAnsi="Times New Roman" w:cs="Times New Roman"/>
          <w:iCs/>
        </w:rPr>
        <w:t>INFLECTRA</w:t>
      </w:r>
      <w:r w:rsidRPr="00B54968">
        <w:rPr>
          <w:rFonts w:ascii="Times New Roman" w:hAnsi="Times New Roman" w:cs="Times New Roman"/>
          <w:iCs/>
          <w:vertAlign w:val="superscript"/>
        </w:rPr>
        <w:t>®</w:t>
      </w:r>
      <w:r w:rsidRPr="00B54968">
        <w:rPr>
          <w:rFonts w:ascii="Times New Roman" w:hAnsi="Times New Roman" w:cs="Times New Roman"/>
          <w:iCs/>
        </w:rPr>
        <w:t xml:space="preserve"> and </w:t>
      </w:r>
      <w:r w:rsidR="001A691C">
        <w:rPr>
          <w:rFonts w:ascii="Times New Roman" w:hAnsi="Times New Roman" w:cs="Times New Roman"/>
          <w:iCs/>
        </w:rPr>
        <w:t>REMICADE</w:t>
      </w:r>
      <w:r w:rsidRPr="00B54968">
        <w:rPr>
          <w:rFonts w:ascii="Times New Roman" w:hAnsi="Times New Roman" w:cs="Times New Roman"/>
          <w:iCs/>
          <w:vertAlign w:val="superscript"/>
        </w:rPr>
        <w:t>®</w:t>
      </w:r>
      <w:r w:rsidRPr="00B54968">
        <w:rPr>
          <w:rFonts w:ascii="Times New Roman" w:hAnsi="Times New Roman" w:cs="Times New Roman"/>
          <w:iCs/>
        </w:rPr>
        <w:t xml:space="preserve"> treatment groups (184 [60.9%] patients and 178 [58.6%] patients, respectively). The 95% CI for the estimate of treatment difference was entirely contained within the range -15% to 15% (95% CI: [-0.06, 0.10]) indicating therapeutic equivalence between the treatment groups. </w:t>
      </w:r>
    </w:p>
    <w:p w14:paraId="439DD8F9" w14:textId="77777777" w:rsidR="00B54968" w:rsidRPr="00B54968" w:rsidRDefault="00B54968" w:rsidP="003E2009">
      <w:pPr>
        <w:spacing w:after="0" w:line="240" w:lineRule="auto"/>
        <w:rPr>
          <w:rFonts w:ascii="Times New Roman" w:hAnsi="Times New Roman" w:cs="Times New Roman"/>
          <w:iCs/>
          <w:lang w:eastAsia="ko-KR"/>
        </w:rPr>
      </w:pPr>
    </w:p>
    <w:p w14:paraId="4A9B4A89" w14:textId="0D850294" w:rsidR="00330800" w:rsidRPr="00B54968" w:rsidRDefault="00330800" w:rsidP="003E2009">
      <w:pPr>
        <w:spacing w:after="0"/>
        <w:rPr>
          <w:rFonts w:ascii="Times New Roman" w:hAnsi="Times New Roman" w:cs="Times New Roman"/>
          <w:iCs/>
          <w:lang w:eastAsia="ko-KR"/>
        </w:rPr>
      </w:pPr>
      <w:r w:rsidRPr="00B54968">
        <w:rPr>
          <w:rFonts w:ascii="Times New Roman" w:hAnsi="Times New Roman" w:cs="Times New Roman"/>
          <w:iCs/>
        </w:rPr>
        <w:t xml:space="preserve">Comparative efficacy of </w:t>
      </w:r>
      <w:r w:rsidR="00281C64">
        <w:rPr>
          <w:rFonts w:ascii="Times New Roman" w:hAnsi="Times New Roman" w:cs="Times New Roman"/>
          <w:iCs/>
        </w:rPr>
        <w:t>INFLECTRA</w:t>
      </w:r>
      <w:r w:rsidRPr="00B54968">
        <w:rPr>
          <w:rFonts w:ascii="Times New Roman" w:hAnsi="Times New Roman" w:cs="Times New Roman"/>
          <w:iCs/>
          <w:vertAlign w:val="superscript"/>
        </w:rPr>
        <w:t>®</w:t>
      </w:r>
      <w:r w:rsidRPr="00B54968">
        <w:rPr>
          <w:rFonts w:ascii="Times New Roman" w:hAnsi="Times New Roman" w:cs="Times New Roman"/>
          <w:iCs/>
        </w:rPr>
        <w:t xml:space="preserve"> with </w:t>
      </w:r>
      <w:r w:rsidR="001A691C">
        <w:rPr>
          <w:rFonts w:ascii="Times New Roman" w:hAnsi="Times New Roman" w:cs="Times New Roman"/>
          <w:iCs/>
        </w:rPr>
        <w:t>REMICADE</w:t>
      </w:r>
      <w:r w:rsidRPr="00B54968">
        <w:rPr>
          <w:rFonts w:ascii="Times New Roman" w:hAnsi="Times New Roman" w:cs="Times New Roman"/>
          <w:iCs/>
          <w:vertAlign w:val="superscript"/>
        </w:rPr>
        <w:t>®</w:t>
      </w:r>
      <w:r w:rsidRPr="00B54968">
        <w:rPr>
          <w:rFonts w:ascii="Times New Roman" w:hAnsi="Times New Roman" w:cs="Times New Roman"/>
          <w:iCs/>
        </w:rPr>
        <w:t xml:space="preserve"> throughout controlled 54 weeks was similar for ACR20, ACR</w:t>
      </w:r>
      <w:r w:rsidRPr="00B54968">
        <w:rPr>
          <w:rFonts w:ascii="Times New Roman" w:hAnsi="Times New Roman" w:cs="Times New Roman"/>
          <w:iCs/>
          <w:lang w:eastAsia="ko-KR"/>
        </w:rPr>
        <w:t>5</w:t>
      </w:r>
      <w:r w:rsidRPr="00B54968">
        <w:rPr>
          <w:rFonts w:ascii="Times New Roman" w:hAnsi="Times New Roman" w:cs="Times New Roman"/>
          <w:iCs/>
        </w:rPr>
        <w:t>0, ACR70, EULAR and DAS28 at all time-points.</w:t>
      </w:r>
    </w:p>
    <w:p w14:paraId="38068D43" w14:textId="77777777" w:rsidR="00B54968" w:rsidRPr="00B54968" w:rsidRDefault="00B54968" w:rsidP="003E2009">
      <w:pPr>
        <w:spacing w:after="0"/>
        <w:rPr>
          <w:rFonts w:ascii="Times New Roman" w:hAnsi="Times New Roman" w:cs="Times New Roman"/>
          <w:iCs/>
          <w:lang w:eastAsia="ko-KR"/>
        </w:rPr>
      </w:pPr>
    </w:p>
    <w:p w14:paraId="42874ED9" w14:textId="00729789" w:rsidR="00330800" w:rsidRPr="00B54968" w:rsidRDefault="00DC3948" w:rsidP="003E2009">
      <w:pPr>
        <w:spacing w:after="0"/>
        <w:rPr>
          <w:rFonts w:ascii="Times New Roman" w:hAnsi="Times New Roman" w:cs="Times New Roman"/>
          <w:iCs/>
          <w:lang w:eastAsia="ko-KR"/>
        </w:rPr>
      </w:pPr>
      <w:r w:rsidRPr="00E8624B">
        <w:rPr>
          <w:rFonts w:ascii="Times New Roman" w:hAnsi="Times New Roman" w:cs="Times New Roman"/>
          <w:iCs/>
        </w:rPr>
        <w:t xml:space="preserve">Patients who received </w:t>
      </w:r>
      <w:r w:rsidR="001A691C">
        <w:rPr>
          <w:rFonts w:ascii="Times New Roman" w:hAnsi="Times New Roman" w:cs="Times New Roman"/>
          <w:iCs/>
        </w:rPr>
        <w:t>REMICADE</w:t>
      </w:r>
      <w:r w:rsidRPr="00E8624B">
        <w:rPr>
          <w:rFonts w:ascii="Times New Roman" w:hAnsi="Times New Roman" w:cs="Times New Roman"/>
          <w:iCs/>
          <w:vertAlign w:val="superscript"/>
        </w:rPr>
        <w:t xml:space="preserve">® </w:t>
      </w:r>
      <w:r w:rsidRPr="00E8624B">
        <w:rPr>
          <w:rFonts w:ascii="Times New Roman" w:hAnsi="Times New Roman" w:cs="Times New Roman"/>
          <w:iCs/>
        </w:rPr>
        <w:t>in the initial study</w:t>
      </w:r>
      <w:r w:rsidR="002A0640">
        <w:rPr>
          <w:rFonts w:ascii="Times New Roman" w:hAnsi="Times New Roman" w:cs="Times New Roman"/>
          <w:iCs/>
        </w:rPr>
        <w:t xml:space="preserve"> (54 weeks)</w:t>
      </w:r>
      <w:r w:rsidRPr="00E8624B">
        <w:rPr>
          <w:rFonts w:ascii="Times New Roman" w:hAnsi="Times New Roman" w:cs="Times New Roman"/>
          <w:iCs/>
        </w:rPr>
        <w:t xml:space="preserve"> underwent a single way transition to </w:t>
      </w:r>
      <w:r w:rsidR="00281C64">
        <w:rPr>
          <w:rFonts w:ascii="Times New Roman" w:hAnsi="Times New Roman" w:cs="Times New Roman"/>
          <w:iCs/>
        </w:rPr>
        <w:t>INFLECTRA</w:t>
      </w:r>
      <w:r w:rsidRPr="00E8624B">
        <w:rPr>
          <w:rFonts w:ascii="Times New Roman" w:hAnsi="Times New Roman" w:cs="Times New Roman"/>
          <w:iCs/>
          <w:vertAlign w:val="superscript"/>
        </w:rPr>
        <w:t>®</w:t>
      </w:r>
      <w:r w:rsidRPr="00E8624B">
        <w:rPr>
          <w:rFonts w:ascii="Times New Roman" w:hAnsi="Times New Roman" w:cs="Times New Roman"/>
          <w:iCs/>
        </w:rPr>
        <w:t>.</w:t>
      </w:r>
      <w:r>
        <w:rPr>
          <w:rFonts w:ascii="Times New Roman" w:hAnsi="Times New Roman" w:cs="Times New Roman"/>
          <w:iCs/>
        </w:rPr>
        <w:t xml:space="preserve"> </w:t>
      </w:r>
      <w:r w:rsidR="00E91588">
        <w:rPr>
          <w:rFonts w:ascii="Times New Roman" w:hAnsi="Times New Roman" w:cs="Times New Roman"/>
          <w:iCs/>
        </w:rPr>
        <w:t>While no formal comparison of efficacy was performed during</w:t>
      </w:r>
      <w:r w:rsidR="002A0640">
        <w:rPr>
          <w:rFonts w:ascii="Times New Roman" w:hAnsi="Times New Roman" w:cs="Times New Roman"/>
          <w:iCs/>
        </w:rPr>
        <w:t xml:space="preserve"> the extension phase (u</w:t>
      </w:r>
      <w:r w:rsidR="001A691C">
        <w:rPr>
          <w:rFonts w:ascii="Times New Roman" w:hAnsi="Times New Roman" w:cs="Times New Roman" w:hint="eastAsia"/>
          <w:iCs/>
          <w:lang w:eastAsia="ko-KR"/>
        </w:rPr>
        <w:t>p</w:t>
      </w:r>
      <w:r w:rsidR="002A0640">
        <w:rPr>
          <w:rFonts w:ascii="Times New Roman" w:hAnsi="Times New Roman" w:cs="Times New Roman"/>
          <w:iCs/>
        </w:rPr>
        <w:t xml:space="preserve"> to week 102)</w:t>
      </w:r>
      <w:r w:rsidR="00E91588">
        <w:rPr>
          <w:rFonts w:ascii="Times New Roman" w:hAnsi="Times New Roman" w:cs="Times New Roman"/>
          <w:iCs/>
        </w:rPr>
        <w:t>, efficacy outcomes were similar for patients who transition</w:t>
      </w:r>
      <w:r w:rsidR="005125EC">
        <w:rPr>
          <w:rFonts w:ascii="Times New Roman" w:hAnsi="Times New Roman" w:cs="Times New Roman"/>
          <w:iCs/>
        </w:rPr>
        <w:t>ed</w:t>
      </w:r>
      <w:r w:rsidR="00E91588">
        <w:rPr>
          <w:rFonts w:ascii="Times New Roman" w:hAnsi="Times New Roman" w:cs="Times New Roman"/>
          <w:iCs/>
        </w:rPr>
        <w:t xml:space="preserve"> from </w:t>
      </w:r>
      <w:r w:rsidR="001A691C">
        <w:rPr>
          <w:rFonts w:ascii="Times New Roman" w:hAnsi="Times New Roman" w:cs="Times New Roman"/>
          <w:iCs/>
        </w:rPr>
        <w:t>REMICADE</w:t>
      </w:r>
      <w:r w:rsidR="00E91588" w:rsidRPr="00B54968">
        <w:rPr>
          <w:rFonts w:ascii="Times New Roman" w:hAnsi="Times New Roman" w:cs="Times New Roman"/>
          <w:iCs/>
          <w:vertAlign w:val="superscript"/>
        </w:rPr>
        <w:t>®</w:t>
      </w:r>
      <w:r w:rsidR="00E91588" w:rsidRPr="00B54968">
        <w:rPr>
          <w:rFonts w:ascii="Times New Roman" w:hAnsi="Times New Roman" w:cs="Times New Roman"/>
          <w:iCs/>
        </w:rPr>
        <w:t xml:space="preserve"> </w:t>
      </w:r>
      <w:r w:rsidR="00E91588">
        <w:rPr>
          <w:rFonts w:ascii="Times New Roman" w:hAnsi="Times New Roman" w:cs="Times New Roman"/>
          <w:iCs/>
        </w:rPr>
        <w:t xml:space="preserve">to </w:t>
      </w:r>
      <w:r w:rsidR="00281C64">
        <w:rPr>
          <w:rFonts w:ascii="Times New Roman" w:hAnsi="Times New Roman" w:cs="Times New Roman"/>
          <w:iCs/>
        </w:rPr>
        <w:t>INFLECTRA</w:t>
      </w:r>
      <w:r w:rsidR="00E91588" w:rsidRPr="00B54968">
        <w:rPr>
          <w:rFonts w:ascii="Times New Roman" w:hAnsi="Times New Roman" w:cs="Times New Roman"/>
          <w:iCs/>
          <w:vertAlign w:val="superscript"/>
        </w:rPr>
        <w:t>®</w:t>
      </w:r>
      <w:r w:rsidR="00E91588" w:rsidRPr="00B54968">
        <w:rPr>
          <w:rFonts w:ascii="Times New Roman" w:hAnsi="Times New Roman" w:cs="Times New Roman"/>
          <w:iCs/>
        </w:rPr>
        <w:t xml:space="preserve"> </w:t>
      </w:r>
      <w:r w:rsidR="00E91588">
        <w:rPr>
          <w:rFonts w:ascii="Times New Roman" w:hAnsi="Times New Roman" w:cs="Times New Roman"/>
          <w:iCs/>
        </w:rPr>
        <w:t xml:space="preserve">and those who continued </w:t>
      </w:r>
      <w:r w:rsidR="00281C64">
        <w:rPr>
          <w:rFonts w:ascii="Times New Roman" w:hAnsi="Times New Roman" w:cs="Times New Roman"/>
          <w:iCs/>
        </w:rPr>
        <w:t>INFLECTRA</w:t>
      </w:r>
      <w:r w:rsidR="00E91588" w:rsidRPr="00B54968">
        <w:rPr>
          <w:rFonts w:ascii="Times New Roman" w:hAnsi="Times New Roman" w:cs="Times New Roman"/>
          <w:iCs/>
          <w:vertAlign w:val="superscript"/>
        </w:rPr>
        <w:t>®</w:t>
      </w:r>
      <w:r w:rsidR="00330800" w:rsidRPr="00B54968">
        <w:rPr>
          <w:rFonts w:ascii="Times New Roman" w:hAnsi="Times New Roman" w:cs="Times New Roman"/>
          <w:iCs/>
        </w:rPr>
        <w:t>.</w:t>
      </w:r>
    </w:p>
    <w:p w14:paraId="6E661336" w14:textId="08D4E835" w:rsidR="00B54968" w:rsidRPr="00B54968" w:rsidRDefault="00B54968" w:rsidP="003E2009">
      <w:pPr>
        <w:spacing w:after="0"/>
        <w:rPr>
          <w:rFonts w:ascii="Times New Roman" w:hAnsi="Times New Roman" w:cs="Times New Roman"/>
          <w:iCs/>
          <w:lang w:eastAsia="ko-KR"/>
        </w:rPr>
      </w:pPr>
    </w:p>
    <w:p w14:paraId="7C69CF6C" w14:textId="5A5627E3" w:rsidR="00A97F2E" w:rsidRDefault="00A97F2E" w:rsidP="003E2009">
      <w:pPr>
        <w:spacing w:after="0" w:line="240" w:lineRule="auto"/>
        <w:rPr>
          <w:rFonts w:ascii="Times New Roman" w:hAnsi="Times New Roman" w:cs="Times New Roman"/>
          <w:iCs/>
        </w:rPr>
      </w:pPr>
      <w:r>
        <w:rPr>
          <w:rFonts w:ascii="Times New Roman" w:hAnsi="Times New Roman" w:cs="Times New Roman"/>
          <w:b/>
          <w:szCs w:val="20"/>
        </w:rPr>
        <w:t>PLANET AS</w:t>
      </w:r>
      <w:r w:rsidR="005B0DCB">
        <w:rPr>
          <w:rFonts w:ascii="Times New Roman" w:hAnsi="Times New Roman" w:cs="Times New Roman"/>
          <w:b/>
          <w:szCs w:val="20"/>
        </w:rPr>
        <w:t xml:space="preserve"> study</w:t>
      </w:r>
      <w:r w:rsidR="006B7033">
        <w:rPr>
          <w:rFonts w:ascii="Times New Roman" w:hAnsi="Times New Roman" w:cs="Times New Roman"/>
          <w:b/>
          <w:szCs w:val="20"/>
        </w:rPr>
        <w:t>:</w:t>
      </w:r>
    </w:p>
    <w:p w14:paraId="0998D9F6" w14:textId="23D7729E" w:rsidR="00330800" w:rsidRDefault="005636E7" w:rsidP="003E2009">
      <w:pPr>
        <w:spacing w:after="0" w:line="240" w:lineRule="auto"/>
        <w:rPr>
          <w:rFonts w:ascii="Times New Roman" w:hAnsi="Times New Roman" w:cs="Times New Roman"/>
          <w:iCs/>
        </w:rPr>
      </w:pPr>
      <w:r>
        <w:rPr>
          <w:rFonts w:ascii="Times New Roman" w:hAnsi="Times New Roman" w:cs="Times New Roman"/>
          <w:iCs/>
        </w:rPr>
        <w:t xml:space="preserve">The efficacy of </w:t>
      </w:r>
      <w:r w:rsidR="00281C64">
        <w:rPr>
          <w:rFonts w:ascii="Times New Roman" w:hAnsi="Times New Roman" w:cs="Times New Roman"/>
          <w:iCs/>
        </w:rPr>
        <w:t>INFLECTRA</w:t>
      </w:r>
      <w:r w:rsidRPr="00B54968">
        <w:rPr>
          <w:rFonts w:ascii="Times New Roman" w:hAnsi="Times New Roman" w:cs="Times New Roman"/>
          <w:iCs/>
          <w:vertAlign w:val="superscript"/>
        </w:rPr>
        <w:t>®</w:t>
      </w:r>
      <w:r>
        <w:rPr>
          <w:rFonts w:ascii="Times New Roman" w:hAnsi="Times New Roman" w:cs="Times New Roman"/>
          <w:iCs/>
          <w:vertAlign w:val="superscript"/>
        </w:rPr>
        <w:t xml:space="preserve"> </w:t>
      </w:r>
      <w:r>
        <w:rPr>
          <w:rFonts w:ascii="Times New Roman" w:hAnsi="Times New Roman" w:cs="Times New Roman"/>
          <w:iCs/>
        </w:rPr>
        <w:t xml:space="preserve">was also demonstrated in a </w:t>
      </w:r>
      <w:r w:rsidR="00330800" w:rsidRPr="00B54968">
        <w:rPr>
          <w:rFonts w:ascii="Times New Roman" w:hAnsi="Times New Roman" w:cs="Times New Roman"/>
          <w:iCs/>
        </w:rPr>
        <w:t xml:space="preserve">randomized, double-blind, multicenter, parallel-group, study designed to assess the pharmacokinetic (PK) equivalence, efficacy and safety of multiple doses of either </w:t>
      </w:r>
      <w:r w:rsidR="00281C64">
        <w:rPr>
          <w:rFonts w:ascii="Times New Roman" w:hAnsi="Times New Roman" w:cs="Times New Roman"/>
          <w:iCs/>
        </w:rPr>
        <w:t>INFLECTRA</w:t>
      </w:r>
      <w:r w:rsidR="00330800" w:rsidRPr="00B54968">
        <w:rPr>
          <w:rFonts w:ascii="Times New Roman" w:hAnsi="Times New Roman" w:cs="Times New Roman"/>
          <w:vertAlign w:val="superscript"/>
        </w:rPr>
        <w:t xml:space="preserve">® </w:t>
      </w:r>
      <w:r w:rsidR="00330800" w:rsidRPr="00B54968">
        <w:rPr>
          <w:rFonts w:ascii="Times New Roman" w:hAnsi="Times New Roman" w:cs="Times New Roman"/>
          <w:iCs/>
        </w:rPr>
        <w:t xml:space="preserve">or </w:t>
      </w:r>
      <w:r w:rsidR="001A691C">
        <w:rPr>
          <w:rFonts w:ascii="Times New Roman" w:hAnsi="Times New Roman" w:cs="Times New Roman"/>
          <w:iCs/>
        </w:rPr>
        <w:t>REMICADE</w:t>
      </w:r>
      <w:r w:rsidR="00330800" w:rsidRPr="00B54968">
        <w:rPr>
          <w:rFonts w:ascii="Times New Roman" w:hAnsi="Times New Roman" w:cs="Times New Roman"/>
          <w:iCs/>
          <w:vertAlign w:val="superscript"/>
        </w:rPr>
        <w:t xml:space="preserve">® </w:t>
      </w:r>
      <w:r w:rsidR="00330800" w:rsidRPr="00B54968">
        <w:rPr>
          <w:rFonts w:ascii="Times New Roman" w:hAnsi="Times New Roman" w:cs="Times New Roman"/>
          <w:iCs/>
        </w:rPr>
        <w:t>reference product (5 mg/kg) administered by a 2-hour intravenous (IV) infusion per dose in patients with active</w:t>
      </w:r>
      <w:r w:rsidR="00330800" w:rsidRPr="00B54968">
        <w:rPr>
          <w:rFonts w:ascii="Times New Roman" w:hAnsi="Times New Roman" w:cs="Times New Roman"/>
        </w:rPr>
        <w:t xml:space="preserve"> ankylosing spondylitis (AS)</w:t>
      </w:r>
      <w:r w:rsidR="00330800" w:rsidRPr="00B54968">
        <w:rPr>
          <w:rFonts w:ascii="Times New Roman" w:hAnsi="Times New Roman" w:cs="Times New Roman"/>
          <w:iCs/>
        </w:rPr>
        <w:t xml:space="preserve">. </w:t>
      </w:r>
      <w:r w:rsidR="009C6D97">
        <w:rPr>
          <w:rFonts w:ascii="Times New Roman" w:hAnsi="Times New Roman" w:cs="Times New Roman"/>
          <w:iCs/>
          <w:lang w:eastAsia="ko-KR"/>
        </w:rPr>
        <w:t>Although, e</w:t>
      </w:r>
      <w:r w:rsidR="00F25488" w:rsidRPr="00B54968">
        <w:rPr>
          <w:rFonts w:ascii="Times New Roman" w:hAnsi="Times New Roman" w:cs="Times New Roman"/>
          <w:iCs/>
          <w:lang w:eastAsia="ko-KR"/>
        </w:rPr>
        <w:t>fficacy was not a primary endpoint in this study and this study was</w:t>
      </w:r>
      <w:r w:rsidR="009C6D97">
        <w:rPr>
          <w:rFonts w:ascii="Times New Roman" w:hAnsi="Times New Roman" w:cs="Times New Roman"/>
          <w:iCs/>
          <w:lang w:eastAsia="ko-KR"/>
        </w:rPr>
        <w:t xml:space="preserve"> not powered to assess efficacy</w:t>
      </w:r>
      <w:r w:rsidR="00F25488" w:rsidRPr="00B54968">
        <w:rPr>
          <w:rFonts w:ascii="Times New Roman" w:hAnsi="Times New Roman" w:cs="Times New Roman"/>
          <w:iCs/>
        </w:rPr>
        <w:t xml:space="preserve">, </w:t>
      </w:r>
      <w:r w:rsidR="00281C64">
        <w:rPr>
          <w:rFonts w:ascii="Times New Roman" w:hAnsi="Times New Roman" w:cs="Times New Roman"/>
          <w:iCs/>
        </w:rPr>
        <w:t>INFLECTRA</w:t>
      </w:r>
      <w:r w:rsidR="00330800" w:rsidRPr="00B54968">
        <w:rPr>
          <w:rFonts w:ascii="Times New Roman" w:hAnsi="Times New Roman" w:cs="Times New Roman"/>
          <w:vertAlign w:val="superscript"/>
        </w:rPr>
        <w:t>®</w:t>
      </w:r>
      <w:r w:rsidR="00330800" w:rsidRPr="00B54968">
        <w:rPr>
          <w:rFonts w:ascii="Times New Roman" w:hAnsi="Times New Roman" w:cs="Times New Roman"/>
          <w:iCs/>
        </w:rPr>
        <w:t xml:space="preserve"> and </w:t>
      </w:r>
      <w:r w:rsidR="001A691C">
        <w:rPr>
          <w:rFonts w:ascii="Times New Roman" w:hAnsi="Times New Roman" w:cs="Times New Roman"/>
          <w:iCs/>
        </w:rPr>
        <w:t>REMICADE</w:t>
      </w:r>
      <w:r w:rsidR="00330800" w:rsidRPr="00B54968">
        <w:rPr>
          <w:rFonts w:ascii="Times New Roman" w:hAnsi="Times New Roman" w:cs="Times New Roman"/>
          <w:iCs/>
          <w:vertAlign w:val="superscript"/>
        </w:rPr>
        <w:t>®</w:t>
      </w:r>
      <w:r w:rsidR="00330800" w:rsidRPr="00B54968">
        <w:rPr>
          <w:rFonts w:ascii="Times New Roman" w:hAnsi="Times New Roman" w:cs="Times New Roman"/>
          <w:iCs/>
        </w:rPr>
        <w:t xml:space="preserve"> treatment groups showed comparable effect in terms of efficacy with regard to ASAS20 and ASAS40 responses at Weeks 14, 30, and 54. </w:t>
      </w:r>
    </w:p>
    <w:p w14:paraId="6454EDA7" w14:textId="4ADE0097" w:rsidR="00140815" w:rsidRDefault="00140815" w:rsidP="003E2009">
      <w:pPr>
        <w:pStyle w:val="Default"/>
        <w:widowControl w:val="0"/>
        <w:rPr>
          <w:rFonts w:ascii="Times New Roman" w:hAnsi="Times New Roman" w:cs="Times New Roman"/>
          <w:b/>
          <w:bCs/>
          <w:color w:val="auto"/>
          <w:sz w:val="22"/>
          <w:szCs w:val="22"/>
        </w:rPr>
      </w:pPr>
    </w:p>
    <w:p w14:paraId="4561DC61" w14:textId="5E056316" w:rsidR="00A02600"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Adult Rheumatoid Arthritis </w:t>
      </w:r>
    </w:p>
    <w:p w14:paraId="56505465" w14:textId="77777777" w:rsidR="00A02600"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were assessed in two </w:t>
      </w:r>
      <w:proofErr w:type="spellStart"/>
      <w:r w:rsidRPr="00B54968">
        <w:rPr>
          <w:rFonts w:ascii="Times New Roman" w:hAnsi="Times New Roman" w:cs="Times New Roman"/>
          <w:color w:val="auto"/>
          <w:sz w:val="22"/>
          <w:szCs w:val="22"/>
        </w:rPr>
        <w:t>multicentre</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double-blind, pivotal trials: ATTRACT (Anti-TNF Trial in Rheumatoid Arthritis with Concomitant Therapy) and ASPIRE (Active-controlled Study of Patients Receiving Infliximab for the Treatment of Rheumatoid Arthritis of Early Onset). Concurrent use of stable doses of folic acid, oral corticosteroids (≤10 mg/day) and/or non-steroidal anti-inflammatory drugs was permitted. </w:t>
      </w:r>
    </w:p>
    <w:p w14:paraId="62C29AC1" w14:textId="66A107A5" w:rsidR="00A02600" w:rsidRPr="00B54968" w:rsidRDefault="00A02600" w:rsidP="003E2009">
      <w:pPr>
        <w:pStyle w:val="Default"/>
        <w:rPr>
          <w:rFonts w:ascii="Times New Roman" w:hAnsi="Times New Roman" w:cs="Times New Roman"/>
          <w:color w:val="auto"/>
          <w:sz w:val="22"/>
          <w:szCs w:val="22"/>
        </w:rPr>
      </w:pPr>
    </w:p>
    <w:p w14:paraId="5EB7C5D0" w14:textId="77777777" w:rsidR="00A02600"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primary endpoints were the reduction of signs and symptoms as assessed by the American College of Rheumatology (ACR) criteria (ACR20 for ATTRACT, landmark ACR-N at week 54 for ASPIRE), the prevention of structural damage and the improvement in physical function. A reduction in signs and symptoms was defined to be at least a 20% improvement (ACR20) in both tender and swollen joint counts and in 3 of the following 5 criteria: evaluator’s global assessment, patient’s global assessment, functional/disability measure, visual analogue pain scale and erythrocyte sedimentation rate or CRP. ACR-N uses the same criteria as the ACR20, calculated by taking the lowest percentage improvement in swollen joint count, tender joint count, and the median of the remaining 5 components of the ACR response. Structural joint damage (erosions and joint space narrowing) in both hands and feet was measured by the change from baseline in the total van der </w:t>
      </w:r>
      <w:proofErr w:type="spellStart"/>
      <w:r w:rsidRPr="00B54968">
        <w:rPr>
          <w:rFonts w:ascii="Times New Roman" w:hAnsi="Times New Roman" w:cs="Times New Roman"/>
          <w:color w:val="auto"/>
          <w:sz w:val="22"/>
          <w:szCs w:val="22"/>
        </w:rPr>
        <w:t>Heijde</w:t>
      </w:r>
      <w:proofErr w:type="spellEnd"/>
      <w:r w:rsidRPr="00B54968">
        <w:rPr>
          <w:rFonts w:ascii="Times New Roman" w:hAnsi="Times New Roman" w:cs="Times New Roman"/>
          <w:color w:val="auto"/>
          <w:sz w:val="22"/>
          <w:szCs w:val="22"/>
        </w:rPr>
        <w:t xml:space="preserve">-modified Sharp score (0-440). The Health Assessment Questionnaire (HAQ; scale 0-3) was used to measure patients' average change from baseline scores over time, through week 54, in physical function. </w:t>
      </w:r>
    </w:p>
    <w:p w14:paraId="4B2CA563" w14:textId="77777777" w:rsidR="00A02600" w:rsidRPr="00B54968" w:rsidRDefault="00A02600" w:rsidP="003E2009">
      <w:pPr>
        <w:pStyle w:val="Default"/>
        <w:rPr>
          <w:rFonts w:ascii="Times New Roman" w:hAnsi="Times New Roman" w:cs="Times New Roman"/>
          <w:color w:val="auto"/>
          <w:sz w:val="22"/>
          <w:szCs w:val="22"/>
        </w:rPr>
      </w:pPr>
    </w:p>
    <w:p w14:paraId="0AD1A53A" w14:textId="77777777" w:rsidR="00A02600"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ATTRACT trial evaluated responses at 30 weeks (reduction in signs and symptoms), 54 weeks (the prevention of structural damage) and 102 weeks (the improvement in physical function) in a placebo-controlled study of 428 adult patients with active rheumatoid arthritis despite treatment with methotrexate. Approximately 50% of patients were in functional Class III. Patients received placebo, 3 mg/kg or 10 mg/kg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at weeks 0, 2 and 6 and then every 4 or 8 weeks thereafter. All </w:t>
      </w:r>
      <w:r w:rsidRPr="00B54968">
        <w:rPr>
          <w:rFonts w:ascii="Times New Roman" w:hAnsi="Times New Roman" w:cs="Times New Roman"/>
          <w:color w:val="auto"/>
          <w:sz w:val="22"/>
          <w:szCs w:val="22"/>
        </w:rPr>
        <w:lastRenderedPageBreak/>
        <w:t xml:space="preserve">patients were on stable methotrexate doses (median 15 mg/week) for 6 months prior to enrolment and were to remain on stable doses throughout the study. </w:t>
      </w:r>
    </w:p>
    <w:p w14:paraId="27BC68E1" w14:textId="77777777" w:rsidR="00A02600" w:rsidRPr="00B54968" w:rsidRDefault="00A02600" w:rsidP="003E2009">
      <w:pPr>
        <w:pStyle w:val="Default"/>
        <w:rPr>
          <w:rFonts w:ascii="Times New Roman" w:hAnsi="Times New Roman" w:cs="Times New Roman"/>
          <w:color w:val="auto"/>
          <w:sz w:val="22"/>
          <w:szCs w:val="22"/>
        </w:rPr>
      </w:pPr>
    </w:p>
    <w:p w14:paraId="02104C2B" w14:textId="007DCA97" w:rsidR="00A02600"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Results from week 54 (ACR20, total van der </w:t>
      </w:r>
      <w:proofErr w:type="spellStart"/>
      <w:r w:rsidRPr="00B54968">
        <w:rPr>
          <w:rFonts w:ascii="Times New Roman" w:hAnsi="Times New Roman" w:cs="Times New Roman"/>
          <w:color w:val="auto"/>
          <w:sz w:val="22"/>
          <w:szCs w:val="22"/>
        </w:rPr>
        <w:t>Heijde</w:t>
      </w:r>
      <w:proofErr w:type="spellEnd"/>
      <w:r w:rsidRPr="00B54968">
        <w:rPr>
          <w:rFonts w:ascii="Times New Roman" w:hAnsi="Times New Roman" w:cs="Times New Roman"/>
          <w:color w:val="auto"/>
          <w:sz w:val="22"/>
          <w:szCs w:val="22"/>
        </w:rPr>
        <w:t xml:space="preserve">-modified Sharp score and HAQ are shown in Table </w:t>
      </w:r>
      <w:r w:rsidR="002F7924" w:rsidRPr="00B54968">
        <w:rPr>
          <w:rFonts w:ascii="Times New Roman" w:hAnsi="Times New Roman" w:cs="Times New Roman"/>
          <w:color w:val="auto"/>
          <w:sz w:val="22"/>
          <w:szCs w:val="22"/>
        </w:rPr>
        <w:t>5</w:t>
      </w:r>
      <w:r w:rsidRPr="00B54968">
        <w:rPr>
          <w:rFonts w:ascii="Times New Roman" w:hAnsi="Times New Roman" w:cs="Times New Roman"/>
          <w:color w:val="auto"/>
          <w:sz w:val="22"/>
          <w:szCs w:val="22"/>
        </w:rPr>
        <w:t xml:space="preserve">. Higher degrees of clinical response (ACR20, ACR50 and ACR70) were observed with </w:t>
      </w:r>
      <w:r w:rsidR="007540C8"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versus methotrexate alone at 30 and 54 weeks compared with methotrexate alone (Table </w:t>
      </w:r>
      <w:r w:rsidR="002F7924" w:rsidRPr="00B54968">
        <w:rPr>
          <w:rFonts w:ascii="Times New Roman" w:hAnsi="Times New Roman" w:cs="Times New Roman"/>
          <w:color w:val="auto"/>
          <w:sz w:val="22"/>
          <w:szCs w:val="22"/>
        </w:rPr>
        <w:t>5</w:t>
      </w:r>
      <w:r w:rsidRPr="00B54968">
        <w:rPr>
          <w:rFonts w:ascii="Times New Roman" w:hAnsi="Times New Roman" w:cs="Times New Roman"/>
          <w:color w:val="auto"/>
          <w:sz w:val="22"/>
          <w:szCs w:val="22"/>
        </w:rPr>
        <w:t xml:space="preserve">). </w:t>
      </w:r>
    </w:p>
    <w:p w14:paraId="4646CB96" w14:textId="77777777" w:rsidR="00A02600" w:rsidRPr="00B54968" w:rsidRDefault="00A02600" w:rsidP="003E2009">
      <w:pPr>
        <w:pStyle w:val="Default"/>
        <w:rPr>
          <w:rFonts w:ascii="Times New Roman" w:hAnsi="Times New Roman" w:cs="Times New Roman"/>
          <w:color w:val="auto"/>
          <w:sz w:val="22"/>
          <w:szCs w:val="22"/>
        </w:rPr>
      </w:pPr>
    </w:p>
    <w:p w14:paraId="24FD1BA7" w14:textId="74D1BE88" w:rsidR="00A02600" w:rsidRPr="00B54968" w:rsidRDefault="0049741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 reduction in the rate of the progression of structural joint damage (erosions and joint space narrowing) was observed in all infliximab groups at 54 weeks (Table </w:t>
      </w:r>
      <w:r w:rsidR="002F7924" w:rsidRPr="00B54968">
        <w:rPr>
          <w:rFonts w:ascii="Times New Roman" w:hAnsi="Times New Roman" w:cs="Times New Roman"/>
          <w:color w:val="auto"/>
          <w:sz w:val="22"/>
          <w:szCs w:val="22"/>
        </w:rPr>
        <w:t>5</w:t>
      </w:r>
      <w:r w:rsidRPr="00B54968">
        <w:rPr>
          <w:rFonts w:ascii="Times New Roman" w:hAnsi="Times New Roman" w:cs="Times New Roman"/>
          <w:color w:val="auto"/>
          <w:sz w:val="22"/>
          <w:szCs w:val="22"/>
        </w:rPr>
        <w:t xml:space="preserve">). </w:t>
      </w:r>
    </w:p>
    <w:p w14:paraId="1D1A9E33" w14:textId="77777777" w:rsidR="00A02600" w:rsidRPr="00B54968" w:rsidRDefault="00497413" w:rsidP="003E2009">
      <w:pPr>
        <w:pStyle w:val="Default"/>
        <w:rPr>
          <w:rFonts w:ascii="Times New Roman" w:hAnsi="Times New Roman" w:cs="Times New Roman"/>
          <w:color w:val="auto"/>
          <w:sz w:val="18"/>
          <w:szCs w:val="18"/>
        </w:rPr>
      </w:pPr>
      <w:r w:rsidRPr="00B54968">
        <w:rPr>
          <w:rFonts w:ascii="Times New Roman" w:hAnsi="Times New Roman" w:cs="Times New Roman"/>
          <w:color w:val="auto"/>
          <w:sz w:val="22"/>
          <w:szCs w:val="22"/>
        </w:rPr>
        <w:t xml:space="preserve">The effects observed at 54 weeks were maintained through 102 weeks. Due to a number of treatment withdrawals, the magnitude of the effect difference between infliximab and the methotrexate alone group </w:t>
      </w:r>
      <w:r w:rsidR="00432329" w:rsidRPr="00B54968">
        <w:rPr>
          <w:rFonts w:ascii="Times New Roman" w:hAnsi="Times New Roman" w:cs="Times New Roman"/>
          <w:color w:val="auto"/>
          <w:sz w:val="22"/>
          <w:szCs w:val="22"/>
        </w:rPr>
        <w:t>cannot</w:t>
      </w:r>
      <w:r w:rsidRPr="00B54968">
        <w:rPr>
          <w:rFonts w:ascii="Times New Roman" w:hAnsi="Times New Roman" w:cs="Times New Roman"/>
          <w:color w:val="auto"/>
          <w:sz w:val="22"/>
          <w:szCs w:val="22"/>
        </w:rPr>
        <w:t xml:space="preserve"> be defined.</w:t>
      </w:r>
      <w:r w:rsidRPr="00B54968">
        <w:rPr>
          <w:rFonts w:ascii="Times New Roman" w:hAnsi="Times New Roman" w:cs="Times New Roman"/>
          <w:color w:val="auto"/>
          <w:sz w:val="18"/>
          <w:szCs w:val="18"/>
        </w:rPr>
        <w:t xml:space="preserve"> </w:t>
      </w:r>
    </w:p>
    <w:p w14:paraId="5DCFC733" w14:textId="77777777" w:rsidR="00A02600" w:rsidRPr="00B54968" w:rsidRDefault="00A02600" w:rsidP="003E2009">
      <w:pPr>
        <w:pStyle w:val="Default"/>
        <w:rPr>
          <w:rFonts w:ascii="Times New Roman" w:hAnsi="Times New Roman" w:cs="Times New Roman"/>
          <w:color w:val="auto"/>
          <w:sz w:val="18"/>
          <w:szCs w:val="18"/>
          <w:lang w:eastAsia="ko-KR"/>
        </w:rPr>
      </w:pPr>
    </w:p>
    <w:p w14:paraId="0719DA4E" w14:textId="2D876E64" w:rsidR="00A02600" w:rsidRPr="00B54968" w:rsidRDefault="00B42860" w:rsidP="003E2009">
      <w:pPr>
        <w:rPr>
          <w:rFonts w:ascii="Times New Roman" w:hAnsi="Times New Roman" w:cs="Times New Roman"/>
          <w:b/>
          <w:bCs/>
          <w:szCs w:val="20"/>
        </w:rPr>
      </w:pPr>
      <w:r w:rsidRPr="00B54968">
        <w:rPr>
          <w:rFonts w:ascii="Times New Roman" w:hAnsi="Times New Roman" w:cs="Times New Roman"/>
          <w:b/>
          <w:bCs/>
          <w:szCs w:val="20"/>
        </w:rPr>
        <w:t xml:space="preserve">Table </w:t>
      </w:r>
      <w:r w:rsidR="002F7924" w:rsidRPr="00B54968">
        <w:rPr>
          <w:rFonts w:ascii="Times New Roman" w:hAnsi="Times New Roman" w:cs="Times New Roman"/>
          <w:b/>
          <w:bCs/>
          <w:szCs w:val="20"/>
        </w:rPr>
        <w:t>5</w:t>
      </w:r>
      <w:r w:rsidR="00B54968" w:rsidRPr="00B54968">
        <w:rPr>
          <w:rFonts w:ascii="Times New Roman" w:hAnsi="Times New Roman" w:cs="Times New Roman"/>
          <w:b/>
          <w:bCs/>
          <w:szCs w:val="20"/>
        </w:rPr>
        <w:t>:</w:t>
      </w:r>
      <w:r w:rsidR="00B54968" w:rsidRPr="00B54968">
        <w:rPr>
          <w:rFonts w:ascii="Times New Roman" w:hAnsi="Times New Roman" w:cs="Times New Roman" w:hint="eastAsia"/>
          <w:b/>
          <w:bCs/>
          <w:szCs w:val="20"/>
        </w:rPr>
        <w:tab/>
      </w:r>
      <w:r w:rsidRPr="00B54968">
        <w:rPr>
          <w:rFonts w:ascii="Times New Roman" w:hAnsi="Times New Roman" w:cs="Times New Roman"/>
          <w:b/>
          <w:bCs/>
          <w:szCs w:val="20"/>
        </w:rPr>
        <w:t>Effects on ACR20, Structural Joint Damage and Physical Function at week 54, ATTRACT</w:t>
      </w:r>
    </w:p>
    <w:tbl>
      <w:tblPr>
        <w:tblStyle w:val="TableGrid"/>
        <w:tblW w:w="9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134"/>
        <w:gridCol w:w="992"/>
        <w:gridCol w:w="992"/>
        <w:gridCol w:w="992"/>
        <w:gridCol w:w="993"/>
        <w:gridCol w:w="1301"/>
      </w:tblGrid>
      <w:tr w:rsidR="00F6473A" w:rsidRPr="00B54968" w14:paraId="064779E3" w14:textId="77777777" w:rsidTr="003E2009">
        <w:trPr>
          <w:trHeight w:val="247"/>
          <w:tblHeader/>
        </w:trPr>
        <w:tc>
          <w:tcPr>
            <w:tcW w:w="2802" w:type="dxa"/>
            <w:tcBorders>
              <w:top w:val="single" w:sz="8" w:space="0" w:color="auto"/>
            </w:tcBorders>
          </w:tcPr>
          <w:p w14:paraId="05D88F99" w14:textId="77777777" w:rsidR="00F6473A" w:rsidRPr="00B54968" w:rsidRDefault="00F6473A" w:rsidP="003E2009">
            <w:pPr>
              <w:autoSpaceDE w:val="0"/>
              <w:autoSpaceDN w:val="0"/>
              <w:adjustRightInd w:val="0"/>
              <w:rPr>
                <w:rFonts w:ascii="Times New Roman" w:hAnsi="Times New Roman" w:cs="Times New Roman"/>
                <w:sz w:val="18"/>
                <w:szCs w:val="18"/>
                <w:lang w:eastAsia="ko-KR"/>
              </w:rPr>
            </w:pPr>
          </w:p>
        </w:tc>
        <w:tc>
          <w:tcPr>
            <w:tcW w:w="1134" w:type="dxa"/>
            <w:tcBorders>
              <w:top w:val="single" w:sz="8" w:space="0" w:color="auto"/>
            </w:tcBorders>
          </w:tcPr>
          <w:p w14:paraId="600988F7" w14:textId="77777777" w:rsidR="00F6473A" w:rsidRPr="00B54968" w:rsidRDefault="00F6473A" w:rsidP="003E2009">
            <w:pPr>
              <w:autoSpaceDE w:val="0"/>
              <w:autoSpaceDN w:val="0"/>
              <w:adjustRightInd w:val="0"/>
              <w:rPr>
                <w:rFonts w:ascii="Times New Roman" w:hAnsi="Times New Roman" w:cs="Times New Roman"/>
                <w:sz w:val="16"/>
                <w:szCs w:val="16"/>
                <w:lang w:eastAsia="ko-KR"/>
              </w:rPr>
            </w:pPr>
            <w:proofErr w:type="spellStart"/>
            <w:r w:rsidRPr="00B54968">
              <w:rPr>
                <w:rFonts w:ascii="Times New Roman" w:hAnsi="Times New Roman" w:cs="Times New Roman"/>
                <w:sz w:val="16"/>
                <w:szCs w:val="16"/>
                <w:lang w:eastAsia="ko-KR"/>
              </w:rPr>
              <w:t>Control</w:t>
            </w:r>
            <w:r w:rsidRPr="00B54968">
              <w:rPr>
                <w:rFonts w:ascii="Times New Roman" w:hAnsi="Times New Roman" w:cs="Times New Roman"/>
                <w:sz w:val="16"/>
                <w:szCs w:val="16"/>
                <w:vertAlign w:val="superscript"/>
                <w:lang w:eastAsia="ko-KR"/>
              </w:rPr>
              <w:t>a</w:t>
            </w:r>
            <w:proofErr w:type="spellEnd"/>
          </w:p>
        </w:tc>
        <w:tc>
          <w:tcPr>
            <w:tcW w:w="3969" w:type="dxa"/>
            <w:gridSpan w:val="4"/>
            <w:tcBorders>
              <w:top w:val="single" w:sz="8" w:space="0" w:color="auto"/>
              <w:bottom w:val="single" w:sz="4" w:space="0" w:color="auto"/>
            </w:tcBorders>
            <w:vAlign w:val="center"/>
          </w:tcPr>
          <w:p w14:paraId="68D86842" w14:textId="77777777" w:rsidR="00F6473A" w:rsidRPr="00B54968" w:rsidRDefault="00F6473A" w:rsidP="003E2009">
            <w:pPr>
              <w:autoSpaceDE w:val="0"/>
              <w:autoSpaceDN w:val="0"/>
              <w:adjustRightInd w:val="0"/>
              <w:rPr>
                <w:rFonts w:ascii="Times New Roman" w:hAnsi="Times New Roman" w:cs="Times New Roman"/>
                <w:sz w:val="16"/>
                <w:szCs w:val="16"/>
                <w:lang w:eastAsia="ko-KR"/>
              </w:rPr>
            </w:pPr>
            <w:proofErr w:type="spellStart"/>
            <w:r w:rsidRPr="00B54968">
              <w:rPr>
                <w:rFonts w:ascii="Times New Roman" w:hAnsi="Times New Roman" w:cs="Times New Roman"/>
                <w:sz w:val="16"/>
                <w:szCs w:val="16"/>
                <w:lang w:eastAsia="ko-KR"/>
              </w:rPr>
              <w:t>infliximab</w:t>
            </w:r>
            <w:r w:rsidRPr="00B54968">
              <w:rPr>
                <w:rFonts w:ascii="Times New Roman" w:hAnsi="Times New Roman" w:cs="Times New Roman"/>
                <w:sz w:val="16"/>
                <w:szCs w:val="16"/>
                <w:vertAlign w:val="superscript"/>
                <w:lang w:eastAsia="ko-KR"/>
              </w:rPr>
              <w:t>b</w:t>
            </w:r>
            <w:proofErr w:type="spellEnd"/>
          </w:p>
        </w:tc>
        <w:tc>
          <w:tcPr>
            <w:tcW w:w="1301" w:type="dxa"/>
            <w:tcBorders>
              <w:top w:val="single" w:sz="8" w:space="0" w:color="auto"/>
            </w:tcBorders>
          </w:tcPr>
          <w:p w14:paraId="5124A7D5" w14:textId="77777777" w:rsidR="00F6473A" w:rsidRPr="00B54968" w:rsidRDefault="00F6473A" w:rsidP="003E2009">
            <w:pPr>
              <w:autoSpaceDE w:val="0"/>
              <w:autoSpaceDN w:val="0"/>
              <w:adjustRightInd w:val="0"/>
              <w:rPr>
                <w:rFonts w:ascii="Times New Roman" w:hAnsi="Times New Roman" w:cs="Times New Roman"/>
                <w:sz w:val="16"/>
                <w:szCs w:val="16"/>
                <w:lang w:eastAsia="ko-KR"/>
              </w:rPr>
            </w:pPr>
          </w:p>
        </w:tc>
      </w:tr>
      <w:tr w:rsidR="00CA1A39" w:rsidRPr="00B54968" w14:paraId="5FBAD1AA" w14:textId="77777777" w:rsidTr="003E2009">
        <w:trPr>
          <w:trHeight w:val="356"/>
          <w:tblHeader/>
        </w:trPr>
        <w:tc>
          <w:tcPr>
            <w:tcW w:w="2802" w:type="dxa"/>
            <w:tcBorders>
              <w:bottom w:val="single" w:sz="4" w:space="0" w:color="auto"/>
            </w:tcBorders>
          </w:tcPr>
          <w:p w14:paraId="7F1BB554" w14:textId="77777777" w:rsidR="00F6473A" w:rsidRPr="00B54968" w:rsidRDefault="00F6473A" w:rsidP="003E2009">
            <w:pPr>
              <w:autoSpaceDE w:val="0"/>
              <w:autoSpaceDN w:val="0"/>
              <w:adjustRightInd w:val="0"/>
              <w:rPr>
                <w:rFonts w:ascii="Times New Roman" w:hAnsi="Times New Roman" w:cs="Times New Roman"/>
                <w:sz w:val="18"/>
                <w:szCs w:val="18"/>
                <w:lang w:eastAsia="ko-KR"/>
              </w:rPr>
            </w:pPr>
          </w:p>
        </w:tc>
        <w:tc>
          <w:tcPr>
            <w:tcW w:w="1134" w:type="dxa"/>
            <w:tcBorders>
              <w:bottom w:val="single" w:sz="4" w:space="0" w:color="auto"/>
            </w:tcBorders>
          </w:tcPr>
          <w:p w14:paraId="65085CBC" w14:textId="77777777" w:rsidR="00F6473A" w:rsidRPr="00B54968" w:rsidRDefault="00F6473A" w:rsidP="003E2009">
            <w:pPr>
              <w:autoSpaceDE w:val="0"/>
              <w:autoSpaceDN w:val="0"/>
              <w:adjustRightInd w:val="0"/>
              <w:rPr>
                <w:rFonts w:ascii="Times New Roman" w:hAnsi="Times New Roman" w:cs="Times New Roman"/>
                <w:sz w:val="16"/>
                <w:szCs w:val="16"/>
                <w:lang w:eastAsia="ko-KR"/>
              </w:rPr>
            </w:pPr>
          </w:p>
        </w:tc>
        <w:tc>
          <w:tcPr>
            <w:tcW w:w="992" w:type="dxa"/>
            <w:tcBorders>
              <w:bottom w:val="single" w:sz="4" w:space="0" w:color="auto"/>
            </w:tcBorders>
            <w:vAlign w:val="center"/>
          </w:tcPr>
          <w:p w14:paraId="0CDA9701" w14:textId="77777777" w:rsidR="00F6473A" w:rsidRPr="00B54968" w:rsidRDefault="00F6473A" w:rsidP="003E200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3mg/kg</w:t>
            </w:r>
          </w:p>
          <w:p w14:paraId="38DFBAC2" w14:textId="77777777" w:rsidR="00F6473A" w:rsidRPr="00B54968" w:rsidRDefault="00F6473A" w:rsidP="003E200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 xml:space="preserve">q 8 </w:t>
            </w:r>
            <w:proofErr w:type="spellStart"/>
            <w:r w:rsidRPr="00B54968">
              <w:rPr>
                <w:rFonts w:ascii="Times New Roman" w:hAnsi="Times New Roman" w:cs="Times New Roman"/>
                <w:sz w:val="16"/>
                <w:szCs w:val="16"/>
                <w:lang w:eastAsia="ko-KR"/>
              </w:rPr>
              <w:t>wks</w:t>
            </w:r>
            <w:proofErr w:type="spellEnd"/>
          </w:p>
        </w:tc>
        <w:tc>
          <w:tcPr>
            <w:tcW w:w="992" w:type="dxa"/>
            <w:tcBorders>
              <w:bottom w:val="single" w:sz="4" w:space="0" w:color="auto"/>
            </w:tcBorders>
            <w:vAlign w:val="center"/>
          </w:tcPr>
          <w:p w14:paraId="7A0C838F" w14:textId="77777777" w:rsidR="00F6473A" w:rsidRPr="00B54968" w:rsidRDefault="00F6473A" w:rsidP="003E200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3 mg/kg</w:t>
            </w:r>
          </w:p>
          <w:p w14:paraId="4D1FF20B" w14:textId="77777777" w:rsidR="00F6473A" w:rsidRPr="00B54968" w:rsidRDefault="00F6473A" w:rsidP="003E200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 xml:space="preserve">q 4 </w:t>
            </w:r>
            <w:proofErr w:type="spellStart"/>
            <w:r w:rsidRPr="00B54968">
              <w:rPr>
                <w:rFonts w:ascii="Times New Roman" w:hAnsi="Times New Roman" w:cs="Times New Roman"/>
                <w:sz w:val="16"/>
                <w:szCs w:val="16"/>
                <w:lang w:eastAsia="ko-KR"/>
              </w:rPr>
              <w:t>wks</w:t>
            </w:r>
            <w:proofErr w:type="spellEnd"/>
          </w:p>
        </w:tc>
        <w:tc>
          <w:tcPr>
            <w:tcW w:w="992" w:type="dxa"/>
            <w:tcBorders>
              <w:top w:val="single" w:sz="4" w:space="0" w:color="auto"/>
              <w:bottom w:val="single" w:sz="4" w:space="0" w:color="auto"/>
            </w:tcBorders>
            <w:vAlign w:val="center"/>
          </w:tcPr>
          <w:p w14:paraId="5D957BD1" w14:textId="77777777" w:rsidR="00F6473A" w:rsidRPr="00B54968" w:rsidRDefault="00F6473A" w:rsidP="003E200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10 mg/kg</w:t>
            </w:r>
          </w:p>
          <w:p w14:paraId="4ABBE960" w14:textId="77777777" w:rsidR="00F6473A" w:rsidRPr="00B54968" w:rsidRDefault="00F6473A" w:rsidP="003E200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q 8wks</w:t>
            </w:r>
          </w:p>
        </w:tc>
        <w:tc>
          <w:tcPr>
            <w:tcW w:w="993" w:type="dxa"/>
            <w:tcBorders>
              <w:top w:val="single" w:sz="4" w:space="0" w:color="auto"/>
              <w:bottom w:val="single" w:sz="4" w:space="0" w:color="auto"/>
            </w:tcBorders>
            <w:vAlign w:val="center"/>
          </w:tcPr>
          <w:p w14:paraId="25F4E9A9" w14:textId="77777777" w:rsidR="00F6473A" w:rsidRPr="00B54968" w:rsidRDefault="00F6473A" w:rsidP="003E200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10 mg/kg</w:t>
            </w:r>
          </w:p>
          <w:p w14:paraId="3FB4AD72" w14:textId="77777777" w:rsidR="00F6473A" w:rsidRPr="00B54968" w:rsidRDefault="00F6473A" w:rsidP="003E200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 xml:space="preserve">q 4 </w:t>
            </w:r>
            <w:proofErr w:type="spellStart"/>
            <w:r w:rsidRPr="00B54968">
              <w:rPr>
                <w:rFonts w:ascii="Times New Roman" w:hAnsi="Times New Roman" w:cs="Times New Roman"/>
                <w:sz w:val="16"/>
                <w:szCs w:val="16"/>
                <w:lang w:eastAsia="ko-KR"/>
              </w:rPr>
              <w:t>wks</w:t>
            </w:r>
            <w:proofErr w:type="spellEnd"/>
          </w:p>
        </w:tc>
        <w:tc>
          <w:tcPr>
            <w:tcW w:w="1301" w:type="dxa"/>
            <w:tcBorders>
              <w:bottom w:val="single" w:sz="4" w:space="0" w:color="auto"/>
            </w:tcBorders>
            <w:vAlign w:val="bottom"/>
          </w:tcPr>
          <w:p w14:paraId="116EB8F9" w14:textId="77777777" w:rsidR="00F6473A" w:rsidRPr="00B54968" w:rsidRDefault="00F6473A" w:rsidP="003E200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 xml:space="preserve">All </w:t>
            </w:r>
            <w:proofErr w:type="spellStart"/>
            <w:r w:rsidRPr="00B54968">
              <w:rPr>
                <w:rFonts w:ascii="Times New Roman" w:hAnsi="Times New Roman" w:cs="Times New Roman"/>
                <w:sz w:val="16"/>
                <w:szCs w:val="16"/>
                <w:lang w:eastAsia="ko-KR"/>
              </w:rPr>
              <w:t>infliximab</w:t>
            </w:r>
            <w:r w:rsidRPr="00B54968">
              <w:rPr>
                <w:rFonts w:ascii="Times New Roman" w:hAnsi="Times New Roman" w:cs="Times New Roman"/>
                <w:sz w:val="16"/>
                <w:szCs w:val="16"/>
                <w:vertAlign w:val="superscript"/>
                <w:lang w:eastAsia="ko-KR"/>
              </w:rPr>
              <w:t>b</w:t>
            </w:r>
            <w:proofErr w:type="spellEnd"/>
          </w:p>
        </w:tc>
      </w:tr>
      <w:tr w:rsidR="00CA1A39" w:rsidRPr="00B54968" w14:paraId="4BD63365" w14:textId="77777777" w:rsidTr="00F93704">
        <w:trPr>
          <w:trHeight w:val="531"/>
        </w:trPr>
        <w:tc>
          <w:tcPr>
            <w:tcW w:w="2802" w:type="dxa"/>
            <w:tcBorders>
              <w:top w:val="single" w:sz="4" w:space="0" w:color="auto"/>
            </w:tcBorders>
            <w:vAlign w:val="center"/>
          </w:tcPr>
          <w:p w14:paraId="1D0A6337" w14:textId="77777777" w:rsidR="00F6473A" w:rsidRPr="00B54968" w:rsidRDefault="00F6473A" w:rsidP="003E200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Patients with ACR20 response/</w:t>
            </w:r>
          </w:p>
          <w:p w14:paraId="328D0382" w14:textId="77777777" w:rsidR="00F6473A" w:rsidRPr="00B54968" w:rsidRDefault="00F6473A" w:rsidP="003E200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Patients evaluated (%)</w:t>
            </w:r>
            <w:r w:rsidRPr="00B54968">
              <w:rPr>
                <w:rFonts w:ascii="Times New Roman" w:hAnsi="Times New Roman" w:cs="Times New Roman"/>
                <w:sz w:val="16"/>
                <w:szCs w:val="18"/>
                <w:vertAlign w:val="superscript"/>
                <w:lang w:eastAsia="ko-KR"/>
              </w:rPr>
              <w:t>c</w:t>
            </w:r>
          </w:p>
        </w:tc>
        <w:tc>
          <w:tcPr>
            <w:tcW w:w="1134" w:type="dxa"/>
            <w:tcBorders>
              <w:top w:val="single" w:sz="4" w:space="0" w:color="auto"/>
            </w:tcBorders>
            <w:vAlign w:val="center"/>
          </w:tcPr>
          <w:p w14:paraId="66CC537D"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15/88 (17%)</w:t>
            </w:r>
          </w:p>
        </w:tc>
        <w:tc>
          <w:tcPr>
            <w:tcW w:w="992" w:type="dxa"/>
            <w:tcBorders>
              <w:top w:val="single" w:sz="4" w:space="0" w:color="auto"/>
            </w:tcBorders>
            <w:vAlign w:val="center"/>
          </w:tcPr>
          <w:p w14:paraId="47ABC444"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36/86 (42%)</w:t>
            </w:r>
          </w:p>
        </w:tc>
        <w:tc>
          <w:tcPr>
            <w:tcW w:w="992" w:type="dxa"/>
            <w:tcBorders>
              <w:top w:val="single" w:sz="4" w:space="0" w:color="auto"/>
            </w:tcBorders>
            <w:vAlign w:val="center"/>
          </w:tcPr>
          <w:p w14:paraId="23954716"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41/86 (48</w:t>
            </w:r>
            <w:r w:rsidR="00F93704" w:rsidRPr="00B54968">
              <w:rPr>
                <w:rFonts w:ascii="Times New Roman" w:hAnsi="Times New Roman" w:cs="Times New Roman"/>
                <w:sz w:val="14"/>
                <w:szCs w:val="16"/>
                <w:lang w:eastAsia="ko-KR"/>
              </w:rPr>
              <w:t>%</w:t>
            </w:r>
            <w:r w:rsidRPr="00B54968">
              <w:rPr>
                <w:rFonts w:ascii="Times New Roman" w:hAnsi="Times New Roman" w:cs="Times New Roman"/>
                <w:sz w:val="14"/>
                <w:szCs w:val="16"/>
                <w:lang w:eastAsia="ko-KR"/>
              </w:rPr>
              <w:t>)</w:t>
            </w:r>
          </w:p>
        </w:tc>
        <w:tc>
          <w:tcPr>
            <w:tcW w:w="992" w:type="dxa"/>
            <w:tcBorders>
              <w:top w:val="single" w:sz="4" w:space="0" w:color="auto"/>
            </w:tcBorders>
            <w:vAlign w:val="center"/>
          </w:tcPr>
          <w:p w14:paraId="30D4DD6D"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51/87 (59%)</w:t>
            </w:r>
          </w:p>
        </w:tc>
        <w:tc>
          <w:tcPr>
            <w:tcW w:w="993" w:type="dxa"/>
            <w:tcBorders>
              <w:top w:val="single" w:sz="4" w:space="0" w:color="auto"/>
            </w:tcBorders>
            <w:vAlign w:val="center"/>
          </w:tcPr>
          <w:p w14:paraId="713F6E8B"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48/81 (59%)</w:t>
            </w:r>
          </w:p>
        </w:tc>
        <w:tc>
          <w:tcPr>
            <w:tcW w:w="1301" w:type="dxa"/>
            <w:tcBorders>
              <w:top w:val="single" w:sz="4" w:space="0" w:color="auto"/>
            </w:tcBorders>
            <w:vAlign w:val="center"/>
          </w:tcPr>
          <w:p w14:paraId="2980C36F"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176/340 (52%)</w:t>
            </w:r>
          </w:p>
        </w:tc>
      </w:tr>
      <w:tr w:rsidR="00CA1A39" w:rsidRPr="00B54968" w14:paraId="64242A77" w14:textId="77777777" w:rsidTr="00F93704">
        <w:trPr>
          <w:trHeight w:val="512"/>
        </w:trPr>
        <w:tc>
          <w:tcPr>
            <w:tcW w:w="2802" w:type="dxa"/>
            <w:vAlign w:val="center"/>
          </w:tcPr>
          <w:p w14:paraId="737E7AC3" w14:textId="77777777" w:rsidR="00F6473A" w:rsidRPr="00B54968" w:rsidRDefault="00F6473A" w:rsidP="003E200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Total score</w:t>
            </w:r>
            <w:r w:rsidRPr="00B54968">
              <w:rPr>
                <w:rFonts w:ascii="Times New Roman" w:hAnsi="Times New Roman" w:cs="Times New Roman"/>
                <w:sz w:val="16"/>
                <w:szCs w:val="18"/>
                <w:vertAlign w:val="superscript"/>
                <w:lang w:eastAsia="ko-KR"/>
              </w:rPr>
              <w:t xml:space="preserve">d </w:t>
            </w:r>
            <w:r w:rsidRPr="00B54968">
              <w:rPr>
                <w:rFonts w:ascii="Times New Roman" w:hAnsi="Times New Roman" w:cs="Times New Roman"/>
                <w:sz w:val="16"/>
                <w:szCs w:val="18"/>
                <w:lang w:eastAsia="ko-KR"/>
              </w:rPr>
              <w:t xml:space="preserve">(van der </w:t>
            </w:r>
            <w:proofErr w:type="spellStart"/>
            <w:r w:rsidRPr="00B54968">
              <w:rPr>
                <w:rFonts w:ascii="Times New Roman" w:hAnsi="Times New Roman" w:cs="Times New Roman"/>
                <w:sz w:val="16"/>
                <w:szCs w:val="18"/>
                <w:lang w:eastAsia="ko-KR"/>
              </w:rPr>
              <w:t>Heijde</w:t>
            </w:r>
            <w:proofErr w:type="spellEnd"/>
            <w:r w:rsidRPr="00B54968">
              <w:rPr>
                <w:rFonts w:ascii="Times New Roman" w:hAnsi="Times New Roman" w:cs="Times New Roman"/>
                <w:sz w:val="16"/>
                <w:szCs w:val="18"/>
                <w:lang w:eastAsia="ko-KR"/>
              </w:rPr>
              <w:t>-modified Sharp score)</w:t>
            </w:r>
          </w:p>
        </w:tc>
        <w:tc>
          <w:tcPr>
            <w:tcW w:w="1134" w:type="dxa"/>
            <w:vAlign w:val="center"/>
          </w:tcPr>
          <w:p w14:paraId="56387935"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p>
        </w:tc>
        <w:tc>
          <w:tcPr>
            <w:tcW w:w="992" w:type="dxa"/>
            <w:vAlign w:val="center"/>
          </w:tcPr>
          <w:p w14:paraId="4F8ED586"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p>
        </w:tc>
        <w:tc>
          <w:tcPr>
            <w:tcW w:w="992" w:type="dxa"/>
            <w:vAlign w:val="center"/>
          </w:tcPr>
          <w:p w14:paraId="35A24568"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p>
        </w:tc>
        <w:tc>
          <w:tcPr>
            <w:tcW w:w="992" w:type="dxa"/>
            <w:vAlign w:val="center"/>
          </w:tcPr>
          <w:p w14:paraId="2D4D6473"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p>
        </w:tc>
        <w:tc>
          <w:tcPr>
            <w:tcW w:w="993" w:type="dxa"/>
            <w:vAlign w:val="center"/>
          </w:tcPr>
          <w:p w14:paraId="0D135610"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p>
        </w:tc>
        <w:tc>
          <w:tcPr>
            <w:tcW w:w="1301" w:type="dxa"/>
            <w:vAlign w:val="center"/>
          </w:tcPr>
          <w:p w14:paraId="39D965D3"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p>
        </w:tc>
      </w:tr>
      <w:tr w:rsidR="00CA1A39" w:rsidRPr="00B54968" w14:paraId="5750E66A" w14:textId="77777777" w:rsidTr="00F93704">
        <w:trPr>
          <w:trHeight w:val="266"/>
        </w:trPr>
        <w:tc>
          <w:tcPr>
            <w:tcW w:w="2802" w:type="dxa"/>
            <w:vAlign w:val="center"/>
          </w:tcPr>
          <w:p w14:paraId="5A7DF6C3" w14:textId="77777777" w:rsidR="00F6473A" w:rsidRPr="00B54968" w:rsidRDefault="00F6473A" w:rsidP="003E200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 xml:space="preserve">Change from baseline (Mean </w:t>
            </w:r>
            <m:oMath>
              <m:r>
                <m:rPr>
                  <m:sty m:val="p"/>
                </m:rPr>
                <w:rPr>
                  <w:rFonts w:ascii="Cambria Math" w:hAnsi="Cambria Math" w:cs="Times New Roman"/>
                  <w:sz w:val="16"/>
                  <w:szCs w:val="18"/>
                  <w:lang w:eastAsia="ko-KR"/>
                </w:rPr>
                <m:t>±</m:t>
              </m:r>
            </m:oMath>
            <w:r w:rsidRPr="00B54968">
              <w:rPr>
                <w:rFonts w:ascii="Times New Roman" w:hAnsi="Times New Roman" w:cs="Times New Roman"/>
                <w:sz w:val="16"/>
                <w:szCs w:val="18"/>
                <w:lang w:eastAsia="ko-KR"/>
              </w:rPr>
              <w:t xml:space="preserve"> SD</w:t>
            </w:r>
            <w:r w:rsidRPr="00B54968">
              <w:rPr>
                <w:rFonts w:ascii="Times New Roman" w:hAnsi="Times New Roman" w:cs="Times New Roman"/>
                <w:sz w:val="16"/>
                <w:szCs w:val="18"/>
                <w:vertAlign w:val="superscript"/>
                <w:lang w:eastAsia="ko-KR"/>
              </w:rPr>
              <w:t>c</w:t>
            </w:r>
            <w:r w:rsidRPr="00B54968">
              <w:rPr>
                <w:rFonts w:ascii="Times New Roman" w:hAnsi="Times New Roman" w:cs="Times New Roman"/>
                <w:sz w:val="16"/>
                <w:szCs w:val="18"/>
                <w:lang w:eastAsia="ko-KR"/>
              </w:rPr>
              <w:t>)</w:t>
            </w:r>
          </w:p>
        </w:tc>
        <w:tc>
          <w:tcPr>
            <w:tcW w:w="1134" w:type="dxa"/>
            <w:vAlign w:val="center"/>
          </w:tcPr>
          <w:p w14:paraId="2D708762"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7.0</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10.3</w:t>
            </w:r>
          </w:p>
        </w:tc>
        <w:tc>
          <w:tcPr>
            <w:tcW w:w="992" w:type="dxa"/>
            <w:vAlign w:val="center"/>
          </w:tcPr>
          <w:p w14:paraId="51068DB2"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1.3</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 xml:space="preserve"> 6.0</w:t>
            </w:r>
          </w:p>
        </w:tc>
        <w:tc>
          <w:tcPr>
            <w:tcW w:w="992" w:type="dxa"/>
            <w:vAlign w:val="center"/>
          </w:tcPr>
          <w:p w14:paraId="0376D05E"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1.6</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8.5</w:t>
            </w:r>
          </w:p>
        </w:tc>
        <w:tc>
          <w:tcPr>
            <w:tcW w:w="992" w:type="dxa"/>
            <w:vAlign w:val="center"/>
          </w:tcPr>
          <w:p w14:paraId="00244C71"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0.2 </w:t>
            </w:r>
            <m:oMath>
              <m:r>
                <m:rPr>
                  <m:sty m:val="p"/>
                </m:rPr>
                <w:rPr>
                  <w:rFonts w:ascii="Cambria Math" w:hAnsi="Cambria Math" w:cs="Times New Roman"/>
                  <w:sz w:val="14"/>
                  <w:szCs w:val="16"/>
                  <w:lang w:eastAsia="ko-KR"/>
                </w:rPr>
                <m:t>±</m:t>
              </m:r>
            </m:oMath>
            <w:r w:rsidRPr="00B54968">
              <w:rPr>
                <w:rFonts w:ascii="Times New Roman" w:hAnsi="Times New Roman" w:cs="Times New Roman"/>
                <w:sz w:val="14"/>
                <w:szCs w:val="16"/>
                <w:lang w:eastAsia="ko-KR"/>
              </w:rPr>
              <w:t xml:space="preserve"> 3.6</w:t>
            </w:r>
          </w:p>
        </w:tc>
        <w:tc>
          <w:tcPr>
            <w:tcW w:w="993" w:type="dxa"/>
            <w:vAlign w:val="center"/>
          </w:tcPr>
          <w:p w14:paraId="0B953790"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-0.7</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3.8</w:t>
            </w:r>
          </w:p>
        </w:tc>
        <w:tc>
          <w:tcPr>
            <w:tcW w:w="1301" w:type="dxa"/>
            <w:vAlign w:val="center"/>
          </w:tcPr>
          <w:p w14:paraId="76813EBE"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0.6</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5.9</w:t>
            </w:r>
          </w:p>
        </w:tc>
      </w:tr>
      <w:tr w:rsidR="00CA1A39" w:rsidRPr="00B54968" w14:paraId="5A944A7F" w14:textId="77777777" w:rsidTr="00F93704">
        <w:trPr>
          <w:trHeight w:val="512"/>
        </w:trPr>
        <w:tc>
          <w:tcPr>
            <w:tcW w:w="2802" w:type="dxa"/>
            <w:vAlign w:val="center"/>
          </w:tcPr>
          <w:p w14:paraId="55A454B0" w14:textId="77777777" w:rsidR="00F6473A" w:rsidRPr="00B54968" w:rsidRDefault="00F6473A" w:rsidP="003E2009">
            <w:pPr>
              <w:autoSpaceDE w:val="0"/>
              <w:autoSpaceDN w:val="0"/>
              <w:adjustRightInd w:val="0"/>
              <w:rPr>
                <w:rFonts w:ascii="Times New Roman" w:hAnsi="Times New Roman" w:cs="Times New Roman"/>
                <w:sz w:val="16"/>
                <w:szCs w:val="18"/>
                <w:vertAlign w:val="superscript"/>
                <w:lang w:eastAsia="ko-KR"/>
              </w:rPr>
            </w:pPr>
            <w:proofErr w:type="spellStart"/>
            <w:r w:rsidRPr="00B54968">
              <w:rPr>
                <w:rFonts w:ascii="Times New Roman" w:hAnsi="Times New Roman" w:cs="Times New Roman"/>
                <w:sz w:val="16"/>
                <w:szCs w:val="18"/>
                <w:lang w:eastAsia="ko-KR"/>
              </w:rPr>
              <w:t>Mean</w:t>
            </w:r>
            <w:r w:rsidRPr="00B54968">
              <w:rPr>
                <w:rFonts w:ascii="Times New Roman" w:hAnsi="Times New Roman" w:cs="Times New Roman"/>
                <w:sz w:val="16"/>
                <w:szCs w:val="18"/>
                <w:vertAlign w:val="superscript"/>
                <w:lang w:eastAsia="ko-KR"/>
              </w:rPr>
              <w:t>c</w:t>
            </w:r>
            <w:proofErr w:type="spellEnd"/>
          </w:p>
          <w:p w14:paraId="1C51B829" w14:textId="77777777" w:rsidR="00F6473A" w:rsidRPr="00B54968" w:rsidRDefault="00F6473A" w:rsidP="003E200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(Interquartile range)</w:t>
            </w:r>
          </w:p>
        </w:tc>
        <w:tc>
          <w:tcPr>
            <w:tcW w:w="1134" w:type="dxa"/>
            <w:vAlign w:val="center"/>
          </w:tcPr>
          <w:p w14:paraId="0612B6AB"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4.0</w:t>
            </w:r>
          </w:p>
          <w:p w14:paraId="16F67353"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(0.5, 9.7)</w:t>
            </w:r>
          </w:p>
        </w:tc>
        <w:tc>
          <w:tcPr>
            <w:tcW w:w="992" w:type="dxa"/>
            <w:vAlign w:val="center"/>
          </w:tcPr>
          <w:p w14:paraId="07B2E948"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w:t>
            </w:r>
          </w:p>
          <w:p w14:paraId="75AC367C"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 3.0)</w:t>
            </w:r>
          </w:p>
        </w:tc>
        <w:tc>
          <w:tcPr>
            <w:tcW w:w="992" w:type="dxa"/>
            <w:vAlign w:val="center"/>
          </w:tcPr>
          <w:p w14:paraId="6AB33040"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0.1</w:t>
            </w:r>
          </w:p>
          <w:p w14:paraId="774EF52B"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(-2.5, 3.0)</w:t>
            </w:r>
          </w:p>
        </w:tc>
        <w:tc>
          <w:tcPr>
            <w:tcW w:w="992" w:type="dxa"/>
            <w:vAlign w:val="center"/>
          </w:tcPr>
          <w:p w14:paraId="2B205E5F"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w:t>
            </w:r>
          </w:p>
          <w:p w14:paraId="13D11DC8"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 2.)</w:t>
            </w:r>
          </w:p>
        </w:tc>
        <w:tc>
          <w:tcPr>
            <w:tcW w:w="993" w:type="dxa"/>
            <w:vAlign w:val="center"/>
          </w:tcPr>
          <w:p w14:paraId="58704F22"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w:t>
            </w:r>
          </w:p>
          <w:p w14:paraId="67989E25"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(-3.0, 1.5)</w:t>
            </w:r>
          </w:p>
        </w:tc>
        <w:tc>
          <w:tcPr>
            <w:tcW w:w="1301" w:type="dxa"/>
            <w:vAlign w:val="center"/>
          </w:tcPr>
          <w:p w14:paraId="64F7E6A1"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0.0</w:t>
            </w:r>
          </w:p>
          <w:p w14:paraId="15578BA1"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(-1.8, 2.0)</w:t>
            </w:r>
          </w:p>
        </w:tc>
      </w:tr>
      <w:tr w:rsidR="00CA1A39" w:rsidRPr="00B54968" w14:paraId="68285B35" w14:textId="77777777" w:rsidTr="00F93704">
        <w:trPr>
          <w:trHeight w:val="512"/>
        </w:trPr>
        <w:tc>
          <w:tcPr>
            <w:tcW w:w="2802" w:type="dxa"/>
            <w:vAlign w:val="center"/>
          </w:tcPr>
          <w:p w14:paraId="05FACE05" w14:textId="77777777" w:rsidR="00F6473A" w:rsidRPr="00B54968" w:rsidRDefault="00F6473A" w:rsidP="003E200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 xml:space="preserve">Patients with no deterioration/patients </w:t>
            </w:r>
          </w:p>
          <w:p w14:paraId="01BE4E2B" w14:textId="77777777" w:rsidR="00F6473A" w:rsidRPr="00B54968" w:rsidRDefault="00F6473A" w:rsidP="003E200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Evaluated (%)</w:t>
            </w:r>
            <w:r w:rsidRPr="00B54968">
              <w:rPr>
                <w:rFonts w:ascii="Times New Roman" w:hAnsi="Times New Roman" w:cs="Times New Roman"/>
                <w:sz w:val="16"/>
                <w:szCs w:val="18"/>
                <w:vertAlign w:val="superscript"/>
                <w:lang w:eastAsia="ko-KR"/>
              </w:rPr>
              <w:t>c</w:t>
            </w:r>
            <w:r w:rsidRPr="00B54968">
              <w:rPr>
                <w:rFonts w:ascii="Times New Roman" w:hAnsi="Times New Roman" w:cs="Times New Roman"/>
                <w:sz w:val="16"/>
                <w:szCs w:val="18"/>
                <w:lang w:eastAsia="ko-KR"/>
              </w:rPr>
              <w:t xml:space="preserve"> </w:t>
            </w:r>
          </w:p>
        </w:tc>
        <w:tc>
          <w:tcPr>
            <w:tcW w:w="1134" w:type="dxa"/>
            <w:vAlign w:val="center"/>
          </w:tcPr>
          <w:p w14:paraId="7CC96B82"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13/64 (20%)</w:t>
            </w:r>
          </w:p>
        </w:tc>
        <w:tc>
          <w:tcPr>
            <w:tcW w:w="992" w:type="dxa"/>
            <w:vAlign w:val="center"/>
          </w:tcPr>
          <w:p w14:paraId="562E5AA8"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34/71 (48%)</w:t>
            </w:r>
          </w:p>
        </w:tc>
        <w:tc>
          <w:tcPr>
            <w:tcW w:w="992" w:type="dxa"/>
            <w:vAlign w:val="center"/>
          </w:tcPr>
          <w:p w14:paraId="4B58B653"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35/71 (49%)</w:t>
            </w:r>
          </w:p>
        </w:tc>
        <w:tc>
          <w:tcPr>
            <w:tcW w:w="992" w:type="dxa"/>
            <w:vAlign w:val="center"/>
          </w:tcPr>
          <w:p w14:paraId="25575915"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37/77 (48%)</w:t>
            </w:r>
          </w:p>
        </w:tc>
        <w:tc>
          <w:tcPr>
            <w:tcW w:w="993" w:type="dxa"/>
            <w:vAlign w:val="center"/>
          </w:tcPr>
          <w:p w14:paraId="230146AF"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44/66 (67%)</w:t>
            </w:r>
          </w:p>
        </w:tc>
        <w:tc>
          <w:tcPr>
            <w:tcW w:w="1301" w:type="dxa"/>
            <w:vAlign w:val="center"/>
          </w:tcPr>
          <w:p w14:paraId="03016911"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150/285 (53%)</w:t>
            </w:r>
          </w:p>
        </w:tc>
      </w:tr>
      <w:tr w:rsidR="00CA1A39" w:rsidRPr="00B54968" w14:paraId="4A6477FC" w14:textId="77777777" w:rsidTr="00F93704">
        <w:trPr>
          <w:trHeight w:val="531"/>
        </w:trPr>
        <w:tc>
          <w:tcPr>
            <w:tcW w:w="2802" w:type="dxa"/>
            <w:vAlign w:val="center"/>
          </w:tcPr>
          <w:p w14:paraId="6F3FFCA2" w14:textId="77777777" w:rsidR="00F6473A" w:rsidRPr="00B54968" w:rsidRDefault="00F6473A" w:rsidP="003E200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 xml:space="preserve">HAQ change from baseline over </w:t>
            </w:r>
            <w:proofErr w:type="spellStart"/>
            <w:r w:rsidRPr="00B54968">
              <w:rPr>
                <w:rFonts w:ascii="Times New Roman" w:hAnsi="Times New Roman" w:cs="Times New Roman"/>
                <w:sz w:val="16"/>
                <w:szCs w:val="18"/>
                <w:lang w:eastAsia="ko-KR"/>
              </w:rPr>
              <w:t>time</w:t>
            </w:r>
            <w:r w:rsidRPr="00B54968">
              <w:rPr>
                <w:rFonts w:ascii="Times New Roman" w:hAnsi="Times New Roman" w:cs="Times New Roman"/>
                <w:sz w:val="16"/>
                <w:szCs w:val="18"/>
                <w:vertAlign w:val="superscript"/>
                <w:lang w:eastAsia="ko-KR"/>
              </w:rPr>
              <w:t>e</w:t>
            </w:r>
            <w:proofErr w:type="spellEnd"/>
          </w:p>
          <w:p w14:paraId="04CBD7C7" w14:textId="77777777" w:rsidR="00F6473A" w:rsidRPr="00B54968" w:rsidRDefault="00F6473A" w:rsidP="003E200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(patients evaluated)</w:t>
            </w:r>
          </w:p>
        </w:tc>
        <w:tc>
          <w:tcPr>
            <w:tcW w:w="1134" w:type="dxa"/>
            <w:vAlign w:val="center"/>
          </w:tcPr>
          <w:p w14:paraId="1B21A9C3"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87</w:t>
            </w:r>
          </w:p>
        </w:tc>
        <w:tc>
          <w:tcPr>
            <w:tcW w:w="992" w:type="dxa"/>
            <w:vAlign w:val="center"/>
          </w:tcPr>
          <w:p w14:paraId="757A67B7"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86</w:t>
            </w:r>
          </w:p>
        </w:tc>
        <w:tc>
          <w:tcPr>
            <w:tcW w:w="992" w:type="dxa"/>
            <w:vAlign w:val="center"/>
          </w:tcPr>
          <w:p w14:paraId="73E9DB6D"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85</w:t>
            </w:r>
          </w:p>
        </w:tc>
        <w:tc>
          <w:tcPr>
            <w:tcW w:w="992" w:type="dxa"/>
            <w:vAlign w:val="center"/>
          </w:tcPr>
          <w:p w14:paraId="6D93DFDA"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87</w:t>
            </w:r>
          </w:p>
        </w:tc>
        <w:tc>
          <w:tcPr>
            <w:tcW w:w="993" w:type="dxa"/>
            <w:vAlign w:val="center"/>
          </w:tcPr>
          <w:p w14:paraId="5CFFA6C1"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81</w:t>
            </w:r>
          </w:p>
        </w:tc>
        <w:tc>
          <w:tcPr>
            <w:tcW w:w="1301" w:type="dxa"/>
            <w:vAlign w:val="center"/>
          </w:tcPr>
          <w:p w14:paraId="56AD1DFE"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339</w:t>
            </w:r>
          </w:p>
        </w:tc>
      </w:tr>
      <w:tr w:rsidR="00CA1A39" w:rsidRPr="00B54968" w14:paraId="3008BA44" w14:textId="77777777" w:rsidTr="00F93704">
        <w:trPr>
          <w:trHeight w:val="266"/>
        </w:trPr>
        <w:tc>
          <w:tcPr>
            <w:tcW w:w="2802" w:type="dxa"/>
            <w:tcBorders>
              <w:bottom w:val="single" w:sz="8" w:space="0" w:color="auto"/>
            </w:tcBorders>
            <w:vAlign w:val="center"/>
          </w:tcPr>
          <w:p w14:paraId="0B5BC8CE" w14:textId="77777777" w:rsidR="00F6473A" w:rsidRPr="00B54968" w:rsidRDefault="00F6473A" w:rsidP="003E200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Mean</w:t>
            </w:r>
            <m:oMath>
              <m:r>
                <m:rPr>
                  <m:sty m:val="p"/>
                </m:rPr>
                <w:rPr>
                  <w:rFonts w:ascii="Cambria Math" w:hAnsi="Cambria Math" w:cs="Times New Roman"/>
                  <w:sz w:val="16"/>
                  <w:szCs w:val="18"/>
                  <w:lang w:eastAsia="ko-KR"/>
                </w:rPr>
                <m:t>±</m:t>
              </m:r>
            </m:oMath>
            <w:r w:rsidRPr="00B54968">
              <w:rPr>
                <w:rFonts w:ascii="Times New Roman" w:hAnsi="Times New Roman" w:cs="Times New Roman"/>
                <w:sz w:val="16"/>
                <w:szCs w:val="18"/>
                <w:lang w:eastAsia="ko-KR"/>
              </w:rPr>
              <w:t xml:space="preserve"> SD</w:t>
            </w:r>
            <w:r w:rsidRPr="00B54968">
              <w:rPr>
                <w:rFonts w:ascii="Times New Roman" w:hAnsi="Times New Roman" w:cs="Times New Roman"/>
                <w:sz w:val="16"/>
                <w:szCs w:val="18"/>
                <w:vertAlign w:val="superscript"/>
                <w:lang w:eastAsia="ko-KR"/>
              </w:rPr>
              <w:t>c</w:t>
            </w:r>
          </w:p>
        </w:tc>
        <w:tc>
          <w:tcPr>
            <w:tcW w:w="1134" w:type="dxa"/>
            <w:tcBorders>
              <w:bottom w:val="single" w:sz="8" w:space="0" w:color="auto"/>
            </w:tcBorders>
            <w:vAlign w:val="center"/>
          </w:tcPr>
          <w:p w14:paraId="5B333A89"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0.2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0.3</w:t>
            </w:r>
          </w:p>
        </w:tc>
        <w:tc>
          <w:tcPr>
            <w:tcW w:w="992" w:type="dxa"/>
            <w:tcBorders>
              <w:bottom w:val="single" w:sz="8" w:space="0" w:color="auto"/>
            </w:tcBorders>
            <w:vAlign w:val="center"/>
          </w:tcPr>
          <w:p w14:paraId="57598058"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0.4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0.3</w:t>
            </w:r>
          </w:p>
        </w:tc>
        <w:tc>
          <w:tcPr>
            <w:tcW w:w="992" w:type="dxa"/>
            <w:tcBorders>
              <w:bottom w:val="single" w:sz="8" w:space="0" w:color="auto"/>
            </w:tcBorders>
            <w:vAlign w:val="center"/>
          </w:tcPr>
          <w:p w14:paraId="1F9DA35C"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0.5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0.4</w:t>
            </w:r>
          </w:p>
        </w:tc>
        <w:tc>
          <w:tcPr>
            <w:tcW w:w="992" w:type="dxa"/>
            <w:tcBorders>
              <w:bottom w:val="single" w:sz="8" w:space="0" w:color="auto"/>
            </w:tcBorders>
            <w:vAlign w:val="center"/>
          </w:tcPr>
          <w:p w14:paraId="7D90CFC4"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0.5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0.5</w:t>
            </w:r>
          </w:p>
        </w:tc>
        <w:tc>
          <w:tcPr>
            <w:tcW w:w="993" w:type="dxa"/>
            <w:tcBorders>
              <w:bottom w:val="single" w:sz="8" w:space="0" w:color="auto"/>
            </w:tcBorders>
            <w:vAlign w:val="center"/>
          </w:tcPr>
          <w:p w14:paraId="377FA01E"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0.4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0.4</w:t>
            </w:r>
          </w:p>
        </w:tc>
        <w:tc>
          <w:tcPr>
            <w:tcW w:w="1301" w:type="dxa"/>
            <w:tcBorders>
              <w:bottom w:val="single" w:sz="8" w:space="0" w:color="auto"/>
            </w:tcBorders>
            <w:vAlign w:val="center"/>
          </w:tcPr>
          <w:p w14:paraId="362E79F0" w14:textId="77777777" w:rsidR="00F6473A" w:rsidRPr="00B54968" w:rsidRDefault="00F6473A" w:rsidP="003E200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0.4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0.4</w:t>
            </w:r>
          </w:p>
        </w:tc>
      </w:tr>
    </w:tbl>
    <w:tbl>
      <w:tblPr>
        <w:tblW w:w="9206" w:type="dxa"/>
        <w:tblLayout w:type="fixed"/>
        <w:tblLook w:val="04A0" w:firstRow="1" w:lastRow="0" w:firstColumn="1" w:lastColumn="0" w:noHBand="0" w:noVBand="1"/>
      </w:tblPr>
      <w:tblGrid>
        <w:gridCol w:w="9206"/>
      </w:tblGrid>
      <w:tr w:rsidR="00F6473A" w:rsidRPr="00B54968" w14:paraId="777D36AD" w14:textId="77777777" w:rsidTr="00F93704">
        <w:trPr>
          <w:trHeight w:val="1040"/>
        </w:trPr>
        <w:tc>
          <w:tcPr>
            <w:tcW w:w="9206" w:type="dxa"/>
            <w:tcBorders>
              <w:top w:val="single" w:sz="8" w:space="0" w:color="auto"/>
            </w:tcBorders>
          </w:tcPr>
          <w:p w14:paraId="59DE8085" w14:textId="77777777" w:rsidR="00F6473A" w:rsidRPr="00B54968" w:rsidRDefault="00F6473A" w:rsidP="003E2009">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a: control = all patients had active RA despite treatment with stable methotrexate doses for 6 months prior to enrolment and were to remain on stable doses throughout the study. Concurrent use of stable doses of oral corticosteroids (</w:t>
            </w:r>
            <m:oMath>
              <m:r>
                <m:rPr>
                  <m:sty m:val="p"/>
                </m:rPr>
                <w:rPr>
                  <w:rFonts w:ascii="Cambria Math" w:hAnsi="Cambria Math" w:cs="Times New Roman"/>
                  <w:sz w:val="14"/>
                  <w:szCs w:val="18"/>
                  <w:lang w:eastAsia="ko-KR"/>
                </w:rPr>
                <m:t>≤</m:t>
              </m:r>
            </m:oMath>
            <w:r w:rsidRPr="00B54968">
              <w:rPr>
                <w:rFonts w:ascii="Times New Roman" w:hAnsi="Times New Roman" w:cs="Times New Roman"/>
                <w:sz w:val="14"/>
                <w:szCs w:val="18"/>
                <w:lang w:eastAsia="ko-KR"/>
              </w:rPr>
              <w:t xml:space="preserve"> 10 mg/day) and/or non-steroidal anti-inflammatory drugs was permitted and folate supplementation was given. </w:t>
            </w:r>
          </w:p>
          <w:p w14:paraId="47F54289" w14:textId="77777777" w:rsidR="00F6473A" w:rsidRPr="00B54968" w:rsidRDefault="00F6473A" w:rsidP="003E2009">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 xml:space="preserve">b: all infliximab doses given in combination with methotrexate and folate with some on corticosteroids and/or non-steroidal anti-inflammatory drugs </w:t>
            </w:r>
          </w:p>
          <w:p w14:paraId="270661E8" w14:textId="77777777" w:rsidR="00F6473A" w:rsidRPr="00B54968" w:rsidRDefault="00F6473A" w:rsidP="003E2009">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c: p&lt; 0.001, for each infliximab treatment group vs. control</w:t>
            </w:r>
          </w:p>
          <w:p w14:paraId="3AE6B67B" w14:textId="77777777" w:rsidR="00F6473A" w:rsidRPr="00B54968" w:rsidRDefault="00F6473A" w:rsidP="003E2009">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d: greater values indicate more joint damage.</w:t>
            </w:r>
          </w:p>
          <w:p w14:paraId="3FF3652D" w14:textId="77777777" w:rsidR="00F6473A" w:rsidRPr="00B54968" w:rsidRDefault="00F6473A" w:rsidP="003E2009">
            <w:pPr>
              <w:autoSpaceDE w:val="0"/>
              <w:autoSpaceDN w:val="0"/>
              <w:adjustRightInd w:val="0"/>
              <w:spacing w:after="0" w:line="240" w:lineRule="auto"/>
              <w:rPr>
                <w:rFonts w:ascii="Times New Roman" w:hAnsi="Times New Roman" w:cs="Times New Roman"/>
                <w:sz w:val="18"/>
                <w:szCs w:val="18"/>
                <w:lang w:eastAsia="ko-KR"/>
              </w:rPr>
            </w:pPr>
            <w:r w:rsidRPr="00B54968">
              <w:rPr>
                <w:rFonts w:ascii="Times New Roman" w:hAnsi="Times New Roman" w:cs="Times New Roman"/>
                <w:sz w:val="14"/>
                <w:szCs w:val="18"/>
                <w:lang w:eastAsia="ko-KR"/>
              </w:rPr>
              <w:t xml:space="preserve">e: HAQ= Health Assessment Questionnaire; greater values indicate less disability. </w:t>
            </w:r>
          </w:p>
        </w:tc>
      </w:tr>
    </w:tbl>
    <w:p w14:paraId="19A7880E" w14:textId="77777777" w:rsidR="00F93704" w:rsidRPr="00B54968" w:rsidRDefault="00F93704" w:rsidP="003E2009">
      <w:pPr>
        <w:pStyle w:val="Default"/>
        <w:rPr>
          <w:rFonts w:ascii="Times New Roman" w:hAnsi="Times New Roman" w:cs="Times New Roman"/>
          <w:color w:val="auto"/>
          <w:sz w:val="22"/>
          <w:szCs w:val="22"/>
          <w:lang w:eastAsia="ko-KR"/>
        </w:rPr>
      </w:pPr>
    </w:p>
    <w:p w14:paraId="4B1B48A4" w14:textId="3FA2CD11" w:rsidR="00A02600" w:rsidRPr="00B54968" w:rsidRDefault="00517A35"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ASPIRE trial evaluated responses at 54 weeks in 1004 methotrexate naive patients with early (≤3 years disease duration) active rheumatoid arthritis. Patients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had a median age of 51 years with a median disease duration of 0.6 years, and median swollen and tender joint count of 19 and 31, respectively. All patients received methotrexate (</w:t>
      </w:r>
      <w:proofErr w:type="spellStart"/>
      <w:r w:rsidRPr="00B54968">
        <w:rPr>
          <w:rFonts w:ascii="Times New Roman" w:hAnsi="Times New Roman" w:cs="Times New Roman"/>
          <w:color w:val="auto"/>
          <w:sz w:val="22"/>
          <w:szCs w:val="22"/>
        </w:rPr>
        <w:t>optimised</w:t>
      </w:r>
      <w:proofErr w:type="spellEnd"/>
      <w:r w:rsidRPr="00B54968">
        <w:rPr>
          <w:rFonts w:ascii="Times New Roman" w:hAnsi="Times New Roman" w:cs="Times New Roman"/>
          <w:color w:val="auto"/>
          <w:sz w:val="22"/>
          <w:szCs w:val="22"/>
        </w:rPr>
        <w:t xml:space="preserve"> to 20 mg/</w:t>
      </w:r>
      <w:proofErr w:type="spellStart"/>
      <w:r w:rsidRPr="00B54968">
        <w:rPr>
          <w:rFonts w:ascii="Times New Roman" w:hAnsi="Times New Roman" w:cs="Times New Roman"/>
          <w:color w:val="auto"/>
          <w:sz w:val="22"/>
          <w:szCs w:val="22"/>
        </w:rPr>
        <w:t>wk</w:t>
      </w:r>
      <w:proofErr w:type="spellEnd"/>
      <w:r w:rsidRPr="00B54968">
        <w:rPr>
          <w:rFonts w:ascii="Times New Roman" w:hAnsi="Times New Roman" w:cs="Times New Roman"/>
          <w:color w:val="auto"/>
          <w:sz w:val="22"/>
          <w:szCs w:val="22"/>
        </w:rPr>
        <w:t xml:space="preserve"> by week 8) and either placebo, 3 mg/kg or 6 mg/kg infliximab at weeks 0, 2, and 6 and every 8 weeks thereafter. Results from week 54 are shown in Table </w:t>
      </w:r>
      <w:r w:rsidR="002F7924" w:rsidRPr="00B54968">
        <w:rPr>
          <w:rFonts w:ascii="Times New Roman" w:hAnsi="Times New Roman" w:cs="Times New Roman"/>
          <w:color w:val="auto"/>
          <w:sz w:val="22"/>
          <w:szCs w:val="22"/>
        </w:rPr>
        <w:t>6</w:t>
      </w:r>
      <w:r w:rsidRPr="00B54968">
        <w:rPr>
          <w:rFonts w:ascii="Times New Roman" w:hAnsi="Times New Roman" w:cs="Times New Roman"/>
          <w:color w:val="auto"/>
          <w:sz w:val="22"/>
          <w:szCs w:val="22"/>
        </w:rPr>
        <w:t xml:space="preserve">. </w:t>
      </w:r>
    </w:p>
    <w:p w14:paraId="5D25FCA2" w14:textId="77777777" w:rsidR="00A02600" w:rsidRPr="00B54968" w:rsidRDefault="00517A35"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this trial, infusions were to be administered over 2 hours for the first 3 infusions. The duration of subsequent infusions could be shortened to not less than 40 minutes in patients who did not experience serious infusion reactions. Sixty-six per cent of the patients received at least one shortened infusion of 90 minutes or less and 44% received at least one shortened infusion of 60 minutes or less. </w:t>
      </w:r>
    </w:p>
    <w:p w14:paraId="1559B8D5" w14:textId="77777777" w:rsidR="00A02600" w:rsidRPr="00B54968" w:rsidRDefault="00A02600" w:rsidP="003E2009">
      <w:pPr>
        <w:pStyle w:val="Default"/>
        <w:rPr>
          <w:rFonts w:ascii="Times New Roman" w:hAnsi="Times New Roman" w:cs="Times New Roman"/>
          <w:color w:val="auto"/>
          <w:sz w:val="22"/>
          <w:szCs w:val="22"/>
        </w:rPr>
      </w:pPr>
    </w:p>
    <w:p w14:paraId="2E147F06" w14:textId="77777777" w:rsidR="00A02600" w:rsidRPr="00B54968" w:rsidRDefault="00517A35"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After 54 weeks of treatment, both doses of infliximab + methotrexate resulted in statistically significantly greater improvement in signs and symptoms compared to methotrexate alone as measured by the proportion of patients achieving ACR20, 50 and 70 responses. </w:t>
      </w:r>
    </w:p>
    <w:p w14:paraId="6359D322" w14:textId="77777777" w:rsidR="00A02600" w:rsidRPr="00B54968" w:rsidRDefault="00A02600" w:rsidP="003E2009">
      <w:pPr>
        <w:pStyle w:val="Default"/>
        <w:rPr>
          <w:rFonts w:ascii="Times New Roman" w:hAnsi="Times New Roman" w:cs="Times New Roman"/>
          <w:color w:val="auto"/>
          <w:sz w:val="22"/>
          <w:szCs w:val="22"/>
        </w:rPr>
      </w:pPr>
    </w:p>
    <w:p w14:paraId="0805A3E9" w14:textId="77777777" w:rsidR="00A02600" w:rsidRPr="00B54968" w:rsidRDefault="00517A35" w:rsidP="003E2009">
      <w:pPr>
        <w:spacing w:line="240" w:lineRule="auto"/>
        <w:rPr>
          <w:rFonts w:ascii="Times New Roman" w:hAnsi="Times New Roman" w:cs="Times New Roman"/>
        </w:rPr>
      </w:pPr>
      <w:r w:rsidRPr="00B54968">
        <w:rPr>
          <w:rFonts w:ascii="Times New Roman" w:hAnsi="Times New Roman" w:cs="Times New Roman"/>
        </w:rPr>
        <w:t>In ASPIRE, more than 90% of patients had at least two evaluable x-rays. Reduction in the rate of progression of structural damage was observed at weeks 30 and 54 in the infliximab + methotrexate groups compared to methotrexate alone.</w:t>
      </w:r>
    </w:p>
    <w:p w14:paraId="44FB4E8E" w14:textId="63A1DDBD" w:rsidR="00CA1A39" w:rsidRPr="00B54968" w:rsidRDefault="00B42860" w:rsidP="003E2009">
      <w:pPr>
        <w:spacing w:line="240" w:lineRule="auto"/>
        <w:rPr>
          <w:rFonts w:ascii="Times New Roman" w:hAnsi="Times New Roman" w:cs="Times New Roman"/>
          <w:b/>
          <w:bCs/>
          <w:szCs w:val="20"/>
          <w:lang w:eastAsia="ko-KR"/>
        </w:rPr>
      </w:pPr>
      <w:r w:rsidRPr="00B54968">
        <w:rPr>
          <w:rFonts w:ascii="Times New Roman" w:hAnsi="Times New Roman" w:cs="Times New Roman"/>
          <w:b/>
          <w:bCs/>
          <w:szCs w:val="20"/>
        </w:rPr>
        <w:lastRenderedPageBreak/>
        <w:t xml:space="preserve">Table </w:t>
      </w:r>
      <w:r w:rsidR="002F7924" w:rsidRPr="00B54968">
        <w:rPr>
          <w:rFonts w:ascii="Times New Roman" w:hAnsi="Times New Roman" w:cs="Times New Roman"/>
          <w:b/>
          <w:bCs/>
          <w:szCs w:val="20"/>
        </w:rPr>
        <w:t>6</w:t>
      </w:r>
      <w:r w:rsidRPr="00B54968">
        <w:rPr>
          <w:rFonts w:ascii="Times New Roman" w:hAnsi="Times New Roman" w:cs="Times New Roman"/>
          <w:b/>
          <w:bCs/>
          <w:szCs w:val="20"/>
        </w:rPr>
        <w:t xml:space="preserve">: </w:t>
      </w:r>
      <w:r w:rsidR="00B54968">
        <w:rPr>
          <w:rFonts w:ascii="Times New Roman" w:hAnsi="Times New Roman" w:cs="Times New Roman" w:hint="eastAsia"/>
          <w:b/>
          <w:bCs/>
          <w:szCs w:val="20"/>
          <w:lang w:eastAsia="ko-KR"/>
        </w:rPr>
        <w:tab/>
      </w:r>
      <w:r w:rsidRPr="00B54968">
        <w:rPr>
          <w:rFonts w:ascii="Times New Roman" w:hAnsi="Times New Roman" w:cs="Times New Roman"/>
          <w:b/>
          <w:bCs/>
          <w:szCs w:val="20"/>
        </w:rPr>
        <w:t xml:space="preserve">Effects on </w:t>
      </w:r>
      <w:proofErr w:type="spellStart"/>
      <w:r w:rsidRPr="00B54968">
        <w:rPr>
          <w:rFonts w:ascii="Times New Roman" w:hAnsi="Times New Roman" w:cs="Times New Roman"/>
          <w:b/>
          <w:bCs/>
          <w:szCs w:val="20"/>
        </w:rPr>
        <w:t>ACRn</w:t>
      </w:r>
      <w:proofErr w:type="spellEnd"/>
      <w:r w:rsidRPr="00B54968">
        <w:rPr>
          <w:rFonts w:ascii="Times New Roman" w:hAnsi="Times New Roman" w:cs="Times New Roman"/>
          <w:b/>
          <w:bCs/>
          <w:szCs w:val="20"/>
        </w:rPr>
        <w:t>, Structural Joint Damage and Physical Function at week 54, ASPIRE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396"/>
        <w:gridCol w:w="1397"/>
        <w:gridCol w:w="1396"/>
        <w:gridCol w:w="1397"/>
      </w:tblGrid>
      <w:tr w:rsidR="004C2078" w:rsidRPr="00B54968" w14:paraId="6E053B38" w14:textId="77777777" w:rsidTr="004C2078">
        <w:tc>
          <w:tcPr>
            <w:tcW w:w="3652" w:type="dxa"/>
            <w:tcBorders>
              <w:top w:val="single" w:sz="4" w:space="0" w:color="auto"/>
            </w:tcBorders>
          </w:tcPr>
          <w:p w14:paraId="78016477" w14:textId="77777777" w:rsidR="004C2078" w:rsidRPr="00B54968" w:rsidRDefault="004C2078" w:rsidP="003E2009">
            <w:pPr>
              <w:autoSpaceDE w:val="0"/>
              <w:autoSpaceDN w:val="0"/>
              <w:adjustRightInd w:val="0"/>
              <w:rPr>
                <w:rFonts w:ascii="Times New Roman" w:hAnsi="Times New Roman" w:cs="Times New Roman"/>
                <w:bCs/>
                <w:sz w:val="18"/>
                <w:szCs w:val="18"/>
                <w:lang w:eastAsia="ko-KR"/>
              </w:rPr>
            </w:pPr>
          </w:p>
        </w:tc>
        <w:tc>
          <w:tcPr>
            <w:tcW w:w="1396" w:type="dxa"/>
            <w:tcBorders>
              <w:top w:val="single" w:sz="4" w:space="0" w:color="auto"/>
            </w:tcBorders>
          </w:tcPr>
          <w:p w14:paraId="687822FD" w14:textId="77777777" w:rsidR="004C2078" w:rsidRPr="00B54968" w:rsidRDefault="004C2078" w:rsidP="003E2009">
            <w:pPr>
              <w:autoSpaceDE w:val="0"/>
              <w:autoSpaceDN w:val="0"/>
              <w:adjustRightInd w:val="0"/>
              <w:rPr>
                <w:rFonts w:ascii="Times New Roman" w:hAnsi="Times New Roman" w:cs="Times New Roman"/>
                <w:bCs/>
                <w:sz w:val="18"/>
                <w:szCs w:val="18"/>
                <w:lang w:eastAsia="ko-KR"/>
              </w:rPr>
            </w:pPr>
            <w:proofErr w:type="spellStart"/>
            <w:r w:rsidRPr="00B54968">
              <w:rPr>
                <w:rFonts w:ascii="Times New Roman" w:hAnsi="Times New Roman" w:cs="Times New Roman"/>
                <w:bCs/>
                <w:sz w:val="18"/>
                <w:szCs w:val="18"/>
                <w:lang w:eastAsia="ko-KR"/>
              </w:rPr>
              <w:t>Placebo+MTX</w:t>
            </w:r>
            <w:proofErr w:type="spellEnd"/>
          </w:p>
        </w:tc>
        <w:tc>
          <w:tcPr>
            <w:tcW w:w="2793" w:type="dxa"/>
            <w:gridSpan w:val="2"/>
            <w:tcBorders>
              <w:top w:val="single" w:sz="4" w:space="0" w:color="auto"/>
              <w:bottom w:val="single" w:sz="4" w:space="0" w:color="auto"/>
            </w:tcBorders>
          </w:tcPr>
          <w:p w14:paraId="63E32431" w14:textId="77777777" w:rsidR="004C2078"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Infliximab + MTX</w:t>
            </w:r>
          </w:p>
        </w:tc>
        <w:tc>
          <w:tcPr>
            <w:tcW w:w="1397" w:type="dxa"/>
            <w:tcBorders>
              <w:top w:val="single" w:sz="4" w:space="0" w:color="auto"/>
            </w:tcBorders>
          </w:tcPr>
          <w:p w14:paraId="1BF0554D" w14:textId="77777777" w:rsidR="004C2078" w:rsidRPr="00B54968" w:rsidRDefault="004C2078" w:rsidP="003E2009">
            <w:pPr>
              <w:autoSpaceDE w:val="0"/>
              <w:autoSpaceDN w:val="0"/>
              <w:adjustRightInd w:val="0"/>
              <w:rPr>
                <w:rFonts w:ascii="Times New Roman" w:hAnsi="Times New Roman" w:cs="Times New Roman"/>
                <w:bCs/>
                <w:sz w:val="18"/>
                <w:szCs w:val="18"/>
                <w:lang w:eastAsia="ko-KR"/>
              </w:rPr>
            </w:pPr>
          </w:p>
        </w:tc>
      </w:tr>
      <w:tr w:rsidR="00CA1A39" w:rsidRPr="00B54968" w14:paraId="35343B66" w14:textId="77777777" w:rsidTr="004C2078">
        <w:trPr>
          <w:trHeight w:val="312"/>
        </w:trPr>
        <w:tc>
          <w:tcPr>
            <w:tcW w:w="3652" w:type="dxa"/>
            <w:tcBorders>
              <w:bottom w:val="single" w:sz="4" w:space="0" w:color="auto"/>
            </w:tcBorders>
          </w:tcPr>
          <w:p w14:paraId="59BDC1C9" w14:textId="77777777" w:rsidR="00CA1A39" w:rsidRPr="00B54968" w:rsidRDefault="00CA1A39" w:rsidP="003E2009">
            <w:pPr>
              <w:autoSpaceDE w:val="0"/>
              <w:autoSpaceDN w:val="0"/>
              <w:adjustRightInd w:val="0"/>
              <w:rPr>
                <w:rFonts w:ascii="Times New Roman" w:hAnsi="Times New Roman" w:cs="Times New Roman"/>
                <w:bCs/>
                <w:sz w:val="18"/>
                <w:szCs w:val="18"/>
                <w:lang w:eastAsia="ko-KR"/>
              </w:rPr>
            </w:pPr>
          </w:p>
        </w:tc>
        <w:tc>
          <w:tcPr>
            <w:tcW w:w="1396" w:type="dxa"/>
            <w:tcBorders>
              <w:bottom w:val="single" w:sz="4" w:space="0" w:color="auto"/>
            </w:tcBorders>
            <w:vAlign w:val="center"/>
          </w:tcPr>
          <w:p w14:paraId="5FC03254" w14:textId="77777777" w:rsidR="00CA1A39" w:rsidRPr="00B54968" w:rsidRDefault="00CA1A39" w:rsidP="003E2009">
            <w:pPr>
              <w:autoSpaceDE w:val="0"/>
              <w:autoSpaceDN w:val="0"/>
              <w:adjustRightInd w:val="0"/>
              <w:rPr>
                <w:rFonts w:ascii="Times New Roman" w:hAnsi="Times New Roman" w:cs="Times New Roman"/>
                <w:bCs/>
                <w:sz w:val="18"/>
                <w:szCs w:val="18"/>
                <w:lang w:eastAsia="ko-KR"/>
              </w:rPr>
            </w:pPr>
          </w:p>
        </w:tc>
        <w:tc>
          <w:tcPr>
            <w:tcW w:w="1397" w:type="dxa"/>
            <w:tcBorders>
              <w:top w:val="single" w:sz="4" w:space="0" w:color="auto"/>
              <w:bottom w:val="single" w:sz="4" w:space="0" w:color="auto"/>
            </w:tcBorders>
            <w:vAlign w:val="bottom"/>
          </w:tcPr>
          <w:p w14:paraId="6B57B973"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3 mg/kg</w:t>
            </w:r>
          </w:p>
        </w:tc>
        <w:tc>
          <w:tcPr>
            <w:tcW w:w="1396" w:type="dxa"/>
            <w:tcBorders>
              <w:top w:val="single" w:sz="4" w:space="0" w:color="auto"/>
              <w:bottom w:val="single" w:sz="4" w:space="0" w:color="auto"/>
            </w:tcBorders>
            <w:vAlign w:val="bottom"/>
          </w:tcPr>
          <w:p w14:paraId="1F725110"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6 mg/kg</w:t>
            </w:r>
          </w:p>
        </w:tc>
        <w:tc>
          <w:tcPr>
            <w:tcW w:w="1397" w:type="dxa"/>
            <w:tcBorders>
              <w:bottom w:val="single" w:sz="4" w:space="0" w:color="auto"/>
            </w:tcBorders>
            <w:vAlign w:val="bottom"/>
          </w:tcPr>
          <w:p w14:paraId="7F9C9605"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Combined</w:t>
            </w:r>
          </w:p>
        </w:tc>
      </w:tr>
      <w:tr w:rsidR="00CA1A39" w:rsidRPr="00B54968" w14:paraId="1F5A4B39" w14:textId="77777777" w:rsidTr="004C2078">
        <w:trPr>
          <w:trHeight w:val="416"/>
        </w:trPr>
        <w:tc>
          <w:tcPr>
            <w:tcW w:w="3652" w:type="dxa"/>
            <w:tcBorders>
              <w:top w:val="single" w:sz="4" w:space="0" w:color="auto"/>
            </w:tcBorders>
            <w:vAlign w:val="center"/>
          </w:tcPr>
          <w:p w14:paraId="2FD77C04"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Subjects </w:t>
            </w:r>
            <w:proofErr w:type="spellStart"/>
            <w:r w:rsidRPr="00B54968">
              <w:rPr>
                <w:rFonts w:ascii="Times New Roman" w:hAnsi="Times New Roman" w:cs="Times New Roman"/>
                <w:bCs/>
                <w:sz w:val="18"/>
                <w:szCs w:val="18"/>
                <w:lang w:eastAsia="ko-KR"/>
              </w:rPr>
              <w:t>randomised</w:t>
            </w:r>
            <w:proofErr w:type="spellEnd"/>
          </w:p>
        </w:tc>
        <w:tc>
          <w:tcPr>
            <w:tcW w:w="1396" w:type="dxa"/>
            <w:tcBorders>
              <w:top w:val="single" w:sz="4" w:space="0" w:color="auto"/>
            </w:tcBorders>
            <w:vAlign w:val="center"/>
          </w:tcPr>
          <w:p w14:paraId="78BD75A0"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282</w:t>
            </w:r>
          </w:p>
        </w:tc>
        <w:tc>
          <w:tcPr>
            <w:tcW w:w="1397" w:type="dxa"/>
            <w:tcBorders>
              <w:top w:val="single" w:sz="4" w:space="0" w:color="auto"/>
            </w:tcBorders>
            <w:vAlign w:val="center"/>
          </w:tcPr>
          <w:p w14:paraId="1756629B"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359</w:t>
            </w:r>
          </w:p>
        </w:tc>
        <w:tc>
          <w:tcPr>
            <w:tcW w:w="1396" w:type="dxa"/>
            <w:tcBorders>
              <w:top w:val="single" w:sz="4" w:space="0" w:color="auto"/>
            </w:tcBorders>
            <w:vAlign w:val="center"/>
          </w:tcPr>
          <w:p w14:paraId="681181F0"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363</w:t>
            </w:r>
          </w:p>
        </w:tc>
        <w:tc>
          <w:tcPr>
            <w:tcW w:w="1397" w:type="dxa"/>
            <w:tcBorders>
              <w:top w:val="single" w:sz="4" w:space="0" w:color="auto"/>
            </w:tcBorders>
            <w:vAlign w:val="center"/>
          </w:tcPr>
          <w:p w14:paraId="02B2C5C8"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722</w:t>
            </w:r>
          </w:p>
        </w:tc>
      </w:tr>
      <w:tr w:rsidR="00CA1A39" w:rsidRPr="00B54968" w14:paraId="3E1803E3" w14:textId="77777777" w:rsidTr="004C2078">
        <w:trPr>
          <w:trHeight w:val="176"/>
        </w:trPr>
        <w:tc>
          <w:tcPr>
            <w:tcW w:w="3652" w:type="dxa"/>
            <w:vAlign w:val="center"/>
          </w:tcPr>
          <w:p w14:paraId="66047AB6"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Percentage ACR improvement </w:t>
            </w:r>
          </w:p>
        </w:tc>
        <w:tc>
          <w:tcPr>
            <w:tcW w:w="1396" w:type="dxa"/>
            <w:vAlign w:val="center"/>
          </w:tcPr>
          <w:p w14:paraId="54E48104" w14:textId="77777777" w:rsidR="00CA1A39" w:rsidRPr="00B54968" w:rsidRDefault="00CA1A39" w:rsidP="003E2009">
            <w:pPr>
              <w:autoSpaceDE w:val="0"/>
              <w:autoSpaceDN w:val="0"/>
              <w:adjustRightInd w:val="0"/>
              <w:rPr>
                <w:rFonts w:ascii="Times New Roman" w:hAnsi="Times New Roman" w:cs="Times New Roman"/>
                <w:bCs/>
                <w:sz w:val="18"/>
                <w:szCs w:val="18"/>
                <w:lang w:eastAsia="ko-KR"/>
              </w:rPr>
            </w:pPr>
          </w:p>
        </w:tc>
        <w:tc>
          <w:tcPr>
            <w:tcW w:w="1397" w:type="dxa"/>
            <w:vAlign w:val="center"/>
          </w:tcPr>
          <w:p w14:paraId="5D365BAE" w14:textId="77777777" w:rsidR="00CA1A39" w:rsidRPr="00B54968" w:rsidRDefault="00CA1A39" w:rsidP="003E2009">
            <w:pPr>
              <w:autoSpaceDE w:val="0"/>
              <w:autoSpaceDN w:val="0"/>
              <w:adjustRightInd w:val="0"/>
              <w:rPr>
                <w:rFonts w:ascii="Times New Roman" w:hAnsi="Times New Roman" w:cs="Times New Roman"/>
                <w:bCs/>
                <w:sz w:val="18"/>
                <w:szCs w:val="18"/>
                <w:lang w:eastAsia="ko-KR"/>
              </w:rPr>
            </w:pPr>
          </w:p>
        </w:tc>
        <w:tc>
          <w:tcPr>
            <w:tcW w:w="1396" w:type="dxa"/>
            <w:vAlign w:val="center"/>
          </w:tcPr>
          <w:p w14:paraId="09680B44" w14:textId="77777777" w:rsidR="00CA1A39" w:rsidRPr="00B54968" w:rsidRDefault="00CA1A39" w:rsidP="003E2009">
            <w:pPr>
              <w:autoSpaceDE w:val="0"/>
              <w:autoSpaceDN w:val="0"/>
              <w:adjustRightInd w:val="0"/>
              <w:rPr>
                <w:rFonts w:ascii="Times New Roman" w:hAnsi="Times New Roman" w:cs="Times New Roman"/>
                <w:bCs/>
                <w:sz w:val="18"/>
                <w:szCs w:val="18"/>
                <w:lang w:eastAsia="ko-KR"/>
              </w:rPr>
            </w:pPr>
          </w:p>
        </w:tc>
        <w:tc>
          <w:tcPr>
            <w:tcW w:w="1397" w:type="dxa"/>
            <w:vAlign w:val="center"/>
          </w:tcPr>
          <w:p w14:paraId="7784D623" w14:textId="77777777" w:rsidR="00CA1A39" w:rsidRPr="00B54968" w:rsidRDefault="00CA1A39" w:rsidP="003E2009">
            <w:pPr>
              <w:autoSpaceDE w:val="0"/>
              <w:autoSpaceDN w:val="0"/>
              <w:adjustRightInd w:val="0"/>
              <w:rPr>
                <w:rFonts w:ascii="Times New Roman" w:hAnsi="Times New Roman" w:cs="Times New Roman"/>
                <w:bCs/>
                <w:sz w:val="18"/>
                <w:szCs w:val="18"/>
                <w:lang w:eastAsia="ko-KR"/>
              </w:rPr>
            </w:pPr>
          </w:p>
        </w:tc>
      </w:tr>
      <w:tr w:rsidR="00CA1A39" w:rsidRPr="00B54968" w14:paraId="36292367" w14:textId="77777777" w:rsidTr="004C2078">
        <w:trPr>
          <w:trHeight w:val="774"/>
        </w:trPr>
        <w:tc>
          <w:tcPr>
            <w:tcW w:w="3652" w:type="dxa"/>
            <w:vAlign w:val="center"/>
          </w:tcPr>
          <w:p w14:paraId="3A59E904"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Mean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SD</w:t>
            </w:r>
            <w:r w:rsidRPr="00B54968">
              <w:rPr>
                <w:rFonts w:ascii="Times New Roman" w:hAnsi="Times New Roman" w:cs="Times New Roman"/>
                <w:bCs/>
                <w:sz w:val="18"/>
                <w:szCs w:val="18"/>
                <w:vertAlign w:val="superscript"/>
                <w:lang w:eastAsia="ko-KR"/>
              </w:rPr>
              <w:t>a</w:t>
            </w:r>
          </w:p>
          <w:p w14:paraId="264D1838" w14:textId="77777777" w:rsidR="004C2078"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Change from baseline in total van der </w:t>
            </w:r>
            <w:proofErr w:type="spellStart"/>
            <w:r w:rsidRPr="00B54968">
              <w:rPr>
                <w:rFonts w:ascii="Times New Roman" w:hAnsi="Times New Roman" w:cs="Times New Roman"/>
                <w:bCs/>
                <w:sz w:val="18"/>
                <w:szCs w:val="18"/>
                <w:lang w:eastAsia="ko-KR"/>
              </w:rPr>
              <w:t>Heijde</w:t>
            </w:r>
            <w:proofErr w:type="spellEnd"/>
            <w:r w:rsidRPr="00B54968">
              <w:rPr>
                <w:rFonts w:ascii="Times New Roman" w:hAnsi="Times New Roman" w:cs="Times New Roman"/>
                <w:bCs/>
                <w:sz w:val="18"/>
                <w:szCs w:val="18"/>
                <w:lang w:eastAsia="ko-KR"/>
              </w:rPr>
              <w:t xml:space="preserve"> modified Sharp </w:t>
            </w:r>
            <w:proofErr w:type="spellStart"/>
            <w:r w:rsidRPr="00B54968">
              <w:rPr>
                <w:rFonts w:ascii="Times New Roman" w:hAnsi="Times New Roman" w:cs="Times New Roman"/>
                <w:bCs/>
                <w:sz w:val="18"/>
                <w:szCs w:val="18"/>
                <w:lang w:eastAsia="ko-KR"/>
              </w:rPr>
              <w:t>score</w:t>
            </w:r>
            <w:r w:rsidRPr="00B54968">
              <w:rPr>
                <w:rFonts w:ascii="Times New Roman" w:hAnsi="Times New Roman" w:cs="Times New Roman"/>
                <w:bCs/>
                <w:sz w:val="18"/>
                <w:szCs w:val="18"/>
                <w:vertAlign w:val="superscript"/>
                <w:lang w:eastAsia="ko-KR"/>
              </w:rPr>
              <w:t>b</w:t>
            </w:r>
            <w:proofErr w:type="spellEnd"/>
          </w:p>
        </w:tc>
        <w:tc>
          <w:tcPr>
            <w:tcW w:w="1396" w:type="dxa"/>
            <w:vAlign w:val="center"/>
          </w:tcPr>
          <w:p w14:paraId="76A6E70B"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24.8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59.7</w:t>
            </w:r>
          </w:p>
        </w:tc>
        <w:tc>
          <w:tcPr>
            <w:tcW w:w="1397" w:type="dxa"/>
            <w:vAlign w:val="center"/>
          </w:tcPr>
          <w:p w14:paraId="7BFA94DE"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37.3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52.8</w:t>
            </w:r>
          </w:p>
        </w:tc>
        <w:tc>
          <w:tcPr>
            <w:tcW w:w="1396" w:type="dxa"/>
            <w:vAlign w:val="center"/>
          </w:tcPr>
          <w:p w14:paraId="572DFCDC"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42.0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47.3</w:t>
            </w:r>
          </w:p>
        </w:tc>
        <w:tc>
          <w:tcPr>
            <w:tcW w:w="1397" w:type="dxa"/>
            <w:vAlign w:val="center"/>
          </w:tcPr>
          <w:p w14:paraId="1A4A79A3"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39.6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50.1</w:t>
            </w:r>
          </w:p>
        </w:tc>
      </w:tr>
      <w:tr w:rsidR="00CA1A39" w:rsidRPr="00B54968" w14:paraId="244052CC" w14:textId="77777777" w:rsidTr="004C2078">
        <w:trPr>
          <w:trHeight w:val="301"/>
        </w:trPr>
        <w:tc>
          <w:tcPr>
            <w:tcW w:w="3652" w:type="dxa"/>
            <w:vAlign w:val="center"/>
          </w:tcPr>
          <w:p w14:paraId="6340014E"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Mean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SD</w:t>
            </w:r>
            <w:r w:rsidRPr="00B54968">
              <w:rPr>
                <w:rFonts w:ascii="Times New Roman" w:hAnsi="Times New Roman" w:cs="Times New Roman"/>
                <w:bCs/>
                <w:sz w:val="18"/>
                <w:szCs w:val="18"/>
                <w:vertAlign w:val="superscript"/>
                <w:lang w:eastAsia="ko-KR"/>
              </w:rPr>
              <w:t>a</w:t>
            </w:r>
          </w:p>
        </w:tc>
        <w:tc>
          <w:tcPr>
            <w:tcW w:w="1396" w:type="dxa"/>
            <w:vAlign w:val="center"/>
          </w:tcPr>
          <w:p w14:paraId="297EF3D7"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3.70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9.61</w:t>
            </w:r>
          </w:p>
        </w:tc>
        <w:tc>
          <w:tcPr>
            <w:tcW w:w="1397" w:type="dxa"/>
            <w:vAlign w:val="center"/>
          </w:tcPr>
          <w:p w14:paraId="065D452B"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0.42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5.82</w:t>
            </w:r>
          </w:p>
        </w:tc>
        <w:tc>
          <w:tcPr>
            <w:tcW w:w="1396" w:type="dxa"/>
            <w:vAlign w:val="center"/>
          </w:tcPr>
          <w:p w14:paraId="43332FBA"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0.51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5.55</w:t>
            </w:r>
          </w:p>
        </w:tc>
        <w:tc>
          <w:tcPr>
            <w:tcW w:w="1397" w:type="dxa"/>
            <w:vAlign w:val="center"/>
          </w:tcPr>
          <w:p w14:paraId="1DBAD9C0"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0.46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5.68</w:t>
            </w:r>
          </w:p>
        </w:tc>
      </w:tr>
      <w:tr w:rsidR="00CA1A39" w:rsidRPr="00B54968" w14:paraId="048174C9" w14:textId="77777777" w:rsidTr="004C2078">
        <w:trPr>
          <w:trHeight w:val="702"/>
        </w:trPr>
        <w:tc>
          <w:tcPr>
            <w:tcW w:w="3652" w:type="dxa"/>
            <w:vAlign w:val="center"/>
          </w:tcPr>
          <w:p w14:paraId="52B530DA"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Median</w:t>
            </w:r>
          </w:p>
          <w:p w14:paraId="0C2005BF" w14:textId="77777777" w:rsidR="004C2078"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Improvement from baseline in HAQ</w:t>
            </w:r>
          </w:p>
          <w:p w14:paraId="43892F1A" w14:textId="77777777" w:rsidR="004C2078"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Averaged over time from week 30 week 54</w:t>
            </w:r>
            <w:r w:rsidRPr="00B54968">
              <w:rPr>
                <w:rFonts w:ascii="Times New Roman" w:hAnsi="Times New Roman" w:cs="Times New Roman"/>
                <w:bCs/>
                <w:sz w:val="18"/>
                <w:szCs w:val="18"/>
                <w:vertAlign w:val="superscript"/>
                <w:lang w:eastAsia="ko-KR"/>
              </w:rPr>
              <w:t>c</w:t>
            </w:r>
          </w:p>
        </w:tc>
        <w:tc>
          <w:tcPr>
            <w:tcW w:w="1396" w:type="dxa"/>
            <w:vAlign w:val="center"/>
          </w:tcPr>
          <w:p w14:paraId="00E0D390"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0.43</w:t>
            </w:r>
          </w:p>
        </w:tc>
        <w:tc>
          <w:tcPr>
            <w:tcW w:w="1397" w:type="dxa"/>
            <w:vAlign w:val="center"/>
          </w:tcPr>
          <w:p w14:paraId="4C20E9FE"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0.00</w:t>
            </w:r>
          </w:p>
        </w:tc>
        <w:tc>
          <w:tcPr>
            <w:tcW w:w="1396" w:type="dxa"/>
            <w:vAlign w:val="center"/>
          </w:tcPr>
          <w:p w14:paraId="25BD9556"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0.00</w:t>
            </w:r>
          </w:p>
        </w:tc>
        <w:tc>
          <w:tcPr>
            <w:tcW w:w="1397" w:type="dxa"/>
            <w:vAlign w:val="center"/>
          </w:tcPr>
          <w:p w14:paraId="7516BDEF"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0.00</w:t>
            </w:r>
          </w:p>
        </w:tc>
      </w:tr>
      <w:tr w:rsidR="00CA1A39" w:rsidRPr="00B54968" w14:paraId="5840DBE8" w14:textId="77777777" w:rsidTr="004C2078">
        <w:trPr>
          <w:trHeight w:val="371"/>
        </w:trPr>
        <w:tc>
          <w:tcPr>
            <w:tcW w:w="3652" w:type="dxa"/>
            <w:tcBorders>
              <w:bottom w:val="single" w:sz="4" w:space="0" w:color="auto"/>
            </w:tcBorders>
            <w:vAlign w:val="center"/>
          </w:tcPr>
          <w:p w14:paraId="7569F957"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Mean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SD</w:t>
            </w:r>
            <w:r w:rsidRPr="00B54968">
              <w:rPr>
                <w:rFonts w:ascii="Times New Roman" w:hAnsi="Times New Roman" w:cs="Times New Roman"/>
                <w:bCs/>
                <w:sz w:val="18"/>
                <w:szCs w:val="18"/>
                <w:vertAlign w:val="superscript"/>
                <w:lang w:eastAsia="ko-KR"/>
              </w:rPr>
              <w:t>d</w:t>
            </w:r>
          </w:p>
        </w:tc>
        <w:tc>
          <w:tcPr>
            <w:tcW w:w="1396" w:type="dxa"/>
            <w:tcBorders>
              <w:bottom w:val="single" w:sz="4" w:space="0" w:color="auto"/>
            </w:tcBorders>
            <w:vAlign w:val="center"/>
          </w:tcPr>
          <w:p w14:paraId="7D8F72E4"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0.68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0.63</w:t>
            </w:r>
          </w:p>
        </w:tc>
        <w:tc>
          <w:tcPr>
            <w:tcW w:w="1397" w:type="dxa"/>
            <w:tcBorders>
              <w:bottom w:val="single" w:sz="4" w:space="0" w:color="auto"/>
            </w:tcBorders>
            <w:vAlign w:val="center"/>
          </w:tcPr>
          <w:p w14:paraId="03379170"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0.80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0.65</w:t>
            </w:r>
          </w:p>
        </w:tc>
        <w:tc>
          <w:tcPr>
            <w:tcW w:w="1396" w:type="dxa"/>
            <w:tcBorders>
              <w:bottom w:val="single" w:sz="4" w:space="0" w:color="auto"/>
            </w:tcBorders>
            <w:vAlign w:val="center"/>
          </w:tcPr>
          <w:p w14:paraId="05D32BDD"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0.88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0.65</w:t>
            </w:r>
          </w:p>
        </w:tc>
        <w:tc>
          <w:tcPr>
            <w:tcW w:w="1397" w:type="dxa"/>
            <w:tcBorders>
              <w:bottom w:val="single" w:sz="4" w:space="0" w:color="auto"/>
            </w:tcBorders>
            <w:vAlign w:val="center"/>
          </w:tcPr>
          <w:p w14:paraId="11467D48" w14:textId="77777777" w:rsidR="00CA1A39"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0.84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0.65</w:t>
            </w:r>
          </w:p>
        </w:tc>
      </w:tr>
      <w:tr w:rsidR="004C2078" w:rsidRPr="00B54968" w14:paraId="23EE3BD2" w14:textId="77777777" w:rsidTr="004C2078">
        <w:tc>
          <w:tcPr>
            <w:tcW w:w="9238" w:type="dxa"/>
            <w:gridSpan w:val="5"/>
            <w:tcBorders>
              <w:top w:val="single" w:sz="4" w:space="0" w:color="auto"/>
            </w:tcBorders>
            <w:vAlign w:val="center"/>
          </w:tcPr>
          <w:p w14:paraId="4B413D0B" w14:textId="77777777" w:rsidR="004C2078" w:rsidRPr="00B54968" w:rsidRDefault="004C2078" w:rsidP="003E2009">
            <w:pPr>
              <w:autoSpaceDE w:val="0"/>
              <w:autoSpaceDN w:val="0"/>
              <w:adjustRightInd w:val="0"/>
              <w:rPr>
                <w:rFonts w:ascii="Times New Roman" w:hAnsi="Times New Roman" w:cs="Times New Roman"/>
                <w:bCs/>
                <w:sz w:val="16"/>
                <w:szCs w:val="18"/>
                <w:lang w:eastAsia="ko-KR"/>
              </w:rPr>
            </w:pPr>
            <w:r w:rsidRPr="00B54968">
              <w:rPr>
                <w:rFonts w:ascii="Times New Roman" w:hAnsi="Times New Roman" w:cs="Times New Roman"/>
                <w:bCs/>
                <w:sz w:val="16"/>
                <w:szCs w:val="18"/>
                <w:lang w:eastAsia="ko-KR"/>
              </w:rPr>
              <w:t>a: p&lt;0.001, for each infliximab treatment group vs. control</w:t>
            </w:r>
          </w:p>
          <w:p w14:paraId="20CFA46B" w14:textId="77777777" w:rsidR="004C2078" w:rsidRPr="00B54968" w:rsidRDefault="004C2078" w:rsidP="003E2009">
            <w:pPr>
              <w:autoSpaceDE w:val="0"/>
              <w:autoSpaceDN w:val="0"/>
              <w:adjustRightInd w:val="0"/>
              <w:rPr>
                <w:rFonts w:ascii="Times New Roman" w:hAnsi="Times New Roman" w:cs="Times New Roman"/>
                <w:bCs/>
                <w:sz w:val="16"/>
                <w:szCs w:val="18"/>
                <w:lang w:eastAsia="ko-KR"/>
              </w:rPr>
            </w:pPr>
            <w:r w:rsidRPr="00B54968">
              <w:rPr>
                <w:rFonts w:ascii="Times New Roman" w:hAnsi="Times New Roman" w:cs="Times New Roman"/>
                <w:bCs/>
                <w:sz w:val="16"/>
                <w:szCs w:val="18"/>
                <w:lang w:eastAsia="ko-KR"/>
              </w:rPr>
              <w:t>b: greater values indicate more joint damage.</w:t>
            </w:r>
          </w:p>
          <w:p w14:paraId="58E3530B" w14:textId="77777777" w:rsidR="004C2078" w:rsidRPr="00B54968" w:rsidRDefault="004C2078" w:rsidP="003E2009">
            <w:pPr>
              <w:autoSpaceDE w:val="0"/>
              <w:autoSpaceDN w:val="0"/>
              <w:adjustRightInd w:val="0"/>
              <w:rPr>
                <w:rFonts w:ascii="Times New Roman" w:hAnsi="Times New Roman" w:cs="Times New Roman"/>
                <w:bCs/>
                <w:sz w:val="16"/>
                <w:szCs w:val="18"/>
                <w:lang w:eastAsia="ko-KR"/>
              </w:rPr>
            </w:pPr>
            <w:r w:rsidRPr="00B54968">
              <w:rPr>
                <w:rFonts w:ascii="Times New Roman" w:hAnsi="Times New Roman" w:cs="Times New Roman"/>
                <w:bCs/>
                <w:sz w:val="16"/>
                <w:szCs w:val="18"/>
                <w:lang w:eastAsia="ko-KR"/>
              </w:rPr>
              <w:t>c: HAQ = Health Assessment Questionnaire; greater values indicate less disability.</w:t>
            </w:r>
          </w:p>
          <w:p w14:paraId="23F5B35A" w14:textId="77777777" w:rsidR="004C2078" w:rsidRPr="00B54968" w:rsidRDefault="004C2078" w:rsidP="003E200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6"/>
                <w:szCs w:val="18"/>
                <w:lang w:eastAsia="ko-KR"/>
              </w:rPr>
              <w:t>d: p=0.030 and &lt; 0.001 for the 3mg/kg and 6mg/kg treatment groups respectively vs. placebo + MTX</w:t>
            </w:r>
          </w:p>
        </w:tc>
      </w:tr>
    </w:tbl>
    <w:p w14:paraId="05799CA4" w14:textId="77777777" w:rsidR="00A02600" w:rsidRPr="00B54968" w:rsidRDefault="00A02600" w:rsidP="003E2009">
      <w:pPr>
        <w:rPr>
          <w:rFonts w:ascii="Times New Roman" w:hAnsi="Times New Roman" w:cs="Times New Roman"/>
        </w:rPr>
      </w:pPr>
    </w:p>
    <w:p w14:paraId="257AFFA5" w14:textId="53C49053" w:rsidR="00A02600" w:rsidRPr="00B54968" w:rsidRDefault="00517A35" w:rsidP="003E2009">
      <w:pPr>
        <w:spacing w:line="240" w:lineRule="auto"/>
        <w:rPr>
          <w:rFonts w:ascii="Times New Roman" w:hAnsi="Times New Roman" w:cs="Times New Roman"/>
        </w:rPr>
      </w:pPr>
      <w:r w:rsidRPr="00B54968">
        <w:rPr>
          <w:rFonts w:ascii="Times New Roman" w:hAnsi="Times New Roman" w:cs="Times New Roman"/>
        </w:rPr>
        <w:t xml:space="preserve">Data to support </w:t>
      </w:r>
      <w:r w:rsidR="00432329" w:rsidRPr="00B54968">
        <w:rPr>
          <w:rFonts w:ascii="Times New Roman" w:hAnsi="Times New Roman" w:cs="Times New Roman"/>
        </w:rPr>
        <w:t>infliximab</w:t>
      </w:r>
      <w:r w:rsidRPr="00B54968">
        <w:rPr>
          <w:rFonts w:ascii="Times New Roman" w:hAnsi="Times New Roman" w:cs="Times New Roman"/>
        </w:rPr>
        <w:t xml:space="preserve"> dose adjustment in rheumatoid arthritis comes from both ATTRACT and ASPIRE, as well as from the START study. START was a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w:t>
      </w:r>
      <w:proofErr w:type="spellStart"/>
      <w:r w:rsidRPr="00B54968">
        <w:rPr>
          <w:rFonts w:ascii="Times New Roman" w:hAnsi="Times New Roman" w:cs="Times New Roman"/>
        </w:rPr>
        <w:t>multicentre</w:t>
      </w:r>
      <w:proofErr w:type="spellEnd"/>
      <w:r w:rsidRPr="00B54968">
        <w:rPr>
          <w:rFonts w:ascii="Times New Roman" w:hAnsi="Times New Roman" w:cs="Times New Roman"/>
        </w:rPr>
        <w:t xml:space="preserve">, double-blind, 3-arm, parallel-group safety study. In one of the arms the secondary objective was to assess the safety and efficacy of dose escalation above 3 mg/kg of infliximab in 1.5 mg/kg increments to a maximum of 9 mg/kg, given every 8 weeks in subjects with an inadequate response to 3 mg/kg at week 22 or if a flare occurred later. Results are shown in Table </w:t>
      </w:r>
      <w:r w:rsidR="002F7924" w:rsidRPr="00B54968">
        <w:rPr>
          <w:rFonts w:ascii="Times New Roman" w:hAnsi="Times New Roman" w:cs="Times New Roman"/>
        </w:rPr>
        <w:t>7</w:t>
      </w:r>
      <w:r w:rsidRPr="00B54968">
        <w:rPr>
          <w:rFonts w:ascii="Times New Roman" w:hAnsi="Times New Roman" w:cs="Times New Roman"/>
        </w:rPr>
        <w:t>.</w:t>
      </w:r>
    </w:p>
    <w:p w14:paraId="7AAE1C07" w14:textId="36E192E0" w:rsidR="00A02600" w:rsidRPr="00B54968" w:rsidRDefault="00B42860" w:rsidP="003E2009">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t xml:space="preserve">Table </w:t>
      </w:r>
      <w:r w:rsidR="002F7924" w:rsidRPr="00B54968">
        <w:rPr>
          <w:rFonts w:ascii="Times New Roman" w:hAnsi="Times New Roman" w:cs="Times New Roman"/>
          <w:b/>
          <w:bCs/>
          <w:sz w:val="22"/>
          <w:szCs w:val="20"/>
        </w:rPr>
        <w:t>7</w:t>
      </w:r>
      <w:r w:rsidRP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Summary of responders by number of dose escalations (START)</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1276"/>
        <w:gridCol w:w="1559"/>
      </w:tblGrid>
      <w:tr w:rsidR="004C2078" w:rsidRPr="00B54968" w14:paraId="71808EC3" w14:textId="77777777" w:rsidTr="00F93704">
        <w:trPr>
          <w:trHeight w:val="253"/>
        </w:trPr>
        <w:tc>
          <w:tcPr>
            <w:tcW w:w="4819" w:type="dxa"/>
            <w:tcBorders>
              <w:top w:val="single" w:sz="4" w:space="0" w:color="auto"/>
              <w:bottom w:val="single" w:sz="4" w:space="0" w:color="auto"/>
            </w:tcBorders>
          </w:tcPr>
          <w:p w14:paraId="04763680" w14:textId="77777777" w:rsidR="004C2078" w:rsidRPr="00B54968" w:rsidRDefault="004C2078" w:rsidP="003E2009">
            <w:pPr>
              <w:rPr>
                <w:rFonts w:ascii="Times New Roman" w:hAnsi="Times New Roman" w:cs="Times New Roman"/>
                <w:sz w:val="18"/>
                <w:lang w:eastAsia="ko-KR"/>
              </w:rPr>
            </w:pPr>
          </w:p>
        </w:tc>
        <w:tc>
          <w:tcPr>
            <w:tcW w:w="1276" w:type="dxa"/>
            <w:tcBorders>
              <w:top w:val="single" w:sz="4" w:space="0" w:color="auto"/>
              <w:bottom w:val="single" w:sz="4" w:space="0" w:color="auto"/>
            </w:tcBorders>
            <w:vAlign w:val="bottom"/>
          </w:tcPr>
          <w:p w14:paraId="46158D03" w14:textId="77777777" w:rsidR="004C2078" w:rsidRPr="00B54968" w:rsidRDefault="004C2078" w:rsidP="003E2009">
            <w:pPr>
              <w:rPr>
                <w:rFonts w:ascii="Times New Roman" w:hAnsi="Times New Roman" w:cs="Times New Roman"/>
                <w:sz w:val="18"/>
                <w:lang w:eastAsia="ko-KR"/>
              </w:rPr>
            </w:pPr>
            <w:r w:rsidRPr="00B54968">
              <w:rPr>
                <w:rFonts w:ascii="Times New Roman" w:hAnsi="Times New Roman" w:cs="Times New Roman"/>
                <w:sz w:val="18"/>
                <w:lang w:eastAsia="ko-KR"/>
              </w:rPr>
              <w:t>n</w:t>
            </w:r>
          </w:p>
        </w:tc>
        <w:tc>
          <w:tcPr>
            <w:tcW w:w="1559" w:type="dxa"/>
            <w:tcBorders>
              <w:top w:val="single" w:sz="4" w:space="0" w:color="auto"/>
              <w:bottom w:val="single" w:sz="4" w:space="0" w:color="auto"/>
            </w:tcBorders>
            <w:vAlign w:val="bottom"/>
          </w:tcPr>
          <w:p w14:paraId="43CF94FD" w14:textId="77777777" w:rsidR="004C2078" w:rsidRPr="00B54968" w:rsidRDefault="004C2078" w:rsidP="003E2009">
            <w:pPr>
              <w:rPr>
                <w:rFonts w:ascii="Times New Roman" w:hAnsi="Times New Roman" w:cs="Times New Roman"/>
                <w:sz w:val="18"/>
                <w:lang w:eastAsia="ko-KR"/>
              </w:rPr>
            </w:pPr>
            <w:r w:rsidRPr="00B54968">
              <w:rPr>
                <w:rFonts w:ascii="Times New Roman" w:hAnsi="Times New Roman" w:cs="Times New Roman"/>
                <w:sz w:val="18"/>
                <w:lang w:eastAsia="ko-KR"/>
              </w:rPr>
              <w:t>Responders</w:t>
            </w:r>
          </w:p>
          <w:p w14:paraId="0D939324" w14:textId="77777777" w:rsidR="004C2078"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n</w:t>
            </w:r>
            <w:r w:rsidR="004C2078" w:rsidRPr="00B54968">
              <w:rPr>
                <w:rFonts w:ascii="Times New Roman" w:hAnsi="Times New Roman" w:cs="Times New Roman"/>
                <w:sz w:val="18"/>
                <w:lang w:eastAsia="ko-KR"/>
              </w:rPr>
              <w:t xml:space="preserve"> (%)</w:t>
            </w:r>
          </w:p>
        </w:tc>
      </w:tr>
      <w:tr w:rsidR="004C2078" w:rsidRPr="00B54968" w14:paraId="3622A54C" w14:textId="77777777" w:rsidTr="00F93704">
        <w:trPr>
          <w:trHeight w:val="254"/>
        </w:trPr>
        <w:tc>
          <w:tcPr>
            <w:tcW w:w="4819" w:type="dxa"/>
            <w:tcBorders>
              <w:top w:val="single" w:sz="4" w:space="0" w:color="auto"/>
            </w:tcBorders>
          </w:tcPr>
          <w:p w14:paraId="6BF1C201" w14:textId="77777777" w:rsidR="004C2078" w:rsidRPr="00B54968" w:rsidRDefault="004C2078" w:rsidP="003E2009">
            <w:pPr>
              <w:rPr>
                <w:rFonts w:ascii="Times New Roman" w:hAnsi="Times New Roman" w:cs="Times New Roman"/>
                <w:sz w:val="18"/>
                <w:lang w:eastAsia="ko-KR"/>
              </w:rPr>
            </w:pPr>
            <w:r w:rsidRPr="00B54968">
              <w:rPr>
                <w:rFonts w:ascii="Times New Roman" w:hAnsi="Times New Roman" w:cs="Times New Roman"/>
                <w:sz w:val="18"/>
                <w:lang w:eastAsia="ko-KR"/>
              </w:rPr>
              <w:t>Patients in the study at Week 22</w:t>
            </w:r>
          </w:p>
        </w:tc>
        <w:tc>
          <w:tcPr>
            <w:tcW w:w="1276" w:type="dxa"/>
            <w:tcBorders>
              <w:top w:val="single" w:sz="4" w:space="0" w:color="auto"/>
            </w:tcBorders>
          </w:tcPr>
          <w:p w14:paraId="34AC813F" w14:textId="77777777" w:rsidR="004C2078"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329</w:t>
            </w:r>
          </w:p>
        </w:tc>
        <w:tc>
          <w:tcPr>
            <w:tcW w:w="1559" w:type="dxa"/>
            <w:tcBorders>
              <w:top w:val="single" w:sz="4" w:space="0" w:color="auto"/>
            </w:tcBorders>
          </w:tcPr>
          <w:p w14:paraId="58E7227B" w14:textId="77777777" w:rsidR="004C2078"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220 (66.9%)</w:t>
            </w:r>
            <w:r w:rsidRPr="00B54968">
              <w:rPr>
                <w:rFonts w:ascii="Times New Roman" w:hAnsi="Times New Roman" w:cs="Times New Roman"/>
                <w:sz w:val="18"/>
                <w:vertAlign w:val="superscript"/>
                <w:lang w:eastAsia="ko-KR"/>
              </w:rPr>
              <w:t>a</w:t>
            </w:r>
          </w:p>
        </w:tc>
      </w:tr>
      <w:tr w:rsidR="004C2078" w:rsidRPr="00B54968" w14:paraId="5AFE08BF" w14:textId="77777777" w:rsidTr="00F93704">
        <w:trPr>
          <w:trHeight w:val="283"/>
        </w:trPr>
        <w:tc>
          <w:tcPr>
            <w:tcW w:w="4819" w:type="dxa"/>
          </w:tcPr>
          <w:p w14:paraId="6A2C1B90" w14:textId="77777777" w:rsidR="004C2078" w:rsidRPr="00B54968" w:rsidRDefault="004C2078" w:rsidP="003E2009">
            <w:pPr>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were dose </w:t>
            </w:r>
            <w:proofErr w:type="spellStart"/>
            <w:r w:rsidRPr="00B54968">
              <w:rPr>
                <w:rFonts w:ascii="Times New Roman" w:hAnsi="Times New Roman" w:cs="Times New Roman"/>
                <w:sz w:val="18"/>
                <w:lang w:eastAsia="ko-KR"/>
              </w:rPr>
              <w:t>escalated</w:t>
            </w:r>
            <w:r w:rsidRPr="00B54968">
              <w:rPr>
                <w:rFonts w:ascii="Times New Roman" w:hAnsi="Times New Roman" w:cs="Times New Roman"/>
                <w:sz w:val="18"/>
                <w:vertAlign w:val="superscript"/>
                <w:lang w:eastAsia="ko-KR"/>
              </w:rPr>
              <w:t>b</w:t>
            </w:r>
            <w:proofErr w:type="spellEnd"/>
          </w:p>
        </w:tc>
        <w:tc>
          <w:tcPr>
            <w:tcW w:w="1276" w:type="dxa"/>
          </w:tcPr>
          <w:p w14:paraId="392A640A" w14:textId="77777777" w:rsidR="004C2078"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100</w:t>
            </w:r>
          </w:p>
        </w:tc>
        <w:tc>
          <w:tcPr>
            <w:tcW w:w="1559" w:type="dxa"/>
          </w:tcPr>
          <w:p w14:paraId="2A4CAFB9" w14:textId="77777777" w:rsidR="004C2078" w:rsidRPr="00B54968" w:rsidRDefault="004C2078" w:rsidP="003E2009">
            <w:pPr>
              <w:rPr>
                <w:rFonts w:ascii="Times New Roman" w:hAnsi="Times New Roman" w:cs="Times New Roman"/>
                <w:sz w:val="18"/>
                <w:lang w:eastAsia="ko-KR"/>
              </w:rPr>
            </w:pPr>
          </w:p>
        </w:tc>
      </w:tr>
      <w:tr w:rsidR="00C82C11" w:rsidRPr="00B54968" w14:paraId="128DCDB3" w14:textId="77777777" w:rsidTr="00F93704">
        <w:trPr>
          <w:trHeight w:val="496"/>
        </w:trPr>
        <w:tc>
          <w:tcPr>
            <w:tcW w:w="4819" w:type="dxa"/>
          </w:tcPr>
          <w:p w14:paraId="5EA27E99" w14:textId="77777777" w:rsidR="00C82C11" w:rsidRPr="00B54968" w:rsidRDefault="00C82C11" w:rsidP="003E2009">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1 dose escalations </w:t>
            </w:r>
          </w:p>
          <w:p w14:paraId="1ADF8D0D" w14:textId="77777777" w:rsidR="00C82C11" w:rsidRPr="00B54968" w:rsidRDefault="00C82C11" w:rsidP="003E2009">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(final dose 4.5 mg/kg)</w:t>
            </w:r>
          </w:p>
        </w:tc>
        <w:tc>
          <w:tcPr>
            <w:tcW w:w="1276" w:type="dxa"/>
          </w:tcPr>
          <w:p w14:paraId="0D32DA8E"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59</w:t>
            </w:r>
          </w:p>
        </w:tc>
        <w:tc>
          <w:tcPr>
            <w:tcW w:w="1559" w:type="dxa"/>
          </w:tcPr>
          <w:p w14:paraId="72F74137"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51 (86.4%)</w:t>
            </w:r>
            <w:r w:rsidRPr="00B54968">
              <w:rPr>
                <w:rFonts w:ascii="Times New Roman" w:hAnsi="Times New Roman" w:cs="Times New Roman"/>
                <w:sz w:val="18"/>
                <w:vertAlign w:val="superscript"/>
                <w:lang w:eastAsia="ko-KR"/>
              </w:rPr>
              <w:t>c</w:t>
            </w:r>
          </w:p>
        </w:tc>
      </w:tr>
      <w:tr w:rsidR="00C82C11" w:rsidRPr="00B54968" w14:paraId="3F522FBA" w14:textId="77777777" w:rsidTr="00F93704">
        <w:trPr>
          <w:trHeight w:val="496"/>
        </w:trPr>
        <w:tc>
          <w:tcPr>
            <w:tcW w:w="4819" w:type="dxa"/>
          </w:tcPr>
          <w:p w14:paraId="65190319" w14:textId="77777777" w:rsidR="00C82C11" w:rsidRPr="00B54968" w:rsidRDefault="00C82C11" w:rsidP="003E2009">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2 dose escalations </w:t>
            </w:r>
          </w:p>
          <w:p w14:paraId="0B98C355" w14:textId="77777777" w:rsidR="00C82C11" w:rsidRPr="00B54968" w:rsidRDefault="00C82C11" w:rsidP="003E2009">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(final dose 6.0 mg/kg)</w:t>
            </w:r>
          </w:p>
        </w:tc>
        <w:tc>
          <w:tcPr>
            <w:tcW w:w="1276" w:type="dxa"/>
          </w:tcPr>
          <w:p w14:paraId="7E8A40E8"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21</w:t>
            </w:r>
          </w:p>
        </w:tc>
        <w:tc>
          <w:tcPr>
            <w:tcW w:w="1559" w:type="dxa"/>
          </w:tcPr>
          <w:p w14:paraId="18E90ADB"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17 (81.0%)</w:t>
            </w:r>
            <w:r w:rsidRPr="00B54968">
              <w:rPr>
                <w:rFonts w:ascii="Times New Roman" w:hAnsi="Times New Roman" w:cs="Times New Roman"/>
                <w:sz w:val="18"/>
                <w:vertAlign w:val="superscript"/>
                <w:lang w:eastAsia="ko-KR"/>
              </w:rPr>
              <w:t>c</w:t>
            </w:r>
          </w:p>
        </w:tc>
      </w:tr>
      <w:tr w:rsidR="00C82C11" w:rsidRPr="00B54968" w14:paraId="7089057B" w14:textId="77777777" w:rsidTr="00F93704">
        <w:trPr>
          <w:trHeight w:val="496"/>
        </w:trPr>
        <w:tc>
          <w:tcPr>
            <w:tcW w:w="4819" w:type="dxa"/>
          </w:tcPr>
          <w:p w14:paraId="4EFDC6F0" w14:textId="77777777" w:rsidR="00C82C11" w:rsidRPr="00B54968" w:rsidRDefault="00C82C11" w:rsidP="003E2009">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3 dose escalations </w:t>
            </w:r>
          </w:p>
          <w:p w14:paraId="78C5D341"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 xml:space="preserve">        (final dose 7.5 mg/kg)</w:t>
            </w:r>
          </w:p>
        </w:tc>
        <w:tc>
          <w:tcPr>
            <w:tcW w:w="1276" w:type="dxa"/>
          </w:tcPr>
          <w:p w14:paraId="58465E4C"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13</w:t>
            </w:r>
          </w:p>
        </w:tc>
        <w:tc>
          <w:tcPr>
            <w:tcW w:w="1559" w:type="dxa"/>
          </w:tcPr>
          <w:p w14:paraId="1E9C62DA"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12 (92.3%)</w:t>
            </w:r>
            <w:r w:rsidRPr="00B54968">
              <w:rPr>
                <w:rFonts w:ascii="Times New Roman" w:hAnsi="Times New Roman" w:cs="Times New Roman"/>
                <w:sz w:val="18"/>
                <w:vertAlign w:val="superscript"/>
                <w:lang w:eastAsia="ko-KR"/>
              </w:rPr>
              <w:t>c</w:t>
            </w:r>
          </w:p>
        </w:tc>
      </w:tr>
      <w:tr w:rsidR="004C2078" w:rsidRPr="00B54968" w14:paraId="334B7D72" w14:textId="77777777" w:rsidTr="00F93704">
        <w:trPr>
          <w:trHeight w:val="496"/>
        </w:trPr>
        <w:tc>
          <w:tcPr>
            <w:tcW w:w="4819" w:type="dxa"/>
            <w:tcBorders>
              <w:bottom w:val="single" w:sz="4" w:space="0" w:color="auto"/>
            </w:tcBorders>
          </w:tcPr>
          <w:p w14:paraId="53A43A0A" w14:textId="77777777" w:rsidR="004C2078" w:rsidRPr="00B54968" w:rsidRDefault="004C2078" w:rsidP="003E2009">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w:t>
            </w:r>
            <w:r w:rsidR="00C82C11" w:rsidRPr="00B54968">
              <w:rPr>
                <w:rFonts w:ascii="Times New Roman" w:hAnsi="Times New Roman" w:cs="Times New Roman"/>
                <w:sz w:val="18"/>
                <w:lang w:eastAsia="ko-KR"/>
              </w:rPr>
              <w:t>4</w:t>
            </w:r>
            <w:r w:rsidRPr="00B54968">
              <w:rPr>
                <w:rFonts w:ascii="Times New Roman" w:hAnsi="Times New Roman" w:cs="Times New Roman"/>
                <w:sz w:val="18"/>
                <w:lang w:eastAsia="ko-KR"/>
              </w:rPr>
              <w:t xml:space="preserve"> dose escalations </w:t>
            </w:r>
          </w:p>
          <w:p w14:paraId="5E53834C" w14:textId="77777777" w:rsidR="004C2078" w:rsidRPr="00B54968" w:rsidRDefault="004C2078" w:rsidP="003E2009">
            <w:pPr>
              <w:rPr>
                <w:rFonts w:ascii="Times New Roman" w:hAnsi="Times New Roman" w:cs="Times New Roman"/>
                <w:sz w:val="18"/>
                <w:lang w:eastAsia="ko-KR"/>
              </w:rPr>
            </w:pPr>
            <w:r w:rsidRPr="00B54968">
              <w:rPr>
                <w:rFonts w:ascii="Times New Roman" w:hAnsi="Times New Roman" w:cs="Times New Roman"/>
                <w:sz w:val="18"/>
                <w:lang w:eastAsia="ko-KR"/>
              </w:rPr>
              <w:t xml:space="preserve"> </w:t>
            </w:r>
            <w:r w:rsidR="00C82C11" w:rsidRPr="00B54968">
              <w:rPr>
                <w:rFonts w:ascii="Times New Roman" w:hAnsi="Times New Roman" w:cs="Times New Roman"/>
                <w:sz w:val="18"/>
                <w:lang w:eastAsia="ko-KR"/>
              </w:rPr>
              <w:t xml:space="preserve">       </w:t>
            </w:r>
            <w:r w:rsidRPr="00B54968">
              <w:rPr>
                <w:rFonts w:ascii="Times New Roman" w:hAnsi="Times New Roman" w:cs="Times New Roman"/>
                <w:sz w:val="18"/>
                <w:lang w:eastAsia="ko-KR"/>
              </w:rPr>
              <w:t xml:space="preserve">(final dose </w:t>
            </w:r>
            <w:r w:rsidR="00C82C11" w:rsidRPr="00B54968">
              <w:rPr>
                <w:rFonts w:ascii="Times New Roman" w:hAnsi="Times New Roman" w:cs="Times New Roman"/>
                <w:sz w:val="18"/>
                <w:lang w:eastAsia="ko-KR"/>
              </w:rPr>
              <w:t>9</w:t>
            </w:r>
            <w:r w:rsidRPr="00B54968">
              <w:rPr>
                <w:rFonts w:ascii="Times New Roman" w:hAnsi="Times New Roman" w:cs="Times New Roman"/>
                <w:sz w:val="18"/>
                <w:lang w:eastAsia="ko-KR"/>
              </w:rPr>
              <w:t>.</w:t>
            </w:r>
            <w:r w:rsidR="00C82C11" w:rsidRPr="00B54968">
              <w:rPr>
                <w:rFonts w:ascii="Times New Roman" w:hAnsi="Times New Roman" w:cs="Times New Roman"/>
                <w:sz w:val="18"/>
                <w:lang w:eastAsia="ko-KR"/>
              </w:rPr>
              <w:t>0</w:t>
            </w:r>
            <w:r w:rsidRPr="00B54968">
              <w:rPr>
                <w:rFonts w:ascii="Times New Roman" w:hAnsi="Times New Roman" w:cs="Times New Roman"/>
                <w:sz w:val="18"/>
                <w:lang w:eastAsia="ko-KR"/>
              </w:rPr>
              <w:t xml:space="preserve"> mg/kg)</w:t>
            </w:r>
          </w:p>
        </w:tc>
        <w:tc>
          <w:tcPr>
            <w:tcW w:w="1276" w:type="dxa"/>
            <w:tcBorders>
              <w:bottom w:val="single" w:sz="4" w:space="0" w:color="auto"/>
            </w:tcBorders>
          </w:tcPr>
          <w:p w14:paraId="44E0E981" w14:textId="77777777" w:rsidR="004C2078"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7</w:t>
            </w:r>
          </w:p>
        </w:tc>
        <w:tc>
          <w:tcPr>
            <w:tcW w:w="1559" w:type="dxa"/>
            <w:tcBorders>
              <w:bottom w:val="single" w:sz="4" w:space="0" w:color="auto"/>
            </w:tcBorders>
          </w:tcPr>
          <w:p w14:paraId="036ACD1D" w14:textId="77777777" w:rsidR="004C2078"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0 (0.0%)</w:t>
            </w:r>
            <w:r w:rsidRPr="00B54968">
              <w:rPr>
                <w:rFonts w:ascii="Times New Roman" w:hAnsi="Times New Roman" w:cs="Times New Roman"/>
                <w:sz w:val="18"/>
                <w:vertAlign w:val="superscript"/>
                <w:lang w:eastAsia="ko-KR"/>
              </w:rPr>
              <w:t>c</w:t>
            </w:r>
          </w:p>
        </w:tc>
      </w:tr>
      <w:tr w:rsidR="00C82C11" w:rsidRPr="00B54968" w14:paraId="2FEB22E1" w14:textId="77777777" w:rsidTr="00F93704">
        <w:trPr>
          <w:trHeight w:val="253"/>
        </w:trPr>
        <w:tc>
          <w:tcPr>
            <w:tcW w:w="7654" w:type="dxa"/>
            <w:gridSpan w:val="3"/>
            <w:tcBorders>
              <w:top w:val="single" w:sz="4" w:space="0" w:color="auto"/>
            </w:tcBorders>
          </w:tcPr>
          <w:p w14:paraId="721842D2" w14:textId="77777777" w:rsidR="00C82C11" w:rsidRPr="00B54968" w:rsidRDefault="00C82C11" w:rsidP="003E2009">
            <w:pPr>
              <w:rPr>
                <w:rFonts w:ascii="Times New Roman" w:hAnsi="Times New Roman" w:cs="Times New Roman"/>
                <w:sz w:val="16"/>
                <w:lang w:eastAsia="ko-KR"/>
              </w:rPr>
            </w:pPr>
            <w:r w:rsidRPr="00B54968">
              <w:rPr>
                <w:rFonts w:ascii="Times New Roman" w:hAnsi="Times New Roman" w:cs="Times New Roman"/>
                <w:sz w:val="16"/>
                <w:lang w:eastAsia="ko-KR"/>
              </w:rPr>
              <w:t>a: responders are defined as subjects who achieved an ACR20 response at week 22</w:t>
            </w:r>
          </w:p>
          <w:p w14:paraId="27C86C46" w14:textId="77777777" w:rsidR="00C82C11" w:rsidRPr="00B54968" w:rsidRDefault="00C82C11" w:rsidP="003E2009">
            <w:pPr>
              <w:rPr>
                <w:rFonts w:ascii="Times New Roman" w:hAnsi="Times New Roman" w:cs="Times New Roman"/>
                <w:sz w:val="16"/>
                <w:lang w:eastAsia="ko-KR"/>
              </w:rPr>
            </w:pPr>
            <w:r w:rsidRPr="00B54968">
              <w:rPr>
                <w:rFonts w:ascii="Times New Roman" w:hAnsi="Times New Roman" w:cs="Times New Roman"/>
                <w:sz w:val="16"/>
                <w:lang w:eastAsia="ko-KR"/>
              </w:rPr>
              <w:t>b: patients who met the criteria for dose escalation at week 22 or thereafter</w:t>
            </w:r>
          </w:p>
          <w:p w14:paraId="4EEE882E"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6"/>
                <w:lang w:eastAsia="ko-KR"/>
              </w:rPr>
              <w:t>c: responders are defined as subjects who achieved at least 20% improvement in the number of tender and swollen joints from baseline at 8 weeks after the last dose escalation</w:t>
            </w:r>
          </w:p>
        </w:tc>
      </w:tr>
    </w:tbl>
    <w:p w14:paraId="6AA5E73B" w14:textId="77777777" w:rsidR="004C2078" w:rsidRPr="00B54968" w:rsidRDefault="004C2078" w:rsidP="003E2009">
      <w:pPr>
        <w:spacing w:after="0"/>
        <w:rPr>
          <w:rFonts w:ascii="Times New Roman" w:hAnsi="Times New Roman" w:cs="Times New Roman"/>
          <w:lang w:eastAsia="ko-KR"/>
        </w:rPr>
      </w:pPr>
    </w:p>
    <w:p w14:paraId="79A4A5EF" w14:textId="268167C6" w:rsidR="00A02600" w:rsidRPr="00B54968" w:rsidRDefault="00432329"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Rheumatoid Arthritis associated </w:t>
      </w:r>
      <w:proofErr w:type="spellStart"/>
      <w:r w:rsidRPr="00B54968">
        <w:rPr>
          <w:rFonts w:ascii="Times New Roman" w:hAnsi="Times New Roman" w:cs="Times New Roman"/>
          <w:b/>
          <w:bCs/>
          <w:color w:val="auto"/>
          <w:sz w:val="22"/>
          <w:szCs w:val="22"/>
        </w:rPr>
        <w:t>anaemia</w:t>
      </w:r>
      <w:proofErr w:type="spellEnd"/>
    </w:p>
    <w:p w14:paraId="3C7ECA6B" w14:textId="77777777" w:rsidR="00A02600" w:rsidRPr="00B54968" w:rsidRDefault="00517A35" w:rsidP="003E2009">
      <w:pPr>
        <w:spacing w:line="240" w:lineRule="auto"/>
        <w:rPr>
          <w:rFonts w:ascii="Times New Roman" w:hAnsi="Times New Roman" w:cs="Times New Roman"/>
        </w:rPr>
      </w:pPr>
      <w:r w:rsidRPr="00B54968">
        <w:rPr>
          <w:rFonts w:ascii="Times New Roman" w:hAnsi="Times New Roman" w:cs="Times New Roman"/>
        </w:rPr>
        <w:t xml:space="preserve">Evidence suggests that TNFα plays a role in the inhibition of erythropoiesis in chronic inflammatory disease. In three clinical trials in patients with rheumatoid arthritis (ATTRACT, ASPIRE, START), 39.8 % of patients with a baseline </w:t>
      </w:r>
      <w:proofErr w:type="spellStart"/>
      <w:r w:rsidRPr="00B54968">
        <w:rPr>
          <w:rFonts w:ascii="Times New Roman" w:hAnsi="Times New Roman" w:cs="Times New Roman"/>
        </w:rPr>
        <w:t>haemoglobin</w:t>
      </w:r>
      <w:proofErr w:type="spellEnd"/>
      <w:r w:rsidRPr="00B54968">
        <w:rPr>
          <w:rFonts w:ascii="Times New Roman" w:hAnsi="Times New Roman" w:cs="Times New Roman"/>
        </w:rPr>
        <w:t xml:space="preserve"> &lt;12 g/</w:t>
      </w:r>
      <w:proofErr w:type="spellStart"/>
      <w:r w:rsidRPr="00B54968">
        <w:rPr>
          <w:rFonts w:ascii="Times New Roman" w:hAnsi="Times New Roman" w:cs="Times New Roman"/>
        </w:rPr>
        <w:t>dL</w:t>
      </w:r>
      <w:proofErr w:type="spellEnd"/>
      <w:r w:rsidRPr="00B54968">
        <w:rPr>
          <w:rFonts w:ascii="Times New Roman" w:hAnsi="Times New Roman" w:cs="Times New Roman"/>
        </w:rPr>
        <w:t xml:space="preserve"> had an increase in </w:t>
      </w:r>
      <w:proofErr w:type="spellStart"/>
      <w:r w:rsidRPr="00B54968">
        <w:rPr>
          <w:rFonts w:ascii="Times New Roman" w:hAnsi="Times New Roman" w:cs="Times New Roman"/>
        </w:rPr>
        <w:t>haemoglobin</w:t>
      </w:r>
      <w:proofErr w:type="spellEnd"/>
      <w:r w:rsidRPr="00B54968">
        <w:rPr>
          <w:rFonts w:ascii="Times New Roman" w:hAnsi="Times New Roman" w:cs="Times New Roman"/>
        </w:rPr>
        <w:t xml:space="preserve"> ≥1 g/</w:t>
      </w:r>
      <w:proofErr w:type="spellStart"/>
      <w:r w:rsidRPr="00B54968">
        <w:rPr>
          <w:rFonts w:ascii="Times New Roman" w:hAnsi="Times New Roman" w:cs="Times New Roman"/>
        </w:rPr>
        <w:t>dL</w:t>
      </w:r>
      <w:proofErr w:type="spellEnd"/>
      <w:r w:rsidRPr="00B54968">
        <w:rPr>
          <w:rFonts w:ascii="Times New Roman" w:hAnsi="Times New Roman" w:cs="Times New Roman"/>
        </w:rPr>
        <w:t xml:space="preserve"> at week 22 when receiving infliximab plus methotrexate, versus 19.3 % in those receiving methotrexate alone (p&lt;0.001). Additionally, 12.1 % of patients treated with infliximab plus methotrexate had an increase ≥2 g/</w:t>
      </w:r>
      <w:proofErr w:type="spellStart"/>
      <w:r w:rsidRPr="00B54968">
        <w:rPr>
          <w:rFonts w:ascii="Times New Roman" w:hAnsi="Times New Roman" w:cs="Times New Roman"/>
        </w:rPr>
        <w:t>dL</w:t>
      </w:r>
      <w:proofErr w:type="spellEnd"/>
      <w:r w:rsidRPr="00B54968">
        <w:rPr>
          <w:rFonts w:ascii="Times New Roman" w:hAnsi="Times New Roman" w:cs="Times New Roman"/>
        </w:rPr>
        <w:t xml:space="preserve"> in </w:t>
      </w:r>
      <w:proofErr w:type="spellStart"/>
      <w:r w:rsidRPr="00B54968">
        <w:rPr>
          <w:rFonts w:ascii="Times New Roman" w:hAnsi="Times New Roman" w:cs="Times New Roman"/>
        </w:rPr>
        <w:t>haemoglobin</w:t>
      </w:r>
      <w:proofErr w:type="spellEnd"/>
      <w:r w:rsidRPr="00B54968">
        <w:rPr>
          <w:rFonts w:ascii="Times New Roman" w:hAnsi="Times New Roman" w:cs="Times New Roman"/>
        </w:rPr>
        <w:t xml:space="preserve"> vs. 4.5% of patients in the methotrexate arm alone (p&lt;0.001). Significant results were also found for patients with baseline </w:t>
      </w:r>
      <w:proofErr w:type="spellStart"/>
      <w:r w:rsidRPr="00B54968">
        <w:rPr>
          <w:rFonts w:ascii="Times New Roman" w:hAnsi="Times New Roman" w:cs="Times New Roman"/>
        </w:rPr>
        <w:t>haemoglobin</w:t>
      </w:r>
      <w:proofErr w:type="spellEnd"/>
      <w:r w:rsidRPr="00B54968">
        <w:rPr>
          <w:rFonts w:ascii="Times New Roman" w:hAnsi="Times New Roman" w:cs="Times New Roman"/>
        </w:rPr>
        <w:t xml:space="preserve"> &lt;10 g/</w:t>
      </w:r>
      <w:proofErr w:type="spellStart"/>
      <w:r w:rsidRPr="00B54968">
        <w:rPr>
          <w:rFonts w:ascii="Times New Roman" w:hAnsi="Times New Roman" w:cs="Times New Roman"/>
        </w:rPr>
        <w:t>dL</w:t>
      </w:r>
      <w:proofErr w:type="spellEnd"/>
      <w:r w:rsidRPr="00B54968">
        <w:rPr>
          <w:rFonts w:ascii="Times New Roman" w:hAnsi="Times New Roman" w:cs="Times New Roman"/>
        </w:rPr>
        <w:t>.</w:t>
      </w:r>
    </w:p>
    <w:p w14:paraId="672849CE" w14:textId="77777777" w:rsidR="00A02600" w:rsidRPr="00B54968" w:rsidRDefault="00517A35" w:rsidP="003E2009">
      <w:pPr>
        <w:autoSpaceDE w:val="0"/>
        <w:autoSpaceDN w:val="0"/>
        <w:adjustRightInd w:val="0"/>
        <w:spacing w:after="0" w:line="240" w:lineRule="auto"/>
        <w:rPr>
          <w:rFonts w:ascii="Times New Roman" w:hAnsi="Times New Roman" w:cs="Times New Roman"/>
          <w:lang w:eastAsia="ko-KR"/>
        </w:rPr>
      </w:pPr>
      <w:r w:rsidRPr="00B54968">
        <w:rPr>
          <w:rFonts w:ascii="Times New Roman" w:hAnsi="Times New Roman" w:cs="Times New Roman"/>
        </w:rPr>
        <w:lastRenderedPageBreak/>
        <w:t xml:space="preserve">Analyses of the data from ASPIRE showed that infliximab therapy improved rheumatoid arthritis associated </w:t>
      </w:r>
      <w:proofErr w:type="spellStart"/>
      <w:r w:rsidRPr="00B54968">
        <w:rPr>
          <w:rFonts w:ascii="Times New Roman" w:hAnsi="Times New Roman" w:cs="Times New Roman"/>
        </w:rPr>
        <w:t>anaemia</w:t>
      </w:r>
      <w:proofErr w:type="spellEnd"/>
      <w:r w:rsidRPr="00B54968">
        <w:rPr>
          <w:rFonts w:ascii="Times New Roman" w:hAnsi="Times New Roman" w:cs="Times New Roman"/>
        </w:rPr>
        <w:t xml:space="preserve"> in both ACR20 responders and </w:t>
      </w:r>
      <w:proofErr w:type="spellStart"/>
      <w:r w:rsidRPr="00B54968">
        <w:rPr>
          <w:rFonts w:ascii="Times New Roman" w:hAnsi="Times New Roman" w:cs="Times New Roman"/>
        </w:rPr>
        <w:t>nonresponders</w:t>
      </w:r>
      <w:proofErr w:type="spellEnd"/>
      <w:r w:rsidRPr="00B54968">
        <w:rPr>
          <w:rFonts w:ascii="Times New Roman" w:hAnsi="Times New Roman" w:cs="Times New Roman"/>
        </w:rPr>
        <w:t xml:space="preserve">. </w:t>
      </w:r>
    </w:p>
    <w:p w14:paraId="0FA44300" w14:textId="77777777" w:rsidR="00F02007" w:rsidRPr="00B54968" w:rsidRDefault="00F02007" w:rsidP="003E2009">
      <w:pPr>
        <w:autoSpaceDE w:val="0"/>
        <w:autoSpaceDN w:val="0"/>
        <w:adjustRightInd w:val="0"/>
        <w:spacing w:after="0" w:line="240" w:lineRule="auto"/>
        <w:rPr>
          <w:rFonts w:ascii="Times New Roman" w:hAnsi="Times New Roman" w:cs="Times New Roman"/>
          <w:lang w:eastAsia="ko-KR"/>
        </w:rPr>
      </w:pPr>
    </w:p>
    <w:tbl>
      <w:tblPr>
        <w:tblStyle w:val="TableGrid"/>
        <w:tblW w:w="0" w:type="auto"/>
        <w:tblLook w:val="04A0" w:firstRow="1" w:lastRow="0" w:firstColumn="1" w:lastColumn="0" w:noHBand="0" w:noVBand="1"/>
      </w:tblPr>
      <w:tblGrid>
        <w:gridCol w:w="2262"/>
        <w:gridCol w:w="2099"/>
        <w:gridCol w:w="2344"/>
        <w:gridCol w:w="2344"/>
      </w:tblGrid>
      <w:tr w:rsidR="00C82C11" w:rsidRPr="00B54968" w14:paraId="59EC10F1" w14:textId="77777777" w:rsidTr="003E2009">
        <w:trPr>
          <w:trHeight w:val="355"/>
          <w:tblHeader/>
        </w:trPr>
        <w:tc>
          <w:tcPr>
            <w:tcW w:w="9049" w:type="dxa"/>
            <w:gridSpan w:val="4"/>
            <w:vAlign w:val="center"/>
          </w:tcPr>
          <w:p w14:paraId="2BAAFE57"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 xml:space="preserve">Patients with </w:t>
            </w:r>
            <w:proofErr w:type="spellStart"/>
            <w:r w:rsidRPr="00B54968">
              <w:rPr>
                <w:rFonts w:ascii="Times New Roman" w:hAnsi="Times New Roman" w:cs="Times New Roman"/>
                <w:sz w:val="18"/>
                <w:lang w:eastAsia="ko-KR"/>
              </w:rPr>
              <w:t>anaemia</w:t>
            </w:r>
            <w:proofErr w:type="spellEnd"/>
            <w:r w:rsidRPr="00B54968">
              <w:rPr>
                <w:rFonts w:ascii="Times New Roman" w:hAnsi="Times New Roman" w:cs="Times New Roman"/>
                <w:sz w:val="18"/>
                <w:lang w:eastAsia="ko-KR"/>
              </w:rPr>
              <w:t xml:space="preserve"> at baseline (&lt; 12g/</w:t>
            </w:r>
            <w:proofErr w:type="spellStart"/>
            <w:r w:rsidRPr="00B54968">
              <w:rPr>
                <w:rFonts w:ascii="Times New Roman" w:hAnsi="Times New Roman" w:cs="Times New Roman"/>
                <w:sz w:val="18"/>
                <w:lang w:eastAsia="ko-KR"/>
              </w:rPr>
              <w:t>dL</w:t>
            </w:r>
            <w:proofErr w:type="spellEnd"/>
            <w:r w:rsidRPr="00B54968">
              <w:rPr>
                <w:rFonts w:ascii="Times New Roman" w:hAnsi="Times New Roman" w:cs="Times New Roman"/>
                <w:sz w:val="18"/>
                <w:lang w:eastAsia="ko-KR"/>
              </w:rPr>
              <w:t>), % 1g/</w:t>
            </w:r>
            <w:proofErr w:type="spellStart"/>
            <w:r w:rsidRPr="00B54968">
              <w:rPr>
                <w:rFonts w:ascii="Times New Roman" w:hAnsi="Times New Roman" w:cs="Times New Roman"/>
                <w:sz w:val="18"/>
                <w:lang w:eastAsia="ko-KR"/>
              </w:rPr>
              <w:t>dL</w:t>
            </w:r>
            <w:proofErr w:type="spellEnd"/>
            <w:r w:rsidRPr="00B54968">
              <w:rPr>
                <w:rFonts w:ascii="Times New Roman" w:hAnsi="Times New Roman" w:cs="Times New Roman"/>
                <w:sz w:val="18"/>
                <w:lang w:eastAsia="ko-KR"/>
              </w:rPr>
              <w:t xml:space="preserve"> </w:t>
            </w:r>
            <w:proofErr w:type="spellStart"/>
            <w:r w:rsidRPr="00B54968">
              <w:rPr>
                <w:rFonts w:ascii="Times New Roman" w:hAnsi="Times New Roman" w:cs="Times New Roman"/>
                <w:sz w:val="18"/>
                <w:lang w:eastAsia="ko-KR"/>
              </w:rPr>
              <w:t>Hb</w:t>
            </w:r>
            <w:proofErr w:type="spellEnd"/>
            <w:r w:rsidRPr="00B54968">
              <w:rPr>
                <w:rFonts w:ascii="Times New Roman" w:hAnsi="Times New Roman" w:cs="Times New Roman"/>
                <w:sz w:val="18"/>
                <w:lang w:eastAsia="ko-KR"/>
              </w:rPr>
              <w:t xml:space="preserve"> increase</w:t>
            </w:r>
          </w:p>
        </w:tc>
      </w:tr>
      <w:tr w:rsidR="00C82C11" w:rsidRPr="00B54968" w14:paraId="2E4A9524" w14:textId="77777777" w:rsidTr="001A691C">
        <w:trPr>
          <w:trHeight w:val="313"/>
        </w:trPr>
        <w:tc>
          <w:tcPr>
            <w:tcW w:w="2262" w:type="dxa"/>
            <w:vAlign w:val="center"/>
          </w:tcPr>
          <w:p w14:paraId="5052D660" w14:textId="77777777" w:rsidR="00C82C11" w:rsidRPr="00B54968" w:rsidRDefault="00C82C11" w:rsidP="003E2009">
            <w:pPr>
              <w:rPr>
                <w:rFonts w:ascii="Times New Roman" w:hAnsi="Times New Roman" w:cs="Times New Roman"/>
                <w:sz w:val="18"/>
                <w:lang w:eastAsia="ko-KR"/>
              </w:rPr>
            </w:pPr>
          </w:p>
        </w:tc>
        <w:tc>
          <w:tcPr>
            <w:tcW w:w="2099" w:type="dxa"/>
            <w:vAlign w:val="center"/>
          </w:tcPr>
          <w:p w14:paraId="14F6FF23"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Placebo + MTX</w:t>
            </w:r>
          </w:p>
        </w:tc>
        <w:tc>
          <w:tcPr>
            <w:tcW w:w="2344" w:type="dxa"/>
            <w:vAlign w:val="center"/>
          </w:tcPr>
          <w:p w14:paraId="62A6A885"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Infliximab 3 mg/kg + MTX</w:t>
            </w:r>
          </w:p>
        </w:tc>
        <w:tc>
          <w:tcPr>
            <w:tcW w:w="2344" w:type="dxa"/>
            <w:vAlign w:val="center"/>
          </w:tcPr>
          <w:p w14:paraId="2E9BE91C"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Infliximab 6 mg/kg + MTX</w:t>
            </w:r>
          </w:p>
        </w:tc>
      </w:tr>
      <w:tr w:rsidR="00C82C11" w:rsidRPr="00B54968" w14:paraId="5F37397A" w14:textId="77777777" w:rsidTr="001A691C">
        <w:trPr>
          <w:trHeight w:val="334"/>
        </w:trPr>
        <w:tc>
          <w:tcPr>
            <w:tcW w:w="2262" w:type="dxa"/>
            <w:vAlign w:val="center"/>
          </w:tcPr>
          <w:p w14:paraId="7E4841DE"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ACR 20 responders</w:t>
            </w:r>
          </w:p>
        </w:tc>
        <w:tc>
          <w:tcPr>
            <w:tcW w:w="2099" w:type="dxa"/>
            <w:vAlign w:val="center"/>
          </w:tcPr>
          <w:p w14:paraId="3513DFE7"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21/58 (36.2%)</w:t>
            </w:r>
          </w:p>
        </w:tc>
        <w:tc>
          <w:tcPr>
            <w:tcW w:w="2344" w:type="dxa"/>
            <w:vAlign w:val="center"/>
          </w:tcPr>
          <w:p w14:paraId="56817D4E"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38/69 (55.1%)</w:t>
            </w:r>
          </w:p>
        </w:tc>
        <w:tc>
          <w:tcPr>
            <w:tcW w:w="2344" w:type="dxa"/>
            <w:vAlign w:val="center"/>
          </w:tcPr>
          <w:p w14:paraId="40B0F1C0"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35/70 (50.0%)</w:t>
            </w:r>
          </w:p>
        </w:tc>
      </w:tr>
      <w:tr w:rsidR="00C82C11" w:rsidRPr="00B54968" w14:paraId="528614B4" w14:textId="77777777" w:rsidTr="001A691C">
        <w:trPr>
          <w:trHeight w:val="334"/>
        </w:trPr>
        <w:tc>
          <w:tcPr>
            <w:tcW w:w="2262" w:type="dxa"/>
            <w:vAlign w:val="center"/>
          </w:tcPr>
          <w:p w14:paraId="64A4D848"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ACR 20 non-responders</w:t>
            </w:r>
          </w:p>
        </w:tc>
        <w:tc>
          <w:tcPr>
            <w:tcW w:w="2099" w:type="dxa"/>
            <w:vAlign w:val="center"/>
          </w:tcPr>
          <w:p w14:paraId="230A2FA1"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5/23 (21.7%)</w:t>
            </w:r>
          </w:p>
        </w:tc>
        <w:tc>
          <w:tcPr>
            <w:tcW w:w="2344" w:type="dxa"/>
            <w:vAlign w:val="center"/>
          </w:tcPr>
          <w:p w14:paraId="58D1F56D"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8/24 (33.3%)</w:t>
            </w:r>
          </w:p>
        </w:tc>
        <w:tc>
          <w:tcPr>
            <w:tcW w:w="2344" w:type="dxa"/>
            <w:vAlign w:val="center"/>
          </w:tcPr>
          <w:p w14:paraId="09C12A72" w14:textId="77777777" w:rsidR="00C82C11" w:rsidRPr="00B54968" w:rsidRDefault="00C82C11" w:rsidP="003E2009">
            <w:pPr>
              <w:rPr>
                <w:rFonts w:ascii="Times New Roman" w:hAnsi="Times New Roman" w:cs="Times New Roman"/>
                <w:sz w:val="18"/>
                <w:lang w:eastAsia="ko-KR"/>
              </w:rPr>
            </w:pPr>
            <w:r w:rsidRPr="00B54968">
              <w:rPr>
                <w:rFonts w:ascii="Times New Roman" w:hAnsi="Times New Roman" w:cs="Times New Roman"/>
                <w:sz w:val="18"/>
                <w:lang w:eastAsia="ko-KR"/>
              </w:rPr>
              <w:t>10/19 (52.6%)</w:t>
            </w:r>
          </w:p>
        </w:tc>
      </w:tr>
    </w:tbl>
    <w:p w14:paraId="19419D92" w14:textId="77777777" w:rsidR="00A02600" w:rsidRPr="00B54968" w:rsidRDefault="0098014D" w:rsidP="003E2009">
      <w:pPr>
        <w:spacing w:line="240" w:lineRule="auto"/>
        <w:rPr>
          <w:rFonts w:ascii="Times New Roman" w:hAnsi="Times New Roman" w:cs="Times New Roman"/>
        </w:rPr>
      </w:pPr>
      <w:r w:rsidRPr="00B54968">
        <w:rPr>
          <w:rFonts w:ascii="Times New Roman" w:hAnsi="Times New Roman" w:cs="Times New Roman"/>
        </w:rPr>
        <w:t xml:space="preserve">Furthermore, it showed that among ACR20 responders, infliximab 3 mg/kg plus methotrexate improved </w:t>
      </w:r>
      <w:proofErr w:type="spellStart"/>
      <w:r w:rsidRPr="00B54968">
        <w:rPr>
          <w:rFonts w:ascii="Times New Roman" w:hAnsi="Times New Roman" w:cs="Times New Roman"/>
        </w:rPr>
        <w:t>anaemia</w:t>
      </w:r>
      <w:proofErr w:type="spellEnd"/>
      <w:r w:rsidRPr="00B54968">
        <w:rPr>
          <w:rFonts w:ascii="Times New Roman" w:hAnsi="Times New Roman" w:cs="Times New Roman"/>
        </w:rPr>
        <w:t xml:space="preserve"> significantly (p=0.034) better than methotrexate alone. Improvement in </w:t>
      </w:r>
      <w:proofErr w:type="spellStart"/>
      <w:r w:rsidRPr="00B54968">
        <w:rPr>
          <w:rFonts w:ascii="Times New Roman" w:hAnsi="Times New Roman" w:cs="Times New Roman"/>
        </w:rPr>
        <w:t>haemoglobin</w:t>
      </w:r>
      <w:proofErr w:type="spellEnd"/>
      <w:r w:rsidRPr="00B54968">
        <w:rPr>
          <w:rFonts w:ascii="Times New Roman" w:hAnsi="Times New Roman" w:cs="Times New Roman"/>
        </w:rPr>
        <w:t xml:space="preserve"> significantly correlated with improvement in physical function and quality of life at week 22. </w:t>
      </w:r>
    </w:p>
    <w:p w14:paraId="05469C9F" w14:textId="77777777" w:rsidR="00A02600" w:rsidRPr="003E2009" w:rsidRDefault="00517A35" w:rsidP="003E2009">
      <w:pPr>
        <w:autoSpaceDE w:val="0"/>
        <w:autoSpaceDN w:val="0"/>
        <w:adjustRightInd w:val="0"/>
        <w:spacing w:after="0" w:line="240" w:lineRule="auto"/>
        <w:rPr>
          <w:rFonts w:ascii="Times New Roman" w:hAnsi="Times New Roman" w:cs="Times New Roman"/>
        </w:rPr>
      </w:pPr>
      <w:r w:rsidRPr="003E2009">
        <w:rPr>
          <w:rFonts w:ascii="Times New Roman" w:hAnsi="Times New Roman" w:cs="Times New Roman"/>
          <w:b/>
          <w:bCs/>
        </w:rPr>
        <w:t xml:space="preserve">Ankylosing Spondylitis </w:t>
      </w:r>
    </w:p>
    <w:p w14:paraId="00F3242E" w14:textId="77777777" w:rsidR="00A02600" w:rsidRPr="00B54968" w:rsidRDefault="00517A35" w:rsidP="003E200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Efficacy and safety of infliximab were assessed in two </w:t>
      </w:r>
      <w:proofErr w:type="spellStart"/>
      <w:r w:rsidRPr="00B54968">
        <w:rPr>
          <w:rFonts w:ascii="Times New Roman" w:hAnsi="Times New Roman" w:cs="Times New Roman"/>
        </w:rPr>
        <w:t>multicentre</w:t>
      </w:r>
      <w:proofErr w:type="spellEnd"/>
      <w:r w:rsidRPr="00B54968">
        <w:rPr>
          <w:rFonts w:ascii="Times New Roman" w:hAnsi="Times New Roman" w:cs="Times New Roman"/>
        </w:rPr>
        <w:t xml:space="preserve">, double-blind, placebo-controlled studies in patients with active ankylosing spondylitis (Bath Ankylosing Spondylitis Disease Activity Index [BASDAI] score ≥4 and spinal pain ≥4 on a scale of 1-10). Improvement in signs and symptoms was measured using the ASAS 20 response criteria and/or the BASDAI 50. Improvement in physical function was assessed using the Bath Ankylosing Spondylitis Functional Index (BASFI). Improvement in range of axial motion was evaluated using both the Bath Ankylosing Spondylitis Metrology Index (BASMI) and/or clinical measurements of chest expansion. Health-related quality of life was assessed using the SF-36 (physical function, role physical, bodily pain, general health, vitality, social functioning, role emotional, mental health). The BASDAI measures disease activity on the basis of six questions relating to fatigue, spinal pain, peripheral arthritis, </w:t>
      </w:r>
      <w:proofErr w:type="spellStart"/>
      <w:r w:rsidRPr="00B54968">
        <w:rPr>
          <w:rFonts w:ascii="Times New Roman" w:hAnsi="Times New Roman" w:cs="Times New Roman"/>
        </w:rPr>
        <w:t>enthesitis</w:t>
      </w:r>
      <w:proofErr w:type="spellEnd"/>
      <w:r w:rsidRPr="00B54968">
        <w:rPr>
          <w:rFonts w:ascii="Times New Roman" w:hAnsi="Times New Roman" w:cs="Times New Roman"/>
        </w:rPr>
        <w:t xml:space="preserve"> (inflammation at the points where tendons/ligaments/joint capsule enter the bone), and morning stiffness. </w:t>
      </w:r>
    </w:p>
    <w:p w14:paraId="0ABFB6D4" w14:textId="77777777" w:rsidR="00A02600" w:rsidRPr="00B54968" w:rsidRDefault="00A02600" w:rsidP="003E2009">
      <w:pPr>
        <w:autoSpaceDE w:val="0"/>
        <w:autoSpaceDN w:val="0"/>
        <w:adjustRightInd w:val="0"/>
        <w:spacing w:after="0" w:line="240" w:lineRule="auto"/>
        <w:rPr>
          <w:rFonts w:ascii="Times New Roman" w:hAnsi="Times New Roman" w:cs="Times New Roman"/>
        </w:rPr>
      </w:pPr>
    </w:p>
    <w:p w14:paraId="77D5ACBE" w14:textId="77777777" w:rsidR="00A02600" w:rsidRPr="00B54968" w:rsidRDefault="00517A35" w:rsidP="003E200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In the first study (P01522), which had a 3 month double-blind phase, patients received either 5 mg/kg infliximab or placebo at weeks 0, 2, 6 (35 patients in each group). Starting at week 12, placebo patients were switched to infliximab and all patients subsequently received 5 mg/kg infliximab every 6 weeks up to week 54. After the first year of the study, 53 patients continued into an open-label extension to week 102. </w:t>
      </w:r>
    </w:p>
    <w:p w14:paraId="5B50F689" w14:textId="77777777" w:rsidR="00A02600" w:rsidRPr="00B54968" w:rsidRDefault="00A02600" w:rsidP="003E2009">
      <w:pPr>
        <w:autoSpaceDE w:val="0"/>
        <w:autoSpaceDN w:val="0"/>
        <w:adjustRightInd w:val="0"/>
        <w:spacing w:after="0" w:line="240" w:lineRule="auto"/>
        <w:rPr>
          <w:rFonts w:ascii="Times New Roman" w:hAnsi="Times New Roman" w:cs="Times New Roman"/>
        </w:rPr>
      </w:pPr>
    </w:p>
    <w:p w14:paraId="4C0ED197" w14:textId="77777777" w:rsidR="00A02600" w:rsidRPr="00B54968" w:rsidRDefault="00517A35" w:rsidP="003E200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At week 12, treatment with infliximab resulted in improvement in signs and symptoms, as assessed by the BASDAI, with 57% of infliximab treated patients achieving at least 50% reduction from baseline in BASDAI score, (mean baseline score was 6.5 in the infliximab group and 6.3 in the placebo group), compared to 9% of placebo patients (p&lt;0.01). The absolute difference in the BASDAI score compared with placebo at week 12 was 2.4. At 54 and 102 weeks there were 54 and 49 subjects still on infliximab treatment and among those, 34 (63%) and 30 (61%) were BASDAI 50 responders. Improvement was observed as early as week 2, and was maintained through week 102. Physical function range of motion, and quality of life (SF-36) were improved similarly. </w:t>
      </w:r>
    </w:p>
    <w:p w14:paraId="6F8B764E" w14:textId="77777777" w:rsidR="00A02600" w:rsidRPr="00B54968" w:rsidRDefault="00A02600" w:rsidP="003E2009">
      <w:pPr>
        <w:autoSpaceDE w:val="0"/>
        <w:autoSpaceDN w:val="0"/>
        <w:adjustRightInd w:val="0"/>
        <w:spacing w:after="0" w:line="240" w:lineRule="auto"/>
        <w:rPr>
          <w:rFonts w:ascii="Times New Roman" w:hAnsi="Times New Roman" w:cs="Times New Roman"/>
        </w:rPr>
      </w:pPr>
    </w:p>
    <w:p w14:paraId="5446701E" w14:textId="77777777" w:rsidR="00A02600" w:rsidRPr="00B54968" w:rsidRDefault="00517A35" w:rsidP="003E2009">
      <w:pPr>
        <w:spacing w:line="240" w:lineRule="auto"/>
        <w:rPr>
          <w:rFonts w:ascii="Times New Roman" w:hAnsi="Times New Roman" w:cs="Times New Roman"/>
        </w:rPr>
      </w:pPr>
      <w:r w:rsidRPr="00B54968">
        <w:rPr>
          <w:rFonts w:ascii="Times New Roman" w:hAnsi="Times New Roman" w:cs="Times New Roman"/>
        </w:rPr>
        <w:t xml:space="preserve">In the second trial (ASSERT), 279 patients (78 patients in the placebo group and 201 in the infliximab group) were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to receive either placebo (Group 1) or 5 mg/kg infliximab (Group 2) at 0, 2 and 6 weeks and every 6 weeks thereafter through to week 96. At week 24, patients receiving placebo (Group 1) received 5 mg/kg infliximab every 6 weeks through to week 96. Starting with the week-36 infusion and continuing through the week-96 infusion, a patient in Group 2 who had a BASDAI ≥3 at 2 consecutive visits received a 7.5 mg/kg</w:t>
      </w:r>
      <w:r w:rsidR="00432329" w:rsidRPr="00B54968">
        <w:rPr>
          <w:rFonts w:ascii="Times New Roman" w:hAnsi="Times New Roman" w:cs="Times New Roman"/>
        </w:rPr>
        <w:t xml:space="preserve"> </w:t>
      </w:r>
      <w:r w:rsidR="00EB4D29" w:rsidRPr="00B54968">
        <w:rPr>
          <w:rFonts w:ascii="Times New Roman" w:hAnsi="Times New Roman" w:cs="Times New Roman"/>
        </w:rPr>
        <w:t xml:space="preserve">infliximab infusion and continued to receive 7.5 mg/kg infliximab infusions every 6 weeks thereafter through week 96. </w:t>
      </w:r>
    </w:p>
    <w:p w14:paraId="2D480A63" w14:textId="77777777" w:rsidR="00A02600" w:rsidRPr="00B54968" w:rsidRDefault="00EB4D29" w:rsidP="003E2009">
      <w:pPr>
        <w:spacing w:line="240" w:lineRule="auto"/>
        <w:rPr>
          <w:rFonts w:ascii="Times New Roman" w:hAnsi="Times New Roman" w:cs="Times New Roman"/>
        </w:rPr>
      </w:pPr>
      <w:r w:rsidRPr="00B54968">
        <w:rPr>
          <w:rFonts w:ascii="Times New Roman" w:hAnsi="Times New Roman" w:cs="Times New Roman"/>
        </w:rPr>
        <w:t xml:space="preserve">At 24 weeks, the primary efficacy </w:t>
      </w:r>
      <w:proofErr w:type="spellStart"/>
      <w:r w:rsidRPr="00B54968">
        <w:rPr>
          <w:rFonts w:ascii="Times New Roman" w:hAnsi="Times New Roman" w:cs="Times New Roman"/>
        </w:rPr>
        <w:t>timepoint</w:t>
      </w:r>
      <w:proofErr w:type="spellEnd"/>
      <w:r w:rsidRPr="00B54968">
        <w:rPr>
          <w:rFonts w:ascii="Times New Roman" w:hAnsi="Times New Roman" w:cs="Times New Roman"/>
        </w:rPr>
        <w:t xml:space="preserve">, improvement in signs and symptoms, as measured by the proportion of patients achieving an ASAS 20 response, was 61% in the infliximab-treated group vs. 19% in the placebo group (p&lt;0.001). The improvement was observed as early as week 2. Significant improvement in signs and symptoms was also assessed by the BASDAI, with 51% of infliximab-treated subjects achieving at least 50% reduction from baseline in BASDAI score (mean baseline score was 6.5 in the infliximab group and 6.2 in the placebo group), compared with 10.7% of </w:t>
      </w:r>
      <w:r w:rsidRPr="00B54968">
        <w:rPr>
          <w:rFonts w:ascii="Times New Roman" w:hAnsi="Times New Roman" w:cs="Times New Roman"/>
        </w:rPr>
        <w:lastRenderedPageBreak/>
        <w:t>placebo patients (p&lt;0.001). The median improvement from baseline in range of axial motion, as assessed by the BASMI was 1.0 for the infliximab-treated group vs. 0.0 for the placebo group (p=0.019). The median percent improvement from baseline in chest expansion was 17% for the infliximab-treated group and 0% for the placebo group (p=0.037). Physical function and quality of life as measured by the BASFI and the SF-36 were also improved significantly at week 24.</w:t>
      </w:r>
    </w:p>
    <w:p w14:paraId="3FC3497D" w14:textId="77777777" w:rsidR="00A02600" w:rsidRPr="00B54968" w:rsidRDefault="00EB4D2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All improvements were maintained through week 102 and patients who crossed over to infliximab from placebo at week 24 showed improvement in all scores that were similar to the infliximab-treated group at week 102. </w:t>
      </w:r>
    </w:p>
    <w:p w14:paraId="41E70BDD" w14:textId="77777777" w:rsidR="00A02600" w:rsidRPr="00B54968" w:rsidRDefault="00A02600" w:rsidP="003E2009">
      <w:pPr>
        <w:pStyle w:val="Default"/>
        <w:rPr>
          <w:rFonts w:ascii="Times New Roman" w:hAnsi="Times New Roman" w:cs="Times New Roman"/>
          <w:color w:val="auto"/>
          <w:sz w:val="22"/>
          <w:szCs w:val="22"/>
        </w:rPr>
      </w:pPr>
    </w:p>
    <w:p w14:paraId="57BEF3C0" w14:textId="77777777" w:rsidR="00A02600" w:rsidRPr="00B54968" w:rsidRDefault="00EB4D29" w:rsidP="003E2009">
      <w:pPr>
        <w:spacing w:line="240" w:lineRule="auto"/>
        <w:rPr>
          <w:rFonts w:ascii="Times New Roman" w:hAnsi="Times New Roman" w:cs="Times New Roman"/>
        </w:rPr>
      </w:pPr>
      <w:r w:rsidRPr="00B54968">
        <w:rPr>
          <w:rFonts w:ascii="Times New Roman" w:hAnsi="Times New Roman" w:cs="Times New Roman"/>
        </w:rPr>
        <w:t>There is no evidence available to suggest that infliximab therapy is able to retard the progression of joint damage or deformity caused by ankylosing spondylitis.</w:t>
      </w:r>
    </w:p>
    <w:p w14:paraId="5399FE1E" w14:textId="77777777" w:rsidR="00A02600" w:rsidRPr="003E2009" w:rsidRDefault="00EB4D29" w:rsidP="003E2009">
      <w:pPr>
        <w:autoSpaceDE w:val="0"/>
        <w:autoSpaceDN w:val="0"/>
        <w:adjustRightInd w:val="0"/>
        <w:spacing w:after="0" w:line="240" w:lineRule="auto"/>
        <w:rPr>
          <w:rFonts w:ascii="Times New Roman" w:hAnsi="Times New Roman" w:cs="Times New Roman"/>
        </w:rPr>
      </w:pPr>
      <w:r w:rsidRPr="003E2009">
        <w:rPr>
          <w:rFonts w:ascii="Times New Roman" w:hAnsi="Times New Roman" w:cs="Times New Roman"/>
          <w:b/>
          <w:bCs/>
        </w:rPr>
        <w:t xml:space="preserve">Psoriatic arthritis </w:t>
      </w:r>
    </w:p>
    <w:p w14:paraId="55B697EB" w14:textId="77777777" w:rsidR="00A02600" w:rsidRPr="00B54968" w:rsidRDefault="00EB4D29" w:rsidP="003E200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Efficacy and safety were assessed in two </w:t>
      </w:r>
      <w:proofErr w:type="spellStart"/>
      <w:r w:rsidRPr="00B54968">
        <w:rPr>
          <w:rFonts w:ascii="Times New Roman" w:hAnsi="Times New Roman" w:cs="Times New Roman"/>
        </w:rPr>
        <w:t>multicentre</w:t>
      </w:r>
      <w:proofErr w:type="spellEnd"/>
      <w:r w:rsidRPr="00B54968">
        <w:rPr>
          <w:rFonts w:ascii="Times New Roman" w:hAnsi="Times New Roman" w:cs="Times New Roman"/>
        </w:rPr>
        <w:t xml:space="preserve">, double-blind, placebo-controlled studies in patients with active psoriatic arthritis. </w:t>
      </w:r>
    </w:p>
    <w:p w14:paraId="58EEF619" w14:textId="77777777" w:rsidR="00A02600" w:rsidRPr="00B54968" w:rsidRDefault="00A02600" w:rsidP="003E2009">
      <w:pPr>
        <w:autoSpaceDE w:val="0"/>
        <w:autoSpaceDN w:val="0"/>
        <w:adjustRightInd w:val="0"/>
        <w:spacing w:after="0" w:line="240" w:lineRule="auto"/>
        <w:rPr>
          <w:rFonts w:ascii="Times New Roman" w:hAnsi="Times New Roman" w:cs="Times New Roman"/>
        </w:rPr>
      </w:pPr>
    </w:p>
    <w:p w14:paraId="62641437" w14:textId="77777777" w:rsidR="00A02600" w:rsidRPr="00B54968" w:rsidRDefault="00EB4D29" w:rsidP="003E200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In the first study (IMPACT), efficacy and safety of infliximab were studied in 104 patients with active </w:t>
      </w:r>
      <w:proofErr w:type="spellStart"/>
      <w:r w:rsidRPr="00B54968">
        <w:rPr>
          <w:rFonts w:ascii="Times New Roman" w:hAnsi="Times New Roman" w:cs="Times New Roman"/>
        </w:rPr>
        <w:t>polyarticular</w:t>
      </w:r>
      <w:proofErr w:type="spellEnd"/>
      <w:r w:rsidRPr="00B54968">
        <w:rPr>
          <w:rFonts w:ascii="Times New Roman" w:hAnsi="Times New Roman" w:cs="Times New Roman"/>
        </w:rPr>
        <w:t xml:space="preserve"> psoriatic arthritis. In total 74 subjects were on at least one concomitant DMARD, and among those 58 patients were treated with methotrexate. During the 16-week double-blind phase, patients received either 5 mg/kg infliximab or placebo at weeks 0, 2, 6, and 14 (52 patients in each group). Starting at week 16, placebo patients were switched to infliximab and all patients subsequently received 5 mg/kg infliximab every 8 weeks up to week 46. After the first year of the study, 78 patients continued into an open-label extension to week 98. </w:t>
      </w:r>
    </w:p>
    <w:p w14:paraId="34687AD7" w14:textId="77777777" w:rsidR="00A02600" w:rsidRPr="00B54968" w:rsidRDefault="00A02600" w:rsidP="003E2009">
      <w:pPr>
        <w:autoSpaceDE w:val="0"/>
        <w:autoSpaceDN w:val="0"/>
        <w:adjustRightInd w:val="0"/>
        <w:spacing w:after="0" w:line="240" w:lineRule="auto"/>
        <w:rPr>
          <w:rFonts w:ascii="Times New Roman" w:hAnsi="Times New Roman" w:cs="Times New Roman"/>
        </w:rPr>
      </w:pPr>
    </w:p>
    <w:p w14:paraId="273D636C" w14:textId="77777777" w:rsidR="00A02600" w:rsidRPr="00B54968" w:rsidRDefault="00EB4D29" w:rsidP="003E200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In the second trial (IMPACT 2), efficacy and safety of infliximab were studied in 200 patients with active psoriatic arthritis (≥5 swollen joints and ≥5 tender joints) with one or more of the following subtypes: arthritis involving DIP joints, arthritis </w:t>
      </w:r>
      <w:proofErr w:type="spellStart"/>
      <w:r w:rsidRPr="00B54968">
        <w:rPr>
          <w:rFonts w:ascii="Times New Roman" w:hAnsi="Times New Roman" w:cs="Times New Roman"/>
        </w:rPr>
        <w:t>mutilans</w:t>
      </w:r>
      <w:proofErr w:type="spellEnd"/>
      <w:r w:rsidRPr="00B54968">
        <w:rPr>
          <w:rFonts w:ascii="Times New Roman" w:hAnsi="Times New Roman" w:cs="Times New Roman"/>
        </w:rPr>
        <w:t xml:space="preserve">, asymmetric peripheral arthritis, </w:t>
      </w:r>
      <w:proofErr w:type="spellStart"/>
      <w:r w:rsidRPr="00B54968">
        <w:rPr>
          <w:rFonts w:ascii="Times New Roman" w:hAnsi="Times New Roman" w:cs="Times New Roman"/>
        </w:rPr>
        <w:t>polyarticular</w:t>
      </w:r>
      <w:proofErr w:type="spellEnd"/>
      <w:r w:rsidRPr="00B54968">
        <w:rPr>
          <w:rFonts w:ascii="Times New Roman" w:hAnsi="Times New Roman" w:cs="Times New Roman"/>
        </w:rPr>
        <w:t xml:space="preserve"> arthritis, and spondylitis with peripheral arthritis. Patients also had plaque psoriasis with a qualifying target lesion ≥2 cm in diameter. Forty-six percent of patients continued on stable doses of methotrexate (≤25 mg/week). Patients had previously been treated with NSAIDs (81.5%), DMARDs (79.5%) and corticosteroids (29.0%). During the 24-week double-blind phase, patients received either 5 mg/kg infliximab or placebo at weeks 0, 2, 6, 14, and 22 (100 patients in each group). At week 16, placebo patients with &lt;10% improvement from baseline in both swollen and tender joint counts were switched to infliximab induction (early escape). At week 24, all placebo-treated patients crossed over to infliximab induction. Dosing continued for all patients through week 46. </w:t>
      </w:r>
    </w:p>
    <w:p w14:paraId="791BED7D" w14:textId="77777777" w:rsidR="00A02600" w:rsidRPr="00B54968" w:rsidRDefault="00A02600" w:rsidP="003E2009">
      <w:pPr>
        <w:autoSpaceDE w:val="0"/>
        <w:autoSpaceDN w:val="0"/>
        <w:adjustRightInd w:val="0"/>
        <w:spacing w:after="0" w:line="240" w:lineRule="auto"/>
        <w:rPr>
          <w:rFonts w:ascii="Times New Roman" w:hAnsi="Times New Roman" w:cs="Times New Roman"/>
        </w:rPr>
      </w:pPr>
    </w:p>
    <w:p w14:paraId="3F72CAA6" w14:textId="6A07AFB0" w:rsidR="00A02600" w:rsidRPr="00B54968" w:rsidRDefault="00EB4D29" w:rsidP="003E2009">
      <w:pPr>
        <w:rPr>
          <w:rFonts w:ascii="Times New Roman" w:hAnsi="Times New Roman" w:cs="Times New Roman"/>
        </w:rPr>
      </w:pPr>
      <w:r w:rsidRPr="00B54968">
        <w:rPr>
          <w:rFonts w:ascii="Times New Roman" w:hAnsi="Times New Roman" w:cs="Times New Roman"/>
        </w:rPr>
        <w:t xml:space="preserve">Key efficacy results for IMPACT and IMPACT 2 are shown in Table </w:t>
      </w:r>
      <w:r w:rsidR="00B25992" w:rsidRPr="00B54968">
        <w:rPr>
          <w:rFonts w:ascii="Times New Roman" w:hAnsi="Times New Roman" w:cs="Times New Roman"/>
        </w:rPr>
        <w:t xml:space="preserve">8 </w:t>
      </w:r>
      <w:r w:rsidRPr="00B54968">
        <w:rPr>
          <w:rFonts w:ascii="Times New Roman" w:hAnsi="Times New Roman" w:cs="Times New Roman"/>
        </w:rPr>
        <w:t>below:</w:t>
      </w:r>
    </w:p>
    <w:p w14:paraId="31D50E0F" w14:textId="77777777" w:rsidR="00A02600" w:rsidRPr="00B54968" w:rsidRDefault="006A29C0" w:rsidP="003E2009">
      <w:pPr>
        <w:rPr>
          <w:rFonts w:ascii="Times New Roman" w:hAnsi="Times New Roman" w:cs="Times New Roman"/>
          <w:b/>
          <w:bCs/>
          <w:sz w:val="20"/>
          <w:szCs w:val="20"/>
        </w:rPr>
      </w:pPr>
      <w:r w:rsidRPr="00B54968">
        <w:rPr>
          <w:rFonts w:ascii="Times New Roman" w:hAnsi="Times New Roman" w:cs="Times New Roman"/>
          <w:b/>
          <w:bCs/>
          <w:sz w:val="20"/>
          <w:szCs w:val="20"/>
        </w:rPr>
        <w:br w:type="page"/>
      </w:r>
    </w:p>
    <w:p w14:paraId="5589216D" w14:textId="43EBEA4C" w:rsidR="00A02600" w:rsidRPr="00B54968" w:rsidRDefault="00B42860" w:rsidP="003E2009">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lastRenderedPageBreak/>
        <w:t xml:space="preserve">Table </w:t>
      </w:r>
      <w:r w:rsidR="00B25992" w:rsidRPr="00B54968">
        <w:rPr>
          <w:rFonts w:ascii="Times New Roman" w:hAnsi="Times New Roman" w:cs="Times New Roman"/>
          <w:b/>
          <w:bCs/>
          <w:sz w:val="22"/>
          <w:szCs w:val="20"/>
        </w:rPr>
        <w:t>8</w:t>
      </w:r>
      <w:r w:rsid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Effects on ACR, PASI and Physical Function in IMPACT and IMPACT 2</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899"/>
        <w:gridCol w:w="1042"/>
        <w:gridCol w:w="1041"/>
        <w:gridCol w:w="1042"/>
        <w:gridCol w:w="1041"/>
        <w:gridCol w:w="1042"/>
        <w:gridCol w:w="1042"/>
      </w:tblGrid>
      <w:tr w:rsidR="00F02007" w:rsidRPr="00B54968" w14:paraId="5B5F0CD9" w14:textId="77777777" w:rsidTr="00F93704">
        <w:trPr>
          <w:trHeight w:val="296"/>
        </w:trPr>
        <w:tc>
          <w:tcPr>
            <w:tcW w:w="2093" w:type="dxa"/>
            <w:tcBorders>
              <w:top w:val="single" w:sz="8" w:space="0" w:color="auto"/>
            </w:tcBorders>
          </w:tcPr>
          <w:p w14:paraId="08D4337C" w14:textId="77777777" w:rsidR="00F02007" w:rsidRPr="00B54968" w:rsidRDefault="00F02007" w:rsidP="003E2009">
            <w:pPr>
              <w:jc w:val="left"/>
              <w:rPr>
                <w:rFonts w:ascii="Times New Roman" w:hAnsi="Times New Roman" w:cs="Times New Roman"/>
                <w:sz w:val="16"/>
                <w:szCs w:val="18"/>
              </w:rPr>
            </w:pPr>
          </w:p>
        </w:tc>
        <w:tc>
          <w:tcPr>
            <w:tcW w:w="4024" w:type="dxa"/>
            <w:gridSpan w:val="4"/>
            <w:tcBorders>
              <w:top w:val="single" w:sz="8" w:space="0" w:color="auto"/>
            </w:tcBorders>
            <w:vAlign w:val="center"/>
          </w:tcPr>
          <w:p w14:paraId="4FC7CA34" w14:textId="77777777" w:rsidR="00F02007" w:rsidRPr="00B54968" w:rsidRDefault="00F02007" w:rsidP="003E200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IMPACT</w:t>
            </w:r>
          </w:p>
        </w:tc>
        <w:tc>
          <w:tcPr>
            <w:tcW w:w="3125" w:type="dxa"/>
            <w:gridSpan w:val="3"/>
            <w:tcBorders>
              <w:top w:val="single" w:sz="8" w:space="0" w:color="auto"/>
            </w:tcBorders>
            <w:vAlign w:val="center"/>
          </w:tcPr>
          <w:p w14:paraId="3EA50289" w14:textId="77777777" w:rsidR="00F02007" w:rsidRPr="00B54968" w:rsidRDefault="00F02007" w:rsidP="003E200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IMPACT 2</w:t>
            </w:r>
          </w:p>
        </w:tc>
      </w:tr>
      <w:tr w:rsidR="00F02007" w:rsidRPr="00B54968" w14:paraId="09181054" w14:textId="77777777" w:rsidTr="00F93704">
        <w:trPr>
          <w:trHeight w:val="420"/>
        </w:trPr>
        <w:tc>
          <w:tcPr>
            <w:tcW w:w="2093" w:type="dxa"/>
          </w:tcPr>
          <w:p w14:paraId="687CBAD2" w14:textId="77777777" w:rsidR="00F02007" w:rsidRPr="00B54968" w:rsidRDefault="00F02007" w:rsidP="003E2009">
            <w:pPr>
              <w:jc w:val="left"/>
              <w:rPr>
                <w:rFonts w:ascii="Times New Roman" w:hAnsi="Times New Roman" w:cs="Times New Roman"/>
                <w:sz w:val="16"/>
                <w:szCs w:val="18"/>
              </w:rPr>
            </w:pPr>
          </w:p>
        </w:tc>
        <w:tc>
          <w:tcPr>
            <w:tcW w:w="899" w:type="dxa"/>
            <w:vAlign w:val="center"/>
          </w:tcPr>
          <w:p w14:paraId="1417E9E7" w14:textId="77777777" w:rsidR="00F02007" w:rsidRPr="00B54968" w:rsidRDefault="00F02007" w:rsidP="003E200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Placebo</w:t>
            </w:r>
          </w:p>
          <w:p w14:paraId="7474EDB3"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u w:val="single"/>
              </w:rPr>
              <w:t>(Week 16)</w:t>
            </w:r>
          </w:p>
        </w:tc>
        <w:tc>
          <w:tcPr>
            <w:tcW w:w="1042" w:type="dxa"/>
            <w:vAlign w:val="center"/>
          </w:tcPr>
          <w:p w14:paraId="44CFE15D" w14:textId="77777777" w:rsidR="00F02007" w:rsidRPr="00B54968" w:rsidRDefault="00F02007" w:rsidP="003E200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 (Week 16)</w:t>
            </w:r>
          </w:p>
        </w:tc>
        <w:tc>
          <w:tcPr>
            <w:tcW w:w="1041" w:type="dxa"/>
            <w:vAlign w:val="center"/>
          </w:tcPr>
          <w:p w14:paraId="76059801" w14:textId="77777777" w:rsidR="00F02007" w:rsidRPr="00B54968" w:rsidRDefault="00F02007" w:rsidP="003E200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w:t>
            </w:r>
          </w:p>
          <w:p w14:paraId="4FA55BCB" w14:textId="77777777" w:rsidR="00F02007" w:rsidRPr="00B54968" w:rsidRDefault="00F02007" w:rsidP="003E200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(Week 50)</w:t>
            </w:r>
          </w:p>
        </w:tc>
        <w:tc>
          <w:tcPr>
            <w:tcW w:w="1042" w:type="dxa"/>
            <w:vAlign w:val="center"/>
          </w:tcPr>
          <w:p w14:paraId="15BF5749" w14:textId="77777777" w:rsidR="00F02007" w:rsidRPr="00B54968" w:rsidRDefault="00F02007" w:rsidP="003E200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 (Week 98)</w:t>
            </w:r>
          </w:p>
        </w:tc>
        <w:tc>
          <w:tcPr>
            <w:tcW w:w="1041" w:type="dxa"/>
            <w:vAlign w:val="center"/>
          </w:tcPr>
          <w:p w14:paraId="68844B82" w14:textId="77777777" w:rsidR="00F02007" w:rsidRPr="00B54968" w:rsidRDefault="00F02007" w:rsidP="003E200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Placebo</w:t>
            </w:r>
          </w:p>
          <w:p w14:paraId="365198B6" w14:textId="77777777" w:rsidR="00F02007" w:rsidRPr="00B54968" w:rsidRDefault="00F02007" w:rsidP="003E200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(Week 24)</w:t>
            </w:r>
          </w:p>
        </w:tc>
        <w:tc>
          <w:tcPr>
            <w:tcW w:w="1042" w:type="dxa"/>
            <w:vAlign w:val="center"/>
          </w:tcPr>
          <w:p w14:paraId="735C59D4" w14:textId="77777777" w:rsidR="00F02007" w:rsidRPr="00B54968" w:rsidRDefault="00F02007" w:rsidP="003E200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 (Week 24)</w:t>
            </w:r>
          </w:p>
        </w:tc>
        <w:tc>
          <w:tcPr>
            <w:tcW w:w="1042" w:type="dxa"/>
            <w:vAlign w:val="center"/>
          </w:tcPr>
          <w:p w14:paraId="38EF0072" w14:textId="77777777" w:rsidR="00F02007" w:rsidRPr="00B54968" w:rsidRDefault="00F02007" w:rsidP="003E200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w:t>
            </w:r>
          </w:p>
          <w:p w14:paraId="43F0D494" w14:textId="77777777" w:rsidR="00F02007" w:rsidRPr="00B54968" w:rsidRDefault="00F02007" w:rsidP="003E200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(Week 54)</w:t>
            </w:r>
          </w:p>
        </w:tc>
      </w:tr>
      <w:tr w:rsidR="00F02007" w:rsidRPr="00B54968" w14:paraId="7EBF9413" w14:textId="77777777" w:rsidTr="00F93704">
        <w:trPr>
          <w:trHeight w:val="424"/>
        </w:trPr>
        <w:tc>
          <w:tcPr>
            <w:tcW w:w="2093" w:type="dxa"/>
            <w:vAlign w:val="center"/>
          </w:tcPr>
          <w:p w14:paraId="7B3722D4"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Patients randomized</w:t>
            </w:r>
          </w:p>
        </w:tc>
        <w:tc>
          <w:tcPr>
            <w:tcW w:w="899" w:type="dxa"/>
            <w:vAlign w:val="center"/>
          </w:tcPr>
          <w:p w14:paraId="0D4027B0"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2" w:type="dxa"/>
            <w:vAlign w:val="center"/>
          </w:tcPr>
          <w:p w14:paraId="713F4A66"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1" w:type="dxa"/>
            <w:vAlign w:val="center"/>
          </w:tcPr>
          <w:p w14:paraId="2416257D"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52</w:t>
            </w:r>
          </w:p>
        </w:tc>
        <w:tc>
          <w:tcPr>
            <w:tcW w:w="1042" w:type="dxa"/>
            <w:vAlign w:val="center"/>
          </w:tcPr>
          <w:p w14:paraId="00A8FEC3"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vertAlign w:val="superscript"/>
              </w:rPr>
            </w:pPr>
            <w:r w:rsidRPr="00B54968">
              <w:rPr>
                <w:rFonts w:ascii="Times New Roman" w:hAnsi="Times New Roman" w:cs="Times New Roman"/>
                <w:color w:val="000000"/>
                <w:spacing w:val="-2"/>
                <w:sz w:val="16"/>
                <w:szCs w:val="18"/>
              </w:rPr>
              <w:t>N/A</w:t>
            </w:r>
            <w:r w:rsidRPr="00B54968">
              <w:rPr>
                <w:rFonts w:ascii="Times New Roman" w:hAnsi="Times New Roman" w:cs="Times New Roman"/>
                <w:color w:val="000000"/>
                <w:spacing w:val="-2"/>
                <w:sz w:val="16"/>
                <w:szCs w:val="18"/>
                <w:vertAlign w:val="superscript"/>
              </w:rPr>
              <w:t>a</w:t>
            </w:r>
          </w:p>
        </w:tc>
        <w:tc>
          <w:tcPr>
            <w:tcW w:w="1041" w:type="dxa"/>
            <w:vAlign w:val="center"/>
          </w:tcPr>
          <w:p w14:paraId="6E4223DA"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vAlign w:val="center"/>
          </w:tcPr>
          <w:p w14:paraId="7A66580E"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vAlign w:val="center"/>
          </w:tcPr>
          <w:p w14:paraId="434D1230"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r>
      <w:tr w:rsidR="00F02007" w:rsidRPr="00B54968" w14:paraId="58FBF295" w14:textId="77777777" w:rsidTr="00F02007">
        <w:trPr>
          <w:trHeight w:val="573"/>
        </w:trPr>
        <w:tc>
          <w:tcPr>
            <w:tcW w:w="2093" w:type="dxa"/>
            <w:vAlign w:val="center"/>
          </w:tcPr>
          <w:p w14:paraId="16A09889"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 xml:space="preserve">ACR response </w:t>
            </w:r>
            <w:r w:rsidR="00F93704" w:rsidRPr="00B54968">
              <w:rPr>
                <w:rFonts w:ascii="Times New Roman" w:hAnsi="Times New Roman" w:cs="Times New Roman"/>
                <w:sz w:val="16"/>
                <w:szCs w:val="18"/>
              </w:rPr>
              <w:t xml:space="preserve"> </w:t>
            </w:r>
            <w:r w:rsidRPr="00B54968">
              <w:rPr>
                <w:rFonts w:ascii="Times New Roman" w:hAnsi="Times New Roman" w:cs="Times New Roman"/>
                <w:sz w:val="16"/>
                <w:szCs w:val="18"/>
              </w:rPr>
              <w:t>(% of patients)</w:t>
            </w:r>
          </w:p>
        </w:tc>
        <w:tc>
          <w:tcPr>
            <w:tcW w:w="899" w:type="dxa"/>
          </w:tcPr>
          <w:p w14:paraId="2A088E85" w14:textId="77777777" w:rsidR="00F02007" w:rsidRPr="00B54968" w:rsidRDefault="00F02007" w:rsidP="003E2009">
            <w:pPr>
              <w:jc w:val="left"/>
              <w:rPr>
                <w:rFonts w:ascii="Times New Roman" w:hAnsi="Times New Roman" w:cs="Times New Roman"/>
                <w:sz w:val="16"/>
                <w:szCs w:val="18"/>
              </w:rPr>
            </w:pPr>
          </w:p>
        </w:tc>
        <w:tc>
          <w:tcPr>
            <w:tcW w:w="1042" w:type="dxa"/>
          </w:tcPr>
          <w:p w14:paraId="25505A7C" w14:textId="77777777" w:rsidR="00F02007" w:rsidRPr="00B54968" w:rsidRDefault="00F02007" w:rsidP="003E2009">
            <w:pPr>
              <w:jc w:val="left"/>
              <w:rPr>
                <w:rFonts w:ascii="Times New Roman" w:hAnsi="Times New Roman" w:cs="Times New Roman"/>
                <w:sz w:val="16"/>
                <w:szCs w:val="18"/>
              </w:rPr>
            </w:pPr>
          </w:p>
        </w:tc>
        <w:tc>
          <w:tcPr>
            <w:tcW w:w="1041" w:type="dxa"/>
          </w:tcPr>
          <w:p w14:paraId="16AC1C8B" w14:textId="77777777" w:rsidR="00F02007" w:rsidRPr="00B54968" w:rsidRDefault="00F02007" w:rsidP="003E2009">
            <w:pPr>
              <w:jc w:val="left"/>
              <w:rPr>
                <w:rFonts w:ascii="Times New Roman" w:hAnsi="Times New Roman" w:cs="Times New Roman"/>
                <w:sz w:val="16"/>
                <w:szCs w:val="18"/>
              </w:rPr>
            </w:pPr>
          </w:p>
        </w:tc>
        <w:tc>
          <w:tcPr>
            <w:tcW w:w="1042" w:type="dxa"/>
          </w:tcPr>
          <w:p w14:paraId="63CFBDA3" w14:textId="77777777" w:rsidR="00F02007" w:rsidRPr="00B54968" w:rsidRDefault="00F02007" w:rsidP="003E2009">
            <w:pPr>
              <w:jc w:val="left"/>
              <w:rPr>
                <w:rFonts w:ascii="Times New Roman" w:hAnsi="Times New Roman" w:cs="Times New Roman"/>
                <w:sz w:val="16"/>
                <w:szCs w:val="18"/>
              </w:rPr>
            </w:pPr>
          </w:p>
        </w:tc>
        <w:tc>
          <w:tcPr>
            <w:tcW w:w="1041" w:type="dxa"/>
          </w:tcPr>
          <w:p w14:paraId="33AAF872" w14:textId="77777777" w:rsidR="00F02007" w:rsidRPr="00B54968" w:rsidRDefault="00F02007" w:rsidP="003E2009">
            <w:pPr>
              <w:jc w:val="left"/>
              <w:rPr>
                <w:rFonts w:ascii="Times New Roman" w:hAnsi="Times New Roman" w:cs="Times New Roman"/>
                <w:sz w:val="16"/>
                <w:szCs w:val="18"/>
              </w:rPr>
            </w:pPr>
          </w:p>
        </w:tc>
        <w:tc>
          <w:tcPr>
            <w:tcW w:w="1042" w:type="dxa"/>
          </w:tcPr>
          <w:p w14:paraId="410A0C46" w14:textId="77777777" w:rsidR="00F02007" w:rsidRPr="00B54968" w:rsidRDefault="00F02007" w:rsidP="003E2009">
            <w:pPr>
              <w:jc w:val="left"/>
              <w:rPr>
                <w:rFonts w:ascii="Times New Roman" w:hAnsi="Times New Roman" w:cs="Times New Roman"/>
                <w:sz w:val="16"/>
                <w:szCs w:val="18"/>
              </w:rPr>
            </w:pPr>
          </w:p>
        </w:tc>
        <w:tc>
          <w:tcPr>
            <w:tcW w:w="1042" w:type="dxa"/>
          </w:tcPr>
          <w:p w14:paraId="3985B19F" w14:textId="77777777" w:rsidR="00F02007" w:rsidRPr="00B54968" w:rsidRDefault="00F02007" w:rsidP="003E2009">
            <w:pPr>
              <w:jc w:val="left"/>
              <w:rPr>
                <w:rFonts w:ascii="Times New Roman" w:hAnsi="Times New Roman" w:cs="Times New Roman"/>
                <w:sz w:val="16"/>
                <w:szCs w:val="18"/>
              </w:rPr>
            </w:pPr>
          </w:p>
        </w:tc>
      </w:tr>
      <w:tr w:rsidR="00F02007" w:rsidRPr="00B54968" w14:paraId="34C56519" w14:textId="77777777" w:rsidTr="00F02007">
        <w:tc>
          <w:tcPr>
            <w:tcW w:w="2093" w:type="dxa"/>
          </w:tcPr>
          <w:p w14:paraId="54962574" w14:textId="77777777" w:rsidR="00F02007" w:rsidRPr="00B54968" w:rsidRDefault="00F02007" w:rsidP="003E2009">
            <w:pPr>
              <w:adjustRightInd w:val="0"/>
              <w:spacing w:line="207" w:lineRule="exact"/>
              <w:ind w:firstLineChars="50" w:firstLine="79"/>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N</w:t>
            </w:r>
          </w:p>
        </w:tc>
        <w:tc>
          <w:tcPr>
            <w:tcW w:w="899" w:type="dxa"/>
          </w:tcPr>
          <w:p w14:paraId="1F27BF7D"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2" w:type="dxa"/>
          </w:tcPr>
          <w:p w14:paraId="52E9EAE9"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1" w:type="dxa"/>
          </w:tcPr>
          <w:p w14:paraId="72E5D7F0"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49</w:t>
            </w:r>
          </w:p>
        </w:tc>
        <w:tc>
          <w:tcPr>
            <w:tcW w:w="1042" w:type="dxa"/>
          </w:tcPr>
          <w:p w14:paraId="769A1695"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78</w:t>
            </w:r>
          </w:p>
        </w:tc>
        <w:tc>
          <w:tcPr>
            <w:tcW w:w="1041" w:type="dxa"/>
          </w:tcPr>
          <w:p w14:paraId="106150D6"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tcPr>
          <w:p w14:paraId="0066DB37"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tcPr>
          <w:p w14:paraId="04F48CAC"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76</w:t>
            </w:r>
          </w:p>
        </w:tc>
      </w:tr>
      <w:tr w:rsidR="00F02007" w:rsidRPr="00B54968" w14:paraId="5A080D8C" w14:textId="77777777" w:rsidTr="00F02007">
        <w:tc>
          <w:tcPr>
            <w:tcW w:w="2093" w:type="dxa"/>
          </w:tcPr>
          <w:p w14:paraId="13C4444A" w14:textId="77777777" w:rsidR="00F02007" w:rsidRPr="00B54968" w:rsidRDefault="00F02007" w:rsidP="003E2009">
            <w:pPr>
              <w:adjustRightInd w:val="0"/>
              <w:spacing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ACR20 response*</w:t>
            </w:r>
          </w:p>
        </w:tc>
        <w:tc>
          <w:tcPr>
            <w:tcW w:w="899" w:type="dxa"/>
          </w:tcPr>
          <w:p w14:paraId="6B7C941F"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 (10%)</w:t>
            </w:r>
          </w:p>
        </w:tc>
        <w:tc>
          <w:tcPr>
            <w:tcW w:w="1042" w:type="dxa"/>
          </w:tcPr>
          <w:p w14:paraId="254B6B87"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34 (65%)</w:t>
            </w:r>
          </w:p>
        </w:tc>
        <w:tc>
          <w:tcPr>
            <w:tcW w:w="1041" w:type="dxa"/>
          </w:tcPr>
          <w:p w14:paraId="5968D875"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34 (69%)</w:t>
            </w:r>
          </w:p>
        </w:tc>
        <w:tc>
          <w:tcPr>
            <w:tcW w:w="1042" w:type="dxa"/>
          </w:tcPr>
          <w:p w14:paraId="2644E61C"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48 (62%)</w:t>
            </w:r>
          </w:p>
        </w:tc>
        <w:tc>
          <w:tcPr>
            <w:tcW w:w="1041" w:type="dxa"/>
          </w:tcPr>
          <w:p w14:paraId="3C3C7F56"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16 (16%)</w:t>
            </w:r>
          </w:p>
        </w:tc>
        <w:tc>
          <w:tcPr>
            <w:tcW w:w="1042" w:type="dxa"/>
          </w:tcPr>
          <w:p w14:paraId="77EDE4CC"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54 (54%)</w:t>
            </w:r>
          </w:p>
        </w:tc>
        <w:tc>
          <w:tcPr>
            <w:tcW w:w="1042" w:type="dxa"/>
          </w:tcPr>
          <w:p w14:paraId="7C6F6F26"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48 (63%)</w:t>
            </w:r>
          </w:p>
        </w:tc>
      </w:tr>
      <w:tr w:rsidR="00F02007" w:rsidRPr="00B54968" w14:paraId="3B19154C" w14:textId="77777777" w:rsidTr="00F02007">
        <w:tc>
          <w:tcPr>
            <w:tcW w:w="2093" w:type="dxa"/>
          </w:tcPr>
          <w:p w14:paraId="01FCA0BC" w14:textId="77777777" w:rsidR="00F02007" w:rsidRPr="00B54968" w:rsidRDefault="00F02007" w:rsidP="003E2009">
            <w:pPr>
              <w:adjustRightInd w:val="0"/>
              <w:spacing w:before="1" w:line="205"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ACR50 response*</w:t>
            </w:r>
          </w:p>
        </w:tc>
        <w:tc>
          <w:tcPr>
            <w:tcW w:w="899" w:type="dxa"/>
          </w:tcPr>
          <w:p w14:paraId="53AEFCD9"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7B2705A5"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24 (46%)</w:t>
            </w:r>
          </w:p>
        </w:tc>
        <w:tc>
          <w:tcPr>
            <w:tcW w:w="1041" w:type="dxa"/>
          </w:tcPr>
          <w:p w14:paraId="2310829B"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26 (53%)</w:t>
            </w:r>
          </w:p>
        </w:tc>
        <w:tc>
          <w:tcPr>
            <w:tcW w:w="1042" w:type="dxa"/>
          </w:tcPr>
          <w:p w14:paraId="4B6F2AEE"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35 (45%)</w:t>
            </w:r>
          </w:p>
        </w:tc>
        <w:tc>
          <w:tcPr>
            <w:tcW w:w="1041" w:type="dxa"/>
          </w:tcPr>
          <w:p w14:paraId="02CED644"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 (4%)</w:t>
            </w:r>
          </w:p>
        </w:tc>
        <w:tc>
          <w:tcPr>
            <w:tcW w:w="1042" w:type="dxa"/>
          </w:tcPr>
          <w:p w14:paraId="53FE8E19"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41(41%)</w:t>
            </w:r>
          </w:p>
        </w:tc>
        <w:tc>
          <w:tcPr>
            <w:tcW w:w="1042" w:type="dxa"/>
          </w:tcPr>
          <w:p w14:paraId="679E330B"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32 (42%)</w:t>
            </w:r>
          </w:p>
        </w:tc>
      </w:tr>
      <w:tr w:rsidR="00F02007" w:rsidRPr="00B54968" w14:paraId="7FCCE2EB" w14:textId="77777777" w:rsidTr="00F02007">
        <w:trPr>
          <w:trHeight w:val="322"/>
        </w:trPr>
        <w:tc>
          <w:tcPr>
            <w:tcW w:w="2093" w:type="dxa"/>
          </w:tcPr>
          <w:p w14:paraId="4C52D874" w14:textId="77777777" w:rsidR="00F02007" w:rsidRPr="00B54968" w:rsidRDefault="00F02007" w:rsidP="003E2009">
            <w:pPr>
              <w:adjustRightInd w:val="0"/>
              <w:spacing w:before="1"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ACR70 response*</w:t>
            </w:r>
          </w:p>
        </w:tc>
        <w:tc>
          <w:tcPr>
            <w:tcW w:w="899" w:type="dxa"/>
          </w:tcPr>
          <w:p w14:paraId="2146BDCC" w14:textId="77777777" w:rsidR="00F02007" w:rsidRPr="00B54968" w:rsidRDefault="00F02007" w:rsidP="003E2009">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31EC04EA" w14:textId="77777777" w:rsidR="00F02007" w:rsidRPr="00B54968" w:rsidRDefault="00F02007" w:rsidP="003E2009">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15 (29%)</w:t>
            </w:r>
          </w:p>
        </w:tc>
        <w:tc>
          <w:tcPr>
            <w:tcW w:w="1041" w:type="dxa"/>
          </w:tcPr>
          <w:p w14:paraId="46855BA0" w14:textId="77777777" w:rsidR="00F02007" w:rsidRPr="00B54968" w:rsidRDefault="00F02007" w:rsidP="003E2009">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19 (39%)</w:t>
            </w:r>
          </w:p>
        </w:tc>
        <w:tc>
          <w:tcPr>
            <w:tcW w:w="1042" w:type="dxa"/>
          </w:tcPr>
          <w:p w14:paraId="0518E212" w14:textId="77777777" w:rsidR="00F02007" w:rsidRPr="00B54968" w:rsidRDefault="00F02007" w:rsidP="003E2009">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27 (35%)</w:t>
            </w:r>
          </w:p>
        </w:tc>
        <w:tc>
          <w:tcPr>
            <w:tcW w:w="1041" w:type="dxa"/>
          </w:tcPr>
          <w:p w14:paraId="26A570F5" w14:textId="77777777" w:rsidR="00F02007" w:rsidRPr="00B54968" w:rsidRDefault="00F02007" w:rsidP="003E2009">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 (2%)</w:t>
            </w:r>
          </w:p>
        </w:tc>
        <w:tc>
          <w:tcPr>
            <w:tcW w:w="1042" w:type="dxa"/>
          </w:tcPr>
          <w:p w14:paraId="33EB251F" w14:textId="77777777" w:rsidR="00F02007" w:rsidRPr="00B54968" w:rsidRDefault="00F02007" w:rsidP="003E2009">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27 (27%)</w:t>
            </w:r>
          </w:p>
        </w:tc>
        <w:tc>
          <w:tcPr>
            <w:tcW w:w="1042" w:type="dxa"/>
          </w:tcPr>
          <w:p w14:paraId="5EFBDFFD" w14:textId="77777777" w:rsidR="00F02007" w:rsidRPr="00B54968" w:rsidRDefault="00F02007" w:rsidP="003E2009">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20 (26%)</w:t>
            </w:r>
          </w:p>
        </w:tc>
      </w:tr>
      <w:tr w:rsidR="00F02007" w:rsidRPr="00B54968" w14:paraId="4EA77BEB" w14:textId="77777777" w:rsidTr="00F02007">
        <w:trPr>
          <w:trHeight w:val="554"/>
        </w:trPr>
        <w:tc>
          <w:tcPr>
            <w:tcW w:w="2093" w:type="dxa"/>
            <w:vAlign w:val="center"/>
          </w:tcPr>
          <w:p w14:paraId="722A54CB"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 xml:space="preserve">PASI response </w:t>
            </w:r>
            <w:r w:rsidR="00F93704" w:rsidRPr="00B54968">
              <w:rPr>
                <w:rFonts w:ascii="Times New Roman" w:hAnsi="Times New Roman" w:cs="Times New Roman"/>
                <w:sz w:val="16"/>
                <w:szCs w:val="18"/>
              </w:rPr>
              <w:t xml:space="preserve"> </w:t>
            </w:r>
            <w:r w:rsidRPr="00B54968">
              <w:rPr>
                <w:rFonts w:ascii="Times New Roman" w:hAnsi="Times New Roman" w:cs="Times New Roman"/>
                <w:sz w:val="16"/>
                <w:szCs w:val="18"/>
              </w:rPr>
              <w:t>(% of patients)</w:t>
            </w:r>
            <w:r w:rsidRPr="00B54968">
              <w:rPr>
                <w:rFonts w:ascii="Times New Roman" w:hAnsi="Times New Roman" w:cs="Times New Roman"/>
                <w:sz w:val="16"/>
                <w:szCs w:val="18"/>
                <w:vertAlign w:val="superscript"/>
              </w:rPr>
              <w:t>b</w:t>
            </w:r>
          </w:p>
        </w:tc>
        <w:tc>
          <w:tcPr>
            <w:tcW w:w="899" w:type="dxa"/>
          </w:tcPr>
          <w:p w14:paraId="5D03E0A9" w14:textId="77777777" w:rsidR="00F02007" w:rsidRPr="00B54968" w:rsidRDefault="00F02007" w:rsidP="003E2009">
            <w:pPr>
              <w:jc w:val="left"/>
              <w:rPr>
                <w:rFonts w:ascii="Times New Roman" w:hAnsi="Times New Roman" w:cs="Times New Roman"/>
                <w:sz w:val="16"/>
                <w:szCs w:val="18"/>
              </w:rPr>
            </w:pPr>
          </w:p>
        </w:tc>
        <w:tc>
          <w:tcPr>
            <w:tcW w:w="1042" w:type="dxa"/>
          </w:tcPr>
          <w:p w14:paraId="78CEA967" w14:textId="77777777" w:rsidR="00F02007" w:rsidRPr="00B54968" w:rsidRDefault="00F02007" w:rsidP="003E2009">
            <w:pPr>
              <w:jc w:val="left"/>
              <w:rPr>
                <w:rFonts w:ascii="Times New Roman" w:hAnsi="Times New Roman" w:cs="Times New Roman"/>
                <w:sz w:val="16"/>
                <w:szCs w:val="18"/>
              </w:rPr>
            </w:pPr>
          </w:p>
        </w:tc>
        <w:tc>
          <w:tcPr>
            <w:tcW w:w="1041" w:type="dxa"/>
          </w:tcPr>
          <w:p w14:paraId="2B45D7D8" w14:textId="77777777" w:rsidR="00F02007" w:rsidRPr="00B54968" w:rsidRDefault="00F02007" w:rsidP="003E2009">
            <w:pPr>
              <w:jc w:val="left"/>
              <w:rPr>
                <w:rFonts w:ascii="Times New Roman" w:hAnsi="Times New Roman" w:cs="Times New Roman"/>
                <w:sz w:val="16"/>
                <w:szCs w:val="18"/>
              </w:rPr>
            </w:pPr>
          </w:p>
        </w:tc>
        <w:tc>
          <w:tcPr>
            <w:tcW w:w="1042" w:type="dxa"/>
          </w:tcPr>
          <w:p w14:paraId="31764406" w14:textId="77777777" w:rsidR="00F02007" w:rsidRPr="00B54968" w:rsidRDefault="00F02007" w:rsidP="003E2009">
            <w:pPr>
              <w:jc w:val="left"/>
              <w:rPr>
                <w:rFonts w:ascii="Times New Roman" w:hAnsi="Times New Roman" w:cs="Times New Roman"/>
                <w:sz w:val="16"/>
                <w:szCs w:val="18"/>
              </w:rPr>
            </w:pPr>
          </w:p>
        </w:tc>
        <w:tc>
          <w:tcPr>
            <w:tcW w:w="1041" w:type="dxa"/>
          </w:tcPr>
          <w:p w14:paraId="211C69C1" w14:textId="77777777" w:rsidR="00F02007" w:rsidRPr="00B54968" w:rsidRDefault="00F02007" w:rsidP="003E2009">
            <w:pPr>
              <w:jc w:val="left"/>
              <w:rPr>
                <w:rFonts w:ascii="Times New Roman" w:hAnsi="Times New Roman" w:cs="Times New Roman"/>
                <w:sz w:val="16"/>
                <w:szCs w:val="18"/>
              </w:rPr>
            </w:pPr>
          </w:p>
        </w:tc>
        <w:tc>
          <w:tcPr>
            <w:tcW w:w="1042" w:type="dxa"/>
          </w:tcPr>
          <w:p w14:paraId="5A11E734" w14:textId="77777777" w:rsidR="00F02007" w:rsidRPr="00B54968" w:rsidRDefault="00F02007" w:rsidP="003E2009">
            <w:pPr>
              <w:jc w:val="left"/>
              <w:rPr>
                <w:rFonts w:ascii="Times New Roman" w:hAnsi="Times New Roman" w:cs="Times New Roman"/>
                <w:sz w:val="16"/>
                <w:szCs w:val="18"/>
              </w:rPr>
            </w:pPr>
          </w:p>
        </w:tc>
        <w:tc>
          <w:tcPr>
            <w:tcW w:w="1042" w:type="dxa"/>
          </w:tcPr>
          <w:p w14:paraId="7BDFAAC7" w14:textId="77777777" w:rsidR="00F02007" w:rsidRPr="00B54968" w:rsidRDefault="00F02007" w:rsidP="003E2009">
            <w:pPr>
              <w:jc w:val="left"/>
              <w:rPr>
                <w:rFonts w:ascii="Times New Roman" w:hAnsi="Times New Roman" w:cs="Times New Roman"/>
                <w:sz w:val="16"/>
                <w:szCs w:val="18"/>
              </w:rPr>
            </w:pPr>
          </w:p>
        </w:tc>
      </w:tr>
      <w:tr w:rsidR="00F02007" w:rsidRPr="00B54968" w14:paraId="63CDF692" w14:textId="77777777" w:rsidTr="00F02007">
        <w:tc>
          <w:tcPr>
            <w:tcW w:w="2093" w:type="dxa"/>
          </w:tcPr>
          <w:p w14:paraId="0A49C84E" w14:textId="77777777" w:rsidR="00F02007" w:rsidRPr="00B54968" w:rsidRDefault="00F02007" w:rsidP="003E2009">
            <w:pPr>
              <w:adjustRightInd w:val="0"/>
              <w:spacing w:before="1" w:line="205" w:lineRule="exact"/>
              <w:ind w:firstLineChars="50" w:firstLine="79"/>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N</w:t>
            </w:r>
          </w:p>
        </w:tc>
        <w:tc>
          <w:tcPr>
            <w:tcW w:w="899" w:type="dxa"/>
          </w:tcPr>
          <w:p w14:paraId="4B961B52"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16</w:t>
            </w:r>
          </w:p>
        </w:tc>
        <w:tc>
          <w:tcPr>
            <w:tcW w:w="1042" w:type="dxa"/>
          </w:tcPr>
          <w:p w14:paraId="58A30176"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22</w:t>
            </w:r>
          </w:p>
        </w:tc>
        <w:tc>
          <w:tcPr>
            <w:tcW w:w="1041" w:type="dxa"/>
          </w:tcPr>
          <w:p w14:paraId="007C028F"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22</w:t>
            </w:r>
          </w:p>
        </w:tc>
        <w:tc>
          <w:tcPr>
            <w:tcW w:w="1042" w:type="dxa"/>
          </w:tcPr>
          <w:p w14:paraId="307AD0A3"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25</w:t>
            </w:r>
          </w:p>
        </w:tc>
        <w:tc>
          <w:tcPr>
            <w:tcW w:w="1041" w:type="dxa"/>
          </w:tcPr>
          <w:p w14:paraId="72A2C8E4"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87</w:t>
            </w:r>
          </w:p>
        </w:tc>
        <w:tc>
          <w:tcPr>
            <w:tcW w:w="1042" w:type="dxa"/>
          </w:tcPr>
          <w:p w14:paraId="6A01C9B3"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83</w:t>
            </w:r>
          </w:p>
        </w:tc>
        <w:tc>
          <w:tcPr>
            <w:tcW w:w="1042" w:type="dxa"/>
          </w:tcPr>
          <w:p w14:paraId="61A3CBCA"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61</w:t>
            </w:r>
          </w:p>
        </w:tc>
      </w:tr>
      <w:tr w:rsidR="00F02007" w:rsidRPr="00B54968" w14:paraId="09FCC554" w14:textId="77777777" w:rsidTr="00F02007">
        <w:tc>
          <w:tcPr>
            <w:tcW w:w="2093" w:type="dxa"/>
          </w:tcPr>
          <w:p w14:paraId="6F793858" w14:textId="77777777" w:rsidR="00F02007" w:rsidRPr="00B54968" w:rsidRDefault="00F02007" w:rsidP="003E2009">
            <w:pPr>
              <w:adjustRightInd w:val="0"/>
              <w:spacing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PASI 50 response*</w:t>
            </w:r>
          </w:p>
        </w:tc>
        <w:tc>
          <w:tcPr>
            <w:tcW w:w="899" w:type="dxa"/>
          </w:tcPr>
          <w:p w14:paraId="18738B19"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23ABECC4"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22 (100%)</w:t>
            </w:r>
          </w:p>
        </w:tc>
        <w:tc>
          <w:tcPr>
            <w:tcW w:w="1041" w:type="dxa"/>
          </w:tcPr>
          <w:p w14:paraId="15A6D4E7"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19 (86%)</w:t>
            </w:r>
          </w:p>
        </w:tc>
        <w:tc>
          <w:tcPr>
            <w:tcW w:w="1042" w:type="dxa"/>
          </w:tcPr>
          <w:p w14:paraId="3C425026"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19 (76%)</w:t>
            </w:r>
          </w:p>
        </w:tc>
        <w:tc>
          <w:tcPr>
            <w:tcW w:w="1041" w:type="dxa"/>
          </w:tcPr>
          <w:p w14:paraId="57099E6A"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7 (8%)</w:t>
            </w:r>
          </w:p>
        </w:tc>
        <w:tc>
          <w:tcPr>
            <w:tcW w:w="1042" w:type="dxa"/>
          </w:tcPr>
          <w:p w14:paraId="270F35D4"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62 (75%)</w:t>
            </w:r>
          </w:p>
        </w:tc>
        <w:tc>
          <w:tcPr>
            <w:tcW w:w="1042" w:type="dxa"/>
          </w:tcPr>
          <w:p w14:paraId="0D90E062"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42 (69%)</w:t>
            </w:r>
          </w:p>
        </w:tc>
      </w:tr>
      <w:tr w:rsidR="00F02007" w:rsidRPr="00B54968" w14:paraId="7AFB6BB3" w14:textId="77777777" w:rsidTr="00F02007">
        <w:tc>
          <w:tcPr>
            <w:tcW w:w="2093" w:type="dxa"/>
          </w:tcPr>
          <w:p w14:paraId="412AE40F" w14:textId="77777777" w:rsidR="00F02007" w:rsidRPr="00B54968" w:rsidRDefault="00F02007" w:rsidP="003E2009">
            <w:pPr>
              <w:adjustRightInd w:val="0"/>
              <w:spacing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PASI 75 response*</w:t>
            </w:r>
          </w:p>
        </w:tc>
        <w:tc>
          <w:tcPr>
            <w:tcW w:w="899" w:type="dxa"/>
          </w:tcPr>
          <w:p w14:paraId="257BE44C"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1CF21114"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15 (68%)</w:t>
            </w:r>
          </w:p>
        </w:tc>
        <w:tc>
          <w:tcPr>
            <w:tcW w:w="1041" w:type="dxa"/>
          </w:tcPr>
          <w:p w14:paraId="0D85DB19"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13 (59%)</w:t>
            </w:r>
          </w:p>
        </w:tc>
        <w:tc>
          <w:tcPr>
            <w:tcW w:w="1042" w:type="dxa"/>
          </w:tcPr>
          <w:p w14:paraId="633315B6"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16 (64%)</w:t>
            </w:r>
          </w:p>
        </w:tc>
        <w:tc>
          <w:tcPr>
            <w:tcW w:w="1041" w:type="dxa"/>
          </w:tcPr>
          <w:p w14:paraId="39D4D9D5"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 (1%)</w:t>
            </w:r>
          </w:p>
        </w:tc>
        <w:tc>
          <w:tcPr>
            <w:tcW w:w="1042" w:type="dxa"/>
          </w:tcPr>
          <w:p w14:paraId="35B59DBE"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50 (60%)</w:t>
            </w:r>
          </w:p>
        </w:tc>
        <w:tc>
          <w:tcPr>
            <w:tcW w:w="1042" w:type="dxa"/>
          </w:tcPr>
          <w:p w14:paraId="137141F1" w14:textId="77777777" w:rsidR="00F02007" w:rsidRPr="00B54968" w:rsidRDefault="00F02007" w:rsidP="003E200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31 (51%)</w:t>
            </w:r>
          </w:p>
        </w:tc>
      </w:tr>
      <w:tr w:rsidR="00F02007" w:rsidRPr="00B54968" w14:paraId="46362047" w14:textId="77777777" w:rsidTr="00F02007">
        <w:tc>
          <w:tcPr>
            <w:tcW w:w="2093" w:type="dxa"/>
          </w:tcPr>
          <w:p w14:paraId="1A5FB83A" w14:textId="77777777" w:rsidR="00F02007" w:rsidRPr="00B54968" w:rsidRDefault="00F02007" w:rsidP="003E2009">
            <w:pPr>
              <w:adjustRightInd w:val="0"/>
              <w:spacing w:before="1" w:line="205"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PASI 90 response*</w:t>
            </w:r>
          </w:p>
        </w:tc>
        <w:tc>
          <w:tcPr>
            <w:tcW w:w="899" w:type="dxa"/>
          </w:tcPr>
          <w:p w14:paraId="652B48D5"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48960352"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8 (36%)</w:t>
            </w:r>
          </w:p>
        </w:tc>
        <w:tc>
          <w:tcPr>
            <w:tcW w:w="1041" w:type="dxa"/>
          </w:tcPr>
          <w:p w14:paraId="3E0A48DD"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9 (41%)</w:t>
            </w:r>
          </w:p>
        </w:tc>
        <w:tc>
          <w:tcPr>
            <w:tcW w:w="1042" w:type="dxa"/>
          </w:tcPr>
          <w:p w14:paraId="2B9A2B97"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12 (48%)</w:t>
            </w:r>
          </w:p>
        </w:tc>
        <w:tc>
          <w:tcPr>
            <w:tcW w:w="1041" w:type="dxa"/>
          </w:tcPr>
          <w:p w14:paraId="54870982"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0 (0%)</w:t>
            </w:r>
          </w:p>
        </w:tc>
        <w:tc>
          <w:tcPr>
            <w:tcW w:w="1042" w:type="dxa"/>
          </w:tcPr>
          <w:p w14:paraId="5B84AF45"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32 (39%)</w:t>
            </w:r>
          </w:p>
        </w:tc>
        <w:tc>
          <w:tcPr>
            <w:tcW w:w="1042" w:type="dxa"/>
          </w:tcPr>
          <w:p w14:paraId="0C44CB40" w14:textId="77777777" w:rsidR="00F02007" w:rsidRPr="00B54968" w:rsidRDefault="00F02007" w:rsidP="003E200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26 (43%)</w:t>
            </w:r>
          </w:p>
        </w:tc>
      </w:tr>
      <w:tr w:rsidR="00F02007" w:rsidRPr="00B54968" w14:paraId="7B30BAAA" w14:textId="77777777" w:rsidTr="00F02007">
        <w:tc>
          <w:tcPr>
            <w:tcW w:w="2093" w:type="dxa"/>
          </w:tcPr>
          <w:p w14:paraId="25812F51"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HAQ (% improvement</w:t>
            </w:r>
          </w:p>
          <w:p w14:paraId="68010300"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from baseline)</w:t>
            </w:r>
            <w:r w:rsidRPr="00B54968">
              <w:rPr>
                <w:rFonts w:ascii="Times New Roman" w:hAnsi="Times New Roman" w:cs="Times New Roman"/>
                <w:sz w:val="16"/>
                <w:szCs w:val="18"/>
                <w:vertAlign w:val="superscript"/>
              </w:rPr>
              <w:t>e</w:t>
            </w:r>
          </w:p>
        </w:tc>
        <w:tc>
          <w:tcPr>
            <w:tcW w:w="899" w:type="dxa"/>
          </w:tcPr>
          <w:p w14:paraId="09DD0945" w14:textId="77777777" w:rsidR="00F02007" w:rsidRPr="00B54968" w:rsidRDefault="00F02007" w:rsidP="003E2009">
            <w:pPr>
              <w:jc w:val="left"/>
              <w:rPr>
                <w:rFonts w:ascii="Times New Roman" w:hAnsi="Times New Roman" w:cs="Times New Roman"/>
                <w:sz w:val="16"/>
                <w:szCs w:val="18"/>
              </w:rPr>
            </w:pPr>
          </w:p>
        </w:tc>
        <w:tc>
          <w:tcPr>
            <w:tcW w:w="1042" w:type="dxa"/>
          </w:tcPr>
          <w:p w14:paraId="7FB94F9D" w14:textId="77777777" w:rsidR="00F02007" w:rsidRPr="00B54968" w:rsidRDefault="00F02007" w:rsidP="003E2009">
            <w:pPr>
              <w:jc w:val="left"/>
              <w:rPr>
                <w:rFonts w:ascii="Times New Roman" w:hAnsi="Times New Roman" w:cs="Times New Roman"/>
                <w:sz w:val="16"/>
                <w:szCs w:val="18"/>
              </w:rPr>
            </w:pPr>
          </w:p>
        </w:tc>
        <w:tc>
          <w:tcPr>
            <w:tcW w:w="1041" w:type="dxa"/>
          </w:tcPr>
          <w:p w14:paraId="0330390B" w14:textId="77777777" w:rsidR="00F02007" w:rsidRPr="00B54968" w:rsidRDefault="00F02007" w:rsidP="003E2009">
            <w:pPr>
              <w:jc w:val="left"/>
              <w:rPr>
                <w:rFonts w:ascii="Times New Roman" w:hAnsi="Times New Roman" w:cs="Times New Roman"/>
                <w:sz w:val="16"/>
                <w:szCs w:val="18"/>
              </w:rPr>
            </w:pPr>
          </w:p>
        </w:tc>
        <w:tc>
          <w:tcPr>
            <w:tcW w:w="1042" w:type="dxa"/>
          </w:tcPr>
          <w:p w14:paraId="6C0909F9" w14:textId="77777777" w:rsidR="00F02007" w:rsidRPr="00B54968" w:rsidRDefault="00F02007" w:rsidP="003E2009">
            <w:pPr>
              <w:jc w:val="left"/>
              <w:rPr>
                <w:rFonts w:ascii="Times New Roman" w:hAnsi="Times New Roman" w:cs="Times New Roman"/>
                <w:sz w:val="16"/>
                <w:szCs w:val="18"/>
              </w:rPr>
            </w:pPr>
          </w:p>
        </w:tc>
        <w:tc>
          <w:tcPr>
            <w:tcW w:w="1041" w:type="dxa"/>
          </w:tcPr>
          <w:p w14:paraId="31D09164" w14:textId="77777777" w:rsidR="00F02007" w:rsidRPr="00B54968" w:rsidRDefault="00F02007" w:rsidP="003E2009">
            <w:pPr>
              <w:jc w:val="left"/>
              <w:rPr>
                <w:rFonts w:ascii="Times New Roman" w:hAnsi="Times New Roman" w:cs="Times New Roman"/>
                <w:sz w:val="16"/>
                <w:szCs w:val="18"/>
              </w:rPr>
            </w:pPr>
          </w:p>
        </w:tc>
        <w:tc>
          <w:tcPr>
            <w:tcW w:w="1042" w:type="dxa"/>
          </w:tcPr>
          <w:p w14:paraId="29668484" w14:textId="77777777" w:rsidR="00F02007" w:rsidRPr="00B54968" w:rsidRDefault="00F02007" w:rsidP="003E2009">
            <w:pPr>
              <w:jc w:val="left"/>
              <w:rPr>
                <w:rFonts w:ascii="Times New Roman" w:hAnsi="Times New Roman" w:cs="Times New Roman"/>
                <w:sz w:val="16"/>
                <w:szCs w:val="18"/>
              </w:rPr>
            </w:pPr>
          </w:p>
        </w:tc>
        <w:tc>
          <w:tcPr>
            <w:tcW w:w="1042" w:type="dxa"/>
          </w:tcPr>
          <w:p w14:paraId="5CF697F7" w14:textId="77777777" w:rsidR="00F02007" w:rsidRPr="00B54968" w:rsidRDefault="00F02007" w:rsidP="003E2009">
            <w:pPr>
              <w:jc w:val="left"/>
              <w:rPr>
                <w:rFonts w:ascii="Times New Roman" w:hAnsi="Times New Roman" w:cs="Times New Roman"/>
                <w:sz w:val="16"/>
                <w:szCs w:val="18"/>
              </w:rPr>
            </w:pPr>
          </w:p>
        </w:tc>
      </w:tr>
      <w:tr w:rsidR="00F02007" w:rsidRPr="00B54968" w14:paraId="226EDB33" w14:textId="77777777" w:rsidTr="00F02007">
        <w:tc>
          <w:tcPr>
            <w:tcW w:w="2093" w:type="dxa"/>
          </w:tcPr>
          <w:p w14:paraId="17760718" w14:textId="77777777" w:rsidR="00F02007" w:rsidRPr="00B54968" w:rsidRDefault="00F02007" w:rsidP="003E2009">
            <w:pPr>
              <w:ind w:firstLineChars="50" w:firstLine="80"/>
              <w:jc w:val="left"/>
              <w:rPr>
                <w:rFonts w:ascii="Times New Roman" w:hAnsi="Times New Roman" w:cs="Times New Roman"/>
                <w:sz w:val="16"/>
                <w:szCs w:val="18"/>
              </w:rPr>
            </w:pPr>
            <w:r w:rsidRPr="00B54968">
              <w:rPr>
                <w:rFonts w:ascii="Times New Roman" w:hAnsi="Times New Roman" w:cs="Times New Roman"/>
                <w:sz w:val="16"/>
                <w:szCs w:val="18"/>
              </w:rPr>
              <w:t>N</w:t>
            </w:r>
          </w:p>
        </w:tc>
        <w:tc>
          <w:tcPr>
            <w:tcW w:w="899" w:type="dxa"/>
          </w:tcPr>
          <w:p w14:paraId="25FAD699"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51</w:t>
            </w:r>
          </w:p>
        </w:tc>
        <w:tc>
          <w:tcPr>
            <w:tcW w:w="1042" w:type="dxa"/>
          </w:tcPr>
          <w:p w14:paraId="23076BDF"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51</w:t>
            </w:r>
          </w:p>
        </w:tc>
        <w:tc>
          <w:tcPr>
            <w:tcW w:w="1041" w:type="dxa"/>
          </w:tcPr>
          <w:p w14:paraId="6EC21E01"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48</w:t>
            </w:r>
          </w:p>
        </w:tc>
        <w:tc>
          <w:tcPr>
            <w:tcW w:w="1042" w:type="dxa"/>
          </w:tcPr>
          <w:p w14:paraId="2805FDF5"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77</w:t>
            </w:r>
          </w:p>
        </w:tc>
        <w:tc>
          <w:tcPr>
            <w:tcW w:w="1041" w:type="dxa"/>
          </w:tcPr>
          <w:p w14:paraId="08EC6192"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95</w:t>
            </w:r>
          </w:p>
        </w:tc>
        <w:tc>
          <w:tcPr>
            <w:tcW w:w="1042" w:type="dxa"/>
          </w:tcPr>
          <w:p w14:paraId="6F67CF0A"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94</w:t>
            </w:r>
          </w:p>
        </w:tc>
        <w:tc>
          <w:tcPr>
            <w:tcW w:w="1042" w:type="dxa"/>
          </w:tcPr>
          <w:p w14:paraId="7C7EAAE4"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76</w:t>
            </w:r>
          </w:p>
        </w:tc>
      </w:tr>
      <w:tr w:rsidR="00F02007" w:rsidRPr="00B54968" w14:paraId="014FC6C8" w14:textId="77777777" w:rsidTr="00F93704">
        <w:trPr>
          <w:trHeight w:val="631"/>
        </w:trPr>
        <w:tc>
          <w:tcPr>
            <w:tcW w:w="2093" w:type="dxa"/>
            <w:tcBorders>
              <w:bottom w:val="single" w:sz="8" w:space="0" w:color="auto"/>
            </w:tcBorders>
          </w:tcPr>
          <w:p w14:paraId="11DBFC70" w14:textId="77777777" w:rsidR="00F02007" w:rsidRPr="00B54968" w:rsidRDefault="00F02007" w:rsidP="003E2009">
            <w:pPr>
              <w:ind w:firstLineChars="150" w:firstLine="240"/>
              <w:jc w:val="left"/>
              <w:rPr>
                <w:rFonts w:ascii="Times New Roman" w:hAnsi="Times New Roman" w:cs="Times New Roman"/>
                <w:sz w:val="16"/>
                <w:szCs w:val="18"/>
              </w:rPr>
            </w:pPr>
            <w:r w:rsidRPr="00B54968">
              <w:rPr>
                <w:rFonts w:ascii="Times New Roman" w:hAnsi="Times New Roman" w:cs="Times New Roman"/>
                <w:sz w:val="16"/>
                <w:szCs w:val="18"/>
              </w:rPr>
              <w:t>Mean (</w:t>
            </w:r>
            <m:oMath>
              <m:r>
                <m:rPr>
                  <m:sty m:val="p"/>
                </m:rPr>
                <w:rPr>
                  <w:rFonts w:ascii="Cambria Math" w:hAnsi="Cambria Math" w:cs="Times New Roman"/>
                  <w:sz w:val="16"/>
                  <w:szCs w:val="18"/>
                </w:rPr>
                <m:t>±</m:t>
              </m:r>
            </m:oMath>
            <w:r w:rsidRPr="00B54968">
              <w:rPr>
                <w:rFonts w:ascii="Times New Roman" w:hAnsi="Times New Roman" w:cs="Times New Roman"/>
                <w:sz w:val="16"/>
                <w:szCs w:val="18"/>
              </w:rPr>
              <w:t xml:space="preserve"> SD)*</w:t>
            </w:r>
          </w:p>
        </w:tc>
        <w:tc>
          <w:tcPr>
            <w:tcW w:w="899" w:type="dxa"/>
            <w:tcBorders>
              <w:bottom w:val="single" w:sz="8" w:space="0" w:color="auto"/>
            </w:tcBorders>
          </w:tcPr>
          <w:p w14:paraId="3F6FFE0C"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-2%</w:t>
            </w:r>
          </w:p>
          <w:p w14:paraId="4671F663"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(8)</w:t>
            </w:r>
          </w:p>
        </w:tc>
        <w:tc>
          <w:tcPr>
            <w:tcW w:w="1042" w:type="dxa"/>
            <w:tcBorders>
              <w:bottom w:val="single" w:sz="8" w:space="0" w:color="auto"/>
            </w:tcBorders>
          </w:tcPr>
          <w:p w14:paraId="1D06209D"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50%</w:t>
            </w:r>
          </w:p>
          <w:p w14:paraId="0F1DE90D"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(8)</w:t>
            </w:r>
          </w:p>
        </w:tc>
        <w:tc>
          <w:tcPr>
            <w:tcW w:w="1041" w:type="dxa"/>
            <w:tcBorders>
              <w:bottom w:val="single" w:sz="8" w:space="0" w:color="auto"/>
            </w:tcBorders>
          </w:tcPr>
          <w:p w14:paraId="09824C2D"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43%</w:t>
            </w:r>
          </w:p>
          <w:p w14:paraId="66B11384"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(9)</w:t>
            </w:r>
          </w:p>
        </w:tc>
        <w:tc>
          <w:tcPr>
            <w:tcW w:w="1042" w:type="dxa"/>
            <w:tcBorders>
              <w:bottom w:val="single" w:sz="8" w:space="0" w:color="auto"/>
            </w:tcBorders>
          </w:tcPr>
          <w:p w14:paraId="32469F7F"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38%</w:t>
            </w:r>
          </w:p>
          <w:p w14:paraId="5A619E3B"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(72)</w:t>
            </w:r>
          </w:p>
        </w:tc>
        <w:tc>
          <w:tcPr>
            <w:tcW w:w="1041" w:type="dxa"/>
            <w:tcBorders>
              <w:bottom w:val="single" w:sz="8" w:space="0" w:color="auto"/>
            </w:tcBorders>
          </w:tcPr>
          <w:p w14:paraId="6E002821"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-19% (103)</w:t>
            </w:r>
          </w:p>
        </w:tc>
        <w:tc>
          <w:tcPr>
            <w:tcW w:w="1042" w:type="dxa"/>
            <w:tcBorders>
              <w:bottom w:val="single" w:sz="8" w:space="0" w:color="auto"/>
            </w:tcBorders>
          </w:tcPr>
          <w:p w14:paraId="17106D02"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46%</w:t>
            </w:r>
          </w:p>
          <w:p w14:paraId="6C32924E"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(42)</w:t>
            </w:r>
          </w:p>
        </w:tc>
        <w:tc>
          <w:tcPr>
            <w:tcW w:w="1042" w:type="dxa"/>
            <w:tcBorders>
              <w:bottom w:val="single" w:sz="8" w:space="0" w:color="auto"/>
            </w:tcBorders>
          </w:tcPr>
          <w:p w14:paraId="6B23BD75"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43%</w:t>
            </w:r>
          </w:p>
          <w:p w14:paraId="55282CE9"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(96)</w:t>
            </w:r>
          </w:p>
        </w:tc>
      </w:tr>
      <w:tr w:rsidR="00F02007" w:rsidRPr="00B54968" w14:paraId="7C0728DD" w14:textId="77777777" w:rsidTr="00F93704">
        <w:trPr>
          <w:trHeight w:val="725"/>
        </w:trPr>
        <w:tc>
          <w:tcPr>
            <w:tcW w:w="9242" w:type="dxa"/>
            <w:gridSpan w:val="8"/>
            <w:tcBorders>
              <w:top w:val="single" w:sz="8" w:space="0" w:color="auto"/>
            </w:tcBorders>
          </w:tcPr>
          <w:p w14:paraId="6C899BDA" w14:textId="77777777" w:rsidR="00F02007" w:rsidRPr="00B54968" w:rsidRDefault="00F02007" w:rsidP="003E2009">
            <w:pPr>
              <w:jc w:val="left"/>
              <w:rPr>
                <w:rFonts w:ascii="Times New Roman" w:hAnsi="Times New Roman" w:cs="Times New Roman"/>
                <w:sz w:val="16"/>
                <w:szCs w:val="18"/>
              </w:rPr>
            </w:pPr>
            <w:proofErr w:type="spellStart"/>
            <w:r w:rsidRPr="00B54968">
              <w:rPr>
                <w:rFonts w:ascii="Times New Roman" w:hAnsi="Times New Roman" w:cs="Times New Roman"/>
                <w:sz w:val="16"/>
                <w:szCs w:val="18"/>
                <w:vertAlign w:val="superscript"/>
              </w:rPr>
              <w:t>a</w:t>
            </w:r>
            <w:r w:rsidRPr="00B54968">
              <w:rPr>
                <w:rFonts w:ascii="Times New Roman" w:hAnsi="Times New Roman" w:cs="Times New Roman"/>
                <w:sz w:val="16"/>
                <w:szCs w:val="18"/>
              </w:rPr>
              <w:t>Week</w:t>
            </w:r>
            <w:proofErr w:type="spellEnd"/>
            <w:r w:rsidRPr="00B54968">
              <w:rPr>
                <w:rFonts w:ascii="Times New Roman" w:hAnsi="Times New Roman" w:cs="Times New Roman"/>
                <w:sz w:val="16"/>
                <w:szCs w:val="18"/>
              </w:rPr>
              <w:t xml:space="preserve"> 98 data for IMPACT includes combined placebo crossover and infliximab patients who entered the open</w:t>
            </w:r>
            <w:r w:rsidR="0030205D" w:rsidRPr="00B54968">
              <w:rPr>
                <w:rFonts w:ascii="Times New Roman" w:hAnsi="Times New Roman" w:cs="Times New Roman"/>
                <w:sz w:val="16"/>
                <w:szCs w:val="18"/>
              </w:rPr>
              <w:t>-</w:t>
            </w:r>
            <w:r w:rsidRPr="00B54968">
              <w:rPr>
                <w:rFonts w:ascii="Times New Roman" w:hAnsi="Times New Roman" w:cs="Times New Roman"/>
                <w:sz w:val="16"/>
                <w:szCs w:val="18"/>
              </w:rPr>
              <w:t xml:space="preserve">label extension </w:t>
            </w:r>
          </w:p>
          <w:p w14:paraId="762CF90C" w14:textId="77777777" w:rsidR="00F02007" w:rsidRPr="00B54968" w:rsidRDefault="00F02007" w:rsidP="003E2009">
            <w:pPr>
              <w:jc w:val="left"/>
              <w:rPr>
                <w:rFonts w:ascii="Times New Roman" w:hAnsi="Times New Roman" w:cs="Times New Roman"/>
                <w:sz w:val="16"/>
                <w:szCs w:val="18"/>
              </w:rPr>
            </w:pPr>
            <w:proofErr w:type="spellStart"/>
            <w:r w:rsidRPr="00B54968">
              <w:rPr>
                <w:rFonts w:ascii="Times New Roman" w:hAnsi="Times New Roman" w:cs="Times New Roman"/>
                <w:sz w:val="16"/>
                <w:szCs w:val="18"/>
                <w:vertAlign w:val="superscript"/>
              </w:rPr>
              <w:t>b</w:t>
            </w:r>
            <w:r w:rsidRPr="00B54968">
              <w:rPr>
                <w:rFonts w:ascii="Times New Roman" w:hAnsi="Times New Roman" w:cs="Times New Roman"/>
                <w:sz w:val="16"/>
                <w:szCs w:val="18"/>
              </w:rPr>
              <w:t>Based</w:t>
            </w:r>
            <w:proofErr w:type="spellEnd"/>
            <w:r w:rsidRPr="00B54968">
              <w:rPr>
                <w:rFonts w:ascii="Times New Roman" w:hAnsi="Times New Roman" w:cs="Times New Roman"/>
                <w:sz w:val="16"/>
                <w:szCs w:val="18"/>
              </w:rPr>
              <w:t xml:space="preserve"> on patients with PASI &gt;2.5 at baseline for IMPACT, and patients with &gt;3% BSA psoriasis skin involvement at baseline in IMPACT 2 </w:t>
            </w:r>
          </w:p>
          <w:p w14:paraId="365B3AAB" w14:textId="77777777" w:rsidR="00F02007" w:rsidRPr="00B54968" w:rsidRDefault="00F02007" w:rsidP="003E2009">
            <w:pPr>
              <w:jc w:val="left"/>
              <w:rPr>
                <w:rFonts w:ascii="Times New Roman" w:hAnsi="Times New Roman" w:cs="Times New Roman"/>
                <w:sz w:val="16"/>
                <w:szCs w:val="18"/>
              </w:rPr>
            </w:pPr>
            <w:proofErr w:type="spellStart"/>
            <w:r w:rsidRPr="00B54968">
              <w:rPr>
                <w:rFonts w:ascii="Times New Roman" w:hAnsi="Times New Roman" w:cs="Times New Roman"/>
                <w:sz w:val="16"/>
                <w:szCs w:val="18"/>
                <w:vertAlign w:val="superscript"/>
              </w:rPr>
              <w:t>e</w:t>
            </w:r>
            <w:r w:rsidRPr="00B54968">
              <w:rPr>
                <w:rFonts w:ascii="Times New Roman" w:hAnsi="Times New Roman" w:cs="Times New Roman"/>
                <w:sz w:val="16"/>
                <w:szCs w:val="18"/>
              </w:rPr>
              <w:t>HAQ</w:t>
            </w:r>
            <w:proofErr w:type="spellEnd"/>
            <w:r w:rsidRPr="00B54968">
              <w:rPr>
                <w:rFonts w:ascii="Times New Roman" w:hAnsi="Times New Roman" w:cs="Times New Roman"/>
                <w:sz w:val="16"/>
                <w:szCs w:val="18"/>
              </w:rPr>
              <w:t xml:space="preserve">=Health Assessment Questionnaire </w:t>
            </w:r>
          </w:p>
          <w:p w14:paraId="64E68EF5" w14:textId="77777777" w:rsidR="00F02007" w:rsidRPr="00B54968" w:rsidRDefault="00F02007" w:rsidP="003E2009">
            <w:pPr>
              <w:jc w:val="left"/>
              <w:rPr>
                <w:rFonts w:ascii="Times New Roman" w:hAnsi="Times New Roman" w:cs="Times New Roman"/>
                <w:sz w:val="16"/>
                <w:szCs w:val="18"/>
              </w:rPr>
            </w:pPr>
            <w:r w:rsidRPr="00B54968">
              <w:rPr>
                <w:rFonts w:ascii="Times New Roman" w:hAnsi="Times New Roman" w:cs="Times New Roman"/>
                <w:sz w:val="16"/>
                <w:szCs w:val="18"/>
              </w:rPr>
              <w:t>*p</w:t>
            </w:r>
            <m:oMath>
              <m:r>
                <m:rPr>
                  <m:sty m:val="p"/>
                </m:rPr>
                <w:rPr>
                  <w:rFonts w:ascii="Cambria Math" w:hAnsi="Cambria Math" w:cs="Times New Roman"/>
                  <w:sz w:val="16"/>
                  <w:szCs w:val="18"/>
                </w:rPr>
                <m:t>≤</m:t>
              </m:r>
            </m:oMath>
            <w:r w:rsidRPr="00B54968">
              <w:rPr>
                <w:rFonts w:ascii="Times New Roman" w:hAnsi="Times New Roman" w:cs="Times New Roman"/>
                <w:sz w:val="16"/>
                <w:szCs w:val="18"/>
              </w:rPr>
              <w:t>0.01for infliximab vs. placebo at week 16 in IMPACT; P&lt;0.001 for infliximab vs. placebo at week 24 for IMPACT2</w:t>
            </w:r>
          </w:p>
        </w:tc>
      </w:tr>
    </w:tbl>
    <w:p w14:paraId="39B79AA6" w14:textId="77777777" w:rsidR="00F02007" w:rsidRPr="00B54968" w:rsidRDefault="00F02007" w:rsidP="003E2009">
      <w:pPr>
        <w:pStyle w:val="Default"/>
        <w:rPr>
          <w:rFonts w:ascii="Times New Roman" w:hAnsi="Times New Roman" w:cs="Times New Roman"/>
          <w:b/>
          <w:bCs/>
          <w:color w:val="auto"/>
          <w:sz w:val="20"/>
          <w:szCs w:val="20"/>
          <w:lang w:eastAsia="ko-KR"/>
        </w:rPr>
      </w:pPr>
    </w:p>
    <w:p w14:paraId="53B4AF97" w14:textId="77777777" w:rsidR="00A02600" w:rsidRPr="00B54968" w:rsidRDefault="00EB4D2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IMPACT and IMPACT 2, clinical responses were observed as early as week 2 and were maintained through week 98 and week 54 respectively. The responses were similar regardless of concomitant use of methotrexate. </w:t>
      </w:r>
    </w:p>
    <w:p w14:paraId="55C1132A" w14:textId="77777777" w:rsidR="00A02600" w:rsidRPr="00B54968" w:rsidRDefault="00A02600" w:rsidP="003E2009">
      <w:pPr>
        <w:pStyle w:val="Default"/>
        <w:rPr>
          <w:rFonts w:ascii="Times New Roman" w:hAnsi="Times New Roman" w:cs="Times New Roman"/>
          <w:color w:val="auto"/>
          <w:sz w:val="22"/>
          <w:szCs w:val="22"/>
        </w:rPr>
      </w:pPr>
    </w:p>
    <w:p w14:paraId="6B090DE5" w14:textId="77777777" w:rsidR="00A02600" w:rsidRPr="00B54968" w:rsidRDefault="00EB4D2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Treatment with infliximab also resulted in significant improvements in measures of disease activity, including swollen joints, tender joints, </w:t>
      </w:r>
      <w:proofErr w:type="spellStart"/>
      <w:r w:rsidRPr="00B54968">
        <w:rPr>
          <w:rFonts w:ascii="Times New Roman" w:hAnsi="Times New Roman" w:cs="Times New Roman"/>
          <w:color w:val="auto"/>
          <w:sz w:val="22"/>
          <w:szCs w:val="22"/>
        </w:rPr>
        <w:t>dactylitis</w:t>
      </w:r>
      <w:proofErr w:type="spellEnd"/>
      <w:r w:rsidRPr="00B54968">
        <w:rPr>
          <w:rFonts w:ascii="Times New Roman" w:hAnsi="Times New Roman" w:cs="Times New Roman"/>
          <w:color w:val="auto"/>
          <w:sz w:val="22"/>
          <w:szCs w:val="22"/>
        </w:rPr>
        <w:t xml:space="preserve">, and </w:t>
      </w:r>
      <w:proofErr w:type="spellStart"/>
      <w:r w:rsidRPr="00B54968">
        <w:rPr>
          <w:rFonts w:ascii="Times New Roman" w:hAnsi="Times New Roman" w:cs="Times New Roman"/>
          <w:color w:val="auto"/>
          <w:sz w:val="22"/>
          <w:szCs w:val="22"/>
        </w:rPr>
        <w:t>enthesopathy</w:t>
      </w:r>
      <w:proofErr w:type="spellEnd"/>
      <w:r w:rsidRPr="00B54968">
        <w:rPr>
          <w:rFonts w:ascii="Times New Roman" w:hAnsi="Times New Roman" w:cs="Times New Roman"/>
          <w:color w:val="auto"/>
          <w:sz w:val="22"/>
          <w:szCs w:val="22"/>
        </w:rPr>
        <w:t xml:space="preserve"> as compared to placebo in both trials. </w:t>
      </w:r>
    </w:p>
    <w:p w14:paraId="5566E9A6" w14:textId="77777777" w:rsidR="00A02600" w:rsidRPr="00B54968" w:rsidRDefault="00A02600" w:rsidP="003E2009">
      <w:pPr>
        <w:pStyle w:val="Default"/>
        <w:rPr>
          <w:rFonts w:ascii="Times New Roman" w:hAnsi="Times New Roman" w:cs="Times New Roman"/>
          <w:color w:val="auto"/>
          <w:sz w:val="22"/>
          <w:szCs w:val="22"/>
        </w:rPr>
      </w:pPr>
    </w:p>
    <w:p w14:paraId="681E6F07" w14:textId="77777777" w:rsidR="00A02600" w:rsidRPr="00B54968" w:rsidRDefault="00EB4D2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IMPACT and IMPACT 2 studies, 31% and 12% respectively of patients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to infliximab at baseline achieved a major clinical response (defined as achieving an ACR70 response at all visits for a continuous 24-week period) at week 98 and week 54 respectively. In contrast, 0% of patients in the placebo group in IMPACT (p&lt;0.001) and 2% of patients in the placebo group in IMPACT 2 (p=0.006) achieved an ACR70 response at the last visit before receiving infliximab therapy. </w:t>
      </w:r>
    </w:p>
    <w:p w14:paraId="729644B2" w14:textId="77777777" w:rsidR="00A02600" w:rsidRPr="00B54968" w:rsidRDefault="00A02600" w:rsidP="003E2009">
      <w:pPr>
        <w:pStyle w:val="Default"/>
        <w:rPr>
          <w:rFonts w:ascii="Times New Roman" w:hAnsi="Times New Roman" w:cs="Times New Roman"/>
          <w:color w:val="auto"/>
          <w:sz w:val="22"/>
          <w:szCs w:val="22"/>
        </w:rPr>
      </w:pPr>
    </w:p>
    <w:p w14:paraId="09D642C0" w14:textId="77777777" w:rsidR="00A02600" w:rsidRPr="00B54968" w:rsidRDefault="00EB4D2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Radiographic changes were assessed in the IMPACT2 study. Radiographs of both the hands and feet were collected at baseline, weeks 24 and 54 in all patients. Infliximab treatment inhibited the progression of structural damage compared with placebo treatment at the Week 24 primary endpoint as measured by change from baseline in total modified </w:t>
      </w:r>
      <w:proofErr w:type="spellStart"/>
      <w:r w:rsidRPr="00B54968">
        <w:rPr>
          <w:rFonts w:ascii="Times New Roman" w:hAnsi="Times New Roman" w:cs="Times New Roman"/>
          <w:color w:val="auto"/>
          <w:sz w:val="22"/>
          <w:szCs w:val="22"/>
        </w:rPr>
        <w:t>vdH</w:t>
      </w:r>
      <w:proofErr w:type="spellEnd"/>
      <w:r w:rsidRPr="00B54968">
        <w:rPr>
          <w:rFonts w:ascii="Times New Roman" w:hAnsi="Times New Roman" w:cs="Times New Roman"/>
          <w:color w:val="auto"/>
          <w:sz w:val="22"/>
          <w:szCs w:val="22"/>
        </w:rPr>
        <w:t xml:space="preserve">-S score. Differences between infliximab and placebo groups at week 24 were statistically significant for total modified </w:t>
      </w:r>
      <w:proofErr w:type="spellStart"/>
      <w:r w:rsidRPr="00B54968">
        <w:rPr>
          <w:rFonts w:ascii="Times New Roman" w:hAnsi="Times New Roman" w:cs="Times New Roman"/>
          <w:color w:val="auto"/>
          <w:sz w:val="22"/>
          <w:szCs w:val="22"/>
        </w:rPr>
        <w:t>vdH</w:t>
      </w:r>
      <w:proofErr w:type="spellEnd"/>
      <w:r w:rsidRPr="00B54968">
        <w:rPr>
          <w:rFonts w:ascii="Times New Roman" w:hAnsi="Times New Roman" w:cs="Times New Roman"/>
          <w:color w:val="auto"/>
          <w:sz w:val="22"/>
          <w:szCs w:val="22"/>
        </w:rPr>
        <w:t>-S score, hands, feet, erosion and joint space narrowing (JSN) scores. Significantly more subjects in the placebo group had readily apparent</w:t>
      </w:r>
      <w:r w:rsidRPr="00B54968">
        <w:rPr>
          <w:rFonts w:ascii="Times New Roman" w:hAnsi="Times New Roman" w:cs="Times New Roman"/>
          <w:color w:val="auto"/>
        </w:rPr>
        <w:t xml:space="preserve"> </w:t>
      </w:r>
      <w:r w:rsidRPr="00B54968">
        <w:rPr>
          <w:rFonts w:ascii="Times New Roman" w:hAnsi="Times New Roman" w:cs="Times New Roman"/>
          <w:color w:val="auto"/>
          <w:sz w:val="22"/>
          <w:szCs w:val="22"/>
        </w:rPr>
        <w:t xml:space="preserve">radiographic progression at week 24 in total modified </w:t>
      </w:r>
      <w:proofErr w:type="spellStart"/>
      <w:r w:rsidRPr="00B54968">
        <w:rPr>
          <w:rFonts w:ascii="Times New Roman" w:hAnsi="Times New Roman" w:cs="Times New Roman"/>
          <w:color w:val="auto"/>
          <w:sz w:val="22"/>
          <w:szCs w:val="22"/>
        </w:rPr>
        <w:t>vdH</w:t>
      </w:r>
      <w:proofErr w:type="spellEnd"/>
      <w:r w:rsidRPr="00B54968">
        <w:rPr>
          <w:rFonts w:ascii="Times New Roman" w:hAnsi="Times New Roman" w:cs="Times New Roman"/>
          <w:color w:val="auto"/>
          <w:sz w:val="22"/>
          <w:szCs w:val="22"/>
        </w:rPr>
        <w:t xml:space="preserve">-S, erosion, and JSN scores compared with the proportion of subjects in the infliximab group. The maintenance of radiographic benefit was observed through 1 year. </w:t>
      </w:r>
    </w:p>
    <w:p w14:paraId="7BCB6A62" w14:textId="77777777" w:rsidR="00A02600" w:rsidRPr="00B54968" w:rsidRDefault="00A02600" w:rsidP="003E2009">
      <w:pPr>
        <w:spacing w:after="0"/>
        <w:rPr>
          <w:rFonts w:ascii="Times New Roman" w:hAnsi="Times New Roman" w:cs="Times New Roman"/>
        </w:rPr>
      </w:pPr>
    </w:p>
    <w:p w14:paraId="45BD1901" w14:textId="77777777" w:rsidR="00A02600" w:rsidRPr="00B54968" w:rsidRDefault="00EB4D29" w:rsidP="003E2009">
      <w:pPr>
        <w:rPr>
          <w:rFonts w:ascii="Times New Roman" w:hAnsi="Times New Roman" w:cs="Times New Roman"/>
        </w:rPr>
      </w:pPr>
      <w:r w:rsidRPr="00B54968">
        <w:rPr>
          <w:rFonts w:ascii="Times New Roman" w:hAnsi="Times New Roman" w:cs="Times New Roman"/>
        </w:rPr>
        <w:t xml:space="preserve">The change from baseline at weeks 24 and 54 in the total modified </w:t>
      </w:r>
      <w:proofErr w:type="spellStart"/>
      <w:r w:rsidRPr="00B54968">
        <w:rPr>
          <w:rFonts w:ascii="Times New Roman" w:hAnsi="Times New Roman" w:cs="Times New Roman"/>
        </w:rPr>
        <w:t>vdH</w:t>
      </w:r>
      <w:proofErr w:type="spellEnd"/>
      <w:r w:rsidRPr="00B54968">
        <w:rPr>
          <w:rFonts w:ascii="Times New Roman" w:hAnsi="Times New Roman" w:cs="Times New Roman"/>
        </w:rPr>
        <w:t>-S score in IMPACT 2 is presented in the table below:</w:t>
      </w:r>
    </w:p>
    <w:p w14:paraId="02750852" w14:textId="4C884D03" w:rsidR="00A02600" w:rsidRPr="00B54968" w:rsidRDefault="00B42860" w:rsidP="003E2009">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lastRenderedPageBreak/>
        <w:t xml:space="preserve">Table </w:t>
      </w:r>
      <w:r w:rsidR="00B25992" w:rsidRPr="00B54968">
        <w:rPr>
          <w:rFonts w:ascii="Times New Roman" w:hAnsi="Times New Roman" w:cs="Times New Roman"/>
          <w:b/>
          <w:bCs/>
          <w:sz w:val="22"/>
          <w:szCs w:val="20"/>
        </w:rPr>
        <w:t>9</w:t>
      </w:r>
      <w:r w:rsidRP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 xml:space="preserve">Summary of change from baseline in total modified van der </w:t>
      </w:r>
      <w:proofErr w:type="spellStart"/>
      <w:r w:rsidRPr="00B54968">
        <w:rPr>
          <w:rFonts w:ascii="Times New Roman" w:hAnsi="Times New Roman" w:cs="Times New Roman"/>
          <w:b/>
          <w:bCs/>
          <w:sz w:val="22"/>
          <w:szCs w:val="20"/>
        </w:rPr>
        <w:t>Heijde</w:t>
      </w:r>
      <w:proofErr w:type="spellEnd"/>
      <w:r w:rsidRPr="00B54968">
        <w:rPr>
          <w:rFonts w:ascii="Times New Roman" w:hAnsi="Times New Roman" w:cs="Times New Roman"/>
          <w:b/>
          <w:bCs/>
          <w:sz w:val="22"/>
          <w:szCs w:val="20"/>
        </w:rPr>
        <w:t xml:space="preserve"> modified</w:t>
      </w:r>
      <w:r w:rsidR="0030205D" w:rsidRPr="00B54968">
        <w:rPr>
          <w:rFonts w:ascii="Times New Roman" w:hAnsi="Times New Roman" w:cs="Times New Roman"/>
          <w:b/>
          <w:bCs/>
          <w:sz w:val="22"/>
          <w:szCs w:val="20"/>
        </w:rPr>
        <w:t xml:space="preserve"> </w:t>
      </w:r>
      <w:r w:rsidRPr="00B54968">
        <w:rPr>
          <w:rFonts w:ascii="Times New Roman" w:hAnsi="Times New Roman" w:cs="Times New Roman"/>
          <w:b/>
          <w:bCs/>
          <w:sz w:val="22"/>
          <w:szCs w:val="20"/>
        </w:rPr>
        <w:t>Sharp score at weeks 24 and 54 (IMPACT 2)</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2365"/>
        <w:gridCol w:w="2365"/>
      </w:tblGrid>
      <w:tr w:rsidR="00F02007" w:rsidRPr="00B54968" w14:paraId="2F59D80C" w14:textId="77777777" w:rsidTr="00F02007">
        <w:trPr>
          <w:trHeight w:val="299"/>
        </w:trPr>
        <w:tc>
          <w:tcPr>
            <w:tcW w:w="2866" w:type="dxa"/>
            <w:tcBorders>
              <w:top w:val="single" w:sz="4" w:space="0" w:color="auto"/>
            </w:tcBorders>
          </w:tcPr>
          <w:p w14:paraId="5ECCD3CE" w14:textId="77777777" w:rsidR="00F02007" w:rsidRPr="00B54968" w:rsidRDefault="00F02007" w:rsidP="003E2009">
            <w:pPr>
              <w:rPr>
                <w:rFonts w:ascii="Times New Roman" w:hAnsi="Times New Roman" w:cs="Times New Roman"/>
                <w:b/>
              </w:rPr>
            </w:pPr>
          </w:p>
        </w:tc>
        <w:tc>
          <w:tcPr>
            <w:tcW w:w="2365" w:type="dxa"/>
            <w:tcBorders>
              <w:top w:val="single" w:sz="4" w:space="0" w:color="auto"/>
            </w:tcBorders>
          </w:tcPr>
          <w:p w14:paraId="72E67182" w14:textId="77777777" w:rsidR="00F02007" w:rsidRPr="00B54968" w:rsidRDefault="00F02007" w:rsidP="003E2009">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Placebo / infliximab</w:t>
            </w:r>
          </w:p>
          <w:p w14:paraId="0D9D79BF" w14:textId="77777777" w:rsidR="00F02007" w:rsidRPr="00B54968" w:rsidRDefault="00F02007" w:rsidP="003E2009">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5mg/kg*</w:t>
            </w:r>
          </w:p>
        </w:tc>
        <w:tc>
          <w:tcPr>
            <w:tcW w:w="2365" w:type="dxa"/>
            <w:tcBorders>
              <w:top w:val="single" w:sz="4" w:space="0" w:color="auto"/>
            </w:tcBorders>
          </w:tcPr>
          <w:p w14:paraId="6D544F0E" w14:textId="77777777" w:rsidR="0030205D" w:rsidRPr="00B54968" w:rsidRDefault="0030205D" w:rsidP="003E2009">
            <w:pPr>
              <w:rPr>
                <w:rFonts w:ascii="Times New Roman" w:hAnsi="Times New Roman" w:cs="Times New Roman"/>
                <w:color w:val="000000"/>
                <w:spacing w:val="-3"/>
                <w:sz w:val="18"/>
                <w:szCs w:val="18"/>
                <w:lang w:eastAsia="ko-KR"/>
              </w:rPr>
            </w:pPr>
          </w:p>
          <w:p w14:paraId="5669AE8A" w14:textId="77777777" w:rsidR="00F02007" w:rsidRPr="00B54968" w:rsidRDefault="00F02007" w:rsidP="003E2009">
            <w:pPr>
              <w:rPr>
                <w:rFonts w:ascii="Times New Roman" w:hAnsi="Times New Roman" w:cs="Times New Roman"/>
                <w:b/>
              </w:rPr>
            </w:pPr>
            <w:r w:rsidRPr="00B54968">
              <w:rPr>
                <w:rFonts w:ascii="Times New Roman" w:hAnsi="Times New Roman" w:cs="Times New Roman"/>
                <w:color w:val="000000"/>
                <w:spacing w:val="-3"/>
                <w:sz w:val="18"/>
                <w:szCs w:val="18"/>
              </w:rPr>
              <w:t>Infliximab 5 mg/kg</w:t>
            </w:r>
          </w:p>
        </w:tc>
      </w:tr>
      <w:tr w:rsidR="00F02007" w:rsidRPr="00B54968" w14:paraId="7A4C5A64" w14:textId="77777777" w:rsidTr="00F02007">
        <w:trPr>
          <w:trHeight w:val="367"/>
        </w:trPr>
        <w:tc>
          <w:tcPr>
            <w:tcW w:w="2866" w:type="dxa"/>
            <w:vAlign w:val="center"/>
          </w:tcPr>
          <w:p w14:paraId="24C21E20" w14:textId="77777777" w:rsidR="00F02007" w:rsidRPr="00B54968" w:rsidRDefault="00F02007" w:rsidP="003E2009">
            <w:pPr>
              <w:adjustRightInd w:val="0"/>
              <w:spacing w:before="10"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xml:space="preserve">Subjects </w:t>
            </w:r>
            <w:proofErr w:type="spellStart"/>
            <w:r w:rsidRPr="00B54968">
              <w:rPr>
                <w:rFonts w:ascii="Times New Roman" w:hAnsi="Times New Roman" w:cs="Times New Roman"/>
                <w:color w:val="000000"/>
                <w:spacing w:val="-2"/>
                <w:sz w:val="18"/>
                <w:szCs w:val="18"/>
              </w:rPr>
              <w:t>randomised</w:t>
            </w:r>
            <w:proofErr w:type="spellEnd"/>
          </w:p>
        </w:tc>
        <w:tc>
          <w:tcPr>
            <w:tcW w:w="2365" w:type="dxa"/>
            <w:vAlign w:val="center"/>
          </w:tcPr>
          <w:p w14:paraId="460A7C54" w14:textId="77777777" w:rsidR="00F02007" w:rsidRPr="00B54968" w:rsidRDefault="00F02007" w:rsidP="003E2009">
            <w:pPr>
              <w:adjustRightInd w:val="0"/>
              <w:spacing w:before="10"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100</w:t>
            </w:r>
          </w:p>
        </w:tc>
        <w:tc>
          <w:tcPr>
            <w:tcW w:w="2365" w:type="dxa"/>
            <w:vAlign w:val="center"/>
          </w:tcPr>
          <w:p w14:paraId="1B508007" w14:textId="77777777" w:rsidR="00F02007" w:rsidRPr="00B54968" w:rsidRDefault="00F02007" w:rsidP="003E2009">
            <w:pPr>
              <w:adjustRightInd w:val="0"/>
              <w:spacing w:before="10"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100</w:t>
            </w:r>
          </w:p>
        </w:tc>
      </w:tr>
      <w:tr w:rsidR="00F02007" w:rsidRPr="00B54968" w14:paraId="1B2B8B73" w14:textId="77777777" w:rsidTr="00F02007">
        <w:trPr>
          <w:trHeight w:val="399"/>
        </w:trPr>
        <w:tc>
          <w:tcPr>
            <w:tcW w:w="2866" w:type="dxa"/>
            <w:vAlign w:val="center"/>
          </w:tcPr>
          <w:p w14:paraId="5E34A3F7" w14:textId="77777777" w:rsidR="00F02007" w:rsidRPr="00B54968" w:rsidRDefault="00F02007" w:rsidP="003E2009">
            <w:pPr>
              <w:adjustRightInd w:val="0"/>
              <w:spacing w:before="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Change from baseline</w:t>
            </w:r>
          </w:p>
        </w:tc>
        <w:tc>
          <w:tcPr>
            <w:tcW w:w="2365" w:type="dxa"/>
            <w:vAlign w:val="center"/>
          </w:tcPr>
          <w:p w14:paraId="24831B77" w14:textId="77777777" w:rsidR="00F02007" w:rsidRPr="00B54968" w:rsidRDefault="00F02007" w:rsidP="003E2009">
            <w:pPr>
              <w:rPr>
                <w:rFonts w:ascii="Times New Roman" w:hAnsi="Times New Roman" w:cs="Times New Roman"/>
                <w:b/>
              </w:rPr>
            </w:pPr>
          </w:p>
        </w:tc>
        <w:tc>
          <w:tcPr>
            <w:tcW w:w="2365" w:type="dxa"/>
            <w:vAlign w:val="center"/>
          </w:tcPr>
          <w:p w14:paraId="54C16AD0" w14:textId="77777777" w:rsidR="00F02007" w:rsidRPr="00B54968" w:rsidRDefault="00F02007" w:rsidP="003E2009">
            <w:pPr>
              <w:rPr>
                <w:rFonts w:ascii="Times New Roman" w:hAnsi="Times New Roman" w:cs="Times New Roman"/>
                <w:b/>
              </w:rPr>
            </w:pPr>
          </w:p>
        </w:tc>
      </w:tr>
      <w:tr w:rsidR="00F02007" w:rsidRPr="00B54968" w14:paraId="00A89897" w14:textId="77777777" w:rsidTr="00F02007">
        <w:trPr>
          <w:trHeight w:val="227"/>
        </w:trPr>
        <w:tc>
          <w:tcPr>
            <w:tcW w:w="2866" w:type="dxa"/>
          </w:tcPr>
          <w:p w14:paraId="7091851B" w14:textId="77777777" w:rsidR="00F02007" w:rsidRPr="00B54968" w:rsidRDefault="00F02007" w:rsidP="003E2009">
            <w:pPr>
              <w:rPr>
                <w:rFonts w:ascii="Times New Roman" w:hAnsi="Times New Roman" w:cs="Times New Roman"/>
                <w:b/>
              </w:rPr>
            </w:pPr>
            <w:r w:rsidRPr="00B54968">
              <w:rPr>
                <w:rFonts w:ascii="Times New Roman" w:hAnsi="Times New Roman" w:cs="Times New Roman"/>
                <w:color w:val="000000"/>
                <w:spacing w:val="-2"/>
                <w:sz w:val="18"/>
                <w:szCs w:val="18"/>
              </w:rPr>
              <w:t>n</w:t>
            </w:r>
          </w:p>
        </w:tc>
        <w:tc>
          <w:tcPr>
            <w:tcW w:w="2365" w:type="dxa"/>
          </w:tcPr>
          <w:p w14:paraId="19AC3DD8" w14:textId="77777777" w:rsidR="00F02007" w:rsidRPr="00B54968" w:rsidRDefault="00BE19A8" w:rsidP="003E2009">
            <w:pPr>
              <w:rPr>
                <w:rFonts w:ascii="Times New Roman" w:hAnsi="Times New Roman" w:cs="Times New Roman"/>
                <w:sz w:val="18"/>
                <w:szCs w:val="18"/>
                <w:lang w:eastAsia="ko-KR"/>
              </w:rPr>
            </w:pPr>
            <w:r w:rsidRPr="00B54968">
              <w:rPr>
                <w:rFonts w:ascii="Times New Roman" w:hAnsi="Times New Roman" w:cs="Times New Roman"/>
                <w:sz w:val="18"/>
                <w:szCs w:val="18"/>
                <w:lang w:eastAsia="ko-KR"/>
              </w:rPr>
              <w:t>100</w:t>
            </w:r>
          </w:p>
        </w:tc>
        <w:tc>
          <w:tcPr>
            <w:tcW w:w="2365" w:type="dxa"/>
          </w:tcPr>
          <w:p w14:paraId="7FCD43A2" w14:textId="77777777" w:rsidR="00F02007" w:rsidRPr="00B54968" w:rsidRDefault="00BE19A8" w:rsidP="003E2009">
            <w:pPr>
              <w:rPr>
                <w:rFonts w:ascii="Times New Roman" w:hAnsi="Times New Roman" w:cs="Times New Roman"/>
                <w:sz w:val="18"/>
                <w:szCs w:val="18"/>
                <w:lang w:eastAsia="ko-KR"/>
              </w:rPr>
            </w:pPr>
            <w:r w:rsidRPr="00B54968">
              <w:rPr>
                <w:rFonts w:ascii="Times New Roman" w:hAnsi="Times New Roman" w:cs="Times New Roman"/>
                <w:sz w:val="18"/>
                <w:szCs w:val="18"/>
                <w:lang w:eastAsia="ko-KR"/>
              </w:rPr>
              <w:t>100</w:t>
            </w:r>
          </w:p>
        </w:tc>
      </w:tr>
      <w:tr w:rsidR="00F02007" w:rsidRPr="00B54968" w14:paraId="3EC7FCCF" w14:textId="77777777" w:rsidTr="00F02007">
        <w:trPr>
          <w:trHeight w:val="267"/>
        </w:trPr>
        <w:tc>
          <w:tcPr>
            <w:tcW w:w="2866" w:type="dxa"/>
          </w:tcPr>
          <w:p w14:paraId="5EF27A59" w14:textId="77777777" w:rsidR="00F02007" w:rsidRPr="00B54968" w:rsidRDefault="00F02007" w:rsidP="003E2009">
            <w:pPr>
              <w:adjustRightInd w:val="0"/>
              <w:spacing w:before="69" w:line="207" w:lineRule="exact"/>
              <w:rPr>
                <w:rFonts w:ascii="Times New Roman" w:hAnsi="Times New Roman" w:cs="Times New Roman"/>
                <w:b/>
                <w:color w:val="000000"/>
                <w:spacing w:val="-2"/>
                <w:sz w:val="18"/>
                <w:szCs w:val="18"/>
              </w:rPr>
            </w:pPr>
            <w:r w:rsidRPr="00B54968">
              <w:rPr>
                <w:rFonts w:ascii="Times New Roman" w:hAnsi="Times New Roman" w:cs="Times New Roman"/>
                <w:b/>
                <w:color w:val="000000"/>
                <w:spacing w:val="-2"/>
                <w:sz w:val="18"/>
                <w:szCs w:val="18"/>
              </w:rPr>
              <w:t>Week 24</w:t>
            </w:r>
          </w:p>
        </w:tc>
        <w:tc>
          <w:tcPr>
            <w:tcW w:w="2365" w:type="dxa"/>
          </w:tcPr>
          <w:p w14:paraId="174C8998" w14:textId="77777777" w:rsidR="00F02007" w:rsidRPr="00B54968" w:rsidRDefault="00F02007" w:rsidP="003E2009">
            <w:pPr>
              <w:adjustRightInd w:val="0"/>
              <w:spacing w:before="69" w:line="207" w:lineRule="exact"/>
              <w:rPr>
                <w:rFonts w:ascii="Times New Roman" w:hAnsi="Times New Roman" w:cs="Times New Roman"/>
                <w:color w:val="000000"/>
                <w:spacing w:val="-2"/>
                <w:sz w:val="18"/>
                <w:szCs w:val="18"/>
              </w:rPr>
            </w:pPr>
          </w:p>
        </w:tc>
        <w:tc>
          <w:tcPr>
            <w:tcW w:w="2365" w:type="dxa"/>
          </w:tcPr>
          <w:p w14:paraId="6E474251" w14:textId="77777777" w:rsidR="00F02007" w:rsidRPr="00B54968" w:rsidRDefault="00F02007" w:rsidP="003E2009">
            <w:pPr>
              <w:adjustRightInd w:val="0"/>
              <w:spacing w:before="69" w:line="207" w:lineRule="exact"/>
              <w:rPr>
                <w:rFonts w:ascii="Times New Roman" w:hAnsi="Times New Roman" w:cs="Times New Roman"/>
                <w:color w:val="000000"/>
                <w:spacing w:val="-2"/>
                <w:sz w:val="18"/>
                <w:szCs w:val="18"/>
              </w:rPr>
            </w:pPr>
          </w:p>
        </w:tc>
      </w:tr>
      <w:tr w:rsidR="00F02007" w:rsidRPr="00B54968" w14:paraId="2E5C1ACC" w14:textId="77777777" w:rsidTr="00F02007">
        <w:trPr>
          <w:trHeight w:val="267"/>
        </w:trPr>
        <w:tc>
          <w:tcPr>
            <w:tcW w:w="2866" w:type="dxa"/>
          </w:tcPr>
          <w:p w14:paraId="193A73E2" w14:textId="77777777" w:rsidR="00F02007" w:rsidRPr="00B54968" w:rsidRDefault="00F02007" w:rsidP="003E2009">
            <w:pPr>
              <w:adjustRightInd w:val="0"/>
              <w:spacing w:before="64"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Mean ± SD</w:t>
            </w:r>
          </w:p>
        </w:tc>
        <w:tc>
          <w:tcPr>
            <w:tcW w:w="2365" w:type="dxa"/>
          </w:tcPr>
          <w:p w14:paraId="727C610B" w14:textId="77777777" w:rsidR="00F02007" w:rsidRPr="00B54968" w:rsidRDefault="00F02007" w:rsidP="003E2009">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0.82 ± 2.62</w:t>
            </w:r>
          </w:p>
        </w:tc>
        <w:tc>
          <w:tcPr>
            <w:tcW w:w="2365" w:type="dxa"/>
          </w:tcPr>
          <w:p w14:paraId="28A3C8D3" w14:textId="77777777" w:rsidR="00F02007" w:rsidRPr="00B54968" w:rsidRDefault="00F02007" w:rsidP="003E2009">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-0.70 ± 2.53</w:t>
            </w:r>
          </w:p>
        </w:tc>
      </w:tr>
      <w:tr w:rsidR="00F02007" w:rsidRPr="00B54968" w14:paraId="319D9786" w14:textId="77777777" w:rsidTr="00F02007">
        <w:trPr>
          <w:trHeight w:val="267"/>
        </w:trPr>
        <w:tc>
          <w:tcPr>
            <w:tcW w:w="2866" w:type="dxa"/>
          </w:tcPr>
          <w:p w14:paraId="1E7CDD47" w14:textId="77777777" w:rsidR="00F02007" w:rsidRPr="00B54968" w:rsidRDefault="00F02007" w:rsidP="003E2009">
            <w:pPr>
              <w:adjustRightInd w:val="0"/>
              <w:spacing w:before="62"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p-value</w:t>
            </w:r>
          </w:p>
        </w:tc>
        <w:tc>
          <w:tcPr>
            <w:tcW w:w="2365" w:type="dxa"/>
          </w:tcPr>
          <w:p w14:paraId="3741A61D" w14:textId="77777777" w:rsidR="00F02007" w:rsidRPr="00B54968" w:rsidRDefault="00F02007" w:rsidP="003E2009">
            <w:pPr>
              <w:adjustRightInd w:val="0"/>
              <w:spacing w:before="62" w:line="207" w:lineRule="exact"/>
              <w:rPr>
                <w:rFonts w:ascii="Times New Roman" w:hAnsi="Times New Roman" w:cs="Times New Roman"/>
                <w:color w:val="000000"/>
                <w:spacing w:val="-2"/>
                <w:sz w:val="18"/>
                <w:szCs w:val="18"/>
              </w:rPr>
            </w:pPr>
          </w:p>
        </w:tc>
        <w:tc>
          <w:tcPr>
            <w:tcW w:w="2365" w:type="dxa"/>
          </w:tcPr>
          <w:p w14:paraId="6C8E7EA6" w14:textId="77777777" w:rsidR="00F02007" w:rsidRPr="00B54968" w:rsidRDefault="00BE19A8" w:rsidP="003E2009">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26EB9B3C" w14:textId="77777777" w:rsidTr="00F02007">
        <w:trPr>
          <w:trHeight w:val="267"/>
        </w:trPr>
        <w:tc>
          <w:tcPr>
            <w:tcW w:w="2866" w:type="dxa"/>
          </w:tcPr>
          <w:p w14:paraId="05CAB4D8" w14:textId="77777777" w:rsidR="00F02007" w:rsidRPr="00B54968" w:rsidRDefault="00F02007" w:rsidP="003E2009">
            <w:pPr>
              <w:adjustRightInd w:val="0"/>
              <w:spacing w:before="69" w:line="207" w:lineRule="exact"/>
              <w:rPr>
                <w:rFonts w:ascii="Times New Roman" w:hAnsi="Times New Roman" w:cs="Times New Roman"/>
                <w:b/>
                <w:color w:val="000000"/>
                <w:spacing w:val="-2"/>
                <w:sz w:val="18"/>
                <w:szCs w:val="18"/>
              </w:rPr>
            </w:pPr>
            <w:r w:rsidRPr="00B54968">
              <w:rPr>
                <w:rFonts w:ascii="Times New Roman" w:hAnsi="Times New Roman" w:cs="Times New Roman"/>
                <w:b/>
                <w:color w:val="000000"/>
                <w:spacing w:val="-2"/>
                <w:sz w:val="18"/>
                <w:szCs w:val="18"/>
              </w:rPr>
              <w:t>Week 54</w:t>
            </w:r>
          </w:p>
        </w:tc>
        <w:tc>
          <w:tcPr>
            <w:tcW w:w="2365" w:type="dxa"/>
          </w:tcPr>
          <w:p w14:paraId="4C8868AF" w14:textId="77777777" w:rsidR="00F02007" w:rsidRPr="00B54968" w:rsidRDefault="00F02007" w:rsidP="003E2009">
            <w:pPr>
              <w:adjustRightInd w:val="0"/>
              <w:spacing w:before="69" w:line="207" w:lineRule="exact"/>
              <w:rPr>
                <w:rFonts w:ascii="Times New Roman" w:hAnsi="Times New Roman" w:cs="Times New Roman"/>
                <w:color w:val="000000"/>
                <w:spacing w:val="-2"/>
                <w:sz w:val="18"/>
                <w:szCs w:val="18"/>
              </w:rPr>
            </w:pPr>
          </w:p>
        </w:tc>
        <w:tc>
          <w:tcPr>
            <w:tcW w:w="2365" w:type="dxa"/>
          </w:tcPr>
          <w:p w14:paraId="2824CD7A" w14:textId="77777777" w:rsidR="00F02007" w:rsidRPr="00B54968" w:rsidRDefault="00F02007" w:rsidP="003E2009">
            <w:pPr>
              <w:adjustRightInd w:val="0"/>
              <w:spacing w:before="69" w:line="207" w:lineRule="exact"/>
              <w:rPr>
                <w:rFonts w:ascii="Times New Roman" w:hAnsi="Times New Roman" w:cs="Times New Roman"/>
                <w:color w:val="000000"/>
                <w:spacing w:val="-2"/>
                <w:sz w:val="18"/>
                <w:szCs w:val="18"/>
              </w:rPr>
            </w:pPr>
          </w:p>
        </w:tc>
      </w:tr>
      <w:tr w:rsidR="00F02007" w:rsidRPr="00B54968" w14:paraId="0A5C518B" w14:textId="77777777" w:rsidTr="00F02007">
        <w:trPr>
          <w:trHeight w:val="267"/>
        </w:trPr>
        <w:tc>
          <w:tcPr>
            <w:tcW w:w="2866" w:type="dxa"/>
          </w:tcPr>
          <w:p w14:paraId="37AF2570" w14:textId="77777777" w:rsidR="00F02007" w:rsidRPr="00B54968" w:rsidRDefault="00F02007" w:rsidP="003E2009">
            <w:pPr>
              <w:adjustRightInd w:val="0"/>
              <w:spacing w:before="64"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Mean ± SD</w:t>
            </w:r>
          </w:p>
        </w:tc>
        <w:tc>
          <w:tcPr>
            <w:tcW w:w="2365" w:type="dxa"/>
          </w:tcPr>
          <w:p w14:paraId="553C0EF4" w14:textId="77777777" w:rsidR="00F02007" w:rsidRPr="00B54968" w:rsidRDefault="00F02007" w:rsidP="003E2009">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0.53 ± 2.60</w:t>
            </w:r>
          </w:p>
        </w:tc>
        <w:tc>
          <w:tcPr>
            <w:tcW w:w="2365" w:type="dxa"/>
          </w:tcPr>
          <w:p w14:paraId="7C169B9A" w14:textId="77777777" w:rsidR="00F02007" w:rsidRPr="00B54968" w:rsidRDefault="00F02007" w:rsidP="003E2009">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-0.94 ± 3.40</w:t>
            </w:r>
          </w:p>
        </w:tc>
      </w:tr>
      <w:tr w:rsidR="00F02007" w:rsidRPr="00B54968" w14:paraId="33BFD702" w14:textId="77777777" w:rsidTr="00F02007">
        <w:trPr>
          <w:trHeight w:val="267"/>
        </w:trPr>
        <w:tc>
          <w:tcPr>
            <w:tcW w:w="2866" w:type="dxa"/>
            <w:tcBorders>
              <w:bottom w:val="single" w:sz="4" w:space="0" w:color="auto"/>
            </w:tcBorders>
          </w:tcPr>
          <w:p w14:paraId="12B0F8DF" w14:textId="77777777" w:rsidR="00F02007" w:rsidRPr="00B54968" w:rsidRDefault="00F02007" w:rsidP="003E2009">
            <w:pPr>
              <w:adjustRightInd w:val="0"/>
              <w:spacing w:before="62"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p-value</w:t>
            </w:r>
          </w:p>
        </w:tc>
        <w:tc>
          <w:tcPr>
            <w:tcW w:w="2365" w:type="dxa"/>
            <w:tcBorders>
              <w:bottom w:val="single" w:sz="4" w:space="0" w:color="auto"/>
            </w:tcBorders>
          </w:tcPr>
          <w:p w14:paraId="2A483F68" w14:textId="77777777" w:rsidR="00F02007" w:rsidRPr="00B54968" w:rsidRDefault="00F02007" w:rsidP="003E2009">
            <w:pPr>
              <w:adjustRightInd w:val="0"/>
              <w:spacing w:before="62" w:line="207" w:lineRule="exact"/>
              <w:rPr>
                <w:rFonts w:ascii="Times New Roman" w:hAnsi="Times New Roman" w:cs="Times New Roman"/>
                <w:color w:val="000000"/>
                <w:spacing w:val="-2"/>
                <w:sz w:val="18"/>
                <w:szCs w:val="18"/>
              </w:rPr>
            </w:pPr>
          </w:p>
        </w:tc>
        <w:tc>
          <w:tcPr>
            <w:tcW w:w="2365" w:type="dxa"/>
            <w:tcBorders>
              <w:bottom w:val="single" w:sz="4" w:space="0" w:color="auto"/>
            </w:tcBorders>
          </w:tcPr>
          <w:p w14:paraId="30B53BB2" w14:textId="77777777" w:rsidR="00F02007" w:rsidRPr="00B54968" w:rsidRDefault="00BE19A8" w:rsidP="003E2009">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0.001</w:t>
            </w:r>
          </w:p>
        </w:tc>
      </w:tr>
      <w:tr w:rsidR="00F02007" w:rsidRPr="00B54968" w14:paraId="0E1932AA" w14:textId="77777777" w:rsidTr="0030205D">
        <w:trPr>
          <w:trHeight w:val="111"/>
        </w:trPr>
        <w:tc>
          <w:tcPr>
            <w:tcW w:w="7595" w:type="dxa"/>
            <w:gridSpan w:val="3"/>
            <w:tcBorders>
              <w:top w:val="single" w:sz="4" w:space="0" w:color="auto"/>
            </w:tcBorders>
            <w:vAlign w:val="bottom"/>
          </w:tcPr>
          <w:p w14:paraId="61A83C2B" w14:textId="40575B16" w:rsidR="00F02007" w:rsidRPr="00B54968" w:rsidRDefault="00F02007" w:rsidP="003E2009">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6"/>
                <w:szCs w:val="18"/>
              </w:rPr>
              <w:t>*placebo patients crossed over to infliximab at week 24</w:t>
            </w:r>
          </w:p>
        </w:tc>
      </w:tr>
    </w:tbl>
    <w:p w14:paraId="77B94C97" w14:textId="77777777" w:rsidR="00F02007" w:rsidRPr="00B54968" w:rsidRDefault="00F02007" w:rsidP="003E2009">
      <w:pPr>
        <w:autoSpaceDE w:val="0"/>
        <w:autoSpaceDN w:val="0"/>
        <w:adjustRightInd w:val="0"/>
        <w:spacing w:after="0" w:line="240" w:lineRule="auto"/>
        <w:rPr>
          <w:rFonts w:ascii="Times New Roman" w:hAnsi="Times New Roman" w:cs="Times New Roman"/>
          <w:lang w:eastAsia="ko-KR"/>
        </w:rPr>
      </w:pPr>
    </w:p>
    <w:p w14:paraId="1ABC3CD6" w14:textId="77777777" w:rsidR="00A02600" w:rsidRPr="00B54968" w:rsidRDefault="00265003" w:rsidP="003E200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Infliximab-treated patients also demonstrated significant improvement in physical function as assessed by HAQ. Significant improvements in health-related quality of life were also demonstrated as measured by the physical and mental component summary scores of the SF-36 in IMPACT 2. </w:t>
      </w:r>
    </w:p>
    <w:p w14:paraId="42769A82" w14:textId="77777777" w:rsidR="00A02600" w:rsidRPr="00B54968" w:rsidRDefault="00A02600" w:rsidP="003E2009">
      <w:pPr>
        <w:autoSpaceDE w:val="0"/>
        <w:autoSpaceDN w:val="0"/>
        <w:adjustRightInd w:val="0"/>
        <w:spacing w:after="0" w:line="240" w:lineRule="auto"/>
        <w:rPr>
          <w:rFonts w:ascii="Times New Roman" w:hAnsi="Times New Roman" w:cs="Times New Roman"/>
        </w:rPr>
      </w:pPr>
    </w:p>
    <w:p w14:paraId="5B1252FA" w14:textId="77777777" w:rsidR="00A02600" w:rsidRPr="003E2009" w:rsidRDefault="00265003" w:rsidP="003E2009">
      <w:pPr>
        <w:autoSpaceDE w:val="0"/>
        <w:autoSpaceDN w:val="0"/>
        <w:adjustRightInd w:val="0"/>
        <w:spacing w:after="0" w:line="240" w:lineRule="auto"/>
        <w:rPr>
          <w:rFonts w:ascii="Times New Roman" w:hAnsi="Times New Roman" w:cs="Times New Roman"/>
        </w:rPr>
      </w:pPr>
      <w:r w:rsidRPr="003E2009">
        <w:rPr>
          <w:rFonts w:ascii="Times New Roman" w:hAnsi="Times New Roman" w:cs="Times New Roman"/>
          <w:b/>
          <w:bCs/>
        </w:rPr>
        <w:t xml:space="preserve">Psoriasis </w:t>
      </w:r>
    </w:p>
    <w:p w14:paraId="69063448" w14:textId="77777777" w:rsidR="00A02600" w:rsidRPr="00B54968" w:rsidRDefault="00265003" w:rsidP="003E200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The efficacy of infliximab was assessed in two </w:t>
      </w:r>
      <w:proofErr w:type="spellStart"/>
      <w:r w:rsidRPr="00B54968">
        <w:rPr>
          <w:rFonts w:ascii="Times New Roman" w:hAnsi="Times New Roman" w:cs="Times New Roman"/>
        </w:rPr>
        <w:t>multicentre</w:t>
      </w:r>
      <w:proofErr w:type="spellEnd"/>
      <w:r w:rsidRPr="00B54968">
        <w:rPr>
          <w:rFonts w:ascii="Times New Roman" w:hAnsi="Times New Roman" w:cs="Times New Roman"/>
        </w:rPr>
        <w:t xml:space="preserv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double blind studies: SPIRIT and EXPRESS. Patients in both studies had plaque psoriasis (Body Surface Area [BSA] ≥10% and Psoriasis Area and Severity Index [PASI] score ≥12). The primary endpoint in both studies was the percent of patients who achieved ≥75% improvement in PASI from baseline at week 10. Marked responders were identified as patients who achieved ≥90% improvement in PASI from baseline. </w:t>
      </w:r>
    </w:p>
    <w:p w14:paraId="2E10AAD7" w14:textId="77777777" w:rsidR="00A02600" w:rsidRPr="00B54968" w:rsidRDefault="00A02600" w:rsidP="003E2009">
      <w:pPr>
        <w:autoSpaceDE w:val="0"/>
        <w:autoSpaceDN w:val="0"/>
        <w:adjustRightInd w:val="0"/>
        <w:spacing w:after="0" w:line="240" w:lineRule="auto"/>
        <w:rPr>
          <w:rFonts w:ascii="Times New Roman" w:hAnsi="Times New Roman" w:cs="Times New Roman"/>
        </w:rPr>
      </w:pPr>
    </w:p>
    <w:p w14:paraId="5076B72C" w14:textId="77777777" w:rsidR="00A02600" w:rsidRPr="00B54968" w:rsidRDefault="00265003" w:rsidP="003E200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SPIRIT evaluated the efficacy of infliximab induction therapy in 249 patients with plaque psoriasis that had previously received PUVA or systemic therapy. Patients received either 3mg/kg or, 5 mg/kg infliximab or placebo infusions at weeks 0, 2 and 6. Patients with a physician’s global assessment (PGA) score ≥3 were eligible to receive an additional infusion of the same treatment at week 26. </w:t>
      </w:r>
    </w:p>
    <w:p w14:paraId="755DEE3E" w14:textId="77777777" w:rsidR="00A02600" w:rsidRPr="00B54968" w:rsidRDefault="00A02600" w:rsidP="003E2009">
      <w:pPr>
        <w:autoSpaceDE w:val="0"/>
        <w:autoSpaceDN w:val="0"/>
        <w:adjustRightInd w:val="0"/>
        <w:spacing w:after="0" w:line="240" w:lineRule="auto"/>
        <w:rPr>
          <w:rFonts w:ascii="Times New Roman" w:hAnsi="Times New Roman" w:cs="Times New Roman"/>
        </w:rPr>
      </w:pPr>
    </w:p>
    <w:p w14:paraId="2F89C9DE" w14:textId="77777777" w:rsidR="00A02600" w:rsidRPr="00B54968" w:rsidRDefault="0026500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SPIRIT, the median baseline BSA was 27.0%, the median baseline PASI score was 18.9; 62.2% of patients had a baseline PGA score of “moderate” and 24.9% of patients had a baseline PGA score of “marked” or “severe.” Prior therapy with PUVA, methotrexate, cyclosporin or </w:t>
      </w:r>
      <w:proofErr w:type="spellStart"/>
      <w:r w:rsidRPr="00B54968">
        <w:rPr>
          <w:rFonts w:ascii="Times New Roman" w:hAnsi="Times New Roman" w:cs="Times New Roman"/>
          <w:color w:val="auto"/>
          <w:sz w:val="22"/>
          <w:szCs w:val="22"/>
        </w:rPr>
        <w:t>acitretin</w:t>
      </w:r>
      <w:proofErr w:type="spellEnd"/>
      <w:r w:rsidRPr="00B54968">
        <w:rPr>
          <w:rFonts w:ascii="Times New Roman" w:hAnsi="Times New Roman" w:cs="Times New Roman"/>
          <w:color w:val="auto"/>
          <w:sz w:val="22"/>
          <w:szCs w:val="22"/>
        </w:rPr>
        <w:t xml:space="preserve"> had been received by 81.5% of the patients. The proportion of patients with ≥75% improvement in PASI from baseline (PASI 75) at week 10 was 79.8% in the combined infliximab group, 71.7% in the 3 mg/kg infliximab group, 87.9% in the 5 mg/kg infliximab group, and 5.9% in the placebo group (p&lt;0.001 for each infliximab versus placebo comparison). At week 10, a significantly greater proportion of infliximab-treated patients, both in the combined group (51.5%) and in the individual groups (3 mg/kg: 45.5%; 5 mg/kg: 57.6%), achieved a marked response (≥90% improvement in PASI from baseline) compared to the placebo-treated patients (2.0%). In the 3 mg/kg group, 60.6% of patients maintained response through week 14 and 75.3% of patients in the 5 mg/kg group maintained response through week 18. By week 26, twenty weeks after the last induction dose, 30% of patients in the 5 mg/kg group and 13.8% of patients in the 3 mg/kg group were PASI 75 responders, suggesting the need for maintenance therapy. </w:t>
      </w:r>
    </w:p>
    <w:p w14:paraId="5412218A" w14:textId="77777777" w:rsidR="00A02600" w:rsidRPr="00B54968" w:rsidRDefault="00265003" w:rsidP="003E200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Health related quality of life, was assessed with the Dermatology Life Quality Index (DLQI). The median baseline DLQI was 12. The median change from baseline in DLQI at week 10 was -8.0 and -10.0 for the infliximab 3 mg/kg and 5 mg/kg groups, respectively, compared with 0.0 in the placebo group (p&lt;0.001 for all infliximab versus placebo comparisons), demonstrating a substantial improvement in quality of life for patients on infliximab therapy. </w:t>
      </w:r>
    </w:p>
    <w:p w14:paraId="569D8772" w14:textId="77777777" w:rsidR="00A02600" w:rsidRPr="00B54968" w:rsidRDefault="00265003" w:rsidP="003E2009">
      <w:pPr>
        <w:autoSpaceDE w:val="0"/>
        <w:autoSpaceDN w:val="0"/>
        <w:adjustRightInd w:val="0"/>
        <w:spacing w:after="0" w:line="240" w:lineRule="auto"/>
        <w:rPr>
          <w:rFonts w:ascii="Times New Roman" w:hAnsi="Times New Roman" w:cs="Times New Roman"/>
          <w:lang w:eastAsia="ko-KR"/>
        </w:rPr>
      </w:pPr>
      <w:r w:rsidRPr="00B54968">
        <w:rPr>
          <w:rFonts w:ascii="Times New Roman" w:hAnsi="Times New Roman" w:cs="Times New Roman"/>
        </w:rPr>
        <w:t xml:space="preserve">EXPRESS evaluated the efficacy of infliximab induction and maintenance therapy in 378 patients with plaque psoriasis who were candidates for phototherapy or systemic therapy. Patients received 5 mg/kg infliximab or placebo infusions at weeks 0, 2 and 6 followed by maintenance therapy every 8 </w:t>
      </w:r>
      <w:r w:rsidRPr="00B54968">
        <w:rPr>
          <w:rFonts w:ascii="Times New Roman" w:hAnsi="Times New Roman" w:cs="Times New Roman"/>
        </w:rPr>
        <w:lastRenderedPageBreak/>
        <w:t xml:space="preserve">weeks through week 22 in the placebo group and through week 46 in the infliximab group. At week 24, the placebo group crossed over to infliximab induction therapy (5 mg/kg) followed by infliximab maintenance therapy (5 mg/kg). </w:t>
      </w:r>
    </w:p>
    <w:p w14:paraId="7461F1DC" w14:textId="77777777" w:rsidR="00660A6E" w:rsidRPr="00B54968" w:rsidRDefault="00660A6E" w:rsidP="003E2009">
      <w:pPr>
        <w:autoSpaceDE w:val="0"/>
        <w:autoSpaceDN w:val="0"/>
        <w:adjustRightInd w:val="0"/>
        <w:spacing w:after="0" w:line="240" w:lineRule="auto"/>
        <w:rPr>
          <w:rFonts w:ascii="Times New Roman" w:hAnsi="Times New Roman" w:cs="Times New Roman"/>
          <w:lang w:eastAsia="ko-KR"/>
        </w:rPr>
      </w:pPr>
    </w:p>
    <w:p w14:paraId="6C886FC4" w14:textId="23FF390B" w:rsidR="00A02600" w:rsidRPr="00B54968" w:rsidRDefault="00265003" w:rsidP="003E2009">
      <w:pPr>
        <w:spacing w:line="240" w:lineRule="auto"/>
        <w:rPr>
          <w:rFonts w:ascii="Times New Roman" w:hAnsi="Times New Roman" w:cs="Times New Roman"/>
          <w:b/>
          <w:bCs/>
          <w:sz w:val="20"/>
          <w:szCs w:val="20"/>
        </w:rPr>
      </w:pPr>
      <w:r w:rsidRPr="00B54968">
        <w:rPr>
          <w:rFonts w:ascii="Times New Roman" w:hAnsi="Times New Roman" w:cs="Times New Roman"/>
        </w:rPr>
        <w:t xml:space="preserve">In EXPRESS, the median baseline BSA was 29%, the median baseline PASI score was 21.1 and the majority of patients (89.9%) had a PGA score of moderate, marked, or severe. Prior therapy with PUVA, methotrexate, cyclosporin, or </w:t>
      </w:r>
      <w:proofErr w:type="spellStart"/>
      <w:r w:rsidRPr="00B54968">
        <w:rPr>
          <w:rFonts w:ascii="Times New Roman" w:hAnsi="Times New Roman" w:cs="Times New Roman"/>
        </w:rPr>
        <w:t>acitretin</w:t>
      </w:r>
      <w:proofErr w:type="spellEnd"/>
      <w:r w:rsidRPr="00B54968">
        <w:rPr>
          <w:rFonts w:ascii="Times New Roman" w:hAnsi="Times New Roman" w:cs="Times New Roman"/>
        </w:rPr>
        <w:t xml:space="preserve"> had been received by 71.4% of patients. At week 10 PASI 75 response was achieved by 80.4% in the infliximab group vs. a placebo group rate of 2.6%, p&lt;0.001). Median time to PASI 75 was between 2 and 6 weeks. Improvement in PASI was consistent across subgroups defined by baseline demographics, clinical disease characteristics and psoriasis medication history. Marked responses (PASI 90) at week 10 were achieved by 57.1% of the infliximab group compared to 1.3% in the placebo group (p&lt;0.001). The response was maintained through the 24 weeks, the placebo-controlled period. PASI response rates through week 50 are presented in Table</w:t>
      </w:r>
      <w:r w:rsidR="00B25992" w:rsidRPr="00B54968">
        <w:rPr>
          <w:rFonts w:ascii="Times New Roman" w:hAnsi="Times New Roman" w:cs="Times New Roman"/>
        </w:rPr>
        <w:t>10</w:t>
      </w:r>
      <w:r w:rsidRPr="00B54968">
        <w:rPr>
          <w:rFonts w:ascii="Times New Roman" w:hAnsi="Times New Roman" w:cs="Times New Roman"/>
        </w:rPr>
        <w:t>.</w:t>
      </w:r>
      <w:r w:rsidR="00342E27" w:rsidRPr="00B54968">
        <w:rPr>
          <w:rFonts w:ascii="Times New Roman" w:hAnsi="Times New Roman" w:cs="Times New Roman"/>
          <w:b/>
          <w:bCs/>
          <w:sz w:val="20"/>
          <w:szCs w:val="20"/>
        </w:rPr>
        <w:t xml:space="preserve"> </w:t>
      </w:r>
    </w:p>
    <w:p w14:paraId="4934B34E" w14:textId="4B26058C" w:rsidR="00A02600" w:rsidRPr="00B54968" w:rsidRDefault="00B42860" w:rsidP="003E2009">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t xml:space="preserve">Table </w:t>
      </w:r>
      <w:r w:rsidR="00B25992" w:rsidRPr="00B54968">
        <w:rPr>
          <w:rFonts w:ascii="Times New Roman" w:hAnsi="Times New Roman" w:cs="Times New Roman"/>
          <w:b/>
          <w:bCs/>
          <w:sz w:val="22"/>
          <w:szCs w:val="20"/>
        </w:rPr>
        <w:t>10</w:t>
      </w:r>
      <w:r w:rsidRP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Summary of PASI Response Through Week 50 by Visit EXPRESS</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2167"/>
        <w:gridCol w:w="2168"/>
        <w:gridCol w:w="1578"/>
      </w:tblGrid>
      <w:tr w:rsidR="00F02007" w:rsidRPr="00B54968" w14:paraId="40543929" w14:textId="77777777" w:rsidTr="001A691C">
        <w:trPr>
          <w:trHeight w:val="497"/>
          <w:jc w:val="center"/>
        </w:trPr>
        <w:tc>
          <w:tcPr>
            <w:tcW w:w="2842" w:type="dxa"/>
          </w:tcPr>
          <w:p w14:paraId="05CF8FFB" w14:textId="77777777" w:rsidR="00F02007" w:rsidRPr="00B54968" w:rsidRDefault="00F02007" w:rsidP="003E2009">
            <w:pPr>
              <w:rPr>
                <w:rFonts w:ascii="Times New Roman" w:hAnsi="Times New Roman" w:cs="Times New Roman"/>
                <w:b/>
              </w:rPr>
            </w:pPr>
          </w:p>
        </w:tc>
        <w:tc>
          <w:tcPr>
            <w:tcW w:w="2167" w:type="dxa"/>
            <w:vAlign w:val="bottom"/>
          </w:tcPr>
          <w:p w14:paraId="06D33F18" w14:textId="77777777" w:rsidR="00F02007" w:rsidRPr="00B54968" w:rsidRDefault="00F02007" w:rsidP="003E2009">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Placebo → Infliximab</w:t>
            </w:r>
          </w:p>
          <w:p w14:paraId="712823F4" w14:textId="77777777" w:rsidR="00F02007" w:rsidRPr="00B54968" w:rsidRDefault="00F02007" w:rsidP="003E2009">
            <w:pPr>
              <w:rPr>
                <w:rFonts w:ascii="Times New Roman" w:hAnsi="Times New Roman" w:cs="Times New Roman"/>
                <w:b/>
              </w:rPr>
            </w:pPr>
            <w:r w:rsidRPr="00B54968">
              <w:rPr>
                <w:rFonts w:ascii="Times New Roman" w:hAnsi="Times New Roman" w:cs="Times New Roman"/>
                <w:color w:val="000000"/>
                <w:spacing w:val="-2"/>
                <w:sz w:val="18"/>
                <w:szCs w:val="18"/>
              </w:rPr>
              <w:t>5 mg/kg (at week 24)</w:t>
            </w:r>
          </w:p>
        </w:tc>
        <w:tc>
          <w:tcPr>
            <w:tcW w:w="2168" w:type="dxa"/>
            <w:vAlign w:val="bottom"/>
          </w:tcPr>
          <w:p w14:paraId="2BF8363D" w14:textId="77777777" w:rsidR="00F02007" w:rsidRPr="00B54968" w:rsidRDefault="00F02007" w:rsidP="003E2009">
            <w:pPr>
              <w:rPr>
                <w:rFonts w:ascii="Times New Roman" w:hAnsi="Times New Roman" w:cs="Times New Roman"/>
                <w:b/>
              </w:rPr>
            </w:pPr>
            <w:r w:rsidRPr="00B54968">
              <w:rPr>
                <w:rFonts w:ascii="Times New Roman" w:hAnsi="Times New Roman" w:cs="Times New Roman"/>
                <w:color w:val="000000"/>
                <w:spacing w:val="-3"/>
                <w:sz w:val="18"/>
                <w:szCs w:val="18"/>
              </w:rPr>
              <w:t>Infliximab 5 mg/kg</w:t>
            </w:r>
          </w:p>
        </w:tc>
        <w:tc>
          <w:tcPr>
            <w:tcW w:w="1578" w:type="dxa"/>
            <w:vAlign w:val="bottom"/>
          </w:tcPr>
          <w:p w14:paraId="6C457988" w14:textId="77777777" w:rsidR="00F02007" w:rsidRPr="00B54968" w:rsidRDefault="00F02007" w:rsidP="003E2009">
            <w:pPr>
              <w:rPr>
                <w:rFonts w:ascii="Times New Roman" w:hAnsi="Times New Roman" w:cs="Times New Roman"/>
                <w:b/>
              </w:rPr>
            </w:pPr>
            <w:r w:rsidRPr="00B54968">
              <w:rPr>
                <w:rFonts w:ascii="Times New Roman" w:hAnsi="Times New Roman" w:cs="Times New Roman"/>
                <w:color w:val="000000"/>
                <w:spacing w:val="-2"/>
                <w:sz w:val="18"/>
                <w:szCs w:val="18"/>
              </w:rPr>
              <w:t>P-value</w:t>
            </w:r>
          </w:p>
        </w:tc>
      </w:tr>
      <w:tr w:rsidR="00F02007" w:rsidRPr="00B54968" w14:paraId="19E75FAA" w14:textId="77777777" w:rsidTr="001A691C">
        <w:trPr>
          <w:jc w:val="center"/>
        </w:trPr>
        <w:tc>
          <w:tcPr>
            <w:tcW w:w="2842" w:type="dxa"/>
          </w:tcPr>
          <w:p w14:paraId="7A21C351"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2</w:t>
            </w:r>
          </w:p>
        </w:tc>
        <w:tc>
          <w:tcPr>
            <w:tcW w:w="2167" w:type="dxa"/>
            <w:vAlign w:val="center"/>
          </w:tcPr>
          <w:p w14:paraId="7C4EEA11"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7A7680E3"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2F3B8844"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p>
        </w:tc>
      </w:tr>
      <w:tr w:rsidR="00F02007" w:rsidRPr="00B54968" w14:paraId="318F3744" w14:textId="77777777" w:rsidTr="001A691C">
        <w:trPr>
          <w:jc w:val="center"/>
        </w:trPr>
        <w:tc>
          <w:tcPr>
            <w:tcW w:w="2842" w:type="dxa"/>
          </w:tcPr>
          <w:p w14:paraId="5C4DB0C2" w14:textId="77777777" w:rsidR="00F02007" w:rsidRPr="00B54968" w:rsidRDefault="00F02007" w:rsidP="003E2009">
            <w:pPr>
              <w:adjustRightInd w:val="0"/>
              <w:spacing w:before="113"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2B82DE91" w14:textId="77777777" w:rsidR="00F02007" w:rsidRPr="00B54968" w:rsidRDefault="00F02007" w:rsidP="003E200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56A11D37" w14:textId="77777777" w:rsidR="00F02007" w:rsidRPr="00B54968" w:rsidRDefault="00F02007" w:rsidP="003E200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298</w:t>
            </w:r>
          </w:p>
        </w:tc>
        <w:tc>
          <w:tcPr>
            <w:tcW w:w="1578" w:type="dxa"/>
            <w:vAlign w:val="center"/>
          </w:tcPr>
          <w:p w14:paraId="7DEABE30" w14:textId="77777777" w:rsidR="00F02007" w:rsidRPr="00B54968" w:rsidRDefault="00F02007" w:rsidP="003E2009">
            <w:pPr>
              <w:adjustRightInd w:val="0"/>
              <w:spacing w:before="113" w:line="207" w:lineRule="exact"/>
              <w:rPr>
                <w:rFonts w:ascii="Times New Roman" w:hAnsi="Times New Roman" w:cs="Times New Roman"/>
                <w:color w:val="000000"/>
                <w:spacing w:val="-2"/>
                <w:sz w:val="18"/>
                <w:szCs w:val="18"/>
              </w:rPr>
            </w:pPr>
          </w:p>
        </w:tc>
      </w:tr>
      <w:tr w:rsidR="00F02007" w:rsidRPr="00B54968" w14:paraId="0489480B" w14:textId="77777777" w:rsidTr="001A691C">
        <w:trPr>
          <w:jc w:val="center"/>
        </w:trPr>
        <w:tc>
          <w:tcPr>
            <w:tcW w:w="2842" w:type="dxa"/>
          </w:tcPr>
          <w:p w14:paraId="5E48010C" w14:textId="77777777" w:rsidR="00F02007" w:rsidRPr="00B54968" w:rsidRDefault="00F02007" w:rsidP="003E200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90% improvement</w:t>
            </w:r>
          </w:p>
        </w:tc>
        <w:tc>
          <w:tcPr>
            <w:tcW w:w="2167" w:type="dxa"/>
            <w:vAlign w:val="center"/>
          </w:tcPr>
          <w:p w14:paraId="0B5CFEEE" w14:textId="77777777" w:rsidR="00F02007" w:rsidRPr="00B54968" w:rsidRDefault="00F02007" w:rsidP="003E200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0 (0.0%)</w:t>
            </w:r>
          </w:p>
        </w:tc>
        <w:tc>
          <w:tcPr>
            <w:tcW w:w="2168" w:type="dxa"/>
            <w:vAlign w:val="center"/>
          </w:tcPr>
          <w:p w14:paraId="09ACB493" w14:textId="77777777" w:rsidR="00F02007" w:rsidRPr="00B54968" w:rsidRDefault="00F02007" w:rsidP="003E200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3 (1.0%)</w:t>
            </w:r>
          </w:p>
        </w:tc>
        <w:tc>
          <w:tcPr>
            <w:tcW w:w="1578" w:type="dxa"/>
            <w:vAlign w:val="center"/>
          </w:tcPr>
          <w:p w14:paraId="41982326" w14:textId="77777777" w:rsidR="00F02007" w:rsidRPr="00B54968" w:rsidRDefault="00F02007" w:rsidP="003E2009">
            <w:pPr>
              <w:adjustRightInd w:val="0"/>
              <w:spacing w:before="112" w:line="207" w:lineRule="exact"/>
              <w:rPr>
                <w:rFonts w:ascii="Times New Roman" w:hAnsi="Times New Roman" w:cs="Times New Roman"/>
                <w:color w:val="000000"/>
                <w:spacing w:val="-3"/>
                <w:sz w:val="18"/>
                <w:szCs w:val="18"/>
              </w:rPr>
            </w:pPr>
          </w:p>
        </w:tc>
      </w:tr>
      <w:tr w:rsidR="00F02007" w:rsidRPr="00B54968" w14:paraId="6B48A505" w14:textId="77777777" w:rsidTr="001A691C">
        <w:trPr>
          <w:jc w:val="center"/>
        </w:trPr>
        <w:tc>
          <w:tcPr>
            <w:tcW w:w="2842" w:type="dxa"/>
          </w:tcPr>
          <w:p w14:paraId="219D7C4E" w14:textId="77777777" w:rsidR="00F02007" w:rsidRPr="00B54968" w:rsidRDefault="00F02007" w:rsidP="003E200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75% improvement</w:t>
            </w:r>
          </w:p>
        </w:tc>
        <w:tc>
          <w:tcPr>
            <w:tcW w:w="2167" w:type="dxa"/>
            <w:vAlign w:val="center"/>
          </w:tcPr>
          <w:p w14:paraId="31B6798E" w14:textId="77777777" w:rsidR="00F02007" w:rsidRPr="00B54968" w:rsidRDefault="00F02007" w:rsidP="003E200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0 (0.0%)</w:t>
            </w:r>
          </w:p>
        </w:tc>
        <w:tc>
          <w:tcPr>
            <w:tcW w:w="2168" w:type="dxa"/>
            <w:vAlign w:val="center"/>
          </w:tcPr>
          <w:p w14:paraId="4061FF6C"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16 (5.4%)</w:t>
            </w:r>
          </w:p>
        </w:tc>
        <w:tc>
          <w:tcPr>
            <w:tcW w:w="1578" w:type="dxa"/>
            <w:vAlign w:val="center"/>
          </w:tcPr>
          <w:p w14:paraId="0A90ACFA"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p>
        </w:tc>
      </w:tr>
      <w:tr w:rsidR="00F02007" w:rsidRPr="00B54968" w14:paraId="11E79829" w14:textId="77777777" w:rsidTr="001A691C">
        <w:trPr>
          <w:jc w:val="center"/>
        </w:trPr>
        <w:tc>
          <w:tcPr>
            <w:tcW w:w="2842" w:type="dxa"/>
          </w:tcPr>
          <w:p w14:paraId="5CEFA57A" w14:textId="77777777" w:rsidR="00F02007" w:rsidRPr="00B54968" w:rsidRDefault="00F02007" w:rsidP="003E200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50% improvement</w:t>
            </w:r>
          </w:p>
        </w:tc>
        <w:tc>
          <w:tcPr>
            <w:tcW w:w="2167" w:type="dxa"/>
            <w:vAlign w:val="center"/>
          </w:tcPr>
          <w:p w14:paraId="70AC327A" w14:textId="77777777" w:rsidR="00F02007" w:rsidRPr="00B54968" w:rsidRDefault="00F02007" w:rsidP="003E200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3 (3.9%)</w:t>
            </w:r>
          </w:p>
        </w:tc>
        <w:tc>
          <w:tcPr>
            <w:tcW w:w="2168" w:type="dxa"/>
            <w:vAlign w:val="center"/>
          </w:tcPr>
          <w:p w14:paraId="19196783"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106 (35.6%)</w:t>
            </w:r>
          </w:p>
        </w:tc>
        <w:tc>
          <w:tcPr>
            <w:tcW w:w="1578" w:type="dxa"/>
            <w:vAlign w:val="center"/>
          </w:tcPr>
          <w:p w14:paraId="7EA4C35C"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p>
        </w:tc>
      </w:tr>
      <w:tr w:rsidR="00F02007" w:rsidRPr="00B54968" w14:paraId="4C2C235F" w14:textId="77777777" w:rsidTr="001A691C">
        <w:trPr>
          <w:jc w:val="center"/>
        </w:trPr>
        <w:tc>
          <w:tcPr>
            <w:tcW w:w="2842" w:type="dxa"/>
          </w:tcPr>
          <w:p w14:paraId="7CC51A8F"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6</w:t>
            </w:r>
          </w:p>
        </w:tc>
        <w:tc>
          <w:tcPr>
            <w:tcW w:w="2167" w:type="dxa"/>
            <w:vAlign w:val="center"/>
          </w:tcPr>
          <w:p w14:paraId="3098CC99"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70EDCBBE"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6DAE20C5"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p>
        </w:tc>
      </w:tr>
      <w:tr w:rsidR="00F02007" w:rsidRPr="00B54968" w14:paraId="78B8F29D" w14:textId="77777777" w:rsidTr="001A691C">
        <w:trPr>
          <w:jc w:val="center"/>
        </w:trPr>
        <w:tc>
          <w:tcPr>
            <w:tcW w:w="2842" w:type="dxa"/>
          </w:tcPr>
          <w:p w14:paraId="5455CC73" w14:textId="77777777" w:rsidR="00F02007" w:rsidRPr="00B54968" w:rsidRDefault="00F02007" w:rsidP="003E2009">
            <w:pPr>
              <w:adjustRightInd w:val="0"/>
              <w:spacing w:before="112"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7A9148EA"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32A743DA"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295</w:t>
            </w:r>
          </w:p>
        </w:tc>
        <w:tc>
          <w:tcPr>
            <w:tcW w:w="1578" w:type="dxa"/>
            <w:vAlign w:val="center"/>
          </w:tcPr>
          <w:p w14:paraId="55E2CC00"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p>
        </w:tc>
      </w:tr>
      <w:tr w:rsidR="00F02007" w:rsidRPr="00B54968" w14:paraId="7E628445" w14:textId="77777777" w:rsidTr="001A691C">
        <w:trPr>
          <w:jc w:val="center"/>
        </w:trPr>
        <w:tc>
          <w:tcPr>
            <w:tcW w:w="2842" w:type="dxa"/>
          </w:tcPr>
          <w:p w14:paraId="6A407056" w14:textId="77777777" w:rsidR="00F02007" w:rsidRPr="00B54968" w:rsidRDefault="00F02007" w:rsidP="003E2009">
            <w:pPr>
              <w:adjustRightInd w:val="0"/>
              <w:spacing w:before="113"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90% improvement</w:t>
            </w:r>
          </w:p>
        </w:tc>
        <w:tc>
          <w:tcPr>
            <w:tcW w:w="2167" w:type="dxa"/>
            <w:vAlign w:val="center"/>
          </w:tcPr>
          <w:p w14:paraId="45228475" w14:textId="77777777" w:rsidR="00F02007" w:rsidRPr="00B54968" w:rsidRDefault="00F02007" w:rsidP="003E2009">
            <w:pPr>
              <w:adjustRightInd w:val="0"/>
              <w:spacing w:before="113"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1 (1.3%)</w:t>
            </w:r>
          </w:p>
        </w:tc>
        <w:tc>
          <w:tcPr>
            <w:tcW w:w="2168" w:type="dxa"/>
            <w:vAlign w:val="center"/>
          </w:tcPr>
          <w:p w14:paraId="584067F3" w14:textId="77777777" w:rsidR="00F02007" w:rsidRPr="00B54968" w:rsidRDefault="00F02007" w:rsidP="003E200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94 (31.9%)</w:t>
            </w:r>
          </w:p>
        </w:tc>
        <w:tc>
          <w:tcPr>
            <w:tcW w:w="1578" w:type="dxa"/>
            <w:vAlign w:val="center"/>
          </w:tcPr>
          <w:p w14:paraId="39E0C140" w14:textId="77777777" w:rsidR="00F02007" w:rsidRPr="00B54968" w:rsidRDefault="00F02007" w:rsidP="003E2009">
            <w:pPr>
              <w:adjustRightInd w:val="0"/>
              <w:spacing w:before="113" w:line="207" w:lineRule="exact"/>
              <w:rPr>
                <w:rFonts w:ascii="Times New Roman" w:hAnsi="Times New Roman" w:cs="Times New Roman"/>
                <w:color w:val="000000"/>
                <w:spacing w:val="-2"/>
                <w:sz w:val="18"/>
                <w:szCs w:val="18"/>
              </w:rPr>
            </w:pPr>
          </w:p>
        </w:tc>
      </w:tr>
      <w:tr w:rsidR="00F02007" w:rsidRPr="00B54968" w14:paraId="208C77C2" w14:textId="77777777" w:rsidTr="001A691C">
        <w:trPr>
          <w:jc w:val="center"/>
        </w:trPr>
        <w:tc>
          <w:tcPr>
            <w:tcW w:w="2842" w:type="dxa"/>
          </w:tcPr>
          <w:p w14:paraId="24794AF9" w14:textId="77777777" w:rsidR="00F02007" w:rsidRPr="00B54968" w:rsidRDefault="00F02007" w:rsidP="003E200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75% improvement</w:t>
            </w:r>
          </w:p>
        </w:tc>
        <w:tc>
          <w:tcPr>
            <w:tcW w:w="2167" w:type="dxa"/>
            <w:vAlign w:val="center"/>
          </w:tcPr>
          <w:p w14:paraId="5C3DE854" w14:textId="77777777" w:rsidR="00F02007" w:rsidRPr="00B54968" w:rsidRDefault="00F02007" w:rsidP="003E200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4 (5.2%)</w:t>
            </w:r>
          </w:p>
        </w:tc>
        <w:tc>
          <w:tcPr>
            <w:tcW w:w="2168" w:type="dxa"/>
            <w:vAlign w:val="center"/>
          </w:tcPr>
          <w:p w14:paraId="4E06CF5B"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184 (62.4%)</w:t>
            </w:r>
          </w:p>
        </w:tc>
        <w:tc>
          <w:tcPr>
            <w:tcW w:w="1578" w:type="dxa"/>
            <w:vAlign w:val="center"/>
          </w:tcPr>
          <w:p w14:paraId="764DC506"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p>
        </w:tc>
      </w:tr>
      <w:tr w:rsidR="00F02007" w:rsidRPr="00B54968" w14:paraId="17ADC144" w14:textId="77777777" w:rsidTr="001A691C">
        <w:trPr>
          <w:jc w:val="center"/>
        </w:trPr>
        <w:tc>
          <w:tcPr>
            <w:tcW w:w="2842" w:type="dxa"/>
          </w:tcPr>
          <w:p w14:paraId="47DB1BA0" w14:textId="77777777" w:rsidR="00F02007" w:rsidRPr="00B54968" w:rsidRDefault="00F02007" w:rsidP="003E200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50% improvement</w:t>
            </w:r>
          </w:p>
        </w:tc>
        <w:tc>
          <w:tcPr>
            <w:tcW w:w="2167" w:type="dxa"/>
            <w:vAlign w:val="center"/>
          </w:tcPr>
          <w:p w14:paraId="3BBFB446" w14:textId="77777777" w:rsidR="00F02007" w:rsidRPr="00B54968" w:rsidRDefault="00F02007" w:rsidP="003E200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6 (7.8%)</w:t>
            </w:r>
          </w:p>
        </w:tc>
        <w:tc>
          <w:tcPr>
            <w:tcW w:w="2168" w:type="dxa"/>
            <w:vAlign w:val="center"/>
          </w:tcPr>
          <w:p w14:paraId="4473B187"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264 (89.5%)</w:t>
            </w:r>
          </w:p>
        </w:tc>
        <w:tc>
          <w:tcPr>
            <w:tcW w:w="1578" w:type="dxa"/>
            <w:vAlign w:val="center"/>
          </w:tcPr>
          <w:p w14:paraId="256E688D"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p>
        </w:tc>
      </w:tr>
      <w:tr w:rsidR="00F02007" w:rsidRPr="00B54968" w14:paraId="2E096EF4" w14:textId="77777777" w:rsidTr="001A691C">
        <w:trPr>
          <w:jc w:val="center"/>
        </w:trPr>
        <w:tc>
          <w:tcPr>
            <w:tcW w:w="2842" w:type="dxa"/>
          </w:tcPr>
          <w:p w14:paraId="7FDC1196"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10</w:t>
            </w:r>
          </w:p>
        </w:tc>
        <w:tc>
          <w:tcPr>
            <w:tcW w:w="2167" w:type="dxa"/>
            <w:vAlign w:val="center"/>
          </w:tcPr>
          <w:p w14:paraId="389B9710"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43FF061F"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299AADC7"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p>
        </w:tc>
      </w:tr>
      <w:tr w:rsidR="00F02007" w:rsidRPr="00B54968" w14:paraId="62CFD12C" w14:textId="77777777" w:rsidTr="001A691C">
        <w:trPr>
          <w:jc w:val="center"/>
        </w:trPr>
        <w:tc>
          <w:tcPr>
            <w:tcW w:w="2842" w:type="dxa"/>
          </w:tcPr>
          <w:p w14:paraId="3AF2614E" w14:textId="77777777" w:rsidR="00F02007" w:rsidRPr="00B54968" w:rsidRDefault="00F02007" w:rsidP="003E2009">
            <w:pPr>
              <w:adjustRightInd w:val="0"/>
              <w:spacing w:before="113"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7F8BBEEE" w14:textId="77777777" w:rsidR="00F02007" w:rsidRPr="00B54968" w:rsidRDefault="00F02007" w:rsidP="003E200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2F28A93F" w14:textId="77777777" w:rsidR="00F02007" w:rsidRPr="00B54968" w:rsidRDefault="00F02007" w:rsidP="003E200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301</w:t>
            </w:r>
          </w:p>
        </w:tc>
        <w:tc>
          <w:tcPr>
            <w:tcW w:w="1578" w:type="dxa"/>
            <w:vAlign w:val="center"/>
          </w:tcPr>
          <w:p w14:paraId="45F1A83C" w14:textId="77777777" w:rsidR="00F02007" w:rsidRPr="00B54968" w:rsidRDefault="00F02007" w:rsidP="003E2009">
            <w:pPr>
              <w:adjustRightInd w:val="0"/>
              <w:spacing w:before="113" w:line="207" w:lineRule="exact"/>
              <w:rPr>
                <w:rFonts w:ascii="Times New Roman" w:hAnsi="Times New Roman" w:cs="Times New Roman"/>
                <w:color w:val="000000"/>
                <w:spacing w:val="-2"/>
                <w:sz w:val="18"/>
                <w:szCs w:val="18"/>
              </w:rPr>
            </w:pPr>
          </w:p>
        </w:tc>
      </w:tr>
      <w:tr w:rsidR="00F02007" w:rsidRPr="00B54968" w14:paraId="4EBB41F7" w14:textId="77777777" w:rsidTr="001A691C">
        <w:trPr>
          <w:jc w:val="center"/>
        </w:trPr>
        <w:tc>
          <w:tcPr>
            <w:tcW w:w="2842" w:type="dxa"/>
          </w:tcPr>
          <w:p w14:paraId="59987AD8" w14:textId="77777777" w:rsidR="00F02007" w:rsidRPr="00B54968" w:rsidRDefault="00F02007" w:rsidP="003E200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90% improvement</w:t>
            </w:r>
          </w:p>
        </w:tc>
        <w:tc>
          <w:tcPr>
            <w:tcW w:w="2167" w:type="dxa"/>
            <w:vAlign w:val="center"/>
          </w:tcPr>
          <w:p w14:paraId="49ADA5F5" w14:textId="77777777" w:rsidR="00F02007" w:rsidRPr="00B54968" w:rsidRDefault="00F02007" w:rsidP="003E200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1 (1.3%)</w:t>
            </w:r>
          </w:p>
        </w:tc>
        <w:tc>
          <w:tcPr>
            <w:tcW w:w="2168" w:type="dxa"/>
            <w:vAlign w:val="center"/>
          </w:tcPr>
          <w:p w14:paraId="25C47AA7"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172 (57.1%)</w:t>
            </w:r>
          </w:p>
        </w:tc>
        <w:tc>
          <w:tcPr>
            <w:tcW w:w="1578" w:type="dxa"/>
            <w:vAlign w:val="center"/>
          </w:tcPr>
          <w:p w14:paraId="7DA2198D"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7D9E06D4" w14:textId="77777777" w:rsidTr="001A691C">
        <w:trPr>
          <w:jc w:val="center"/>
        </w:trPr>
        <w:tc>
          <w:tcPr>
            <w:tcW w:w="2842" w:type="dxa"/>
          </w:tcPr>
          <w:p w14:paraId="00DE716F" w14:textId="77777777" w:rsidR="00F02007" w:rsidRPr="00B54968" w:rsidRDefault="00F02007" w:rsidP="003E200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75% improvement</w:t>
            </w:r>
          </w:p>
        </w:tc>
        <w:tc>
          <w:tcPr>
            <w:tcW w:w="2167" w:type="dxa"/>
            <w:vAlign w:val="center"/>
          </w:tcPr>
          <w:p w14:paraId="70B2547C" w14:textId="77777777" w:rsidR="00F02007" w:rsidRPr="00B54968" w:rsidRDefault="00F02007" w:rsidP="003E200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2 (2.6%)</w:t>
            </w:r>
          </w:p>
        </w:tc>
        <w:tc>
          <w:tcPr>
            <w:tcW w:w="2168" w:type="dxa"/>
            <w:vAlign w:val="center"/>
          </w:tcPr>
          <w:p w14:paraId="04601CDA"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242 (80.4%)</w:t>
            </w:r>
          </w:p>
        </w:tc>
        <w:tc>
          <w:tcPr>
            <w:tcW w:w="1578" w:type="dxa"/>
            <w:vAlign w:val="center"/>
          </w:tcPr>
          <w:p w14:paraId="763F8353"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596A142F" w14:textId="77777777" w:rsidTr="001A691C">
        <w:trPr>
          <w:jc w:val="center"/>
        </w:trPr>
        <w:tc>
          <w:tcPr>
            <w:tcW w:w="2842" w:type="dxa"/>
          </w:tcPr>
          <w:p w14:paraId="3278E0A3" w14:textId="77777777" w:rsidR="00F02007" w:rsidRPr="00B54968" w:rsidRDefault="00F02007" w:rsidP="003E200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50% improvement</w:t>
            </w:r>
          </w:p>
        </w:tc>
        <w:tc>
          <w:tcPr>
            <w:tcW w:w="2167" w:type="dxa"/>
            <w:vAlign w:val="center"/>
          </w:tcPr>
          <w:p w14:paraId="624E9D29" w14:textId="77777777" w:rsidR="00F02007" w:rsidRPr="00B54968" w:rsidRDefault="00F02007" w:rsidP="003E200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6 (7.8%)</w:t>
            </w:r>
          </w:p>
        </w:tc>
        <w:tc>
          <w:tcPr>
            <w:tcW w:w="2168" w:type="dxa"/>
            <w:vAlign w:val="center"/>
          </w:tcPr>
          <w:p w14:paraId="7CF026D3"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274 (91.0%)</w:t>
            </w:r>
          </w:p>
        </w:tc>
        <w:tc>
          <w:tcPr>
            <w:tcW w:w="1578" w:type="dxa"/>
            <w:vAlign w:val="center"/>
          </w:tcPr>
          <w:p w14:paraId="240E734D"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p>
        </w:tc>
      </w:tr>
      <w:tr w:rsidR="00F02007" w:rsidRPr="00B54968" w14:paraId="1CD369D3" w14:textId="77777777" w:rsidTr="001A691C">
        <w:trPr>
          <w:jc w:val="center"/>
        </w:trPr>
        <w:tc>
          <w:tcPr>
            <w:tcW w:w="2842" w:type="dxa"/>
          </w:tcPr>
          <w:p w14:paraId="5595264A"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24</w:t>
            </w:r>
          </w:p>
        </w:tc>
        <w:tc>
          <w:tcPr>
            <w:tcW w:w="2167" w:type="dxa"/>
            <w:vAlign w:val="center"/>
          </w:tcPr>
          <w:p w14:paraId="55EACF34"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2C1BF46E"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477CE113"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p>
        </w:tc>
      </w:tr>
      <w:tr w:rsidR="00F02007" w:rsidRPr="00B54968" w14:paraId="094C1E14" w14:textId="77777777" w:rsidTr="001A691C">
        <w:trPr>
          <w:jc w:val="center"/>
        </w:trPr>
        <w:tc>
          <w:tcPr>
            <w:tcW w:w="2842" w:type="dxa"/>
          </w:tcPr>
          <w:p w14:paraId="758F87E9" w14:textId="77777777" w:rsidR="00F02007" w:rsidRPr="00B54968" w:rsidRDefault="00F02007" w:rsidP="003E2009">
            <w:pPr>
              <w:adjustRightInd w:val="0"/>
              <w:spacing w:before="112"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1E5DE1B2"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12A81A72"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276</w:t>
            </w:r>
          </w:p>
        </w:tc>
        <w:tc>
          <w:tcPr>
            <w:tcW w:w="1578" w:type="dxa"/>
            <w:vAlign w:val="center"/>
          </w:tcPr>
          <w:p w14:paraId="560B4468"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p>
        </w:tc>
      </w:tr>
      <w:tr w:rsidR="00F02007" w:rsidRPr="00B54968" w14:paraId="0A845C21" w14:textId="77777777" w:rsidTr="001A691C">
        <w:trPr>
          <w:jc w:val="center"/>
        </w:trPr>
        <w:tc>
          <w:tcPr>
            <w:tcW w:w="2842" w:type="dxa"/>
          </w:tcPr>
          <w:p w14:paraId="482AA601" w14:textId="77777777" w:rsidR="00F02007" w:rsidRPr="00B54968" w:rsidRDefault="00F02007" w:rsidP="003E2009">
            <w:pPr>
              <w:adjustRightInd w:val="0"/>
              <w:spacing w:before="113"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90% improvement</w:t>
            </w:r>
          </w:p>
        </w:tc>
        <w:tc>
          <w:tcPr>
            <w:tcW w:w="2167" w:type="dxa"/>
            <w:vAlign w:val="center"/>
          </w:tcPr>
          <w:p w14:paraId="272F4BCE" w14:textId="77777777" w:rsidR="00F02007" w:rsidRPr="00B54968" w:rsidRDefault="00F02007" w:rsidP="003E2009">
            <w:pPr>
              <w:adjustRightInd w:val="0"/>
              <w:spacing w:before="113"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1 (1.3%)</w:t>
            </w:r>
          </w:p>
        </w:tc>
        <w:tc>
          <w:tcPr>
            <w:tcW w:w="2168" w:type="dxa"/>
            <w:vAlign w:val="center"/>
          </w:tcPr>
          <w:p w14:paraId="5C7BF6B3" w14:textId="77777777" w:rsidR="00F02007" w:rsidRPr="00B54968" w:rsidRDefault="00F02007" w:rsidP="003E200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161 (58.3%)</w:t>
            </w:r>
          </w:p>
        </w:tc>
        <w:tc>
          <w:tcPr>
            <w:tcW w:w="1578" w:type="dxa"/>
            <w:vAlign w:val="center"/>
          </w:tcPr>
          <w:p w14:paraId="1AB41B34" w14:textId="77777777" w:rsidR="00F02007" w:rsidRPr="00B54968" w:rsidRDefault="00F02007" w:rsidP="003E200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6D3E1998" w14:textId="77777777" w:rsidTr="001A691C">
        <w:trPr>
          <w:jc w:val="center"/>
        </w:trPr>
        <w:tc>
          <w:tcPr>
            <w:tcW w:w="2842" w:type="dxa"/>
          </w:tcPr>
          <w:p w14:paraId="12CF2759" w14:textId="77777777" w:rsidR="00F02007" w:rsidRPr="00B54968" w:rsidRDefault="00F02007" w:rsidP="003E200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75% improvement</w:t>
            </w:r>
          </w:p>
        </w:tc>
        <w:tc>
          <w:tcPr>
            <w:tcW w:w="2167" w:type="dxa"/>
            <w:vAlign w:val="center"/>
          </w:tcPr>
          <w:p w14:paraId="30252E24" w14:textId="77777777" w:rsidR="00F02007" w:rsidRPr="00B54968" w:rsidRDefault="00F02007" w:rsidP="003E200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3 (3.9%)</w:t>
            </w:r>
          </w:p>
        </w:tc>
        <w:tc>
          <w:tcPr>
            <w:tcW w:w="2168" w:type="dxa"/>
            <w:vAlign w:val="center"/>
          </w:tcPr>
          <w:p w14:paraId="1D67E662"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227 (82.2%)</w:t>
            </w:r>
          </w:p>
        </w:tc>
        <w:tc>
          <w:tcPr>
            <w:tcW w:w="1578" w:type="dxa"/>
            <w:vAlign w:val="center"/>
          </w:tcPr>
          <w:p w14:paraId="35FE0622"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18B57B55" w14:textId="77777777" w:rsidTr="001A691C">
        <w:trPr>
          <w:jc w:val="center"/>
        </w:trPr>
        <w:tc>
          <w:tcPr>
            <w:tcW w:w="2842" w:type="dxa"/>
          </w:tcPr>
          <w:p w14:paraId="0268D4DB" w14:textId="77777777" w:rsidR="00F02007" w:rsidRPr="00B54968" w:rsidRDefault="00F02007" w:rsidP="003E200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50% improvement</w:t>
            </w:r>
          </w:p>
        </w:tc>
        <w:tc>
          <w:tcPr>
            <w:tcW w:w="2167" w:type="dxa"/>
            <w:vAlign w:val="center"/>
          </w:tcPr>
          <w:p w14:paraId="0ABA9A1F" w14:textId="77777777" w:rsidR="00F02007" w:rsidRPr="00B54968" w:rsidRDefault="00F02007" w:rsidP="003E200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5 (6.5%)</w:t>
            </w:r>
          </w:p>
        </w:tc>
        <w:tc>
          <w:tcPr>
            <w:tcW w:w="2168" w:type="dxa"/>
            <w:vAlign w:val="center"/>
          </w:tcPr>
          <w:p w14:paraId="33B75275"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248 (89.9%)</w:t>
            </w:r>
          </w:p>
        </w:tc>
        <w:tc>
          <w:tcPr>
            <w:tcW w:w="1578" w:type="dxa"/>
            <w:vAlign w:val="center"/>
          </w:tcPr>
          <w:p w14:paraId="1AE33002"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p>
        </w:tc>
      </w:tr>
      <w:tr w:rsidR="00F02007" w:rsidRPr="00B54968" w14:paraId="726644AF" w14:textId="77777777" w:rsidTr="001A691C">
        <w:trPr>
          <w:jc w:val="center"/>
        </w:trPr>
        <w:tc>
          <w:tcPr>
            <w:tcW w:w="2842" w:type="dxa"/>
          </w:tcPr>
          <w:p w14:paraId="0549295D"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50</w:t>
            </w:r>
          </w:p>
        </w:tc>
        <w:tc>
          <w:tcPr>
            <w:tcW w:w="2167" w:type="dxa"/>
            <w:vAlign w:val="center"/>
          </w:tcPr>
          <w:p w14:paraId="62C47677"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260192BA"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2566C37C" w14:textId="77777777" w:rsidR="00F02007" w:rsidRPr="00B54968" w:rsidRDefault="00F02007" w:rsidP="003E2009">
            <w:pPr>
              <w:adjustRightInd w:val="0"/>
              <w:spacing w:before="112" w:line="207" w:lineRule="exact"/>
              <w:rPr>
                <w:rFonts w:ascii="Times New Roman" w:hAnsi="Times New Roman" w:cs="Times New Roman"/>
                <w:color w:val="000000"/>
                <w:spacing w:val="-1"/>
                <w:sz w:val="18"/>
                <w:szCs w:val="18"/>
              </w:rPr>
            </w:pPr>
          </w:p>
        </w:tc>
      </w:tr>
      <w:tr w:rsidR="00F02007" w:rsidRPr="00B54968" w14:paraId="04DBCE11" w14:textId="77777777" w:rsidTr="001A691C">
        <w:trPr>
          <w:jc w:val="center"/>
        </w:trPr>
        <w:tc>
          <w:tcPr>
            <w:tcW w:w="2842" w:type="dxa"/>
          </w:tcPr>
          <w:p w14:paraId="5865E934" w14:textId="77777777" w:rsidR="00F02007" w:rsidRPr="00B54968" w:rsidRDefault="00F02007" w:rsidP="003E2009">
            <w:pPr>
              <w:adjustRightInd w:val="0"/>
              <w:spacing w:before="113"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58B06501" w14:textId="77777777" w:rsidR="00F02007" w:rsidRPr="00B54968" w:rsidRDefault="00F02007" w:rsidP="003E200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68</w:t>
            </w:r>
          </w:p>
        </w:tc>
        <w:tc>
          <w:tcPr>
            <w:tcW w:w="2168" w:type="dxa"/>
            <w:vAlign w:val="center"/>
          </w:tcPr>
          <w:p w14:paraId="021FAD89" w14:textId="77777777" w:rsidR="00F02007" w:rsidRPr="00B54968" w:rsidRDefault="00F02007" w:rsidP="003E200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281</w:t>
            </w:r>
          </w:p>
        </w:tc>
        <w:tc>
          <w:tcPr>
            <w:tcW w:w="1578" w:type="dxa"/>
            <w:vAlign w:val="center"/>
          </w:tcPr>
          <w:p w14:paraId="14510FE7" w14:textId="77777777" w:rsidR="00F02007" w:rsidRPr="00B54968" w:rsidRDefault="00F02007" w:rsidP="003E2009">
            <w:pPr>
              <w:adjustRightInd w:val="0"/>
              <w:spacing w:before="113" w:line="207" w:lineRule="exact"/>
              <w:rPr>
                <w:rFonts w:ascii="Times New Roman" w:hAnsi="Times New Roman" w:cs="Times New Roman"/>
                <w:color w:val="000000"/>
                <w:spacing w:val="-2"/>
                <w:sz w:val="18"/>
                <w:szCs w:val="18"/>
              </w:rPr>
            </w:pPr>
          </w:p>
        </w:tc>
      </w:tr>
      <w:tr w:rsidR="00F02007" w:rsidRPr="00B54968" w14:paraId="3F64397C" w14:textId="77777777" w:rsidTr="001A691C">
        <w:trPr>
          <w:jc w:val="center"/>
        </w:trPr>
        <w:tc>
          <w:tcPr>
            <w:tcW w:w="2842" w:type="dxa"/>
          </w:tcPr>
          <w:p w14:paraId="7F7D0EAE" w14:textId="77777777" w:rsidR="00F02007" w:rsidRPr="00B54968" w:rsidRDefault="00F02007" w:rsidP="003E200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90% improvement</w:t>
            </w:r>
          </w:p>
        </w:tc>
        <w:tc>
          <w:tcPr>
            <w:tcW w:w="2167" w:type="dxa"/>
            <w:vAlign w:val="center"/>
          </w:tcPr>
          <w:p w14:paraId="7BA9255D"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34 (50.0%)</w:t>
            </w:r>
          </w:p>
        </w:tc>
        <w:tc>
          <w:tcPr>
            <w:tcW w:w="2168" w:type="dxa"/>
            <w:vAlign w:val="center"/>
          </w:tcPr>
          <w:p w14:paraId="230B603E"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127 (45.2%)</w:t>
            </w:r>
          </w:p>
        </w:tc>
        <w:tc>
          <w:tcPr>
            <w:tcW w:w="1578" w:type="dxa"/>
            <w:vAlign w:val="center"/>
          </w:tcPr>
          <w:p w14:paraId="0677DCF4"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p>
        </w:tc>
      </w:tr>
      <w:tr w:rsidR="00F02007" w:rsidRPr="00B54968" w14:paraId="5037AC61" w14:textId="77777777" w:rsidTr="001A691C">
        <w:trPr>
          <w:jc w:val="center"/>
        </w:trPr>
        <w:tc>
          <w:tcPr>
            <w:tcW w:w="2842" w:type="dxa"/>
          </w:tcPr>
          <w:p w14:paraId="02FE1069" w14:textId="77777777" w:rsidR="00F02007" w:rsidRPr="00B54968" w:rsidRDefault="00F02007" w:rsidP="003E200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75% improvement</w:t>
            </w:r>
          </w:p>
        </w:tc>
        <w:tc>
          <w:tcPr>
            <w:tcW w:w="2167" w:type="dxa"/>
            <w:vAlign w:val="center"/>
          </w:tcPr>
          <w:p w14:paraId="67C82EC2"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52 (76.5%)</w:t>
            </w:r>
          </w:p>
        </w:tc>
        <w:tc>
          <w:tcPr>
            <w:tcW w:w="2168" w:type="dxa"/>
            <w:vAlign w:val="center"/>
          </w:tcPr>
          <w:p w14:paraId="05B6C58A"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170 (60.5%)</w:t>
            </w:r>
          </w:p>
        </w:tc>
        <w:tc>
          <w:tcPr>
            <w:tcW w:w="1578" w:type="dxa"/>
            <w:vAlign w:val="center"/>
          </w:tcPr>
          <w:p w14:paraId="4FC4E951"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p>
        </w:tc>
      </w:tr>
      <w:tr w:rsidR="00F02007" w:rsidRPr="00B54968" w14:paraId="3B9EDEA0" w14:textId="77777777" w:rsidTr="001A691C">
        <w:trPr>
          <w:jc w:val="center"/>
        </w:trPr>
        <w:tc>
          <w:tcPr>
            <w:tcW w:w="2842" w:type="dxa"/>
          </w:tcPr>
          <w:p w14:paraId="02DCEAEC" w14:textId="77777777" w:rsidR="00F02007" w:rsidRPr="00B54968" w:rsidRDefault="00F02007" w:rsidP="003E200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50% improvement</w:t>
            </w:r>
          </w:p>
        </w:tc>
        <w:tc>
          <w:tcPr>
            <w:tcW w:w="2167" w:type="dxa"/>
            <w:vAlign w:val="center"/>
          </w:tcPr>
          <w:p w14:paraId="702CFF80"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61 (89.7%)</w:t>
            </w:r>
          </w:p>
        </w:tc>
        <w:tc>
          <w:tcPr>
            <w:tcW w:w="2168" w:type="dxa"/>
            <w:vAlign w:val="center"/>
          </w:tcPr>
          <w:p w14:paraId="0952D24F"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193 (68.7%)</w:t>
            </w:r>
          </w:p>
        </w:tc>
        <w:tc>
          <w:tcPr>
            <w:tcW w:w="1578" w:type="dxa"/>
            <w:vAlign w:val="center"/>
          </w:tcPr>
          <w:p w14:paraId="495ACE08" w14:textId="77777777" w:rsidR="00F02007" w:rsidRPr="00B54968" w:rsidRDefault="00F02007" w:rsidP="003E2009">
            <w:pPr>
              <w:adjustRightInd w:val="0"/>
              <w:spacing w:before="112" w:line="207" w:lineRule="exact"/>
              <w:rPr>
                <w:rFonts w:ascii="Times New Roman" w:hAnsi="Times New Roman" w:cs="Times New Roman"/>
                <w:color w:val="000000"/>
                <w:spacing w:val="-2"/>
                <w:sz w:val="18"/>
                <w:szCs w:val="18"/>
              </w:rPr>
            </w:pPr>
          </w:p>
        </w:tc>
      </w:tr>
    </w:tbl>
    <w:p w14:paraId="58CF722C" w14:textId="77777777" w:rsidR="0030205D" w:rsidRPr="00B54968" w:rsidRDefault="0030205D" w:rsidP="003E2009">
      <w:pPr>
        <w:rPr>
          <w:rFonts w:ascii="Times New Roman" w:hAnsi="Times New Roman" w:cs="Times New Roman"/>
          <w:lang w:eastAsia="ko-KR"/>
        </w:rPr>
      </w:pPr>
    </w:p>
    <w:p w14:paraId="295BD7DB" w14:textId="0CAFA660" w:rsidR="00A02600" w:rsidRPr="00B54968" w:rsidRDefault="004E6D22" w:rsidP="003E2009">
      <w:pPr>
        <w:spacing w:line="240" w:lineRule="auto"/>
        <w:rPr>
          <w:rFonts w:ascii="Times New Roman" w:hAnsi="Times New Roman" w:cs="Times New Roman"/>
          <w:b/>
          <w:bCs/>
          <w:sz w:val="20"/>
          <w:szCs w:val="20"/>
        </w:rPr>
      </w:pPr>
      <w:r w:rsidRPr="00B54968">
        <w:rPr>
          <w:rFonts w:ascii="Times New Roman" w:hAnsi="Times New Roman" w:cs="Times New Roman"/>
        </w:rPr>
        <w:t xml:space="preserve">At week 10, 82.9% of infliximab patients achieved a PGA score of minimal or cleared compared to 3.9% of placebo patients (p&lt;0.001). PGA scores at weeks 6, 10, 24 and 50 are presented in Table </w:t>
      </w:r>
      <w:r w:rsidR="00B25992" w:rsidRPr="00B54968">
        <w:rPr>
          <w:rFonts w:ascii="Times New Roman" w:hAnsi="Times New Roman" w:cs="Times New Roman"/>
        </w:rPr>
        <w:t>11</w:t>
      </w:r>
      <w:r w:rsidRPr="00B54968">
        <w:rPr>
          <w:rFonts w:ascii="Times New Roman" w:hAnsi="Times New Roman" w:cs="Times New Roman"/>
        </w:rPr>
        <w:t>.</w:t>
      </w:r>
      <w:r w:rsidR="00F801BD" w:rsidRPr="00B54968">
        <w:rPr>
          <w:rFonts w:ascii="Times New Roman" w:hAnsi="Times New Roman" w:cs="Times New Roman"/>
          <w:b/>
          <w:bCs/>
          <w:sz w:val="20"/>
          <w:szCs w:val="20"/>
        </w:rPr>
        <w:t xml:space="preserve"> </w:t>
      </w:r>
    </w:p>
    <w:p w14:paraId="4374A62E" w14:textId="498E7489" w:rsidR="00A02600" w:rsidRPr="00B54968" w:rsidRDefault="00B42860" w:rsidP="003E2009">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lastRenderedPageBreak/>
        <w:t xml:space="preserve">Table </w:t>
      </w:r>
      <w:r w:rsidR="00B25992" w:rsidRPr="00B54968">
        <w:rPr>
          <w:rFonts w:ascii="Times New Roman" w:hAnsi="Times New Roman" w:cs="Times New Roman"/>
          <w:b/>
          <w:bCs/>
          <w:sz w:val="22"/>
          <w:szCs w:val="20"/>
        </w:rPr>
        <w:t>11</w:t>
      </w:r>
      <w:r w:rsid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Summary of PGA Scores Through Week 50 by Visit, EXPRESS</w:t>
      </w:r>
    </w:p>
    <w:tbl>
      <w:tblPr>
        <w:tblStyle w:val="TableGrid"/>
        <w:tblW w:w="0" w:type="auto"/>
        <w:tblInd w:w="25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843"/>
        <w:gridCol w:w="1843"/>
        <w:gridCol w:w="1276"/>
      </w:tblGrid>
      <w:tr w:rsidR="00F02007" w:rsidRPr="00B54968" w14:paraId="44DCD5FE" w14:textId="77777777" w:rsidTr="001A691C">
        <w:trPr>
          <w:trHeight w:val="497"/>
        </w:trPr>
        <w:tc>
          <w:tcPr>
            <w:tcW w:w="3827" w:type="dxa"/>
          </w:tcPr>
          <w:p w14:paraId="6D180056" w14:textId="77777777" w:rsidR="00F02007" w:rsidRPr="00B54968" w:rsidRDefault="00F02007" w:rsidP="003E2009">
            <w:pPr>
              <w:rPr>
                <w:rFonts w:ascii="Times New Roman" w:hAnsi="Times New Roman" w:cs="Times New Roman"/>
                <w:b/>
              </w:rPr>
            </w:pPr>
          </w:p>
        </w:tc>
        <w:tc>
          <w:tcPr>
            <w:tcW w:w="1843" w:type="dxa"/>
            <w:vAlign w:val="bottom"/>
          </w:tcPr>
          <w:p w14:paraId="4CD1C3F9" w14:textId="77777777" w:rsidR="00F02007" w:rsidRPr="00B54968" w:rsidRDefault="00F02007" w:rsidP="003E2009">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 xml:space="preserve">Placebo → </w:t>
            </w:r>
            <w:r w:rsidR="0030205D" w:rsidRPr="00B54968">
              <w:rPr>
                <w:rFonts w:ascii="Times New Roman" w:hAnsi="Times New Roman" w:cs="Times New Roman"/>
                <w:color w:val="000000"/>
                <w:spacing w:val="-3"/>
                <w:sz w:val="18"/>
                <w:szCs w:val="18"/>
                <w:lang w:eastAsia="ko-KR"/>
              </w:rPr>
              <w:t>I</w:t>
            </w:r>
            <w:r w:rsidRPr="00B54968">
              <w:rPr>
                <w:rFonts w:ascii="Times New Roman" w:hAnsi="Times New Roman" w:cs="Times New Roman"/>
                <w:color w:val="000000"/>
                <w:spacing w:val="-3"/>
                <w:sz w:val="18"/>
                <w:szCs w:val="18"/>
              </w:rPr>
              <w:t>nfliximab</w:t>
            </w:r>
          </w:p>
          <w:p w14:paraId="2658147B" w14:textId="77777777" w:rsidR="00F02007" w:rsidRPr="00B54968" w:rsidRDefault="00F02007" w:rsidP="003E2009">
            <w:pPr>
              <w:rPr>
                <w:rFonts w:ascii="Times New Roman" w:hAnsi="Times New Roman" w:cs="Times New Roman"/>
                <w:b/>
              </w:rPr>
            </w:pPr>
            <w:r w:rsidRPr="00B54968">
              <w:rPr>
                <w:rFonts w:ascii="Times New Roman" w:hAnsi="Times New Roman" w:cs="Times New Roman"/>
                <w:color w:val="000000"/>
                <w:spacing w:val="-2"/>
                <w:sz w:val="18"/>
                <w:szCs w:val="18"/>
              </w:rPr>
              <w:t>5 mg/kg</w:t>
            </w:r>
            <w:r w:rsidR="0030205D" w:rsidRPr="00B54968">
              <w:rPr>
                <w:rFonts w:ascii="Times New Roman" w:hAnsi="Times New Roman" w:cs="Times New Roman"/>
                <w:color w:val="000000"/>
                <w:spacing w:val="-2"/>
                <w:sz w:val="18"/>
                <w:szCs w:val="18"/>
                <w:lang w:eastAsia="ko-KR"/>
              </w:rPr>
              <w:t xml:space="preserve"> </w:t>
            </w:r>
            <w:r w:rsidRPr="00B54968">
              <w:rPr>
                <w:rFonts w:ascii="Times New Roman" w:hAnsi="Times New Roman" w:cs="Times New Roman"/>
                <w:color w:val="000000"/>
                <w:spacing w:val="-2"/>
                <w:sz w:val="18"/>
                <w:szCs w:val="18"/>
              </w:rPr>
              <w:t>(at week 24)</w:t>
            </w:r>
          </w:p>
        </w:tc>
        <w:tc>
          <w:tcPr>
            <w:tcW w:w="1843" w:type="dxa"/>
            <w:vAlign w:val="bottom"/>
          </w:tcPr>
          <w:p w14:paraId="1C16712D" w14:textId="77777777" w:rsidR="00F02007" w:rsidRPr="00B54968" w:rsidRDefault="00F02007" w:rsidP="003E2009">
            <w:pPr>
              <w:rPr>
                <w:rFonts w:ascii="Times New Roman" w:hAnsi="Times New Roman" w:cs="Times New Roman"/>
                <w:b/>
              </w:rPr>
            </w:pPr>
            <w:r w:rsidRPr="00B54968">
              <w:rPr>
                <w:rFonts w:ascii="Times New Roman" w:hAnsi="Times New Roman" w:cs="Times New Roman"/>
                <w:color w:val="000000"/>
                <w:spacing w:val="-3"/>
                <w:sz w:val="18"/>
                <w:szCs w:val="18"/>
              </w:rPr>
              <w:t>Infliximab</w:t>
            </w:r>
            <w:r w:rsidR="0030205D" w:rsidRPr="00B54968">
              <w:rPr>
                <w:rFonts w:ascii="Times New Roman" w:hAnsi="Times New Roman" w:cs="Times New Roman"/>
                <w:color w:val="000000"/>
                <w:spacing w:val="-3"/>
                <w:sz w:val="18"/>
                <w:szCs w:val="18"/>
                <w:lang w:eastAsia="ko-KR"/>
              </w:rPr>
              <w:t xml:space="preserve"> </w:t>
            </w:r>
            <w:r w:rsidRPr="00B54968">
              <w:rPr>
                <w:rFonts w:ascii="Times New Roman" w:hAnsi="Times New Roman" w:cs="Times New Roman"/>
                <w:color w:val="000000"/>
                <w:spacing w:val="-3"/>
                <w:sz w:val="18"/>
                <w:szCs w:val="18"/>
              </w:rPr>
              <w:t>5 mg/kg</w:t>
            </w:r>
          </w:p>
        </w:tc>
        <w:tc>
          <w:tcPr>
            <w:tcW w:w="1276" w:type="dxa"/>
            <w:vAlign w:val="bottom"/>
          </w:tcPr>
          <w:p w14:paraId="2400918F" w14:textId="77777777" w:rsidR="00F02007" w:rsidRPr="00B54968" w:rsidRDefault="00F02007" w:rsidP="003E2009">
            <w:pPr>
              <w:rPr>
                <w:rFonts w:ascii="Times New Roman" w:hAnsi="Times New Roman" w:cs="Times New Roman"/>
                <w:b/>
              </w:rPr>
            </w:pPr>
            <w:r w:rsidRPr="00B54968">
              <w:rPr>
                <w:rFonts w:ascii="Times New Roman" w:hAnsi="Times New Roman" w:cs="Times New Roman"/>
                <w:color w:val="000000"/>
                <w:spacing w:val="-2"/>
                <w:sz w:val="18"/>
                <w:szCs w:val="18"/>
              </w:rPr>
              <w:t>P-value</w:t>
            </w:r>
          </w:p>
        </w:tc>
      </w:tr>
      <w:tr w:rsidR="00F02007" w:rsidRPr="00B54968" w14:paraId="50CD8177" w14:textId="77777777" w:rsidTr="001A691C">
        <w:trPr>
          <w:trHeight w:val="215"/>
        </w:trPr>
        <w:tc>
          <w:tcPr>
            <w:tcW w:w="3827" w:type="dxa"/>
          </w:tcPr>
          <w:p w14:paraId="670A5035"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2</w:t>
            </w:r>
          </w:p>
        </w:tc>
        <w:tc>
          <w:tcPr>
            <w:tcW w:w="1843" w:type="dxa"/>
          </w:tcPr>
          <w:p w14:paraId="11B3E06A"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p>
        </w:tc>
        <w:tc>
          <w:tcPr>
            <w:tcW w:w="1843" w:type="dxa"/>
          </w:tcPr>
          <w:p w14:paraId="3CB51035"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p>
        </w:tc>
        <w:tc>
          <w:tcPr>
            <w:tcW w:w="1276" w:type="dxa"/>
          </w:tcPr>
          <w:p w14:paraId="093BA8F5"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p>
        </w:tc>
      </w:tr>
      <w:tr w:rsidR="00F02007" w:rsidRPr="00B54968" w14:paraId="1468D3EE" w14:textId="77777777" w:rsidTr="001A691C">
        <w:trPr>
          <w:trHeight w:val="215"/>
        </w:trPr>
        <w:tc>
          <w:tcPr>
            <w:tcW w:w="3827" w:type="dxa"/>
          </w:tcPr>
          <w:p w14:paraId="76EC907D" w14:textId="77777777" w:rsidR="00F02007" w:rsidRPr="00B54968" w:rsidRDefault="00F02007" w:rsidP="003E2009">
            <w:pPr>
              <w:adjustRightInd w:val="0"/>
              <w:spacing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6C6FF894"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1EA038A2"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298</w:t>
            </w:r>
          </w:p>
        </w:tc>
        <w:tc>
          <w:tcPr>
            <w:tcW w:w="1276" w:type="dxa"/>
          </w:tcPr>
          <w:p w14:paraId="03A963DD"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p>
        </w:tc>
      </w:tr>
      <w:tr w:rsidR="00F02007" w:rsidRPr="00B54968" w14:paraId="50DED676" w14:textId="77777777" w:rsidTr="001A691C">
        <w:trPr>
          <w:trHeight w:val="215"/>
        </w:trPr>
        <w:tc>
          <w:tcPr>
            <w:tcW w:w="3827" w:type="dxa"/>
          </w:tcPr>
          <w:p w14:paraId="1496FF3F" w14:textId="77777777" w:rsidR="00F02007" w:rsidRPr="00B54968" w:rsidRDefault="00F02007" w:rsidP="003E2009">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7FCAC6AF"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 (3.9%)</w:t>
            </w:r>
          </w:p>
        </w:tc>
        <w:tc>
          <w:tcPr>
            <w:tcW w:w="1843" w:type="dxa"/>
          </w:tcPr>
          <w:p w14:paraId="21352DA0"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59 (19.8%)</w:t>
            </w:r>
          </w:p>
        </w:tc>
        <w:tc>
          <w:tcPr>
            <w:tcW w:w="1276" w:type="dxa"/>
          </w:tcPr>
          <w:p w14:paraId="102404F5"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p>
        </w:tc>
      </w:tr>
      <w:tr w:rsidR="00F02007" w:rsidRPr="00B54968" w14:paraId="16EE49E4" w14:textId="77777777" w:rsidTr="001A691C">
        <w:trPr>
          <w:trHeight w:val="215"/>
        </w:trPr>
        <w:tc>
          <w:tcPr>
            <w:tcW w:w="3827" w:type="dxa"/>
          </w:tcPr>
          <w:p w14:paraId="0FD65432" w14:textId="77777777" w:rsidR="00F02007" w:rsidRPr="00B54968" w:rsidRDefault="00F02007" w:rsidP="003E2009">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2C68C826"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9 (11.7%)</w:t>
            </w:r>
          </w:p>
        </w:tc>
        <w:tc>
          <w:tcPr>
            <w:tcW w:w="1843" w:type="dxa"/>
          </w:tcPr>
          <w:p w14:paraId="4AD3264E"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208 (69.8%)</w:t>
            </w:r>
          </w:p>
        </w:tc>
        <w:tc>
          <w:tcPr>
            <w:tcW w:w="1276" w:type="dxa"/>
          </w:tcPr>
          <w:p w14:paraId="217169A3"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p>
        </w:tc>
      </w:tr>
      <w:tr w:rsidR="00F02007" w:rsidRPr="00B54968" w14:paraId="38CD18A1" w14:textId="77777777" w:rsidTr="001A691C">
        <w:trPr>
          <w:trHeight w:val="215"/>
        </w:trPr>
        <w:tc>
          <w:tcPr>
            <w:tcW w:w="3827" w:type="dxa"/>
          </w:tcPr>
          <w:p w14:paraId="4E9561BB"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6</w:t>
            </w:r>
          </w:p>
        </w:tc>
        <w:tc>
          <w:tcPr>
            <w:tcW w:w="1843" w:type="dxa"/>
          </w:tcPr>
          <w:p w14:paraId="53D31BB9"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p>
        </w:tc>
        <w:tc>
          <w:tcPr>
            <w:tcW w:w="1843" w:type="dxa"/>
          </w:tcPr>
          <w:p w14:paraId="64DB6B69"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p>
        </w:tc>
        <w:tc>
          <w:tcPr>
            <w:tcW w:w="1276" w:type="dxa"/>
          </w:tcPr>
          <w:p w14:paraId="50B487DD"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p>
        </w:tc>
      </w:tr>
      <w:tr w:rsidR="00F02007" w:rsidRPr="00B54968" w14:paraId="6BD85BC7" w14:textId="77777777" w:rsidTr="001A691C">
        <w:trPr>
          <w:trHeight w:val="215"/>
        </w:trPr>
        <w:tc>
          <w:tcPr>
            <w:tcW w:w="3827" w:type="dxa"/>
          </w:tcPr>
          <w:p w14:paraId="2F36AF2F" w14:textId="77777777" w:rsidR="00F02007" w:rsidRPr="00B54968" w:rsidRDefault="00F02007" w:rsidP="003E2009">
            <w:pPr>
              <w:adjustRightInd w:val="0"/>
              <w:spacing w:before="1" w:line="205"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5FEB579E"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628D356B"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295</w:t>
            </w:r>
          </w:p>
        </w:tc>
        <w:tc>
          <w:tcPr>
            <w:tcW w:w="1276" w:type="dxa"/>
          </w:tcPr>
          <w:p w14:paraId="5E472EB9"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p>
        </w:tc>
      </w:tr>
      <w:tr w:rsidR="00F02007" w:rsidRPr="00B54968" w14:paraId="7041BBB9" w14:textId="77777777" w:rsidTr="001A691C">
        <w:trPr>
          <w:trHeight w:val="215"/>
        </w:trPr>
        <w:tc>
          <w:tcPr>
            <w:tcW w:w="3827" w:type="dxa"/>
          </w:tcPr>
          <w:p w14:paraId="6645C2B3" w14:textId="77777777" w:rsidR="00F02007" w:rsidRPr="00B54968" w:rsidRDefault="00F02007" w:rsidP="003E2009">
            <w:pPr>
              <w:adjustRightInd w:val="0"/>
              <w:spacing w:before="1"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1D4B2BF7" w14:textId="77777777" w:rsidR="00F02007" w:rsidRPr="00B54968" w:rsidRDefault="00F02007" w:rsidP="003E2009">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 (2.6%)</w:t>
            </w:r>
          </w:p>
        </w:tc>
        <w:tc>
          <w:tcPr>
            <w:tcW w:w="1843" w:type="dxa"/>
          </w:tcPr>
          <w:p w14:paraId="67E25B86" w14:textId="77777777" w:rsidR="00F02007" w:rsidRPr="00B54968" w:rsidRDefault="00F02007" w:rsidP="003E2009">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205 (69.5%)</w:t>
            </w:r>
          </w:p>
        </w:tc>
        <w:tc>
          <w:tcPr>
            <w:tcW w:w="1276" w:type="dxa"/>
          </w:tcPr>
          <w:p w14:paraId="71DE17BE" w14:textId="77777777" w:rsidR="00F02007" w:rsidRPr="00B54968" w:rsidRDefault="00F02007" w:rsidP="003E2009">
            <w:pPr>
              <w:adjustRightInd w:val="0"/>
              <w:spacing w:before="1" w:line="207" w:lineRule="exact"/>
              <w:rPr>
                <w:rFonts w:ascii="Times New Roman" w:hAnsi="Times New Roman" w:cs="Times New Roman"/>
                <w:color w:val="000000"/>
                <w:spacing w:val="-2"/>
                <w:sz w:val="18"/>
                <w:szCs w:val="18"/>
              </w:rPr>
            </w:pPr>
          </w:p>
        </w:tc>
      </w:tr>
      <w:tr w:rsidR="00F02007" w:rsidRPr="00B54968" w14:paraId="2440E080" w14:textId="77777777" w:rsidTr="001A691C">
        <w:trPr>
          <w:trHeight w:val="215"/>
        </w:trPr>
        <w:tc>
          <w:tcPr>
            <w:tcW w:w="3827" w:type="dxa"/>
          </w:tcPr>
          <w:p w14:paraId="24CB9109" w14:textId="77777777" w:rsidR="00F02007" w:rsidRPr="00B54968" w:rsidRDefault="00F02007" w:rsidP="003E2009">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3087BE3E"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16 (20.8%)</w:t>
            </w:r>
          </w:p>
        </w:tc>
        <w:tc>
          <w:tcPr>
            <w:tcW w:w="1843" w:type="dxa"/>
          </w:tcPr>
          <w:p w14:paraId="629A1E4C"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272 (92.2%)</w:t>
            </w:r>
          </w:p>
        </w:tc>
        <w:tc>
          <w:tcPr>
            <w:tcW w:w="1276" w:type="dxa"/>
          </w:tcPr>
          <w:p w14:paraId="4D893847"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p>
        </w:tc>
      </w:tr>
      <w:tr w:rsidR="00F02007" w:rsidRPr="00B54968" w14:paraId="624C996A" w14:textId="77777777" w:rsidTr="001A691C">
        <w:trPr>
          <w:trHeight w:val="215"/>
        </w:trPr>
        <w:tc>
          <w:tcPr>
            <w:tcW w:w="3827" w:type="dxa"/>
          </w:tcPr>
          <w:p w14:paraId="67F146C5" w14:textId="77777777" w:rsidR="00F02007" w:rsidRPr="00B54968" w:rsidRDefault="00F02007" w:rsidP="003E2009">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10</w:t>
            </w:r>
          </w:p>
        </w:tc>
        <w:tc>
          <w:tcPr>
            <w:tcW w:w="1843" w:type="dxa"/>
          </w:tcPr>
          <w:p w14:paraId="2E34DD37" w14:textId="77777777" w:rsidR="00F02007" w:rsidRPr="00B54968" w:rsidRDefault="00F02007" w:rsidP="003E2009">
            <w:pPr>
              <w:adjustRightInd w:val="0"/>
              <w:spacing w:before="1" w:line="207" w:lineRule="exact"/>
              <w:rPr>
                <w:rFonts w:ascii="Times New Roman" w:hAnsi="Times New Roman" w:cs="Times New Roman"/>
                <w:color w:val="000000"/>
                <w:spacing w:val="-2"/>
                <w:sz w:val="18"/>
                <w:szCs w:val="18"/>
              </w:rPr>
            </w:pPr>
          </w:p>
        </w:tc>
        <w:tc>
          <w:tcPr>
            <w:tcW w:w="1843" w:type="dxa"/>
          </w:tcPr>
          <w:p w14:paraId="3D17652A" w14:textId="77777777" w:rsidR="00F02007" w:rsidRPr="00B54968" w:rsidRDefault="00F02007" w:rsidP="003E2009">
            <w:pPr>
              <w:adjustRightInd w:val="0"/>
              <w:spacing w:before="1" w:line="207" w:lineRule="exact"/>
              <w:rPr>
                <w:rFonts w:ascii="Times New Roman" w:hAnsi="Times New Roman" w:cs="Times New Roman"/>
                <w:color w:val="000000"/>
                <w:spacing w:val="-2"/>
                <w:sz w:val="18"/>
                <w:szCs w:val="18"/>
              </w:rPr>
            </w:pPr>
          </w:p>
        </w:tc>
        <w:tc>
          <w:tcPr>
            <w:tcW w:w="1276" w:type="dxa"/>
          </w:tcPr>
          <w:p w14:paraId="4590E276" w14:textId="77777777" w:rsidR="00F02007" w:rsidRPr="00B54968" w:rsidRDefault="00F02007" w:rsidP="003E2009">
            <w:pPr>
              <w:adjustRightInd w:val="0"/>
              <w:spacing w:before="1" w:line="207" w:lineRule="exact"/>
              <w:rPr>
                <w:rFonts w:ascii="Times New Roman" w:hAnsi="Times New Roman" w:cs="Times New Roman"/>
                <w:color w:val="000000"/>
                <w:spacing w:val="-2"/>
                <w:sz w:val="18"/>
                <w:szCs w:val="18"/>
              </w:rPr>
            </w:pPr>
          </w:p>
        </w:tc>
      </w:tr>
      <w:tr w:rsidR="00F02007" w:rsidRPr="00B54968" w14:paraId="20491A2D" w14:textId="77777777" w:rsidTr="001A691C">
        <w:trPr>
          <w:trHeight w:val="215"/>
        </w:trPr>
        <w:tc>
          <w:tcPr>
            <w:tcW w:w="3827" w:type="dxa"/>
          </w:tcPr>
          <w:p w14:paraId="2FA65B77" w14:textId="77777777" w:rsidR="00F02007" w:rsidRPr="00B54968" w:rsidRDefault="00F02007" w:rsidP="003E2009">
            <w:pPr>
              <w:adjustRightInd w:val="0"/>
              <w:spacing w:before="1" w:line="205"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1C0FA38C"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1F01F7FF"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292</w:t>
            </w:r>
          </w:p>
        </w:tc>
        <w:tc>
          <w:tcPr>
            <w:tcW w:w="1276" w:type="dxa"/>
          </w:tcPr>
          <w:p w14:paraId="2993A5B7"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p>
        </w:tc>
      </w:tr>
      <w:tr w:rsidR="00F02007" w:rsidRPr="00B54968" w14:paraId="6E1CB950" w14:textId="77777777" w:rsidTr="001A691C">
        <w:trPr>
          <w:trHeight w:val="215"/>
        </w:trPr>
        <w:tc>
          <w:tcPr>
            <w:tcW w:w="3827" w:type="dxa"/>
          </w:tcPr>
          <w:p w14:paraId="2F7DE8C5" w14:textId="77777777" w:rsidR="00F02007" w:rsidRPr="00B54968" w:rsidRDefault="00F02007" w:rsidP="003E2009">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0C579ECB"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 (3.9%)</w:t>
            </w:r>
          </w:p>
        </w:tc>
        <w:tc>
          <w:tcPr>
            <w:tcW w:w="1843" w:type="dxa"/>
          </w:tcPr>
          <w:p w14:paraId="18738154"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242 (82.9%)</w:t>
            </w:r>
          </w:p>
        </w:tc>
        <w:tc>
          <w:tcPr>
            <w:tcW w:w="1276" w:type="dxa"/>
          </w:tcPr>
          <w:p w14:paraId="2235341B"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7FD79214" w14:textId="77777777" w:rsidTr="001A691C">
        <w:trPr>
          <w:trHeight w:val="215"/>
        </w:trPr>
        <w:tc>
          <w:tcPr>
            <w:tcW w:w="3827" w:type="dxa"/>
          </w:tcPr>
          <w:p w14:paraId="5EFE132B" w14:textId="77777777" w:rsidR="00F02007" w:rsidRPr="00B54968" w:rsidRDefault="00F02007" w:rsidP="003E2009">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5432420B"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14 (18.2%)</w:t>
            </w:r>
          </w:p>
        </w:tc>
        <w:tc>
          <w:tcPr>
            <w:tcW w:w="1843" w:type="dxa"/>
          </w:tcPr>
          <w:p w14:paraId="271C8FA4"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275 (94.2%)</w:t>
            </w:r>
          </w:p>
        </w:tc>
        <w:tc>
          <w:tcPr>
            <w:tcW w:w="1276" w:type="dxa"/>
          </w:tcPr>
          <w:p w14:paraId="0DBF52C9"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5FFD16DC" w14:textId="77777777" w:rsidTr="001A691C">
        <w:trPr>
          <w:trHeight w:val="215"/>
        </w:trPr>
        <w:tc>
          <w:tcPr>
            <w:tcW w:w="3827" w:type="dxa"/>
          </w:tcPr>
          <w:p w14:paraId="0C0BF7CA"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24</w:t>
            </w:r>
          </w:p>
        </w:tc>
        <w:tc>
          <w:tcPr>
            <w:tcW w:w="1843" w:type="dxa"/>
          </w:tcPr>
          <w:p w14:paraId="422DB0DD"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p>
        </w:tc>
        <w:tc>
          <w:tcPr>
            <w:tcW w:w="1843" w:type="dxa"/>
          </w:tcPr>
          <w:p w14:paraId="6DE6D5C4"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p>
        </w:tc>
        <w:tc>
          <w:tcPr>
            <w:tcW w:w="1276" w:type="dxa"/>
          </w:tcPr>
          <w:p w14:paraId="4BA3A4FB"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p>
        </w:tc>
      </w:tr>
      <w:tr w:rsidR="00F02007" w:rsidRPr="00B54968" w14:paraId="41EE9C85" w14:textId="77777777" w:rsidTr="001A691C">
        <w:trPr>
          <w:trHeight w:val="215"/>
        </w:trPr>
        <w:tc>
          <w:tcPr>
            <w:tcW w:w="3827" w:type="dxa"/>
          </w:tcPr>
          <w:p w14:paraId="0B62E26C" w14:textId="77777777" w:rsidR="00F02007" w:rsidRPr="00B54968" w:rsidRDefault="00F02007" w:rsidP="003E2009">
            <w:pPr>
              <w:adjustRightInd w:val="0"/>
              <w:spacing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6B94FD4F"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4DC6A2C1"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276</w:t>
            </w:r>
          </w:p>
        </w:tc>
        <w:tc>
          <w:tcPr>
            <w:tcW w:w="1276" w:type="dxa"/>
          </w:tcPr>
          <w:p w14:paraId="585EA50C"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p>
        </w:tc>
      </w:tr>
      <w:tr w:rsidR="00F02007" w:rsidRPr="00B54968" w14:paraId="6A4DF1B9" w14:textId="77777777" w:rsidTr="001A691C">
        <w:trPr>
          <w:trHeight w:val="215"/>
        </w:trPr>
        <w:tc>
          <w:tcPr>
            <w:tcW w:w="3827" w:type="dxa"/>
          </w:tcPr>
          <w:p w14:paraId="79F76804" w14:textId="77777777" w:rsidR="00F02007" w:rsidRPr="00B54968" w:rsidRDefault="00F02007" w:rsidP="003E2009">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235E4928"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 (2.6%)</w:t>
            </w:r>
          </w:p>
        </w:tc>
        <w:tc>
          <w:tcPr>
            <w:tcW w:w="1843" w:type="dxa"/>
          </w:tcPr>
          <w:p w14:paraId="732945FD"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203 (73.6%)</w:t>
            </w:r>
          </w:p>
        </w:tc>
        <w:tc>
          <w:tcPr>
            <w:tcW w:w="1276" w:type="dxa"/>
          </w:tcPr>
          <w:p w14:paraId="116EFF89" w14:textId="77777777" w:rsidR="00F02007" w:rsidRPr="00B54968" w:rsidRDefault="00F02007" w:rsidP="003E200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0C56ED02" w14:textId="77777777" w:rsidTr="001A691C">
        <w:trPr>
          <w:trHeight w:val="215"/>
        </w:trPr>
        <w:tc>
          <w:tcPr>
            <w:tcW w:w="3827" w:type="dxa"/>
          </w:tcPr>
          <w:p w14:paraId="4B3F46EF" w14:textId="77777777" w:rsidR="00F02007" w:rsidRPr="00B54968" w:rsidRDefault="00F02007" w:rsidP="003E2009">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55911AE9"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15 (19.5%)</w:t>
            </w:r>
          </w:p>
        </w:tc>
        <w:tc>
          <w:tcPr>
            <w:tcW w:w="1843" w:type="dxa"/>
          </w:tcPr>
          <w:p w14:paraId="3AC23F8D"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246 (89.1%)</w:t>
            </w:r>
          </w:p>
        </w:tc>
        <w:tc>
          <w:tcPr>
            <w:tcW w:w="1276" w:type="dxa"/>
          </w:tcPr>
          <w:p w14:paraId="490CD512"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2F17A546" w14:textId="77777777" w:rsidTr="001A691C">
        <w:trPr>
          <w:trHeight w:val="215"/>
        </w:trPr>
        <w:tc>
          <w:tcPr>
            <w:tcW w:w="3827" w:type="dxa"/>
          </w:tcPr>
          <w:p w14:paraId="7DCF148E" w14:textId="77777777" w:rsidR="00F02007" w:rsidRPr="00B54968" w:rsidRDefault="00F02007" w:rsidP="003E2009">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50</w:t>
            </w:r>
          </w:p>
        </w:tc>
        <w:tc>
          <w:tcPr>
            <w:tcW w:w="1843" w:type="dxa"/>
          </w:tcPr>
          <w:p w14:paraId="0C547996" w14:textId="77777777" w:rsidR="00F02007" w:rsidRPr="00B54968" w:rsidRDefault="00F02007" w:rsidP="003E2009">
            <w:pPr>
              <w:adjustRightInd w:val="0"/>
              <w:spacing w:before="1" w:line="207" w:lineRule="exact"/>
              <w:rPr>
                <w:rFonts w:ascii="Times New Roman" w:hAnsi="Times New Roman" w:cs="Times New Roman"/>
                <w:color w:val="000000"/>
                <w:spacing w:val="-2"/>
                <w:sz w:val="18"/>
                <w:szCs w:val="18"/>
              </w:rPr>
            </w:pPr>
          </w:p>
        </w:tc>
        <w:tc>
          <w:tcPr>
            <w:tcW w:w="1843" w:type="dxa"/>
          </w:tcPr>
          <w:p w14:paraId="1FC9157C" w14:textId="77777777" w:rsidR="00F02007" w:rsidRPr="00B54968" w:rsidRDefault="00F02007" w:rsidP="003E2009">
            <w:pPr>
              <w:adjustRightInd w:val="0"/>
              <w:spacing w:before="1" w:line="207" w:lineRule="exact"/>
              <w:rPr>
                <w:rFonts w:ascii="Times New Roman" w:hAnsi="Times New Roman" w:cs="Times New Roman"/>
                <w:color w:val="000000"/>
                <w:spacing w:val="-2"/>
                <w:sz w:val="18"/>
                <w:szCs w:val="18"/>
              </w:rPr>
            </w:pPr>
          </w:p>
        </w:tc>
        <w:tc>
          <w:tcPr>
            <w:tcW w:w="1276" w:type="dxa"/>
          </w:tcPr>
          <w:p w14:paraId="0049ED0C" w14:textId="77777777" w:rsidR="00F02007" w:rsidRPr="00B54968" w:rsidRDefault="00F02007" w:rsidP="003E2009">
            <w:pPr>
              <w:adjustRightInd w:val="0"/>
              <w:spacing w:before="1" w:line="207" w:lineRule="exact"/>
              <w:rPr>
                <w:rFonts w:ascii="Times New Roman" w:hAnsi="Times New Roman" w:cs="Times New Roman"/>
                <w:color w:val="000000"/>
                <w:spacing w:val="-2"/>
                <w:sz w:val="18"/>
                <w:szCs w:val="18"/>
              </w:rPr>
            </w:pPr>
          </w:p>
        </w:tc>
      </w:tr>
      <w:tr w:rsidR="00F02007" w:rsidRPr="00B54968" w14:paraId="6D76E443" w14:textId="77777777" w:rsidTr="001A691C">
        <w:trPr>
          <w:trHeight w:val="215"/>
        </w:trPr>
        <w:tc>
          <w:tcPr>
            <w:tcW w:w="3827" w:type="dxa"/>
          </w:tcPr>
          <w:p w14:paraId="392C45F3" w14:textId="77777777" w:rsidR="00F02007" w:rsidRPr="00B54968" w:rsidRDefault="00F02007" w:rsidP="003E2009">
            <w:pPr>
              <w:adjustRightInd w:val="0"/>
              <w:spacing w:before="1" w:line="205"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72844321"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68</w:t>
            </w:r>
          </w:p>
        </w:tc>
        <w:tc>
          <w:tcPr>
            <w:tcW w:w="1843" w:type="dxa"/>
          </w:tcPr>
          <w:p w14:paraId="5710509B"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281</w:t>
            </w:r>
          </w:p>
        </w:tc>
        <w:tc>
          <w:tcPr>
            <w:tcW w:w="1276" w:type="dxa"/>
          </w:tcPr>
          <w:p w14:paraId="27F141D2"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p>
        </w:tc>
      </w:tr>
      <w:tr w:rsidR="00F02007" w:rsidRPr="00B54968" w14:paraId="76E1FD52" w14:textId="77777777" w:rsidTr="001A691C">
        <w:trPr>
          <w:trHeight w:val="215"/>
        </w:trPr>
        <w:tc>
          <w:tcPr>
            <w:tcW w:w="3827" w:type="dxa"/>
          </w:tcPr>
          <w:p w14:paraId="051FC96B" w14:textId="77777777" w:rsidR="00F02007" w:rsidRPr="00B54968" w:rsidRDefault="00F02007" w:rsidP="003E2009">
            <w:pPr>
              <w:adjustRightInd w:val="0"/>
              <w:spacing w:before="1"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2F7EB0B7" w14:textId="77777777" w:rsidR="00F02007" w:rsidRPr="00B54968" w:rsidRDefault="00F02007" w:rsidP="003E2009">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46 (67.6%)</w:t>
            </w:r>
          </w:p>
        </w:tc>
        <w:tc>
          <w:tcPr>
            <w:tcW w:w="1843" w:type="dxa"/>
          </w:tcPr>
          <w:p w14:paraId="2A4E21B7" w14:textId="77777777" w:rsidR="00F02007" w:rsidRPr="00B54968" w:rsidRDefault="00F02007" w:rsidP="003E2009">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149 (53.0%)</w:t>
            </w:r>
          </w:p>
        </w:tc>
        <w:tc>
          <w:tcPr>
            <w:tcW w:w="1276" w:type="dxa"/>
          </w:tcPr>
          <w:p w14:paraId="12703D07" w14:textId="77777777" w:rsidR="00F02007" w:rsidRPr="00B54968" w:rsidRDefault="00F02007" w:rsidP="003E2009">
            <w:pPr>
              <w:adjustRightInd w:val="0"/>
              <w:spacing w:before="1" w:line="207" w:lineRule="exact"/>
              <w:rPr>
                <w:rFonts w:ascii="Times New Roman" w:hAnsi="Times New Roman" w:cs="Times New Roman"/>
                <w:color w:val="000000"/>
                <w:spacing w:val="-2"/>
                <w:sz w:val="18"/>
                <w:szCs w:val="18"/>
              </w:rPr>
            </w:pPr>
          </w:p>
        </w:tc>
      </w:tr>
      <w:tr w:rsidR="00F02007" w:rsidRPr="00B54968" w14:paraId="21937E8F" w14:textId="77777777" w:rsidTr="001A691C">
        <w:trPr>
          <w:trHeight w:val="215"/>
        </w:trPr>
        <w:tc>
          <w:tcPr>
            <w:tcW w:w="3827" w:type="dxa"/>
          </w:tcPr>
          <w:p w14:paraId="56C03371" w14:textId="77777777" w:rsidR="00F02007" w:rsidRPr="00B54968" w:rsidRDefault="00F02007" w:rsidP="003E2009">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26824B3F"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59 (86.8%)</w:t>
            </w:r>
          </w:p>
        </w:tc>
        <w:tc>
          <w:tcPr>
            <w:tcW w:w="1843" w:type="dxa"/>
          </w:tcPr>
          <w:p w14:paraId="6F8D7784"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189 (67.3%)</w:t>
            </w:r>
          </w:p>
        </w:tc>
        <w:tc>
          <w:tcPr>
            <w:tcW w:w="1276" w:type="dxa"/>
          </w:tcPr>
          <w:p w14:paraId="212EF5AC"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8"/>
              </w:rPr>
            </w:pPr>
          </w:p>
        </w:tc>
      </w:tr>
    </w:tbl>
    <w:p w14:paraId="326AFAD5" w14:textId="77777777" w:rsidR="0030205D" w:rsidRPr="00B54968" w:rsidRDefault="0030205D" w:rsidP="003E2009">
      <w:pPr>
        <w:pStyle w:val="Default"/>
        <w:rPr>
          <w:rFonts w:ascii="Times New Roman" w:hAnsi="Times New Roman" w:cs="Times New Roman"/>
          <w:color w:val="auto"/>
          <w:sz w:val="22"/>
          <w:szCs w:val="22"/>
          <w:lang w:eastAsia="ko-KR"/>
        </w:rPr>
      </w:pPr>
    </w:p>
    <w:p w14:paraId="4D2590C6" w14:textId="77777777" w:rsidR="00A02600" w:rsidRPr="00B54968" w:rsidRDefault="004E6D2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median baseline value for the DLQI was 12.5. The mean baseline values were 45.6 for the SF-36 physical component and 45.7 for the mental component. Quality of life improved significantly compared to placebo at weeks 10 and 24 when evaluated by both DLQI and SF-36. </w:t>
      </w:r>
    </w:p>
    <w:p w14:paraId="352FDC23" w14:textId="77777777" w:rsidR="00A02600" w:rsidRPr="00B54968" w:rsidRDefault="00A02600" w:rsidP="003E2009">
      <w:pPr>
        <w:pStyle w:val="Default"/>
        <w:rPr>
          <w:rFonts w:ascii="Times New Roman" w:hAnsi="Times New Roman" w:cs="Times New Roman"/>
          <w:color w:val="auto"/>
          <w:sz w:val="22"/>
          <w:szCs w:val="22"/>
        </w:rPr>
      </w:pPr>
    </w:p>
    <w:p w14:paraId="081D0D40" w14:textId="77777777" w:rsidR="00A02600" w:rsidRPr="00B54968" w:rsidRDefault="004E6D2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median baseline NAPSI score for nail psoriasis was 4 and the median number of nails involved with psoriasis was 10. Patients treated with infliximab showed a clear improvement in nail psoriasis from baseline compared to placebo treated patients, as measured by NAPSI score, and by the decrease in number of nails involved. </w:t>
      </w:r>
    </w:p>
    <w:p w14:paraId="5D91FE41" w14:textId="77777777" w:rsidR="00A02600" w:rsidRPr="00B54968" w:rsidRDefault="00A02600" w:rsidP="003E2009">
      <w:pPr>
        <w:pStyle w:val="Default"/>
        <w:rPr>
          <w:rFonts w:ascii="Times New Roman" w:hAnsi="Times New Roman" w:cs="Times New Roman"/>
          <w:color w:val="auto"/>
          <w:sz w:val="22"/>
          <w:szCs w:val="22"/>
        </w:rPr>
      </w:pPr>
    </w:p>
    <w:p w14:paraId="44D3F1AF" w14:textId="77777777" w:rsidR="00A02600" w:rsidRPr="00B54968" w:rsidRDefault="004E6D22" w:rsidP="003E2009">
      <w:pPr>
        <w:pStyle w:val="Default"/>
        <w:numPr>
          <w:ilvl w:val="0"/>
          <w:numId w:val="1"/>
        </w:numPr>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Moderate to severe active Crohn’s Disease in adult patients (≥18 years) </w:t>
      </w:r>
    </w:p>
    <w:p w14:paraId="11EB99E6" w14:textId="77777777" w:rsidR="00A02600" w:rsidRPr="00B54968" w:rsidRDefault="004E6D22" w:rsidP="003E2009">
      <w:pPr>
        <w:spacing w:line="240" w:lineRule="auto"/>
        <w:rPr>
          <w:rFonts w:ascii="Times New Roman" w:hAnsi="Times New Roman" w:cs="Times New Roman"/>
        </w:rPr>
      </w:pPr>
      <w:r w:rsidRPr="00B54968">
        <w:rPr>
          <w:rFonts w:ascii="Times New Roman" w:hAnsi="Times New Roman" w:cs="Times New Roman"/>
        </w:rPr>
        <w:t xml:space="preserve">The safety and efficacy of single and multiple doses of </w:t>
      </w:r>
      <w:r w:rsidR="00432329" w:rsidRPr="00B54968">
        <w:rPr>
          <w:rFonts w:ascii="Times New Roman" w:hAnsi="Times New Roman" w:cs="Times New Roman"/>
        </w:rPr>
        <w:t>infliximab</w:t>
      </w:r>
      <w:r w:rsidRPr="00B54968">
        <w:rPr>
          <w:rFonts w:ascii="Times New Roman" w:hAnsi="Times New Roman" w:cs="Times New Roman"/>
        </w:rPr>
        <w:t xml:space="preserve"> were assessed in two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double-blind, placebo-controlled studies in patients with moderate to severe active Crohn’s disease, with Crohn’s Disease Activity Index (CDAI) of 220 to 400 with an inadequate response to prior conventional therapies. Concurrent use of stable dose regimens of corticosteroids, 5-ASA, 6-MP and/or AZA was permitted and 92% of patients continued to receive at least one of these medications.</w:t>
      </w:r>
    </w:p>
    <w:p w14:paraId="5588EC07" w14:textId="03D14925" w:rsidR="00A02600" w:rsidRPr="003E2009" w:rsidRDefault="004E6D2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single dose trial of 108 patients, 22 of 27 (81%) of the </w:t>
      </w:r>
      <w:r w:rsidR="0072030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receiving a 5 mg/kg dose achieved a clinical response (decrease in CDAI by ≥70 points) vs. 4 of 25 (16%) of the placebo-treated patients (p&lt;0.001). Also at week 4, 13 of 27 (48%) of </w:t>
      </w:r>
      <w:r w:rsidR="005662F7" w:rsidRPr="00B54968">
        <w:rPr>
          <w:rFonts w:ascii="Times New Roman" w:hAnsi="Times New Roman" w:cs="Times New Roman"/>
          <w:color w:val="auto"/>
          <w:sz w:val="22"/>
          <w:szCs w:val="22"/>
          <w:lang w:eastAsia="ko-KR"/>
        </w:rPr>
        <w:t>infliximab</w:t>
      </w:r>
      <w:r w:rsidRPr="00B54968">
        <w:rPr>
          <w:rFonts w:ascii="Times New Roman" w:hAnsi="Times New Roman" w:cs="Times New Roman"/>
          <w:color w:val="auto"/>
          <w:sz w:val="22"/>
          <w:szCs w:val="22"/>
        </w:rPr>
        <w:t xml:space="preserve">-treated patients achieved a clinical remission (CDAI &lt;150) vs. 1 of 25 (4%) of placebo-treated patients. Results are shown in Figure 1. </w:t>
      </w:r>
    </w:p>
    <w:p w14:paraId="00D3BA23" w14:textId="77777777" w:rsidR="00A02600" w:rsidRPr="00B54968" w:rsidRDefault="00A02600" w:rsidP="003E2009">
      <w:pPr>
        <w:rPr>
          <w:rFonts w:ascii="Times New Roman" w:hAnsi="Times New Roman" w:cs="Times New Roman"/>
          <w:b/>
          <w:bCs/>
        </w:rPr>
      </w:pPr>
      <w:r w:rsidRPr="00B54968">
        <w:rPr>
          <w:rFonts w:ascii="Times New Roman" w:hAnsi="Times New Roman" w:cs="Times New Roman"/>
          <w:b/>
          <w:bCs/>
        </w:rPr>
        <w:br w:type="page"/>
      </w:r>
    </w:p>
    <w:p w14:paraId="55989247" w14:textId="77777777" w:rsidR="00A02600" w:rsidRPr="00B54968" w:rsidRDefault="004E6D22" w:rsidP="003E2009">
      <w:pPr>
        <w:rPr>
          <w:rFonts w:ascii="Times New Roman" w:hAnsi="Times New Roman" w:cs="Times New Roman"/>
          <w:b/>
          <w:bCs/>
        </w:rPr>
      </w:pPr>
      <w:r w:rsidRPr="00B54968">
        <w:rPr>
          <w:rFonts w:ascii="Times New Roman" w:hAnsi="Times New Roman" w:cs="Times New Roman"/>
          <w:b/>
          <w:bCs/>
        </w:rPr>
        <w:lastRenderedPageBreak/>
        <w:t>Figure 1: Response (</w:t>
      </w:r>
      <w:r w:rsidRPr="00B54968">
        <w:rPr>
          <w:rFonts w:ascii="Times New Roman" w:hAnsi="Times New Roman" w:cs="Times New Roman"/>
        </w:rPr>
        <w:t>≥</w:t>
      </w:r>
      <w:r w:rsidRPr="00B54968">
        <w:rPr>
          <w:rFonts w:ascii="Times New Roman" w:hAnsi="Times New Roman" w:cs="Times New Roman"/>
          <w:b/>
          <w:bCs/>
        </w:rPr>
        <w:t xml:space="preserve">70 point decrease in CDAI) to a Single IV </w:t>
      </w:r>
      <w:r w:rsidR="00435DA7" w:rsidRPr="00B54968">
        <w:rPr>
          <w:rFonts w:ascii="Times New Roman" w:hAnsi="Times New Roman" w:cs="Times New Roman"/>
          <w:b/>
          <w:bCs/>
        </w:rPr>
        <w:t>Infliximab</w:t>
      </w:r>
      <w:r w:rsidRPr="00B54968">
        <w:rPr>
          <w:rFonts w:ascii="Times New Roman" w:hAnsi="Times New Roman" w:cs="Times New Roman"/>
          <w:b/>
          <w:bCs/>
        </w:rPr>
        <w:t xml:space="preserve"> or Placebo Dose</w:t>
      </w:r>
    </w:p>
    <w:p w14:paraId="59308529" w14:textId="77777777" w:rsidR="00A02600" w:rsidRPr="00B54968" w:rsidRDefault="00F912D5" w:rsidP="003E2009">
      <w:pPr>
        <w:rPr>
          <w:rFonts w:ascii="Times New Roman" w:hAnsi="Times New Roman" w:cs="Times New Roman"/>
          <w:b/>
          <w:bCs/>
        </w:rPr>
      </w:pPr>
      <w:r w:rsidRPr="00B54968">
        <w:rPr>
          <w:rFonts w:ascii="Times New Roman" w:hAnsi="Times New Roman" w:cs="Times New Roman"/>
          <w:b/>
          <w:bCs/>
          <w:noProof/>
          <w:lang w:val="en-AU" w:eastAsia="en-AU"/>
        </w:rPr>
        <w:drawing>
          <wp:inline distT="0" distB="0" distL="0" distR="0" wp14:anchorId="17C72538" wp14:editId="448CEA75">
            <wp:extent cx="3230880" cy="2467924"/>
            <wp:effectExtent l="0" t="0" r="762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5978" cy="2471818"/>
                    </a:xfrm>
                    <a:prstGeom prst="rect">
                      <a:avLst/>
                    </a:prstGeom>
                    <a:noFill/>
                    <a:ln>
                      <a:noFill/>
                    </a:ln>
                  </pic:spPr>
                </pic:pic>
              </a:graphicData>
            </a:graphic>
          </wp:inline>
        </w:drawing>
      </w:r>
    </w:p>
    <w:p w14:paraId="35715342" w14:textId="77777777" w:rsidR="00A02600" w:rsidRPr="00B54968" w:rsidRDefault="004E6D2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w:t>
      </w:r>
      <w:proofErr w:type="spellStart"/>
      <w:r w:rsidRPr="00B54968">
        <w:rPr>
          <w:rFonts w:ascii="Times New Roman" w:hAnsi="Times New Roman" w:cs="Times New Roman"/>
          <w:color w:val="auto"/>
          <w:sz w:val="22"/>
          <w:szCs w:val="22"/>
        </w:rPr>
        <w:t>multidose</w:t>
      </w:r>
      <w:proofErr w:type="spellEnd"/>
      <w:r w:rsidRPr="00B54968">
        <w:rPr>
          <w:rFonts w:ascii="Times New Roman" w:hAnsi="Times New Roman" w:cs="Times New Roman"/>
          <w:color w:val="auto"/>
          <w:sz w:val="22"/>
          <w:szCs w:val="22"/>
        </w:rPr>
        <w:t xml:space="preserve"> trial, 573 patients, with a score of at least CDAI 220, received 5 mg/kg at week 0. After assessment of response, patients were randomly assigned to one of three treatment groups; placebo at weeks 2 and 6 and then every 8 weeks until week 46; 5 mg/kg at weeks 2 and 6, and then every 8 weeks; and the 10 mg/kg maintenance group, which received 5 mg/kg at weeks 2 and 6, and then 10 mg/kg every 8 weeks. The </w:t>
      </w:r>
      <w:proofErr w:type="spellStart"/>
      <w:r w:rsidRPr="00B54968">
        <w:rPr>
          <w:rFonts w:ascii="Times New Roman" w:hAnsi="Times New Roman" w:cs="Times New Roman"/>
          <w:color w:val="auto"/>
          <w:sz w:val="22"/>
          <w:szCs w:val="22"/>
        </w:rPr>
        <w:t>prespecified</w:t>
      </w:r>
      <w:proofErr w:type="spellEnd"/>
      <w:r w:rsidRPr="00B54968">
        <w:rPr>
          <w:rFonts w:ascii="Times New Roman" w:hAnsi="Times New Roman" w:cs="Times New Roman"/>
          <w:color w:val="auto"/>
          <w:sz w:val="22"/>
          <w:szCs w:val="22"/>
        </w:rPr>
        <w:t xml:space="preserve"> co-primary endpoints were the proportion of patients who responded at week 2 and were in remission (CDAI &lt;150) at week 30 and the time to loss of response in patients who responded. Analyses of the endpoints were on the intent to treat patient population. </w:t>
      </w:r>
    </w:p>
    <w:p w14:paraId="5793CAE4" w14:textId="77777777" w:rsidR="00A02600" w:rsidRPr="00B54968" w:rsidRDefault="00A02600" w:rsidP="003E2009">
      <w:pPr>
        <w:pStyle w:val="Default"/>
        <w:rPr>
          <w:rFonts w:ascii="Times New Roman" w:hAnsi="Times New Roman" w:cs="Times New Roman"/>
          <w:color w:val="auto"/>
          <w:sz w:val="22"/>
          <w:szCs w:val="22"/>
        </w:rPr>
      </w:pPr>
    </w:p>
    <w:p w14:paraId="05F29587" w14:textId="0F677933" w:rsidR="00A02600" w:rsidRPr="003E2009" w:rsidRDefault="004E6D22" w:rsidP="003E2009">
      <w:pPr>
        <w:pStyle w:val="Default"/>
        <w:rPr>
          <w:rFonts w:ascii="Times New Roman" w:hAnsi="Times New Roman" w:cs="Times New Roman"/>
          <w:lang w:eastAsia="ko-KR"/>
        </w:rPr>
      </w:pPr>
      <w:r w:rsidRPr="00B54968">
        <w:rPr>
          <w:rFonts w:ascii="Times New Roman" w:hAnsi="Times New Roman" w:cs="Times New Roman"/>
          <w:color w:val="auto"/>
          <w:sz w:val="22"/>
          <w:szCs w:val="22"/>
        </w:rPr>
        <w:t xml:space="preserve">At week 2, 58% (335/573) of patients had responded to a single infusion of </w:t>
      </w:r>
      <w:r w:rsidR="00435DA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and were in clinical response (decrease in CDAI ≥25% and ≥70 points). At week 30, 23 of 110 (21%) of placebo patients were in remission, compared with 44 of 113 (39%) of 5 mg/kg maintenance group (p=0.003) and 50 of 112 (45%) (p=0.0002) of 10 mg/kg maintenance group. Patients in the infliximab maintenance groups had significantly longer time to loss of response than patients in the placebo maintenance group (p&lt;0.001) (Figure 2). Median time to loss of response was 46 weeks in the combined infliximab maintenance treatment group versus 19 weeks in the placebo maintenance group. Patients who achieved a response and subsequently lost response were eligible to receive infliximab on an episodic basis at a dose that was 5 mg/kg higher than the dose to which they were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Eighty-nine percent (50/56) of patients who lost clinical response on infliximab 5 mg/kg every-eight-week maintenance dosing, responded to a 10 mg/kg infliximab infusion.</w:t>
      </w:r>
      <w:r w:rsidR="00A02600" w:rsidRPr="00B54968">
        <w:rPr>
          <w:rFonts w:ascii="Times New Roman" w:hAnsi="Times New Roman" w:cs="Times New Roman"/>
          <w:b/>
          <w:bCs/>
        </w:rPr>
        <w:br w:type="page"/>
      </w:r>
    </w:p>
    <w:p w14:paraId="465F1EA7" w14:textId="77777777" w:rsidR="00A02600" w:rsidRPr="00B54968" w:rsidRDefault="00F801BD" w:rsidP="003E2009">
      <w:pPr>
        <w:rPr>
          <w:rFonts w:ascii="Times New Roman" w:hAnsi="Times New Roman" w:cs="Times New Roman"/>
          <w:b/>
          <w:bCs/>
        </w:rPr>
      </w:pPr>
      <w:r w:rsidRPr="00B54968">
        <w:rPr>
          <w:rFonts w:ascii="Times New Roman" w:hAnsi="Times New Roman" w:cs="Times New Roman"/>
          <w:b/>
          <w:bCs/>
        </w:rPr>
        <w:lastRenderedPageBreak/>
        <w:t>F</w:t>
      </w:r>
      <w:r w:rsidR="004E6D22" w:rsidRPr="00B54968">
        <w:rPr>
          <w:rFonts w:ascii="Times New Roman" w:hAnsi="Times New Roman" w:cs="Times New Roman"/>
          <w:b/>
          <w:bCs/>
        </w:rPr>
        <w:t>igure 2: Kaplan-Meier Estimate of the Proportion of Patients who had not lost Response through Week 54</w:t>
      </w:r>
    </w:p>
    <w:p w14:paraId="4A27D8DD" w14:textId="77777777" w:rsidR="00A02600" w:rsidRPr="00B54968" w:rsidRDefault="004E6D22" w:rsidP="003E2009">
      <w:pPr>
        <w:rPr>
          <w:rFonts w:ascii="Times New Roman" w:hAnsi="Times New Roman" w:cs="Times New Roman"/>
          <w:b/>
          <w:bCs/>
        </w:rPr>
      </w:pPr>
      <w:r w:rsidRPr="00B54968">
        <w:rPr>
          <w:rFonts w:ascii="Times New Roman" w:hAnsi="Times New Roman" w:cs="Times New Roman"/>
          <w:noProof/>
          <w:lang w:val="en-AU" w:eastAsia="en-AU"/>
        </w:rPr>
        <w:drawing>
          <wp:inline distT="0" distB="0" distL="0" distR="0" wp14:anchorId="6211B942" wp14:editId="6D0B5667">
            <wp:extent cx="3604260" cy="27289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7374" cy="2731269"/>
                    </a:xfrm>
                    <a:prstGeom prst="rect">
                      <a:avLst/>
                    </a:prstGeom>
                    <a:noFill/>
                    <a:ln>
                      <a:noFill/>
                    </a:ln>
                  </pic:spPr>
                </pic:pic>
              </a:graphicData>
            </a:graphic>
          </wp:inline>
        </w:drawing>
      </w:r>
    </w:p>
    <w:p w14:paraId="75B77B36" w14:textId="77777777" w:rsidR="00A02600" w:rsidRPr="00B54968" w:rsidRDefault="004E6D2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Significant improvement in quality of life measures were seen in both the IBDQ and SF-36 (p&lt;0.001) scores in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at week 30. </w:t>
      </w:r>
    </w:p>
    <w:p w14:paraId="1AFEBA29" w14:textId="77777777" w:rsidR="00A02600" w:rsidRPr="00B54968" w:rsidRDefault="00A02600" w:rsidP="003E2009">
      <w:pPr>
        <w:pStyle w:val="Default"/>
        <w:rPr>
          <w:rFonts w:ascii="Times New Roman" w:hAnsi="Times New Roman" w:cs="Times New Roman"/>
          <w:color w:val="auto"/>
          <w:sz w:val="22"/>
          <w:szCs w:val="22"/>
        </w:rPr>
      </w:pPr>
    </w:p>
    <w:p w14:paraId="39386DF8" w14:textId="77777777" w:rsidR="00A02600" w:rsidRPr="00B54968" w:rsidRDefault="004E6D2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patients receiving corticosteroids at baseline, the proportion of these patients in clinical remission and not receiving corticosteroids at week 30 was 31% (18 patients) for the 5mg/kg maintenance group and 37% (21 patients) for the 10 mg/kg maintenance group, compared with 11% (6 patients) in the placebo maintenance group (p=0.001 for both the 5mg/kg and 10 mg/kg maintenance groups). The median corticosteroid dose at baseline (20 mg/day) was reduced to 10 mg/day in the placebo maintenance group and 0 mg/day in the combined infliximab maintenance groups by week 30, indicating that at least 50% of the infliximab maintenance patients were able to discontinue steroid use. </w:t>
      </w:r>
    </w:p>
    <w:p w14:paraId="44DF89FA" w14:textId="77777777" w:rsidR="00A02600" w:rsidRPr="00B54968" w:rsidRDefault="00A02600" w:rsidP="003E2009">
      <w:pPr>
        <w:pStyle w:val="Default"/>
        <w:rPr>
          <w:rFonts w:ascii="Times New Roman" w:hAnsi="Times New Roman" w:cs="Times New Roman"/>
          <w:color w:val="auto"/>
          <w:sz w:val="22"/>
          <w:szCs w:val="22"/>
        </w:rPr>
      </w:pPr>
    </w:p>
    <w:p w14:paraId="4EBD0F37" w14:textId="77777777" w:rsidR="00A02600" w:rsidRPr="00B54968" w:rsidRDefault="004E6D22" w:rsidP="003E2009">
      <w:pPr>
        <w:spacing w:line="240" w:lineRule="auto"/>
        <w:rPr>
          <w:rFonts w:ascii="Times New Roman" w:hAnsi="Times New Roman" w:cs="Times New Roman"/>
        </w:rPr>
      </w:pPr>
      <w:r w:rsidRPr="00B54968">
        <w:rPr>
          <w:rFonts w:ascii="Times New Roman" w:hAnsi="Times New Roman" w:cs="Times New Roman"/>
        </w:rPr>
        <w:t xml:space="preserve">In a subset of patients who participated in an endoscopic </w:t>
      </w:r>
      <w:proofErr w:type="spellStart"/>
      <w:r w:rsidRPr="00B54968">
        <w:rPr>
          <w:rFonts w:ascii="Times New Roman" w:hAnsi="Times New Roman" w:cs="Times New Roman"/>
        </w:rPr>
        <w:t>substudy</w:t>
      </w:r>
      <w:proofErr w:type="spellEnd"/>
      <w:r w:rsidRPr="00B54968">
        <w:rPr>
          <w:rFonts w:ascii="Times New Roman" w:hAnsi="Times New Roman" w:cs="Times New Roman"/>
        </w:rPr>
        <w:t>, a significantly greater proportion of patients in the infliximab maintenance groups combined (10/32 patients, 31%) had healing of the mucosa compared to patients in the placebo group (0/17 patients, 0%) at week 10 (p=0.010). Results were similar at week 54.</w:t>
      </w:r>
    </w:p>
    <w:p w14:paraId="45FD9130" w14:textId="77777777" w:rsidR="00A02600" w:rsidRPr="00B54968" w:rsidRDefault="004E6D22" w:rsidP="003E2009">
      <w:pPr>
        <w:pStyle w:val="Default"/>
        <w:rPr>
          <w:rFonts w:ascii="Times New Roman" w:hAnsi="Times New Roman" w:cs="Times New Roman"/>
          <w:color w:val="auto"/>
          <w:sz w:val="22"/>
          <w:szCs w:val="22"/>
        </w:rPr>
      </w:pPr>
      <w:proofErr w:type="spellStart"/>
      <w:r w:rsidRPr="00B54968">
        <w:rPr>
          <w:rFonts w:ascii="Times New Roman" w:hAnsi="Times New Roman" w:cs="Times New Roman"/>
          <w:b/>
          <w:bCs/>
          <w:color w:val="auto"/>
          <w:sz w:val="22"/>
          <w:szCs w:val="22"/>
        </w:rPr>
        <w:t>Fistulising</w:t>
      </w:r>
      <w:proofErr w:type="spellEnd"/>
      <w:r w:rsidRPr="00B54968">
        <w:rPr>
          <w:rFonts w:ascii="Times New Roman" w:hAnsi="Times New Roman" w:cs="Times New Roman"/>
          <w:b/>
          <w:bCs/>
          <w:color w:val="auto"/>
          <w:sz w:val="22"/>
          <w:szCs w:val="22"/>
        </w:rPr>
        <w:t xml:space="preserve"> Crohn’s Disease </w:t>
      </w:r>
    </w:p>
    <w:p w14:paraId="2BB7C0F8" w14:textId="77777777" w:rsidR="00A02600" w:rsidRPr="00B54968" w:rsidRDefault="004E6D2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were assessed in a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double-blind, placebo controlled study of 94 patients with </w:t>
      </w:r>
      <w:proofErr w:type="spellStart"/>
      <w:r w:rsidRPr="00B54968">
        <w:rPr>
          <w:rFonts w:ascii="Times New Roman" w:hAnsi="Times New Roman" w:cs="Times New Roman"/>
          <w:color w:val="auto"/>
          <w:sz w:val="22"/>
          <w:szCs w:val="22"/>
        </w:rPr>
        <w:t>fistulising</w:t>
      </w:r>
      <w:proofErr w:type="spellEnd"/>
      <w:r w:rsidRPr="00B54968">
        <w:rPr>
          <w:rFonts w:ascii="Times New Roman" w:hAnsi="Times New Roman" w:cs="Times New Roman"/>
          <w:color w:val="auto"/>
          <w:sz w:val="22"/>
          <w:szCs w:val="22"/>
        </w:rPr>
        <w:t xml:space="preserve"> Crohn’s disease with fistulas that were of at least 3 months’ duration. Thirty-one of these patients were treated with infliximab 5mg/kg. Approximately 93% of the patients had previously received antibiotic or immunosuppressive therapy. </w:t>
      </w:r>
    </w:p>
    <w:p w14:paraId="4372BE77" w14:textId="77777777" w:rsidR="00A02600" w:rsidRPr="00B54968" w:rsidRDefault="00A02600" w:rsidP="003E2009">
      <w:pPr>
        <w:pStyle w:val="Default"/>
        <w:rPr>
          <w:rFonts w:ascii="Times New Roman" w:hAnsi="Times New Roman" w:cs="Times New Roman"/>
          <w:color w:val="auto"/>
          <w:sz w:val="22"/>
          <w:szCs w:val="22"/>
        </w:rPr>
      </w:pPr>
    </w:p>
    <w:p w14:paraId="2401A2F0" w14:textId="77777777" w:rsidR="00A02600" w:rsidRPr="00B54968" w:rsidRDefault="004E6D2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Concurrent use of stable doses of conventional therapies was permitted, and 83% of patients continued to receive at least one of these medications. Fifty-two (55%) had multiple </w:t>
      </w:r>
      <w:proofErr w:type="spellStart"/>
      <w:r w:rsidRPr="00B54968">
        <w:rPr>
          <w:rFonts w:ascii="Times New Roman" w:hAnsi="Times New Roman" w:cs="Times New Roman"/>
          <w:color w:val="auto"/>
          <w:sz w:val="22"/>
          <w:szCs w:val="22"/>
        </w:rPr>
        <w:t>cutaneously</w:t>
      </w:r>
      <w:proofErr w:type="spellEnd"/>
      <w:r w:rsidRPr="00B54968">
        <w:rPr>
          <w:rFonts w:ascii="Times New Roman" w:hAnsi="Times New Roman" w:cs="Times New Roman"/>
          <w:color w:val="auto"/>
          <w:sz w:val="22"/>
          <w:szCs w:val="22"/>
        </w:rPr>
        <w:t xml:space="preserve"> draining fistulas, 90% of patients had fistulas in the perianal area and 10% had abdominal fistulas. </w:t>
      </w:r>
    </w:p>
    <w:p w14:paraId="6DD4A481" w14:textId="77777777" w:rsidR="00A02600" w:rsidRPr="00B54968" w:rsidRDefault="00A02600" w:rsidP="003E2009">
      <w:pPr>
        <w:pStyle w:val="Default"/>
        <w:rPr>
          <w:rFonts w:ascii="Times New Roman" w:hAnsi="Times New Roman" w:cs="Times New Roman"/>
          <w:color w:val="auto"/>
          <w:sz w:val="22"/>
          <w:szCs w:val="22"/>
        </w:rPr>
      </w:pPr>
    </w:p>
    <w:p w14:paraId="11B7E878" w14:textId="77777777" w:rsidR="00A02600" w:rsidRPr="00B54968" w:rsidRDefault="004E6D22" w:rsidP="003E2009">
      <w:pPr>
        <w:spacing w:line="240" w:lineRule="auto"/>
        <w:rPr>
          <w:rFonts w:ascii="Times New Roman" w:hAnsi="Times New Roman" w:cs="Times New Roman"/>
        </w:rPr>
      </w:pPr>
      <w:r w:rsidRPr="00B54968">
        <w:rPr>
          <w:rFonts w:ascii="Times New Roman" w:hAnsi="Times New Roman" w:cs="Times New Roman"/>
        </w:rPr>
        <w:t xml:space="preserve">Patients received 3 doses of </w:t>
      </w:r>
      <w:r w:rsidR="00FD7920" w:rsidRPr="00B54968">
        <w:rPr>
          <w:rFonts w:ascii="Times New Roman" w:hAnsi="Times New Roman" w:cs="Times New Roman"/>
        </w:rPr>
        <w:t>infliximab</w:t>
      </w:r>
      <w:r w:rsidRPr="00B54968">
        <w:rPr>
          <w:rFonts w:ascii="Times New Roman" w:hAnsi="Times New Roman" w:cs="Times New Roman"/>
        </w:rPr>
        <w:t xml:space="preserve"> 5 or 10 mg/kg or placebo at Weeks 0, 2 and 6 and were followed up to 26 weeks. The primary endpoint was the proportion of patients who experienced a clinical response, defined as ≥50% reduction from baseline in the number of fistulas draining upon gentle compression, on at least two consecutive visits, without an increase in medication or surgery for Crohn’s disease.</w:t>
      </w:r>
    </w:p>
    <w:p w14:paraId="575E03F5" w14:textId="77777777" w:rsidR="00A02600" w:rsidRPr="00B54968" w:rsidRDefault="004E6D2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Sixty-eight percent (21/31) of infliximab-treated patients receiving a 5 mg/kg dose regimen achieved a clinical response vs 26% (8/31) placebo-treated patients (p=0.002). The median time to onset of response in the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-treated group was 2 weeks. The median duration of response was 12 weeks. Additionally, closure of all fistulas was achieved in 55% of infliximab-treated patients compared with 13% of placebo-treated patients (p=0.001).</w:t>
      </w:r>
    </w:p>
    <w:p w14:paraId="4CCAA8F7" w14:textId="77777777" w:rsidR="00A02600" w:rsidRPr="00B54968" w:rsidRDefault="004E6D2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p>
    <w:p w14:paraId="15C0F934" w14:textId="77777777" w:rsidR="00A02600" w:rsidRPr="00B54968" w:rsidRDefault="004E6D22" w:rsidP="003E2009">
      <w:pPr>
        <w:spacing w:line="240" w:lineRule="auto"/>
        <w:rPr>
          <w:rFonts w:ascii="Times New Roman" w:hAnsi="Times New Roman" w:cs="Times New Roman"/>
        </w:rPr>
      </w:pPr>
      <w:r w:rsidRPr="00B54968">
        <w:rPr>
          <w:rFonts w:ascii="Times New Roman" w:hAnsi="Times New Roman" w:cs="Times New Roman"/>
        </w:rPr>
        <w:t xml:space="preserve">The safety and efficacy of repeated infliximab infusions in patients with </w:t>
      </w:r>
      <w:proofErr w:type="spellStart"/>
      <w:r w:rsidRPr="00B54968">
        <w:rPr>
          <w:rFonts w:ascii="Times New Roman" w:hAnsi="Times New Roman" w:cs="Times New Roman"/>
        </w:rPr>
        <w:t>fistulising</w:t>
      </w:r>
      <w:proofErr w:type="spellEnd"/>
      <w:r w:rsidRPr="00B54968">
        <w:rPr>
          <w:rFonts w:ascii="Times New Roman" w:hAnsi="Times New Roman" w:cs="Times New Roman"/>
        </w:rPr>
        <w:t xml:space="preserve"> Crohn’s disease were studied in a 1-year trial. A total of 306 patients received 3 doses of </w:t>
      </w:r>
      <w:r w:rsidR="00FD7920" w:rsidRPr="00B54968">
        <w:rPr>
          <w:rFonts w:ascii="Times New Roman" w:hAnsi="Times New Roman" w:cs="Times New Roman"/>
        </w:rPr>
        <w:t>infliximab</w:t>
      </w:r>
      <w:r w:rsidRPr="00B54968">
        <w:rPr>
          <w:rFonts w:ascii="Times New Roman" w:hAnsi="Times New Roman" w:cs="Times New Roman"/>
        </w:rPr>
        <w:t xml:space="preserve"> 5 mg/kg at week 0, 2 and 6. Among the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patients at baseline, 87% of the patients had perianal fistulas, 14% had abdominal fistulas, 9% had rectovaginal fistulas. The median CDAI score was 180. One-hundred and ninety-five patients responding to the 3 doses (for definition of response see description of primary endpoint for the trial above) were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at week 14 to receive either placebo or 5 mg/kg infliximab every 8 weeks through week 46. At week 14, 65% (177/273) of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patients were in fistula response. Patients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to infliximab maintenance had a significantly longer time to loss of fistula response compared to the placebo maintenance group (p&lt;0.001). Median time to loss of response was &gt;40 weeks in the infliximab group compared with 14 weeks in the placebo group. At week 54, 38% (33/87) of </w:t>
      </w:r>
      <w:r w:rsidR="00FD7920" w:rsidRPr="00B54968">
        <w:rPr>
          <w:rFonts w:ascii="Times New Roman" w:hAnsi="Times New Roman" w:cs="Times New Roman"/>
        </w:rPr>
        <w:t>infliximab</w:t>
      </w:r>
      <w:r w:rsidRPr="00B54968">
        <w:rPr>
          <w:rFonts w:ascii="Times New Roman" w:hAnsi="Times New Roman" w:cs="Times New Roman"/>
        </w:rPr>
        <w:t xml:space="preserve">-treated patients had no draining fistulas compared with 22% (20/90) of placebo-treated patients (p=0.02). The infliximab group showed greater improvement in CDAI score from baseline compared with placebo (p=0.04). Patients who achieved a fistula response and subsequently lost response were eligible to receive </w:t>
      </w:r>
      <w:r w:rsidR="00FD7920" w:rsidRPr="00B54968">
        <w:rPr>
          <w:rFonts w:ascii="Times New Roman" w:hAnsi="Times New Roman" w:cs="Times New Roman"/>
        </w:rPr>
        <w:t>infliximab</w:t>
      </w:r>
      <w:r w:rsidRPr="00B54968">
        <w:rPr>
          <w:rFonts w:ascii="Times New Roman" w:hAnsi="Times New Roman" w:cs="Times New Roman"/>
        </w:rPr>
        <w:t xml:space="preserve"> maintenance therapy at a dose that was 5 mg/kg higher than the dose to which they were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Of the placebo maintenance patients, 66% (25/38) responded to 5 mg/kg </w:t>
      </w:r>
      <w:r w:rsidR="001A3435" w:rsidRPr="00B54968">
        <w:rPr>
          <w:rFonts w:ascii="Times New Roman" w:hAnsi="Times New Roman" w:cs="Times New Roman"/>
        </w:rPr>
        <w:t>infliximab</w:t>
      </w:r>
      <w:r w:rsidRPr="00B54968">
        <w:rPr>
          <w:rFonts w:ascii="Times New Roman" w:hAnsi="Times New Roman" w:cs="Times New Roman"/>
        </w:rPr>
        <w:t xml:space="preserve">, and 57% (12/21) of </w:t>
      </w:r>
      <w:r w:rsidR="00FD7920" w:rsidRPr="00B54968">
        <w:rPr>
          <w:rFonts w:ascii="Times New Roman" w:hAnsi="Times New Roman" w:cs="Times New Roman"/>
        </w:rPr>
        <w:t>infliximab</w:t>
      </w:r>
      <w:r w:rsidRPr="00B54968">
        <w:rPr>
          <w:rFonts w:ascii="Times New Roman" w:hAnsi="Times New Roman" w:cs="Times New Roman"/>
        </w:rPr>
        <w:t xml:space="preserve"> maintenance patients responded to 10 mg/kg. Compared to placebo maintenance, patients on </w:t>
      </w:r>
      <w:r w:rsidR="001A3435" w:rsidRPr="00B54968">
        <w:rPr>
          <w:rFonts w:ascii="Times New Roman" w:hAnsi="Times New Roman" w:cs="Times New Roman"/>
        </w:rPr>
        <w:t>infliximab</w:t>
      </w:r>
      <w:r w:rsidRPr="00B54968">
        <w:rPr>
          <w:rFonts w:ascii="Times New Roman" w:hAnsi="Times New Roman" w:cs="Times New Roman"/>
        </w:rPr>
        <w:t xml:space="preserve"> maintenance had a trend toward fewer </w:t>
      </w:r>
      <w:proofErr w:type="spellStart"/>
      <w:r w:rsidRPr="00B54968">
        <w:rPr>
          <w:rFonts w:ascii="Times New Roman" w:hAnsi="Times New Roman" w:cs="Times New Roman"/>
        </w:rPr>
        <w:t>hospitalisations</w:t>
      </w:r>
      <w:proofErr w:type="spellEnd"/>
      <w:r w:rsidRPr="00B54968">
        <w:rPr>
          <w:rFonts w:ascii="Times New Roman" w:hAnsi="Times New Roman" w:cs="Times New Roman"/>
        </w:rPr>
        <w:t xml:space="preserve">. At week 30, greater improvement from baseline in IBDQ scores was seen in the </w:t>
      </w:r>
      <w:r w:rsidR="00FD7920" w:rsidRPr="00B54968">
        <w:rPr>
          <w:rFonts w:ascii="Times New Roman" w:hAnsi="Times New Roman" w:cs="Times New Roman"/>
        </w:rPr>
        <w:t>infliximab</w:t>
      </w:r>
      <w:r w:rsidRPr="00B54968">
        <w:rPr>
          <w:rFonts w:ascii="Times New Roman" w:hAnsi="Times New Roman" w:cs="Times New Roman"/>
        </w:rPr>
        <w:t xml:space="preserve"> maintenance group compared to placebo maintenance. Improvement in both scores was maintained through week 54.</w:t>
      </w:r>
    </w:p>
    <w:p w14:paraId="272501D4" w14:textId="77777777" w:rsidR="00A02600" w:rsidRPr="00B54968" w:rsidRDefault="004E6D22"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Active Crohn’s disease in children and adolescent patients (6 to17 years) </w:t>
      </w:r>
    </w:p>
    <w:p w14:paraId="51C3F5DC" w14:textId="77777777" w:rsidR="00A02600" w:rsidRPr="00B54968" w:rsidRDefault="004E6D22" w:rsidP="003E2009">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single and multiple doses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were assessed in a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single-dose, </w:t>
      </w:r>
      <w:proofErr w:type="spellStart"/>
      <w:r w:rsidRPr="00B54968">
        <w:rPr>
          <w:rFonts w:ascii="Times New Roman" w:hAnsi="Times New Roman" w:cs="Times New Roman"/>
          <w:color w:val="auto"/>
          <w:sz w:val="22"/>
          <w:szCs w:val="22"/>
        </w:rPr>
        <w:t>multicentre</w:t>
      </w:r>
      <w:proofErr w:type="spellEnd"/>
      <w:r w:rsidRPr="00B54968">
        <w:rPr>
          <w:rFonts w:ascii="Times New Roman" w:hAnsi="Times New Roman" w:cs="Times New Roman"/>
          <w:color w:val="auto"/>
          <w:sz w:val="22"/>
          <w:szCs w:val="22"/>
        </w:rPr>
        <w:t xml:space="preserve"> Phase II study in 21 children and adolescent patients with active Crohn’s disease, and in a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multiple dose, open-label, </w:t>
      </w:r>
      <w:proofErr w:type="spellStart"/>
      <w:r w:rsidRPr="00B54968">
        <w:rPr>
          <w:rFonts w:ascii="Times New Roman" w:hAnsi="Times New Roman" w:cs="Times New Roman"/>
          <w:color w:val="auto"/>
          <w:sz w:val="22"/>
          <w:szCs w:val="22"/>
        </w:rPr>
        <w:t>multicentre</w:t>
      </w:r>
      <w:proofErr w:type="spellEnd"/>
      <w:r w:rsidRPr="00B54968">
        <w:rPr>
          <w:rFonts w:ascii="Times New Roman" w:hAnsi="Times New Roman" w:cs="Times New Roman"/>
          <w:color w:val="auto"/>
          <w:sz w:val="22"/>
          <w:szCs w:val="22"/>
        </w:rPr>
        <w:t xml:space="preserve"> Phase III study in 112 children and adolescent Crohn’s disease patients (the REACH trial). In REACH, all subjects were required to be on a stable dose of 6-MP, AZA or MTX (35% were also receiving corticosteroids at baseline). </w:t>
      </w:r>
    </w:p>
    <w:p w14:paraId="65BBDC93" w14:textId="77777777" w:rsidR="00A02600" w:rsidRPr="00B54968" w:rsidRDefault="004E6D22" w:rsidP="003E2009">
      <w:pPr>
        <w:spacing w:after="120" w:line="240" w:lineRule="auto"/>
        <w:rPr>
          <w:rFonts w:ascii="Times New Roman" w:hAnsi="Times New Roman" w:cs="Times New Roman"/>
        </w:rPr>
      </w:pPr>
      <w:r w:rsidRPr="00B54968">
        <w:rPr>
          <w:rFonts w:ascii="Times New Roman" w:hAnsi="Times New Roman" w:cs="Times New Roman"/>
        </w:rPr>
        <w:t xml:space="preserve">In the Phase II single-dose trial of 21 patients (11 to 17 years old, median age 15.0 years), all patients achieved a clinical response (decrease in CDAI ≥70 points or decrease in PCDAI ≥10) at some point in the 20 weeks following the single dose of infliximab, and clinical remission (defined as a reduction in the modified CDAI score to below 150 points or a reduction in the PCDAI to below 10) was achieved by 10 (47.6%) patients. Of the 3 doses administered (1, 5, or 10 mg/kg), the 5 mg/kg and 10 mg/kg treatment groups had a larger proportion of patients achieving clinical remission (16.7% in the 1 mg/kg infliximab treatment group as compared with 57.1% and 62.5% in the 5 mg/kg and 10 mg/kg infliximab treatment groups, respectively). All 7 patients who had </w:t>
      </w:r>
      <w:proofErr w:type="spellStart"/>
      <w:r w:rsidRPr="00B54968">
        <w:rPr>
          <w:rFonts w:ascii="Times New Roman" w:hAnsi="Times New Roman" w:cs="Times New Roman"/>
        </w:rPr>
        <w:t>fistulising</w:t>
      </w:r>
      <w:proofErr w:type="spellEnd"/>
      <w:r w:rsidRPr="00B54968">
        <w:rPr>
          <w:rFonts w:ascii="Times New Roman" w:hAnsi="Times New Roman" w:cs="Times New Roman"/>
        </w:rPr>
        <w:t xml:space="preserve"> disease had their fistulas closed for at least 1 evaluation visit (8 weeks).</w:t>
      </w:r>
    </w:p>
    <w:p w14:paraId="7309E391" w14:textId="77777777" w:rsidR="00A02600" w:rsidRPr="00B54968" w:rsidRDefault="004E6D22" w:rsidP="003E2009">
      <w:pPr>
        <w:spacing w:after="120" w:line="240" w:lineRule="auto"/>
        <w:rPr>
          <w:rFonts w:ascii="Times New Roman" w:hAnsi="Times New Roman" w:cs="Times New Roman"/>
        </w:rPr>
      </w:pPr>
      <w:r w:rsidRPr="00B54968">
        <w:rPr>
          <w:rFonts w:ascii="Times New Roman" w:hAnsi="Times New Roman" w:cs="Times New Roman"/>
        </w:rPr>
        <w:t xml:space="preserve">In the multiple-dose Phase III trial (REACH), 112 patients (6 to 17 years, median age 13.0 years) received 5 mg/kg infliximab at weeks 0, 2, and 6. Patients assessed by the investigator to be in clinical response at week 10 were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and received either 5 mg/kg infliximab 8-weekly or 12-weekly as a maintenance treatment regimen. If response was lost during maintenance treatment, crossing over to a higher dose or shorter dosing interval was allowed.</w:t>
      </w:r>
    </w:p>
    <w:p w14:paraId="5D6C2EA8" w14:textId="77777777" w:rsidR="00A02600" w:rsidRPr="00B54968" w:rsidRDefault="004E6D22" w:rsidP="003E2009">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REACH, clinical response at Week 10 was 88.4% (99/112) as compared with 66.7% (128/192) in adults (ACCENT 1). Similarly, the proportion of subjects achieving clinical remission at week 10 was 58.9% (66/112) as compared with 39.1% (75/192) in adults (ACCENT 1). </w:t>
      </w:r>
    </w:p>
    <w:p w14:paraId="1A46BBF9" w14:textId="77777777" w:rsidR="00A02600" w:rsidRPr="00B54968" w:rsidRDefault="004E6D22" w:rsidP="003E2009">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At week 30; the proportion of subjects in clinical response was significantly higher in the 8-weekly (73.1%, 38/52) than in the 12-weekly maintenance treatment group (47.1%, 24/51; p=0.007). At week </w:t>
      </w:r>
      <w:r w:rsidRPr="00B54968">
        <w:rPr>
          <w:rFonts w:ascii="Times New Roman" w:hAnsi="Times New Roman" w:cs="Times New Roman"/>
          <w:color w:val="auto"/>
          <w:sz w:val="22"/>
          <w:szCs w:val="22"/>
        </w:rPr>
        <w:lastRenderedPageBreak/>
        <w:t xml:space="preserve">54, the proportion of subjects in clinical response was also significantly higher for subjects in the 8-weekly (63.5%, 33/52) than in the 12-weekly maintenance treatment group (33.3%, 17/51; p=0.002). </w:t>
      </w:r>
    </w:p>
    <w:p w14:paraId="26A60A3D" w14:textId="77777777" w:rsidR="00A02600" w:rsidRPr="00B54968" w:rsidRDefault="004E6D22" w:rsidP="003E2009">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At week 30, the proportion of patients in clinical remission was significantly higher in the 8-weekly maintenance treatment group (59.6%, 31/52) than in the 12-weekly maintenance treatment group (35.3%, 18/51; p=0.013). At week 54, the proportion of patients in clinical remission was also significantly higher for patients in the 8-weekly (55.8%, 29/52) than in the 12-weekly (23.5%, 12/51; p&lt;0.001) maintenance treatment groups. </w:t>
      </w:r>
    </w:p>
    <w:p w14:paraId="4AE38446" w14:textId="77777777" w:rsidR="00A02600" w:rsidRPr="00B54968" w:rsidRDefault="004E6D22" w:rsidP="003E2009">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REACH, the change from baseline in average daily corticosteroid use was significant at weeks 10, 30, and 54 (p&lt;0.001). For patients receiving corticosteroids at baseline in REACH, clinical remission achieved with no corticosteroids at week 30 was 45.8% for the 8-weekly and 33.3% for the 12-weekly maintenance treatment group. At week 54, 45.8% of patients in the 8-weekly and 16.7% of subjects in the 12-weekly maintenance treatment group were in clinical remission and not receiving corticosteroids. </w:t>
      </w:r>
    </w:p>
    <w:p w14:paraId="15566186" w14:textId="77777777" w:rsidR="00A02600" w:rsidRPr="00B54968" w:rsidRDefault="004E6D22" w:rsidP="003E2009">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t xml:space="preserve">Quality of life was assessed using the IMPACT III score (a QOL questionnaire specifically developed and validated for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patients with inflammatory bowel disease). It was administered only to subjects in North America. The mean changes (negative change indicates improvement) from baseline of the IMPACT III score at Weeks 10, 30 and 54 (-22.9, -21.1, and -24.3, respectively) were all significant (p&lt;0.001). </w:t>
      </w:r>
    </w:p>
    <w:p w14:paraId="2DE82154" w14:textId="77777777" w:rsidR="009107BD" w:rsidRPr="00B54968" w:rsidRDefault="009107BD" w:rsidP="003E2009">
      <w:pPr>
        <w:pStyle w:val="Default"/>
        <w:rPr>
          <w:rFonts w:ascii="Times New Roman" w:hAnsi="Times New Roman" w:cs="Times New Roman"/>
          <w:color w:val="auto"/>
          <w:sz w:val="22"/>
          <w:szCs w:val="22"/>
          <w:lang w:eastAsia="ko-KR"/>
        </w:rPr>
      </w:pPr>
    </w:p>
    <w:p w14:paraId="3D537094" w14:textId="77777777" w:rsidR="00A02600" w:rsidRPr="00B54968" w:rsidRDefault="004E6D22" w:rsidP="003E2009">
      <w:pPr>
        <w:spacing w:after="0" w:line="240" w:lineRule="auto"/>
        <w:rPr>
          <w:rFonts w:ascii="Times New Roman" w:hAnsi="Times New Roman" w:cs="Times New Roman"/>
        </w:rPr>
      </w:pPr>
      <w:r w:rsidRPr="00B54968">
        <w:rPr>
          <w:rFonts w:ascii="Times New Roman" w:hAnsi="Times New Roman" w:cs="Times New Roman"/>
        </w:rPr>
        <w:t xml:space="preserve">The height z-score is a measure of the deviation of the </w:t>
      </w:r>
      <w:proofErr w:type="spellStart"/>
      <w:r w:rsidRPr="00B54968">
        <w:rPr>
          <w:rFonts w:ascii="Times New Roman" w:hAnsi="Times New Roman" w:cs="Times New Roman"/>
        </w:rPr>
        <w:t>paediatric</w:t>
      </w:r>
      <w:proofErr w:type="spellEnd"/>
      <w:r w:rsidRPr="00B54968">
        <w:rPr>
          <w:rFonts w:ascii="Times New Roman" w:hAnsi="Times New Roman" w:cs="Times New Roman"/>
        </w:rPr>
        <w:t xml:space="preserve"> patient’s height from the expected height for a population of the same age and gender. In the population studied, the median z-score at baseline was –1.6. The median changes from baseline in the z-scores were 0.3 and 0.4 for week 30 and week 54, respectively. The z scores were significantly improved from baseline at both week 30 (p&lt;0.001) and week 54 (p&lt;0.001).</w:t>
      </w:r>
    </w:p>
    <w:p w14:paraId="4512A82B" w14:textId="77777777" w:rsidR="00A02600" w:rsidRPr="00B54968" w:rsidRDefault="00A02600" w:rsidP="003E2009">
      <w:pPr>
        <w:spacing w:after="0"/>
        <w:rPr>
          <w:rFonts w:ascii="Times New Roman" w:hAnsi="Times New Roman" w:cs="Times New Roman"/>
        </w:rPr>
      </w:pPr>
    </w:p>
    <w:p w14:paraId="77CA619E" w14:textId="77777777" w:rsidR="00A02600" w:rsidRPr="003E2009" w:rsidRDefault="004E6D22" w:rsidP="003E2009">
      <w:pPr>
        <w:autoSpaceDE w:val="0"/>
        <w:autoSpaceDN w:val="0"/>
        <w:adjustRightInd w:val="0"/>
        <w:spacing w:after="0" w:line="240" w:lineRule="auto"/>
        <w:rPr>
          <w:rFonts w:ascii="Times New Roman" w:hAnsi="Times New Roman" w:cs="Times New Roman"/>
        </w:rPr>
      </w:pPr>
      <w:r w:rsidRPr="003E2009">
        <w:rPr>
          <w:rFonts w:ascii="Times New Roman" w:hAnsi="Times New Roman" w:cs="Times New Roman"/>
          <w:b/>
          <w:bCs/>
        </w:rPr>
        <w:t xml:space="preserve">Ulcerative colitis </w:t>
      </w:r>
    </w:p>
    <w:p w14:paraId="2A0FEF19" w14:textId="77777777" w:rsidR="00A02600" w:rsidRPr="00B54968" w:rsidRDefault="004E6D22" w:rsidP="003E2009">
      <w:pPr>
        <w:autoSpaceDE w:val="0"/>
        <w:autoSpaceDN w:val="0"/>
        <w:adjustRightInd w:val="0"/>
        <w:spacing w:after="120" w:line="240" w:lineRule="auto"/>
        <w:rPr>
          <w:rFonts w:ascii="Times New Roman" w:eastAsia="Arial Unicode MS" w:hAnsi="Times New Roman" w:cs="Times New Roman"/>
        </w:rPr>
      </w:pPr>
      <w:r w:rsidRPr="00B54968">
        <w:rPr>
          <w:rFonts w:ascii="Times New Roman" w:hAnsi="Times New Roman" w:cs="Times New Roman"/>
        </w:rPr>
        <w:t xml:space="preserve">The safety and efficacy of infliximab were assessed in two (ACT 1 and ACT 2)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double-blind, placebo-controlled clinical studies in adult patients with moderately to severely active ulcerative colitis (Mayo score 6 to 12; Endoscopy </w:t>
      </w:r>
      <w:proofErr w:type="spellStart"/>
      <w:r w:rsidRPr="00B54968">
        <w:rPr>
          <w:rFonts w:ascii="Times New Roman" w:hAnsi="Times New Roman" w:cs="Times New Roman"/>
        </w:rPr>
        <w:t>subscore</w:t>
      </w:r>
      <w:proofErr w:type="spellEnd"/>
      <w:r w:rsidRPr="00B54968">
        <w:rPr>
          <w:rFonts w:ascii="Times New Roman" w:hAnsi="Times New Roman" w:cs="Times New Roman"/>
        </w:rPr>
        <w:t xml:space="preserve"> </w:t>
      </w:r>
      <w:r w:rsidRPr="00B54968">
        <w:rPr>
          <w:rFonts w:ascii="Times New Roman" w:eastAsia="Arial Unicode MS" w:hAnsi="Times New Roman" w:cs="Times New Roman"/>
        </w:rPr>
        <w:t xml:space="preserve">2) with an inadequate response to conventional therapies [oral corticosteroids, </w:t>
      </w:r>
      <w:proofErr w:type="spellStart"/>
      <w:r w:rsidRPr="00B54968">
        <w:rPr>
          <w:rFonts w:ascii="Times New Roman" w:eastAsia="Arial Unicode MS" w:hAnsi="Times New Roman" w:cs="Times New Roman"/>
        </w:rPr>
        <w:t>aminosalicylates</w:t>
      </w:r>
      <w:proofErr w:type="spellEnd"/>
      <w:r w:rsidRPr="00B54968">
        <w:rPr>
          <w:rFonts w:ascii="Times New Roman" w:eastAsia="Arial Unicode MS" w:hAnsi="Times New Roman" w:cs="Times New Roman"/>
        </w:rPr>
        <w:t xml:space="preserve"> and/or immunomodulators (6-MP, AZA)]. Concomitant stable doses of oral </w:t>
      </w:r>
      <w:proofErr w:type="spellStart"/>
      <w:r w:rsidRPr="00B54968">
        <w:rPr>
          <w:rFonts w:ascii="Times New Roman" w:eastAsia="Arial Unicode MS" w:hAnsi="Times New Roman" w:cs="Times New Roman"/>
        </w:rPr>
        <w:t>aminosalicylates</w:t>
      </w:r>
      <w:proofErr w:type="spellEnd"/>
      <w:r w:rsidRPr="00B54968">
        <w:rPr>
          <w:rFonts w:ascii="Times New Roman" w:eastAsia="Arial Unicode MS" w:hAnsi="Times New Roman" w:cs="Times New Roman"/>
        </w:rPr>
        <w:t xml:space="preserve">, corticosteroids, and/or immunomodulatory agents were permitted. In both studies, patients were </w:t>
      </w:r>
      <w:proofErr w:type="spellStart"/>
      <w:r w:rsidRPr="00B54968">
        <w:rPr>
          <w:rFonts w:ascii="Times New Roman" w:eastAsia="Arial Unicode MS" w:hAnsi="Times New Roman" w:cs="Times New Roman"/>
        </w:rPr>
        <w:t>randomised</w:t>
      </w:r>
      <w:proofErr w:type="spellEnd"/>
      <w:r w:rsidRPr="00B54968">
        <w:rPr>
          <w:rFonts w:ascii="Times New Roman" w:eastAsia="Arial Unicode MS" w:hAnsi="Times New Roman" w:cs="Times New Roman"/>
        </w:rPr>
        <w:t xml:space="preserve"> to receive either placebo, 5 mg/kg infliximab, or 10 mg/kg infliximab at weeks 0, 2, 6, 14 and 22, and in ACT 1 at weeks 30, 38 and 46. Corticosteroid taper was permitted after week 8. </w:t>
      </w:r>
    </w:p>
    <w:p w14:paraId="40545FEF" w14:textId="77777777" w:rsidR="00A02600" w:rsidRPr="00B54968" w:rsidRDefault="004E6D22" w:rsidP="003E2009">
      <w:pPr>
        <w:pStyle w:val="Default"/>
        <w:spacing w:after="120"/>
        <w:rPr>
          <w:rFonts w:ascii="Times New Roman" w:hAnsi="Times New Roman" w:cs="Times New Roman"/>
          <w:color w:val="auto"/>
          <w:sz w:val="22"/>
          <w:szCs w:val="22"/>
        </w:rPr>
      </w:pPr>
      <w:r w:rsidRPr="00B54968">
        <w:rPr>
          <w:rFonts w:ascii="Times New Roman" w:eastAsia="Arial Unicode MS" w:hAnsi="Times New Roman" w:cs="Times New Roman"/>
          <w:color w:val="auto"/>
          <w:sz w:val="22"/>
          <w:szCs w:val="22"/>
        </w:rPr>
        <w:t xml:space="preserve">In both studies, clinical response and clinical remission were defined based on the Mayo score, which consists of four </w:t>
      </w:r>
      <w:proofErr w:type="spellStart"/>
      <w:r w:rsidRPr="00B54968">
        <w:rPr>
          <w:rFonts w:ascii="Times New Roman" w:eastAsia="Arial Unicode MS" w:hAnsi="Times New Roman" w:cs="Times New Roman"/>
          <w:color w:val="auto"/>
          <w:sz w:val="22"/>
          <w:szCs w:val="22"/>
        </w:rPr>
        <w:t>subscores</w:t>
      </w:r>
      <w:proofErr w:type="spellEnd"/>
      <w:r w:rsidRPr="00B54968">
        <w:rPr>
          <w:rFonts w:ascii="Times New Roman" w:eastAsia="Arial Unicode MS" w:hAnsi="Times New Roman" w:cs="Times New Roman"/>
          <w:color w:val="auto"/>
          <w:sz w:val="22"/>
          <w:szCs w:val="22"/>
        </w:rPr>
        <w:t xml:space="preserve">: stool frequency, rectal bleeding, findings of endoscopy, and physician’s global assessment. Each </w:t>
      </w:r>
      <w:proofErr w:type="spellStart"/>
      <w:r w:rsidRPr="00B54968">
        <w:rPr>
          <w:rFonts w:ascii="Times New Roman" w:eastAsia="Arial Unicode MS" w:hAnsi="Times New Roman" w:cs="Times New Roman"/>
          <w:color w:val="auto"/>
          <w:sz w:val="22"/>
          <w:szCs w:val="22"/>
        </w:rPr>
        <w:t>subscore</w:t>
      </w:r>
      <w:proofErr w:type="spellEnd"/>
      <w:r w:rsidRPr="00B54968">
        <w:rPr>
          <w:rFonts w:ascii="Times New Roman" w:eastAsia="Arial Unicode MS" w:hAnsi="Times New Roman" w:cs="Times New Roman"/>
          <w:color w:val="auto"/>
          <w:sz w:val="22"/>
          <w:szCs w:val="22"/>
        </w:rPr>
        <w:t xml:space="preserve"> is rated on a scale from 0 to 3, indicating normal (0) to severe (3) activity. The Mayo score is the sum of the 4 </w:t>
      </w:r>
      <w:proofErr w:type="spellStart"/>
      <w:r w:rsidRPr="00B54968">
        <w:rPr>
          <w:rFonts w:ascii="Times New Roman" w:eastAsia="Arial Unicode MS" w:hAnsi="Times New Roman" w:cs="Times New Roman"/>
          <w:color w:val="auto"/>
          <w:sz w:val="22"/>
          <w:szCs w:val="22"/>
        </w:rPr>
        <w:t>subscores</w:t>
      </w:r>
      <w:proofErr w:type="spellEnd"/>
      <w:r w:rsidRPr="00B54968">
        <w:rPr>
          <w:rFonts w:ascii="Times New Roman" w:eastAsia="Arial Unicode MS" w:hAnsi="Times New Roman" w:cs="Times New Roman"/>
          <w:color w:val="auto"/>
          <w:sz w:val="22"/>
          <w:szCs w:val="22"/>
        </w:rPr>
        <w:t xml:space="preserve">. Clinical response was defined as a decrease from baseline in the Mayo score of ≥30% and ≥3 points, accompanied by a decrease in the rectal bleeding </w:t>
      </w:r>
      <w:proofErr w:type="spellStart"/>
      <w:r w:rsidRPr="00B54968">
        <w:rPr>
          <w:rFonts w:ascii="Times New Roman" w:eastAsia="Arial Unicode MS" w:hAnsi="Times New Roman" w:cs="Times New Roman"/>
          <w:color w:val="auto"/>
          <w:sz w:val="22"/>
          <w:szCs w:val="22"/>
        </w:rPr>
        <w:t>subscore</w:t>
      </w:r>
      <w:proofErr w:type="spellEnd"/>
      <w:r w:rsidRPr="00B54968">
        <w:rPr>
          <w:rFonts w:ascii="Times New Roman" w:eastAsia="Arial Unicode MS" w:hAnsi="Times New Roman" w:cs="Times New Roman"/>
          <w:color w:val="auto"/>
          <w:sz w:val="22"/>
          <w:szCs w:val="22"/>
        </w:rPr>
        <w:t xml:space="preserve"> of ≥1 or a rectal</w:t>
      </w:r>
      <w:r w:rsidR="009F36E8" w:rsidRPr="00B54968">
        <w:rPr>
          <w:rFonts w:ascii="Times New Roman" w:eastAsia="Arial Unicode MS"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bleeding </w:t>
      </w:r>
      <w:proofErr w:type="spellStart"/>
      <w:r w:rsidR="009F36E8" w:rsidRPr="00B54968">
        <w:rPr>
          <w:rFonts w:ascii="Times New Roman" w:hAnsi="Times New Roman" w:cs="Times New Roman"/>
          <w:color w:val="auto"/>
          <w:sz w:val="22"/>
          <w:szCs w:val="22"/>
        </w:rPr>
        <w:t>subscore</w:t>
      </w:r>
      <w:proofErr w:type="spellEnd"/>
      <w:r w:rsidR="009F36E8" w:rsidRPr="00B54968">
        <w:rPr>
          <w:rFonts w:ascii="Times New Roman" w:hAnsi="Times New Roman" w:cs="Times New Roman"/>
          <w:color w:val="auto"/>
          <w:sz w:val="22"/>
          <w:szCs w:val="22"/>
        </w:rPr>
        <w:t xml:space="preserve"> of 0 or 1. Clinical remission was defined as a Mayo score ≤2 points, with no individual </w:t>
      </w:r>
      <w:proofErr w:type="spellStart"/>
      <w:r w:rsidR="009F36E8" w:rsidRPr="00B54968">
        <w:rPr>
          <w:rFonts w:ascii="Times New Roman" w:hAnsi="Times New Roman" w:cs="Times New Roman"/>
          <w:color w:val="auto"/>
          <w:sz w:val="22"/>
          <w:szCs w:val="22"/>
        </w:rPr>
        <w:t>subscore</w:t>
      </w:r>
      <w:proofErr w:type="spellEnd"/>
      <w:r w:rsidR="009F36E8" w:rsidRPr="00B54968">
        <w:rPr>
          <w:rFonts w:ascii="Times New Roman" w:hAnsi="Times New Roman" w:cs="Times New Roman"/>
          <w:color w:val="auto"/>
          <w:sz w:val="22"/>
          <w:szCs w:val="22"/>
        </w:rPr>
        <w:t xml:space="preserve"> &gt;1. </w:t>
      </w:r>
    </w:p>
    <w:p w14:paraId="7FF12318" w14:textId="77777777" w:rsidR="00A02600" w:rsidRPr="00B54968" w:rsidRDefault="009F36E8" w:rsidP="003E2009">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both ACT 1 and ACT 2 the primary endpoint was clinical response at Week 8. The major secondary endpoints were clinical response at Week 30, clinical remission at Week 8 and clinical remission at Week 30. The other major secondary endpoint was mucosal healing, which is defined as a Mayo endoscopy </w:t>
      </w:r>
      <w:proofErr w:type="spellStart"/>
      <w:r w:rsidRPr="00B54968">
        <w:rPr>
          <w:rFonts w:ascii="Times New Roman" w:hAnsi="Times New Roman" w:cs="Times New Roman"/>
          <w:color w:val="auto"/>
          <w:sz w:val="22"/>
          <w:szCs w:val="22"/>
        </w:rPr>
        <w:t>subscore</w:t>
      </w:r>
      <w:proofErr w:type="spellEnd"/>
      <w:r w:rsidRPr="00B54968">
        <w:rPr>
          <w:rFonts w:ascii="Times New Roman" w:hAnsi="Times New Roman" w:cs="Times New Roman"/>
          <w:color w:val="auto"/>
          <w:sz w:val="22"/>
          <w:szCs w:val="22"/>
        </w:rPr>
        <w:t xml:space="preserve"> of 0 or 1. Other efficacy endpoints include: corticosteroid endpoint (decrease in median daily corticosteroid dose from baseline to Week 30), sustained response (subjects in clinical response at both Week 8 and Week 30), sustained remission (subjects in clinical remission at both Week 8 and Week 30) and Quality of life, as measured by the IBDQ, SF 36, and EQ-5D. </w:t>
      </w:r>
    </w:p>
    <w:p w14:paraId="60DC56AA" w14:textId="77777777" w:rsidR="00EE35B3" w:rsidRPr="00B54968" w:rsidRDefault="00EE35B3" w:rsidP="003E2009">
      <w:pPr>
        <w:spacing w:after="0"/>
        <w:rPr>
          <w:rFonts w:ascii="Times New Roman" w:hAnsi="Times New Roman" w:cs="Times New Roman"/>
          <w:b/>
          <w:bCs/>
          <w:szCs w:val="20"/>
        </w:rPr>
      </w:pPr>
    </w:p>
    <w:p w14:paraId="7FF596D7" w14:textId="77777777" w:rsidR="00EE35B3" w:rsidRPr="00B54968" w:rsidRDefault="00EE35B3" w:rsidP="003E2009">
      <w:pPr>
        <w:spacing w:after="0"/>
        <w:rPr>
          <w:rFonts w:ascii="Times New Roman" w:hAnsi="Times New Roman" w:cs="Times New Roman"/>
          <w:b/>
          <w:bCs/>
          <w:szCs w:val="20"/>
        </w:rPr>
      </w:pPr>
    </w:p>
    <w:p w14:paraId="0BA8A334" w14:textId="7919866E" w:rsidR="00A02600" w:rsidRPr="00B54968" w:rsidRDefault="00B42860" w:rsidP="003E2009">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lastRenderedPageBreak/>
        <w:t xml:space="preserve">Table </w:t>
      </w:r>
      <w:r w:rsidR="00B25992" w:rsidRPr="00B54968">
        <w:rPr>
          <w:rFonts w:ascii="Times New Roman" w:hAnsi="Times New Roman" w:cs="Times New Roman"/>
          <w:b/>
          <w:bCs/>
          <w:sz w:val="22"/>
          <w:szCs w:val="20"/>
        </w:rPr>
        <w:t>12</w:t>
      </w:r>
      <w:r w:rsid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Effects on clinical response, clinical remission and mucosal healing at Weeks 8 and 30. Combined data from ACT 1 &amp; ACT 2</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392"/>
        <w:gridCol w:w="1535"/>
        <w:gridCol w:w="1535"/>
        <w:gridCol w:w="1350"/>
      </w:tblGrid>
      <w:tr w:rsidR="00F02007" w:rsidRPr="00B54968" w14:paraId="74CC9E92" w14:textId="77777777" w:rsidTr="001A691C">
        <w:tc>
          <w:tcPr>
            <w:tcW w:w="3119" w:type="dxa"/>
            <w:tcBorders>
              <w:top w:val="single" w:sz="8" w:space="0" w:color="auto"/>
            </w:tcBorders>
          </w:tcPr>
          <w:p w14:paraId="5F89C759" w14:textId="77777777" w:rsidR="00F02007" w:rsidRPr="00B54968" w:rsidRDefault="00F02007" w:rsidP="003E2009">
            <w:pPr>
              <w:rPr>
                <w:rFonts w:ascii="Times New Roman" w:hAnsi="Times New Roman" w:cs="Times New Roman"/>
                <w:b/>
              </w:rPr>
            </w:pPr>
          </w:p>
        </w:tc>
        <w:tc>
          <w:tcPr>
            <w:tcW w:w="1392" w:type="dxa"/>
            <w:tcBorders>
              <w:top w:val="single" w:sz="8" w:space="0" w:color="auto"/>
            </w:tcBorders>
          </w:tcPr>
          <w:p w14:paraId="43B189C8" w14:textId="77777777" w:rsidR="00F02007" w:rsidRPr="00B54968" w:rsidRDefault="00F02007" w:rsidP="003E2009">
            <w:pPr>
              <w:adjustRightInd w:val="0"/>
              <w:spacing w:before="77" w:line="207" w:lineRule="exact"/>
              <w:rPr>
                <w:rFonts w:ascii="Times New Roman" w:hAnsi="Times New Roman" w:cs="Times New Roman"/>
                <w:color w:val="000000"/>
                <w:spacing w:val="-3"/>
                <w:sz w:val="18"/>
                <w:szCs w:val="18"/>
              </w:rPr>
            </w:pPr>
          </w:p>
        </w:tc>
        <w:tc>
          <w:tcPr>
            <w:tcW w:w="1535" w:type="dxa"/>
            <w:tcBorders>
              <w:top w:val="single" w:sz="8" w:space="0" w:color="auto"/>
            </w:tcBorders>
          </w:tcPr>
          <w:p w14:paraId="0CFF9F71" w14:textId="77777777" w:rsidR="00F02007" w:rsidRPr="00B54968" w:rsidRDefault="00F02007" w:rsidP="003E2009">
            <w:pPr>
              <w:adjustRightInd w:val="0"/>
              <w:spacing w:before="77" w:line="207" w:lineRule="exact"/>
              <w:rPr>
                <w:rFonts w:ascii="Times New Roman" w:hAnsi="Times New Roman" w:cs="Times New Roman"/>
                <w:color w:val="000000"/>
                <w:spacing w:val="-3"/>
                <w:sz w:val="18"/>
                <w:szCs w:val="18"/>
              </w:rPr>
            </w:pPr>
          </w:p>
        </w:tc>
        <w:tc>
          <w:tcPr>
            <w:tcW w:w="1535" w:type="dxa"/>
            <w:tcBorders>
              <w:top w:val="single" w:sz="8" w:space="0" w:color="auto"/>
            </w:tcBorders>
          </w:tcPr>
          <w:p w14:paraId="4594671A" w14:textId="77777777" w:rsidR="00F02007" w:rsidRPr="00B54968" w:rsidRDefault="00F02007" w:rsidP="003E2009">
            <w:pPr>
              <w:adjustRightInd w:val="0"/>
              <w:spacing w:before="77"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Infliximab</w:t>
            </w:r>
          </w:p>
        </w:tc>
        <w:tc>
          <w:tcPr>
            <w:tcW w:w="1350" w:type="dxa"/>
            <w:tcBorders>
              <w:top w:val="single" w:sz="8" w:space="0" w:color="auto"/>
            </w:tcBorders>
          </w:tcPr>
          <w:p w14:paraId="69441AFF" w14:textId="77777777" w:rsidR="00F02007" w:rsidRPr="00B54968" w:rsidRDefault="00F02007" w:rsidP="003E2009">
            <w:pPr>
              <w:adjustRightInd w:val="0"/>
              <w:spacing w:before="77" w:line="207" w:lineRule="exact"/>
              <w:rPr>
                <w:rFonts w:ascii="Times New Roman" w:hAnsi="Times New Roman" w:cs="Times New Roman"/>
                <w:color w:val="000000"/>
                <w:spacing w:val="-3"/>
                <w:sz w:val="18"/>
                <w:szCs w:val="18"/>
              </w:rPr>
            </w:pPr>
          </w:p>
        </w:tc>
      </w:tr>
      <w:tr w:rsidR="00F02007" w:rsidRPr="00B54968" w14:paraId="113A1753" w14:textId="77777777" w:rsidTr="001A691C">
        <w:tc>
          <w:tcPr>
            <w:tcW w:w="3119" w:type="dxa"/>
          </w:tcPr>
          <w:p w14:paraId="68EC437E" w14:textId="77777777" w:rsidR="00F02007" w:rsidRPr="00B54968" w:rsidRDefault="00F02007" w:rsidP="003E2009">
            <w:pPr>
              <w:rPr>
                <w:rFonts w:ascii="Times New Roman" w:hAnsi="Times New Roman" w:cs="Times New Roman"/>
                <w:b/>
              </w:rPr>
            </w:pPr>
          </w:p>
        </w:tc>
        <w:tc>
          <w:tcPr>
            <w:tcW w:w="1392" w:type="dxa"/>
            <w:tcBorders>
              <w:bottom w:val="single" w:sz="8" w:space="0" w:color="auto"/>
            </w:tcBorders>
            <w:vAlign w:val="center"/>
          </w:tcPr>
          <w:p w14:paraId="4AE62DBC" w14:textId="77777777" w:rsidR="00F02007" w:rsidRPr="00B54968" w:rsidRDefault="00F02007" w:rsidP="003E2009">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Placebo</w:t>
            </w:r>
          </w:p>
        </w:tc>
        <w:tc>
          <w:tcPr>
            <w:tcW w:w="1535" w:type="dxa"/>
            <w:tcBorders>
              <w:bottom w:val="single" w:sz="8" w:space="0" w:color="auto"/>
            </w:tcBorders>
            <w:vAlign w:val="center"/>
          </w:tcPr>
          <w:p w14:paraId="7B7573E3" w14:textId="77777777" w:rsidR="00F02007" w:rsidRPr="00B54968" w:rsidRDefault="00F02007" w:rsidP="003E2009">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 mg/kg</w:t>
            </w:r>
          </w:p>
        </w:tc>
        <w:tc>
          <w:tcPr>
            <w:tcW w:w="1535" w:type="dxa"/>
            <w:tcBorders>
              <w:bottom w:val="single" w:sz="8" w:space="0" w:color="auto"/>
            </w:tcBorders>
            <w:vAlign w:val="center"/>
          </w:tcPr>
          <w:p w14:paraId="63EBCF90" w14:textId="77777777" w:rsidR="00F02007" w:rsidRPr="00B54968" w:rsidRDefault="00F02007" w:rsidP="003E2009">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 mg/kg</w:t>
            </w:r>
          </w:p>
        </w:tc>
        <w:tc>
          <w:tcPr>
            <w:tcW w:w="1350" w:type="dxa"/>
            <w:tcBorders>
              <w:bottom w:val="single" w:sz="8" w:space="0" w:color="auto"/>
            </w:tcBorders>
            <w:vAlign w:val="center"/>
          </w:tcPr>
          <w:p w14:paraId="6886AA24" w14:textId="77777777" w:rsidR="00F02007" w:rsidRPr="00B54968" w:rsidRDefault="00F02007" w:rsidP="003E2009">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Combined</w:t>
            </w:r>
          </w:p>
        </w:tc>
      </w:tr>
      <w:tr w:rsidR="00F02007" w:rsidRPr="00B54968" w14:paraId="7A8F7D60" w14:textId="77777777" w:rsidTr="001A691C">
        <w:tc>
          <w:tcPr>
            <w:tcW w:w="3119" w:type="dxa"/>
          </w:tcPr>
          <w:p w14:paraId="7C9D825F" w14:textId="77777777" w:rsidR="00F02007" w:rsidRPr="00B54968" w:rsidRDefault="00F02007" w:rsidP="003E200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 xml:space="preserve">Subjects </w:t>
            </w:r>
            <w:proofErr w:type="spellStart"/>
            <w:r w:rsidRPr="00B54968">
              <w:rPr>
                <w:rFonts w:ascii="Times New Roman" w:hAnsi="Times New Roman" w:cs="Times New Roman"/>
                <w:color w:val="000000"/>
                <w:spacing w:val="-2"/>
                <w:sz w:val="18"/>
                <w:szCs w:val="16"/>
              </w:rPr>
              <w:t>randomised</w:t>
            </w:r>
            <w:proofErr w:type="spellEnd"/>
          </w:p>
        </w:tc>
        <w:tc>
          <w:tcPr>
            <w:tcW w:w="1392" w:type="dxa"/>
            <w:tcBorders>
              <w:top w:val="single" w:sz="8" w:space="0" w:color="auto"/>
            </w:tcBorders>
            <w:vAlign w:val="center"/>
          </w:tcPr>
          <w:p w14:paraId="419F71B2" w14:textId="77777777" w:rsidR="00F02007" w:rsidRPr="00B54968" w:rsidRDefault="00F02007" w:rsidP="003E200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244</w:t>
            </w:r>
          </w:p>
        </w:tc>
        <w:tc>
          <w:tcPr>
            <w:tcW w:w="1535" w:type="dxa"/>
            <w:tcBorders>
              <w:top w:val="single" w:sz="8" w:space="0" w:color="auto"/>
            </w:tcBorders>
            <w:vAlign w:val="center"/>
          </w:tcPr>
          <w:p w14:paraId="1CD984D2" w14:textId="77777777" w:rsidR="00F02007" w:rsidRPr="00B54968" w:rsidRDefault="00F02007" w:rsidP="003E200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242</w:t>
            </w:r>
          </w:p>
        </w:tc>
        <w:tc>
          <w:tcPr>
            <w:tcW w:w="1535" w:type="dxa"/>
            <w:tcBorders>
              <w:top w:val="single" w:sz="8" w:space="0" w:color="auto"/>
            </w:tcBorders>
            <w:vAlign w:val="center"/>
          </w:tcPr>
          <w:p w14:paraId="5FC926E2" w14:textId="77777777" w:rsidR="00F02007" w:rsidRPr="00B54968" w:rsidRDefault="00F02007" w:rsidP="003E200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242</w:t>
            </w:r>
          </w:p>
        </w:tc>
        <w:tc>
          <w:tcPr>
            <w:tcW w:w="1350" w:type="dxa"/>
            <w:tcBorders>
              <w:top w:val="single" w:sz="8" w:space="0" w:color="auto"/>
            </w:tcBorders>
            <w:vAlign w:val="center"/>
          </w:tcPr>
          <w:p w14:paraId="42E58797" w14:textId="77777777" w:rsidR="00F02007" w:rsidRPr="00B54968" w:rsidRDefault="00F02007" w:rsidP="003E2009">
            <w:pPr>
              <w:rPr>
                <w:rFonts w:ascii="Times New Roman" w:hAnsi="Times New Roman" w:cs="Times New Roman"/>
                <w:sz w:val="18"/>
                <w:szCs w:val="16"/>
              </w:rPr>
            </w:pPr>
            <w:r w:rsidRPr="00B54968">
              <w:rPr>
                <w:rFonts w:ascii="Times New Roman" w:hAnsi="Times New Roman" w:cs="Times New Roman"/>
                <w:color w:val="000000"/>
                <w:spacing w:val="-2"/>
                <w:sz w:val="18"/>
                <w:szCs w:val="16"/>
              </w:rPr>
              <w:t>484</w:t>
            </w:r>
          </w:p>
        </w:tc>
      </w:tr>
      <w:tr w:rsidR="00F02007" w:rsidRPr="00B54968" w14:paraId="6F7F05D7" w14:textId="77777777" w:rsidTr="001A691C">
        <w:tc>
          <w:tcPr>
            <w:tcW w:w="8931" w:type="dxa"/>
            <w:gridSpan w:val="5"/>
            <w:vAlign w:val="center"/>
          </w:tcPr>
          <w:p w14:paraId="6DC9BDB0" w14:textId="77777777" w:rsidR="00F02007" w:rsidRPr="00B54968" w:rsidRDefault="00F02007" w:rsidP="003E2009">
            <w:pPr>
              <w:rPr>
                <w:rFonts w:ascii="Times New Roman" w:hAnsi="Times New Roman" w:cs="Times New Roman"/>
                <w:b/>
                <w:sz w:val="18"/>
                <w:szCs w:val="16"/>
              </w:rPr>
            </w:pPr>
            <w:r w:rsidRPr="00B54968">
              <w:rPr>
                <w:rFonts w:ascii="Times New Roman" w:hAnsi="Times New Roman" w:cs="Times New Roman"/>
                <w:b/>
                <w:sz w:val="18"/>
                <w:szCs w:val="16"/>
              </w:rPr>
              <w:t>Percentage of subjects in clinical response and in sustained clinical response</w:t>
            </w:r>
          </w:p>
        </w:tc>
      </w:tr>
      <w:tr w:rsidR="00F02007" w:rsidRPr="00B54968" w14:paraId="611E9071" w14:textId="77777777" w:rsidTr="001A691C">
        <w:tc>
          <w:tcPr>
            <w:tcW w:w="3119" w:type="dxa"/>
          </w:tcPr>
          <w:p w14:paraId="77100183" w14:textId="77777777" w:rsidR="00F02007" w:rsidRPr="00B54968" w:rsidRDefault="00F02007" w:rsidP="003E2009">
            <w:pPr>
              <w:adjustRightInd w:val="0"/>
              <w:spacing w:before="42"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response at Week 8</w:t>
            </w:r>
            <w:r w:rsidRPr="00B54968">
              <w:rPr>
                <w:rFonts w:ascii="Times New Roman" w:hAnsi="Times New Roman" w:cs="Times New Roman"/>
                <w:color w:val="000000"/>
                <w:spacing w:val="-2"/>
                <w:sz w:val="18"/>
                <w:szCs w:val="16"/>
                <w:vertAlign w:val="superscript"/>
              </w:rPr>
              <w:t>a</w:t>
            </w:r>
          </w:p>
        </w:tc>
        <w:tc>
          <w:tcPr>
            <w:tcW w:w="1392" w:type="dxa"/>
            <w:vAlign w:val="center"/>
          </w:tcPr>
          <w:p w14:paraId="3C16FAE5" w14:textId="77777777" w:rsidR="00F02007" w:rsidRPr="00B54968" w:rsidRDefault="00F02007" w:rsidP="003E200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33.2%</w:t>
            </w:r>
          </w:p>
        </w:tc>
        <w:tc>
          <w:tcPr>
            <w:tcW w:w="1535" w:type="dxa"/>
            <w:vAlign w:val="center"/>
          </w:tcPr>
          <w:p w14:paraId="58A40A37" w14:textId="77777777" w:rsidR="00F02007" w:rsidRPr="00B54968" w:rsidRDefault="00F02007" w:rsidP="003E200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66.9%</w:t>
            </w:r>
          </w:p>
        </w:tc>
        <w:tc>
          <w:tcPr>
            <w:tcW w:w="1535" w:type="dxa"/>
            <w:vAlign w:val="center"/>
          </w:tcPr>
          <w:p w14:paraId="2828D6D2" w14:textId="77777777" w:rsidR="00F02007" w:rsidRPr="00B54968" w:rsidRDefault="00F02007" w:rsidP="003E200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65.3%</w:t>
            </w:r>
          </w:p>
        </w:tc>
        <w:tc>
          <w:tcPr>
            <w:tcW w:w="1350" w:type="dxa"/>
            <w:vAlign w:val="center"/>
          </w:tcPr>
          <w:p w14:paraId="41C5ECE9" w14:textId="77777777" w:rsidR="00F02007" w:rsidRPr="00B54968" w:rsidRDefault="00F02007" w:rsidP="003E200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66.1%</w:t>
            </w:r>
          </w:p>
        </w:tc>
      </w:tr>
      <w:tr w:rsidR="00F02007" w:rsidRPr="00B54968" w14:paraId="6F7AD5A8" w14:textId="77777777" w:rsidTr="001A691C">
        <w:tc>
          <w:tcPr>
            <w:tcW w:w="3119" w:type="dxa"/>
          </w:tcPr>
          <w:p w14:paraId="6C982B2B" w14:textId="77777777" w:rsidR="00F02007" w:rsidRPr="00B54968" w:rsidRDefault="00F02007" w:rsidP="003E2009">
            <w:pPr>
              <w:adjustRightInd w:val="0"/>
              <w:spacing w:before="41"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response at Week 30</w:t>
            </w:r>
            <w:r w:rsidRPr="00B54968">
              <w:rPr>
                <w:rFonts w:ascii="Times New Roman" w:hAnsi="Times New Roman" w:cs="Times New Roman"/>
                <w:color w:val="000000"/>
                <w:spacing w:val="-2"/>
                <w:sz w:val="18"/>
                <w:szCs w:val="16"/>
                <w:vertAlign w:val="superscript"/>
              </w:rPr>
              <w:t>a</w:t>
            </w:r>
          </w:p>
        </w:tc>
        <w:tc>
          <w:tcPr>
            <w:tcW w:w="1392" w:type="dxa"/>
            <w:vAlign w:val="center"/>
          </w:tcPr>
          <w:p w14:paraId="24BD14F2" w14:textId="77777777" w:rsidR="00F02007" w:rsidRPr="00B54968" w:rsidRDefault="00F02007" w:rsidP="003E2009">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27.9%</w:t>
            </w:r>
          </w:p>
        </w:tc>
        <w:tc>
          <w:tcPr>
            <w:tcW w:w="1535" w:type="dxa"/>
            <w:vAlign w:val="center"/>
          </w:tcPr>
          <w:p w14:paraId="04D9595D" w14:textId="77777777" w:rsidR="00F02007" w:rsidRPr="00B54968" w:rsidRDefault="00F02007" w:rsidP="003E2009">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49.6%</w:t>
            </w:r>
          </w:p>
        </w:tc>
        <w:tc>
          <w:tcPr>
            <w:tcW w:w="1535" w:type="dxa"/>
            <w:vAlign w:val="center"/>
          </w:tcPr>
          <w:p w14:paraId="21460946" w14:textId="77777777" w:rsidR="00F02007" w:rsidRPr="00B54968" w:rsidRDefault="00F02007" w:rsidP="003E2009">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55.4%</w:t>
            </w:r>
          </w:p>
        </w:tc>
        <w:tc>
          <w:tcPr>
            <w:tcW w:w="1350" w:type="dxa"/>
            <w:vAlign w:val="center"/>
          </w:tcPr>
          <w:p w14:paraId="16DE76A8" w14:textId="77777777" w:rsidR="00F02007" w:rsidRPr="00B54968" w:rsidRDefault="00F02007" w:rsidP="003E2009">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52.5%</w:t>
            </w:r>
          </w:p>
        </w:tc>
      </w:tr>
      <w:tr w:rsidR="00F02007" w:rsidRPr="00B54968" w14:paraId="5F77AD36" w14:textId="77777777" w:rsidTr="001A691C">
        <w:trPr>
          <w:trHeight w:val="752"/>
        </w:trPr>
        <w:tc>
          <w:tcPr>
            <w:tcW w:w="3119" w:type="dxa"/>
            <w:tcBorders>
              <w:bottom w:val="single" w:sz="8" w:space="0" w:color="auto"/>
            </w:tcBorders>
          </w:tcPr>
          <w:p w14:paraId="56638AF0" w14:textId="77777777" w:rsidR="00F02007" w:rsidRPr="00B54968" w:rsidRDefault="00F02007" w:rsidP="003E2009">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 xml:space="preserve">Sustained response </w:t>
            </w:r>
          </w:p>
          <w:p w14:paraId="43D5EB3C"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(clinical response at both</w:t>
            </w:r>
          </w:p>
          <w:p w14:paraId="00AE32AB" w14:textId="77777777" w:rsidR="00F02007" w:rsidRPr="00B54968" w:rsidRDefault="00F02007" w:rsidP="003E2009">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Week 8 and Week 30)</w:t>
            </w:r>
            <w:r w:rsidRPr="00B54968">
              <w:rPr>
                <w:rFonts w:ascii="Times New Roman" w:hAnsi="Times New Roman" w:cs="Times New Roman"/>
                <w:color w:val="000000"/>
                <w:spacing w:val="-2"/>
                <w:sz w:val="18"/>
                <w:szCs w:val="16"/>
                <w:vertAlign w:val="superscript"/>
              </w:rPr>
              <w:t>a</w:t>
            </w:r>
          </w:p>
        </w:tc>
        <w:tc>
          <w:tcPr>
            <w:tcW w:w="1392" w:type="dxa"/>
            <w:tcBorders>
              <w:bottom w:val="single" w:sz="8" w:space="0" w:color="auto"/>
            </w:tcBorders>
            <w:vAlign w:val="bottom"/>
          </w:tcPr>
          <w:p w14:paraId="35DA83BE" w14:textId="77777777" w:rsidR="00F02007" w:rsidRPr="00B54968" w:rsidRDefault="00F02007" w:rsidP="003E200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19.3%</w:t>
            </w:r>
          </w:p>
        </w:tc>
        <w:tc>
          <w:tcPr>
            <w:tcW w:w="1535" w:type="dxa"/>
            <w:tcBorders>
              <w:bottom w:val="single" w:sz="8" w:space="0" w:color="auto"/>
            </w:tcBorders>
            <w:vAlign w:val="bottom"/>
          </w:tcPr>
          <w:p w14:paraId="1AFCDDA7" w14:textId="77777777" w:rsidR="00F02007" w:rsidRPr="00B54968" w:rsidRDefault="00F02007" w:rsidP="003E200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45.0%</w:t>
            </w:r>
          </w:p>
        </w:tc>
        <w:tc>
          <w:tcPr>
            <w:tcW w:w="1535" w:type="dxa"/>
            <w:tcBorders>
              <w:bottom w:val="single" w:sz="8" w:space="0" w:color="auto"/>
            </w:tcBorders>
            <w:vAlign w:val="bottom"/>
          </w:tcPr>
          <w:p w14:paraId="71D01580" w14:textId="77777777" w:rsidR="00F02007" w:rsidRPr="00B54968" w:rsidRDefault="00F02007" w:rsidP="003E200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49.6%</w:t>
            </w:r>
          </w:p>
        </w:tc>
        <w:tc>
          <w:tcPr>
            <w:tcW w:w="1350" w:type="dxa"/>
            <w:tcBorders>
              <w:bottom w:val="single" w:sz="8" w:space="0" w:color="auto"/>
            </w:tcBorders>
            <w:vAlign w:val="bottom"/>
          </w:tcPr>
          <w:p w14:paraId="56D5B46D" w14:textId="77777777" w:rsidR="00F02007" w:rsidRPr="00B54968" w:rsidRDefault="00F02007" w:rsidP="003E2009">
            <w:pPr>
              <w:rPr>
                <w:rFonts w:ascii="Times New Roman" w:hAnsi="Times New Roman" w:cs="Times New Roman"/>
                <w:sz w:val="18"/>
                <w:szCs w:val="16"/>
              </w:rPr>
            </w:pPr>
            <w:r w:rsidRPr="00B54968">
              <w:rPr>
                <w:rFonts w:ascii="Times New Roman" w:hAnsi="Times New Roman" w:cs="Times New Roman"/>
                <w:color w:val="000000"/>
                <w:spacing w:val="-2"/>
                <w:sz w:val="18"/>
                <w:szCs w:val="16"/>
              </w:rPr>
              <w:t>47.3%</w:t>
            </w:r>
          </w:p>
        </w:tc>
      </w:tr>
      <w:tr w:rsidR="00F02007" w:rsidRPr="00B54968" w14:paraId="528E628A" w14:textId="77777777" w:rsidTr="001A691C">
        <w:tc>
          <w:tcPr>
            <w:tcW w:w="8931" w:type="dxa"/>
            <w:gridSpan w:val="5"/>
            <w:tcBorders>
              <w:top w:val="single" w:sz="8" w:space="0" w:color="auto"/>
            </w:tcBorders>
            <w:vAlign w:val="center"/>
          </w:tcPr>
          <w:p w14:paraId="0D3CD4E0" w14:textId="77777777" w:rsidR="00F02007" w:rsidRPr="00B54968" w:rsidRDefault="00F02007" w:rsidP="003E2009">
            <w:pPr>
              <w:rPr>
                <w:rFonts w:ascii="Times New Roman" w:hAnsi="Times New Roman" w:cs="Times New Roman"/>
                <w:b/>
                <w:sz w:val="18"/>
                <w:szCs w:val="16"/>
              </w:rPr>
            </w:pPr>
            <w:r w:rsidRPr="00B54968">
              <w:rPr>
                <w:rFonts w:ascii="Times New Roman" w:hAnsi="Times New Roman" w:cs="Times New Roman"/>
                <w:b/>
                <w:sz w:val="18"/>
                <w:szCs w:val="16"/>
              </w:rPr>
              <w:t>Percentage of subjects in clinical remission, sustained remission, and in remission without</w:t>
            </w:r>
          </w:p>
          <w:p w14:paraId="71BF4A32" w14:textId="77777777" w:rsidR="00F02007" w:rsidRPr="00B54968" w:rsidRDefault="00F02007" w:rsidP="003E2009">
            <w:pPr>
              <w:rPr>
                <w:rFonts w:ascii="Times New Roman" w:hAnsi="Times New Roman" w:cs="Times New Roman"/>
                <w:b/>
                <w:sz w:val="18"/>
                <w:szCs w:val="16"/>
              </w:rPr>
            </w:pPr>
            <w:r w:rsidRPr="00B54968">
              <w:rPr>
                <w:rFonts w:ascii="Times New Roman" w:hAnsi="Times New Roman" w:cs="Times New Roman"/>
                <w:b/>
                <w:sz w:val="18"/>
                <w:szCs w:val="16"/>
              </w:rPr>
              <w:t>Corticosteroids</w:t>
            </w:r>
          </w:p>
        </w:tc>
      </w:tr>
      <w:tr w:rsidR="00F02007" w:rsidRPr="00B54968" w14:paraId="427CFFCC" w14:textId="77777777" w:rsidTr="001A691C">
        <w:tc>
          <w:tcPr>
            <w:tcW w:w="3119" w:type="dxa"/>
          </w:tcPr>
          <w:p w14:paraId="3B672412" w14:textId="77777777" w:rsidR="00F02007" w:rsidRPr="00B54968" w:rsidRDefault="00F02007" w:rsidP="003E2009">
            <w:pPr>
              <w:adjustRightInd w:val="0"/>
              <w:spacing w:before="42"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remission at Week 8</w:t>
            </w:r>
            <w:r w:rsidRPr="00B54968">
              <w:rPr>
                <w:rFonts w:ascii="Times New Roman" w:hAnsi="Times New Roman" w:cs="Times New Roman"/>
                <w:color w:val="000000"/>
                <w:spacing w:val="-2"/>
                <w:sz w:val="18"/>
                <w:szCs w:val="16"/>
                <w:vertAlign w:val="superscript"/>
              </w:rPr>
              <w:t>a</w:t>
            </w:r>
          </w:p>
        </w:tc>
        <w:tc>
          <w:tcPr>
            <w:tcW w:w="1392" w:type="dxa"/>
            <w:vAlign w:val="center"/>
          </w:tcPr>
          <w:p w14:paraId="7EDF9B81" w14:textId="77777777" w:rsidR="00F02007" w:rsidRPr="00B54968" w:rsidRDefault="00F02007" w:rsidP="003E200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10.2%</w:t>
            </w:r>
          </w:p>
        </w:tc>
        <w:tc>
          <w:tcPr>
            <w:tcW w:w="1535" w:type="dxa"/>
            <w:vAlign w:val="center"/>
          </w:tcPr>
          <w:p w14:paraId="635DA351" w14:textId="77777777" w:rsidR="00F02007" w:rsidRPr="00B54968" w:rsidRDefault="00F02007" w:rsidP="003E200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36.4%</w:t>
            </w:r>
          </w:p>
        </w:tc>
        <w:tc>
          <w:tcPr>
            <w:tcW w:w="1535" w:type="dxa"/>
            <w:vAlign w:val="center"/>
          </w:tcPr>
          <w:p w14:paraId="1A4F3338" w14:textId="77777777" w:rsidR="00F02007" w:rsidRPr="00B54968" w:rsidRDefault="00F02007" w:rsidP="003E200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29.8%</w:t>
            </w:r>
          </w:p>
        </w:tc>
        <w:tc>
          <w:tcPr>
            <w:tcW w:w="1350" w:type="dxa"/>
            <w:vAlign w:val="center"/>
          </w:tcPr>
          <w:p w14:paraId="6B6CA82F" w14:textId="77777777" w:rsidR="00F02007" w:rsidRPr="00B54968" w:rsidRDefault="00F02007" w:rsidP="003E200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33.1%</w:t>
            </w:r>
          </w:p>
        </w:tc>
      </w:tr>
      <w:tr w:rsidR="00F02007" w:rsidRPr="00B54968" w14:paraId="28E9B4EE" w14:textId="77777777" w:rsidTr="001A691C">
        <w:tc>
          <w:tcPr>
            <w:tcW w:w="3119" w:type="dxa"/>
          </w:tcPr>
          <w:p w14:paraId="506DFE2A" w14:textId="77777777" w:rsidR="00F02007" w:rsidRPr="00B54968" w:rsidRDefault="00F02007" w:rsidP="003E2009">
            <w:pPr>
              <w:adjustRightInd w:val="0"/>
              <w:spacing w:before="40"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remission at Week 30</w:t>
            </w:r>
            <w:r w:rsidRPr="00B54968">
              <w:rPr>
                <w:rFonts w:ascii="Times New Roman" w:hAnsi="Times New Roman" w:cs="Times New Roman"/>
                <w:color w:val="000000"/>
                <w:spacing w:val="-2"/>
                <w:sz w:val="18"/>
                <w:szCs w:val="16"/>
                <w:vertAlign w:val="superscript"/>
              </w:rPr>
              <w:t>a</w:t>
            </w:r>
          </w:p>
        </w:tc>
        <w:tc>
          <w:tcPr>
            <w:tcW w:w="1392" w:type="dxa"/>
            <w:vAlign w:val="center"/>
          </w:tcPr>
          <w:p w14:paraId="26BC6EEC" w14:textId="77777777" w:rsidR="00F02007" w:rsidRPr="00B54968" w:rsidRDefault="00F02007" w:rsidP="003E2009">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13.1%</w:t>
            </w:r>
          </w:p>
        </w:tc>
        <w:tc>
          <w:tcPr>
            <w:tcW w:w="1535" w:type="dxa"/>
            <w:vAlign w:val="center"/>
          </w:tcPr>
          <w:p w14:paraId="25F80929" w14:textId="77777777" w:rsidR="00F02007" w:rsidRPr="00B54968" w:rsidRDefault="00F02007" w:rsidP="003E2009">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29.8%</w:t>
            </w:r>
          </w:p>
        </w:tc>
        <w:tc>
          <w:tcPr>
            <w:tcW w:w="1535" w:type="dxa"/>
            <w:vAlign w:val="center"/>
          </w:tcPr>
          <w:p w14:paraId="378430ED" w14:textId="77777777" w:rsidR="00F02007" w:rsidRPr="00B54968" w:rsidRDefault="00F02007" w:rsidP="003E2009">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36.4%</w:t>
            </w:r>
          </w:p>
        </w:tc>
        <w:tc>
          <w:tcPr>
            <w:tcW w:w="1350" w:type="dxa"/>
            <w:vAlign w:val="center"/>
          </w:tcPr>
          <w:p w14:paraId="6555D56D" w14:textId="77777777" w:rsidR="00F02007" w:rsidRPr="00B54968" w:rsidRDefault="00F02007" w:rsidP="003E2009">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33.1%</w:t>
            </w:r>
          </w:p>
        </w:tc>
      </w:tr>
      <w:tr w:rsidR="00F02007" w:rsidRPr="00B54968" w14:paraId="5A764267" w14:textId="77777777" w:rsidTr="001A691C">
        <w:tc>
          <w:tcPr>
            <w:tcW w:w="3119" w:type="dxa"/>
          </w:tcPr>
          <w:p w14:paraId="28CECB61" w14:textId="77777777" w:rsidR="00F02007" w:rsidRPr="00B54968" w:rsidRDefault="00F02007" w:rsidP="003E2009">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 xml:space="preserve">Sustained response </w:t>
            </w:r>
          </w:p>
          <w:p w14:paraId="205D1591"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(clinical response at both</w:t>
            </w:r>
          </w:p>
          <w:p w14:paraId="2E112089" w14:textId="77777777" w:rsidR="00F02007" w:rsidRPr="00B54968" w:rsidRDefault="00F02007" w:rsidP="003E2009">
            <w:pPr>
              <w:rPr>
                <w:rFonts w:ascii="Times New Roman" w:hAnsi="Times New Roman" w:cs="Times New Roman"/>
                <w:b/>
                <w:sz w:val="18"/>
                <w:szCs w:val="16"/>
              </w:rPr>
            </w:pPr>
            <w:r w:rsidRPr="00B54968">
              <w:rPr>
                <w:rFonts w:ascii="Times New Roman" w:hAnsi="Times New Roman" w:cs="Times New Roman"/>
                <w:color w:val="000000"/>
                <w:spacing w:val="-2"/>
                <w:sz w:val="18"/>
                <w:szCs w:val="16"/>
              </w:rPr>
              <w:t>Week 8 and Week 30)</w:t>
            </w:r>
            <w:r w:rsidRPr="00B54968">
              <w:rPr>
                <w:rFonts w:ascii="Times New Roman" w:hAnsi="Times New Roman" w:cs="Times New Roman"/>
                <w:color w:val="000000"/>
                <w:spacing w:val="-2"/>
                <w:sz w:val="18"/>
                <w:szCs w:val="16"/>
                <w:vertAlign w:val="superscript"/>
              </w:rPr>
              <w:t>a</w:t>
            </w:r>
          </w:p>
        </w:tc>
        <w:tc>
          <w:tcPr>
            <w:tcW w:w="1392" w:type="dxa"/>
            <w:vAlign w:val="bottom"/>
          </w:tcPr>
          <w:p w14:paraId="6219FED6" w14:textId="77777777" w:rsidR="00F02007" w:rsidRPr="00B54968" w:rsidRDefault="00F02007" w:rsidP="003E200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5.3%</w:t>
            </w:r>
          </w:p>
        </w:tc>
        <w:tc>
          <w:tcPr>
            <w:tcW w:w="1535" w:type="dxa"/>
            <w:vAlign w:val="bottom"/>
          </w:tcPr>
          <w:p w14:paraId="1A523422" w14:textId="77777777" w:rsidR="00F02007" w:rsidRPr="00B54968" w:rsidRDefault="00F02007" w:rsidP="003E200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19.0%</w:t>
            </w:r>
          </w:p>
        </w:tc>
        <w:tc>
          <w:tcPr>
            <w:tcW w:w="1535" w:type="dxa"/>
            <w:vAlign w:val="bottom"/>
          </w:tcPr>
          <w:p w14:paraId="5EA6AE67" w14:textId="77777777" w:rsidR="00F02007" w:rsidRPr="00B54968" w:rsidRDefault="00F02007" w:rsidP="003E200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24.4%</w:t>
            </w:r>
          </w:p>
        </w:tc>
        <w:tc>
          <w:tcPr>
            <w:tcW w:w="1350" w:type="dxa"/>
            <w:vAlign w:val="bottom"/>
          </w:tcPr>
          <w:p w14:paraId="3B7D8C25" w14:textId="77777777" w:rsidR="00F02007" w:rsidRPr="00B54968" w:rsidRDefault="00F02007" w:rsidP="003E2009">
            <w:pPr>
              <w:rPr>
                <w:rFonts w:ascii="Times New Roman" w:hAnsi="Times New Roman" w:cs="Times New Roman"/>
                <w:sz w:val="18"/>
                <w:szCs w:val="16"/>
              </w:rPr>
            </w:pPr>
            <w:r w:rsidRPr="00B54968">
              <w:rPr>
                <w:rFonts w:ascii="Times New Roman" w:hAnsi="Times New Roman" w:cs="Times New Roman"/>
                <w:color w:val="000000"/>
                <w:spacing w:val="-2"/>
                <w:sz w:val="18"/>
                <w:szCs w:val="16"/>
              </w:rPr>
              <w:t>21.7%</w:t>
            </w:r>
          </w:p>
        </w:tc>
      </w:tr>
      <w:tr w:rsidR="00F02007" w:rsidRPr="00B54968" w14:paraId="55B6C207" w14:textId="77777777" w:rsidTr="001A691C">
        <w:tc>
          <w:tcPr>
            <w:tcW w:w="3119" w:type="dxa"/>
          </w:tcPr>
          <w:p w14:paraId="05DE56E4" w14:textId="77777777" w:rsidR="00F02007" w:rsidRPr="00B54968" w:rsidRDefault="00F02007" w:rsidP="003E2009">
            <w:pPr>
              <w:adjustRightInd w:val="0"/>
              <w:spacing w:line="207" w:lineRule="exact"/>
              <w:rPr>
                <w:rFonts w:ascii="Times New Roman" w:hAnsi="Times New Roman" w:cs="Times New Roman"/>
                <w:color w:val="000000"/>
                <w:spacing w:val="-2"/>
                <w:sz w:val="18"/>
                <w:szCs w:val="16"/>
              </w:rPr>
            </w:pPr>
            <w:proofErr w:type="spellStart"/>
            <w:r w:rsidRPr="00B54968">
              <w:rPr>
                <w:rFonts w:ascii="Times New Roman" w:hAnsi="Times New Roman" w:cs="Times New Roman"/>
                <w:color w:val="000000"/>
                <w:spacing w:val="-2"/>
                <w:sz w:val="18"/>
                <w:szCs w:val="16"/>
              </w:rPr>
              <w:t>Randomised</w:t>
            </w:r>
            <w:proofErr w:type="spellEnd"/>
            <w:r w:rsidRPr="00B54968">
              <w:rPr>
                <w:rFonts w:ascii="Times New Roman" w:hAnsi="Times New Roman" w:cs="Times New Roman"/>
                <w:color w:val="000000"/>
                <w:spacing w:val="-2"/>
                <w:sz w:val="18"/>
                <w:szCs w:val="16"/>
              </w:rPr>
              <w:t xml:space="preserve"> subjects with </w:t>
            </w:r>
          </w:p>
          <w:p w14:paraId="3DB82AC4" w14:textId="77777777" w:rsidR="00F02007" w:rsidRPr="00B54968" w:rsidRDefault="00F02007" w:rsidP="003E2009">
            <w:pPr>
              <w:adjustRightInd w:val="0"/>
              <w:spacing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position w:val="-2"/>
                <w:sz w:val="18"/>
                <w:szCs w:val="16"/>
              </w:rPr>
              <w:t>corticosteroids at baseline</w:t>
            </w:r>
          </w:p>
        </w:tc>
        <w:tc>
          <w:tcPr>
            <w:tcW w:w="1392" w:type="dxa"/>
            <w:vAlign w:val="bottom"/>
          </w:tcPr>
          <w:p w14:paraId="5D4D750C"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139</w:t>
            </w:r>
          </w:p>
        </w:tc>
        <w:tc>
          <w:tcPr>
            <w:tcW w:w="1535" w:type="dxa"/>
            <w:vAlign w:val="bottom"/>
          </w:tcPr>
          <w:p w14:paraId="7F903103"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130</w:t>
            </w:r>
          </w:p>
        </w:tc>
        <w:tc>
          <w:tcPr>
            <w:tcW w:w="1535" w:type="dxa"/>
            <w:vAlign w:val="bottom"/>
          </w:tcPr>
          <w:p w14:paraId="59B53042"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139</w:t>
            </w:r>
          </w:p>
        </w:tc>
        <w:tc>
          <w:tcPr>
            <w:tcW w:w="1350" w:type="dxa"/>
            <w:vAlign w:val="bottom"/>
          </w:tcPr>
          <w:p w14:paraId="17092AAC" w14:textId="77777777" w:rsidR="00F02007" w:rsidRPr="00B54968" w:rsidRDefault="00F02007" w:rsidP="003E2009">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269</w:t>
            </w:r>
          </w:p>
        </w:tc>
      </w:tr>
      <w:tr w:rsidR="00F02007" w:rsidRPr="00B54968" w14:paraId="120879AC" w14:textId="77777777" w:rsidTr="001A691C">
        <w:trPr>
          <w:trHeight w:val="592"/>
        </w:trPr>
        <w:tc>
          <w:tcPr>
            <w:tcW w:w="3119" w:type="dxa"/>
            <w:tcBorders>
              <w:bottom w:val="single" w:sz="8" w:space="0" w:color="auto"/>
            </w:tcBorders>
            <w:vAlign w:val="center"/>
          </w:tcPr>
          <w:p w14:paraId="5F3E7390" w14:textId="77777777" w:rsidR="00F02007" w:rsidRPr="00B54968" w:rsidRDefault="00F02007" w:rsidP="003E2009">
            <w:pPr>
              <w:rPr>
                <w:rFonts w:ascii="Times New Roman" w:hAnsi="Times New Roman" w:cs="Times New Roman"/>
                <w:sz w:val="18"/>
                <w:szCs w:val="16"/>
              </w:rPr>
            </w:pPr>
            <w:r w:rsidRPr="00B54968">
              <w:rPr>
                <w:rFonts w:ascii="Times New Roman" w:hAnsi="Times New Roman" w:cs="Times New Roman"/>
                <w:sz w:val="18"/>
                <w:szCs w:val="16"/>
              </w:rPr>
              <w:t>Subjects without corticosteroids and in clinical remission at Week 30</w:t>
            </w:r>
            <w:r w:rsidRPr="00B54968">
              <w:rPr>
                <w:rFonts w:ascii="Times New Roman" w:hAnsi="Times New Roman" w:cs="Times New Roman"/>
                <w:sz w:val="18"/>
                <w:szCs w:val="16"/>
                <w:vertAlign w:val="superscript"/>
              </w:rPr>
              <w:t>b</w:t>
            </w:r>
          </w:p>
        </w:tc>
        <w:tc>
          <w:tcPr>
            <w:tcW w:w="1392" w:type="dxa"/>
            <w:tcBorders>
              <w:bottom w:val="single" w:sz="8" w:space="0" w:color="auto"/>
            </w:tcBorders>
            <w:vAlign w:val="bottom"/>
          </w:tcPr>
          <w:p w14:paraId="79E4402A" w14:textId="77777777" w:rsidR="00F02007" w:rsidRPr="00B54968" w:rsidRDefault="00F02007" w:rsidP="003E200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7.2%</w:t>
            </w:r>
          </w:p>
        </w:tc>
        <w:tc>
          <w:tcPr>
            <w:tcW w:w="1535" w:type="dxa"/>
            <w:tcBorders>
              <w:bottom w:val="single" w:sz="8" w:space="0" w:color="auto"/>
            </w:tcBorders>
            <w:vAlign w:val="bottom"/>
          </w:tcPr>
          <w:p w14:paraId="447E77D4" w14:textId="77777777" w:rsidR="00F02007" w:rsidRPr="00B54968" w:rsidRDefault="00F02007" w:rsidP="003E200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21.5%</w:t>
            </w:r>
          </w:p>
        </w:tc>
        <w:tc>
          <w:tcPr>
            <w:tcW w:w="1535" w:type="dxa"/>
            <w:tcBorders>
              <w:bottom w:val="single" w:sz="8" w:space="0" w:color="auto"/>
            </w:tcBorders>
            <w:vAlign w:val="bottom"/>
          </w:tcPr>
          <w:p w14:paraId="42C7E17F" w14:textId="77777777" w:rsidR="00F02007" w:rsidRPr="00B54968" w:rsidRDefault="00F02007" w:rsidP="003E200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23.0%</w:t>
            </w:r>
          </w:p>
        </w:tc>
        <w:tc>
          <w:tcPr>
            <w:tcW w:w="1350" w:type="dxa"/>
            <w:tcBorders>
              <w:bottom w:val="single" w:sz="8" w:space="0" w:color="auto"/>
            </w:tcBorders>
            <w:vAlign w:val="bottom"/>
          </w:tcPr>
          <w:p w14:paraId="0922AB0B" w14:textId="77777777" w:rsidR="00F02007" w:rsidRPr="00B54968" w:rsidRDefault="00F02007" w:rsidP="003E2009">
            <w:pPr>
              <w:rPr>
                <w:rFonts w:ascii="Times New Roman" w:hAnsi="Times New Roman" w:cs="Times New Roman"/>
                <w:sz w:val="18"/>
                <w:szCs w:val="16"/>
              </w:rPr>
            </w:pPr>
            <w:r w:rsidRPr="00B54968">
              <w:rPr>
                <w:rFonts w:ascii="Times New Roman" w:hAnsi="Times New Roman" w:cs="Times New Roman"/>
                <w:color w:val="000000"/>
                <w:spacing w:val="-2"/>
                <w:sz w:val="18"/>
                <w:szCs w:val="16"/>
              </w:rPr>
              <w:t>22.3%</w:t>
            </w:r>
          </w:p>
        </w:tc>
      </w:tr>
      <w:tr w:rsidR="00F02007" w:rsidRPr="00B54968" w14:paraId="631A1720" w14:textId="77777777" w:rsidTr="001A691C">
        <w:tc>
          <w:tcPr>
            <w:tcW w:w="8931" w:type="dxa"/>
            <w:gridSpan w:val="5"/>
            <w:tcBorders>
              <w:top w:val="single" w:sz="8" w:space="0" w:color="auto"/>
            </w:tcBorders>
          </w:tcPr>
          <w:p w14:paraId="6A30898F" w14:textId="77777777" w:rsidR="00F02007" w:rsidRPr="00B54968" w:rsidRDefault="00F02007" w:rsidP="003E2009">
            <w:pPr>
              <w:adjustRightInd w:val="0"/>
              <w:spacing w:before="54" w:line="207" w:lineRule="exact"/>
              <w:rPr>
                <w:rFonts w:ascii="Times New Roman" w:hAnsi="Times New Roman" w:cs="Times New Roman"/>
                <w:b/>
                <w:color w:val="000000"/>
                <w:spacing w:val="-2"/>
                <w:sz w:val="18"/>
                <w:szCs w:val="16"/>
              </w:rPr>
            </w:pPr>
            <w:r w:rsidRPr="00B54968">
              <w:rPr>
                <w:rFonts w:ascii="Times New Roman" w:hAnsi="Times New Roman" w:cs="Times New Roman"/>
                <w:b/>
                <w:color w:val="000000"/>
                <w:spacing w:val="-2"/>
                <w:sz w:val="18"/>
                <w:szCs w:val="16"/>
              </w:rPr>
              <w:t>Percentage of subjects with mucosal healing</w:t>
            </w:r>
          </w:p>
        </w:tc>
      </w:tr>
      <w:tr w:rsidR="00F02007" w:rsidRPr="00B54968" w14:paraId="7D304D7D" w14:textId="77777777" w:rsidTr="001A691C">
        <w:tc>
          <w:tcPr>
            <w:tcW w:w="3119" w:type="dxa"/>
          </w:tcPr>
          <w:p w14:paraId="7AF62134" w14:textId="77777777" w:rsidR="00F02007" w:rsidRPr="00B54968" w:rsidRDefault="00F02007" w:rsidP="003E2009">
            <w:pPr>
              <w:adjustRightInd w:val="0"/>
              <w:spacing w:before="1" w:line="221" w:lineRule="exact"/>
              <w:rPr>
                <w:rFonts w:ascii="Times New Roman" w:hAnsi="Times New Roman" w:cs="Times New Roman"/>
                <w:color w:val="000000"/>
                <w:spacing w:val="-2"/>
                <w:position w:val="-3"/>
                <w:sz w:val="18"/>
                <w:szCs w:val="16"/>
                <w:vertAlign w:val="superscript"/>
              </w:rPr>
            </w:pPr>
            <w:r w:rsidRPr="00B54968">
              <w:rPr>
                <w:rFonts w:ascii="Times New Roman" w:hAnsi="Times New Roman" w:cs="Times New Roman"/>
                <w:color w:val="000000"/>
                <w:spacing w:val="-2"/>
                <w:position w:val="-3"/>
                <w:sz w:val="18"/>
                <w:szCs w:val="16"/>
              </w:rPr>
              <w:t>Mucosal healing at Week 8</w:t>
            </w:r>
            <w:r w:rsidRPr="00B54968">
              <w:rPr>
                <w:rFonts w:ascii="Times New Roman" w:hAnsi="Times New Roman" w:cs="Times New Roman"/>
                <w:color w:val="000000"/>
                <w:spacing w:val="-2"/>
                <w:position w:val="-3"/>
                <w:sz w:val="18"/>
                <w:szCs w:val="16"/>
                <w:vertAlign w:val="superscript"/>
              </w:rPr>
              <w:t>a</w:t>
            </w:r>
          </w:p>
        </w:tc>
        <w:tc>
          <w:tcPr>
            <w:tcW w:w="1392" w:type="dxa"/>
            <w:vAlign w:val="center"/>
          </w:tcPr>
          <w:p w14:paraId="4F64CE63" w14:textId="77777777" w:rsidR="00F02007" w:rsidRPr="00B54968" w:rsidRDefault="00F02007" w:rsidP="003E2009">
            <w:pPr>
              <w:adjustRightInd w:val="0"/>
              <w:spacing w:before="1" w:line="221" w:lineRule="exact"/>
              <w:rPr>
                <w:rFonts w:ascii="Times New Roman" w:hAnsi="Times New Roman" w:cs="Times New Roman"/>
                <w:color w:val="000000"/>
                <w:spacing w:val="-2"/>
                <w:position w:val="-3"/>
                <w:sz w:val="18"/>
                <w:szCs w:val="16"/>
              </w:rPr>
            </w:pPr>
            <w:r w:rsidRPr="00B54968">
              <w:rPr>
                <w:rFonts w:ascii="Times New Roman" w:hAnsi="Times New Roman" w:cs="Times New Roman"/>
                <w:color w:val="000000"/>
                <w:spacing w:val="-2"/>
                <w:position w:val="-3"/>
                <w:sz w:val="18"/>
                <w:szCs w:val="16"/>
              </w:rPr>
              <w:t>32.4%</w:t>
            </w:r>
          </w:p>
        </w:tc>
        <w:tc>
          <w:tcPr>
            <w:tcW w:w="1535" w:type="dxa"/>
            <w:vAlign w:val="center"/>
          </w:tcPr>
          <w:p w14:paraId="694E879A" w14:textId="77777777" w:rsidR="00F02007" w:rsidRPr="00B54968" w:rsidRDefault="00F02007" w:rsidP="003E2009">
            <w:pPr>
              <w:adjustRightInd w:val="0"/>
              <w:spacing w:before="1" w:line="221"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61.2%</w:t>
            </w:r>
          </w:p>
        </w:tc>
        <w:tc>
          <w:tcPr>
            <w:tcW w:w="1535" w:type="dxa"/>
            <w:vAlign w:val="center"/>
          </w:tcPr>
          <w:p w14:paraId="04B4FE68" w14:textId="77777777" w:rsidR="00F02007" w:rsidRPr="00B54968" w:rsidRDefault="00F02007" w:rsidP="003E2009">
            <w:pPr>
              <w:adjustRightInd w:val="0"/>
              <w:spacing w:before="1" w:line="221"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60.3%</w:t>
            </w:r>
          </w:p>
        </w:tc>
        <w:tc>
          <w:tcPr>
            <w:tcW w:w="1350" w:type="dxa"/>
            <w:vAlign w:val="center"/>
          </w:tcPr>
          <w:p w14:paraId="2E909EFE" w14:textId="77777777" w:rsidR="00F02007" w:rsidRPr="00B54968" w:rsidRDefault="00F02007" w:rsidP="003E2009">
            <w:pPr>
              <w:adjustRightInd w:val="0"/>
              <w:spacing w:before="1" w:line="221"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60.7%</w:t>
            </w:r>
          </w:p>
        </w:tc>
      </w:tr>
      <w:tr w:rsidR="00F02007" w:rsidRPr="00B54968" w14:paraId="1480DCEA" w14:textId="77777777" w:rsidTr="001A691C">
        <w:trPr>
          <w:trHeight w:val="393"/>
        </w:trPr>
        <w:tc>
          <w:tcPr>
            <w:tcW w:w="3119" w:type="dxa"/>
            <w:tcBorders>
              <w:bottom w:val="single" w:sz="8" w:space="0" w:color="auto"/>
            </w:tcBorders>
          </w:tcPr>
          <w:p w14:paraId="41199EBC" w14:textId="77777777" w:rsidR="00F02007" w:rsidRPr="00B54968" w:rsidRDefault="00F02007" w:rsidP="003E2009">
            <w:pPr>
              <w:adjustRightInd w:val="0"/>
              <w:spacing w:before="62" w:line="218" w:lineRule="exact"/>
              <w:rPr>
                <w:rFonts w:ascii="Times New Roman" w:hAnsi="Times New Roman" w:cs="Times New Roman"/>
                <w:color w:val="000000"/>
                <w:spacing w:val="-2"/>
                <w:position w:val="-3"/>
                <w:sz w:val="18"/>
                <w:szCs w:val="16"/>
                <w:vertAlign w:val="superscript"/>
              </w:rPr>
            </w:pPr>
            <w:r w:rsidRPr="00B54968">
              <w:rPr>
                <w:rFonts w:ascii="Times New Roman" w:hAnsi="Times New Roman" w:cs="Times New Roman"/>
                <w:color w:val="000000"/>
                <w:spacing w:val="-2"/>
                <w:position w:val="-3"/>
                <w:sz w:val="18"/>
                <w:szCs w:val="16"/>
              </w:rPr>
              <w:t>Mucosal healing at Week 30</w:t>
            </w:r>
            <w:r w:rsidRPr="00B54968">
              <w:rPr>
                <w:rFonts w:ascii="Times New Roman" w:hAnsi="Times New Roman" w:cs="Times New Roman"/>
                <w:color w:val="000000"/>
                <w:spacing w:val="-2"/>
                <w:position w:val="-3"/>
                <w:sz w:val="18"/>
                <w:szCs w:val="16"/>
                <w:vertAlign w:val="superscript"/>
              </w:rPr>
              <w:t>a</w:t>
            </w:r>
          </w:p>
        </w:tc>
        <w:tc>
          <w:tcPr>
            <w:tcW w:w="1392" w:type="dxa"/>
            <w:tcBorders>
              <w:bottom w:val="single" w:sz="8" w:space="0" w:color="auto"/>
            </w:tcBorders>
            <w:vAlign w:val="center"/>
          </w:tcPr>
          <w:p w14:paraId="0EEB628C" w14:textId="77777777" w:rsidR="00F02007" w:rsidRPr="00B54968" w:rsidRDefault="00F02007" w:rsidP="003E2009">
            <w:pPr>
              <w:adjustRightInd w:val="0"/>
              <w:spacing w:before="62" w:line="218" w:lineRule="exact"/>
              <w:rPr>
                <w:rFonts w:ascii="Times New Roman" w:hAnsi="Times New Roman" w:cs="Times New Roman"/>
                <w:color w:val="000000"/>
                <w:spacing w:val="-2"/>
                <w:position w:val="-3"/>
                <w:sz w:val="18"/>
                <w:szCs w:val="16"/>
              </w:rPr>
            </w:pPr>
            <w:r w:rsidRPr="00B54968">
              <w:rPr>
                <w:rFonts w:ascii="Times New Roman" w:hAnsi="Times New Roman" w:cs="Times New Roman"/>
                <w:color w:val="000000"/>
                <w:spacing w:val="-2"/>
                <w:position w:val="-3"/>
                <w:sz w:val="18"/>
                <w:szCs w:val="16"/>
              </w:rPr>
              <w:t>27.5%</w:t>
            </w:r>
          </w:p>
        </w:tc>
        <w:tc>
          <w:tcPr>
            <w:tcW w:w="1535" w:type="dxa"/>
            <w:tcBorders>
              <w:bottom w:val="single" w:sz="8" w:space="0" w:color="auto"/>
            </w:tcBorders>
            <w:vAlign w:val="center"/>
          </w:tcPr>
          <w:p w14:paraId="77305CF0" w14:textId="77777777" w:rsidR="00F02007" w:rsidRPr="00B54968" w:rsidRDefault="00F02007" w:rsidP="003E2009">
            <w:pPr>
              <w:adjustRightInd w:val="0"/>
              <w:spacing w:before="62" w:line="218"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48.3%</w:t>
            </w:r>
          </w:p>
        </w:tc>
        <w:tc>
          <w:tcPr>
            <w:tcW w:w="1535" w:type="dxa"/>
            <w:tcBorders>
              <w:bottom w:val="single" w:sz="8" w:space="0" w:color="auto"/>
            </w:tcBorders>
            <w:vAlign w:val="center"/>
          </w:tcPr>
          <w:p w14:paraId="156A595A" w14:textId="77777777" w:rsidR="00F02007" w:rsidRPr="00B54968" w:rsidRDefault="00F02007" w:rsidP="003E2009">
            <w:pPr>
              <w:adjustRightInd w:val="0"/>
              <w:spacing w:before="62" w:line="218"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52.9%</w:t>
            </w:r>
          </w:p>
        </w:tc>
        <w:tc>
          <w:tcPr>
            <w:tcW w:w="1350" w:type="dxa"/>
            <w:tcBorders>
              <w:bottom w:val="single" w:sz="8" w:space="0" w:color="auto"/>
            </w:tcBorders>
            <w:vAlign w:val="center"/>
          </w:tcPr>
          <w:p w14:paraId="2BF29668" w14:textId="77777777" w:rsidR="00F02007" w:rsidRPr="00B54968" w:rsidRDefault="00F02007" w:rsidP="003E2009">
            <w:pPr>
              <w:adjustRightInd w:val="0"/>
              <w:spacing w:before="62" w:line="218"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50.6%</w:t>
            </w:r>
          </w:p>
        </w:tc>
      </w:tr>
      <w:tr w:rsidR="00F02007" w:rsidRPr="00B54968" w14:paraId="64E93A7D" w14:textId="77777777" w:rsidTr="001A691C">
        <w:trPr>
          <w:trHeight w:val="377"/>
        </w:trPr>
        <w:tc>
          <w:tcPr>
            <w:tcW w:w="8931" w:type="dxa"/>
            <w:gridSpan w:val="5"/>
            <w:tcBorders>
              <w:top w:val="single" w:sz="8" w:space="0" w:color="auto"/>
            </w:tcBorders>
            <w:vAlign w:val="center"/>
          </w:tcPr>
          <w:p w14:paraId="2EA7BB46" w14:textId="77777777" w:rsidR="00F02007" w:rsidRPr="00B54968" w:rsidRDefault="00F02007" w:rsidP="003E2009">
            <w:pPr>
              <w:rPr>
                <w:rFonts w:ascii="Times New Roman" w:hAnsi="Times New Roman" w:cs="Times New Roman"/>
                <w:sz w:val="18"/>
              </w:rPr>
            </w:pPr>
            <w:r w:rsidRPr="00B54968">
              <w:rPr>
                <w:rFonts w:ascii="Times New Roman" w:hAnsi="Times New Roman" w:cs="Times New Roman"/>
                <w:sz w:val="18"/>
              </w:rPr>
              <w:t xml:space="preserve">a: p &lt; 0.001, for each infliximab treatment group vs. placebo </w:t>
            </w:r>
          </w:p>
          <w:p w14:paraId="73C84418" w14:textId="77777777" w:rsidR="00F02007" w:rsidRPr="00B54968" w:rsidRDefault="00F02007" w:rsidP="003E2009">
            <w:pPr>
              <w:rPr>
                <w:rFonts w:ascii="Times New Roman" w:hAnsi="Times New Roman" w:cs="Times New Roman"/>
                <w:sz w:val="18"/>
              </w:rPr>
            </w:pPr>
            <w:r w:rsidRPr="00B54968">
              <w:rPr>
                <w:rFonts w:ascii="Times New Roman" w:hAnsi="Times New Roman" w:cs="Times New Roman"/>
                <w:sz w:val="18"/>
              </w:rPr>
              <w:t>b: p ≤ 0.001, for each infliximab treatment group vs. placebo</w:t>
            </w:r>
          </w:p>
        </w:tc>
      </w:tr>
    </w:tbl>
    <w:p w14:paraId="6275AB4B" w14:textId="77777777" w:rsidR="00F02007" w:rsidRPr="00B54968" w:rsidRDefault="00F02007" w:rsidP="003E2009">
      <w:pPr>
        <w:spacing w:after="0"/>
        <w:rPr>
          <w:rFonts w:ascii="Times New Roman" w:hAnsi="Times New Roman" w:cs="Times New Roman"/>
          <w:b/>
          <w:bCs/>
          <w:szCs w:val="20"/>
          <w:lang w:eastAsia="ko-KR"/>
        </w:rPr>
      </w:pPr>
    </w:p>
    <w:p w14:paraId="57394CF0" w14:textId="634721EB" w:rsidR="00A02600" w:rsidRPr="00B54968" w:rsidRDefault="009F36E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both studies, a significantly greater percentage of patients in the infliximab groups were in clinical response and clinical remission at week 8 when compared to placebo. Furthermore, in both ACT 1 and ACT 2, a significantly greater proportion of patients treated with 5 mg/kg or 10 mg/kg infliximab experienced clinical response and clinical remission at week 30 compared to placebo treatment. In addition, the proportion of patients in sustained response (i.e., were in clinical response at both week 8 and week 30) in the infliximab groups was at least twice as large as in the placebo group. Results from weeks 8 and 30 are shown in Table </w:t>
      </w:r>
      <w:r w:rsidR="00B25992" w:rsidRPr="00B54968">
        <w:rPr>
          <w:rFonts w:ascii="Times New Roman" w:hAnsi="Times New Roman" w:cs="Times New Roman"/>
          <w:color w:val="auto"/>
          <w:sz w:val="22"/>
          <w:szCs w:val="22"/>
        </w:rPr>
        <w:t>12</w:t>
      </w:r>
      <w:r w:rsidRPr="00B54968">
        <w:rPr>
          <w:rFonts w:ascii="Times New Roman" w:hAnsi="Times New Roman" w:cs="Times New Roman"/>
          <w:color w:val="auto"/>
          <w:sz w:val="22"/>
          <w:szCs w:val="22"/>
        </w:rPr>
        <w:t xml:space="preserve">. </w:t>
      </w:r>
    </w:p>
    <w:p w14:paraId="4C497438" w14:textId="77777777" w:rsidR="00A02600" w:rsidRPr="00B54968" w:rsidRDefault="00A02600" w:rsidP="003E2009">
      <w:pPr>
        <w:pStyle w:val="Default"/>
        <w:rPr>
          <w:rFonts w:ascii="Times New Roman" w:hAnsi="Times New Roman" w:cs="Times New Roman"/>
          <w:color w:val="auto"/>
          <w:sz w:val="22"/>
          <w:szCs w:val="22"/>
        </w:rPr>
      </w:pPr>
    </w:p>
    <w:p w14:paraId="38FC6ACD" w14:textId="3AED2D3B" w:rsidR="00A02600" w:rsidRPr="00B54968" w:rsidRDefault="009F36E8" w:rsidP="003E2009">
      <w:pPr>
        <w:spacing w:line="240" w:lineRule="auto"/>
        <w:rPr>
          <w:rFonts w:ascii="Times New Roman" w:hAnsi="Times New Roman" w:cs="Times New Roman"/>
        </w:rPr>
      </w:pPr>
      <w:r w:rsidRPr="00B54968">
        <w:rPr>
          <w:rFonts w:ascii="Times New Roman" w:hAnsi="Times New Roman" w:cs="Times New Roman"/>
        </w:rPr>
        <w:t xml:space="preserve">Of patients treated with corticosteroids at baseline, a significantly greater proportion of patients in the infliximab-treated groups were in clinical remission at week 30 and able to discontinue corticosteroids compared to the placebo-treated patients (22.3% versus 7.2%, respectively, see Table </w:t>
      </w:r>
      <w:r w:rsidR="00B25992" w:rsidRPr="00B54968">
        <w:rPr>
          <w:rFonts w:ascii="Times New Roman" w:hAnsi="Times New Roman" w:cs="Times New Roman"/>
        </w:rPr>
        <w:t>12</w:t>
      </w:r>
      <w:r w:rsidRPr="00B54968">
        <w:rPr>
          <w:rFonts w:ascii="Times New Roman" w:hAnsi="Times New Roman" w:cs="Times New Roman"/>
        </w:rPr>
        <w:t>).</w:t>
      </w:r>
    </w:p>
    <w:p w14:paraId="469A07E0" w14:textId="1B9BD202" w:rsidR="00A02600" w:rsidRPr="00B54968" w:rsidRDefault="009F36E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Additionally, at weeks 8 and 30, a significantly greater proportion of patients in the 5 mg/kg and 10 mg/kg dose groups in ACT 1 and ACT 2 achieved mucosal healing compared to patients in the placebo group. The proportion of subjects with mucosal healing was similar between the 2 infliximab dose groups in the two studies (see Table </w:t>
      </w:r>
      <w:r w:rsidR="00B25992" w:rsidRPr="00B54968">
        <w:rPr>
          <w:rFonts w:ascii="Times New Roman" w:hAnsi="Times New Roman" w:cs="Times New Roman"/>
          <w:color w:val="auto"/>
          <w:sz w:val="22"/>
          <w:szCs w:val="22"/>
        </w:rPr>
        <w:t>12</w:t>
      </w:r>
      <w:r w:rsidRPr="00B54968">
        <w:rPr>
          <w:rFonts w:ascii="Times New Roman" w:hAnsi="Times New Roman" w:cs="Times New Roman"/>
          <w:color w:val="auto"/>
          <w:sz w:val="22"/>
          <w:szCs w:val="22"/>
        </w:rPr>
        <w:t xml:space="preserve">). </w:t>
      </w:r>
    </w:p>
    <w:p w14:paraId="1E2CE834" w14:textId="77777777" w:rsidR="00A02600" w:rsidRPr="00B54968" w:rsidRDefault="00A02600" w:rsidP="003E2009">
      <w:pPr>
        <w:pStyle w:val="Default"/>
        <w:rPr>
          <w:rFonts w:ascii="Times New Roman" w:hAnsi="Times New Roman" w:cs="Times New Roman"/>
          <w:color w:val="auto"/>
          <w:sz w:val="22"/>
          <w:szCs w:val="22"/>
        </w:rPr>
      </w:pPr>
    </w:p>
    <w:p w14:paraId="3BD4E5D6" w14:textId="77777777" w:rsidR="00A02600" w:rsidRPr="00B54968" w:rsidRDefault="009F36E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efficacy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through week 54 was assessed in the ACT 1 trial. </w:t>
      </w:r>
    </w:p>
    <w:p w14:paraId="71821F80" w14:textId="77777777" w:rsidR="00A02600" w:rsidRPr="00B54968" w:rsidRDefault="00A02600" w:rsidP="003E2009">
      <w:pPr>
        <w:pStyle w:val="Default"/>
        <w:rPr>
          <w:rFonts w:ascii="Times New Roman" w:hAnsi="Times New Roman" w:cs="Times New Roman"/>
          <w:color w:val="auto"/>
          <w:sz w:val="22"/>
          <w:szCs w:val="22"/>
        </w:rPr>
      </w:pPr>
    </w:p>
    <w:p w14:paraId="27FF6CC2" w14:textId="77777777" w:rsidR="00A02600" w:rsidRPr="00B54968" w:rsidRDefault="009F36E8" w:rsidP="003E2009">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t xml:space="preserve">At 54 weeks, 44.9% of patients in the combined infliximab treatment group were in clinical response compared to 19.8% in the placebo treatment group (p&lt;0.001). Clinical remission and mucosal healing occurred in a greater proportion of patients in the combined infliximab treatment group compared to the placebo treatment group at week 54 (34.6% vs. 16.5%, p&lt;0.001 and 46.1% vs. 18.2%, p&lt;0.001, respectively). The proportions of patients in sustained response and sustained remission at week 54 were greater in the combined infliximab treatment group than in the placebo treatment group (37.9% vs. 14.0%, p&lt;0.001; and 20.2% vs. 6.6%, p&lt;0.001, respectively). </w:t>
      </w:r>
    </w:p>
    <w:p w14:paraId="0CFC20AD" w14:textId="77777777" w:rsidR="00C212DB" w:rsidRPr="00B54968" w:rsidRDefault="00C212DB" w:rsidP="003E2009">
      <w:pPr>
        <w:pStyle w:val="Default"/>
        <w:rPr>
          <w:rFonts w:ascii="Times New Roman" w:hAnsi="Times New Roman" w:cs="Times New Roman"/>
          <w:color w:val="auto"/>
          <w:sz w:val="22"/>
          <w:szCs w:val="22"/>
          <w:lang w:eastAsia="ko-KR"/>
        </w:rPr>
      </w:pPr>
    </w:p>
    <w:p w14:paraId="3F7E4A4A" w14:textId="43D4669A" w:rsidR="00A02600" w:rsidRPr="00B54968" w:rsidRDefault="009F36E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A greater proportion of patients in the combined infliximab treatment group were able to discontinue corticosteroids while remaining in clinical remission compared to the placebo treatment group at both week 30 (22.3% vs. 7.2%, p ≤0.001, see Table </w:t>
      </w:r>
      <w:r w:rsidR="00CE5190" w:rsidRPr="00B54968">
        <w:rPr>
          <w:rFonts w:ascii="Times New Roman" w:hAnsi="Times New Roman" w:cs="Times New Roman"/>
          <w:color w:val="auto"/>
          <w:sz w:val="22"/>
          <w:szCs w:val="22"/>
        </w:rPr>
        <w:t>12</w:t>
      </w:r>
      <w:r w:rsidRPr="00B54968">
        <w:rPr>
          <w:rFonts w:ascii="Times New Roman" w:hAnsi="Times New Roman" w:cs="Times New Roman"/>
          <w:color w:val="auto"/>
          <w:sz w:val="22"/>
          <w:szCs w:val="22"/>
        </w:rPr>
        <w:t xml:space="preserve">) and week 54 (21.0% vs. 8.9%, p=0.022). </w:t>
      </w:r>
    </w:p>
    <w:p w14:paraId="6AF4D09F" w14:textId="77777777" w:rsidR="00A02600" w:rsidRPr="00B54968" w:rsidRDefault="00A02600" w:rsidP="003E2009">
      <w:pPr>
        <w:pStyle w:val="Default"/>
        <w:rPr>
          <w:rFonts w:ascii="Times New Roman" w:hAnsi="Times New Roman" w:cs="Times New Roman"/>
          <w:color w:val="auto"/>
          <w:sz w:val="22"/>
          <w:szCs w:val="22"/>
        </w:rPr>
      </w:pPr>
    </w:p>
    <w:p w14:paraId="4CF45880" w14:textId="77777777" w:rsidR="00A02600" w:rsidRPr="00B54968" w:rsidRDefault="009F36E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improved Quality of Life, confirmed by statistically and clinically significant improvement in both disease specific measure, IBDQ, and by improvement in the generic 36-item short form survey SF-36. </w:t>
      </w:r>
    </w:p>
    <w:p w14:paraId="54F40057" w14:textId="77777777" w:rsidR="00A02600" w:rsidRPr="00B54968" w:rsidRDefault="00A02600" w:rsidP="003E2009">
      <w:pPr>
        <w:pStyle w:val="Default"/>
        <w:rPr>
          <w:rFonts w:ascii="Times New Roman" w:hAnsi="Times New Roman" w:cs="Times New Roman"/>
          <w:color w:val="auto"/>
          <w:sz w:val="22"/>
          <w:szCs w:val="22"/>
        </w:rPr>
      </w:pPr>
    </w:p>
    <w:p w14:paraId="2FBDDB47" w14:textId="77777777" w:rsidR="00A02600" w:rsidRPr="00B54968" w:rsidRDefault="009F36E8" w:rsidP="003E2009">
      <w:pPr>
        <w:spacing w:line="240" w:lineRule="auto"/>
        <w:rPr>
          <w:rFonts w:ascii="Times New Roman" w:hAnsi="Times New Roman" w:cs="Times New Roman"/>
        </w:rPr>
      </w:pPr>
      <w:r w:rsidRPr="00B54968">
        <w:rPr>
          <w:rFonts w:ascii="Times New Roman" w:hAnsi="Times New Roman" w:cs="Times New Roman"/>
        </w:rPr>
        <w:t xml:space="preserve">From baseline through week 30 in the pooled data from ACT 1 and ACT 2, the mean number of </w:t>
      </w:r>
      <w:proofErr w:type="spellStart"/>
      <w:r w:rsidRPr="00B54968">
        <w:rPr>
          <w:rFonts w:ascii="Times New Roman" w:hAnsi="Times New Roman" w:cs="Times New Roman"/>
        </w:rPr>
        <w:t>hospitalisations</w:t>
      </w:r>
      <w:proofErr w:type="spellEnd"/>
      <w:r w:rsidRPr="00B54968">
        <w:rPr>
          <w:rFonts w:ascii="Times New Roman" w:hAnsi="Times New Roman" w:cs="Times New Roman"/>
        </w:rPr>
        <w:t xml:space="preserve"> was 50% lower in the combined infliximab treatment group than in the placebo treatment group (9 versus 18 </w:t>
      </w:r>
      <w:proofErr w:type="spellStart"/>
      <w:r w:rsidRPr="00B54968">
        <w:rPr>
          <w:rFonts w:ascii="Times New Roman" w:hAnsi="Times New Roman" w:cs="Times New Roman"/>
        </w:rPr>
        <w:t>hospitalisations</w:t>
      </w:r>
      <w:proofErr w:type="spellEnd"/>
      <w:r w:rsidRPr="00B54968">
        <w:rPr>
          <w:rFonts w:ascii="Times New Roman" w:hAnsi="Times New Roman" w:cs="Times New Roman"/>
        </w:rPr>
        <w:t xml:space="preserve"> per 100 subjects, p = 0.005). No notable differences were observed between the 5 mg/kg and 10 mg/kg infliximab treatment groups.</w:t>
      </w:r>
    </w:p>
    <w:p w14:paraId="21920C2F" w14:textId="77777777" w:rsidR="00A02600" w:rsidRPr="00B54968" w:rsidRDefault="009F36E8" w:rsidP="003E2009">
      <w:pPr>
        <w:pStyle w:val="Default"/>
        <w:rPr>
          <w:rFonts w:ascii="Times New Roman" w:hAnsi="Times New Roman" w:cs="Times New Roman"/>
          <w:color w:val="auto"/>
          <w:sz w:val="22"/>
          <w:szCs w:val="22"/>
        </w:rPr>
      </w:pPr>
      <w:proofErr w:type="spellStart"/>
      <w:r w:rsidRPr="00B54968">
        <w:rPr>
          <w:rFonts w:ascii="Times New Roman" w:hAnsi="Times New Roman" w:cs="Times New Roman"/>
          <w:b/>
          <w:bCs/>
          <w:iCs/>
          <w:color w:val="auto"/>
          <w:sz w:val="22"/>
          <w:szCs w:val="22"/>
        </w:rPr>
        <w:t>Paediatric</w:t>
      </w:r>
      <w:proofErr w:type="spellEnd"/>
      <w:r w:rsidRPr="00B54968">
        <w:rPr>
          <w:rFonts w:ascii="Times New Roman" w:hAnsi="Times New Roman" w:cs="Times New Roman"/>
          <w:b/>
          <w:bCs/>
          <w:iCs/>
          <w:color w:val="auto"/>
          <w:sz w:val="22"/>
          <w:szCs w:val="22"/>
        </w:rPr>
        <w:t xml:space="preserve"> Ulcerative Colitis (6 through 17 Years) </w:t>
      </w:r>
    </w:p>
    <w:p w14:paraId="7AEA354C" w14:textId="77777777" w:rsidR="00A02600" w:rsidRPr="00B54968" w:rsidRDefault="009F36E8" w:rsidP="003E200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The efficacy and safety of induction and maintenance infliximab were assessed in a </w:t>
      </w:r>
      <w:proofErr w:type="spellStart"/>
      <w:r w:rsidRPr="00B54968">
        <w:rPr>
          <w:rFonts w:ascii="Times New Roman" w:hAnsi="Times New Roman" w:cs="Times New Roman"/>
          <w:iCs/>
          <w:color w:val="auto"/>
          <w:sz w:val="22"/>
          <w:szCs w:val="22"/>
        </w:rPr>
        <w:t>multicentre</w:t>
      </w:r>
      <w:proofErr w:type="spellEnd"/>
      <w:r w:rsidRPr="00B54968">
        <w:rPr>
          <w:rFonts w:ascii="Times New Roman" w:hAnsi="Times New Roman" w:cs="Times New Roman"/>
          <w:iCs/>
          <w:color w:val="auto"/>
          <w:sz w:val="22"/>
          <w:szCs w:val="22"/>
        </w:rPr>
        <w:t xml:space="preserve">, </w:t>
      </w:r>
      <w:proofErr w:type="spellStart"/>
      <w:r w:rsidRPr="00B54968">
        <w:rPr>
          <w:rFonts w:ascii="Times New Roman" w:hAnsi="Times New Roman" w:cs="Times New Roman"/>
          <w:iCs/>
          <w:color w:val="auto"/>
          <w:sz w:val="22"/>
          <w:szCs w:val="22"/>
        </w:rPr>
        <w:t>randomised</w:t>
      </w:r>
      <w:proofErr w:type="spellEnd"/>
      <w:r w:rsidRPr="00B54968">
        <w:rPr>
          <w:rFonts w:ascii="Times New Roman" w:hAnsi="Times New Roman" w:cs="Times New Roman"/>
          <w:iCs/>
          <w:color w:val="auto"/>
          <w:sz w:val="22"/>
          <w:szCs w:val="22"/>
        </w:rPr>
        <w:t xml:space="preserve">, open-label, parallel group clinical study (C0168T72) in 60 </w:t>
      </w:r>
      <w:proofErr w:type="spellStart"/>
      <w:r w:rsidRPr="00B54968">
        <w:rPr>
          <w:rFonts w:ascii="Times New Roman" w:hAnsi="Times New Roman" w:cs="Times New Roman"/>
          <w:iCs/>
          <w:color w:val="auto"/>
          <w:sz w:val="22"/>
          <w:szCs w:val="22"/>
        </w:rPr>
        <w:t>paediatric</w:t>
      </w:r>
      <w:proofErr w:type="spellEnd"/>
      <w:r w:rsidRPr="00B54968">
        <w:rPr>
          <w:rFonts w:ascii="Times New Roman" w:hAnsi="Times New Roman" w:cs="Times New Roman"/>
          <w:iCs/>
          <w:color w:val="auto"/>
          <w:sz w:val="22"/>
          <w:szCs w:val="22"/>
        </w:rPr>
        <w:t xml:space="preserve"> patients aged 6 through 17 years (median age 14.5 years) with moderately to severe active ulcerative colitis (Mayo score of 6 to 12; endoscopic </w:t>
      </w:r>
      <w:proofErr w:type="spellStart"/>
      <w:r w:rsidRPr="00B54968">
        <w:rPr>
          <w:rFonts w:ascii="Times New Roman" w:hAnsi="Times New Roman" w:cs="Times New Roman"/>
          <w:iCs/>
          <w:color w:val="auto"/>
          <w:sz w:val="22"/>
          <w:szCs w:val="22"/>
        </w:rPr>
        <w:t>subscore</w:t>
      </w:r>
      <w:proofErr w:type="spellEnd"/>
      <w:r w:rsidRPr="00B54968">
        <w:rPr>
          <w:rFonts w:ascii="Times New Roman" w:hAnsi="Times New Roman" w:cs="Times New Roman"/>
          <w:iCs/>
          <w:color w:val="auto"/>
          <w:sz w:val="22"/>
          <w:szCs w:val="22"/>
        </w:rPr>
        <w:t xml:space="preserve"> &gt;2) with an inadequate response to conventional therapies. At baseline, 53% of patients were receiving </w:t>
      </w:r>
      <w:proofErr w:type="spellStart"/>
      <w:r w:rsidRPr="00B54968">
        <w:rPr>
          <w:rFonts w:ascii="Times New Roman" w:hAnsi="Times New Roman" w:cs="Times New Roman"/>
          <w:iCs/>
          <w:color w:val="auto"/>
          <w:sz w:val="22"/>
          <w:szCs w:val="22"/>
        </w:rPr>
        <w:t>aminosalicylates</w:t>
      </w:r>
      <w:proofErr w:type="spellEnd"/>
      <w:r w:rsidRPr="00B54968">
        <w:rPr>
          <w:rFonts w:ascii="Times New Roman" w:hAnsi="Times New Roman" w:cs="Times New Roman"/>
          <w:iCs/>
          <w:color w:val="auto"/>
          <w:sz w:val="22"/>
          <w:szCs w:val="22"/>
        </w:rPr>
        <w:t xml:space="preserve">, 53% were receiving immunomodulator therapy (6-MP, AZA and /or MTX) and 62% of patients were receiving corticosteroids. Discontinuation of immunomodulators and corticosteroid taper were permitted after week 0. 77% of patients had extensive disease as indicated by endoscopy. </w:t>
      </w:r>
    </w:p>
    <w:p w14:paraId="060B96BB" w14:textId="77777777" w:rsidR="00A02600" w:rsidRPr="00B54968" w:rsidRDefault="00A02600" w:rsidP="003E2009">
      <w:pPr>
        <w:pStyle w:val="Default"/>
        <w:rPr>
          <w:rFonts w:ascii="Times New Roman" w:hAnsi="Times New Roman" w:cs="Times New Roman"/>
          <w:color w:val="auto"/>
          <w:sz w:val="22"/>
          <w:szCs w:val="22"/>
        </w:rPr>
      </w:pPr>
    </w:p>
    <w:p w14:paraId="05A229A0" w14:textId="77777777" w:rsidR="00A02600" w:rsidRPr="00B54968" w:rsidRDefault="009F36E8" w:rsidP="003E200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All patients received an induction regimen of 5 mg/kg infliximab at Weeks 0, 2, and 6. Patients who did not respond to infliximab at Week 8 (n=15) received no further drug and returned for safety follow-up. At week 8, 45 patients were </w:t>
      </w:r>
      <w:proofErr w:type="spellStart"/>
      <w:r w:rsidRPr="00B54968">
        <w:rPr>
          <w:rFonts w:ascii="Times New Roman" w:hAnsi="Times New Roman" w:cs="Times New Roman"/>
          <w:iCs/>
          <w:color w:val="auto"/>
          <w:sz w:val="22"/>
          <w:szCs w:val="22"/>
        </w:rPr>
        <w:t>randomised</w:t>
      </w:r>
      <w:proofErr w:type="spellEnd"/>
      <w:r w:rsidRPr="00B54968">
        <w:rPr>
          <w:rFonts w:ascii="Times New Roman" w:hAnsi="Times New Roman" w:cs="Times New Roman"/>
          <w:iCs/>
          <w:color w:val="auto"/>
          <w:sz w:val="22"/>
          <w:szCs w:val="22"/>
        </w:rPr>
        <w:t xml:space="preserve"> and received</w:t>
      </w:r>
      <w:r w:rsidRPr="00B54968">
        <w:rPr>
          <w:rFonts w:ascii="Times New Roman" w:hAnsi="Times New Roman" w:cs="Times New Roman"/>
          <w:i/>
          <w:iCs/>
          <w:color w:val="auto"/>
          <w:sz w:val="22"/>
          <w:szCs w:val="22"/>
        </w:rPr>
        <w:t xml:space="preserve"> 5 </w:t>
      </w:r>
      <w:r w:rsidRPr="00B54968">
        <w:rPr>
          <w:rFonts w:ascii="Times New Roman" w:hAnsi="Times New Roman" w:cs="Times New Roman"/>
          <w:iCs/>
          <w:color w:val="auto"/>
          <w:sz w:val="22"/>
          <w:szCs w:val="22"/>
        </w:rPr>
        <w:t xml:space="preserve">mg/kg infliximab at either every 8 weeks or every 12 weeks as a maintenance treatment regimen. </w:t>
      </w:r>
    </w:p>
    <w:p w14:paraId="3923A09D" w14:textId="77777777" w:rsidR="00A02600" w:rsidRPr="00B54968" w:rsidRDefault="00A02600" w:rsidP="003E2009">
      <w:pPr>
        <w:pStyle w:val="Default"/>
        <w:rPr>
          <w:rFonts w:ascii="Times New Roman" w:hAnsi="Times New Roman" w:cs="Times New Roman"/>
          <w:color w:val="auto"/>
          <w:sz w:val="22"/>
          <w:szCs w:val="22"/>
        </w:rPr>
      </w:pPr>
    </w:p>
    <w:p w14:paraId="26D5776F" w14:textId="77777777" w:rsidR="00A02600" w:rsidRPr="00B54968" w:rsidRDefault="009F36E8" w:rsidP="003E2009">
      <w:pPr>
        <w:spacing w:line="240" w:lineRule="auto"/>
        <w:rPr>
          <w:rFonts w:ascii="Times New Roman" w:hAnsi="Times New Roman" w:cs="Times New Roman"/>
          <w:iCs/>
        </w:rPr>
      </w:pPr>
      <w:r w:rsidRPr="00B54968">
        <w:rPr>
          <w:rFonts w:ascii="Times New Roman" w:hAnsi="Times New Roman" w:cs="Times New Roman"/>
          <w:iCs/>
        </w:rPr>
        <w:t xml:space="preserve">The primary endpoint was clinical response at Week 8, defined as a decrease from baseline in the Mayo score by ≥ 30% and ≥ 3 points, including a decrease in the rectal bleeding </w:t>
      </w:r>
      <w:proofErr w:type="spellStart"/>
      <w:r w:rsidRPr="00B54968">
        <w:rPr>
          <w:rFonts w:ascii="Times New Roman" w:hAnsi="Times New Roman" w:cs="Times New Roman"/>
          <w:iCs/>
        </w:rPr>
        <w:t>subscore</w:t>
      </w:r>
      <w:proofErr w:type="spellEnd"/>
      <w:r w:rsidRPr="00B54968">
        <w:rPr>
          <w:rFonts w:ascii="Times New Roman" w:hAnsi="Times New Roman" w:cs="Times New Roman"/>
          <w:iCs/>
        </w:rPr>
        <w:t xml:space="preserve"> by ≥ 1 points or achievement of a rectal bleeding </w:t>
      </w:r>
      <w:proofErr w:type="spellStart"/>
      <w:r w:rsidRPr="00B54968">
        <w:rPr>
          <w:rFonts w:ascii="Times New Roman" w:hAnsi="Times New Roman" w:cs="Times New Roman"/>
          <w:iCs/>
        </w:rPr>
        <w:t>subscore</w:t>
      </w:r>
      <w:proofErr w:type="spellEnd"/>
      <w:r w:rsidRPr="00B54968">
        <w:rPr>
          <w:rFonts w:ascii="Times New Roman" w:hAnsi="Times New Roman" w:cs="Times New Roman"/>
          <w:iCs/>
        </w:rPr>
        <w:t xml:space="preserve"> of 0 or 1. The proportion of patients in clinical response at week 8 was 73.3% (44/60). Clinical response at week 8 was similar between those with or without concomitant immunomodulator use at baseline.</w:t>
      </w:r>
    </w:p>
    <w:p w14:paraId="6653B357" w14:textId="77777777" w:rsidR="00A02600" w:rsidRPr="00B54968" w:rsidRDefault="009F36E8" w:rsidP="003E200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Clinical remission at Week 8 was measured by the Mayo score, defined as a Mayo score of ≤2 points with no individual </w:t>
      </w:r>
      <w:proofErr w:type="spellStart"/>
      <w:r w:rsidRPr="00B54968">
        <w:rPr>
          <w:rFonts w:ascii="Times New Roman" w:hAnsi="Times New Roman" w:cs="Times New Roman"/>
          <w:iCs/>
          <w:color w:val="auto"/>
          <w:sz w:val="22"/>
          <w:szCs w:val="22"/>
        </w:rPr>
        <w:t>subscore</w:t>
      </w:r>
      <w:proofErr w:type="spellEnd"/>
      <w:r w:rsidRPr="00B54968">
        <w:rPr>
          <w:rFonts w:ascii="Times New Roman" w:hAnsi="Times New Roman" w:cs="Times New Roman"/>
          <w:iCs/>
          <w:color w:val="auto"/>
          <w:sz w:val="22"/>
          <w:szCs w:val="22"/>
        </w:rPr>
        <w:t xml:space="preserve"> &gt;1. Clinical remission was also assessed at Week 8 and Week 54 using the </w:t>
      </w:r>
      <w:proofErr w:type="spellStart"/>
      <w:r w:rsidRPr="00B54968">
        <w:rPr>
          <w:rFonts w:ascii="Times New Roman" w:hAnsi="Times New Roman" w:cs="Times New Roman"/>
          <w:iCs/>
          <w:color w:val="auto"/>
          <w:sz w:val="22"/>
          <w:szCs w:val="22"/>
        </w:rPr>
        <w:t>Paediatric</w:t>
      </w:r>
      <w:proofErr w:type="spellEnd"/>
      <w:r w:rsidRPr="00B54968">
        <w:rPr>
          <w:rFonts w:ascii="Times New Roman" w:hAnsi="Times New Roman" w:cs="Times New Roman"/>
          <w:iCs/>
          <w:color w:val="auto"/>
          <w:sz w:val="22"/>
          <w:szCs w:val="22"/>
        </w:rPr>
        <w:t xml:space="preserve"> Ulcerative Colitis Activity Index (PUCAI) score and was defined by a PUCAI score of &lt;10 points. Clinical remission at week 8 was 40% (24/60) as measured by the Mayo score and 33.3% (17/51) as measured by the PUCAI score. </w:t>
      </w:r>
    </w:p>
    <w:p w14:paraId="3413FE87" w14:textId="77777777" w:rsidR="00A02600" w:rsidRPr="00B54968" w:rsidRDefault="00A02600" w:rsidP="003E2009">
      <w:pPr>
        <w:pStyle w:val="Default"/>
        <w:rPr>
          <w:rFonts w:ascii="Times New Roman" w:hAnsi="Times New Roman" w:cs="Times New Roman"/>
          <w:color w:val="auto"/>
          <w:sz w:val="22"/>
          <w:szCs w:val="22"/>
        </w:rPr>
      </w:pPr>
    </w:p>
    <w:p w14:paraId="7E18466C" w14:textId="77777777" w:rsidR="00A02600" w:rsidRPr="00B54968" w:rsidRDefault="009F36E8" w:rsidP="003E200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At week 54, the proportion of patients in clinical remission as measured by the PUCAI score was 38% (8/21) in the every 8 weeks maintenance group and 18% (4/22) in the every 12 weeks maintenance treatment group. For patients receiving corticosteroids at baseline, the proportion of patients in remission and not receiving corticosteroids at Week 54 was 38.5% (5/13) for the every 8 weeks and 0% (0/13) for the every 12 weeks maintenance treatment group. </w:t>
      </w:r>
    </w:p>
    <w:p w14:paraId="0452A515" w14:textId="77777777" w:rsidR="00A02600" w:rsidRPr="00B54968" w:rsidRDefault="00A02600" w:rsidP="003E2009">
      <w:pPr>
        <w:pStyle w:val="Default"/>
        <w:rPr>
          <w:rFonts w:ascii="Times New Roman" w:hAnsi="Times New Roman" w:cs="Times New Roman"/>
          <w:color w:val="auto"/>
          <w:sz w:val="22"/>
          <w:szCs w:val="22"/>
        </w:rPr>
      </w:pPr>
    </w:p>
    <w:p w14:paraId="7193D63E" w14:textId="77777777" w:rsidR="00A02600" w:rsidRPr="00B54968" w:rsidRDefault="009F36E8" w:rsidP="003E200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Mucosal healing was defined as an endoscopy </w:t>
      </w:r>
      <w:proofErr w:type="spellStart"/>
      <w:r w:rsidRPr="00B54968">
        <w:rPr>
          <w:rFonts w:ascii="Times New Roman" w:hAnsi="Times New Roman" w:cs="Times New Roman"/>
          <w:iCs/>
          <w:color w:val="auto"/>
          <w:sz w:val="22"/>
          <w:szCs w:val="22"/>
        </w:rPr>
        <w:t>subscore</w:t>
      </w:r>
      <w:proofErr w:type="spellEnd"/>
      <w:r w:rsidRPr="00B54968">
        <w:rPr>
          <w:rFonts w:ascii="Times New Roman" w:hAnsi="Times New Roman" w:cs="Times New Roman"/>
          <w:iCs/>
          <w:color w:val="auto"/>
          <w:sz w:val="22"/>
          <w:szCs w:val="22"/>
        </w:rPr>
        <w:t xml:space="preserve"> (from the Mayo score) of 0 or 1. The proportion of patients with mucosal healing at week 8 was 68.3% (41/60) of which 33% (20/60) of patients achieved complete mucosal healing defined as having an endoscopy </w:t>
      </w:r>
      <w:proofErr w:type="spellStart"/>
      <w:r w:rsidRPr="00B54968">
        <w:rPr>
          <w:rFonts w:ascii="Times New Roman" w:hAnsi="Times New Roman" w:cs="Times New Roman"/>
          <w:iCs/>
          <w:color w:val="auto"/>
          <w:sz w:val="22"/>
          <w:szCs w:val="22"/>
        </w:rPr>
        <w:t>subscore</w:t>
      </w:r>
      <w:proofErr w:type="spellEnd"/>
      <w:r w:rsidRPr="00B54968">
        <w:rPr>
          <w:rFonts w:ascii="Times New Roman" w:hAnsi="Times New Roman" w:cs="Times New Roman"/>
          <w:iCs/>
          <w:color w:val="auto"/>
          <w:sz w:val="22"/>
          <w:szCs w:val="22"/>
        </w:rPr>
        <w:t xml:space="preserve"> of 0. </w:t>
      </w:r>
    </w:p>
    <w:p w14:paraId="4F8EEA87" w14:textId="77777777" w:rsidR="00A02600" w:rsidRPr="00B54968" w:rsidRDefault="00A02600" w:rsidP="003E2009">
      <w:pPr>
        <w:pStyle w:val="Default"/>
        <w:rPr>
          <w:rFonts w:ascii="Times New Roman" w:hAnsi="Times New Roman" w:cs="Times New Roman"/>
          <w:color w:val="auto"/>
          <w:sz w:val="22"/>
          <w:szCs w:val="22"/>
        </w:rPr>
      </w:pPr>
    </w:p>
    <w:p w14:paraId="38C82D5C" w14:textId="77777777" w:rsidR="00A02600" w:rsidRPr="00B54968" w:rsidRDefault="009F36E8" w:rsidP="003E2009">
      <w:pPr>
        <w:spacing w:line="240" w:lineRule="auto"/>
        <w:rPr>
          <w:rFonts w:ascii="Times New Roman" w:hAnsi="Times New Roman" w:cs="Times New Roman"/>
          <w:iCs/>
        </w:rPr>
      </w:pPr>
      <w:r w:rsidRPr="00B54968">
        <w:rPr>
          <w:rFonts w:ascii="Times New Roman" w:hAnsi="Times New Roman" w:cs="Times New Roman"/>
          <w:iCs/>
        </w:rPr>
        <w:t>Although endoscopy was optional at week 54, 9 patients who had mucosal healing at week 8 had endoscopies at week 54. 89% (8/9) of these patients were still in mucosal healing.</w:t>
      </w:r>
    </w:p>
    <w:p w14:paraId="728106F9" w14:textId="77777777" w:rsidR="00EE35B3" w:rsidRPr="00B54968" w:rsidRDefault="00EE35B3" w:rsidP="003E2009">
      <w:pPr>
        <w:pStyle w:val="Default"/>
        <w:rPr>
          <w:rFonts w:ascii="Times New Roman" w:hAnsi="Times New Roman" w:cs="Times New Roman"/>
          <w:b/>
          <w:i/>
          <w:color w:val="auto"/>
          <w:sz w:val="22"/>
          <w:szCs w:val="22"/>
        </w:rPr>
      </w:pPr>
    </w:p>
    <w:p w14:paraId="5AF57584" w14:textId="77777777" w:rsidR="00EE35B3" w:rsidRPr="00B54968" w:rsidRDefault="00EE35B3" w:rsidP="003E2009">
      <w:pPr>
        <w:pStyle w:val="Default"/>
        <w:rPr>
          <w:rFonts w:ascii="Times New Roman" w:hAnsi="Times New Roman" w:cs="Times New Roman"/>
          <w:b/>
          <w:i/>
          <w:color w:val="auto"/>
          <w:sz w:val="22"/>
          <w:szCs w:val="22"/>
        </w:rPr>
      </w:pPr>
    </w:p>
    <w:p w14:paraId="5A294931" w14:textId="77777777" w:rsidR="00A02600" w:rsidRPr="00B54968" w:rsidRDefault="009F36E8" w:rsidP="003E2009">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lastRenderedPageBreak/>
        <w:t xml:space="preserve">INDICATIONS </w:t>
      </w:r>
    </w:p>
    <w:p w14:paraId="7CE9C40C" w14:textId="77777777" w:rsidR="00A02600" w:rsidRPr="00B54968" w:rsidRDefault="00A02600" w:rsidP="003E2009">
      <w:pPr>
        <w:pStyle w:val="Default"/>
        <w:rPr>
          <w:rFonts w:ascii="Times New Roman" w:hAnsi="Times New Roman" w:cs="Times New Roman"/>
          <w:color w:val="auto"/>
          <w:sz w:val="22"/>
          <w:szCs w:val="22"/>
        </w:rPr>
      </w:pPr>
    </w:p>
    <w:p w14:paraId="2F130C1A" w14:textId="77777777" w:rsidR="00A02600" w:rsidRPr="003E2009" w:rsidRDefault="009F36E8"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Rheumatoid Arthritis in adults </w:t>
      </w:r>
    </w:p>
    <w:p w14:paraId="08C41226" w14:textId="50610D79" w:rsidR="00A02600" w:rsidRPr="00B54968" w:rsidRDefault="00281C64"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INFLECTRA</w:t>
      </w:r>
      <w:r w:rsidR="009C46EE" w:rsidRPr="00B54968">
        <w:rPr>
          <w:rFonts w:ascii="Times New Roman" w:hAnsi="Times New Roman" w:cs="Times New Roman"/>
          <w:color w:val="auto"/>
          <w:sz w:val="22"/>
          <w:szCs w:val="22"/>
          <w:vertAlign w:val="superscript"/>
        </w:rPr>
        <w:t>®</w:t>
      </w:r>
      <w:r w:rsidR="009F36E8" w:rsidRPr="00B54968">
        <w:rPr>
          <w:rFonts w:ascii="Times New Roman" w:hAnsi="Times New Roman" w:cs="Times New Roman"/>
          <w:color w:val="auto"/>
          <w:sz w:val="22"/>
          <w:szCs w:val="22"/>
        </w:rPr>
        <w:t xml:space="preserve">, in combination with methotrexate, is indicated for the reduction of signs and symptoms and prevention of structural joint damage (erosions and joint space narrowing) in: </w:t>
      </w:r>
    </w:p>
    <w:p w14:paraId="64F8E0F8" w14:textId="77777777" w:rsidR="00A02600" w:rsidRPr="00B54968" w:rsidRDefault="009F36E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patients with active disease despite treatment with methotrexate </w:t>
      </w:r>
    </w:p>
    <w:p w14:paraId="3ADB6788" w14:textId="77777777" w:rsidR="00A02600" w:rsidRPr="00B54968" w:rsidRDefault="009F36E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patients with active disease who have not previously received methotrexate. </w:t>
      </w:r>
    </w:p>
    <w:p w14:paraId="0E1F934B" w14:textId="77777777" w:rsidR="00A02600" w:rsidRPr="00B54968" w:rsidRDefault="00A02600" w:rsidP="003E2009">
      <w:pPr>
        <w:pStyle w:val="Default"/>
        <w:rPr>
          <w:rFonts w:ascii="Times New Roman" w:hAnsi="Times New Roman" w:cs="Times New Roman"/>
          <w:color w:val="auto"/>
          <w:sz w:val="22"/>
          <w:szCs w:val="22"/>
        </w:rPr>
      </w:pPr>
    </w:p>
    <w:p w14:paraId="6C625147" w14:textId="364EB76B" w:rsidR="00A02600" w:rsidRPr="00B54968" w:rsidRDefault="00281C64"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INFLECTRA</w:t>
      </w:r>
      <w:r w:rsidR="009C46EE" w:rsidRPr="00B54968">
        <w:rPr>
          <w:rFonts w:ascii="Times New Roman" w:hAnsi="Times New Roman" w:cs="Times New Roman"/>
          <w:color w:val="auto"/>
          <w:sz w:val="22"/>
          <w:szCs w:val="22"/>
          <w:vertAlign w:val="superscript"/>
        </w:rPr>
        <w:t>®</w:t>
      </w:r>
      <w:r w:rsidR="009F36E8" w:rsidRPr="00B54968">
        <w:rPr>
          <w:rFonts w:ascii="Times New Roman" w:hAnsi="Times New Roman" w:cs="Times New Roman"/>
          <w:color w:val="auto"/>
          <w:sz w:val="22"/>
          <w:szCs w:val="22"/>
        </w:rPr>
        <w:t xml:space="preserve"> should be given in combination with methotrexate. Efficacy and safety in Rheumatoid Arthritis have been demonstrated only in combination with methotrexate. </w:t>
      </w:r>
    </w:p>
    <w:p w14:paraId="12D4F101" w14:textId="77777777" w:rsidR="00A02600" w:rsidRPr="00B54968" w:rsidRDefault="00A02600" w:rsidP="003E2009">
      <w:pPr>
        <w:pStyle w:val="Default"/>
        <w:rPr>
          <w:rFonts w:ascii="Times New Roman" w:hAnsi="Times New Roman" w:cs="Times New Roman"/>
          <w:color w:val="auto"/>
          <w:sz w:val="22"/>
          <w:szCs w:val="22"/>
          <w:u w:val="single"/>
        </w:rPr>
      </w:pPr>
    </w:p>
    <w:p w14:paraId="0E2E6F89" w14:textId="77777777" w:rsidR="00A02600" w:rsidRPr="003E2009" w:rsidRDefault="009F36E8"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Ankylosing Spondylitis </w:t>
      </w:r>
    </w:p>
    <w:p w14:paraId="267988C7" w14:textId="04DF6342" w:rsidR="00A02600" w:rsidRPr="00B54968" w:rsidRDefault="00281C64"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INFLECTRA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is indicated for the reduction of signs and symptoms and improvement in physical function in patients with active disease. </w:t>
      </w:r>
    </w:p>
    <w:p w14:paraId="1F810200" w14:textId="77777777" w:rsidR="00A02600" w:rsidRPr="00B54968" w:rsidRDefault="00A02600" w:rsidP="003E2009">
      <w:pPr>
        <w:pStyle w:val="Default"/>
        <w:rPr>
          <w:rFonts w:ascii="Times New Roman" w:hAnsi="Times New Roman" w:cs="Times New Roman"/>
          <w:color w:val="auto"/>
          <w:sz w:val="22"/>
          <w:szCs w:val="22"/>
        </w:rPr>
      </w:pPr>
    </w:p>
    <w:p w14:paraId="33368D52" w14:textId="77777777" w:rsidR="00A02600" w:rsidRPr="003E2009" w:rsidRDefault="009F36E8"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Psoriatic arthritis </w:t>
      </w:r>
    </w:p>
    <w:p w14:paraId="4ED85C07" w14:textId="08EF9739" w:rsidR="00A02600" w:rsidRPr="00B54968" w:rsidRDefault="00281C64"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INFLECTRA</w:t>
      </w:r>
      <w:r w:rsidR="009C46EE" w:rsidRPr="00B54968">
        <w:rPr>
          <w:rFonts w:ascii="Times New Roman" w:hAnsi="Times New Roman" w:cs="Times New Roman"/>
          <w:color w:val="auto"/>
          <w:sz w:val="22"/>
          <w:szCs w:val="22"/>
          <w:vertAlign w:val="superscript"/>
        </w:rPr>
        <w:t>®</w:t>
      </w:r>
      <w:r w:rsidR="009F36E8" w:rsidRPr="00B54968">
        <w:rPr>
          <w:rFonts w:ascii="Times New Roman" w:hAnsi="Times New Roman" w:cs="Times New Roman"/>
          <w:color w:val="auto"/>
          <w:sz w:val="22"/>
          <w:szCs w:val="22"/>
        </w:rPr>
        <w:t xml:space="preserve"> is indicated for the treatment of the signs and symptoms, as well as for the improvement in physical function in adult patients with active and progressive psoriatic arthritis who have responded inadequately to disease-modifying anti-rheumatic drug (DMARD) therapy. </w:t>
      </w:r>
    </w:p>
    <w:p w14:paraId="5D4F5F31" w14:textId="77777777" w:rsidR="00A02600" w:rsidRPr="00B54968" w:rsidRDefault="00A02600" w:rsidP="003E2009">
      <w:pPr>
        <w:pStyle w:val="Default"/>
        <w:rPr>
          <w:rFonts w:ascii="Times New Roman" w:hAnsi="Times New Roman" w:cs="Times New Roman"/>
          <w:color w:val="auto"/>
          <w:sz w:val="22"/>
          <w:szCs w:val="22"/>
        </w:rPr>
      </w:pPr>
    </w:p>
    <w:p w14:paraId="4903D529" w14:textId="6A891AAE" w:rsidR="00A02600" w:rsidRPr="00B54968" w:rsidRDefault="00281C64"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INFLECTRA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may be administered in combination with methotrexate. </w:t>
      </w:r>
    </w:p>
    <w:p w14:paraId="33155120" w14:textId="77777777" w:rsidR="00A02600" w:rsidRPr="00B54968" w:rsidRDefault="00A02600" w:rsidP="003E2009">
      <w:pPr>
        <w:pStyle w:val="Default"/>
        <w:rPr>
          <w:rFonts w:ascii="Times New Roman" w:hAnsi="Times New Roman" w:cs="Times New Roman"/>
          <w:color w:val="auto"/>
          <w:sz w:val="22"/>
          <w:szCs w:val="22"/>
        </w:rPr>
      </w:pPr>
    </w:p>
    <w:p w14:paraId="53D5FA30" w14:textId="77777777" w:rsidR="00A02600" w:rsidRPr="003E2009" w:rsidRDefault="009F36E8"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Psoriasis </w:t>
      </w:r>
    </w:p>
    <w:p w14:paraId="52EBDACE" w14:textId="28D16F29" w:rsidR="00A02600" w:rsidRPr="00B54968" w:rsidRDefault="00281C64"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INFLECTRA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is indicated for the treatment of adult patients with moderate to severe plaque psoriasis for whom phototherapy or conventional systemic treatments have been inadequate or are inappropriate. Safety and efficacy beyond 12 months have not been established. </w:t>
      </w:r>
    </w:p>
    <w:p w14:paraId="3D35E2BC" w14:textId="77777777" w:rsidR="00A02600" w:rsidRPr="00B54968" w:rsidRDefault="00A02600" w:rsidP="003E2009">
      <w:pPr>
        <w:pStyle w:val="Default"/>
        <w:rPr>
          <w:rFonts w:ascii="Times New Roman" w:hAnsi="Times New Roman" w:cs="Times New Roman"/>
          <w:color w:val="auto"/>
          <w:sz w:val="22"/>
          <w:szCs w:val="22"/>
        </w:rPr>
      </w:pPr>
    </w:p>
    <w:p w14:paraId="57480E3A" w14:textId="77777777" w:rsidR="00A02600" w:rsidRPr="003E2009" w:rsidRDefault="009F36E8"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Crohn’s Disease in Adults and in Children and adolescents (6 to 17 years) </w:t>
      </w:r>
    </w:p>
    <w:p w14:paraId="0256AF4D" w14:textId="05A24B98" w:rsidR="00A02600" w:rsidRPr="00B54968" w:rsidRDefault="00281C64" w:rsidP="003E2009">
      <w:pPr>
        <w:spacing w:line="240" w:lineRule="auto"/>
        <w:rPr>
          <w:rFonts w:ascii="Times New Roman" w:hAnsi="Times New Roman" w:cs="Times New Roman"/>
        </w:rPr>
      </w:pPr>
      <w:r>
        <w:rPr>
          <w:rFonts w:ascii="Times New Roman" w:hAnsi="Times New Roman" w:cs="Times New Roman"/>
        </w:rPr>
        <w:t>INFLECTRA</w:t>
      </w:r>
      <w:r w:rsidR="009C46EE" w:rsidRPr="00B54968">
        <w:rPr>
          <w:rFonts w:ascii="Times New Roman" w:hAnsi="Times New Roman" w:cs="Times New Roman"/>
          <w:vertAlign w:val="superscript"/>
        </w:rPr>
        <w:t>®</w:t>
      </w:r>
      <w:r w:rsidR="00150E4C" w:rsidRPr="00B54968">
        <w:rPr>
          <w:rFonts w:ascii="Times New Roman" w:hAnsi="Times New Roman" w:cs="Times New Roman"/>
        </w:rPr>
        <w:t xml:space="preserve"> </w:t>
      </w:r>
      <w:r w:rsidR="009F36E8" w:rsidRPr="00B54968">
        <w:rPr>
          <w:rFonts w:ascii="Times New Roman" w:hAnsi="Times New Roman" w:cs="Times New Roman"/>
        </w:rPr>
        <w:t>is indicated for the treatment of moderate to severe Crohn’s disease, to reduce the signs and symptoms and to induce and maintain clinical remission in patients who have an inadequate response to conventional therapies.</w:t>
      </w:r>
    </w:p>
    <w:p w14:paraId="528FC37C" w14:textId="77777777" w:rsidR="00A02600" w:rsidRPr="003E2009" w:rsidRDefault="009F36E8"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Refractory </w:t>
      </w:r>
      <w:proofErr w:type="spellStart"/>
      <w:r w:rsidRPr="003E2009">
        <w:rPr>
          <w:rFonts w:ascii="Times New Roman" w:hAnsi="Times New Roman" w:cs="Times New Roman"/>
          <w:color w:val="auto"/>
          <w:sz w:val="22"/>
          <w:szCs w:val="22"/>
        </w:rPr>
        <w:t>Fistulising</w:t>
      </w:r>
      <w:proofErr w:type="spellEnd"/>
      <w:r w:rsidRPr="003E2009">
        <w:rPr>
          <w:rFonts w:ascii="Times New Roman" w:hAnsi="Times New Roman" w:cs="Times New Roman"/>
          <w:color w:val="auto"/>
          <w:sz w:val="22"/>
          <w:szCs w:val="22"/>
        </w:rPr>
        <w:t xml:space="preserve"> Crohn’s Disease </w:t>
      </w:r>
    </w:p>
    <w:p w14:paraId="704B53D3" w14:textId="3E3AB593" w:rsidR="00A02600" w:rsidRPr="00B54968" w:rsidRDefault="00281C64"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INFLECTRA</w:t>
      </w:r>
      <w:r w:rsidR="009C46EE" w:rsidRPr="00B54968">
        <w:rPr>
          <w:rFonts w:ascii="Times New Roman" w:hAnsi="Times New Roman" w:cs="Times New Roman"/>
          <w:color w:val="auto"/>
          <w:sz w:val="22"/>
          <w:szCs w:val="22"/>
          <w:vertAlign w:val="superscript"/>
        </w:rPr>
        <w:t>®</w:t>
      </w:r>
      <w:r w:rsidR="00A344CA" w:rsidRPr="00B54968">
        <w:rPr>
          <w:rFonts w:ascii="Times New Roman" w:hAnsi="Times New Roman" w:cs="Times New Roman"/>
          <w:color w:val="auto"/>
          <w:sz w:val="22"/>
          <w:szCs w:val="22"/>
          <w:vertAlign w:val="superscript"/>
        </w:rPr>
        <w:t xml:space="preserve"> </w:t>
      </w:r>
      <w:r w:rsidR="009F36E8" w:rsidRPr="00B54968">
        <w:rPr>
          <w:rFonts w:ascii="Times New Roman" w:hAnsi="Times New Roman" w:cs="Times New Roman"/>
          <w:color w:val="auto"/>
          <w:sz w:val="22"/>
          <w:szCs w:val="22"/>
        </w:rPr>
        <w:t xml:space="preserve">is indicated for reducing the number of draining </w:t>
      </w:r>
      <w:proofErr w:type="spellStart"/>
      <w:r w:rsidR="009F36E8" w:rsidRPr="00B54968">
        <w:rPr>
          <w:rFonts w:ascii="Times New Roman" w:hAnsi="Times New Roman" w:cs="Times New Roman"/>
          <w:color w:val="auto"/>
          <w:sz w:val="22"/>
          <w:szCs w:val="22"/>
        </w:rPr>
        <w:t>enterocutaneous</w:t>
      </w:r>
      <w:proofErr w:type="spellEnd"/>
      <w:r w:rsidR="009F36E8" w:rsidRPr="00B54968">
        <w:rPr>
          <w:rFonts w:ascii="Times New Roman" w:hAnsi="Times New Roman" w:cs="Times New Roman"/>
          <w:color w:val="auto"/>
          <w:sz w:val="22"/>
          <w:szCs w:val="22"/>
        </w:rPr>
        <w:t xml:space="preserve"> and rectovaginal fistulas and maintaining fistula closure in adult patients. </w:t>
      </w:r>
    </w:p>
    <w:p w14:paraId="14DBA617" w14:textId="77777777" w:rsidR="00A02600" w:rsidRPr="00B54968" w:rsidRDefault="00A02600" w:rsidP="003E2009">
      <w:pPr>
        <w:pStyle w:val="Default"/>
        <w:rPr>
          <w:rFonts w:ascii="Times New Roman" w:hAnsi="Times New Roman" w:cs="Times New Roman"/>
          <w:color w:val="auto"/>
          <w:sz w:val="22"/>
          <w:szCs w:val="22"/>
        </w:rPr>
      </w:pPr>
    </w:p>
    <w:p w14:paraId="497F6B24" w14:textId="77777777" w:rsidR="00A02600" w:rsidRPr="003E2009" w:rsidRDefault="009F36E8" w:rsidP="003E2009">
      <w:pPr>
        <w:spacing w:after="0"/>
        <w:rPr>
          <w:rFonts w:ascii="Times New Roman" w:hAnsi="Times New Roman" w:cs="Times New Roman"/>
        </w:rPr>
      </w:pPr>
      <w:r w:rsidRPr="003E2009">
        <w:rPr>
          <w:rFonts w:ascii="Times New Roman" w:hAnsi="Times New Roman" w:cs="Times New Roman"/>
        </w:rPr>
        <w:t xml:space="preserve">Ulcerative colitis in Adults </w:t>
      </w:r>
      <w:r w:rsidRPr="003E2009">
        <w:rPr>
          <w:rFonts w:ascii="Times New Roman" w:hAnsi="Times New Roman" w:cs="Times New Roman"/>
          <w:iCs/>
        </w:rPr>
        <w:t xml:space="preserve">and in Children and adolescents (6 to 17 years) </w:t>
      </w:r>
    </w:p>
    <w:p w14:paraId="383E130E" w14:textId="6D549A72" w:rsidR="00A02600" w:rsidRPr="00B54968" w:rsidRDefault="00281C64" w:rsidP="003E2009">
      <w:pPr>
        <w:spacing w:line="240" w:lineRule="auto"/>
        <w:rPr>
          <w:rFonts w:ascii="Times New Roman" w:hAnsi="Times New Roman" w:cs="Times New Roman"/>
        </w:rPr>
      </w:pPr>
      <w:r>
        <w:rPr>
          <w:rFonts w:ascii="Times New Roman" w:hAnsi="Times New Roman" w:cs="Times New Roman"/>
        </w:rPr>
        <w:t>INFLECTRA</w:t>
      </w:r>
      <w:r w:rsidR="009C46EE" w:rsidRPr="00B54968">
        <w:rPr>
          <w:rFonts w:ascii="Times New Roman" w:hAnsi="Times New Roman" w:cs="Times New Roman"/>
          <w:vertAlign w:val="superscript"/>
        </w:rPr>
        <w:t>®</w:t>
      </w:r>
      <w:r w:rsidR="009F36E8" w:rsidRPr="00B54968">
        <w:rPr>
          <w:rFonts w:ascii="Times New Roman" w:hAnsi="Times New Roman" w:cs="Times New Roman"/>
        </w:rPr>
        <w:t xml:space="preserve"> is indicated for the treatment of moderately severe to severe active ulcerative colitis in patients who have had an inadequate response to conventional therapy.</w:t>
      </w:r>
    </w:p>
    <w:p w14:paraId="406DC4CC" w14:textId="77777777" w:rsidR="00A02600" w:rsidRPr="00B54968" w:rsidRDefault="009F36E8" w:rsidP="003E2009">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CONTRAINDICATIONS </w:t>
      </w:r>
    </w:p>
    <w:p w14:paraId="4E238F3D" w14:textId="77777777" w:rsidR="00A02600" w:rsidRPr="00B54968" w:rsidRDefault="00A02600" w:rsidP="003E2009">
      <w:pPr>
        <w:pStyle w:val="Default"/>
        <w:rPr>
          <w:rFonts w:ascii="Times New Roman" w:hAnsi="Times New Roman" w:cs="Times New Roman"/>
          <w:color w:val="auto"/>
          <w:sz w:val="22"/>
          <w:szCs w:val="22"/>
        </w:rPr>
      </w:pPr>
    </w:p>
    <w:p w14:paraId="453AFBCA" w14:textId="61B603A5" w:rsidR="00A02600" w:rsidRPr="00B54968" w:rsidRDefault="00281C64"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INFLECTRA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is contraindicated in patients with severe infections such as sepsis, abscesses, tuberculosis and opportunistic infections. </w:t>
      </w:r>
    </w:p>
    <w:p w14:paraId="02DA4C0E" w14:textId="77777777" w:rsidR="00A02600" w:rsidRPr="00B54968" w:rsidRDefault="00A02600" w:rsidP="003E2009">
      <w:pPr>
        <w:pStyle w:val="Default"/>
        <w:rPr>
          <w:rFonts w:ascii="Times New Roman" w:hAnsi="Times New Roman" w:cs="Times New Roman"/>
          <w:color w:val="auto"/>
          <w:sz w:val="22"/>
          <w:szCs w:val="22"/>
        </w:rPr>
      </w:pPr>
    </w:p>
    <w:p w14:paraId="0BA45622" w14:textId="1EB6B0ED" w:rsidR="00A02600" w:rsidRPr="00B54968" w:rsidRDefault="00281C64"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INFLECTRA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should not be given to patients with a history of hypersensitivity to infliximab (see ADVERSE EFFECTS) to other murine proteins or to any excipient of the product.</w:t>
      </w:r>
    </w:p>
    <w:p w14:paraId="3A890DCD" w14:textId="77777777" w:rsidR="00A02600" w:rsidRPr="00B54968" w:rsidRDefault="009F36E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p>
    <w:p w14:paraId="36E34BD4" w14:textId="61AE41B9" w:rsidR="00A02600" w:rsidRPr="00B54968" w:rsidRDefault="009F36E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Concurrent administration of </w:t>
      </w:r>
      <w:r w:rsidR="00281C64">
        <w:rPr>
          <w:rFonts w:ascii="Times New Roman" w:hAnsi="Times New Roman" w:cs="Times New Roman"/>
          <w:color w:val="auto"/>
          <w:sz w:val="22"/>
          <w:szCs w:val="22"/>
        </w:rPr>
        <w:t>INFLECTRA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and </w:t>
      </w:r>
      <w:proofErr w:type="spellStart"/>
      <w:r w:rsidRPr="00B54968">
        <w:rPr>
          <w:rFonts w:ascii="Times New Roman" w:hAnsi="Times New Roman" w:cs="Times New Roman"/>
          <w:color w:val="auto"/>
          <w:sz w:val="22"/>
          <w:szCs w:val="22"/>
        </w:rPr>
        <w:t>anakinra</w:t>
      </w:r>
      <w:proofErr w:type="spellEnd"/>
      <w:r w:rsidRPr="00B54968">
        <w:rPr>
          <w:rFonts w:ascii="Times New Roman" w:hAnsi="Times New Roman" w:cs="Times New Roman"/>
          <w:color w:val="auto"/>
          <w:sz w:val="22"/>
          <w:szCs w:val="22"/>
        </w:rPr>
        <w:t xml:space="preserve"> (an interleukin-1 receptor antagonist) is contraindicated. </w:t>
      </w:r>
    </w:p>
    <w:p w14:paraId="48E0D0D1" w14:textId="77777777" w:rsidR="00A02600" w:rsidRPr="00B54968" w:rsidRDefault="00A02600" w:rsidP="003E2009">
      <w:pPr>
        <w:pStyle w:val="Default"/>
        <w:rPr>
          <w:rFonts w:ascii="Times New Roman" w:hAnsi="Times New Roman" w:cs="Times New Roman"/>
          <w:color w:val="auto"/>
          <w:sz w:val="22"/>
          <w:szCs w:val="22"/>
        </w:rPr>
      </w:pPr>
    </w:p>
    <w:p w14:paraId="73B7C2BB" w14:textId="77777777" w:rsidR="00A02600" w:rsidRPr="00B54968" w:rsidRDefault="009F36E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Do not initiate therapy in patients with congestive heart failure. </w:t>
      </w:r>
    </w:p>
    <w:p w14:paraId="6BB673D8" w14:textId="77777777" w:rsidR="00A02600" w:rsidRPr="00B54968" w:rsidRDefault="00A02600" w:rsidP="003E2009">
      <w:pPr>
        <w:pStyle w:val="Default"/>
        <w:rPr>
          <w:rFonts w:ascii="Times New Roman" w:hAnsi="Times New Roman" w:cs="Times New Roman"/>
          <w:color w:val="auto"/>
          <w:sz w:val="22"/>
          <w:szCs w:val="22"/>
        </w:rPr>
      </w:pPr>
    </w:p>
    <w:p w14:paraId="2F44B2D3" w14:textId="77777777" w:rsidR="00F35599" w:rsidRDefault="00F35599" w:rsidP="003E2009">
      <w:pPr>
        <w:pStyle w:val="Default"/>
        <w:spacing w:after="240"/>
        <w:rPr>
          <w:rFonts w:ascii="Times New Roman" w:hAnsi="Times New Roman" w:cs="Times New Roman"/>
          <w:b/>
          <w:bCs/>
          <w:color w:val="auto"/>
          <w:sz w:val="22"/>
          <w:szCs w:val="22"/>
        </w:rPr>
      </w:pPr>
    </w:p>
    <w:p w14:paraId="518725AC" w14:textId="19BF0080" w:rsidR="00A02600" w:rsidRPr="00B54968" w:rsidRDefault="009F36E8" w:rsidP="003E2009">
      <w:pPr>
        <w:pStyle w:val="Default"/>
        <w:spacing w:after="240"/>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lastRenderedPageBreak/>
        <w:t xml:space="preserve">PRECAUTIONS </w:t>
      </w:r>
    </w:p>
    <w:p w14:paraId="48BD093B" w14:textId="56748222" w:rsidR="00A02600" w:rsidRPr="00B54968" w:rsidRDefault="00EB4977" w:rsidP="003E2009">
      <w:pPr>
        <w:pStyle w:val="Default"/>
        <w:rPr>
          <w:rFonts w:ascii="Times New Roman" w:hAnsi="Times New Roman" w:cs="Times New Roman"/>
          <w:bCs/>
          <w:color w:val="auto"/>
          <w:sz w:val="22"/>
          <w:szCs w:val="22"/>
          <w:lang w:eastAsia="ko-KR"/>
        </w:rPr>
      </w:pPr>
      <w:r w:rsidRPr="00B54968">
        <w:rPr>
          <w:rFonts w:ascii="Times New Roman" w:hAnsi="Times New Roman" w:cs="Times New Roman"/>
          <w:bCs/>
          <w:color w:val="auto"/>
          <w:sz w:val="22"/>
          <w:szCs w:val="22"/>
          <w:lang w:eastAsia="ko-KR"/>
        </w:rPr>
        <w:t xml:space="preserve">The comparability of </w:t>
      </w:r>
      <w:r w:rsidR="00281C64">
        <w:rPr>
          <w:rFonts w:ascii="Times New Roman" w:hAnsi="Times New Roman" w:cs="Times New Roman"/>
          <w:bCs/>
          <w:color w:val="auto"/>
          <w:sz w:val="22"/>
          <w:szCs w:val="22"/>
          <w:lang w:eastAsia="ko-KR"/>
        </w:rPr>
        <w:t>INFLECTRA</w:t>
      </w:r>
      <w:r w:rsidR="00B42860" w:rsidRPr="00B54968">
        <w:rPr>
          <w:rFonts w:ascii="Times New Roman" w:eastAsia="Malgun Gothic" w:hAnsi="Times New Roman" w:cs="Times New Roman"/>
          <w:bCs/>
          <w:color w:val="auto"/>
          <w:sz w:val="22"/>
          <w:szCs w:val="22"/>
          <w:vertAlign w:val="superscript"/>
          <w:lang w:eastAsia="ko-KR"/>
        </w:rPr>
        <w:t>®</w:t>
      </w:r>
      <w:r w:rsidRPr="00B54968">
        <w:rPr>
          <w:rFonts w:ascii="Times New Roman" w:hAnsi="Times New Roman" w:cs="Times New Roman"/>
          <w:bCs/>
          <w:color w:val="auto"/>
          <w:sz w:val="22"/>
          <w:szCs w:val="22"/>
          <w:lang w:eastAsia="ko-KR"/>
        </w:rPr>
        <w:t xml:space="preserve"> with </w:t>
      </w:r>
      <w:r w:rsidR="001A691C">
        <w:rPr>
          <w:rFonts w:ascii="Times New Roman" w:hAnsi="Times New Roman" w:cs="Times New Roman"/>
          <w:bCs/>
          <w:color w:val="auto"/>
          <w:sz w:val="22"/>
          <w:szCs w:val="22"/>
          <w:lang w:eastAsia="ko-KR"/>
        </w:rPr>
        <w:t>REMICADE</w:t>
      </w:r>
      <w:r w:rsidR="00B42860" w:rsidRPr="00B54968">
        <w:rPr>
          <w:rFonts w:ascii="Times New Roman" w:eastAsia="Malgun Gothic" w:hAnsi="Times New Roman" w:cs="Times New Roman"/>
          <w:bCs/>
          <w:color w:val="auto"/>
          <w:sz w:val="22"/>
          <w:szCs w:val="22"/>
          <w:vertAlign w:val="superscript"/>
          <w:lang w:eastAsia="ko-KR"/>
        </w:rPr>
        <w:t>®</w:t>
      </w:r>
      <w:r w:rsidRPr="00B54968">
        <w:rPr>
          <w:rFonts w:ascii="Times New Roman" w:hAnsi="Times New Roman" w:cs="Times New Roman"/>
          <w:bCs/>
          <w:color w:val="auto"/>
          <w:sz w:val="22"/>
          <w:szCs w:val="22"/>
          <w:lang w:eastAsia="ko-KR"/>
        </w:rPr>
        <w:t xml:space="preserve"> has been demonstrated, with regard to particular physicochemical characteristics and efficacy and safety outcomes [see PHARMACOLOGY and CLINICAL TRIALS]. The level of </w:t>
      </w:r>
      <w:r w:rsidR="00875BB2" w:rsidRPr="00B54968">
        <w:rPr>
          <w:rFonts w:ascii="Times New Roman" w:hAnsi="Times New Roman" w:cs="Times New Roman"/>
          <w:bCs/>
          <w:color w:val="auto"/>
          <w:sz w:val="22"/>
          <w:szCs w:val="22"/>
          <w:lang w:eastAsia="ko-KR"/>
        </w:rPr>
        <w:t xml:space="preserve">comparability that has been shown supports the use of </w:t>
      </w:r>
      <w:r w:rsidR="00281C64">
        <w:rPr>
          <w:rFonts w:ascii="Times New Roman" w:hAnsi="Times New Roman" w:cs="Times New Roman"/>
          <w:bCs/>
          <w:color w:val="auto"/>
          <w:sz w:val="22"/>
          <w:szCs w:val="22"/>
          <w:lang w:eastAsia="ko-KR"/>
        </w:rPr>
        <w:t>INFLECTRA</w:t>
      </w:r>
      <w:r w:rsidR="00B42860" w:rsidRPr="00B54968">
        <w:rPr>
          <w:rFonts w:ascii="Times New Roman" w:eastAsia="Malgun Gothic" w:hAnsi="Times New Roman" w:cs="Times New Roman"/>
          <w:bCs/>
          <w:color w:val="auto"/>
          <w:sz w:val="22"/>
          <w:szCs w:val="22"/>
          <w:vertAlign w:val="superscript"/>
          <w:lang w:eastAsia="ko-KR"/>
        </w:rPr>
        <w:t>®</w:t>
      </w:r>
      <w:r w:rsidR="00875BB2" w:rsidRPr="00B54968">
        <w:rPr>
          <w:rFonts w:ascii="Times New Roman" w:hAnsi="Times New Roman" w:cs="Times New Roman"/>
          <w:bCs/>
          <w:color w:val="auto"/>
          <w:sz w:val="22"/>
          <w:szCs w:val="22"/>
          <w:lang w:eastAsia="ko-KR"/>
        </w:rPr>
        <w:t xml:space="preserve"> for the listed indications. </w:t>
      </w:r>
      <w:r w:rsidR="00D66663">
        <w:rPr>
          <w:rFonts w:ascii="Times New Roman" w:hAnsi="Times New Roman" w:cs="Times New Roman"/>
          <w:bCs/>
          <w:color w:val="auto"/>
          <w:sz w:val="22"/>
          <w:szCs w:val="22"/>
          <w:lang w:eastAsia="ko-KR"/>
        </w:rPr>
        <w:t xml:space="preserve"> </w:t>
      </w:r>
    </w:p>
    <w:p w14:paraId="1717FCCB" w14:textId="77777777" w:rsidR="00A02600" w:rsidRPr="00B54968" w:rsidRDefault="00A02600" w:rsidP="003E2009">
      <w:pPr>
        <w:pStyle w:val="Default"/>
        <w:rPr>
          <w:rFonts w:ascii="Times New Roman" w:hAnsi="Times New Roman" w:cs="Times New Roman"/>
          <w:b/>
          <w:bCs/>
          <w:color w:val="auto"/>
          <w:sz w:val="22"/>
          <w:szCs w:val="22"/>
          <w:lang w:eastAsia="ko-KR"/>
        </w:rPr>
      </w:pPr>
    </w:p>
    <w:p w14:paraId="0E49C1DB" w14:textId="77777777" w:rsidR="00A02600" w:rsidRPr="003E2009" w:rsidRDefault="005967C8" w:rsidP="003E2009">
      <w:pPr>
        <w:pStyle w:val="Default"/>
        <w:rPr>
          <w:rFonts w:ascii="Times New Roman" w:hAnsi="Times New Roman" w:cs="Times New Roman"/>
          <w:bCs/>
          <w:color w:val="auto"/>
          <w:sz w:val="22"/>
          <w:szCs w:val="22"/>
        </w:rPr>
      </w:pPr>
      <w:r w:rsidRPr="003E2009">
        <w:rPr>
          <w:rFonts w:ascii="Times New Roman" w:hAnsi="Times New Roman" w:cs="Times New Roman"/>
          <w:bCs/>
          <w:color w:val="auto"/>
          <w:sz w:val="22"/>
          <w:szCs w:val="22"/>
        </w:rPr>
        <w:t xml:space="preserve">Traceability </w:t>
      </w:r>
    </w:p>
    <w:p w14:paraId="3E9E9453" w14:textId="77777777" w:rsidR="00A02600" w:rsidRPr="00B54968" w:rsidRDefault="005967C8" w:rsidP="003E2009">
      <w:pPr>
        <w:pStyle w:val="Default"/>
        <w:rPr>
          <w:rFonts w:ascii="Times New Roman" w:hAnsi="Times New Roman" w:cs="Times New Roman"/>
          <w:bCs/>
          <w:color w:val="auto"/>
          <w:sz w:val="22"/>
          <w:szCs w:val="22"/>
        </w:rPr>
      </w:pPr>
      <w:r w:rsidRPr="00B54968">
        <w:rPr>
          <w:rFonts w:ascii="Times New Roman" w:hAnsi="Times New Roman" w:cs="Times New Roman"/>
          <w:bCs/>
          <w:color w:val="auto"/>
          <w:sz w:val="22"/>
          <w:szCs w:val="22"/>
        </w:rPr>
        <w:t>In order to improve the traceability of biological medicinal products, the trade name and the batch number of the administered product should be clearly recorded (or stated) in the patient file.</w:t>
      </w:r>
    </w:p>
    <w:p w14:paraId="64ACFC9B" w14:textId="77777777" w:rsidR="00A02600" w:rsidRPr="00B54968" w:rsidRDefault="00A02600" w:rsidP="003E2009">
      <w:pPr>
        <w:pStyle w:val="Default"/>
        <w:rPr>
          <w:rFonts w:ascii="Times New Roman" w:hAnsi="Times New Roman" w:cs="Times New Roman"/>
          <w:color w:val="auto"/>
          <w:sz w:val="22"/>
          <w:szCs w:val="22"/>
        </w:rPr>
      </w:pPr>
    </w:p>
    <w:p w14:paraId="5B63B8F3" w14:textId="77777777" w:rsidR="00A02600" w:rsidRPr="003E2009" w:rsidRDefault="009F36E8"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Infusion reactions and hypersensitivity reactions </w:t>
      </w:r>
    </w:p>
    <w:p w14:paraId="1BBB18AC" w14:textId="77777777" w:rsidR="00A02600" w:rsidRPr="00B54968" w:rsidRDefault="00FD7920"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Infliximab</w:t>
      </w:r>
      <w:r w:rsidR="009F36E8" w:rsidRPr="00B54968">
        <w:rPr>
          <w:rFonts w:ascii="Times New Roman" w:hAnsi="Times New Roman" w:cs="Times New Roman"/>
          <w:color w:val="auto"/>
          <w:sz w:val="22"/>
          <w:szCs w:val="22"/>
        </w:rPr>
        <w:t xml:space="preserve"> has been associated with acute infusion effects and a delayed hypersensitivity reaction. These differ in their time of onset. Therefore, all patients receiving </w:t>
      </w:r>
      <w:r w:rsidRPr="00B54968">
        <w:rPr>
          <w:rFonts w:ascii="Times New Roman" w:hAnsi="Times New Roman" w:cs="Times New Roman"/>
          <w:color w:val="auto"/>
          <w:sz w:val="22"/>
          <w:szCs w:val="22"/>
        </w:rPr>
        <w:t xml:space="preserve">infliximab </w:t>
      </w:r>
      <w:r w:rsidR="009F36E8" w:rsidRPr="00B54968">
        <w:rPr>
          <w:rFonts w:ascii="Times New Roman" w:hAnsi="Times New Roman" w:cs="Times New Roman"/>
          <w:color w:val="auto"/>
          <w:sz w:val="22"/>
          <w:szCs w:val="22"/>
        </w:rPr>
        <w:t xml:space="preserve">should be observed for at least one to two hours post infusion for side effects. </w:t>
      </w:r>
    </w:p>
    <w:p w14:paraId="73AE4284" w14:textId="77777777" w:rsidR="00A02600" w:rsidRPr="00B54968" w:rsidRDefault="00A02600" w:rsidP="003E2009">
      <w:pPr>
        <w:pStyle w:val="Default"/>
        <w:rPr>
          <w:rFonts w:ascii="Times New Roman" w:hAnsi="Times New Roman" w:cs="Times New Roman"/>
          <w:color w:val="auto"/>
          <w:sz w:val="22"/>
          <w:szCs w:val="22"/>
        </w:rPr>
      </w:pPr>
    </w:p>
    <w:p w14:paraId="7F3ABF74" w14:textId="77777777" w:rsidR="00A02600" w:rsidRPr="00B54968" w:rsidRDefault="009F36E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To </w:t>
      </w:r>
      <w:proofErr w:type="spellStart"/>
      <w:r w:rsidRPr="00B54968">
        <w:rPr>
          <w:rFonts w:ascii="Times New Roman" w:hAnsi="Times New Roman" w:cs="Times New Roman"/>
          <w:color w:val="auto"/>
          <w:sz w:val="22"/>
          <w:szCs w:val="22"/>
        </w:rPr>
        <w:t>minimise</w:t>
      </w:r>
      <w:proofErr w:type="spellEnd"/>
      <w:r w:rsidRPr="00B54968">
        <w:rPr>
          <w:rFonts w:ascii="Times New Roman" w:hAnsi="Times New Roman" w:cs="Times New Roman"/>
          <w:color w:val="auto"/>
          <w:sz w:val="22"/>
          <w:szCs w:val="22"/>
        </w:rPr>
        <w:t xml:space="preserve"> the incidence of hypersensitivity reactions, including infusion reactions and serum sickness-like reactions,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be administered as regular maintenance therapy after an induction regimen at weeks 0, 2, 6 (see DOSAGE and ADMINISTRATION). </w:t>
      </w:r>
    </w:p>
    <w:p w14:paraId="0BCFCEF0" w14:textId="77777777" w:rsidR="00A02600" w:rsidRPr="00B54968" w:rsidRDefault="00A02600" w:rsidP="003E2009">
      <w:pPr>
        <w:pStyle w:val="Default"/>
        <w:rPr>
          <w:rFonts w:ascii="Times New Roman" w:hAnsi="Times New Roman" w:cs="Times New Roman"/>
          <w:color w:val="auto"/>
          <w:sz w:val="22"/>
          <w:szCs w:val="22"/>
        </w:rPr>
      </w:pPr>
    </w:p>
    <w:p w14:paraId="3E42822A" w14:textId="77777777" w:rsidR="00A02600" w:rsidRPr="00B54968" w:rsidRDefault="009F36E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Acute infusion reactions may develop immediately or within a few hours of infusion and are most likely to occur during the first and second infusion. These effects may be related to the rate of infusion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If acute infusion reactions occur, the infusion must be interrupted immediately. Some of these effects have been described as anaphylaxis. Medications (e.g. antihistamines, corticosteroids, adrenaline and/or paracetamol), an artificial airway and other appropriate materials for the treatment of these effects must be available for immediate use. Patients may be pretreated with e.g. antihistamine, hydrocortisone and/or paracetamol to prevent mild and transient effects. </w:t>
      </w:r>
    </w:p>
    <w:p w14:paraId="188848D9" w14:textId="77777777" w:rsidR="00A02600" w:rsidRPr="00B54968" w:rsidRDefault="00A02600" w:rsidP="003E2009">
      <w:pPr>
        <w:pStyle w:val="Default"/>
        <w:rPr>
          <w:rFonts w:ascii="Times New Roman" w:hAnsi="Times New Roman" w:cs="Times New Roman"/>
          <w:color w:val="auto"/>
          <w:sz w:val="22"/>
          <w:szCs w:val="22"/>
        </w:rPr>
      </w:pPr>
    </w:p>
    <w:p w14:paraId="3F5F5A2A" w14:textId="77777777" w:rsidR="00A02600" w:rsidRPr="00B54968" w:rsidRDefault="009F36E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may develop in some patients. These antibodies have been associated with an increased frequency of infusion reactions, and may be associated with an increased risk of serious infusion reactions. A low proportion of the infusion reactions were serious allergic reactions. </w:t>
      </w:r>
    </w:p>
    <w:p w14:paraId="4812D2FA" w14:textId="77777777" w:rsidR="00A02600" w:rsidRPr="00B54968" w:rsidRDefault="00A02600" w:rsidP="003E2009">
      <w:pPr>
        <w:pStyle w:val="Default"/>
        <w:rPr>
          <w:rFonts w:ascii="Times New Roman" w:hAnsi="Times New Roman" w:cs="Times New Roman"/>
          <w:color w:val="auto"/>
          <w:sz w:val="22"/>
          <w:szCs w:val="22"/>
        </w:rPr>
      </w:pPr>
    </w:p>
    <w:p w14:paraId="153492DF" w14:textId="77777777" w:rsidR="00A02600" w:rsidRPr="00B54968" w:rsidRDefault="009F36E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Crohn’s disease patients, an association between development of antibodies to infliximab and reduced duration of response has also been observed. Concomitant administration of immunomodulators has been associated with lower incidence of antibodies to infliximab and a reduction in the frequency of infusion reactions. The effect of concomitant immunomodulator therapy was more profound in episodically treated patients than in patients given maintenance therapy. Patients who are not receiving </w:t>
      </w:r>
      <w:proofErr w:type="spellStart"/>
      <w:r w:rsidRPr="00B54968">
        <w:rPr>
          <w:rFonts w:ascii="Times New Roman" w:hAnsi="Times New Roman" w:cs="Times New Roman"/>
          <w:color w:val="auto"/>
          <w:sz w:val="22"/>
          <w:szCs w:val="22"/>
        </w:rPr>
        <w:t>immunosuppressants</w:t>
      </w:r>
      <w:proofErr w:type="spellEnd"/>
      <w:r w:rsidRPr="00B54968">
        <w:rPr>
          <w:rFonts w:ascii="Times New Roman" w:hAnsi="Times New Roman" w:cs="Times New Roman"/>
          <w:color w:val="auto"/>
          <w:sz w:val="22"/>
          <w:szCs w:val="22"/>
        </w:rPr>
        <w:t xml:space="preserve"> during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are potentially at greater risk of developing these antibodies. These antibodies cannot always be detected in serum samples. If serious reactions occur, symptomatic treatment must be given and further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infusions must not be administered. </w:t>
      </w:r>
    </w:p>
    <w:p w14:paraId="1CF32485" w14:textId="77777777" w:rsidR="00A02600" w:rsidRPr="00B54968" w:rsidRDefault="00A02600" w:rsidP="003E2009">
      <w:pPr>
        <w:pStyle w:val="Default"/>
        <w:rPr>
          <w:rFonts w:ascii="Times New Roman" w:hAnsi="Times New Roman" w:cs="Times New Roman"/>
          <w:color w:val="auto"/>
          <w:sz w:val="22"/>
          <w:szCs w:val="22"/>
        </w:rPr>
      </w:pPr>
    </w:p>
    <w:p w14:paraId="36CCBBF0" w14:textId="77777777" w:rsidR="00A02600" w:rsidRPr="00B54968" w:rsidRDefault="009F36E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Long-term efficacy of retreatments with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has not yet been established. Reactions following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including delayed hypersensitivity reactions have been observed in a significant number of patients (25% in one clinical trial) with Crohn's disease who were retreated with a liquid formulation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which is no longer in use, following a 2 to 4 year period without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Signs and symptoms included myalgia and/or arthralgia with fever and/or rash within 12 days following retreatment. Some patients also experienced pruritus, facial, hand or lip </w:t>
      </w:r>
      <w:proofErr w:type="spellStart"/>
      <w:r w:rsidRPr="00B54968">
        <w:rPr>
          <w:rFonts w:ascii="Times New Roman" w:hAnsi="Times New Roman" w:cs="Times New Roman"/>
          <w:color w:val="auto"/>
          <w:sz w:val="22"/>
          <w:szCs w:val="22"/>
        </w:rPr>
        <w:t>oedema</w:t>
      </w:r>
      <w:proofErr w:type="spellEnd"/>
      <w:r w:rsidRPr="00B54968">
        <w:rPr>
          <w:rFonts w:ascii="Times New Roman" w:hAnsi="Times New Roman" w:cs="Times New Roman"/>
          <w:color w:val="auto"/>
          <w:sz w:val="22"/>
          <w:szCs w:val="22"/>
        </w:rPr>
        <w:t xml:space="preserve">, dysphagia, </w:t>
      </w:r>
      <w:proofErr w:type="spellStart"/>
      <w:r w:rsidRPr="00B54968">
        <w:rPr>
          <w:rFonts w:ascii="Times New Roman" w:hAnsi="Times New Roman" w:cs="Times New Roman"/>
          <w:color w:val="auto"/>
          <w:sz w:val="22"/>
          <w:szCs w:val="22"/>
        </w:rPr>
        <w:t>urticaria</w:t>
      </w:r>
      <w:proofErr w:type="spellEnd"/>
      <w:r w:rsidRPr="00B54968">
        <w:rPr>
          <w:rFonts w:ascii="Times New Roman" w:hAnsi="Times New Roman" w:cs="Times New Roman"/>
          <w:color w:val="auto"/>
          <w:sz w:val="22"/>
          <w:szCs w:val="22"/>
        </w:rPr>
        <w:t xml:space="preserve">, sore throat and/or headache. These effects have sometimes been described as serum-sickness-like reactions. In post-marketing studies, some patients required steroid therapy to treat the delayed hypersensitivity reaction rather than symptomatic treatment alone. Advise patients to seek immediate medical advice if they experience any delayed adverse event (see ADVERSE EFFECTS, Delayed hypersensitivity). If patients are retreated after a prolonged period, they should be closely monitored for signs and symptoms of delayed hypersensitivity. </w:t>
      </w:r>
    </w:p>
    <w:p w14:paraId="6752B3D0" w14:textId="77777777" w:rsidR="00A02600" w:rsidRPr="00B54968" w:rsidRDefault="00A02600" w:rsidP="003E2009">
      <w:pPr>
        <w:pStyle w:val="Default"/>
        <w:rPr>
          <w:rFonts w:ascii="Times New Roman" w:hAnsi="Times New Roman" w:cs="Times New Roman"/>
          <w:color w:val="auto"/>
          <w:sz w:val="22"/>
          <w:szCs w:val="22"/>
        </w:rPr>
      </w:pPr>
    </w:p>
    <w:p w14:paraId="6AC9134B" w14:textId="77777777" w:rsidR="00A02600" w:rsidRPr="003E2009" w:rsidRDefault="009F36E8"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lastRenderedPageBreak/>
        <w:t xml:space="preserve">Infusion reactions following re-administration of </w:t>
      </w:r>
      <w:r w:rsidR="00FD7920" w:rsidRPr="003E2009">
        <w:rPr>
          <w:rFonts w:ascii="Times New Roman" w:hAnsi="Times New Roman" w:cs="Times New Roman"/>
          <w:color w:val="auto"/>
          <w:sz w:val="22"/>
          <w:szCs w:val="22"/>
        </w:rPr>
        <w:t>infliximab</w:t>
      </w:r>
      <w:r w:rsidRPr="003E2009">
        <w:rPr>
          <w:rFonts w:ascii="Times New Roman" w:hAnsi="Times New Roman" w:cs="Times New Roman"/>
          <w:color w:val="auto"/>
          <w:sz w:val="22"/>
          <w:szCs w:val="22"/>
        </w:rPr>
        <w:t xml:space="preserve"> </w:t>
      </w:r>
    </w:p>
    <w:p w14:paraId="3EF61131" w14:textId="77777777" w:rsidR="00A02600" w:rsidRPr="00B54968" w:rsidRDefault="009F36E8" w:rsidP="003E2009">
      <w:pPr>
        <w:spacing w:line="240" w:lineRule="auto"/>
        <w:rPr>
          <w:rFonts w:ascii="Times New Roman" w:hAnsi="Times New Roman" w:cs="Times New Roman"/>
        </w:rPr>
      </w:pPr>
      <w:r w:rsidRPr="00B54968">
        <w:rPr>
          <w:rFonts w:ascii="Times New Roman" w:hAnsi="Times New Roman" w:cs="Times New Roman"/>
        </w:rPr>
        <w:t xml:space="preserve">In a psoriasis clinical trial, a 3-dose re-induction of </w:t>
      </w:r>
      <w:r w:rsidR="00FD7920" w:rsidRPr="00B54968">
        <w:rPr>
          <w:rFonts w:ascii="Times New Roman" w:hAnsi="Times New Roman" w:cs="Times New Roman"/>
        </w:rPr>
        <w:t xml:space="preserve">infliximab </w:t>
      </w:r>
      <w:r w:rsidRPr="00B54968">
        <w:rPr>
          <w:rFonts w:ascii="Times New Roman" w:hAnsi="Times New Roman" w:cs="Times New Roman"/>
        </w:rPr>
        <w:t xml:space="preserve">after a period of no treatment resulted in a higher incidence of serious infusion reactions during the re-induction regimen (see ADVERSE EFFECTS) than had been observed in rheumatoid arthritis, psoriasis, and Crohn’s disease trials in which a period of no drug treatment was followed by regular maintenance therapy without re-induction. In the case where </w:t>
      </w:r>
      <w:r w:rsidR="00FD7920" w:rsidRPr="00B54968">
        <w:rPr>
          <w:rFonts w:ascii="Times New Roman" w:hAnsi="Times New Roman" w:cs="Times New Roman"/>
        </w:rPr>
        <w:t>infliximab</w:t>
      </w:r>
      <w:r w:rsidRPr="00B54968">
        <w:rPr>
          <w:rFonts w:ascii="Times New Roman" w:hAnsi="Times New Roman" w:cs="Times New Roman"/>
        </w:rPr>
        <w:t xml:space="preserve"> maintenance therapy for psoriasis is interrupted, </w:t>
      </w:r>
      <w:r w:rsidR="00FD7920" w:rsidRPr="00B54968">
        <w:rPr>
          <w:rFonts w:ascii="Times New Roman" w:hAnsi="Times New Roman" w:cs="Times New Roman"/>
        </w:rPr>
        <w:t>infliximab</w:t>
      </w:r>
      <w:r w:rsidRPr="00B54968">
        <w:rPr>
          <w:rFonts w:ascii="Times New Roman" w:hAnsi="Times New Roman" w:cs="Times New Roman"/>
        </w:rPr>
        <w:t xml:space="preserve"> should be reinitiated as a single dose followed by maintenance therapy. In general, the benefit-risk of re-administration of </w:t>
      </w:r>
      <w:r w:rsidR="00FD7920" w:rsidRPr="00B54968">
        <w:rPr>
          <w:rFonts w:ascii="Times New Roman" w:hAnsi="Times New Roman" w:cs="Times New Roman"/>
        </w:rPr>
        <w:t>infliximab</w:t>
      </w:r>
      <w:r w:rsidRPr="00B54968">
        <w:rPr>
          <w:rFonts w:ascii="Times New Roman" w:hAnsi="Times New Roman" w:cs="Times New Roman"/>
        </w:rPr>
        <w:t xml:space="preserve"> after a period of no-treatment, especially as a re-induction regimen given at weeks 0, 2, and 6, should be carefully considered.</w:t>
      </w:r>
    </w:p>
    <w:p w14:paraId="00FE62D7"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Malignancies and lymphoproliferative disorders </w:t>
      </w:r>
    </w:p>
    <w:p w14:paraId="3A228402"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controlled portions of clinical trials of TNF-blocking agents, more cases of lymphoma have been observed among patients receiving a TNF blocker compared with control patients. During clinical trials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rheumatoid arthritis, Crohn’s disease, psoriatic arthritis, ankylosing spondylitis, psoriasis, and ulcerative colitis, the incidence of lymphoma in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was higher than expected in the general population, but the occurrence of lymphoma was rare. Furthermore, there is an increased background lymphoma risk even in the absence of TNF blocking therapy in rheumatoid arthritis and Crohn’s disease patients with longstanding, highly active, inflammatory disease, and/or active chronic exposure to immunosuppressant therapies, which complicates the risk estimation. </w:t>
      </w:r>
    </w:p>
    <w:p w14:paraId="592F1984" w14:textId="77777777" w:rsidR="00A02600" w:rsidRPr="00B54968" w:rsidRDefault="00A02600" w:rsidP="003E2009">
      <w:pPr>
        <w:pStyle w:val="Default"/>
        <w:rPr>
          <w:rFonts w:ascii="Times New Roman" w:hAnsi="Times New Roman" w:cs="Times New Roman"/>
          <w:color w:val="auto"/>
          <w:sz w:val="22"/>
          <w:szCs w:val="22"/>
        </w:rPr>
      </w:pPr>
    </w:p>
    <w:p w14:paraId="7EF2CB9E" w14:textId="77777777" w:rsidR="00A02600" w:rsidRPr="00B54968" w:rsidRDefault="00334483" w:rsidP="003E200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In a clinical trial exploring the use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in patients with moderate to severe chronic obstructive pulmonary disease (COPD), more malignancies, the majority of lung or head and neck origin, were reported in </w:t>
      </w:r>
      <w:r w:rsidR="00FD7920"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-treated patients compared with control patients. All patients had a history of heavy smoking (see ADVERSE EFFECTS). Prescribers should exercise caution when considering the use of </w:t>
      </w:r>
      <w:r w:rsidR="00E4493B"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in patients with moderate to severe COPD. </w:t>
      </w:r>
    </w:p>
    <w:p w14:paraId="437A7777" w14:textId="77777777" w:rsidR="00A02600" w:rsidRPr="00B54968" w:rsidRDefault="00A02600" w:rsidP="003E2009">
      <w:pPr>
        <w:pStyle w:val="Default"/>
        <w:rPr>
          <w:rFonts w:ascii="Times New Roman" w:hAnsi="Times New Roman" w:cs="Times New Roman"/>
          <w:color w:val="auto"/>
          <w:sz w:val="22"/>
          <w:szCs w:val="22"/>
        </w:rPr>
      </w:pPr>
    </w:p>
    <w:p w14:paraId="4C45EEDD" w14:textId="77777777" w:rsidR="00A02600" w:rsidRPr="00B54968" w:rsidRDefault="00334483" w:rsidP="003E2009">
      <w:pPr>
        <w:spacing w:line="240" w:lineRule="auto"/>
        <w:rPr>
          <w:rFonts w:ascii="Times New Roman" w:hAnsi="Times New Roman" w:cs="Times New Roman"/>
          <w:iCs/>
        </w:rPr>
      </w:pPr>
      <w:r w:rsidRPr="00B54968">
        <w:rPr>
          <w:rFonts w:ascii="Times New Roman" w:hAnsi="Times New Roman" w:cs="Times New Roman"/>
        </w:rPr>
        <w:t>With the current knowledge, a possible risk for the development of lymphomas or other malignancies in patients treated with a TNF-blocking agent cannot be excluded (see ADVERSE EFFECTS section). Caution should be exercised when considering TNF-blocking therapy for patients with a history of malignancy or when considering continuing treatment in patients who develop a malignancy.</w:t>
      </w:r>
    </w:p>
    <w:p w14:paraId="31E97DEF" w14:textId="77777777" w:rsidR="00A02600" w:rsidRPr="003E2009" w:rsidRDefault="00334483" w:rsidP="003E2009">
      <w:pPr>
        <w:pStyle w:val="Default"/>
        <w:rPr>
          <w:rFonts w:ascii="Times New Roman" w:hAnsi="Times New Roman" w:cs="Times New Roman"/>
          <w:color w:val="auto"/>
          <w:sz w:val="22"/>
          <w:szCs w:val="22"/>
        </w:rPr>
      </w:pPr>
      <w:proofErr w:type="spellStart"/>
      <w:r w:rsidRPr="003E2009">
        <w:rPr>
          <w:rFonts w:ascii="Times New Roman" w:hAnsi="Times New Roman" w:cs="Times New Roman"/>
          <w:color w:val="auto"/>
          <w:sz w:val="22"/>
          <w:szCs w:val="22"/>
        </w:rPr>
        <w:t>Paediatric</w:t>
      </w:r>
      <w:proofErr w:type="spellEnd"/>
      <w:r w:rsidRPr="003E2009">
        <w:rPr>
          <w:rFonts w:ascii="Times New Roman" w:hAnsi="Times New Roman" w:cs="Times New Roman"/>
          <w:color w:val="auto"/>
          <w:sz w:val="22"/>
          <w:szCs w:val="22"/>
        </w:rPr>
        <w:t xml:space="preserve"> Malignancy </w:t>
      </w:r>
    </w:p>
    <w:p w14:paraId="65911802"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cases of malignancies, some fatal, have been reported among children, adolescents and young adults (up to 22 years of age) who received TNF-blocking agents (initiation of therapy ≤ 18 years of age), including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to treat Juvenile Idiopathic Arthritis (JIA), Crohn’s disease or other conditions. Approximately half the reports were lymphomas (Hodgkin’s and non-Hodgkin’s lymphoma). The other cases represented a variety of different malignancies and included malignancies that are not usually observed in children and adolescents. Most of the patients were receiving concomitant </w:t>
      </w:r>
      <w:proofErr w:type="spellStart"/>
      <w:r w:rsidRPr="00B54968">
        <w:rPr>
          <w:rFonts w:ascii="Times New Roman" w:hAnsi="Times New Roman" w:cs="Times New Roman"/>
          <w:color w:val="auto"/>
          <w:sz w:val="22"/>
          <w:szCs w:val="22"/>
        </w:rPr>
        <w:t>immunosuppressants</w:t>
      </w:r>
      <w:proofErr w:type="spellEnd"/>
      <w:r w:rsidRPr="00B54968">
        <w:rPr>
          <w:rFonts w:ascii="Times New Roman" w:hAnsi="Times New Roman" w:cs="Times New Roman"/>
          <w:color w:val="auto"/>
          <w:sz w:val="22"/>
          <w:szCs w:val="22"/>
        </w:rPr>
        <w:t xml:space="preserve">, such as methotrexate, azathioprine or 6-mercaptopurine. The role of TNF blockers in the development of malignancies in children and adolescents remains unclear. </w:t>
      </w:r>
    </w:p>
    <w:p w14:paraId="0A52EAEF" w14:textId="77777777" w:rsidR="00A02600" w:rsidRPr="00B54968" w:rsidRDefault="00A02600" w:rsidP="003E2009">
      <w:pPr>
        <w:pStyle w:val="Default"/>
        <w:rPr>
          <w:rFonts w:ascii="Times New Roman" w:hAnsi="Times New Roman" w:cs="Times New Roman"/>
          <w:color w:val="auto"/>
          <w:sz w:val="22"/>
          <w:szCs w:val="22"/>
        </w:rPr>
      </w:pPr>
    </w:p>
    <w:p w14:paraId="2A0B7D03" w14:textId="77777777" w:rsidR="00A02600" w:rsidRPr="003E2009" w:rsidRDefault="00334483" w:rsidP="003E2009">
      <w:pPr>
        <w:pStyle w:val="Default"/>
        <w:rPr>
          <w:rFonts w:ascii="Times New Roman" w:hAnsi="Times New Roman" w:cs="Times New Roman"/>
          <w:color w:val="auto"/>
          <w:sz w:val="22"/>
          <w:szCs w:val="22"/>
        </w:rPr>
      </w:pPr>
      <w:proofErr w:type="spellStart"/>
      <w:r w:rsidRPr="003E2009">
        <w:rPr>
          <w:rFonts w:ascii="Times New Roman" w:hAnsi="Times New Roman" w:cs="Times New Roman"/>
          <w:color w:val="auto"/>
          <w:sz w:val="22"/>
          <w:szCs w:val="22"/>
        </w:rPr>
        <w:t>Hepatosplenic</w:t>
      </w:r>
      <w:proofErr w:type="spellEnd"/>
      <w:r w:rsidRPr="003E2009">
        <w:rPr>
          <w:rFonts w:ascii="Times New Roman" w:hAnsi="Times New Roman" w:cs="Times New Roman"/>
          <w:color w:val="auto"/>
          <w:sz w:val="22"/>
          <w:szCs w:val="22"/>
        </w:rPr>
        <w:t xml:space="preserve"> T-cell lymphomas </w:t>
      </w:r>
    </w:p>
    <w:p w14:paraId="15C799AF" w14:textId="77777777" w:rsidR="00A02600" w:rsidRPr="00B54968" w:rsidRDefault="00334483" w:rsidP="003E2009">
      <w:pPr>
        <w:spacing w:line="240" w:lineRule="auto"/>
        <w:rPr>
          <w:rFonts w:ascii="Times New Roman" w:hAnsi="Times New Roman" w:cs="Times New Roman"/>
        </w:rPr>
      </w:pPr>
      <w:r w:rsidRPr="00B54968">
        <w:rPr>
          <w:rFonts w:ascii="Times New Roman" w:hAnsi="Times New Roman" w:cs="Times New Roman"/>
        </w:rPr>
        <w:t xml:space="preserve">Rare </w:t>
      </w:r>
      <w:proofErr w:type="spellStart"/>
      <w:r w:rsidRPr="00B54968">
        <w:rPr>
          <w:rFonts w:ascii="Times New Roman" w:hAnsi="Times New Roman" w:cs="Times New Roman"/>
        </w:rPr>
        <w:t>postmarketing</w:t>
      </w:r>
      <w:proofErr w:type="spellEnd"/>
      <w:r w:rsidRPr="00B54968">
        <w:rPr>
          <w:rFonts w:ascii="Times New Roman" w:hAnsi="Times New Roman" w:cs="Times New Roman"/>
        </w:rPr>
        <w:t xml:space="preserve"> cases of </w:t>
      </w:r>
      <w:proofErr w:type="spellStart"/>
      <w:r w:rsidRPr="00B54968">
        <w:rPr>
          <w:rFonts w:ascii="Times New Roman" w:hAnsi="Times New Roman" w:cs="Times New Roman"/>
        </w:rPr>
        <w:t>hepatosplenic</w:t>
      </w:r>
      <w:proofErr w:type="spellEnd"/>
      <w:r w:rsidRPr="00B54968">
        <w:rPr>
          <w:rFonts w:ascii="Times New Roman" w:hAnsi="Times New Roman" w:cs="Times New Roman"/>
        </w:rPr>
        <w:t xml:space="preserve"> T-cell lymphoma have been reported in patients treated with TNF-blocking agents including </w:t>
      </w:r>
      <w:r w:rsidR="00FD7920" w:rsidRPr="00B54968">
        <w:rPr>
          <w:rFonts w:ascii="Times New Roman" w:hAnsi="Times New Roman" w:cs="Times New Roman"/>
        </w:rPr>
        <w:t>infliximab</w:t>
      </w:r>
      <w:r w:rsidRPr="00B54968">
        <w:rPr>
          <w:rFonts w:ascii="Times New Roman" w:hAnsi="Times New Roman" w:cs="Times New Roman"/>
        </w:rPr>
        <w:t>. This rare type of T-cell lymphoma has a very aggressive disease co</w:t>
      </w:r>
      <w:r w:rsidR="00FD7920" w:rsidRPr="00B54968">
        <w:rPr>
          <w:rFonts w:ascii="Times New Roman" w:hAnsi="Times New Roman" w:cs="Times New Roman"/>
        </w:rPr>
        <w:t>urse and is usually fatal. All infliximab</w:t>
      </w:r>
      <w:r w:rsidRPr="00B54968">
        <w:rPr>
          <w:rFonts w:ascii="Times New Roman" w:hAnsi="Times New Roman" w:cs="Times New Roman"/>
        </w:rPr>
        <w:t xml:space="preserve"> cases have occurred in patients with Crohn's disease or ulcerative colitis and the majority were reported in adolescent or young adult males. All of these patients had received treatment with azathioprine or 6-mercaptopurine concomitantly with or immediately prior to </w:t>
      </w:r>
      <w:r w:rsidR="00FD7920" w:rsidRPr="00B54968">
        <w:rPr>
          <w:rFonts w:ascii="Times New Roman" w:hAnsi="Times New Roman" w:cs="Times New Roman"/>
        </w:rPr>
        <w:t>infliximab</w:t>
      </w:r>
      <w:r w:rsidRPr="00B54968">
        <w:rPr>
          <w:rFonts w:ascii="Times New Roman" w:hAnsi="Times New Roman" w:cs="Times New Roman"/>
        </w:rPr>
        <w:t>.</w:t>
      </w:r>
    </w:p>
    <w:p w14:paraId="255F8DE4" w14:textId="77777777" w:rsidR="00A02600" w:rsidRPr="00B54968" w:rsidRDefault="00334483" w:rsidP="003E2009">
      <w:pPr>
        <w:spacing w:line="240" w:lineRule="auto"/>
        <w:rPr>
          <w:rFonts w:ascii="Times New Roman" w:hAnsi="Times New Roman" w:cs="Times New Roman"/>
          <w:iCs/>
        </w:rPr>
      </w:pPr>
      <w:r w:rsidRPr="00B54968">
        <w:rPr>
          <w:rFonts w:ascii="Times New Roman" w:hAnsi="Times New Roman" w:cs="Times New Roman"/>
          <w:iCs/>
        </w:rPr>
        <w:t xml:space="preserve">It is uncertain whether the occurrence of the HSTCL is related to </w:t>
      </w:r>
      <w:r w:rsidR="00FD7920" w:rsidRPr="00B54968">
        <w:rPr>
          <w:rFonts w:ascii="Times New Roman" w:hAnsi="Times New Roman" w:cs="Times New Roman"/>
        </w:rPr>
        <w:t>infliximab</w:t>
      </w:r>
      <w:r w:rsidRPr="00B54968">
        <w:rPr>
          <w:rFonts w:ascii="Times New Roman" w:hAnsi="Times New Roman" w:cs="Times New Roman"/>
          <w:iCs/>
        </w:rPr>
        <w:t xml:space="preserve"> or </w:t>
      </w:r>
      <w:r w:rsidR="00FD7920" w:rsidRPr="00B54968">
        <w:rPr>
          <w:rFonts w:ascii="Times New Roman" w:hAnsi="Times New Roman" w:cs="Times New Roman"/>
        </w:rPr>
        <w:t>infliximab</w:t>
      </w:r>
      <w:r w:rsidRPr="00B54968">
        <w:rPr>
          <w:rFonts w:ascii="Times New Roman" w:hAnsi="Times New Roman" w:cs="Times New Roman"/>
          <w:iCs/>
        </w:rPr>
        <w:t xml:space="preserve"> in combination with these other </w:t>
      </w:r>
      <w:proofErr w:type="spellStart"/>
      <w:r w:rsidRPr="00B54968">
        <w:rPr>
          <w:rFonts w:ascii="Times New Roman" w:hAnsi="Times New Roman" w:cs="Times New Roman"/>
          <w:iCs/>
        </w:rPr>
        <w:t>immunosuppressants</w:t>
      </w:r>
      <w:proofErr w:type="spellEnd"/>
      <w:r w:rsidRPr="00B54968">
        <w:rPr>
          <w:rFonts w:ascii="Times New Roman" w:hAnsi="Times New Roman" w:cs="Times New Roman"/>
          <w:iCs/>
        </w:rPr>
        <w:t xml:space="preserve">. When treating patients with inflammatory bowel disease, particularly in adolescents and young adults, consideration of whether to use </w:t>
      </w:r>
      <w:r w:rsidR="00FD7920" w:rsidRPr="00B54968">
        <w:rPr>
          <w:rFonts w:ascii="Times New Roman" w:hAnsi="Times New Roman" w:cs="Times New Roman"/>
        </w:rPr>
        <w:t>infliximab</w:t>
      </w:r>
      <w:r w:rsidRPr="00B54968">
        <w:rPr>
          <w:rFonts w:ascii="Times New Roman" w:hAnsi="Times New Roman" w:cs="Times New Roman"/>
          <w:iCs/>
        </w:rPr>
        <w:t xml:space="preserve"> alone or in combination with other </w:t>
      </w:r>
      <w:proofErr w:type="spellStart"/>
      <w:r w:rsidRPr="00B54968">
        <w:rPr>
          <w:rFonts w:ascii="Times New Roman" w:hAnsi="Times New Roman" w:cs="Times New Roman"/>
          <w:iCs/>
        </w:rPr>
        <w:t>immunosuppressants</w:t>
      </w:r>
      <w:proofErr w:type="spellEnd"/>
      <w:r w:rsidRPr="00B54968">
        <w:rPr>
          <w:rFonts w:ascii="Times New Roman" w:hAnsi="Times New Roman" w:cs="Times New Roman"/>
          <w:iCs/>
        </w:rPr>
        <w:t xml:space="preserve"> should take into account a possibility that there is a </w:t>
      </w:r>
      <w:r w:rsidRPr="00B54968">
        <w:rPr>
          <w:rFonts w:ascii="Times New Roman" w:hAnsi="Times New Roman" w:cs="Times New Roman"/>
          <w:iCs/>
        </w:rPr>
        <w:lastRenderedPageBreak/>
        <w:t xml:space="preserve">higher risk of HSTCL with combination therapy versus an observed increased risk of immunogenicity and hypersensitivity reactions with </w:t>
      </w:r>
      <w:r w:rsidR="00FD7920" w:rsidRPr="00B54968">
        <w:rPr>
          <w:rFonts w:ascii="Times New Roman" w:hAnsi="Times New Roman" w:cs="Times New Roman"/>
        </w:rPr>
        <w:t>infliximab</w:t>
      </w:r>
      <w:r w:rsidRPr="00B54968">
        <w:rPr>
          <w:rFonts w:ascii="Times New Roman" w:hAnsi="Times New Roman" w:cs="Times New Roman"/>
          <w:iCs/>
        </w:rPr>
        <w:t xml:space="preserve"> monotherapy from the clinical trial data.</w:t>
      </w:r>
    </w:p>
    <w:p w14:paraId="5DD329F6" w14:textId="77777777" w:rsidR="00A02600" w:rsidRPr="003E2009" w:rsidRDefault="00334483" w:rsidP="003E2009">
      <w:pPr>
        <w:pStyle w:val="Default"/>
        <w:rPr>
          <w:rFonts w:ascii="Times New Roman" w:hAnsi="Times New Roman" w:cs="Times New Roman"/>
          <w:color w:val="auto"/>
          <w:sz w:val="22"/>
          <w:szCs w:val="22"/>
        </w:rPr>
      </w:pPr>
      <w:proofErr w:type="spellStart"/>
      <w:r w:rsidRPr="003E2009">
        <w:rPr>
          <w:rFonts w:ascii="Times New Roman" w:hAnsi="Times New Roman" w:cs="Times New Roman"/>
          <w:color w:val="auto"/>
          <w:sz w:val="22"/>
          <w:szCs w:val="22"/>
        </w:rPr>
        <w:t>Leukaemia</w:t>
      </w:r>
      <w:proofErr w:type="spellEnd"/>
      <w:r w:rsidRPr="003E2009">
        <w:rPr>
          <w:rFonts w:ascii="Times New Roman" w:hAnsi="Times New Roman" w:cs="Times New Roman"/>
          <w:color w:val="auto"/>
          <w:sz w:val="22"/>
          <w:szCs w:val="22"/>
        </w:rPr>
        <w:t xml:space="preserve"> </w:t>
      </w:r>
    </w:p>
    <w:p w14:paraId="08FD9CCF"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acute and chronic </w:t>
      </w:r>
      <w:proofErr w:type="spellStart"/>
      <w:r w:rsidRPr="00B54968">
        <w:rPr>
          <w:rFonts w:ascii="Times New Roman" w:hAnsi="Times New Roman" w:cs="Times New Roman"/>
          <w:color w:val="auto"/>
          <w:sz w:val="22"/>
          <w:szCs w:val="22"/>
        </w:rPr>
        <w:t>leukaemia</w:t>
      </w:r>
      <w:proofErr w:type="spellEnd"/>
      <w:r w:rsidRPr="00B54968">
        <w:rPr>
          <w:rFonts w:ascii="Times New Roman" w:hAnsi="Times New Roman" w:cs="Times New Roman"/>
          <w:color w:val="auto"/>
          <w:sz w:val="22"/>
          <w:szCs w:val="22"/>
        </w:rPr>
        <w:t xml:space="preserve"> have been reported with post-marketing TNF-blocker use in rheumatoid arthritis and other indications. Even in the absence of TNF blocker therapy, patients with rheumatoid arthritis may be at a higher risk (approximately 2-fold) than the general population for the development of </w:t>
      </w:r>
      <w:proofErr w:type="spellStart"/>
      <w:r w:rsidRPr="00B54968">
        <w:rPr>
          <w:rFonts w:ascii="Times New Roman" w:hAnsi="Times New Roman" w:cs="Times New Roman"/>
          <w:color w:val="auto"/>
          <w:sz w:val="22"/>
          <w:szCs w:val="22"/>
        </w:rPr>
        <w:t>leukaemia</w:t>
      </w:r>
      <w:proofErr w:type="spellEnd"/>
      <w:r w:rsidRPr="00B54968">
        <w:rPr>
          <w:rFonts w:ascii="Times New Roman" w:hAnsi="Times New Roman" w:cs="Times New Roman"/>
          <w:color w:val="auto"/>
          <w:sz w:val="22"/>
          <w:szCs w:val="22"/>
        </w:rPr>
        <w:t xml:space="preserve">. </w:t>
      </w:r>
    </w:p>
    <w:p w14:paraId="04756DE5" w14:textId="77777777" w:rsidR="00A02600" w:rsidRPr="00B54968" w:rsidRDefault="00A02600" w:rsidP="003E2009">
      <w:pPr>
        <w:pStyle w:val="Default"/>
        <w:rPr>
          <w:rFonts w:ascii="Times New Roman" w:hAnsi="Times New Roman" w:cs="Times New Roman"/>
          <w:color w:val="auto"/>
          <w:sz w:val="22"/>
          <w:szCs w:val="22"/>
        </w:rPr>
      </w:pPr>
    </w:p>
    <w:p w14:paraId="2805A29D"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iCs/>
          <w:color w:val="auto"/>
          <w:sz w:val="22"/>
          <w:szCs w:val="22"/>
        </w:rPr>
        <w:t xml:space="preserve">Colon Carcinoma/Dysplasia </w:t>
      </w:r>
    </w:p>
    <w:p w14:paraId="7B3C3241" w14:textId="77777777" w:rsidR="00A02600" w:rsidRPr="00B54968" w:rsidRDefault="00334483" w:rsidP="003E200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All patients with ulcerative colitis who are at increased risk for dysplasia or colon carcinoma (for example, patients with long-standing ulcerative colitis or primary </w:t>
      </w:r>
      <w:proofErr w:type="spellStart"/>
      <w:r w:rsidRPr="00B54968">
        <w:rPr>
          <w:rFonts w:ascii="Times New Roman" w:hAnsi="Times New Roman" w:cs="Times New Roman"/>
          <w:iCs/>
          <w:color w:val="auto"/>
          <w:sz w:val="22"/>
          <w:szCs w:val="22"/>
        </w:rPr>
        <w:t>sclerosing</w:t>
      </w:r>
      <w:proofErr w:type="spellEnd"/>
      <w:r w:rsidRPr="00B54968">
        <w:rPr>
          <w:rFonts w:ascii="Times New Roman" w:hAnsi="Times New Roman" w:cs="Times New Roman"/>
          <w:iCs/>
          <w:color w:val="auto"/>
          <w:sz w:val="22"/>
          <w:szCs w:val="22"/>
        </w:rPr>
        <w:t xml:space="preserve"> cholangitis), or who had a prior history of dysplasia or colon carcinoma should be screened for dysplasia at regular intervals before therapy and throughout their disease course. This evaluation should include colonoscopy and biopsies per local recommendations. With current data it is not known if </w:t>
      </w:r>
      <w:r w:rsidR="00454C11"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treatment influences the risk for developing dysplasia or colon cancer (see ADVERSE EFFECTS section). </w:t>
      </w:r>
    </w:p>
    <w:p w14:paraId="4F60E3EB" w14:textId="77777777" w:rsidR="00A02600" w:rsidRPr="00B54968" w:rsidRDefault="00A02600" w:rsidP="003E2009">
      <w:pPr>
        <w:pStyle w:val="Default"/>
        <w:rPr>
          <w:rFonts w:ascii="Times New Roman" w:hAnsi="Times New Roman" w:cs="Times New Roman"/>
          <w:iCs/>
          <w:color w:val="auto"/>
          <w:sz w:val="22"/>
          <w:szCs w:val="22"/>
        </w:rPr>
      </w:pPr>
    </w:p>
    <w:p w14:paraId="53149566" w14:textId="77777777" w:rsidR="00A02600" w:rsidRPr="00B54968" w:rsidRDefault="00334483" w:rsidP="003E200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Since the possibility of increased risk of cancer development in patients with newly diagnosed dysplasia treated with </w:t>
      </w:r>
      <w:r w:rsidR="00454C11"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is not established, the risk and benefits to the individual patients must be carefully reviewed and consideration should be given to discontinuation of therapy. </w:t>
      </w:r>
    </w:p>
    <w:p w14:paraId="57B43A87" w14:textId="77777777" w:rsidR="00A02600" w:rsidRPr="00B54968" w:rsidRDefault="00A02600" w:rsidP="003E2009">
      <w:pPr>
        <w:pStyle w:val="Default"/>
        <w:rPr>
          <w:rFonts w:ascii="Times New Roman" w:hAnsi="Times New Roman" w:cs="Times New Roman"/>
          <w:iCs/>
          <w:color w:val="auto"/>
          <w:sz w:val="22"/>
          <w:szCs w:val="22"/>
          <w:u w:val="single"/>
        </w:rPr>
      </w:pPr>
    </w:p>
    <w:p w14:paraId="38362A08"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iCs/>
          <w:color w:val="auto"/>
          <w:sz w:val="22"/>
          <w:szCs w:val="22"/>
        </w:rPr>
        <w:t xml:space="preserve">Skin cancers </w:t>
      </w:r>
    </w:p>
    <w:p w14:paraId="10F73858" w14:textId="406C80C9" w:rsidR="00A02600" w:rsidRPr="00B54968" w:rsidRDefault="00334483" w:rsidP="003E2009">
      <w:pPr>
        <w:spacing w:line="240" w:lineRule="auto"/>
        <w:rPr>
          <w:rFonts w:ascii="Times New Roman" w:hAnsi="Times New Roman" w:cs="Times New Roman"/>
          <w:iCs/>
        </w:rPr>
      </w:pPr>
      <w:r w:rsidRPr="00B54968">
        <w:rPr>
          <w:rFonts w:ascii="Times New Roman" w:hAnsi="Times New Roman" w:cs="Times New Roman"/>
          <w:iCs/>
        </w:rPr>
        <w:t xml:space="preserve">Melanoma and Merkel cell carcinoma have been reported in patients treated with TNF blocker therapy, including </w:t>
      </w:r>
      <w:r w:rsidR="00454C11" w:rsidRPr="00B54968">
        <w:rPr>
          <w:rFonts w:ascii="Times New Roman" w:hAnsi="Times New Roman" w:cs="Times New Roman"/>
        </w:rPr>
        <w:t>infliximab</w:t>
      </w:r>
      <w:r w:rsidRPr="00B54968">
        <w:rPr>
          <w:rFonts w:ascii="Times New Roman" w:hAnsi="Times New Roman" w:cs="Times New Roman"/>
          <w:iCs/>
        </w:rPr>
        <w:t xml:space="preserve"> (see ADVERSE EFFECTS). Periodic skin examination is recommended for all patients, particularly those with risk factors for skin cancer.</w:t>
      </w:r>
    </w:p>
    <w:p w14:paraId="77394DB9" w14:textId="77777777" w:rsidR="007E2517" w:rsidRPr="00B54968" w:rsidRDefault="007E2517" w:rsidP="003E2009">
      <w:pPr>
        <w:spacing w:after="0" w:line="240" w:lineRule="auto"/>
        <w:rPr>
          <w:rFonts w:ascii="Times New Roman" w:hAnsi="Times New Roman" w:cs="Times New Roman"/>
        </w:rPr>
      </w:pPr>
      <w:r w:rsidRPr="00B54968">
        <w:rPr>
          <w:rFonts w:ascii="Times New Roman" w:hAnsi="Times New Roman" w:cs="Times New Roman"/>
          <w:iCs/>
        </w:rPr>
        <w:t xml:space="preserve">Psoriasis patients should be monitored for non-melanoma skin cancers (NMSCs), particularly those patients who have had prior </w:t>
      </w:r>
      <w:r w:rsidR="002D2491" w:rsidRPr="00B54968">
        <w:rPr>
          <w:rFonts w:ascii="Times New Roman" w:hAnsi="Times New Roman" w:cs="Times New Roman"/>
          <w:iCs/>
        </w:rPr>
        <w:t>prolonged</w:t>
      </w:r>
      <w:r w:rsidRPr="00B54968">
        <w:rPr>
          <w:rFonts w:ascii="Times New Roman" w:hAnsi="Times New Roman" w:cs="Times New Roman"/>
          <w:iCs/>
        </w:rPr>
        <w:t xml:space="preserve"> phototherapy treatment.</w:t>
      </w:r>
    </w:p>
    <w:p w14:paraId="6C67B687" w14:textId="77777777" w:rsidR="00A02600" w:rsidRPr="00B54968" w:rsidRDefault="00A02600" w:rsidP="003E2009">
      <w:pPr>
        <w:pStyle w:val="Default"/>
        <w:rPr>
          <w:rFonts w:ascii="Times New Roman" w:hAnsi="Times New Roman" w:cs="Times New Roman"/>
          <w:color w:val="auto"/>
          <w:sz w:val="22"/>
          <w:szCs w:val="22"/>
          <w:u w:val="single"/>
        </w:rPr>
      </w:pPr>
    </w:p>
    <w:p w14:paraId="61D250DA"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Auto-immune processes </w:t>
      </w:r>
    </w:p>
    <w:p w14:paraId="5C74A61E"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relative deficiency of TNFα caused by anti-TNF therapy may result in the initiation of an autoimmune process in a subgroup of genetically susceptible patients. If drug-induced lupus is suspected, patients being treated with </w:t>
      </w:r>
      <w:r w:rsidR="00454C11"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have regular measurements of Antinuclear antibodies (ANA) and double-stranded DNA (dsDNA) antibodies. If a patient develops symptoms suggestive of a lupus-like syndrome following treatment with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and is positive for antibodies against double-stranded DNA, treatment should be discontinued (see ADVERSE EFFECTS). </w:t>
      </w:r>
    </w:p>
    <w:p w14:paraId="0215AE76" w14:textId="77777777" w:rsidR="00A02600" w:rsidRPr="00B54968" w:rsidRDefault="00A02600" w:rsidP="003E2009">
      <w:pPr>
        <w:pStyle w:val="Default"/>
        <w:rPr>
          <w:rFonts w:ascii="Times New Roman" w:hAnsi="Times New Roman" w:cs="Times New Roman"/>
          <w:color w:val="auto"/>
          <w:sz w:val="22"/>
          <w:szCs w:val="22"/>
        </w:rPr>
      </w:pPr>
    </w:p>
    <w:p w14:paraId="14D28504"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Studies have not been performed to assess the effects of infliximab on the healing of the internal fistula canal, on closure of non-</w:t>
      </w:r>
      <w:proofErr w:type="spellStart"/>
      <w:r w:rsidRPr="00B54968">
        <w:rPr>
          <w:rFonts w:ascii="Times New Roman" w:hAnsi="Times New Roman" w:cs="Times New Roman"/>
          <w:color w:val="auto"/>
          <w:sz w:val="22"/>
          <w:szCs w:val="22"/>
        </w:rPr>
        <w:t>cutaneously</w:t>
      </w:r>
      <w:proofErr w:type="spellEnd"/>
      <w:r w:rsidRPr="00B54968">
        <w:rPr>
          <w:rFonts w:ascii="Times New Roman" w:hAnsi="Times New Roman" w:cs="Times New Roman"/>
          <w:color w:val="auto"/>
          <w:sz w:val="22"/>
          <w:szCs w:val="22"/>
        </w:rPr>
        <w:t xml:space="preserve"> draining fistulas (e.g. </w:t>
      </w:r>
      <w:proofErr w:type="spellStart"/>
      <w:r w:rsidRPr="00B54968">
        <w:rPr>
          <w:rFonts w:ascii="Times New Roman" w:hAnsi="Times New Roman" w:cs="Times New Roman"/>
          <w:color w:val="auto"/>
          <w:sz w:val="22"/>
          <w:szCs w:val="22"/>
        </w:rPr>
        <w:t>entero-entero</w:t>
      </w:r>
      <w:proofErr w:type="spellEnd"/>
      <w:r w:rsidRPr="00B54968">
        <w:rPr>
          <w:rFonts w:ascii="Times New Roman" w:hAnsi="Times New Roman" w:cs="Times New Roman"/>
          <w:color w:val="auto"/>
          <w:sz w:val="22"/>
          <w:szCs w:val="22"/>
        </w:rPr>
        <w:t xml:space="preserve">) or on </w:t>
      </w:r>
      <w:proofErr w:type="spellStart"/>
      <w:r w:rsidRPr="00B54968">
        <w:rPr>
          <w:rFonts w:ascii="Times New Roman" w:hAnsi="Times New Roman" w:cs="Times New Roman"/>
          <w:color w:val="auto"/>
          <w:sz w:val="22"/>
          <w:szCs w:val="22"/>
        </w:rPr>
        <w:t>cutaneously</w:t>
      </w:r>
      <w:proofErr w:type="spellEnd"/>
      <w:r w:rsidRPr="00B54968">
        <w:rPr>
          <w:rFonts w:ascii="Times New Roman" w:hAnsi="Times New Roman" w:cs="Times New Roman"/>
          <w:color w:val="auto"/>
          <w:sz w:val="22"/>
          <w:szCs w:val="22"/>
        </w:rPr>
        <w:t xml:space="preserve"> draining fistulas in locations other than perianal and </w:t>
      </w:r>
      <w:proofErr w:type="spellStart"/>
      <w:r w:rsidRPr="00B54968">
        <w:rPr>
          <w:rFonts w:ascii="Times New Roman" w:hAnsi="Times New Roman" w:cs="Times New Roman"/>
          <w:color w:val="auto"/>
          <w:sz w:val="22"/>
          <w:szCs w:val="22"/>
        </w:rPr>
        <w:t>periabdominal</w:t>
      </w:r>
      <w:proofErr w:type="spellEnd"/>
      <w:r w:rsidRPr="00B54968">
        <w:rPr>
          <w:rFonts w:ascii="Times New Roman" w:hAnsi="Times New Roman" w:cs="Times New Roman"/>
          <w:color w:val="auto"/>
          <w:sz w:val="22"/>
          <w:szCs w:val="22"/>
        </w:rPr>
        <w:t xml:space="preserve">. </w:t>
      </w:r>
    </w:p>
    <w:p w14:paraId="6B459B02" w14:textId="77777777" w:rsidR="00A02600" w:rsidRPr="00B54968" w:rsidRDefault="00A02600" w:rsidP="003E2009">
      <w:pPr>
        <w:pStyle w:val="Default"/>
        <w:rPr>
          <w:rFonts w:ascii="Times New Roman" w:hAnsi="Times New Roman" w:cs="Times New Roman"/>
          <w:color w:val="auto"/>
          <w:sz w:val="22"/>
          <w:szCs w:val="22"/>
        </w:rPr>
      </w:pPr>
    </w:p>
    <w:p w14:paraId="6858812D"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Risk of Infections </w:t>
      </w:r>
    </w:p>
    <w:p w14:paraId="26609974" w14:textId="77777777" w:rsidR="00A02600" w:rsidRPr="00B54968" w:rsidRDefault="00334483" w:rsidP="003E2009">
      <w:pPr>
        <w:pStyle w:val="Default"/>
        <w:rPr>
          <w:rFonts w:ascii="Times New Roman" w:hAnsi="Times New Roman" w:cs="Times New Roman"/>
          <w:color w:val="auto"/>
          <w:sz w:val="22"/>
          <w:szCs w:val="22"/>
        </w:rPr>
      </w:pPr>
      <w:proofErr w:type="spellStart"/>
      <w:r w:rsidRPr="00B54968">
        <w:rPr>
          <w:rFonts w:ascii="Times New Roman" w:hAnsi="Times New Roman" w:cs="Times New Roman"/>
          <w:color w:val="auto"/>
          <w:sz w:val="22"/>
          <w:szCs w:val="22"/>
        </w:rPr>
        <w:t>Tumour</w:t>
      </w:r>
      <w:proofErr w:type="spellEnd"/>
      <w:r w:rsidRPr="00B54968">
        <w:rPr>
          <w:rFonts w:ascii="Times New Roman" w:hAnsi="Times New Roman" w:cs="Times New Roman"/>
          <w:color w:val="auto"/>
          <w:sz w:val="22"/>
          <w:szCs w:val="22"/>
        </w:rPr>
        <w:t xml:space="preserve"> necrosis factor alpha (TNFα) mediates inflammation and modulates cellular immune response. Experimental data show that TNFα is essential for the clearing of intracellular infections. Clinical experience shows that host </w:t>
      </w:r>
      <w:proofErr w:type="spellStart"/>
      <w:r w:rsidRPr="00B54968">
        <w:rPr>
          <w:rFonts w:ascii="Times New Roman" w:hAnsi="Times New Roman" w:cs="Times New Roman"/>
          <w:color w:val="auto"/>
          <w:sz w:val="22"/>
          <w:szCs w:val="22"/>
        </w:rPr>
        <w:t>defence</w:t>
      </w:r>
      <w:proofErr w:type="spellEnd"/>
      <w:r w:rsidRPr="00B54968">
        <w:rPr>
          <w:rFonts w:ascii="Times New Roman" w:hAnsi="Times New Roman" w:cs="Times New Roman"/>
          <w:color w:val="auto"/>
          <w:sz w:val="22"/>
          <w:szCs w:val="22"/>
        </w:rPr>
        <w:t xml:space="preserve"> against infection is compromised in some patients treated with infliximab. </w:t>
      </w:r>
    </w:p>
    <w:p w14:paraId="62EBC584" w14:textId="77777777" w:rsidR="00A02600" w:rsidRPr="00B54968" w:rsidRDefault="00A02600" w:rsidP="003E2009">
      <w:pPr>
        <w:pStyle w:val="Default"/>
        <w:rPr>
          <w:rFonts w:ascii="Times New Roman" w:hAnsi="Times New Roman" w:cs="Times New Roman"/>
          <w:color w:val="auto"/>
          <w:sz w:val="22"/>
          <w:szCs w:val="22"/>
        </w:rPr>
      </w:pPr>
    </w:p>
    <w:p w14:paraId="0A0532A5" w14:textId="5C56A3D8"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in rheumatoid arthritis, starting </w:t>
      </w:r>
      <w:r w:rsidR="00454C11"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with doses higher than 3 mg/kg has been associated with an increased risk of infection compared to the risk of infection associated with the starting dose of 3 mg/kg. This increase in the risk of infection was not evident in patients receiving the starting regimen of 3 mg/kg at weeks 0, 2 and 6 and subsequently receiving higher or more frequent doses. However, caution should be exercised when continuing a rheumatoid arthritis patient on doses above 3 mg/kg or administering infliximab more frequently than every 8 weeks. </w:t>
      </w:r>
    </w:p>
    <w:p w14:paraId="0474A7AE" w14:textId="77777777" w:rsidR="00A02600" w:rsidRPr="00B54968" w:rsidRDefault="00A02600" w:rsidP="003E2009">
      <w:pPr>
        <w:pStyle w:val="Default"/>
        <w:rPr>
          <w:rFonts w:ascii="Times New Roman" w:hAnsi="Times New Roman" w:cs="Times New Roman"/>
          <w:color w:val="auto"/>
          <w:sz w:val="22"/>
          <w:szCs w:val="22"/>
        </w:rPr>
      </w:pPr>
    </w:p>
    <w:p w14:paraId="0A51797C"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Caution should be exercised when considering the use of </w:t>
      </w:r>
      <w:r w:rsidR="00E4493B" w:rsidRPr="00B54968">
        <w:rPr>
          <w:rFonts w:ascii="Times New Roman" w:hAnsi="Times New Roman" w:cs="Times New Roman"/>
          <w:color w:val="auto"/>
          <w:sz w:val="22"/>
          <w:szCs w:val="22"/>
        </w:rPr>
        <w:t>infliximab</w:t>
      </w:r>
      <w:r w:rsidR="00721AB4"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in patients with a chronic infection or a history of recurrent infection. </w:t>
      </w:r>
    </w:p>
    <w:p w14:paraId="72AE3128" w14:textId="77777777" w:rsidR="00A02600" w:rsidRPr="00B54968" w:rsidRDefault="00A02600" w:rsidP="003E2009">
      <w:pPr>
        <w:pStyle w:val="Default"/>
        <w:rPr>
          <w:rFonts w:ascii="Times New Roman" w:hAnsi="Times New Roman" w:cs="Times New Roman"/>
          <w:color w:val="auto"/>
          <w:sz w:val="22"/>
          <w:szCs w:val="22"/>
        </w:rPr>
      </w:pPr>
    </w:p>
    <w:p w14:paraId="1FA0C4B1"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Opportunistic infections including tuberculosis, viral infections, invasive fungal infections and other serious infections including sepsis and pneumonia have been reported in patients treated with infliximab (see ADVERSE EFFECTS). </w:t>
      </w:r>
    </w:p>
    <w:p w14:paraId="75A68933" w14:textId="77777777" w:rsidR="00A02600" w:rsidRPr="00B54968" w:rsidRDefault="00A02600" w:rsidP="003E2009">
      <w:pPr>
        <w:pStyle w:val="Default"/>
        <w:rPr>
          <w:rFonts w:ascii="Times New Roman" w:hAnsi="Times New Roman" w:cs="Times New Roman"/>
          <w:color w:val="auto"/>
          <w:sz w:val="22"/>
          <w:szCs w:val="22"/>
        </w:rPr>
      </w:pPr>
    </w:p>
    <w:p w14:paraId="10EA4DA2"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Serious infections, including sepsis and fatal infections, have been reported in patients receiving TNF-blocking agents. Many of the serious infections in patients treated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have occurred in patients on concomitant immunosuppressive therapy that, in addition to their Crohn’s disease or rheumatoid arthritis, could predispose them to infections. </w:t>
      </w:r>
    </w:p>
    <w:p w14:paraId="07B10D1B" w14:textId="77777777" w:rsidR="00A02600" w:rsidRPr="00B54968" w:rsidRDefault="00A02600" w:rsidP="003E2009">
      <w:pPr>
        <w:pStyle w:val="Default"/>
        <w:rPr>
          <w:rFonts w:ascii="Times New Roman" w:hAnsi="Times New Roman" w:cs="Times New Roman"/>
          <w:color w:val="auto"/>
          <w:sz w:val="22"/>
          <w:szCs w:val="22"/>
        </w:rPr>
      </w:pPr>
    </w:p>
    <w:p w14:paraId="2E5082B3"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who have clinically manifested infections and/or abscesses must be treated for these conditions prior to treatment with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as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not be given to patients with a clinically important, active infection. </w:t>
      </w:r>
    </w:p>
    <w:p w14:paraId="61B2E837" w14:textId="77777777" w:rsidR="00A02600" w:rsidRPr="00B54968" w:rsidRDefault="00A02600" w:rsidP="003E2009">
      <w:pPr>
        <w:pStyle w:val="Default"/>
        <w:rPr>
          <w:rFonts w:ascii="Times New Roman" w:hAnsi="Times New Roman" w:cs="Times New Roman"/>
          <w:color w:val="auto"/>
          <w:sz w:val="22"/>
          <w:szCs w:val="22"/>
        </w:rPr>
      </w:pPr>
    </w:p>
    <w:p w14:paraId="278361FF"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Tuberculosis </w:t>
      </w:r>
    </w:p>
    <w:p w14:paraId="76532935"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Tuberculosis (frequently disseminated or </w:t>
      </w:r>
      <w:proofErr w:type="spellStart"/>
      <w:r w:rsidRPr="00B54968">
        <w:rPr>
          <w:rFonts w:ascii="Times New Roman" w:hAnsi="Times New Roman" w:cs="Times New Roman"/>
          <w:color w:val="auto"/>
          <w:sz w:val="22"/>
          <w:szCs w:val="22"/>
        </w:rPr>
        <w:t>extrapulmonary</w:t>
      </w:r>
      <w:proofErr w:type="spellEnd"/>
      <w:r w:rsidRPr="00B54968">
        <w:rPr>
          <w:rFonts w:ascii="Times New Roman" w:hAnsi="Times New Roman" w:cs="Times New Roman"/>
          <w:color w:val="auto"/>
          <w:sz w:val="22"/>
          <w:szCs w:val="22"/>
        </w:rPr>
        <w:t xml:space="preserve"> at clinical presentation), has been observed in patients receiving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Patients must be evaluated for the risk of tuberculosis, including latent tuberculosis, prior to initiation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This evaluation should include a detailed medical history with personal history of tuberculosis or possible previous contact with tuberculosis and previous and/or current immunosuppressive therapy. Appropriate screening tests, i.e. tuberculin skin test and chest x-ray, should be performed in all patients. Prescribers are reminded of the risk of false negative tuberculin skin test results especially in patients who are severely ill or immunocompromised. If active tuberculosis is diagnosed,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must not be initiated (see CONTRAINDICATIONS). If latent tuberculosis is diagnosed, treatment must be initiated prior to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accordance with local recommendations. Use of anti-tuberculosis therapy should also be considered before the initiation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a past history of latent or active tuberculosis in whom an adequate course of treatment cannot be confirmed. Patients must be monitored closely for infections, including </w:t>
      </w:r>
      <w:proofErr w:type="spellStart"/>
      <w:r w:rsidRPr="00B54968">
        <w:rPr>
          <w:rFonts w:ascii="Times New Roman" w:hAnsi="Times New Roman" w:cs="Times New Roman"/>
          <w:color w:val="auto"/>
          <w:sz w:val="22"/>
          <w:szCs w:val="22"/>
        </w:rPr>
        <w:t>miliary</w:t>
      </w:r>
      <w:proofErr w:type="spellEnd"/>
      <w:r w:rsidRPr="00B54968">
        <w:rPr>
          <w:rFonts w:ascii="Times New Roman" w:hAnsi="Times New Roman" w:cs="Times New Roman"/>
          <w:color w:val="auto"/>
          <w:sz w:val="22"/>
          <w:szCs w:val="22"/>
        </w:rPr>
        <w:t xml:space="preserve"> tuberculosis, while on and after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t>
      </w:r>
    </w:p>
    <w:p w14:paraId="6F60D195" w14:textId="77777777" w:rsidR="00A02600" w:rsidRPr="00B54968" w:rsidRDefault="00A02600" w:rsidP="003E2009">
      <w:pPr>
        <w:pStyle w:val="Default"/>
        <w:rPr>
          <w:rFonts w:ascii="Times New Roman" w:hAnsi="Times New Roman" w:cs="Times New Roman"/>
          <w:color w:val="auto"/>
          <w:sz w:val="22"/>
          <w:szCs w:val="22"/>
        </w:rPr>
      </w:pPr>
    </w:p>
    <w:p w14:paraId="705540BB"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Use of anti-tuberculosis therapy should be considered before the initiation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who have several or highly significant risk factors for tuberculosis infection and have a negative test for latent tuberculosis. The decision to initiate anti-tuberculosis therapy in these patients should only be made following consultation with a physician with expertise in the treatment of tuberculosis and taking into account both the risk for latent tuberculosis infection and the risks of anti-tuberculosis therapy. </w:t>
      </w:r>
    </w:p>
    <w:p w14:paraId="11A12CAA" w14:textId="1D958839" w:rsidR="00A02600" w:rsidRPr="00B54968" w:rsidRDefault="00A02600" w:rsidP="003E2009">
      <w:pPr>
        <w:pStyle w:val="Default"/>
        <w:rPr>
          <w:rFonts w:ascii="Times New Roman" w:hAnsi="Times New Roman" w:cs="Times New Roman"/>
          <w:color w:val="auto"/>
          <w:sz w:val="22"/>
          <w:szCs w:val="22"/>
        </w:rPr>
      </w:pPr>
    </w:p>
    <w:p w14:paraId="6F3B2A6E" w14:textId="4EB1303C" w:rsidR="00A02600" w:rsidRPr="00B54968" w:rsidRDefault="007E2517"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active tuberculosis have occurred in patients treated with infliximab during and after </w:t>
      </w:r>
      <w:r w:rsidR="00FE2958" w:rsidRPr="00B54968">
        <w:rPr>
          <w:rFonts w:ascii="Times New Roman" w:hAnsi="Times New Roman" w:cs="Times New Roman"/>
          <w:color w:val="auto"/>
          <w:sz w:val="22"/>
          <w:szCs w:val="22"/>
        </w:rPr>
        <w:t>treatment</w:t>
      </w:r>
      <w:r w:rsidRPr="00B54968">
        <w:rPr>
          <w:rFonts w:ascii="Times New Roman" w:hAnsi="Times New Roman" w:cs="Times New Roman"/>
          <w:color w:val="auto"/>
          <w:sz w:val="22"/>
          <w:szCs w:val="22"/>
        </w:rPr>
        <w:t xml:space="preserve"> for latent tuberculosis.  Patients receiving </w:t>
      </w:r>
      <w:r w:rsidR="00281C64">
        <w:rPr>
          <w:rFonts w:ascii="Times New Roman" w:hAnsi="Times New Roman" w:cs="Times New Roman"/>
          <w:color w:val="auto"/>
          <w:sz w:val="22"/>
          <w:szCs w:val="22"/>
        </w:rPr>
        <w:t>INFLECTRA</w:t>
      </w:r>
      <w:r w:rsidR="00FE2958"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should be monitored closely for signs and symptoms of active tuberculosis during and after </w:t>
      </w:r>
      <w:r w:rsidR="00FE2958" w:rsidRPr="00B54968">
        <w:rPr>
          <w:rFonts w:ascii="Times New Roman" w:hAnsi="Times New Roman" w:cs="Times New Roman"/>
          <w:color w:val="auto"/>
          <w:sz w:val="22"/>
          <w:szCs w:val="22"/>
        </w:rPr>
        <w:t>treatment</w:t>
      </w:r>
      <w:r w:rsidRPr="00B54968">
        <w:rPr>
          <w:rFonts w:ascii="Times New Roman" w:hAnsi="Times New Roman" w:cs="Times New Roman"/>
          <w:color w:val="auto"/>
          <w:sz w:val="22"/>
          <w:szCs w:val="22"/>
        </w:rPr>
        <w:t xml:space="preserve">, </w:t>
      </w:r>
      <w:r w:rsidR="00FE2958" w:rsidRPr="00B54968">
        <w:rPr>
          <w:rFonts w:ascii="Times New Roman" w:hAnsi="Times New Roman" w:cs="Times New Roman"/>
          <w:color w:val="auto"/>
          <w:sz w:val="22"/>
          <w:szCs w:val="22"/>
        </w:rPr>
        <w:t>including</w:t>
      </w:r>
      <w:r w:rsidRPr="00B54968">
        <w:rPr>
          <w:rFonts w:ascii="Times New Roman" w:hAnsi="Times New Roman" w:cs="Times New Roman"/>
          <w:color w:val="auto"/>
          <w:sz w:val="22"/>
          <w:szCs w:val="22"/>
        </w:rPr>
        <w:t xml:space="preserve"> </w:t>
      </w:r>
      <w:r w:rsidR="00FE2958" w:rsidRPr="00B54968">
        <w:rPr>
          <w:rFonts w:ascii="Times New Roman" w:hAnsi="Times New Roman" w:cs="Times New Roman"/>
          <w:color w:val="auto"/>
          <w:sz w:val="22"/>
          <w:szCs w:val="22"/>
        </w:rPr>
        <w:t>patients</w:t>
      </w:r>
      <w:r w:rsidRPr="00B54968">
        <w:rPr>
          <w:rFonts w:ascii="Times New Roman" w:hAnsi="Times New Roman" w:cs="Times New Roman"/>
          <w:color w:val="auto"/>
          <w:sz w:val="22"/>
          <w:szCs w:val="22"/>
        </w:rPr>
        <w:t xml:space="preserve"> </w:t>
      </w:r>
      <w:r w:rsidR="00FE2958" w:rsidRPr="00B54968">
        <w:rPr>
          <w:rFonts w:ascii="Times New Roman" w:hAnsi="Times New Roman" w:cs="Times New Roman"/>
          <w:color w:val="auto"/>
          <w:sz w:val="22"/>
          <w:szCs w:val="22"/>
        </w:rPr>
        <w:t>who</w:t>
      </w:r>
      <w:r w:rsidRPr="00B54968">
        <w:rPr>
          <w:rFonts w:ascii="Times New Roman" w:hAnsi="Times New Roman" w:cs="Times New Roman"/>
          <w:color w:val="auto"/>
          <w:sz w:val="22"/>
          <w:szCs w:val="22"/>
        </w:rPr>
        <w:t xml:space="preserve"> tested negative for latent tuberculosis. </w:t>
      </w:r>
      <w:r w:rsidR="00334483" w:rsidRPr="00B54968">
        <w:rPr>
          <w:rFonts w:ascii="Times New Roman" w:hAnsi="Times New Roman" w:cs="Times New Roman"/>
          <w:color w:val="auto"/>
          <w:sz w:val="22"/>
          <w:szCs w:val="22"/>
        </w:rPr>
        <w:t xml:space="preserve">All patients should be informed to seek medical advice if signs/symptoms suggestive of tuberculosis (e.g. persistent cough, wasting/weight loss, low-grade fever) appear during or after </w:t>
      </w:r>
      <w:r w:rsidR="00F35FEA" w:rsidRPr="00B54968">
        <w:rPr>
          <w:rFonts w:ascii="Times New Roman" w:hAnsi="Times New Roman" w:cs="Times New Roman"/>
          <w:color w:val="auto"/>
          <w:sz w:val="22"/>
          <w:szCs w:val="22"/>
        </w:rPr>
        <w:t>infliximab</w:t>
      </w:r>
      <w:r w:rsidR="00334483" w:rsidRPr="00B54968">
        <w:rPr>
          <w:rFonts w:ascii="Times New Roman" w:hAnsi="Times New Roman" w:cs="Times New Roman"/>
          <w:color w:val="auto"/>
          <w:sz w:val="22"/>
          <w:szCs w:val="22"/>
        </w:rPr>
        <w:t xml:space="preserve"> treatment. </w:t>
      </w:r>
    </w:p>
    <w:p w14:paraId="4BD7B266" w14:textId="77777777" w:rsidR="00A02600" w:rsidRPr="00B54968" w:rsidRDefault="00A02600" w:rsidP="003E2009">
      <w:pPr>
        <w:pStyle w:val="Default"/>
        <w:rPr>
          <w:rFonts w:ascii="Times New Roman" w:hAnsi="Times New Roman" w:cs="Times New Roman"/>
          <w:color w:val="auto"/>
          <w:sz w:val="22"/>
          <w:szCs w:val="22"/>
        </w:rPr>
      </w:pPr>
    </w:p>
    <w:p w14:paraId="2CE3D763"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patients who have resided in or travelled to regions where invasive fungal infections such as histoplasmosis, </w:t>
      </w:r>
      <w:proofErr w:type="spellStart"/>
      <w:r w:rsidRPr="00B54968">
        <w:rPr>
          <w:rFonts w:ascii="Times New Roman" w:hAnsi="Times New Roman" w:cs="Times New Roman"/>
          <w:color w:val="auto"/>
          <w:sz w:val="22"/>
          <w:szCs w:val="22"/>
        </w:rPr>
        <w:t>coccidioidomycosis</w:t>
      </w:r>
      <w:proofErr w:type="spellEnd"/>
      <w:r w:rsidRPr="00B54968">
        <w:rPr>
          <w:rFonts w:ascii="Times New Roman" w:hAnsi="Times New Roman" w:cs="Times New Roman"/>
          <w:color w:val="auto"/>
          <w:sz w:val="22"/>
          <w:szCs w:val="22"/>
        </w:rPr>
        <w:t xml:space="preserve">, or </w:t>
      </w:r>
      <w:proofErr w:type="spellStart"/>
      <w:r w:rsidRPr="00B54968">
        <w:rPr>
          <w:rFonts w:ascii="Times New Roman" w:hAnsi="Times New Roman" w:cs="Times New Roman"/>
          <w:color w:val="auto"/>
          <w:sz w:val="22"/>
          <w:szCs w:val="22"/>
        </w:rPr>
        <w:t>blastomycosis</w:t>
      </w:r>
      <w:proofErr w:type="spellEnd"/>
      <w:r w:rsidRPr="00B54968">
        <w:rPr>
          <w:rFonts w:ascii="Times New Roman" w:hAnsi="Times New Roman" w:cs="Times New Roman"/>
          <w:color w:val="auto"/>
          <w:sz w:val="22"/>
          <w:szCs w:val="22"/>
        </w:rPr>
        <w:t xml:space="preserve"> are endemic, the benefits and risks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should be carefully considered before initiation or continuation of </w:t>
      </w:r>
      <w:r w:rsidR="00815D6A" w:rsidRPr="00B54968">
        <w:rPr>
          <w:rFonts w:ascii="Times New Roman" w:hAnsi="Times New Roman" w:cs="Times New Roman"/>
          <w:color w:val="auto"/>
          <w:sz w:val="22"/>
          <w:szCs w:val="22"/>
        </w:rPr>
        <w:t>infliximab t</w:t>
      </w:r>
      <w:r w:rsidRPr="00B54968">
        <w:rPr>
          <w:rFonts w:ascii="Times New Roman" w:hAnsi="Times New Roman" w:cs="Times New Roman"/>
          <w:color w:val="auto"/>
          <w:sz w:val="22"/>
          <w:szCs w:val="22"/>
        </w:rPr>
        <w:t xml:space="preserve">herapy. </w:t>
      </w:r>
    </w:p>
    <w:p w14:paraId="3BCAACC2" w14:textId="77777777" w:rsidR="00A02600" w:rsidRPr="00B54968" w:rsidRDefault="00A02600" w:rsidP="003E2009">
      <w:pPr>
        <w:pStyle w:val="Default"/>
        <w:rPr>
          <w:rFonts w:ascii="Times New Roman" w:hAnsi="Times New Roman" w:cs="Times New Roman"/>
          <w:color w:val="auto"/>
          <w:sz w:val="22"/>
          <w:szCs w:val="22"/>
        </w:rPr>
      </w:pPr>
    </w:p>
    <w:p w14:paraId="6952665E"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patients treated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 invasive fungal infection such as </w:t>
      </w:r>
      <w:proofErr w:type="spellStart"/>
      <w:r w:rsidRPr="00B54968">
        <w:rPr>
          <w:rFonts w:ascii="Times New Roman" w:hAnsi="Times New Roman" w:cs="Times New Roman"/>
          <w:color w:val="auto"/>
          <w:sz w:val="22"/>
          <w:szCs w:val="22"/>
        </w:rPr>
        <w:t>aspergillosis</w:t>
      </w:r>
      <w:proofErr w:type="spellEnd"/>
      <w:r w:rsidRPr="00B54968">
        <w:rPr>
          <w:rFonts w:ascii="Times New Roman" w:hAnsi="Times New Roman" w:cs="Times New Roman"/>
          <w:color w:val="auto"/>
          <w:sz w:val="22"/>
          <w:szCs w:val="22"/>
        </w:rPr>
        <w:t xml:space="preserve">, candidiasis, </w:t>
      </w:r>
      <w:proofErr w:type="spellStart"/>
      <w:r w:rsidRPr="00B54968">
        <w:rPr>
          <w:rFonts w:ascii="Times New Roman" w:hAnsi="Times New Roman" w:cs="Times New Roman"/>
          <w:color w:val="auto"/>
          <w:sz w:val="22"/>
          <w:szCs w:val="22"/>
        </w:rPr>
        <w:t>pneumocystosis</w:t>
      </w:r>
      <w:proofErr w:type="spellEnd"/>
      <w:r w:rsidRPr="00B54968">
        <w:rPr>
          <w:rFonts w:ascii="Times New Roman" w:hAnsi="Times New Roman" w:cs="Times New Roman"/>
          <w:color w:val="auto"/>
          <w:sz w:val="22"/>
          <w:szCs w:val="22"/>
        </w:rPr>
        <w:t xml:space="preserve">, histoplasmosis, </w:t>
      </w:r>
      <w:proofErr w:type="spellStart"/>
      <w:r w:rsidRPr="00B54968">
        <w:rPr>
          <w:rFonts w:ascii="Times New Roman" w:hAnsi="Times New Roman" w:cs="Times New Roman"/>
          <w:color w:val="auto"/>
          <w:sz w:val="22"/>
          <w:szCs w:val="22"/>
        </w:rPr>
        <w:t>coccidioidomycosis</w:t>
      </w:r>
      <w:proofErr w:type="spellEnd"/>
      <w:r w:rsidRPr="00B54968">
        <w:rPr>
          <w:rFonts w:ascii="Times New Roman" w:hAnsi="Times New Roman" w:cs="Times New Roman"/>
          <w:color w:val="auto"/>
          <w:sz w:val="22"/>
          <w:szCs w:val="22"/>
        </w:rPr>
        <w:t xml:space="preserve"> or </w:t>
      </w:r>
      <w:proofErr w:type="spellStart"/>
      <w:r w:rsidRPr="00B54968">
        <w:rPr>
          <w:rFonts w:ascii="Times New Roman" w:hAnsi="Times New Roman" w:cs="Times New Roman"/>
          <w:color w:val="auto"/>
          <w:sz w:val="22"/>
          <w:szCs w:val="22"/>
        </w:rPr>
        <w:t>blastomycosis</w:t>
      </w:r>
      <w:proofErr w:type="spellEnd"/>
      <w:r w:rsidRPr="00B54968">
        <w:rPr>
          <w:rFonts w:ascii="Times New Roman" w:hAnsi="Times New Roman" w:cs="Times New Roman"/>
          <w:color w:val="auto"/>
          <w:sz w:val="22"/>
          <w:szCs w:val="22"/>
        </w:rPr>
        <w:t xml:space="preserve"> should be suspected if they develop a serious systemic illness. Invasive fungal infections may present as disseminated rather than localized disease, and antigen and antibody testing may be negative in some patients with active </w:t>
      </w:r>
      <w:r w:rsidRPr="00B54968">
        <w:rPr>
          <w:rFonts w:ascii="Times New Roman" w:hAnsi="Times New Roman" w:cs="Times New Roman"/>
          <w:color w:val="auto"/>
          <w:sz w:val="22"/>
          <w:szCs w:val="22"/>
        </w:rPr>
        <w:lastRenderedPageBreak/>
        <w:t xml:space="preserve">infection. Appropriate empiric antifungal therapy should be considered while a diagnostic workup is being performed. The decision to administer empiric antifungal therapy should be made, if feasible, in consultation with a physician with expertise in the diagnosis and treatment of invasive fungal infections and should take into account both the risk for severe fungal infection and the risks of anti-fungal therapy. </w:t>
      </w:r>
    </w:p>
    <w:p w14:paraId="192E0076" w14:textId="77777777" w:rsidR="00A02600" w:rsidRPr="00B54968" w:rsidRDefault="00A02600" w:rsidP="003E2009">
      <w:pPr>
        <w:pStyle w:val="Default"/>
        <w:rPr>
          <w:rFonts w:ascii="Times New Roman" w:hAnsi="Times New Roman" w:cs="Times New Roman"/>
          <w:color w:val="auto"/>
          <w:sz w:val="22"/>
          <w:szCs w:val="22"/>
        </w:rPr>
      </w:pPr>
    </w:p>
    <w:p w14:paraId="14D48051"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Other infections </w:t>
      </w:r>
    </w:p>
    <w:p w14:paraId="374B67E9"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Invasive fungal infections and other opportunistic infections have been observed in patients receiving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Caution should be exercised when considering the use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a chronic infection or a history of recurrent infection. Patients must be monitored closely for infections while on and after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Suppression of TNFα may also mask symptoms of infection such as fever. Patients who develop a serious new infection while undergoing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be treated for the infection as quickly as possible and monitored closely. During treatment with infliximab patients should be carefully monitored for respiratory tract and urinary tract infections.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must be discontinued if a patient develops a serious infection or sepsis. As the elimination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may take up to six months, a close monitoring of the patients throughout this period is important. </w:t>
      </w:r>
    </w:p>
    <w:p w14:paraId="62DE303B" w14:textId="77777777" w:rsidR="00A02600" w:rsidRPr="00B54968" w:rsidRDefault="00A02600" w:rsidP="003E2009">
      <w:pPr>
        <w:pStyle w:val="Default"/>
        <w:rPr>
          <w:rFonts w:ascii="Times New Roman" w:hAnsi="Times New Roman" w:cs="Times New Roman"/>
          <w:color w:val="auto"/>
          <w:sz w:val="22"/>
          <w:szCs w:val="22"/>
        </w:rPr>
      </w:pPr>
    </w:p>
    <w:p w14:paraId="00ED386E"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use of TNFα blocking agents in patients with chronic viral infections such as HIV, Hepatitis B or C has not been studied. Therefore, </w:t>
      </w:r>
      <w:r w:rsidR="00815D6A"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should not be given to these patients. </w:t>
      </w:r>
    </w:p>
    <w:p w14:paraId="279A8424" w14:textId="77777777" w:rsidR="00A02600" w:rsidRPr="00B54968" w:rsidRDefault="00A02600" w:rsidP="003E2009">
      <w:pPr>
        <w:pStyle w:val="Default"/>
        <w:rPr>
          <w:rFonts w:ascii="Times New Roman" w:hAnsi="Times New Roman" w:cs="Times New Roman"/>
          <w:color w:val="auto"/>
          <w:sz w:val="22"/>
          <w:szCs w:val="22"/>
        </w:rPr>
      </w:pPr>
    </w:p>
    <w:p w14:paraId="6DCC2B0C"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with </w:t>
      </w:r>
      <w:proofErr w:type="spellStart"/>
      <w:r w:rsidRPr="00B54968">
        <w:rPr>
          <w:rFonts w:ascii="Times New Roman" w:hAnsi="Times New Roman" w:cs="Times New Roman"/>
          <w:color w:val="auto"/>
          <w:sz w:val="22"/>
          <w:szCs w:val="22"/>
        </w:rPr>
        <w:t>fistulising</w:t>
      </w:r>
      <w:proofErr w:type="spellEnd"/>
      <w:r w:rsidRPr="00B54968">
        <w:rPr>
          <w:rFonts w:ascii="Times New Roman" w:hAnsi="Times New Roman" w:cs="Times New Roman"/>
          <w:color w:val="auto"/>
          <w:sz w:val="22"/>
          <w:szCs w:val="22"/>
        </w:rPr>
        <w:t xml:space="preserve"> Crohn’s disease with acute </w:t>
      </w:r>
      <w:proofErr w:type="spellStart"/>
      <w:r w:rsidRPr="00B54968">
        <w:rPr>
          <w:rFonts w:ascii="Times New Roman" w:hAnsi="Times New Roman" w:cs="Times New Roman"/>
          <w:color w:val="auto"/>
          <w:sz w:val="22"/>
          <w:szCs w:val="22"/>
        </w:rPr>
        <w:t>suppurative</w:t>
      </w:r>
      <w:proofErr w:type="spellEnd"/>
      <w:r w:rsidRPr="00B54968">
        <w:rPr>
          <w:rFonts w:ascii="Times New Roman" w:hAnsi="Times New Roman" w:cs="Times New Roman"/>
          <w:color w:val="auto"/>
          <w:sz w:val="22"/>
          <w:szCs w:val="22"/>
        </w:rPr>
        <w:t xml:space="preserve"> fistulas should not initiate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until a source for possible infection, specifically abscess, has been excluded (see CONTRAINDICATIONS). </w:t>
      </w:r>
    </w:p>
    <w:p w14:paraId="4C9C6C20" w14:textId="77777777" w:rsidR="00A02600" w:rsidRPr="00B54968" w:rsidRDefault="00A02600" w:rsidP="003E2009">
      <w:pPr>
        <w:pStyle w:val="Default"/>
        <w:rPr>
          <w:rFonts w:ascii="Times New Roman" w:hAnsi="Times New Roman" w:cs="Times New Roman"/>
          <w:color w:val="auto"/>
          <w:sz w:val="22"/>
          <w:szCs w:val="22"/>
        </w:rPr>
      </w:pPr>
    </w:p>
    <w:p w14:paraId="27ECD421" w14:textId="77777777" w:rsidR="00A02600" w:rsidRPr="00B54968" w:rsidRDefault="00334483" w:rsidP="003E2009">
      <w:pPr>
        <w:spacing w:after="0" w:line="240" w:lineRule="auto"/>
        <w:rPr>
          <w:rFonts w:ascii="Times New Roman" w:hAnsi="Times New Roman" w:cs="Times New Roman"/>
        </w:rPr>
      </w:pPr>
      <w:r w:rsidRPr="00B54968">
        <w:rPr>
          <w:rFonts w:ascii="Times New Roman" w:hAnsi="Times New Roman" w:cs="Times New Roman"/>
        </w:rPr>
        <w:t xml:space="preserve">There is limited safety experience of surgical procedures in </w:t>
      </w:r>
      <w:r w:rsidR="00815D6A" w:rsidRPr="00B54968">
        <w:rPr>
          <w:rFonts w:ascii="Times New Roman" w:hAnsi="Times New Roman" w:cs="Times New Roman"/>
        </w:rPr>
        <w:t xml:space="preserve">infliximab </w:t>
      </w:r>
      <w:r w:rsidRPr="00B54968">
        <w:rPr>
          <w:rFonts w:ascii="Times New Roman" w:hAnsi="Times New Roman" w:cs="Times New Roman"/>
        </w:rPr>
        <w:t xml:space="preserve">treated patients. A patient who requires surgery while on </w:t>
      </w:r>
      <w:r w:rsidR="00815D6A" w:rsidRPr="00B54968">
        <w:rPr>
          <w:rFonts w:ascii="Times New Roman" w:hAnsi="Times New Roman" w:cs="Times New Roman"/>
        </w:rPr>
        <w:t>infliximab</w:t>
      </w:r>
      <w:r w:rsidRPr="00B54968">
        <w:rPr>
          <w:rFonts w:ascii="Times New Roman" w:hAnsi="Times New Roman" w:cs="Times New Roman"/>
        </w:rPr>
        <w:t xml:space="preserve"> should be closely monitored for infections, and appropriate actions should be taken.</w:t>
      </w:r>
    </w:p>
    <w:p w14:paraId="4392BAEC" w14:textId="77777777" w:rsidR="00A02600" w:rsidRPr="00B54968" w:rsidRDefault="00A02600" w:rsidP="003E2009">
      <w:pPr>
        <w:pStyle w:val="Default"/>
        <w:rPr>
          <w:rFonts w:ascii="Times New Roman" w:hAnsi="Times New Roman" w:cs="Times New Roman"/>
          <w:color w:val="auto"/>
          <w:sz w:val="22"/>
          <w:szCs w:val="22"/>
          <w:u w:val="single"/>
        </w:rPr>
      </w:pPr>
    </w:p>
    <w:p w14:paraId="6F19CDC4"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Use in psoriasis </w:t>
      </w:r>
    </w:p>
    <w:p w14:paraId="4BF7D6D5"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infliximab in combination with other immunosuppressive agents used in psoriasis or with phototherapy have not been studied. Infliximab should not be used in combination with such agents because of the possibility of excessive immunosuppression. </w:t>
      </w:r>
    </w:p>
    <w:p w14:paraId="7DF98251" w14:textId="77777777" w:rsidR="00A02600" w:rsidRPr="00B54968" w:rsidRDefault="00A02600" w:rsidP="003E2009">
      <w:pPr>
        <w:pStyle w:val="Default"/>
        <w:rPr>
          <w:rFonts w:ascii="Times New Roman" w:hAnsi="Times New Roman" w:cs="Times New Roman"/>
          <w:color w:val="auto"/>
          <w:sz w:val="22"/>
          <w:szCs w:val="22"/>
        </w:rPr>
      </w:pPr>
    </w:p>
    <w:p w14:paraId="68094E91"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Concurrent administration of TNF-alpha inhibitor and </w:t>
      </w:r>
      <w:proofErr w:type="spellStart"/>
      <w:r w:rsidRPr="003E2009">
        <w:rPr>
          <w:rFonts w:ascii="Times New Roman" w:hAnsi="Times New Roman" w:cs="Times New Roman"/>
          <w:color w:val="auto"/>
          <w:sz w:val="22"/>
          <w:szCs w:val="22"/>
        </w:rPr>
        <w:t>anakinra</w:t>
      </w:r>
      <w:proofErr w:type="spellEnd"/>
      <w:r w:rsidRPr="003E2009">
        <w:rPr>
          <w:rFonts w:ascii="Times New Roman" w:hAnsi="Times New Roman" w:cs="Times New Roman"/>
          <w:color w:val="auto"/>
          <w:sz w:val="22"/>
          <w:szCs w:val="22"/>
        </w:rPr>
        <w:t xml:space="preserve"> </w:t>
      </w:r>
    </w:p>
    <w:p w14:paraId="4817F54E"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Concurrent administration of </w:t>
      </w:r>
      <w:proofErr w:type="spellStart"/>
      <w:r w:rsidRPr="00B54968">
        <w:rPr>
          <w:rFonts w:ascii="Times New Roman" w:hAnsi="Times New Roman" w:cs="Times New Roman"/>
          <w:color w:val="auto"/>
          <w:sz w:val="22"/>
          <w:szCs w:val="22"/>
        </w:rPr>
        <w:t>etanercept</w:t>
      </w:r>
      <w:proofErr w:type="spellEnd"/>
      <w:r w:rsidRPr="00B54968">
        <w:rPr>
          <w:rFonts w:ascii="Times New Roman" w:hAnsi="Times New Roman" w:cs="Times New Roman"/>
          <w:color w:val="auto"/>
          <w:sz w:val="22"/>
          <w:szCs w:val="22"/>
        </w:rPr>
        <w:t xml:space="preserve"> (another agent that inhibits TNFα) and </w:t>
      </w:r>
      <w:proofErr w:type="spellStart"/>
      <w:r w:rsidRPr="00B54968">
        <w:rPr>
          <w:rFonts w:ascii="Times New Roman" w:hAnsi="Times New Roman" w:cs="Times New Roman"/>
          <w:color w:val="auto"/>
          <w:sz w:val="22"/>
          <w:szCs w:val="22"/>
        </w:rPr>
        <w:t>anakinra</w:t>
      </w:r>
      <w:proofErr w:type="spellEnd"/>
      <w:r w:rsidRPr="00B54968">
        <w:rPr>
          <w:rFonts w:ascii="Times New Roman" w:hAnsi="Times New Roman" w:cs="Times New Roman"/>
          <w:color w:val="auto"/>
          <w:sz w:val="22"/>
          <w:szCs w:val="22"/>
        </w:rPr>
        <w:t xml:space="preserve"> (a recombinant, non-glycosylated form of the human interleukin-1 receptor antagonist) has been associated with an increased risk of serious infections, an increased risk of </w:t>
      </w:r>
      <w:proofErr w:type="spellStart"/>
      <w:r w:rsidRPr="00B54968">
        <w:rPr>
          <w:rFonts w:ascii="Times New Roman" w:hAnsi="Times New Roman" w:cs="Times New Roman"/>
          <w:color w:val="auto"/>
          <w:sz w:val="22"/>
          <w:szCs w:val="22"/>
        </w:rPr>
        <w:t>neutropaenia</w:t>
      </w:r>
      <w:proofErr w:type="spellEnd"/>
      <w:r w:rsidRPr="00B54968">
        <w:rPr>
          <w:rFonts w:ascii="Times New Roman" w:hAnsi="Times New Roman" w:cs="Times New Roman"/>
          <w:color w:val="auto"/>
          <w:sz w:val="22"/>
          <w:szCs w:val="22"/>
        </w:rPr>
        <w:t xml:space="preserve"> and no additional benefit compared to these medicinal products alone. The safety and efficacy of </w:t>
      </w:r>
      <w:proofErr w:type="spellStart"/>
      <w:r w:rsidRPr="00B54968">
        <w:rPr>
          <w:rFonts w:ascii="Times New Roman" w:hAnsi="Times New Roman" w:cs="Times New Roman"/>
          <w:color w:val="auto"/>
          <w:sz w:val="22"/>
          <w:szCs w:val="22"/>
        </w:rPr>
        <w:t>anakinra</w:t>
      </w:r>
      <w:proofErr w:type="spellEnd"/>
      <w:r w:rsidRPr="00B54968">
        <w:rPr>
          <w:rFonts w:ascii="Times New Roman" w:hAnsi="Times New Roman" w:cs="Times New Roman"/>
          <w:color w:val="auto"/>
          <w:sz w:val="22"/>
          <w:szCs w:val="22"/>
        </w:rPr>
        <w:t xml:space="preserve"> used in combination with infliximab has not been established. Therefore, combination of infliximab and </w:t>
      </w:r>
      <w:proofErr w:type="spellStart"/>
      <w:r w:rsidRPr="00B54968">
        <w:rPr>
          <w:rFonts w:ascii="Times New Roman" w:hAnsi="Times New Roman" w:cs="Times New Roman"/>
          <w:color w:val="auto"/>
          <w:sz w:val="22"/>
          <w:szCs w:val="22"/>
        </w:rPr>
        <w:t>anakinra</w:t>
      </w:r>
      <w:proofErr w:type="spellEnd"/>
      <w:r w:rsidRPr="00B54968">
        <w:rPr>
          <w:rFonts w:ascii="Times New Roman" w:hAnsi="Times New Roman" w:cs="Times New Roman"/>
          <w:color w:val="auto"/>
          <w:sz w:val="22"/>
          <w:szCs w:val="22"/>
        </w:rPr>
        <w:t xml:space="preserve"> is contraindicated. </w:t>
      </w:r>
    </w:p>
    <w:p w14:paraId="5A2A8900" w14:textId="77777777" w:rsidR="00A02600" w:rsidRPr="00B54968" w:rsidRDefault="00A02600" w:rsidP="003E2009">
      <w:pPr>
        <w:pStyle w:val="Default"/>
        <w:rPr>
          <w:rFonts w:ascii="Times New Roman" w:hAnsi="Times New Roman" w:cs="Times New Roman"/>
          <w:color w:val="auto"/>
          <w:sz w:val="22"/>
          <w:szCs w:val="22"/>
        </w:rPr>
      </w:pPr>
    </w:p>
    <w:p w14:paraId="2CD6B2C5"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Concurrent administration of TNF-alpha inhibitor and </w:t>
      </w:r>
      <w:proofErr w:type="spellStart"/>
      <w:r w:rsidRPr="003E2009">
        <w:rPr>
          <w:rFonts w:ascii="Times New Roman" w:hAnsi="Times New Roman" w:cs="Times New Roman"/>
          <w:color w:val="auto"/>
          <w:sz w:val="22"/>
          <w:szCs w:val="22"/>
        </w:rPr>
        <w:t>abatacept</w:t>
      </w:r>
      <w:proofErr w:type="spellEnd"/>
      <w:r w:rsidRPr="003E2009">
        <w:rPr>
          <w:rFonts w:ascii="Times New Roman" w:hAnsi="Times New Roman" w:cs="Times New Roman"/>
          <w:color w:val="auto"/>
          <w:sz w:val="22"/>
          <w:szCs w:val="22"/>
        </w:rPr>
        <w:t xml:space="preserve"> </w:t>
      </w:r>
    </w:p>
    <w:p w14:paraId="43950D60"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concurrent administration of TNF-blocking agents and </w:t>
      </w:r>
      <w:proofErr w:type="spellStart"/>
      <w:r w:rsidRPr="00B54968">
        <w:rPr>
          <w:rFonts w:ascii="Times New Roman" w:hAnsi="Times New Roman" w:cs="Times New Roman"/>
          <w:color w:val="auto"/>
          <w:sz w:val="22"/>
          <w:szCs w:val="22"/>
        </w:rPr>
        <w:t>abatacept</w:t>
      </w:r>
      <w:proofErr w:type="spellEnd"/>
      <w:r w:rsidRPr="00B54968">
        <w:rPr>
          <w:rFonts w:ascii="Times New Roman" w:hAnsi="Times New Roman" w:cs="Times New Roman"/>
          <w:color w:val="auto"/>
          <w:sz w:val="22"/>
          <w:szCs w:val="22"/>
        </w:rPr>
        <w:t xml:space="preserve"> have been associated with an increased risk of infections including serious infections compared with TNF-blocking agents alone, without increased clinical benefit. Because of the nature of the adverse events seen with the combination of TNF-blocking agents and </w:t>
      </w:r>
      <w:proofErr w:type="spellStart"/>
      <w:r w:rsidRPr="00B54968">
        <w:rPr>
          <w:rFonts w:ascii="Times New Roman" w:hAnsi="Times New Roman" w:cs="Times New Roman"/>
          <w:color w:val="auto"/>
          <w:sz w:val="22"/>
          <w:szCs w:val="22"/>
        </w:rPr>
        <w:t>abatacept</w:t>
      </w:r>
      <w:proofErr w:type="spellEnd"/>
      <w:r w:rsidRPr="00B54968">
        <w:rPr>
          <w:rFonts w:ascii="Times New Roman" w:hAnsi="Times New Roman" w:cs="Times New Roman"/>
          <w:color w:val="auto"/>
          <w:sz w:val="22"/>
          <w:szCs w:val="22"/>
        </w:rPr>
        <w:t xml:space="preserve"> therapy, the combination of infliximab and </w:t>
      </w:r>
      <w:proofErr w:type="spellStart"/>
      <w:r w:rsidRPr="00B54968">
        <w:rPr>
          <w:rFonts w:ascii="Times New Roman" w:hAnsi="Times New Roman" w:cs="Times New Roman"/>
          <w:color w:val="auto"/>
          <w:sz w:val="22"/>
          <w:szCs w:val="22"/>
        </w:rPr>
        <w:t>abatacept</w:t>
      </w:r>
      <w:proofErr w:type="spellEnd"/>
      <w:r w:rsidRPr="00B54968">
        <w:rPr>
          <w:rFonts w:ascii="Times New Roman" w:hAnsi="Times New Roman" w:cs="Times New Roman"/>
          <w:color w:val="auto"/>
          <w:sz w:val="22"/>
          <w:szCs w:val="22"/>
        </w:rPr>
        <w:t xml:space="preserve"> is not recommended. </w:t>
      </w:r>
    </w:p>
    <w:p w14:paraId="482F0599" w14:textId="77777777" w:rsidR="00A02600" w:rsidRPr="00B54968" w:rsidRDefault="00A02600" w:rsidP="003E2009">
      <w:pPr>
        <w:pStyle w:val="Default"/>
        <w:rPr>
          <w:rFonts w:ascii="Times New Roman" w:hAnsi="Times New Roman" w:cs="Times New Roman"/>
          <w:color w:val="auto"/>
          <w:sz w:val="22"/>
          <w:szCs w:val="22"/>
        </w:rPr>
      </w:pPr>
    </w:p>
    <w:p w14:paraId="4EF6A3BC" w14:textId="77777777" w:rsidR="00CA139F" w:rsidRPr="003E2009" w:rsidRDefault="00CA139F"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Concurrent Administration with other Biological Therapeutics</w:t>
      </w:r>
    </w:p>
    <w:p w14:paraId="66F44560" w14:textId="34A54B95" w:rsidR="00CA139F" w:rsidRPr="00B54968" w:rsidRDefault="00CA139F"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There is insufficient information regarding the concomitant use of </w:t>
      </w:r>
      <w:r w:rsidR="00281C64">
        <w:rPr>
          <w:rFonts w:ascii="Times New Roman" w:hAnsi="Times New Roman" w:cs="Times New Roman"/>
          <w:color w:val="auto"/>
          <w:sz w:val="22"/>
          <w:szCs w:val="22"/>
        </w:rPr>
        <w:t>INFLECTRA</w:t>
      </w:r>
      <w:r w:rsidRPr="00B54968">
        <w:rPr>
          <w:rFonts w:ascii="Times New Roman" w:hAnsi="Times New Roman" w:cs="Times New Roman"/>
          <w:color w:val="auto"/>
          <w:sz w:val="22"/>
          <w:szCs w:val="22"/>
        </w:rPr>
        <w:t xml:space="preserve"> with other</w:t>
      </w:r>
      <w:r w:rsidR="00FB36AE"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biological therapeutics used to treat the same conditions as </w:t>
      </w:r>
      <w:r w:rsidR="00281C64">
        <w:rPr>
          <w:rFonts w:ascii="Times New Roman" w:hAnsi="Times New Roman" w:cs="Times New Roman"/>
          <w:color w:val="auto"/>
          <w:sz w:val="22"/>
          <w:szCs w:val="22"/>
        </w:rPr>
        <w:t>INFLECTRA</w:t>
      </w:r>
      <w:r w:rsidRPr="00B54968">
        <w:rPr>
          <w:rFonts w:ascii="Times New Roman" w:hAnsi="Times New Roman" w:cs="Times New Roman"/>
          <w:color w:val="auto"/>
          <w:sz w:val="22"/>
          <w:szCs w:val="22"/>
        </w:rPr>
        <w:t>. The concomitant use</w:t>
      </w:r>
      <w:r w:rsidR="00FB36AE"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of </w:t>
      </w:r>
      <w:r w:rsidR="00281C64">
        <w:rPr>
          <w:rFonts w:ascii="Times New Roman" w:hAnsi="Times New Roman" w:cs="Times New Roman"/>
          <w:color w:val="auto"/>
          <w:sz w:val="22"/>
          <w:szCs w:val="22"/>
        </w:rPr>
        <w:t>INFLECTRA</w:t>
      </w:r>
      <w:r w:rsidRPr="00B54968">
        <w:rPr>
          <w:rFonts w:ascii="Times New Roman" w:hAnsi="Times New Roman" w:cs="Times New Roman"/>
          <w:color w:val="auto"/>
          <w:sz w:val="22"/>
          <w:szCs w:val="22"/>
        </w:rPr>
        <w:t xml:space="preserve"> with these biologics is not recommended because of the possibility of an</w:t>
      </w:r>
      <w:r w:rsidR="00FB36AE"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increased risk of infection.</w:t>
      </w:r>
    </w:p>
    <w:p w14:paraId="44166B29" w14:textId="77777777" w:rsidR="00CA139F" w:rsidRDefault="00CA139F" w:rsidP="003E2009">
      <w:pPr>
        <w:pStyle w:val="Default"/>
        <w:rPr>
          <w:rFonts w:ascii="Times New Roman" w:hAnsi="Times New Roman" w:cs="Times New Roman"/>
          <w:i/>
          <w:iCs/>
          <w:sz w:val="22"/>
          <w:szCs w:val="22"/>
        </w:rPr>
      </w:pPr>
    </w:p>
    <w:p w14:paraId="5E6D7496" w14:textId="77777777" w:rsidR="00CD64D2" w:rsidRPr="00B54968" w:rsidRDefault="00CD64D2" w:rsidP="003E2009">
      <w:pPr>
        <w:pStyle w:val="Default"/>
        <w:rPr>
          <w:rFonts w:ascii="Times New Roman" w:hAnsi="Times New Roman" w:cs="Times New Roman"/>
          <w:i/>
          <w:iCs/>
          <w:sz w:val="22"/>
          <w:szCs w:val="22"/>
        </w:rPr>
      </w:pPr>
    </w:p>
    <w:p w14:paraId="2B19E454"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lastRenderedPageBreak/>
        <w:t xml:space="preserve">Switching between Biological </w:t>
      </w:r>
      <w:r w:rsidR="008669BA" w:rsidRPr="003E2009">
        <w:rPr>
          <w:rFonts w:ascii="Times New Roman" w:hAnsi="Times New Roman" w:cs="Times New Roman"/>
          <w:color w:val="auto"/>
          <w:sz w:val="22"/>
          <w:szCs w:val="22"/>
        </w:rPr>
        <w:t xml:space="preserve">Therapeutics </w:t>
      </w:r>
    </w:p>
    <w:p w14:paraId="1B593B97"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When switching from one biologic to another, patients should continue to be monitored for signs of infection. </w:t>
      </w:r>
    </w:p>
    <w:p w14:paraId="494FD7DC" w14:textId="77777777" w:rsidR="00A02600" w:rsidRPr="00B54968" w:rsidRDefault="00A02600" w:rsidP="003E2009">
      <w:pPr>
        <w:pStyle w:val="Default"/>
        <w:rPr>
          <w:rFonts w:ascii="Times New Roman" w:hAnsi="Times New Roman" w:cs="Times New Roman"/>
          <w:color w:val="auto"/>
          <w:sz w:val="22"/>
          <w:szCs w:val="22"/>
        </w:rPr>
      </w:pPr>
    </w:p>
    <w:p w14:paraId="1719021E"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Neurological events </w:t>
      </w:r>
    </w:p>
    <w:p w14:paraId="357301A8"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and other agents that inhibit TNFα have been associated in rare cases with seizure and new onset or exacerbation of clinical symptoms and/or radiographic evidence of central nervous system demyelinating disorders including multiple sclerosis, and optic neuritis, and peripheral demyelinating disorders, including Guillain-Barre syndrome (see ADVERSE EFFECTS). Prescribers should exercise caution in considering the use of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these neurological disorders and should consider discontinuation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if these disorders develop. </w:t>
      </w:r>
    </w:p>
    <w:p w14:paraId="18134BD2" w14:textId="77777777" w:rsidR="00A02600" w:rsidRPr="00B54968" w:rsidRDefault="00A02600" w:rsidP="003E2009">
      <w:pPr>
        <w:pStyle w:val="Default"/>
        <w:rPr>
          <w:rFonts w:ascii="Times New Roman" w:hAnsi="Times New Roman" w:cs="Times New Roman"/>
          <w:color w:val="auto"/>
          <w:sz w:val="22"/>
          <w:szCs w:val="22"/>
        </w:rPr>
      </w:pPr>
    </w:p>
    <w:p w14:paraId="37507D33" w14:textId="77777777" w:rsidR="00A02600" w:rsidRPr="003E2009" w:rsidRDefault="00334483" w:rsidP="003E2009">
      <w:pPr>
        <w:pStyle w:val="Default"/>
        <w:rPr>
          <w:rFonts w:ascii="Times New Roman" w:hAnsi="Times New Roman" w:cs="Times New Roman"/>
          <w:color w:val="auto"/>
          <w:sz w:val="22"/>
          <w:szCs w:val="22"/>
        </w:rPr>
      </w:pPr>
      <w:proofErr w:type="spellStart"/>
      <w:r w:rsidRPr="003E2009">
        <w:rPr>
          <w:rFonts w:ascii="Times New Roman" w:hAnsi="Times New Roman" w:cs="Times New Roman"/>
          <w:color w:val="auto"/>
          <w:sz w:val="22"/>
          <w:szCs w:val="22"/>
        </w:rPr>
        <w:t>Haematological</w:t>
      </w:r>
      <w:proofErr w:type="spellEnd"/>
      <w:r w:rsidRPr="003E2009">
        <w:rPr>
          <w:rFonts w:ascii="Times New Roman" w:hAnsi="Times New Roman" w:cs="Times New Roman"/>
          <w:color w:val="auto"/>
          <w:sz w:val="22"/>
          <w:szCs w:val="22"/>
        </w:rPr>
        <w:t xml:space="preserve"> Events </w:t>
      </w:r>
    </w:p>
    <w:p w14:paraId="25DFD310"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w:t>
      </w:r>
      <w:proofErr w:type="spellStart"/>
      <w:r w:rsidRPr="00B54968">
        <w:rPr>
          <w:rFonts w:ascii="Times New Roman" w:hAnsi="Times New Roman" w:cs="Times New Roman"/>
          <w:color w:val="auto"/>
          <w:sz w:val="22"/>
          <w:szCs w:val="22"/>
        </w:rPr>
        <w:t>leukopaenia</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neutropaenia</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thrombocytopaenia</w:t>
      </w:r>
      <w:proofErr w:type="spellEnd"/>
      <w:r w:rsidRPr="00B54968">
        <w:rPr>
          <w:rFonts w:ascii="Times New Roman" w:hAnsi="Times New Roman" w:cs="Times New Roman"/>
          <w:color w:val="auto"/>
          <w:sz w:val="22"/>
          <w:szCs w:val="22"/>
        </w:rPr>
        <w:t xml:space="preserve">, and </w:t>
      </w:r>
      <w:proofErr w:type="spellStart"/>
      <w:r w:rsidRPr="00B54968">
        <w:rPr>
          <w:rFonts w:ascii="Times New Roman" w:hAnsi="Times New Roman" w:cs="Times New Roman"/>
          <w:color w:val="auto"/>
          <w:sz w:val="22"/>
          <w:szCs w:val="22"/>
        </w:rPr>
        <w:t>pancytopaenia</w:t>
      </w:r>
      <w:proofErr w:type="spellEnd"/>
      <w:r w:rsidRPr="00B54968">
        <w:rPr>
          <w:rFonts w:ascii="Times New Roman" w:hAnsi="Times New Roman" w:cs="Times New Roman"/>
          <w:color w:val="auto"/>
          <w:sz w:val="22"/>
          <w:szCs w:val="22"/>
        </w:rPr>
        <w:t xml:space="preserve">, some with a fatal outcome, have been reported in patients receiving TNF-blockers, including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 causal relationship to </w:t>
      </w:r>
      <w:r w:rsidR="00604C0E"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therapy remains unclear. Although no high-risk group(s) has been identified, caution should be exercised in patients being treated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who have ongoing or a history of significant </w:t>
      </w:r>
      <w:proofErr w:type="spellStart"/>
      <w:r w:rsidRPr="00B54968">
        <w:rPr>
          <w:rFonts w:ascii="Times New Roman" w:hAnsi="Times New Roman" w:cs="Times New Roman"/>
          <w:color w:val="auto"/>
          <w:sz w:val="22"/>
          <w:szCs w:val="22"/>
        </w:rPr>
        <w:t>haematological</w:t>
      </w:r>
      <w:proofErr w:type="spellEnd"/>
      <w:r w:rsidRPr="00B54968">
        <w:rPr>
          <w:rFonts w:ascii="Times New Roman" w:hAnsi="Times New Roman" w:cs="Times New Roman"/>
          <w:color w:val="auto"/>
          <w:sz w:val="22"/>
          <w:szCs w:val="22"/>
        </w:rPr>
        <w:t xml:space="preserve"> abnormalities. All patients should be advised to seek immediate medical attention if they develop signs and symptoms suggestive of blood </w:t>
      </w:r>
      <w:proofErr w:type="spellStart"/>
      <w:r w:rsidRPr="00B54968">
        <w:rPr>
          <w:rFonts w:ascii="Times New Roman" w:hAnsi="Times New Roman" w:cs="Times New Roman"/>
          <w:color w:val="auto"/>
          <w:sz w:val="22"/>
          <w:szCs w:val="22"/>
        </w:rPr>
        <w:t>dyscrasias</w:t>
      </w:r>
      <w:proofErr w:type="spellEnd"/>
      <w:r w:rsidRPr="00B54968">
        <w:rPr>
          <w:rFonts w:ascii="Times New Roman" w:hAnsi="Times New Roman" w:cs="Times New Roman"/>
          <w:color w:val="auto"/>
          <w:sz w:val="22"/>
          <w:szCs w:val="22"/>
        </w:rPr>
        <w:t xml:space="preserve"> or infection (e.g. persistent fever) while on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Discontinuation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should be considered in patients who develop significant </w:t>
      </w:r>
      <w:proofErr w:type="spellStart"/>
      <w:r w:rsidRPr="00B54968">
        <w:rPr>
          <w:rFonts w:ascii="Times New Roman" w:hAnsi="Times New Roman" w:cs="Times New Roman"/>
          <w:color w:val="auto"/>
          <w:sz w:val="22"/>
          <w:szCs w:val="22"/>
        </w:rPr>
        <w:t>haematological</w:t>
      </w:r>
      <w:proofErr w:type="spellEnd"/>
      <w:r w:rsidRPr="00B54968">
        <w:rPr>
          <w:rFonts w:ascii="Times New Roman" w:hAnsi="Times New Roman" w:cs="Times New Roman"/>
          <w:color w:val="auto"/>
          <w:sz w:val="22"/>
          <w:szCs w:val="22"/>
        </w:rPr>
        <w:t xml:space="preserve"> abnormalities. </w:t>
      </w:r>
    </w:p>
    <w:p w14:paraId="16B0D5DF" w14:textId="77777777" w:rsidR="00A02600" w:rsidRPr="00B54968" w:rsidRDefault="00A02600" w:rsidP="003E2009">
      <w:pPr>
        <w:pStyle w:val="Default"/>
        <w:rPr>
          <w:rFonts w:ascii="Times New Roman" w:hAnsi="Times New Roman" w:cs="Times New Roman"/>
          <w:color w:val="auto"/>
          <w:sz w:val="22"/>
          <w:szCs w:val="22"/>
        </w:rPr>
      </w:pPr>
    </w:p>
    <w:p w14:paraId="19098350" w14:textId="77777777" w:rsidR="00A02600" w:rsidRPr="003E2009" w:rsidRDefault="005967C8"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Live Vaccines/Therapeutic Infectious Agents</w:t>
      </w:r>
    </w:p>
    <w:p w14:paraId="13EF55F8" w14:textId="44516780" w:rsidR="00E72AAC" w:rsidRPr="00E72AAC" w:rsidRDefault="005967C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patients receiving anti-TNF therapy, limited data are available on the responses to vaccination or on the secondary transmission of infection by live vaccines. Use of live vaccines could result in clinical infections, including disseminated infections. </w:t>
      </w:r>
      <w:r w:rsidR="00E72AAC" w:rsidRPr="00E72AAC">
        <w:rPr>
          <w:rFonts w:ascii="Times New Roman" w:hAnsi="Times New Roman" w:cs="Times New Roman"/>
          <w:color w:val="auto"/>
          <w:sz w:val="22"/>
          <w:szCs w:val="22"/>
        </w:rPr>
        <w:t>The concurrent</w:t>
      </w:r>
      <w:r w:rsidR="00E72AAC">
        <w:rPr>
          <w:rFonts w:ascii="Times New Roman" w:hAnsi="Times New Roman" w:cs="Times New Roman"/>
          <w:color w:val="auto"/>
          <w:sz w:val="22"/>
          <w:szCs w:val="22"/>
        </w:rPr>
        <w:t xml:space="preserve"> </w:t>
      </w:r>
      <w:r w:rsidR="00E72AAC" w:rsidRPr="00E72AAC">
        <w:rPr>
          <w:rFonts w:ascii="Times New Roman" w:hAnsi="Times New Roman" w:cs="Times New Roman"/>
          <w:color w:val="auto"/>
          <w:sz w:val="22"/>
          <w:szCs w:val="22"/>
        </w:rPr>
        <w:t xml:space="preserve">administration of live vaccines with </w:t>
      </w:r>
      <w:r w:rsidR="00281C64">
        <w:rPr>
          <w:rFonts w:ascii="Times New Roman" w:hAnsi="Times New Roman" w:cs="Times New Roman"/>
          <w:color w:val="auto"/>
          <w:sz w:val="22"/>
          <w:szCs w:val="22"/>
        </w:rPr>
        <w:t>INFLECTRA</w:t>
      </w:r>
      <w:r w:rsidR="00E72AAC" w:rsidRPr="00E72AAC">
        <w:rPr>
          <w:rFonts w:ascii="Times New Roman" w:hAnsi="Times New Roman" w:cs="Times New Roman"/>
          <w:color w:val="auto"/>
          <w:sz w:val="22"/>
          <w:szCs w:val="22"/>
        </w:rPr>
        <w:t xml:space="preserve"> is not recommended.</w:t>
      </w:r>
    </w:p>
    <w:p w14:paraId="72C8F7A2" w14:textId="77777777" w:rsidR="00E72AAC" w:rsidRDefault="00E72AAC" w:rsidP="003E2009">
      <w:pPr>
        <w:pStyle w:val="Default"/>
        <w:rPr>
          <w:rFonts w:ascii="Times New Roman" w:hAnsi="Times New Roman" w:cs="Times New Roman"/>
          <w:color w:val="auto"/>
          <w:sz w:val="22"/>
          <w:szCs w:val="22"/>
        </w:rPr>
      </w:pPr>
    </w:p>
    <w:p w14:paraId="08B30772" w14:textId="5C713EDD" w:rsidR="00A02600" w:rsidRPr="00B54968" w:rsidRDefault="00E72AAC" w:rsidP="003E2009">
      <w:pPr>
        <w:pStyle w:val="Default"/>
        <w:rPr>
          <w:rFonts w:ascii="Times New Roman" w:hAnsi="Times New Roman" w:cs="Times New Roman"/>
          <w:color w:val="auto"/>
          <w:sz w:val="22"/>
          <w:szCs w:val="22"/>
        </w:rPr>
      </w:pPr>
      <w:r w:rsidRPr="00E72AAC">
        <w:rPr>
          <w:rFonts w:ascii="Times New Roman" w:hAnsi="Times New Roman" w:cs="Times New Roman"/>
          <w:color w:val="auto"/>
          <w:sz w:val="22"/>
          <w:szCs w:val="22"/>
        </w:rPr>
        <w:t xml:space="preserve">Fatal outcome due to disseminated </w:t>
      </w:r>
      <w:proofErr w:type="spellStart"/>
      <w:r w:rsidRPr="00F35599">
        <w:rPr>
          <w:rFonts w:ascii="Times New Roman" w:hAnsi="Times New Roman" w:cs="Times New Roman"/>
          <w:i/>
        </w:rPr>
        <w:t>Bacille</w:t>
      </w:r>
      <w:proofErr w:type="spellEnd"/>
      <w:r w:rsidRPr="00F35599">
        <w:rPr>
          <w:rFonts w:ascii="Times New Roman" w:hAnsi="Times New Roman" w:cs="Times New Roman"/>
          <w:i/>
        </w:rPr>
        <w:t xml:space="preserve"> </w:t>
      </w:r>
      <w:proofErr w:type="spellStart"/>
      <w:r w:rsidRPr="00F35599">
        <w:rPr>
          <w:rFonts w:ascii="Times New Roman" w:hAnsi="Times New Roman" w:cs="Times New Roman"/>
          <w:i/>
        </w:rPr>
        <w:t>Calmette-Guérin</w:t>
      </w:r>
      <w:proofErr w:type="spellEnd"/>
      <w:r w:rsidRPr="00E72AAC">
        <w:rPr>
          <w:rFonts w:ascii="Times New Roman" w:hAnsi="Times New Roman" w:cs="Times New Roman"/>
          <w:color w:val="auto"/>
          <w:sz w:val="22"/>
          <w:szCs w:val="22"/>
        </w:rPr>
        <w:t xml:space="preserve"> (BCG) infection has been</w:t>
      </w:r>
      <w:r>
        <w:rPr>
          <w:rFonts w:ascii="Times New Roman" w:hAnsi="Times New Roman" w:cs="Times New Roman"/>
          <w:color w:val="auto"/>
          <w:sz w:val="22"/>
          <w:szCs w:val="22"/>
        </w:rPr>
        <w:t xml:space="preserve"> </w:t>
      </w:r>
      <w:r w:rsidRPr="00E72AAC">
        <w:rPr>
          <w:rFonts w:ascii="Times New Roman" w:hAnsi="Times New Roman" w:cs="Times New Roman"/>
          <w:color w:val="auto"/>
          <w:sz w:val="22"/>
          <w:szCs w:val="22"/>
        </w:rPr>
        <w:t>reported in an infant who received BCG vaccine after in utero exposure to infliximab. At least</w:t>
      </w:r>
      <w:r>
        <w:rPr>
          <w:rFonts w:ascii="Times New Roman" w:hAnsi="Times New Roman" w:cs="Times New Roman"/>
          <w:color w:val="auto"/>
          <w:sz w:val="22"/>
          <w:szCs w:val="22"/>
        </w:rPr>
        <w:t xml:space="preserve"> </w:t>
      </w:r>
      <w:r w:rsidRPr="00E72AAC">
        <w:rPr>
          <w:rFonts w:ascii="Times New Roman" w:hAnsi="Times New Roman" w:cs="Times New Roman"/>
          <w:color w:val="auto"/>
          <w:sz w:val="22"/>
          <w:szCs w:val="22"/>
        </w:rPr>
        <w:t>a six month waiting period following birth is recommended before the administration of live</w:t>
      </w:r>
      <w:r>
        <w:rPr>
          <w:rFonts w:ascii="Times New Roman" w:hAnsi="Times New Roman" w:cs="Times New Roman"/>
          <w:color w:val="auto"/>
          <w:sz w:val="22"/>
          <w:szCs w:val="22"/>
        </w:rPr>
        <w:t xml:space="preserve"> </w:t>
      </w:r>
      <w:r w:rsidRPr="00E72AAC">
        <w:rPr>
          <w:rFonts w:ascii="Times New Roman" w:hAnsi="Times New Roman" w:cs="Times New Roman"/>
          <w:color w:val="auto"/>
          <w:sz w:val="22"/>
          <w:szCs w:val="22"/>
        </w:rPr>
        <w:t>vaccines to infants exposed in utero to infliximab (see Use in Pregnancy).</w:t>
      </w:r>
    </w:p>
    <w:p w14:paraId="57315B62" w14:textId="01FC6136" w:rsidR="00A02600" w:rsidRPr="00B54968" w:rsidRDefault="005967C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Other uses of therapeutic infectious agents such as live attenuated bacteria (e.g., BCG bladder instillation for the treatment of cancer) could result in clinical infections, including disseminated infections. It is recommended that therapeutic infectious agents not be given concurrently with </w:t>
      </w:r>
      <w:r w:rsidR="00281C64">
        <w:rPr>
          <w:rFonts w:ascii="Times New Roman" w:hAnsi="Times New Roman" w:cs="Times New Roman"/>
          <w:color w:val="auto"/>
          <w:sz w:val="22"/>
          <w:szCs w:val="22"/>
        </w:rPr>
        <w:t>INFLECTRA</w:t>
      </w:r>
      <w:r w:rsidR="00994311"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w:t>
      </w:r>
    </w:p>
    <w:p w14:paraId="1B8B9692" w14:textId="77777777" w:rsidR="00A02600" w:rsidRPr="00B54968" w:rsidRDefault="00A02600" w:rsidP="003E2009">
      <w:pPr>
        <w:pStyle w:val="Default"/>
        <w:rPr>
          <w:rFonts w:ascii="Times New Roman" w:hAnsi="Times New Roman" w:cs="Times New Roman"/>
          <w:color w:val="auto"/>
          <w:sz w:val="22"/>
          <w:szCs w:val="22"/>
        </w:rPr>
      </w:pPr>
    </w:p>
    <w:p w14:paraId="551C1BF4" w14:textId="77777777" w:rsidR="00A02600" w:rsidRPr="003E2009" w:rsidRDefault="005967C8"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Non-live vaccines</w:t>
      </w:r>
    </w:p>
    <w:p w14:paraId="32695355" w14:textId="77777777" w:rsidR="00A02600" w:rsidRPr="00B54968" w:rsidRDefault="00334483" w:rsidP="003E2009">
      <w:pPr>
        <w:spacing w:line="240" w:lineRule="auto"/>
        <w:rPr>
          <w:rFonts w:ascii="Times New Roman" w:hAnsi="Times New Roman" w:cs="Times New Roman"/>
        </w:rPr>
      </w:pPr>
      <w:r w:rsidRPr="00B54968">
        <w:rPr>
          <w:rFonts w:ascii="Times New Roman" w:hAnsi="Times New Roman" w:cs="Times New Roman"/>
        </w:rPr>
        <w:t xml:space="preserve">In a subset of patients from the ASPIRE study, a similar proportion of patients in each treatment group mounted an effective two-fold increase in </w:t>
      </w:r>
      <w:proofErr w:type="spellStart"/>
      <w:r w:rsidRPr="00B54968">
        <w:rPr>
          <w:rFonts w:ascii="Times New Roman" w:hAnsi="Times New Roman" w:cs="Times New Roman"/>
        </w:rPr>
        <w:t>titres</w:t>
      </w:r>
      <w:proofErr w:type="spellEnd"/>
      <w:r w:rsidRPr="00B54968">
        <w:rPr>
          <w:rFonts w:ascii="Times New Roman" w:hAnsi="Times New Roman" w:cs="Times New Roman"/>
        </w:rPr>
        <w:t xml:space="preserve"> to a polyvalent pneumococcal vaccine, indicating that </w:t>
      </w:r>
      <w:r w:rsidR="00815D6A" w:rsidRPr="00B54968">
        <w:rPr>
          <w:rFonts w:ascii="Times New Roman" w:hAnsi="Times New Roman" w:cs="Times New Roman"/>
        </w:rPr>
        <w:t>infliximab</w:t>
      </w:r>
      <w:r w:rsidRPr="00B54968">
        <w:rPr>
          <w:rFonts w:ascii="Times New Roman" w:hAnsi="Times New Roman" w:cs="Times New Roman"/>
        </w:rPr>
        <w:t xml:space="preserve"> did not interfere with T-cell independent humoral immune responses.</w:t>
      </w:r>
    </w:p>
    <w:p w14:paraId="0DAEA8BE"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Use in patients with congestive heart failure </w:t>
      </w:r>
    </w:p>
    <w:p w14:paraId="008C31BB"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Treatment should be discontinued in patients whose congestive heart failure is worsening.</w:t>
      </w:r>
    </w:p>
    <w:p w14:paraId="1D5C88F6"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p>
    <w:p w14:paraId="01FEF76D" w14:textId="61528D5B"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Treatment discontinuation should be considered in patients with stable congestive heart failure, especially in those who have not had a significant clinical response to </w:t>
      </w:r>
      <w:r w:rsidR="00604C0E"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If a decision is made to continue treatment, cardiac status should be closely monitored. </w:t>
      </w:r>
    </w:p>
    <w:p w14:paraId="2D66B61A" w14:textId="77777777" w:rsidR="00A02600" w:rsidRPr="00B54968" w:rsidRDefault="00A02600" w:rsidP="003E2009">
      <w:pPr>
        <w:pStyle w:val="Default"/>
        <w:rPr>
          <w:rFonts w:ascii="Times New Roman" w:hAnsi="Times New Roman" w:cs="Times New Roman"/>
          <w:color w:val="auto"/>
          <w:sz w:val="22"/>
          <w:szCs w:val="22"/>
        </w:rPr>
      </w:pPr>
    </w:p>
    <w:p w14:paraId="5864C6B2"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Hepatobiliary Events </w:t>
      </w:r>
    </w:p>
    <w:p w14:paraId="2D277930"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Very rare cases of jaundice and non-infectious hepatitis, some with features of autoimmune hepatitis, have been observed in the post-marketing experience of </w:t>
      </w:r>
      <w:r w:rsidR="0039387D"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Isolated cases of liver failure resulting in liver transplantation or death have occurred. A causal relationship between </w:t>
      </w:r>
      <w:r w:rsidR="00604C0E"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and these events has not been established. Patients with symptoms or signs of liver dysfunction should be evaluated for evidence of liver injury. If jaundice and/or ALT elevations ≥5 times the upper limit of </w:t>
      </w:r>
      <w:r w:rsidRPr="00B54968">
        <w:rPr>
          <w:rFonts w:ascii="Times New Roman" w:hAnsi="Times New Roman" w:cs="Times New Roman"/>
          <w:color w:val="auto"/>
          <w:sz w:val="22"/>
          <w:szCs w:val="22"/>
        </w:rPr>
        <w:lastRenderedPageBreak/>
        <w:t xml:space="preserve">normal develops,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be discontinued, and a thorough investigation of the abnormality should be undertaken. As also observed with the use of other immunosuppressive drugs, reactivation of hepatitis B has occurred in patients receiving </w:t>
      </w:r>
      <w:r w:rsidR="00604C0E"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who are chronic carriers of this virus (i.e. surface antigen positive). Patients should be tested for Hepatitis B Virus (HBV) infection before initiating treatment with </w:t>
      </w:r>
      <w:proofErr w:type="spellStart"/>
      <w:r w:rsidRPr="00B54968">
        <w:rPr>
          <w:rFonts w:ascii="Times New Roman" w:hAnsi="Times New Roman" w:cs="Times New Roman"/>
          <w:color w:val="auto"/>
          <w:sz w:val="22"/>
          <w:szCs w:val="22"/>
        </w:rPr>
        <w:t>immunosuppressants</w:t>
      </w:r>
      <w:proofErr w:type="spellEnd"/>
      <w:r w:rsidRPr="00B54968">
        <w:rPr>
          <w:rFonts w:ascii="Times New Roman" w:hAnsi="Times New Roman" w:cs="Times New Roman"/>
          <w:color w:val="auto"/>
          <w:sz w:val="22"/>
          <w:szCs w:val="22"/>
        </w:rPr>
        <w:t xml:space="preserve">, including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For patients who test positive for hepatitis B surface antigen, consultation with a physician with expertise in the treatment of hepatitis B is recommended</w:t>
      </w:r>
      <w:r w:rsidRPr="00B54968">
        <w:rPr>
          <w:rFonts w:ascii="Times New Roman" w:hAnsi="Times New Roman" w:cs="Times New Roman"/>
          <w:i/>
          <w:iCs/>
          <w:color w:val="auto"/>
          <w:sz w:val="22"/>
          <w:szCs w:val="22"/>
        </w:rPr>
        <w:t xml:space="preserve">. </w:t>
      </w:r>
      <w:r w:rsidRPr="00B54968">
        <w:rPr>
          <w:rFonts w:ascii="Times New Roman" w:hAnsi="Times New Roman" w:cs="Times New Roman"/>
          <w:color w:val="auto"/>
          <w:sz w:val="22"/>
          <w:szCs w:val="22"/>
        </w:rPr>
        <w:t xml:space="preserve">Chronic carriers of hepatitis B should be appropriately evaluated and monitored prior to the initiation of, during treatment with, and for several months following the discontinuation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t>
      </w:r>
    </w:p>
    <w:p w14:paraId="5E60F26A" w14:textId="77777777" w:rsidR="00A02600" w:rsidRPr="00B54968" w:rsidRDefault="00A02600" w:rsidP="003E2009">
      <w:pPr>
        <w:pStyle w:val="Default"/>
        <w:rPr>
          <w:rFonts w:ascii="Times New Roman" w:hAnsi="Times New Roman" w:cs="Times New Roman"/>
          <w:color w:val="auto"/>
          <w:sz w:val="22"/>
          <w:szCs w:val="22"/>
        </w:rPr>
      </w:pPr>
    </w:p>
    <w:p w14:paraId="4840AD64"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Carcinogenicity</w:t>
      </w:r>
    </w:p>
    <w:p w14:paraId="7448A9D8"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Long-term studies in animals have not been performed to evaluate the carcinogenic potential</w:t>
      </w:r>
      <w:r w:rsidR="0003418E" w:rsidRPr="00B54968">
        <w:rPr>
          <w:rFonts w:ascii="Times New Roman" w:hAnsi="Times New Roman" w:cs="Times New Roman"/>
          <w:color w:val="auto"/>
          <w:sz w:val="22"/>
          <w:szCs w:val="22"/>
        </w:rPr>
        <w:t xml:space="preserve"> of infliximab</w:t>
      </w:r>
      <w:r w:rsidRPr="00B54968">
        <w:rPr>
          <w:rFonts w:ascii="Times New Roman" w:hAnsi="Times New Roman" w:cs="Times New Roman"/>
          <w:color w:val="auto"/>
          <w:sz w:val="22"/>
          <w:szCs w:val="22"/>
        </w:rPr>
        <w:t xml:space="preserve">. </w:t>
      </w:r>
    </w:p>
    <w:p w14:paraId="22A8BF7A" w14:textId="77777777" w:rsidR="00A02600" w:rsidRPr="00B54968" w:rsidRDefault="00A02600" w:rsidP="003E2009">
      <w:pPr>
        <w:pStyle w:val="Default"/>
        <w:rPr>
          <w:rFonts w:ascii="Times New Roman" w:hAnsi="Times New Roman" w:cs="Times New Roman"/>
          <w:color w:val="auto"/>
          <w:sz w:val="22"/>
          <w:szCs w:val="22"/>
        </w:rPr>
      </w:pPr>
    </w:p>
    <w:p w14:paraId="3EC67679" w14:textId="77777777" w:rsidR="00A02600" w:rsidRPr="00B54968" w:rsidRDefault="00652BF9" w:rsidP="003E2009">
      <w:pPr>
        <w:pStyle w:val="Default"/>
        <w:rPr>
          <w:rFonts w:ascii="Times New Roman" w:hAnsi="Times New Roman" w:cs="Times New Roman"/>
          <w:color w:val="auto"/>
          <w:sz w:val="22"/>
          <w:szCs w:val="22"/>
          <w:u w:val="single"/>
        </w:rPr>
      </w:pPr>
      <w:proofErr w:type="spellStart"/>
      <w:r w:rsidRPr="00B54968">
        <w:rPr>
          <w:rFonts w:ascii="Times New Roman" w:hAnsi="Times New Roman" w:cs="Times New Roman"/>
          <w:color w:val="auto"/>
          <w:sz w:val="22"/>
          <w:szCs w:val="22"/>
          <w:u w:val="single"/>
        </w:rPr>
        <w:t>Genotoxicity</w:t>
      </w:r>
      <w:proofErr w:type="spellEnd"/>
    </w:p>
    <w:p w14:paraId="5EBBE0EA"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No genotoxic effects of infliximab were observed in assays for chromosomal damage (an assay performed using human lymphocytes and the in vivo mouse micronucleus test) or gene mutations (Salmonella-Escherichia coli, Ames, assay). </w:t>
      </w:r>
    </w:p>
    <w:p w14:paraId="68B04C7E" w14:textId="77777777" w:rsidR="00A02600" w:rsidRPr="00B54968" w:rsidRDefault="00A02600" w:rsidP="003E2009">
      <w:pPr>
        <w:pStyle w:val="Default"/>
        <w:rPr>
          <w:rFonts w:ascii="Times New Roman" w:hAnsi="Times New Roman" w:cs="Times New Roman"/>
          <w:color w:val="auto"/>
          <w:sz w:val="22"/>
          <w:szCs w:val="22"/>
        </w:rPr>
      </w:pPr>
    </w:p>
    <w:p w14:paraId="4E7375A8" w14:textId="77777777" w:rsidR="00A02600" w:rsidRPr="003E2009" w:rsidRDefault="00652BF9"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Effects on Fertility</w:t>
      </w:r>
    </w:p>
    <w:p w14:paraId="3E759FD9"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effect of infliximab on fertility has not been investigated. No impairment of fertility was observed in a fertility and general reproduction study conducted in mice using an analogous antibody that selectively inhibits the functional activity of mouse TNFα. </w:t>
      </w:r>
    </w:p>
    <w:p w14:paraId="41821E4D" w14:textId="77777777" w:rsidR="00A02600" w:rsidRPr="00B54968" w:rsidRDefault="00A02600" w:rsidP="003E2009">
      <w:pPr>
        <w:pStyle w:val="Default"/>
        <w:rPr>
          <w:rFonts w:ascii="Times New Roman" w:hAnsi="Times New Roman" w:cs="Times New Roman"/>
          <w:color w:val="auto"/>
          <w:sz w:val="22"/>
          <w:szCs w:val="22"/>
        </w:rPr>
      </w:pPr>
    </w:p>
    <w:p w14:paraId="37D13AFA"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Use in Pregnancy (Category C) </w:t>
      </w:r>
    </w:p>
    <w:p w14:paraId="70D05BD7" w14:textId="0C465AD3" w:rsidR="00A02600" w:rsidRPr="00B54968" w:rsidRDefault="00DB651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Category C: Drugs which, owing to their pharmacological effects, have caused or may be suspected of causing, harmful effects on the human fetus or neonate without causing malformations. These effects may be reversible</w:t>
      </w:r>
      <w:r w:rsidR="003E2009">
        <w:rPr>
          <w:rFonts w:ascii="Times New Roman" w:hAnsi="Times New Roman" w:cs="Times New Roman"/>
          <w:color w:val="auto"/>
          <w:sz w:val="22"/>
          <w:szCs w:val="22"/>
        </w:rPr>
        <w:t>.</w:t>
      </w:r>
    </w:p>
    <w:p w14:paraId="04602AD7" w14:textId="77777777" w:rsidR="00A02600" w:rsidRPr="00B54968" w:rsidRDefault="00A02600" w:rsidP="003E2009">
      <w:pPr>
        <w:pStyle w:val="Default"/>
        <w:rPr>
          <w:rFonts w:ascii="Times New Roman" w:hAnsi="Times New Roman" w:cs="Times New Roman"/>
          <w:color w:val="auto"/>
          <w:sz w:val="22"/>
          <w:szCs w:val="22"/>
        </w:rPr>
      </w:pPr>
    </w:p>
    <w:p w14:paraId="78582496" w14:textId="77777777" w:rsidR="00A02600" w:rsidRPr="00B54968" w:rsidRDefault="00604C0E"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334483" w:rsidRPr="00B54968">
        <w:rPr>
          <w:rFonts w:ascii="Times New Roman" w:hAnsi="Times New Roman" w:cs="Times New Roman"/>
          <w:color w:val="auto"/>
          <w:sz w:val="22"/>
          <w:szCs w:val="22"/>
        </w:rPr>
        <w:t xml:space="preserve">is not recommended for use during pregnancy. It is not known whether </w:t>
      </w:r>
      <w:r w:rsidRPr="00B54968">
        <w:rPr>
          <w:rFonts w:ascii="Times New Roman" w:hAnsi="Times New Roman" w:cs="Times New Roman"/>
          <w:color w:val="auto"/>
          <w:sz w:val="22"/>
          <w:szCs w:val="22"/>
        </w:rPr>
        <w:t>infliximab</w:t>
      </w:r>
      <w:r w:rsidR="00334483" w:rsidRPr="00B54968">
        <w:rPr>
          <w:rFonts w:ascii="Times New Roman" w:hAnsi="Times New Roman" w:cs="Times New Roman"/>
          <w:color w:val="auto"/>
          <w:sz w:val="22"/>
          <w:szCs w:val="22"/>
        </w:rPr>
        <w:t xml:space="preserve"> can affect reproductive capacity or can cause </w:t>
      </w:r>
      <w:proofErr w:type="spellStart"/>
      <w:r w:rsidR="00334483" w:rsidRPr="00B54968">
        <w:rPr>
          <w:rFonts w:ascii="Times New Roman" w:hAnsi="Times New Roman" w:cs="Times New Roman"/>
          <w:color w:val="auto"/>
          <w:sz w:val="22"/>
          <w:szCs w:val="22"/>
        </w:rPr>
        <w:t>foetal</w:t>
      </w:r>
      <w:proofErr w:type="spellEnd"/>
      <w:r w:rsidR="00334483" w:rsidRPr="00B54968">
        <w:rPr>
          <w:rFonts w:ascii="Times New Roman" w:hAnsi="Times New Roman" w:cs="Times New Roman"/>
          <w:color w:val="auto"/>
          <w:sz w:val="22"/>
          <w:szCs w:val="22"/>
        </w:rPr>
        <w:t xml:space="preserve"> harm when administered to a pregnant woman. Women of childbearing potential must use adequate contraception to prevent pregnancy and continue its use for at least 6 months after the last </w:t>
      </w:r>
      <w:r w:rsidRPr="00B54968">
        <w:rPr>
          <w:rFonts w:ascii="Times New Roman" w:hAnsi="Times New Roman" w:cs="Times New Roman"/>
          <w:color w:val="auto"/>
          <w:sz w:val="22"/>
          <w:szCs w:val="22"/>
        </w:rPr>
        <w:t xml:space="preserve">infliximab </w:t>
      </w:r>
      <w:r w:rsidR="00334483" w:rsidRPr="00B54968">
        <w:rPr>
          <w:rFonts w:ascii="Times New Roman" w:hAnsi="Times New Roman" w:cs="Times New Roman"/>
          <w:color w:val="auto"/>
          <w:sz w:val="22"/>
          <w:szCs w:val="22"/>
        </w:rPr>
        <w:t xml:space="preserve">treatment. </w:t>
      </w:r>
    </w:p>
    <w:p w14:paraId="68808E51" w14:textId="77777777" w:rsidR="00A02600" w:rsidRPr="00B54968" w:rsidRDefault="00A02600" w:rsidP="003E2009">
      <w:pPr>
        <w:pStyle w:val="Default"/>
        <w:rPr>
          <w:rFonts w:ascii="Times New Roman" w:hAnsi="Times New Roman" w:cs="Times New Roman"/>
          <w:color w:val="auto"/>
          <w:sz w:val="22"/>
          <w:szCs w:val="22"/>
        </w:rPr>
      </w:pPr>
    </w:p>
    <w:p w14:paraId="26E0B522" w14:textId="1C044400" w:rsidR="00A02600" w:rsidRPr="00B54968" w:rsidRDefault="00522FE8"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As with </w:t>
      </w:r>
      <w:r w:rsidR="00334483" w:rsidRPr="00B54968">
        <w:rPr>
          <w:rFonts w:ascii="Times New Roman" w:hAnsi="Times New Roman" w:cs="Times New Roman"/>
          <w:color w:val="auto"/>
          <w:sz w:val="22"/>
          <w:szCs w:val="22"/>
        </w:rPr>
        <w:t>other IgG antibodies,</w:t>
      </w:r>
      <w:r w:rsidR="00604C0E" w:rsidRPr="00B54968">
        <w:rPr>
          <w:rFonts w:ascii="Times New Roman" w:hAnsi="Times New Roman" w:cs="Times New Roman"/>
          <w:color w:val="auto"/>
          <w:sz w:val="22"/>
          <w:szCs w:val="22"/>
        </w:rPr>
        <w:t xml:space="preserve"> infliximab </w:t>
      </w:r>
      <w:r w:rsidR="00334483" w:rsidRPr="00B54968">
        <w:rPr>
          <w:rFonts w:ascii="Times New Roman" w:hAnsi="Times New Roman" w:cs="Times New Roman"/>
          <w:color w:val="auto"/>
          <w:sz w:val="22"/>
          <w:szCs w:val="22"/>
        </w:rPr>
        <w:t>crosses the placenta</w:t>
      </w:r>
      <w:r>
        <w:rPr>
          <w:rFonts w:ascii="Times New Roman" w:hAnsi="Times New Roman" w:cs="Times New Roman"/>
          <w:color w:val="auto"/>
          <w:sz w:val="22"/>
          <w:szCs w:val="22"/>
        </w:rPr>
        <w:t xml:space="preserve">.  Infliximab has been detected </w:t>
      </w:r>
      <w:r w:rsidR="00334483" w:rsidRPr="00B54968">
        <w:rPr>
          <w:rFonts w:ascii="Times New Roman" w:hAnsi="Times New Roman" w:cs="Times New Roman"/>
          <w:color w:val="auto"/>
          <w:sz w:val="22"/>
          <w:szCs w:val="22"/>
        </w:rPr>
        <w:t xml:space="preserve">in the serum of infants </w:t>
      </w:r>
      <w:r>
        <w:rPr>
          <w:rFonts w:ascii="Times New Roman" w:hAnsi="Times New Roman" w:cs="Times New Roman"/>
          <w:color w:val="auto"/>
          <w:sz w:val="22"/>
          <w:szCs w:val="22"/>
        </w:rPr>
        <w:t xml:space="preserve"> up to six months following birth.</w:t>
      </w:r>
      <w:r w:rsidR="00334483" w:rsidRPr="00B54968">
        <w:rPr>
          <w:rFonts w:ascii="Times New Roman" w:hAnsi="Times New Roman" w:cs="Times New Roman"/>
          <w:color w:val="auto"/>
          <w:sz w:val="22"/>
          <w:szCs w:val="22"/>
        </w:rPr>
        <w:t xml:space="preserve">. </w:t>
      </w:r>
      <w:r>
        <w:rPr>
          <w:rFonts w:ascii="Times New Roman" w:hAnsi="Times New Roman" w:cs="Times New Roman"/>
          <w:color w:val="auto"/>
          <w:sz w:val="22"/>
          <w:szCs w:val="22"/>
        </w:rPr>
        <w:t>After in utero exposure to infliximab, infants may be at increased risk of infection, including disseminated infection that can become fatal (</w:t>
      </w:r>
      <w:r w:rsidR="00334483" w:rsidRPr="00B54968">
        <w:rPr>
          <w:rFonts w:ascii="Times New Roman" w:hAnsi="Times New Roman" w:cs="Times New Roman"/>
          <w:color w:val="auto"/>
          <w:sz w:val="22"/>
          <w:szCs w:val="22"/>
        </w:rPr>
        <w:t xml:space="preserve">(see PRECAUTIONS, Vaccinations). </w:t>
      </w:r>
    </w:p>
    <w:p w14:paraId="1591AEEC" w14:textId="77777777" w:rsidR="00A02600" w:rsidRPr="00B54968" w:rsidRDefault="00A02600" w:rsidP="003E2009">
      <w:pPr>
        <w:pStyle w:val="Default"/>
        <w:rPr>
          <w:rFonts w:ascii="Times New Roman" w:hAnsi="Times New Roman" w:cs="Times New Roman"/>
          <w:color w:val="auto"/>
          <w:sz w:val="22"/>
          <w:szCs w:val="22"/>
        </w:rPr>
      </w:pPr>
    </w:p>
    <w:p w14:paraId="10F057D9" w14:textId="77777777" w:rsidR="00A02600" w:rsidRPr="00B54968" w:rsidRDefault="0033448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Because infliximab does not cross react with TNFα in species other than humans and chimpanzees, animal reproduction studies have not been conducted. In a developmental toxicity study conducted in mice using an analogous monoclonal antibody that selectively inhibits the functional activity of mouse TNFα, no evidence of maternal toxicity, </w:t>
      </w:r>
      <w:proofErr w:type="spellStart"/>
      <w:r w:rsidRPr="00B54968">
        <w:rPr>
          <w:rFonts w:ascii="Times New Roman" w:hAnsi="Times New Roman" w:cs="Times New Roman"/>
          <w:color w:val="auto"/>
          <w:sz w:val="22"/>
          <w:szCs w:val="22"/>
        </w:rPr>
        <w:t>embryotoxicity</w:t>
      </w:r>
      <w:proofErr w:type="spellEnd"/>
      <w:r w:rsidRPr="00B54968">
        <w:rPr>
          <w:rFonts w:ascii="Times New Roman" w:hAnsi="Times New Roman" w:cs="Times New Roman"/>
          <w:color w:val="auto"/>
          <w:sz w:val="22"/>
          <w:szCs w:val="22"/>
        </w:rPr>
        <w:t xml:space="preserve"> or teratogenicity was observed. </w:t>
      </w:r>
    </w:p>
    <w:p w14:paraId="6F66D793" w14:textId="77777777" w:rsidR="00A02600" w:rsidRPr="00B54968" w:rsidRDefault="00A02600" w:rsidP="003E2009">
      <w:pPr>
        <w:pStyle w:val="Default"/>
        <w:rPr>
          <w:rFonts w:ascii="Times New Roman" w:hAnsi="Times New Roman" w:cs="Times New Roman"/>
          <w:color w:val="auto"/>
          <w:sz w:val="22"/>
          <w:szCs w:val="22"/>
        </w:rPr>
      </w:pPr>
    </w:p>
    <w:p w14:paraId="57692800" w14:textId="77777777" w:rsidR="00A02600" w:rsidRPr="003E2009" w:rsidRDefault="0033448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Use during Lactation </w:t>
      </w:r>
    </w:p>
    <w:p w14:paraId="78305CBE" w14:textId="77777777" w:rsidR="00A02600" w:rsidRPr="00B54968" w:rsidRDefault="00B67F62" w:rsidP="003E2009">
      <w:pPr>
        <w:spacing w:after="0" w:line="240" w:lineRule="auto"/>
        <w:rPr>
          <w:rFonts w:ascii="Times New Roman" w:hAnsi="Times New Roman" w:cs="Times New Roman"/>
        </w:rPr>
      </w:pPr>
      <w:r w:rsidRPr="00B54968">
        <w:rPr>
          <w:rFonts w:ascii="Times New Roman" w:hAnsi="Times New Roman" w:cs="Times New Roman"/>
        </w:rPr>
        <w:t>I</w:t>
      </w:r>
      <w:r w:rsidR="00604C0E" w:rsidRPr="00B54968">
        <w:rPr>
          <w:rFonts w:ascii="Times New Roman" w:hAnsi="Times New Roman" w:cs="Times New Roman"/>
        </w:rPr>
        <w:t>nfliximab</w:t>
      </w:r>
      <w:r w:rsidRPr="00B54968">
        <w:rPr>
          <w:rFonts w:ascii="Times New Roman" w:hAnsi="Times New Roman" w:cs="Times New Roman"/>
        </w:rPr>
        <w:t xml:space="preserve"> </w:t>
      </w:r>
      <w:r w:rsidR="00334483" w:rsidRPr="00B54968">
        <w:rPr>
          <w:rFonts w:ascii="Times New Roman" w:hAnsi="Times New Roman" w:cs="Times New Roman"/>
        </w:rPr>
        <w:t>is not recommended for use during lactation. It is not known if infliximab is excreted in human milk or absorbed systemically after ingestion by the infant.</w:t>
      </w:r>
    </w:p>
    <w:p w14:paraId="7262CF92" w14:textId="77777777" w:rsidR="00A02600" w:rsidRPr="00B54968" w:rsidRDefault="009F757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Breastfeeding should be discontinued for at least 6 months after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w:t>
      </w:r>
    </w:p>
    <w:p w14:paraId="53C1F944" w14:textId="77777777" w:rsidR="00A02600" w:rsidRPr="00B54968" w:rsidRDefault="00A02600" w:rsidP="003E2009">
      <w:pPr>
        <w:pStyle w:val="Default"/>
        <w:rPr>
          <w:rFonts w:ascii="Times New Roman" w:hAnsi="Times New Roman" w:cs="Times New Roman"/>
          <w:color w:val="auto"/>
          <w:sz w:val="22"/>
          <w:szCs w:val="22"/>
        </w:rPr>
      </w:pPr>
    </w:p>
    <w:p w14:paraId="53848ED4" w14:textId="77777777" w:rsidR="00A02600" w:rsidRPr="003E2009" w:rsidRDefault="009F7572"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Use in Children and adolescents (6-17 years) </w:t>
      </w:r>
    </w:p>
    <w:p w14:paraId="1F682ECA" w14:textId="77777777" w:rsidR="00A02600" w:rsidRPr="00B54968" w:rsidRDefault="009F757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Treatment with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has not been studied in children and adolescent patients ≤17 years with ankylosing spondylitis, psoriatic arthritis or plaque psoriasis. Treatment with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has not been studied in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patients with ulcerative colitis or Crohn’s disease under the age of 6 years. Until safety and efficacy data in the above mentioned groups of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patents are available, such </w:t>
      </w:r>
      <w:r w:rsidRPr="00B54968">
        <w:rPr>
          <w:rFonts w:ascii="Times New Roman" w:hAnsi="Times New Roman" w:cs="Times New Roman"/>
          <w:color w:val="auto"/>
          <w:sz w:val="22"/>
          <w:szCs w:val="22"/>
        </w:rPr>
        <w:lastRenderedPageBreak/>
        <w:t xml:space="preserve">treatment is to be avoided. It should be noted that all children and adolescent patients in the Phase 3 trial in Crohn’s disease (REACH) were required to be on a stable dose of either 6-MP, AZA or MTX. </w:t>
      </w:r>
    </w:p>
    <w:p w14:paraId="7AD7B1B4" w14:textId="77777777" w:rsidR="00A02600" w:rsidRPr="00B54968" w:rsidRDefault="00A02600" w:rsidP="003E2009">
      <w:pPr>
        <w:pStyle w:val="Default"/>
        <w:rPr>
          <w:rFonts w:ascii="Times New Roman" w:hAnsi="Times New Roman" w:cs="Times New Roman"/>
          <w:color w:val="auto"/>
          <w:sz w:val="22"/>
          <w:szCs w:val="22"/>
        </w:rPr>
      </w:pPr>
    </w:p>
    <w:p w14:paraId="3FC93AAE" w14:textId="77777777" w:rsidR="00A02600" w:rsidRPr="00B54968" w:rsidRDefault="00B67F6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9F7572" w:rsidRPr="00B54968">
        <w:rPr>
          <w:rFonts w:ascii="Times New Roman" w:hAnsi="Times New Roman" w:cs="Times New Roman"/>
          <w:color w:val="auto"/>
          <w:sz w:val="22"/>
          <w:szCs w:val="22"/>
        </w:rPr>
        <w:t xml:space="preserve">was studied in 120 patients (age range 4-17 years old) with active Juvenile Rheumatoid Arthritis (JRA) despite methotrexate. This study did not provide conclusive evidence for the efficacy of </w:t>
      </w:r>
      <w:r w:rsidRPr="00B54968">
        <w:rPr>
          <w:rFonts w:ascii="Times New Roman" w:hAnsi="Times New Roman" w:cs="Times New Roman"/>
          <w:color w:val="auto"/>
          <w:sz w:val="22"/>
          <w:szCs w:val="22"/>
        </w:rPr>
        <w:t>infliximab</w:t>
      </w:r>
      <w:r w:rsidR="009F7572" w:rsidRPr="00B54968">
        <w:rPr>
          <w:rFonts w:ascii="Times New Roman" w:hAnsi="Times New Roman" w:cs="Times New Roman"/>
          <w:color w:val="auto"/>
          <w:sz w:val="22"/>
          <w:szCs w:val="22"/>
        </w:rPr>
        <w:t xml:space="preserve"> in JRA. </w:t>
      </w:r>
    </w:p>
    <w:p w14:paraId="25DCFB75" w14:textId="77777777" w:rsidR="00A02600" w:rsidRPr="00B54968" w:rsidRDefault="00A02600" w:rsidP="003E2009">
      <w:pPr>
        <w:pStyle w:val="Default"/>
        <w:rPr>
          <w:rFonts w:ascii="Times New Roman" w:hAnsi="Times New Roman" w:cs="Times New Roman"/>
          <w:color w:val="auto"/>
          <w:sz w:val="22"/>
          <w:szCs w:val="22"/>
          <w:lang w:eastAsia="ko-KR"/>
        </w:rPr>
      </w:pPr>
    </w:p>
    <w:p w14:paraId="29A76D9B" w14:textId="77777777" w:rsidR="00A02600" w:rsidRPr="003E2009" w:rsidRDefault="009F7572"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Use in Elderly </w:t>
      </w:r>
    </w:p>
    <w:p w14:paraId="17248C55" w14:textId="77777777" w:rsidR="00A02600" w:rsidRPr="00B54968" w:rsidRDefault="009F757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No major differences were observed in the pharmacokinetics of </w:t>
      </w:r>
      <w:r w:rsidR="00B67F62"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in elderly (65-80 years) rheumatoid arthritis patients. The incidence of serious infections in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65 years and older was greater than in those under 65 years of age. In addition, there is a greater incidence of infections in the elderly population in general, therefore, caution should be used in treating the elderly. Clinical studies of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did not include sufficient numbers of Crohn’s disease patients aged 65 and over to determine whether they respond differently from patients aged 18 to 65. Studies have not been performed in patients with liver or renal disease. </w:t>
      </w:r>
    </w:p>
    <w:p w14:paraId="7028551E" w14:textId="77777777" w:rsidR="00A02600" w:rsidRPr="00B54968" w:rsidRDefault="00A02600" w:rsidP="003E2009">
      <w:pPr>
        <w:pStyle w:val="Default"/>
        <w:rPr>
          <w:rFonts w:ascii="Times New Roman" w:hAnsi="Times New Roman" w:cs="Times New Roman"/>
          <w:color w:val="auto"/>
          <w:sz w:val="22"/>
          <w:szCs w:val="22"/>
        </w:rPr>
      </w:pPr>
    </w:p>
    <w:p w14:paraId="56566199" w14:textId="77777777" w:rsidR="00A02600" w:rsidRPr="00B54968" w:rsidRDefault="009F757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Since elderly patients have a greater frequency of decreased hepatic, renal and/or cardiac function and a greater frequency of concomitant disease and/or other drug therapy, caution in the treatment of elderly patients is recommended. </w:t>
      </w:r>
    </w:p>
    <w:p w14:paraId="4AEB149B" w14:textId="77777777" w:rsidR="00A02600" w:rsidRPr="00B54968" w:rsidRDefault="00A02600" w:rsidP="003E2009">
      <w:pPr>
        <w:pStyle w:val="Default"/>
        <w:rPr>
          <w:rFonts w:ascii="Times New Roman" w:hAnsi="Times New Roman" w:cs="Times New Roman"/>
          <w:color w:val="auto"/>
          <w:sz w:val="22"/>
          <w:szCs w:val="22"/>
          <w:u w:val="single"/>
        </w:rPr>
      </w:pPr>
    </w:p>
    <w:p w14:paraId="378258F9" w14:textId="77777777" w:rsidR="00A02600" w:rsidRPr="003E2009" w:rsidRDefault="009F7572"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Interactions with other </w:t>
      </w:r>
      <w:r w:rsidR="00652BF9" w:rsidRPr="003E2009">
        <w:rPr>
          <w:rFonts w:ascii="Times New Roman" w:hAnsi="Times New Roman" w:cs="Times New Roman"/>
          <w:color w:val="auto"/>
          <w:sz w:val="22"/>
          <w:szCs w:val="22"/>
        </w:rPr>
        <w:t xml:space="preserve">Medicines </w:t>
      </w:r>
    </w:p>
    <w:p w14:paraId="1E9C1A0E" w14:textId="77777777" w:rsidR="00A02600" w:rsidRPr="00B54968" w:rsidRDefault="009F757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While specific studies on drug interactions with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have not been conducted, the majority of patients in clinical trials received concomitant medications normally used in Crohn’s disease. These medications included antibiotics, (including antiviral agents), corticosteroids, 6-mercaptopurine/azathioprine and </w:t>
      </w:r>
      <w:proofErr w:type="spellStart"/>
      <w:r w:rsidRPr="00B54968">
        <w:rPr>
          <w:rFonts w:ascii="Times New Roman" w:hAnsi="Times New Roman" w:cs="Times New Roman"/>
          <w:color w:val="auto"/>
          <w:sz w:val="22"/>
          <w:szCs w:val="22"/>
        </w:rPr>
        <w:t>aminosalicylates</w:t>
      </w:r>
      <w:proofErr w:type="spellEnd"/>
      <w:r w:rsidRPr="00B54968">
        <w:rPr>
          <w:rFonts w:ascii="Times New Roman" w:hAnsi="Times New Roman" w:cs="Times New Roman"/>
          <w:color w:val="auto"/>
          <w:sz w:val="22"/>
          <w:szCs w:val="22"/>
        </w:rPr>
        <w:t xml:space="preserve">. No interactions were reported. Because corticosteroids alter electrolyte balance and fluid retention, the volume of distribution of infliximab was greater in patients taking corticosteroids. However no significant clinical sequelae were apparent. </w:t>
      </w:r>
    </w:p>
    <w:p w14:paraId="65A05D81" w14:textId="77777777" w:rsidR="00A02600" w:rsidRPr="00B54968" w:rsidRDefault="00A02600" w:rsidP="003E2009">
      <w:pPr>
        <w:pStyle w:val="Default"/>
        <w:rPr>
          <w:rFonts w:ascii="Times New Roman" w:hAnsi="Times New Roman" w:cs="Times New Roman"/>
          <w:color w:val="auto"/>
          <w:sz w:val="22"/>
          <w:szCs w:val="22"/>
        </w:rPr>
      </w:pPr>
    </w:p>
    <w:p w14:paraId="54301692" w14:textId="77777777" w:rsidR="00A02600" w:rsidRPr="00B54968" w:rsidRDefault="009F757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rheumatoid arthritis, psoriatic arthritis and Crohn's disease patients, there are indications that concomitant use of methotrexate and other immunomodulators reduces the formation of antibodies against infliximab and increases the plasma concentrations of infliximab. However, the results are uncertain due to limitations in the methods used for serum analyses of infliximab and antibodies against infliximab. Corticosteroids do not appear to affect the pharmacokinetics of infliximab to a clinically relevant extent (See ADVERSE EFFECTS; Immunogenicity). </w:t>
      </w:r>
    </w:p>
    <w:p w14:paraId="53DED0C8" w14:textId="77777777" w:rsidR="00A02600" w:rsidRPr="00B54968" w:rsidRDefault="00A02600" w:rsidP="003E2009">
      <w:pPr>
        <w:pStyle w:val="Default"/>
        <w:rPr>
          <w:rFonts w:ascii="Times New Roman" w:hAnsi="Times New Roman" w:cs="Times New Roman"/>
          <w:color w:val="auto"/>
          <w:sz w:val="22"/>
          <w:szCs w:val="22"/>
        </w:rPr>
      </w:pPr>
    </w:p>
    <w:p w14:paraId="25FC5828" w14:textId="77777777" w:rsidR="00A02600" w:rsidRPr="00B54968" w:rsidRDefault="009F757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psoriasis, concomitant use of infliximab with other immunosuppressive agents has not been studied (see PRECAUTIONS). </w:t>
      </w:r>
    </w:p>
    <w:p w14:paraId="5CCEC5A7" w14:textId="77777777" w:rsidR="00A02600" w:rsidRPr="00B54968" w:rsidRDefault="00A02600" w:rsidP="003E2009">
      <w:pPr>
        <w:pStyle w:val="Default"/>
        <w:rPr>
          <w:rFonts w:ascii="Times New Roman" w:hAnsi="Times New Roman" w:cs="Times New Roman"/>
          <w:color w:val="auto"/>
          <w:sz w:val="22"/>
          <w:szCs w:val="22"/>
        </w:rPr>
      </w:pPr>
    </w:p>
    <w:p w14:paraId="038190AE" w14:textId="77777777" w:rsidR="00A02600" w:rsidRPr="00B54968" w:rsidRDefault="009F7572" w:rsidP="003E2009">
      <w:pPr>
        <w:rPr>
          <w:rFonts w:ascii="Times New Roman" w:hAnsi="Times New Roman" w:cs="Times New Roman"/>
        </w:rPr>
      </w:pPr>
      <w:r w:rsidRPr="00B54968">
        <w:rPr>
          <w:rFonts w:ascii="Times New Roman" w:hAnsi="Times New Roman" w:cs="Times New Roman"/>
        </w:rPr>
        <w:t>No other information is available regarding possible effects of other immunosuppressive drugs or their effects on the pharmacokinetics of infliximab.</w:t>
      </w:r>
    </w:p>
    <w:p w14:paraId="1C98241A" w14:textId="77777777" w:rsidR="00A02600" w:rsidRPr="003E2009" w:rsidRDefault="009F7572"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Concurrent use of </w:t>
      </w:r>
      <w:r w:rsidR="00B67F62" w:rsidRPr="003E2009">
        <w:rPr>
          <w:rFonts w:ascii="Times New Roman" w:hAnsi="Times New Roman" w:cs="Times New Roman"/>
          <w:color w:val="auto"/>
          <w:sz w:val="22"/>
          <w:szCs w:val="22"/>
        </w:rPr>
        <w:t>infliximab</w:t>
      </w:r>
      <w:r w:rsidRPr="003E2009">
        <w:rPr>
          <w:rFonts w:ascii="Times New Roman" w:hAnsi="Times New Roman" w:cs="Times New Roman"/>
          <w:color w:val="auto"/>
          <w:sz w:val="22"/>
          <w:szCs w:val="22"/>
        </w:rPr>
        <w:t xml:space="preserve"> with </w:t>
      </w:r>
      <w:r w:rsidR="00767DA5" w:rsidRPr="003E2009">
        <w:rPr>
          <w:rFonts w:ascii="Times New Roman" w:hAnsi="Times New Roman" w:cs="Times New Roman"/>
          <w:color w:val="auto"/>
          <w:sz w:val="22"/>
          <w:szCs w:val="22"/>
        </w:rPr>
        <w:t xml:space="preserve">other Biological Therapeutics </w:t>
      </w:r>
      <w:r w:rsidRPr="003E2009">
        <w:rPr>
          <w:rFonts w:ascii="Times New Roman" w:hAnsi="Times New Roman" w:cs="Times New Roman"/>
          <w:color w:val="auto"/>
          <w:sz w:val="22"/>
          <w:szCs w:val="22"/>
        </w:rPr>
        <w:t xml:space="preserve"> </w:t>
      </w:r>
    </w:p>
    <w:p w14:paraId="13ADB877" w14:textId="6AB1666D" w:rsidR="00A02600" w:rsidRPr="00B54968" w:rsidRDefault="009F7572"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combination of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t>
      </w:r>
      <w:r w:rsidR="00767DA5" w:rsidRPr="00B54968">
        <w:rPr>
          <w:rFonts w:ascii="Times New Roman" w:hAnsi="Times New Roman" w:cs="Times New Roman"/>
          <w:color w:val="auto"/>
          <w:sz w:val="22"/>
          <w:szCs w:val="22"/>
        </w:rPr>
        <w:t xml:space="preserve">with other biological therapeutics used to treat the same conditions as infliximab, including </w:t>
      </w:r>
      <w:proofErr w:type="spellStart"/>
      <w:r w:rsidRPr="00B54968">
        <w:rPr>
          <w:rFonts w:ascii="Times New Roman" w:hAnsi="Times New Roman" w:cs="Times New Roman"/>
          <w:color w:val="auto"/>
          <w:sz w:val="22"/>
          <w:szCs w:val="22"/>
        </w:rPr>
        <w:t>anakinra</w:t>
      </w:r>
      <w:proofErr w:type="spellEnd"/>
      <w:r w:rsidRPr="00B54968">
        <w:rPr>
          <w:rFonts w:ascii="Times New Roman" w:hAnsi="Times New Roman" w:cs="Times New Roman"/>
          <w:color w:val="auto"/>
          <w:sz w:val="22"/>
          <w:szCs w:val="22"/>
        </w:rPr>
        <w:t xml:space="preserve"> or </w:t>
      </w:r>
      <w:proofErr w:type="spellStart"/>
      <w:r w:rsidRPr="00B54968">
        <w:rPr>
          <w:rFonts w:ascii="Times New Roman" w:hAnsi="Times New Roman" w:cs="Times New Roman"/>
          <w:color w:val="auto"/>
          <w:sz w:val="22"/>
          <w:szCs w:val="22"/>
        </w:rPr>
        <w:t>abatacept</w:t>
      </w:r>
      <w:proofErr w:type="spellEnd"/>
      <w:r w:rsidRPr="00B54968">
        <w:rPr>
          <w:rFonts w:ascii="Times New Roman" w:hAnsi="Times New Roman" w:cs="Times New Roman"/>
          <w:color w:val="auto"/>
          <w:sz w:val="22"/>
          <w:szCs w:val="22"/>
        </w:rPr>
        <w:t xml:space="preserve"> is not recommended (see PRECAUTIONS). </w:t>
      </w:r>
    </w:p>
    <w:p w14:paraId="0A8A577E" w14:textId="77777777" w:rsidR="00A02600" w:rsidRPr="00B54968" w:rsidRDefault="00A02600" w:rsidP="003E2009">
      <w:pPr>
        <w:pStyle w:val="Default"/>
        <w:rPr>
          <w:rFonts w:ascii="Times New Roman" w:hAnsi="Times New Roman" w:cs="Times New Roman"/>
          <w:color w:val="auto"/>
          <w:sz w:val="22"/>
          <w:szCs w:val="22"/>
        </w:rPr>
      </w:pPr>
    </w:p>
    <w:p w14:paraId="784B4154" w14:textId="77777777" w:rsidR="00A02600" w:rsidRPr="003E2009" w:rsidRDefault="005967C8"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Live Vaccines/Therapeutic Infectious Agents</w:t>
      </w:r>
    </w:p>
    <w:p w14:paraId="7A163B6F" w14:textId="4A2A0193" w:rsidR="00A02600" w:rsidRPr="00B54968" w:rsidRDefault="005967C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It is recommended that live vaccines not be given concurrently with </w:t>
      </w:r>
      <w:r w:rsidR="00281C64">
        <w:rPr>
          <w:rFonts w:ascii="Times New Roman" w:hAnsi="Times New Roman" w:cs="Times New Roman"/>
          <w:color w:val="auto"/>
          <w:sz w:val="22"/>
          <w:szCs w:val="22"/>
        </w:rPr>
        <w:t>INFLECTRA</w:t>
      </w:r>
      <w:r w:rsidR="00A02600" w:rsidRPr="00B54968">
        <w:rPr>
          <w:rFonts w:ascii="Times New Roman" w:hAnsi="Times New Roman" w:cs="Times New Roman"/>
          <w:color w:val="auto"/>
          <w:sz w:val="22"/>
          <w:szCs w:val="22"/>
          <w:vertAlign w:val="superscript"/>
        </w:rPr>
        <w:sym w:font="Symbol" w:char="F0E2"/>
      </w:r>
      <w:r w:rsidR="00522FE8">
        <w:rPr>
          <w:rFonts w:ascii="Times New Roman" w:hAnsi="Times New Roman" w:cs="Times New Roman"/>
          <w:color w:val="auto"/>
          <w:sz w:val="22"/>
          <w:szCs w:val="22"/>
        </w:rPr>
        <w:t xml:space="preserve">.  It is also recommended that live vaccines not be given to infants after in utero exposure to infliximab for at least 6 months following birth. </w:t>
      </w:r>
      <w:r w:rsidRPr="00B54968">
        <w:rPr>
          <w:rFonts w:ascii="Times New Roman" w:hAnsi="Times New Roman" w:cs="Times New Roman"/>
          <w:color w:val="auto"/>
          <w:sz w:val="22"/>
          <w:szCs w:val="22"/>
        </w:rPr>
        <w:t>(see PRECAUTIONS).</w:t>
      </w:r>
    </w:p>
    <w:p w14:paraId="41F2FE58" w14:textId="77777777" w:rsidR="00A02600" w:rsidRPr="00B54968" w:rsidRDefault="00A02600" w:rsidP="003E2009">
      <w:pPr>
        <w:pStyle w:val="Default"/>
        <w:rPr>
          <w:rFonts w:ascii="Times New Roman" w:hAnsi="Times New Roman" w:cs="Times New Roman"/>
          <w:color w:val="auto"/>
          <w:sz w:val="22"/>
          <w:szCs w:val="22"/>
        </w:rPr>
      </w:pPr>
    </w:p>
    <w:p w14:paraId="22145AE6" w14:textId="488B3DA5" w:rsidR="00A02600" w:rsidRPr="00B54968" w:rsidRDefault="005967C8"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It is recommended that therapeutic infectious agents not be given concurrently with </w:t>
      </w:r>
      <w:r w:rsidR="00281C64">
        <w:rPr>
          <w:rFonts w:ascii="Times New Roman" w:hAnsi="Times New Roman" w:cs="Times New Roman"/>
          <w:color w:val="auto"/>
          <w:sz w:val="22"/>
          <w:szCs w:val="22"/>
        </w:rPr>
        <w:t>INFLECTRA</w:t>
      </w:r>
      <w:r w:rsidR="00A02600" w:rsidRPr="00B54968">
        <w:rPr>
          <w:rFonts w:ascii="Times New Roman" w:hAnsi="Times New Roman" w:cs="Times New Roman"/>
          <w:color w:val="auto"/>
          <w:sz w:val="22"/>
          <w:szCs w:val="22"/>
          <w:vertAlign w:val="superscript"/>
        </w:rPr>
        <w:sym w:font="Symbol" w:char="F0E2"/>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 (see PRECAUTIONS).</w:t>
      </w:r>
    </w:p>
    <w:p w14:paraId="01EFF6BC" w14:textId="77777777" w:rsidR="00A02600" w:rsidRDefault="00A02600" w:rsidP="003E2009">
      <w:pPr>
        <w:pStyle w:val="Default"/>
        <w:rPr>
          <w:rFonts w:ascii="Times New Roman" w:hAnsi="Times New Roman" w:cs="Times New Roman"/>
          <w:color w:val="auto"/>
          <w:sz w:val="22"/>
          <w:szCs w:val="22"/>
        </w:rPr>
      </w:pPr>
    </w:p>
    <w:p w14:paraId="33D8A81B" w14:textId="77777777" w:rsidR="00CD64D2" w:rsidRPr="00B54968" w:rsidRDefault="00CD64D2" w:rsidP="003E2009">
      <w:pPr>
        <w:pStyle w:val="Default"/>
        <w:rPr>
          <w:rFonts w:ascii="Times New Roman" w:hAnsi="Times New Roman" w:cs="Times New Roman"/>
          <w:color w:val="auto"/>
          <w:sz w:val="22"/>
          <w:szCs w:val="22"/>
        </w:rPr>
      </w:pPr>
    </w:p>
    <w:p w14:paraId="6DD94138" w14:textId="77777777" w:rsidR="00A02600" w:rsidRPr="003E2009" w:rsidRDefault="009F7572"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lastRenderedPageBreak/>
        <w:t xml:space="preserve">Use of Machinery </w:t>
      </w:r>
    </w:p>
    <w:p w14:paraId="62CD7F92" w14:textId="77777777" w:rsidR="00F35599" w:rsidRDefault="002A10D6"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9F7572" w:rsidRPr="00B54968">
        <w:rPr>
          <w:rFonts w:ascii="Times New Roman" w:hAnsi="Times New Roman" w:cs="Times New Roman"/>
          <w:color w:val="auto"/>
          <w:sz w:val="22"/>
          <w:szCs w:val="22"/>
        </w:rPr>
        <w:t xml:space="preserve">is unlikely to produce an effect on the ability to drive or operate machinery; however, patients who are fatigued </w:t>
      </w:r>
      <w:r w:rsidR="008669BA" w:rsidRPr="00B54968">
        <w:rPr>
          <w:rFonts w:ascii="Times New Roman" w:hAnsi="Times New Roman" w:cs="Times New Roman"/>
          <w:color w:val="auto"/>
          <w:sz w:val="22"/>
          <w:szCs w:val="22"/>
        </w:rPr>
        <w:t xml:space="preserve">or experiencing dizziness </w:t>
      </w:r>
      <w:r w:rsidR="009F7572" w:rsidRPr="00B54968">
        <w:rPr>
          <w:rFonts w:ascii="Times New Roman" w:hAnsi="Times New Roman" w:cs="Times New Roman"/>
          <w:color w:val="auto"/>
          <w:sz w:val="22"/>
          <w:szCs w:val="22"/>
        </w:rPr>
        <w:t xml:space="preserve">should be cautioned to avoid driving or operating machinery. </w:t>
      </w:r>
    </w:p>
    <w:p w14:paraId="1DC0565A" w14:textId="77777777" w:rsidR="00F35599" w:rsidRDefault="00F35599" w:rsidP="003E2009">
      <w:pPr>
        <w:pStyle w:val="Default"/>
        <w:rPr>
          <w:rFonts w:ascii="Times New Roman" w:hAnsi="Times New Roman" w:cs="Times New Roman"/>
          <w:color w:val="auto"/>
          <w:sz w:val="22"/>
          <w:szCs w:val="22"/>
        </w:rPr>
      </w:pPr>
    </w:p>
    <w:p w14:paraId="010BE1F7" w14:textId="00A3E3F4" w:rsidR="00A02600" w:rsidRPr="00B54968" w:rsidRDefault="009F7572" w:rsidP="003E2009">
      <w:pPr>
        <w:pStyle w:val="Default"/>
        <w:rPr>
          <w:rFonts w:ascii="Times New Roman" w:hAnsi="Times New Roman" w:cs="Times New Roman"/>
          <w:b/>
          <w:bCs/>
          <w:lang w:eastAsia="ko-KR"/>
        </w:rPr>
      </w:pPr>
      <w:r w:rsidRPr="00B54968">
        <w:rPr>
          <w:rFonts w:ascii="Times New Roman" w:hAnsi="Times New Roman" w:cs="Times New Roman"/>
          <w:b/>
          <w:bCs/>
        </w:rPr>
        <w:t xml:space="preserve">ADVERSE EFFECTS </w:t>
      </w:r>
    </w:p>
    <w:p w14:paraId="360ACE42" w14:textId="1EEDA777" w:rsidR="0071628C" w:rsidRPr="00B54968" w:rsidRDefault="0071628C" w:rsidP="003E2009">
      <w:pPr>
        <w:pStyle w:val="Default"/>
        <w:rPr>
          <w:rFonts w:ascii="Times New Roman" w:hAnsi="Times New Roman" w:cs="Times New Roman"/>
          <w:b/>
          <w:i/>
          <w:color w:val="auto"/>
          <w:sz w:val="22"/>
          <w:szCs w:val="22"/>
        </w:rPr>
      </w:pPr>
    </w:p>
    <w:p w14:paraId="26F271FE" w14:textId="20C8BA3C" w:rsidR="000F43AE" w:rsidRPr="00B54968" w:rsidRDefault="00303335" w:rsidP="003E2009">
      <w:pPr>
        <w:pStyle w:val="Default"/>
        <w:rPr>
          <w:rFonts w:ascii="Times New Roman" w:hAnsi="Times New Roman" w:cs="Times New Roman"/>
          <w:b/>
          <w:i/>
          <w:color w:val="auto"/>
          <w:sz w:val="22"/>
          <w:szCs w:val="22"/>
          <w:highlight w:val="yellow"/>
          <w:vertAlign w:val="superscript"/>
        </w:rPr>
      </w:pPr>
      <w:r w:rsidRPr="00B54968">
        <w:rPr>
          <w:rFonts w:ascii="Times New Roman" w:hAnsi="Times New Roman" w:cs="Times New Roman"/>
          <w:b/>
          <w:i/>
          <w:color w:val="auto"/>
          <w:sz w:val="22"/>
          <w:szCs w:val="22"/>
        </w:rPr>
        <w:t xml:space="preserve">Comparability of </w:t>
      </w:r>
      <w:r w:rsidR="00281C64">
        <w:rPr>
          <w:rFonts w:ascii="Times New Roman" w:hAnsi="Times New Roman" w:cs="Times New Roman"/>
          <w:b/>
          <w:i/>
          <w:color w:val="auto"/>
          <w:sz w:val="22"/>
          <w:szCs w:val="22"/>
        </w:rPr>
        <w:t>INFLECTRA</w:t>
      </w:r>
      <w:r w:rsidR="009F0B6A" w:rsidRPr="00B54968">
        <w:rPr>
          <w:rFonts w:ascii="Times New Roman" w:hAnsi="Times New Roman" w:cs="Times New Roman"/>
          <w:color w:val="auto"/>
          <w:vertAlign w:val="superscript"/>
        </w:rPr>
        <w:t>®</w:t>
      </w:r>
      <w:r w:rsidR="004C735B" w:rsidRPr="00B54968">
        <w:rPr>
          <w:rFonts w:ascii="Times New Roman" w:hAnsi="Times New Roman" w:cs="Times New Roman"/>
          <w:color w:val="auto"/>
          <w:vertAlign w:val="superscript"/>
        </w:rPr>
        <w:t xml:space="preserve"> </w:t>
      </w:r>
      <w:r w:rsidRPr="00B54968">
        <w:rPr>
          <w:rFonts w:ascii="Times New Roman" w:hAnsi="Times New Roman" w:cs="Times New Roman"/>
          <w:b/>
          <w:i/>
          <w:color w:val="auto"/>
          <w:sz w:val="22"/>
          <w:szCs w:val="22"/>
        </w:rPr>
        <w:t xml:space="preserve">with </w:t>
      </w:r>
      <w:r w:rsidR="001A691C">
        <w:rPr>
          <w:rFonts w:ascii="Times New Roman" w:hAnsi="Times New Roman" w:cs="Times New Roman"/>
          <w:b/>
          <w:i/>
          <w:color w:val="auto"/>
          <w:sz w:val="22"/>
          <w:szCs w:val="22"/>
        </w:rPr>
        <w:t>REMICADE</w:t>
      </w:r>
      <w:r w:rsidRPr="00F55576">
        <w:rPr>
          <w:rFonts w:ascii="Times New Roman" w:hAnsi="Times New Roman" w:cs="Times New Roman"/>
          <w:color w:val="auto"/>
          <w:vertAlign w:val="superscript"/>
        </w:rPr>
        <w:t>®</w:t>
      </w:r>
    </w:p>
    <w:p w14:paraId="47620E86" w14:textId="62AE5D9F" w:rsidR="00A02600" w:rsidRPr="00B54968" w:rsidRDefault="00303335" w:rsidP="003E2009">
      <w:pPr>
        <w:pStyle w:val="Default"/>
        <w:rPr>
          <w:rFonts w:ascii="Times New Roman" w:hAnsi="Times New Roman" w:cs="Times New Roman"/>
          <w:color w:val="auto"/>
          <w:sz w:val="22"/>
          <w:szCs w:val="22"/>
        </w:rPr>
      </w:pPr>
      <w:r w:rsidRPr="00B54968">
        <w:rPr>
          <w:rFonts w:ascii="Times New Roman" w:hAnsi="Times New Roman" w:cs="Times New Roman"/>
          <w:iCs/>
          <w:color w:val="auto"/>
          <w:sz w:val="22"/>
          <w:szCs w:val="22"/>
        </w:rPr>
        <w:t>In both clinical studies conducted</w:t>
      </w:r>
      <w:r w:rsidR="00433181" w:rsidRPr="00B54968">
        <w:rPr>
          <w:rFonts w:ascii="Times New Roman" w:hAnsi="Times New Roman" w:cs="Times New Roman"/>
          <w:iCs/>
          <w:color w:val="auto"/>
          <w:sz w:val="22"/>
          <w:szCs w:val="22"/>
        </w:rPr>
        <w:t xml:space="preserve">, </w:t>
      </w:r>
      <w:r w:rsidR="00281C64">
        <w:rPr>
          <w:rFonts w:ascii="Times New Roman" w:hAnsi="Times New Roman" w:cs="Times New Roman"/>
          <w:iCs/>
          <w:color w:val="auto"/>
          <w:sz w:val="22"/>
          <w:szCs w:val="22"/>
        </w:rPr>
        <w:t>INFLECTRA</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iCs/>
          <w:color w:val="auto"/>
          <w:sz w:val="22"/>
          <w:szCs w:val="22"/>
        </w:rPr>
        <w:t xml:space="preserve"> </w:t>
      </w:r>
      <w:r w:rsidR="00811D27" w:rsidRPr="00B54968">
        <w:rPr>
          <w:rFonts w:ascii="Times New Roman" w:hAnsi="Times New Roman" w:cs="Times New Roman"/>
          <w:color w:val="auto"/>
          <w:sz w:val="22"/>
          <w:szCs w:val="22"/>
        </w:rPr>
        <w:t xml:space="preserve">was well tolerated, and the safety profile of </w:t>
      </w:r>
      <w:r w:rsidR="00281C64">
        <w:rPr>
          <w:rFonts w:ascii="Times New Roman" w:hAnsi="Times New Roman" w:cs="Times New Roman"/>
          <w:iCs/>
          <w:color w:val="auto"/>
          <w:sz w:val="22"/>
          <w:szCs w:val="22"/>
        </w:rPr>
        <w:t>INFLECTRA</w:t>
      </w:r>
      <w:r w:rsidR="009F0B6A"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w:t>
      </w:r>
      <w:r w:rsidR="00811D27" w:rsidRPr="00B54968">
        <w:rPr>
          <w:rFonts w:ascii="Times New Roman" w:hAnsi="Times New Roman" w:cs="Times New Roman"/>
          <w:color w:val="auto"/>
          <w:sz w:val="22"/>
          <w:szCs w:val="22"/>
        </w:rPr>
        <w:t xml:space="preserve">was similar to that of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00811D27" w:rsidRPr="00B54968">
        <w:rPr>
          <w:rFonts w:ascii="Times New Roman" w:hAnsi="Times New Roman" w:cs="Times New Roman"/>
          <w:color w:val="auto"/>
          <w:sz w:val="22"/>
          <w:szCs w:val="22"/>
        </w:rPr>
        <w:t xml:space="preserve">. </w:t>
      </w:r>
    </w:p>
    <w:p w14:paraId="3DAC9DBF" w14:textId="77777777" w:rsidR="009C3118" w:rsidRPr="00B54968" w:rsidRDefault="009C3118" w:rsidP="003E2009">
      <w:pPr>
        <w:pStyle w:val="Default"/>
        <w:rPr>
          <w:rFonts w:ascii="Times New Roman" w:hAnsi="Times New Roman" w:cs="Times New Roman"/>
          <w:color w:val="auto"/>
          <w:sz w:val="22"/>
          <w:szCs w:val="22"/>
        </w:rPr>
      </w:pPr>
    </w:p>
    <w:p w14:paraId="222C6F7F" w14:textId="77777777" w:rsidR="00A02600" w:rsidRPr="00B54968" w:rsidRDefault="00A129D7"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During clinical studies, </w:t>
      </w:r>
      <w:r w:rsidR="00E36DEA" w:rsidRPr="00B54968">
        <w:rPr>
          <w:rFonts w:ascii="Times New Roman" w:hAnsi="Times New Roman" w:cs="Times New Roman"/>
          <w:color w:val="auto"/>
          <w:sz w:val="22"/>
          <w:szCs w:val="22"/>
        </w:rPr>
        <w:t xml:space="preserve">621 </w:t>
      </w:r>
      <w:r w:rsidRPr="00B54968">
        <w:rPr>
          <w:rFonts w:ascii="Times New Roman" w:hAnsi="Times New Roman" w:cs="Times New Roman"/>
          <w:color w:val="auto"/>
          <w:sz w:val="22"/>
          <w:szCs w:val="22"/>
        </w:rPr>
        <w:t xml:space="preserve">patients with rheumatoid arthritis and 250 patients with ankylosing spondylitis were exposed to infliximab. The safety profile of infliximab observed in these clinical studies was consistent with that previously reported for the reference product used in these studies. </w:t>
      </w:r>
    </w:p>
    <w:p w14:paraId="1DBE1D13" w14:textId="0C97A716" w:rsidR="00A02600" w:rsidRPr="00B54968" w:rsidRDefault="00A02600" w:rsidP="003E2009">
      <w:pPr>
        <w:pStyle w:val="Default"/>
        <w:rPr>
          <w:rFonts w:ascii="Times New Roman" w:hAnsi="Times New Roman" w:cs="Times New Roman"/>
          <w:color w:val="auto"/>
          <w:sz w:val="22"/>
          <w:szCs w:val="22"/>
          <w:u w:val="single"/>
        </w:rPr>
      </w:pPr>
    </w:p>
    <w:p w14:paraId="216E35C0" w14:textId="4A3ECCCB" w:rsidR="00B13E89" w:rsidRPr="00B54968" w:rsidRDefault="00B13E89" w:rsidP="003E2009">
      <w:pPr>
        <w:pStyle w:val="Default"/>
        <w:rPr>
          <w:rFonts w:ascii="Times New Roman" w:hAnsi="Times New Roman" w:cs="Times New Roman"/>
          <w:color w:val="auto"/>
          <w:sz w:val="22"/>
          <w:szCs w:val="22"/>
          <w:highlight w:val="yellow"/>
        </w:rPr>
      </w:pPr>
      <w:r w:rsidRPr="00B54968">
        <w:rPr>
          <w:rFonts w:ascii="Times New Roman" w:hAnsi="Times New Roman" w:cs="Times New Roman"/>
          <w:color w:val="auto"/>
          <w:sz w:val="22"/>
          <w:szCs w:val="22"/>
        </w:rPr>
        <w:t xml:space="preserve">The pattern of treatment-emergent adverse events and serious adverse events was comparable between treatment groups in both controlled and extension studies and was consistent with the safety profile of </w:t>
      </w:r>
      <w:r w:rsidR="001A691C">
        <w:rPr>
          <w:rFonts w:ascii="Times New Roman" w:hAnsi="Times New Roman" w:cs="Times New Roman"/>
          <w:color w:val="auto"/>
          <w:sz w:val="22"/>
          <w:szCs w:val="22"/>
        </w:rPr>
        <w:t>REMICADE</w:t>
      </w:r>
      <w:r w:rsidR="00972E0D"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w:t>
      </w:r>
    </w:p>
    <w:p w14:paraId="0210CCE5" w14:textId="74749908" w:rsidR="00B54968" w:rsidRPr="00B54968" w:rsidRDefault="0089177D" w:rsidP="003E2009">
      <w:pPr>
        <w:pStyle w:val="Default"/>
        <w:rPr>
          <w:rFonts w:ascii="Times New Roman" w:hAnsi="Times New Roman" w:cs="Times New Roman"/>
          <w:b/>
          <w:bCs/>
          <w:color w:val="auto"/>
          <w:sz w:val="22"/>
          <w:szCs w:val="22"/>
          <w:lang w:eastAsia="ko-KR"/>
        </w:rPr>
      </w:pPr>
      <w:r>
        <w:rPr>
          <w:rFonts w:ascii="Times New Roman" w:hAnsi="Times New Roman" w:cs="Times New Roman"/>
          <w:bCs/>
          <w:noProof/>
          <w:sz w:val="20"/>
          <w:szCs w:val="20"/>
          <w:lang w:val="en-AU" w:eastAsia="en-AU"/>
        </w:rPr>
        <w:t xml:space="preserve"> </w:t>
      </w:r>
    </w:p>
    <w:p w14:paraId="5F110654" w14:textId="774DFEB1" w:rsidR="0044223C" w:rsidRPr="00B54968" w:rsidRDefault="00B54968" w:rsidP="003E2009">
      <w:pPr>
        <w:pStyle w:val="Default"/>
        <w:ind w:left="1440" w:hanging="1440"/>
        <w:rPr>
          <w:rFonts w:ascii="Times New Roman" w:hAnsi="Times New Roman" w:cs="Times New Roman"/>
          <w:b/>
          <w:bCs/>
          <w:color w:val="auto"/>
          <w:sz w:val="22"/>
          <w:szCs w:val="22"/>
          <w:highlight w:val="yellow"/>
        </w:rPr>
      </w:pPr>
      <w:bookmarkStart w:id="0" w:name="_Ref376292495"/>
      <w:r w:rsidRPr="00B54968">
        <w:rPr>
          <w:rFonts w:ascii="Times New Roman" w:hAnsi="Times New Roman" w:cs="Times New Roman"/>
          <w:b/>
          <w:bCs/>
          <w:sz w:val="22"/>
          <w:szCs w:val="20"/>
        </w:rPr>
        <w:t xml:space="preserve">Table </w:t>
      </w:r>
      <w:bookmarkEnd w:id="0"/>
      <w:r w:rsidRPr="00B54968">
        <w:rPr>
          <w:rFonts w:ascii="Times New Roman" w:hAnsi="Times New Roman" w:cs="Times New Roman"/>
          <w:b/>
          <w:bCs/>
          <w:sz w:val="22"/>
          <w:szCs w:val="20"/>
        </w:rPr>
        <w:t>13:</w:t>
      </w:r>
      <w:r>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Study PLANET RA Treatment-Emergent Adverse Events Reported for at Least 1% of Rheumatoid Arthritis Patients in Either Treatment Group by System Organ Class and preferred Term: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621"/>
        <w:gridCol w:w="1477"/>
        <w:gridCol w:w="1477"/>
      </w:tblGrid>
      <w:tr w:rsidR="0044223C" w:rsidRPr="00B54968" w14:paraId="047689E4" w14:textId="77777777" w:rsidTr="00C3775E">
        <w:trPr>
          <w:trHeight w:val="658"/>
          <w:tblHeader/>
        </w:trPr>
        <w:tc>
          <w:tcPr>
            <w:tcW w:w="4644" w:type="dxa"/>
            <w:tcBorders>
              <w:top w:val="single" w:sz="4" w:space="0" w:color="auto"/>
              <w:left w:val="nil"/>
              <w:bottom w:val="single" w:sz="4" w:space="0" w:color="auto"/>
              <w:right w:val="nil"/>
            </w:tcBorders>
            <w:shd w:val="clear" w:color="auto" w:fill="auto"/>
            <w:vAlign w:val="bottom"/>
          </w:tcPr>
          <w:p w14:paraId="41052CCB" w14:textId="77777777" w:rsidR="0044223C" w:rsidRPr="00B54968" w:rsidRDefault="0044223C" w:rsidP="003E2009">
            <w:pPr>
              <w:spacing w:before="40" w:after="4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System Organ Class</w:t>
            </w:r>
          </w:p>
          <w:p w14:paraId="7E942F26" w14:textId="77777777" w:rsidR="0044223C" w:rsidRPr="00B54968" w:rsidRDefault="0044223C" w:rsidP="003E2009">
            <w:pPr>
              <w:spacing w:before="40" w:after="40" w:line="240" w:lineRule="auto"/>
              <w:ind w:left="240"/>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Preferred Term</w:t>
            </w:r>
          </w:p>
        </w:tc>
        <w:tc>
          <w:tcPr>
            <w:tcW w:w="1621" w:type="dxa"/>
            <w:tcBorders>
              <w:top w:val="single" w:sz="4" w:space="0" w:color="auto"/>
              <w:left w:val="nil"/>
              <w:bottom w:val="single" w:sz="4" w:space="0" w:color="auto"/>
              <w:right w:val="nil"/>
            </w:tcBorders>
            <w:shd w:val="clear" w:color="auto" w:fill="auto"/>
            <w:vAlign w:val="bottom"/>
          </w:tcPr>
          <w:p w14:paraId="2BC3CE18" w14:textId="564A849C" w:rsidR="00144C61" w:rsidRPr="00B54968" w:rsidRDefault="00281C64" w:rsidP="003E2009">
            <w:pPr>
              <w:spacing w:after="0" w:line="240" w:lineRule="auto"/>
              <w:rPr>
                <w:rFonts w:ascii="Times New Roman" w:eastAsia="SimSun" w:hAnsi="Times New Roman" w:cs="Times New Roman"/>
                <w:b/>
                <w:kern w:val="20"/>
                <w:sz w:val="18"/>
                <w:szCs w:val="18"/>
                <w:lang w:val="de-DE" w:eastAsia="en-US"/>
              </w:rPr>
            </w:pPr>
            <w:r>
              <w:rPr>
                <w:rFonts w:ascii="Times New Roman" w:eastAsia="SimSun" w:hAnsi="Times New Roman" w:cs="Times New Roman"/>
                <w:b/>
                <w:kern w:val="20"/>
                <w:sz w:val="18"/>
                <w:szCs w:val="18"/>
                <w:lang w:val="de-DE" w:eastAsia="en-US"/>
              </w:rPr>
              <w:t>INFLECTRA</w:t>
            </w:r>
            <w:r w:rsidR="0000044A" w:rsidRPr="00B54968">
              <w:rPr>
                <w:rFonts w:ascii="Times New Roman" w:eastAsia="SimSun" w:hAnsi="Times New Roman" w:cs="Times New Roman"/>
                <w:b/>
                <w:kern w:val="20"/>
                <w:sz w:val="18"/>
                <w:szCs w:val="18"/>
                <w:vertAlign w:val="superscript"/>
                <w:lang w:val="de-DE" w:eastAsia="en-US"/>
              </w:rPr>
              <w:t>®</w:t>
            </w:r>
            <w:r w:rsidR="0000044A" w:rsidRPr="00B54968">
              <w:rPr>
                <w:rFonts w:ascii="Times New Roman" w:eastAsia="SimSun" w:hAnsi="Times New Roman" w:cs="Times New Roman"/>
                <w:b/>
                <w:kern w:val="20"/>
                <w:sz w:val="18"/>
                <w:szCs w:val="18"/>
                <w:lang w:val="de-DE" w:eastAsia="en-US"/>
              </w:rPr>
              <w:t xml:space="preserve"> </w:t>
            </w:r>
          </w:p>
          <w:p w14:paraId="15E1C8FB" w14:textId="11C6312F" w:rsidR="0044223C" w:rsidRPr="00B54968" w:rsidRDefault="0044223C" w:rsidP="003E2009">
            <w:pPr>
              <w:spacing w:after="0" w:line="240" w:lineRule="auto"/>
              <w:rPr>
                <w:rFonts w:ascii="Times New Roman" w:eastAsia="SimSun" w:hAnsi="Times New Roman" w:cs="Times New Roman"/>
                <w:b/>
                <w:kern w:val="20"/>
                <w:sz w:val="18"/>
                <w:szCs w:val="18"/>
                <w:lang w:val="de-DE" w:eastAsia="en-US"/>
              </w:rPr>
            </w:pPr>
            <w:r w:rsidRPr="00B54968" w:rsidDel="007C2F8C">
              <w:rPr>
                <w:rFonts w:ascii="Times New Roman" w:eastAsia="SimSun" w:hAnsi="Times New Roman" w:cs="Times New Roman"/>
                <w:b/>
                <w:kern w:val="20"/>
                <w:sz w:val="18"/>
                <w:szCs w:val="18"/>
                <w:lang w:val="de-DE" w:eastAsia="en-US"/>
              </w:rPr>
              <w:t xml:space="preserve"> </w:t>
            </w:r>
            <w:r w:rsidRPr="00B54968">
              <w:rPr>
                <w:rFonts w:ascii="Times New Roman" w:eastAsia="SimSun" w:hAnsi="Times New Roman" w:cs="Times New Roman"/>
                <w:b/>
                <w:kern w:val="20"/>
                <w:sz w:val="18"/>
                <w:szCs w:val="18"/>
                <w:lang w:val="de-DE" w:eastAsia="en-US"/>
              </w:rPr>
              <w:t>3 mg/kg</w:t>
            </w:r>
            <w:r w:rsidRPr="00B54968">
              <w:rPr>
                <w:rFonts w:ascii="Times New Roman" w:eastAsia="SimSun" w:hAnsi="Times New Roman" w:cs="Times New Roman"/>
                <w:b/>
                <w:kern w:val="20"/>
                <w:sz w:val="18"/>
                <w:szCs w:val="18"/>
                <w:lang w:val="de-DE" w:eastAsia="en-US"/>
              </w:rPr>
              <w:br/>
              <w:t>(N = 302)</w:t>
            </w:r>
          </w:p>
        </w:tc>
        <w:tc>
          <w:tcPr>
            <w:tcW w:w="1477" w:type="dxa"/>
            <w:tcBorders>
              <w:top w:val="single" w:sz="4" w:space="0" w:color="auto"/>
              <w:left w:val="nil"/>
              <w:bottom w:val="single" w:sz="4" w:space="0" w:color="auto"/>
              <w:right w:val="nil"/>
            </w:tcBorders>
            <w:shd w:val="clear" w:color="auto" w:fill="auto"/>
            <w:vAlign w:val="bottom"/>
          </w:tcPr>
          <w:p w14:paraId="11E8088C" w14:textId="40E6F5F8" w:rsidR="0044223C" w:rsidRPr="00B54968" w:rsidRDefault="001A691C" w:rsidP="003E2009">
            <w:pPr>
              <w:spacing w:after="0" w:line="240" w:lineRule="auto"/>
              <w:rPr>
                <w:rFonts w:ascii="Times New Roman" w:eastAsia="Times New Roman" w:hAnsi="Times New Roman" w:cs="Times New Roman"/>
                <w:b/>
                <w:kern w:val="20"/>
                <w:sz w:val="18"/>
                <w:szCs w:val="18"/>
                <w:lang w:eastAsia="ko-KR"/>
              </w:rPr>
            </w:pPr>
            <w:r>
              <w:rPr>
                <w:rFonts w:ascii="Times New Roman" w:eastAsia="SimSun" w:hAnsi="Times New Roman" w:cs="Times New Roman"/>
                <w:b/>
                <w:kern w:val="20"/>
                <w:sz w:val="18"/>
                <w:szCs w:val="18"/>
                <w:lang w:eastAsia="en-US"/>
              </w:rPr>
              <w:t>REMICADE</w:t>
            </w:r>
            <w:r w:rsidR="0044223C" w:rsidRPr="00B54968">
              <w:rPr>
                <w:rFonts w:ascii="Times New Roman" w:eastAsia="Times New Roman" w:hAnsi="Times New Roman" w:cs="Times New Roman"/>
                <w:b/>
                <w:kern w:val="20"/>
                <w:sz w:val="18"/>
                <w:szCs w:val="18"/>
                <w:vertAlign w:val="superscript"/>
                <w:lang w:eastAsia="ko-KR"/>
              </w:rPr>
              <w:t>®</w:t>
            </w:r>
            <w:r w:rsidR="0044223C" w:rsidRPr="00B54968">
              <w:rPr>
                <w:rFonts w:ascii="Times New Roman" w:eastAsia="Times New Roman" w:hAnsi="Times New Roman" w:cs="Times New Roman"/>
                <w:b/>
                <w:kern w:val="20"/>
                <w:sz w:val="18"/>
                <w:szCs w:val="18"/>
                <w:lang w:eastAsia="ko-KR"/>
              </w:rPr>
              <w:t xml:space="preserve"> </w:t>
            </w:r>
          </w:p>
          <w:p w14:paraId="0D9CA1A7" w14:textId="77777777" w:rsidR="0044223C" w:rsidRPr="00B54968" w:rsidRDefault="0044223C" w:rsidP="003E2009">
            <w:pPr>
              <w:spacing w:after="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 xml:space="preserve">3 mg/kg </w:t>
            </w:r>
            <w:r w:rsidRPr="00B54968">
              <w:rPr>
                <w:rFonts w:ascii="Times New Roman" w:eastAsia="SimSun" w:hAnsi="Times New Roman" w:cs="Times New Roman"/>
                <w:b/>
                <w:kern w:val="20"/>
                <w:sz w:val="18"/>
                <w:szCs w:val="18"/>
                <w:lang w:eastAsia="en-US"/>
              </w:rPr>
              <w:br/>
              <w:t>(N = 300)</w:t>
            </w:r>
          </w:p>
        </w:tc>
        <w:tc>
          <w:tcPr>
            <w:tcW w:w="1477" w:type="dxa"/>
            <w:tcBorders>
              <w:top w:val="single" w:sz="4" w:space="0" w:color="auto"/>
              <w:left w:val="nil"/>
              <w:bottom w:val="single" w:sz="4" w:space="0" w:color="auto"/>
              <w:right w:val="nil"/>
            </w:tcBorders>
            <w:shd w:val="clear" w:color="auto" w:fill="auto"/>
            <w:vAlign w:val="bottom"/>
          </w:tcPr>
          <w:p w14:paraId="4CF23F63" w14:textId="098A84BD" w:rsidR="0044223C" w:rsidRPr="00B54968" w:rsidRDefault="0044223C" w:rsidP="003E2009">
            <w:pPr>
              <w:spacing w:before="40" w:after="4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Total</w:t>
            </w:r>
            <w:r w:rsidRPr="00B54968">
              <w:rPr>
                <w:rFonts w:ascii="Times New Roman" w:eastAsia="SimSun" w:hAnsi="Times New Roman" w:cs="Times New Roman"/>
                <w:b/>
                <w:kern w:val="20"/>
                <w:sz w:val="18"/>
                <w:szCs w:val="18"/>
                <w:lang w:eastAsia="en-US"/>
              </w:rPr>
              <w:br/>
              <w:t>(N = 602)</w:t>
            </w:r>
          </w:p>
        </w:tc>
      </w:tr>
      <w:tr w:rsidR="0044223C" w:rsidRPr="00B54968" w14:paraId="2E7FC17F" w14:textId="77777777" w:rsidTr="00C3775E">
        <w:trPr>
          <w:trHeight w:val="183"/>
          <w:tblHeader/>
        </w:trPr>
        <w:tc>
          <w:tcPr>
            <w:tcW w:w="4644" w:type="dxa"/>
            <w:tcBorders>
              <w:left w:val="nil"/>
              <w:bottom w:val="single" w:sz="4" w:space="0" w:color="auto"/>
              <w:right w:val="nil"/>
            </w:tcBorders>
            <w:shd w:val="clear" w:color="auto" w:fill="auto"/>
            <w:vAlign w:val="bottom"/>
          </w:tcPr>
          <w:p w14:paraId="5294A9E6" w14:textId="77777777" w:rsidR="0044223C" w:rsidRPr="00B54968" w:rsidRDefault="0044223C" w:rsidP="003E2009">
            <w:pPr>
              <w:spacing w:before="40" w:after="40" w:line="240" w:lineRule="auto"/>
              <w:rPr>
                <w:rFonts w:ascii="Times New Roman" w:eastAsia="SimSun" w:hAnsi="Times New Roman" w:cs="Times New Roman"/>
                <w:b/>
                <w:kern w:val="20"/>
                <w:sz w:val="18"/>
                <w:szCs w:val="18"/>
                <w:lang w:eastAsia="en-US"/>
              </w:rPr>
            </w:pPr>
          </w:p>
        </w:tc>
        <w:tc>
          <w:tcPr>
            <w:tcW w:w="4575" w:type="dxa"/>
            <w:gridSpan w:val="3"/>
            <w:tcBorders>
              <w:left w:val="nil"/>
              <w:bottom w:val="single" w:sz="4" w:space="0" w:color="auto"/>
              <w:right w:val="nil"/>
            </w:tcBorders>
            <w:shd w:val="clear" w:color="auto" w:fill="auto"/>
            <w:vAlign w:val="bottom"/>
          </w:tcPr>
          <w:p w14:paraId="2C46ADA1" w14:textId="77777777" w:rsidR="0044223C" w:rsidRPr="00B54968" w:rsidRDefault="0044223C" w:rsidP="003E2009">
            <w:pPr>
              <w:spacing w:before="40" w:after="4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Number (%) of patients</w:t>
            </w:r>
          </w:p>
        </w:tc>
      </w:tr>
      <w:tr w:rsidR="0044223C" w:rsidRPr="00B54968" w14:paraId="5F308B6E" w14:textId="77777777" w:rsidTr="00C3775E">
        <w:trPr>
          <w:tblHeader/>
        </w:trPr>
        <w:tc>
          <w:tcPr>
            <w:tcW w:w="4644" w:type="dxa"/>
            <w:tcBorders>
              <w:top w:val="nil"/>
              <w:left w:val="nil"/>
              <w:bottom w:val="nil"/>
              <w:right w:val="nil"/>
            </w:tcBorders>
            <w:shd w:val="clear" w:color="auto" w:fill="auto"/>
          </w:tcPr>
          <w:p w14:paraId="762EEDF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Total number of TEAEs</w:t>
            </w:r>
          </w:p>
        </w:tc>
        <w:tc>
          <w:tcPr>
            <w:tcW w:w="1621" w:type="dxa"/>
            <w:tcBorders>
              <w:top w:val="nil"/>
              <w:left w:val="nil"/>
              <w:bottom w:val="nil"/>
              <w:right w:val="nil"/>
            </w:tcBorders>
            <w:shd w:val="clear" w:color="auto" w:fill="auto"/>
          </w:tcPr>
          <w:p w14:paraId="016C0BD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715</w:t>
            </w:r>
          </w:p>
        </w:tc>
        <w:tc>
          <w:tcPr>
            <w:tcW w:w="1477" w:type="dxa"/>
            <w:tcBorders>
              <w:top w:val="nil"/>
              <w:left w:val="nil"/>
              <w:bottom w:val="nil"/>
              <w:right w:val="nil"/>
            </w:tcBorders>
            <w:shd w:val="clear" w:color="auto" w:fill="auto"/>
          </w:tcPr>
          <w:p w14:paraId="290F6C0F"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722</w:t>
            </w:r>
          </w:p>
        </w:tc>
        <w:tc>
          <w:tcPr>
            <w:tcW w:w="1477" w:type="dxa"/>
            <w:tcBorders>
              <w:top w:val="nil"/>
              <w:left w:val="nil"/>
              <w:bottom w:val="nil"/>
              <w:right w:val="nil"/>
            </w:tcBorders>
            <w:shd w:val="clear" w:color="auto" w:fill="auto"/>
          </w:tcPr>
          <w:p w14:paraId="4FB1485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1437</w:t>
            </w:r>
          </w:p>
        </w:tc>
      </w:tr>
      <w:tr w:rsidR="0044223C" w:rsidRPr="00B54968" w14:paraId="107E2B94" w14:textId="77777777" w:rsidTr="00C3775E">
        <w:trPr>
          <w:tblHeader/>
        </w:trPr>
        <w:tc>
          <w:tcPr>
            <w:tcW w:w="4644" w:type="dxa"/>
            <w:tcBorders>
              <w:top w:val="nil"/>
              <w:left w:val="nil"/>
              <w:bottom w:val="single" w:sz="4" w:space="0" w:color="auto"/>
              <w:right w:val="nil"/>
            </w:tcBorders>
            <w:shd w:val="clear" w:color="auto" w:fill="auto"/>
          </w:tcPr>
          <w:p w14:paraId="6461D31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Number (%) of patients with at least 1 TEAE</w:t>
            </w:r>
          </w:p>
        </w:tc>
        <w:tc>
          <w:tcPr>
            <w:tcW w:w="1621" w:type="dxa"/>
            <w:tcBorders>
              <w:top w:val="nil"/>
              <w:left w:val="nil"/>
              <w:bottom w:val="single" w:sz="4" w:space="0" w:color="auto"/>
              <w:right w:val="nil"/>
            </w:tcBorders>
            <w:shd w:val="clear" w:color="auto" w:fill="auto"/>
          </w:tcPr>
          <w:p w14:paraId="17EB711F"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212 (70.2)</w:t>
            </w:r>
          </w:p>
        </w:tc>
        <w:tc>
          <w:tcPr>
            <w:tcW w:w="1477" w:type="dxa"/>
            <w:tcBorders>
              <w:top w:val="nil"/>
              <w:left w:val="nil"/>
              <w:bottom w:val="single" w:sz="4" w:space="0" w:color="auto"/>
              <w:right w:val="nil"/>
            </w:tcBorders>
            <w:shd w:val="clear" w:color="auto" w:fill="auto"/>
          </w:tcPr>
          <w:p w14:paraId="3E5F775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211 (70.3)</w:t>
            </w:r>
          </w:p>
        </w:tc>
        <w:tc>
          <w:tcPr>
            <w:tcW w:w="1477" w:type="dxa"/>
            <w:tcBorders>
              <w:top w:val="nil"/>
              <w:left w:val="nil"/>
              <w:bottom w:val="single" w:sz="4" w:space="0" w:color="auto"/>
              <w:right w:val="nil"/>
            </w:tcBorders>
            <w:shd w:val="clear" w:color="auto" w:fill="auto"/>
          </w:tcPr>
          <w:p w14:paraId="6F7256F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423 (70.3)</w:t>
            </w:r>
          </w:p>
        </w:tc>
      </w:tr>
      <w:tr w:rsidR="0044223C" w:rsidRPr="00B54968" w14:paraId="730C95D6" w14:textId="77777777" w:rsidTr="00C3775E">
        <w:tc>
          <w:tcPr>
            <w:tcW w:w="4644" w:type="dxa"/>
            <w:tcBorders>
              <w:top w:val="single" w:sz="4" w:space="0" w:color="auto"/>
              <w:left w:val="nil"/>
              <w:bottom w:val="nil"/>
              <w:right w:val="nil"/>
            </w:tcBorders>
            <w:shd w:val="clear" w:color="auto" w:fill="auto"/>
          </w:tcPr>
          <w:p w14:paraId="535A7FF1" w14:textId="77777777" w:rsidR="0044223C" w:rsidRPr="00B54968" w:rsidRDefault="0044223C" w:rsidP="003E2009">
            <w:pPr>
              <w:spacing w:before="40" w:after="40" w:line="240" w:lineRule="auto"/>
              <w:rPr>
                <w:rFonts w:ascii="Times New Roman" w:eastAsia="SimSun" w:hAnsi="Times New Roman" w:cs="Times New Roman"/>
                <w:b/>
                <w:kern w:val="24"/>
                <w:sz w:val="18"/>
                <w:szCs w:val="18"/>
                <w:lang w:eastAsia="en-US"/>
              </w:rPr>
            </w:pPr>
            <w:r w:rsidRPr="00B54968">
              <w:rPr>
                <w:rFonts w:ascii="Times New Roman" w:eastAsia="SimSun" w:hAnsi="Times New Roman" w:cs="Times New Roman"/>
                <w:b/>
                <w:kern w:val="24"/>
                <w:sz w:val="18"/>
                <w:szCs w:val="18"/>
                <w:lang w:eastAsia="en-US"/>
              </w:rPr>
              <w:t>Blood and lymphatic system disorders</w:t>
            </w:r>
          </w:p>
        </w:tc>
        <w:tc>
          <w:tcPr>
            <w:tcW w:w="1621" w:type="dxa"/>
            <w:tcBorders>
              <w:top w:val="single" w:sz="4" w:space="0" w:color="auto"/>
              <w:left w:val="nil"/>
              <w:bottom w:val="nil"/>
              <w:right w:val="nil"/>
            </w:tcBorders>
            <w:shd w:val="clear" w:color="auto" w:fill="auto"/>
          </w:tcPr>
          <w:p w14:paraId="51EB1CB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3B95BF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390AEC0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0D2E9120" w14:textId="77777777" w:rsidTr="00C3775E">
        <w:tc>
          <w:tcPr>
            <w:tcW w:w="4644" w:type="dxa"/>
            <w:tcBorders>
              <w:top w:val="nil"/>
              <w:left w:val="nil"/>
              <w:bottom w:val="nil"/>
              <w:right w:val="nil"/>
            </w:tcBorders>
            <w:shd w:val="clear" w:color="auto" w:fill="auto"/>
          </w:tcPr>
          <w:p w14:paraId="44DD2AC7"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Anemia</w:t>
            </w:r>
          </w:p>
        </w:tc>
        <w:tc>
          <w:tcPr>
            <w:tcW w:w="1621" w:type="dxa"/>
            <w:tcBorders>
              <w:top w:val="nil"/>
              <w:left w:val="nil"/>
              <w:bottom w:val="nil"/>
              <w:right w:val="nil"/>
            </w:tcBorders>
            <w:shd w:val="clear" w:color="auto" w:fill="auto"/>
            <w:vAlign w:val="center"/>
          </w:tcPr>
          <w:p w14:paraId="73BEEDA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10 (3.3)</w:t>
            </w:r>
          </w:p>
        </w:tc>
        <w:tc>
          <w:tcPr>
            <w:tcW w:w="1477" w:type="dxa"/>
            <w:tcBorders>
              <w:top w:val="nil"/>
              <w:left w:val="nil"/>
              <w:bottom w:val="nil"/>
              <w:right w:val="nil"/>
            </w:tcBorders>
            <w:shd w:val="clear" w:color="auto" w:fill="auto"/>
            <w:vAlign w:val="center"/>
          </w:tcPr>
          <w:p w14:paraId="7EB120C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12 (4.0)</w:t>
            </w:r>
          </w:p>
        </w:tc>
        <w:tc>
          <w:tcPr>
            <w:tcW w:w="1477" w:type="dxa"/>
            <w:tcBorders>
              <w:top w:val="nil"/>
              <w:left w:val="nil"/>
              <w:bottom w:val="nil"/>
              <w:right w:val="nil"/>
            </w:tcBorders>
            <w:shd w:val="clear" w:color="auto" w:fill="auto"/>
            <w:vAlign w:val="center"/>
          </w:tcPr>
          <w:p w14:paraId="6C44243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22 (3.7)</w:t>
            </w:r>
          </w:p>
        </w:tc>
      </w:tr>
      <w:tr w:rsidR="0044223C" w:rsidRPr="00B54968" w14:paraId="76B9CF3D" w14:textId="77777777" w:rsidTr="00C3775E">
        <w:tc>
          <w:tcPr>
            <w:tcW w:w="4644" w:type="dxa"/>
            <w:tcBorders>
              <w:top w:val="nil"/>
              <w:left w:val="nil"/>
              <w:bottom w:val="nil"/>
              <w:right w:val="nil"/>
            </w:tcBorders>
            <w:shd w:val="clear" w:color="auto" w:fill="auto"/>
          </w:tcPr>
          <w:p w14:paraId="4E823A30"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Leukopenia</w:t>
            </w:r>
          </w:p>
        </w:tc>
        <w:tc>
          <w:tcPr>
            <w:tcW w:w="1621" w:type="dxa"/>
            <w:tcBorders>
              <w:top w:val="nil"/>
              <w:left w:val="nil"/>
              <w:bottom w:val="nil"/>
              <w:right w:val="nil"/>
            </w:tcBorders>
            <w:shd w:val="clear" w:color="auto" w:fill="auto"/>
            <w:vAlign w:val="center"/>
          </w:tcPr>
          <w:p w14:paraId="74FF1ACD"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9B422BB"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EA54E4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296079D0" w14:textId="77777777" w:rsidTr="00C3775E">
        <w:tc>
          <w:tcPr>
            <w:tcW w:w="4644" w:type="dxa"/>
            <w:tcBorders>
              <w:top w:val="nil"/>
              <w:left w:val="nil"/>
              <w:bottom w:val="single" w:sz="4" w:space="0" w:color="auto"/>
              <w:right w:val="nil"/>
            </w:tcBorders>
            <w:shd w:val="clear" w:color="auto" w:fill="auto"/>
          </w:tcPr>
          <w:p w14:paraId="51504D3F"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Neutropenia</w:t>
            </w:r>
          </w:p>
        </w:tc>
        <w:tc>
          <w:tcPr>
            <w:tcW w:w="1621" w:type="dxa"/>
            <w:tcBorders>
              <w:top w:val="nil"/>
              <w:left w:val="nil"/>
              <w:bottom w:val="single" w:sz="4" w:space="0" w:color="auto"/>
              <w:right w:val="nil"/>
            </w:tcBorders>
            <w:shd w:val="clear" w:color="auto" w:fill="auto"/>
            <w:vAlign w:val="center"/>
          </w:tcPr>
          <w:p w14:paraId="10B04DEB"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56A9F6A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51684D0B"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291140C7" w14:textId="77777777" w:rsidTr="00C3775E">
        <w:tc>
          <w:tcPr>
            <w:tcW w:w="4644" w:type="dxa"/>
            <w:tcBorders>
              <w:top w:val="single" w:sz="4" w:space="0" w:color="auto"/>
              <w:left w:val="nil"/>
              <w:bottom w:val="nil"/>
              <w:right w:val="nil"/>
            </w:tcBorders>
            <w:shd w:val="clear" w:color="auto" w:fill="auto"/>
          </w:tcPr>
          <w:p w14:paraId="752DD9BB" w14:textId="77777777" w:rsidR="0044223C" w:rsidRPr="00B54968" w:rsidRDefault="0044223C" w:rsidP="003E2009">
            <w:pPr>
              <w:spacing w:before="40" w:after="40" w:line="240" w:lineRule="auto"/>
              <w:rPr>
                <w:rFonts w:ascii="Times New Roman" w:eastAsia="SimSun" w:hAnsi="Times New Roman" w:cs="Times New Roman"/>
                <w:b/>
                <w:kern w:val="24"/>
                <w:sz w:val="18"/>
                <w:szCs w:val="18"/>
                <w:lang w:eastAsia="en-US"/>
              </w:rPr>
            </w:pPr>
            <w:r w:rsidRPr="00B54968">
              <w:rPr>
                <w:rFonts w:ascii="Times New Roman" w:eastAsia="SimSun" w:hAnsi="Times New Roman" w:cs="Times New Roman"/>
                <w:b/>
                <w:kern w:val="24"/>
                <w:sz w:val="18"/>
                <w:szCs w:val="18"/>
                <w:lang w:eastAsia="en-US"/>
              </w:rPr>
              <w:t>Cardiac disorders</w:t>
            </w:r>
          </w:p>
        </w:tc>
        <w:tc>
          <w:tcPr>
            <w:tcW w:w="1621" w:type="dxa"/>
            <w:tcBorders>
              <w:top w:val="single" w:sz="4" w:space="0" w:color="auto"/>
              <w:left w:val="nil"/>
              <w:bottom w:val="nil"/>
              <w:right w:val="nil"/>
            </w:tcBorders>
            <w:shd w:val="clear" w:color="auto" w:fill="auto"/>
          </w:tcPr>
          <w:p w14:paraId="7B06CB7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EB8DA6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249FFF4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19A841D9" w14:textId="77777777" w:rsidTr="00C3775E">
        <w:tc>
          <w:tcPr>
            <w:tcW w:w="4644" w:type="dxa"/>
            <w:tcBorders>
              <w:top w:val="nil"/>
              <w:left w:val="nil"/>
              <w:bottom w:val="nil"/>
              <w:right w:val="nil"/>
            </w:tcBorders>
            <w:shd w:val="clear" w:color="auto" w:fill="auto"/>
          </w:tcPr>
          <w:p w14:paraId="15EEE10C"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Atrial fibrillation</w:t>
            </w:r>
          </w:p>
        </w:tc>
        <w:tc>
          <w:tcPr>
            <w:tcW w:w="1621" w:type="dxa"/>
            <w:tcBorders>
              <w:top w:val="nil"/>
              <w:left w:val="nil"/>
              <w:bottom w:val="nil"/>
              <w:right w:val="nil"/>
            </w:tcBorders>
            <w:shd w:val="clear" w:color="auto" w:fill="auto"/>
            <w:vAlign w:val="center"/>
          </w:tcPr>
          <w:p w14:paraId="083C392B"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0969D5C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3C3A0A4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55DF9AFE" w14:textId="77777777" w:rsidTr="00C3775E">
        <w:tc>
          <w:tcPr>
            <w:tcW w:w="4644" w:type="dxa"/>
            <w:tcBorders>
              <w:top w:val="nil"/>
              <w:left w:val="nil"/>
              <w:bottom w:val="single" w:sz="4" w:space="0" w:color="auto"/>
              <w:right w:val="nil"/>
            </w:tcBorders>
            <w:shd w:val="clear" w:color="auto" w:fill="auto"/>
          </w:tcPr>
          <w:p w14:paraId="66F2DA53"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Sinus bradycardia</w:t>
            </w:r>
          </w:p>
        </w:tc>
        <w:tc>
          <w:tcPr>
            <w:tcW w:w="1621" w:type="dxa"/>
            <w:tcBorders>
              <w:top w:val="nil"/>
              <w:left w:val="nil"/>
              <w:bottom w:val="single" w:sz="4" w:space="0" w:color="auto"/>
              <w:right w:val="nil"/>
            </w:tcBorders>
            <w:shd w:val="clear" w:color="auto" w:fill="auto"/>
            <w:vAlign w:val="center"/>
          </w:tcPr>
          <w:p w14:paraId="0DAEA0B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7F581192"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70A71BB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0F8CE240" w14:textId="77777777" w:rsidTr="00C3775E">
        <w:tc>
          <w:tcPr>
            <w:tcW w:w="4644" w:type="dxa"/>
            <w:tcBorders>
              <w:top w:val="single" w:sz="4" w:space="0" w:color="auto"/>
              <w:left w:val="nil"/>
              <w:bottom w:val="nil"/>
              <w:right w:val="nil"/>
            </w:tcBorders>
            <w:shd w:val="clear" w:color="auto" w:fill="auto"/>
          </w:tcPr>
          <w:p w14:paraId="7E49D5D1" w14:textId="77777777" w:rsidR="0044223C" w:rsidRPr="00B54968" w:rsidRDefault="0044223C" w:rsidP="003E2009">
            <w:pPr>
              <w:spacing w:before="40" w:after="40" w:line="240" w:lineRule="auto"/>
              <w:ind w:left="480" w:hanging="480"/>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Ear and labyrinth disorders</w:t>
            </w:r>
          </w:p>
        </w:tc>
        <w:tc>
          <w:tcPr>
            <w:tcW w:w="1621" w:type="dxa"/>
            <w:tcBorders>
              <w:top w:val="single" w:sz="4" w:space="0" w:color="auto"/>
              <w:left w:val="nil"/>
              <w:bottom w:val="nil"/>
              <w:right w:val="nil"/>
            </w:tcBorders>
            <w:shd w:val="clear" w:color="auto" w:fill="auto"/>
          </w:tcPr>
          <w:p w14:paraId="719CA11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20DC09D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3471DF3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69D4AF0E" w14:textId="77777777" w:rsidTr="00C3775E">
        <w:tc>
          <w:tcPr>
            <w:tcW w:w="4644" w:type="dxa"/>
            <w:tcBorders>
              <w:top w:val="nil"/>
              <w:left w:val="nil"/>
              <w:bottom w:val="single" w:sz="4" w:space="0" w:color="auto"/>
              <w:right w:val="nil"/>
            </w:tcBorders>
            <w:shd w:val="clear" w:color="auto" w:fill="auto"/>
          </w:tcPr>
          <w:p w14:paraId="2AD07D9B"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Vertigo</w:t>
            </w:r>
          </w:p>
        </w:tc>
        <w:tc>
          <w:tcPr>
            <w:tcW w:w="1621" w:type="dxa"/>
            <w:tcBorders>
              <w:top w:val="nil"/>
              <w:left w:val="nil"/>
              <w:bottom w:val="single" w:sz="4" w:space="0" w:color="auto"/>
              <w:right w:val="nil"/>
            </w:tcBorders>
            <w:shd w:val="clear" w:color="auto" w:fill="auto"/>
            <w:vAlign w:val="center"/>
          </w:tcPr>
          <w:p w14:paraId="1B6F5A4F"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19E8489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7F36868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22D9F8B4" w14:textId="77777777" w:rsidTr="00C3775E">
        <w:tc>
          <w:tcPr>
            <w:tcW w:w="4644" w:type="dxa"/>
            <w:tcBorders>
              <w:top w:val="single" w:sz="4" w:space="0" w:color="auto"/>
              <w:left w:val="nil"/>
              <w:bottom w:val="nil"/>
              <w:right w:val="nil"/>
            </w:tcBorders>
            <w:shd w:val="clear" w:color="auto" w:fill="auto"/>
          </w:tcPr>
          <w:p w14:paraId="1F4C923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Eye disorders</w:t>
            </w:r>
          </w:p>
        </w:tc>
        <w:tc>
          <w:tcPr>
            <w:tcW w:w="1621" w:type="dxa"/>
            <w:tcBorders>
              <w:top w:val="single" w:sz="4" w:space="0" w:color="auto"/>
              <w:left w:val="nil"/>
              <w:bottom w:val="nil"/>
              <w:right w:val="nil"/>
            </w:tcBorders>
            <w:shd w:val="clear" w:color="auto" w:fill="auto"/>
          </w:tcPr>
          <w:p w14:paraId="5792118F"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19B8830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5687627B"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56BE6F5D" w14:textId="77777777" w:rsidTr="00C3775E">
        <w:tc>
          <w:tcPr>
            <w:tcW w:w="4644" w:type="dxa"/>
            <w:tcBorders>
              <w:top w:val="nil"/>
              <w:left w:val="nil"/>
              <w:bottom w:val="single" w:sz="4" w:space="0" w:color="auto"/>
              <w:right w:val="nil"/>
            </w:tcBorders>
            <w:shd w:val="clear" w:color="auto" w:fill="auto"/>
          </w:tcPr>
          <w:p w14:paraId="1F26DA13"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Cataract</w:t>
            </w:r>
          </w:p>
        </w:tc>
        <w:tc>
          <w:tcPr>
            <w:tcW w:w="1621" w:type="dxa"/>
            <w:tcBorders>
              <w:top w:val="nil"/>
              <w:left w:val="nil"/>
              <w:bottom w:val="single" w:sz="4" w:space="0" w:color="auto"/>
              <w:right w:val="nil"/>
            </w:tcBorders>
            <w:shd w:val="clear" w:color="auto" w:fill="auto"/>
            <w:vAlign w:val="center"/>
          </w:tcPr>
          <w:p w14:paraId="3088C5B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single" w:sz="4" w:space="0" w:color="auto"/>
              <w:right w:val="nil"/>
            </w:tcBorders>
            <w:shd w:val="clear" w:color="auto" w:fill="auto"/>
            <w:vAlign w:val="center"/>
          </w:tcPr>
          <w:p w14:paraId="0A16143D"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single" w:sz="4" w:space="0" w:color="auto"/>
              <w:right w:val="nil"/>
            </w:tcBorders>
            <w:shd w:val="clear" w:color="auto" w:fill="auto"/>
            <w:vAlign w:val="center"/>
          </w:tcPr>
          <w:p w14:paraId="0C132D5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16F82F7D" w14:textId="77777777" w:rsidTr="00C3775E">
        <w:tc>
          <w:tcPr>
            <w:tcW w:w="4644" w:type="dxa"/>
            <w:tcBorders>
              <w:top w:val="single" w:sz="4" w:space="0" w:color="auto"/>
              <w:left w:val="nil"/>
              <w:bottom w:val="nil"/>
              <w:right w:val="nil"/>
            </w:tcBorders>
            <w:shd w:val="clear" w:color="auto" w:fill="auto"/>
          </w:tcPr>
          <w:p w14:paraId="62C3350D"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Gastrointestinal disorders</w:t>
            </w:r>
          </w:p>
        </w:tc>
        <w:tc>
          <w:tcPr>
            <w:tcW w:w="1621" w:type="dxa"/>
            <w:tcBorders>
              <w:top w:val="single" w:sz="4" w:space="0" w:color="auto"/>
              <w:left w:val="nil"/>
              <w:bottom w:val="nil"/>
              <w:right w:val="nil"/>
            </w:tcBorders>
            <w:shd w:val="clear" w:color="auto" w:fill="auto"/>
          </w:tcPr>
          <w:p w14:paraId="75D70DA2"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5632FEDB"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7D67ECE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384051CF" w14:textId="77777777" w:rsidTr="00C3775E">
        <w:tc>
          <w:tcPr>
            <w:tcW w:w="4644" w:type="dxa"/>
            <w:tcBorders>
              <w:top w:val="nil"/>
              <w:left w:val="nil"/>
              <w:bottom w:val="nil"/>
              <w:right w:val="nil"/>
            </w:tcBorders>
            <w:shd w:val="clear" w:color="auto" w:fill="auto"/>
          </w:tcPr>
          <w:p w14:paraId="4A429285"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Abdominal pain</w:t>
            </w:r>
          </w:p>
        </w:tc>
        <w:tc>
          <w:tcPr>
            <w:tcW w:w="1621" w:type="dxa"/>
            <w:tcBorders>
              <w:top w:val="nil"/>
              <w:left w:val="nil"/>
              <w:bottom w:val="nil"/>
              <w:right w:val="nil"/>
            </w:tcBorders>
            <w:shd w:val="clear" w:color="auto" w:fill="auto"/>
            <w:vAlign w:val="center"/>
          </w:tcPr>
          <w:p w14:paraId="76FBD66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365DF2D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4D39AA1F"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0B679A37" w14:textId="77777777" w:rsidTr="00C3775E">
        <w:tc>
          <w:tcPr>
            <w:tcW w:w="4644" w:type="dxa"/>
            <w:tcBorders>
              <w:top w:val="nil"/>
              <w:left w:val="nil"/>
              <w:bottom w:val="nil"/>
              <w:right w:val="nil"/>
            </w:tcBorders>
            <w:shd w:val="clear" w:color="auto" w:fill="auto"/>
          </w:tcPr>
          <w:p w14:paraId="168F5748"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Abdominal pain upper</w:t>
            </w:r>
          </w:p>
        </w:tc>
        <w:tc>
          <w:tcPr>
            <w:tcW w:w="1621" w:type="dxa"/>
            <w:tcBorders>
              <w:top w:val="nil"/>
              <w:left w:val="nil"/>
              <w:bottom w:val="nil"/>
              <w:right w:val="nil"/>
            </w:tcBorders>
            <w:shd w:val="clear" w:color="auto" w:fill="auto"/>
            <w:vAlign w:val="center"/>
          </w:tcPr>
          <w:p w14:paraId="141419E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6232AE5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4D56863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4FF434DF" w14:textId="77777777" w:rsidTr="00C3775E">
        <w:tc>
          <w:tcPr>
            <w:tcW w:w="4644" w:type="dxa"/>
            <w:tcBorders>
              <w:top w:val="nil"/>
              <w:left w:val="nil"/>
              <w:bottom w:val="nil"/>
              <w:right w:val="nil"/>
            </w:tcBorders>
            <w:shd w:val="clear" w:color="auto" w:fill="auto"/>
          </w:tcPr>
          <w:p w14:paraId="2093E63B"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Dental caries</w:t>
            </w:r>
          </w:p>
        </w:tc>
        <w:tc>
          <w:tcPr>
            <w:tcW w:w="1621" w:type="dxa"/>
            <w:tcBorders>
              <w:top w:val="nil"/>
              <w:left w:val="nil"/>
              <w:bottom w:val="nil"/>
              <w:right w:val="nil"/>
            </w:tcBorders>
            <w:shd w:val="clear" w:color="auto" w:fill="auto"/>
            <w:vAlign w:val="center"/>
          </w:tcPr>
          <w:p w14:paraId="64F42C6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657D2B2"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23AAC6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7EED6A64" w14:textId="77777777" w:rsidTr="00C3775E">
        <w:tc>
          <w:tcPr>
            <w:tcW w:w="4644" w:type="dxa"/>
            <w:tcBorders>
              <w:top w:val="nil"/>
              <w:left w:val="nil"/>
              <w:bottom w:val="nil"/>
              <w:right w:val="nil"/>
            </w:tcBorders>
            <w:shd w:val="clear" w:color="auto" w:fill="auto"/>
          </w:tcPr>
          <w:p w14:paraId="669D1FDB"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Diarrhea</w:t>
            </w:r>
          </w:p>
        </w:tc>
        <w:tc>
          <w:tcPr>
            <w:tcW w:w="1621" w:type="dxa"/>
            <w:tcBorders>
              <w:top w:val="nil"/>
              <w:left w:val="nil"/>
              <w:bottom w:val="nil"/>
              <w:right w:val="nil"/>
            </w:tcBorders>
            <w:shd w:val="clear" w:color="auto" w:fill="auto"/>
            <w:vAlign w:val="center"/>
          </w:tcPr>
          <w:p w14:paraId="34DC146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(2.6)</w:t>
            </w:r>
          </w:p>
        </w:tc>
        <w:tc>
          <w:tcPr>
            <w:tcW w:w="1477" w:type="dxa"/>
            <w:tcBorders>
              <w:top w:val="nil"/>
              <w:left w:val="nil"/>
              <w:bottom w:val="nil"/>
              <w:right w:val="nil"/>
            </w:tcBorders>
            <w:shd w:val="clear" w:color="auto" w:fill="auto"/>
            <w:vAlign w:val="center"/>
          </w:tcPr>
          <w:p w14:paraId="7A06EF2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(2.7)</w:t>
            </w:r>
          </w:p>
        </w:tc>
        <w:tc>
          <w:tcPr>
            <w:tcW w:w="1477" w:type="dxa"/>
            <w:tcBorders>
              <w:top w:val="nil"/>
              <w:left w:val="nil"/>
              <w:bottom w:val="nil"/>
              <w:right w:val="nil"/>
            </w:tcBorders>
            <w:shd w:val="clear" w:color="auto" w:fill="auto"/>
            <w:vAlign w:val="center"/>
          </w:tcPr>
          <w:p w14:paraId="7711BF8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(2.7)</w:t>
            </w:r>
          </w:p>
        </w:tc>
      </w:tr>
      <w:tr w:rsidR="0044223C" w:rsidRPr="00B54968" w14:paraId="31266F89" w14:textId="77777777" w:rsidTr="00C3775E">
        <w:tc>
          <w:tcPr>
            <w:tcW w:w="4644" w:type="dxa"/>
            <w:tcBorders>
              <w:top w:val="nil"/>
              <w:left w:val="nil"/>
              <w:bottom w:val="nil"/>
              <w:right w:val="nil"/>
            </w:tcBorders>
            <w:shd w:val="clear" w:color="auto" w:fill="auto"/>
          </w:tcPr>
          <w:p w14:paraId="75178220"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Gastritis</w:t>
            </w:r>
          </w:p>
        </w:tc>
        <w:tc>
          <w:tcPr>
            <w:tcW w:w="1621" w:type="dxa"/>
            <w:tcBorders>
              <w:top w:val="nil"/>
              <w:left w:val="nil"/>
              <w:bottom w:val="nil"/>
              <w:right w:val="nil"/>
            </w:tcBorders>
            <w:shd w:val="clear" w:color="auto" w:fill="auto"/>
            <w:vAlign w:val="center"/>
          </w:tcPr>
          <w:p w14:paraId="21E7F2F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5A60085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312D47C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0832C6A0" w14:textId="77777777" w:rsidTr="00C3775E">
        <w:tc>
          <w:tcPr>
            <w:tcW w:w="4644" w:type="dxa"/>
            <w:tcBorders>
              <w:top w:val="nil"/>
              <w:left w:val="nil"/>
              <w:bottom w:val="nil"/>
              <w:right w:val="nil"/>
            </w:tcBorders>
            <w:shd w:val="clear" w:color="auto" w:fill="auto"/>
          </w:tcPr>
          <w:p w14:paraId="2A91ABFE"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Gastroesophageal reflux disease</w:t>
            </w:r>
          </w:p>
        </w:tc>
        <w:tc>
          <w:tcPr>
            <w:tcW w:w="1621" w:type="dxa"/>
            <w:tcBorders>
              <w:top w:val="nil"/>
              <w:left w:val="nil"/>
              <w:bottom w:val="nil"/>
              <w:right w:val="nil"/>
            </w:tcBorders>
            <w:shd w:val="clear" w:color="auto" w:fill="auto"/>
            <w:vAlign w:val="center"/>
          </w:tcPr>
          <w:p w14:paraId="3180053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1754F5EF"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316B9B5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52774A2D" w14:textId="77777777" w:rsidTr="00C3775E">
        <w:tc>
          <w:tcPr>
            <w:tcW w:w="4644" w:type="dxa"/>
            <w:tcBorders>
              <w:top w:val="nil"/>
              <w:left w:val="nil"/>
              <w:bottom w:val="nil"/>
              <w:right w:val="nil"/>
            </w:tcBorders>
            <w:shd w:val="clear" w:color="auto" w:fill="auto"/>
          </w:tcPr>
          <w:p w14:paraId="1EFAAB30"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Nausea</w:t>
            </w:r>
          </w:p>
        </w:tc>
        <w:tc>
          <w:tcPr>
            <w:tcW w:w="1621" w:type="dxa"/>
            <w:tcBorders>
              <w:top w:val="nil"/>
              <w:left w:val="nil"/>
              <w:bottom w:val="nil"/>
              <w:right w:val="nil"/>
            </w:tcBorders>
            <w:shd w:val="clear" w:color="auto" w:fill="auto"/>
            <w:vAlign w:val="center"/>
          </w:tcPr>
          <w:p w14:paraId="118619B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6095740B"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6091BFC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6A93E1C1" w14:textId="77777777" w:rsidTr="00C3775E">
        <w:tc>
          <w:tcPr>
            <w:tcW w:w="4644" w:type="dxa"/>
            <w:tcBorders>
              <w:top w:val="nil"/>
              <w:left w:val="nil"/>
              <w:bottom w:val="nil"/>
              <w:right w:val="nil"/>
            </w:tcBorders>
            <w:shd w:val="clear" w:color="auto" w:fill="auto"/>
          </w:tcPr>
          <w:p w14:paraId="4565771D"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Peptic ulcer</w:t>
            </w:r>
          </w:p>
        </w:tc>
        <w:tc>
          <w:tcPr>
            <w:tcW w:w="1621" w:type="dxa"/>
            <w:tcBorders>
              <w:top w:val="nil"/>
              <w:left w:val="nil"/>
              <w:bottom w:val="nil"/>
              <w:right w:val="nil"/>
            </w:tcBorders>
            <w:shd w:val="clear" w:color="auto" w:fill="auto"/>
            <w:vAlign w:val="center"/>
          </w:tcPr>
          <w:p w14:paraId="60977A6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2E3FF70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66F5463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2713BEA0" w14:textId="77777777" w:rsidTr="00C3775E">
        <w:tc>
          <w:tcPr>
            <w:tcW w:w="4644" w:type="dxa"/>
            <w:tcBorders>
              <w:top w:val="nil"/>
              <w:left w:val="nil"/>
              <w:bottom w:val="single" w:sz="4" w:space="0" w:color="auto"/>
              <w:right w:val="nil"/>
            </w:tcBorders>
            <w:shd w:val="clear" w:color="auto" w:fill="auto"/>
          </w:tcPr>
          <w:p w14:paraId="46489C47"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Vomiting</w:t>
            </w:r>
          </w:p>
        </w:tc>
        <w:tc>
          <w:tcPr>
            <w:tcW w:w="1621" w:type="dxa"/>
            <w:tcBorders>
              <w:top w:val="nil"/>
              <w:left w:val="nil"/>
              <w:bottom w:val="single" w:sz="4" w:space="0" w:color="auto"/>
              <w:right w:val="nil"/>
            </w:tcBorders>
            <w:shd w:val="clear" w:color="auto" w:fill="auto"/>
            <w:vAlign w:val="center"/>
          </w:tcPr>
          <w:p w14:paraId="6AA0309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1E75518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15C44EE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10F71E82" w14:textId="77777777" w:rsidTr="00C3775E">
        <w:tc>
          <w:tcPr>
            <w:tcW w:w="4644" w:type="dxa"/>
            <w:tcBorders>
              <w:top w:val="single" w:sz="4" w:space="0" w:color="auto"/>
              <w:left w:val="nil"/>
              <w:bottom w:val="nil"/>
              <w:right w:val="nil"/>
            </w:tcBorders>
            <w:shd w:val="clear" w:color="auto" w:fill="auto"/>
          </w:tcPr>
          <w:p w14:paraId="3B84B74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General disorders</w:t>
            </w:r>
            <w:r w:rsidRPr="00B54968">
              <w:rPr>
                <w:rFonts w:ascii="Times New Roman" w:eastAsia="Malgun Gothic" w:hAnsi="Times New Roman" w:cs="Times New Roman"/>
                <w:b/>
                <w:kern w:val="24"/>
                <w:sz w:val="18"/>
                <w:szCs w:val="18"/>
                <w:lang w:eastAsia="ko-KR"/>
              </w:rPr>
              <w:t xml:space="preserve"> </w:t>
            </w:r>
            <w:r w:rsidRPr="00B54968">
              <w:rPr>
                <w:rFonts w:ascii="Times New Roman" w:eastAsia="SimSun" w:hAnsi="Times New Roman" w:cs="Times New Roman"/>
                <w:b/>
                <w:kern w:val="24"/>
                <w:sz w:val="18"/>
                <w:szCs w:val="18"/>
                <w:lang w:eastAsia="en-US"/>
              </w:rPr>
              <w:t>and administration site conditions</w:t>
            </w:r>
          </w:p>
        </w:tc>
        <w:tc>
          <w:tcPr>
            <w:tcW w:w="1621" w:type="dxa"/>
            <w:tcBorders>
              <w:top w:val="single" w:sz="4" w:space="0" w:color="auto"/>
              <w:left w:val="nil"/>
              <w:bottom w:val="nil"/>
              <w:right w:val="nil"/>
            </w:tcBorders>
            <w:shd w:val="clear" w:color="auto" w:fill="auto"/>
          </w:tcPr>
          <w:p w14:paraId="6D77C64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26FE876F"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0D9E678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1ABD9A2B" w14:textId="77777777" w:rsidTr="00C3775E">
        <w:tc>
          <w:tcPr>
            <w:tcW w:w="4644" w:type="dxa"/>
            <w:tcBorders>
              <w:top w:val="nil"/>
              <w:left w:val="nil"/>
              <w:bottom w:val="nil"/>
              <w:right w:val="nil"/>
            </w:tcBorders>
            <w:shd w:val="clear" w:color="auto" w:fill="auto"/>
          </w:tcPr>
          <w:p w14:paraId="735A20FD"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Asthenia</w:t>
            </w:r>
          </w:p>
        </w:tc>
        <w:tc>
          <w:tcPr>
            <w:tcW w:w="1621" w:type="dxa"/>
            <w:tcBorders>
              <w:top w:val="nil"/>
              <w:left w:val="nil"/>
              <w:bottom w:val="nil"/>
              <w:right w:val="nil"/>
            </w:tcBorders>
            <w:shd w:val="clear" w:color="auto" w:fill="auto"/>
            <w:vAlign w:val="center"/>
          </w:tcPr>
          <w:p w14:paraId="63B079D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43F884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145BA45F"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6336B86C" w14:textId="77777777" w:rsidTr="00C3775E">
        <w:tc>
          <w:tcPr>
            <w:tcW w:w="4644" w:type="dxa"/>
            <w:tcBorders>
              <w:top w:val="nil"/>
              <w:left w:val="nil"/>
              <w:bottom w:val="nil"/>
              <w:right w:val="nil"/>
            </w:tcBorders>
            <w:shd w:val="clear" w:color="auto" w:fill="auto"/>
          </w:tcPr>
          <w:p w14:paraId="76D02C4C"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lastRenderedPageBreak/>
              <w:t>Infusion</w:t>
            </w:r>
            <w:r w:rsidRPr="00B54968">
              <w:rPr>
                <w:rFonts w:ascii="Times New Roman" w:eastAsia="SimSun" w:hAnsi="Times New Roman" w:cs="Times New Roman"/>
                <w:kern w:val="24"/>
                <w:sz w:val="18"/>
                <w:szCs w:val="18"/>
                <w:lang w:eastAsia="en-US"/>
              </w:rPr>
              <w:noBreakHyphen/>
              <w:t>related reaction</w:t>
            </w:r>
          </w:p>
        </w:tc>
        <w:tc>
          <w:tcPr>
            <w:tcW w:w="1621" w:type="dxa"/>
            <w:tcBorders>
              <w:top w:val="nil"/>
              <w:left w:val="nil"/>
              <w:bottom w:val="nil"/>
              <w:right w:val="nil"/>
            </w:tcBorders>
            <w:shd w:val="clear" w:color="auto" w:fill="auto"/>
            <w:vAlign w:val="center"/>
          </w:tcPr>
          <w:p w14:paraId="2B40672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10 (3.3)</w:t>
            </w:r>
          </w:p>
        </w:tc>
        <w:tc>
          <w:tcPr>
            <w:tcW w:w="1477" w:type="dxa"/>
            <w:tcBorders>
              <w:top w:val="nil"/>
              <w:left w:val="nil"/>
              <w:bottom w:val="nil"/>
              <w:right w:val="nil"/>
            </w:tcBorders>
            <w:shd w:val="clear" w:color="auto" w:fill="auto"/>
            <w:vAlign w:val="center"/>
          </w:tcPr>
          <w:p w14:paraId="60C233A2"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nil"/>
              <w:right w:val="nil"/>
            </w:tcBorders>
            <w:shd w:val="clear" w:color="auto" w:fill="auto"/>
            <w:vAlign w:val="center"/>
          </w:tcPr>
          <w:p w14:paraId="1543C05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 (3.5)</w:t>
            </w:r>
          </w:p>
        </w:tc>
      </w:tr>
      <w:tr w:rsidR="0044223C" w:rsidRPr="00B54968" w14:paraId="104E2B5A" w14:textId="77777777" w:rsidTr="00C3775E">
        <w:tc>
          <w:tcPr>
            <w:tcW w:w="4644" w:type="dxa"/>
            <w:tcBorders>
              <w:top w:val="nil"/>
              <w:left w:val="nil"/>
              <w:bottom w:val="nil"/>
              <w:right w:val="nil"/>
            </w:tcBorders>
            <w:shd w:val="clear" w:color="auto" w:fill="auto"/>
          </w:tcPr>
          <w:p w14:paraId="454DF9E0"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Batang" w:hAnsi="Times New Roman" w:cs="Times New Roman"/>
                <w:kern w:val="24"/>
                <w:sz w:val="18"/>
                <w:szCs w:val="18"/>
                <w:lang w:eastAsia="ko-KR"/>
              </w:rPr>
              <w:t>E</w:t>
            </w:r>
            <w:r w:rsidRPr="00B54968">
              <w:rPr>
                <w:rFonts w:ascii="Times New Roman" w:eastAsia="SimSun" w:hAnsi="Times New Roman" w:cs="Times New Roman"/>
                <w:kern w:val="24"/>
                <w:sz w:val="18"/>
                <w:szCs w:val="18"/>
                <w:lang w:eastAsia="en-US"/>
              </w:rPr>
              <w:t>dema peripheral</w:t>
            </w:r>
          </w:p>
        </w:tc>
        <w:tc>
          <w:tcPr>
            <w:tcW w:w="1621" w:type="dxa"/>
            <w:tcBorders>
              <w:top w:val="nil"/>
              <w:left w:val="nil"/>
              <w:bottom w:val="nil"/>
              <w:right w:val="nil"/>
            </w:tcBorders>
            <w:shd w:val="clear" w:color="auto" w:fill="auto"/>
            <w:vAlign w:val="center"/>
          </w:tcPr>
          <w:p w14:paraId="5B77DCC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205D359B"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32DE2C1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550DC42F" w14:textId="77777777" w:rsidTr="00C3775E">
        <w:tc>
          <w:tcPr>
            <w:tcW w:w="4644" w:type="dxa"/>
            <w:tcBorders>
              <w:top w:val="nil"/>
              <w:left w:val="nil"/>
              <w:bottom w:val="single" w:sz="4" w:space="0" w:color="auto"/>
              <w:right w:val="nil"/>
            </w:tcBorders>
            <w:shd w:val="clear" w:color="auto" w:fill="auto"/>
          </w:tcPr>
          <w:p w14:paraId="21E1C9A1"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Pyrexia</w:t>
            </w:r>
          </w:p>
        </w:tc>
        <w:tc>
          <w:tcPr>
            <w:tcW w:w="1621" w:type="dxa"/>
            <w:tcBorders>
              <w:top w:val="nil"/>
              <w:left w:val="nil"/>
              <w:bottom w:val="single" w:sz="4" w:space="0" w:color="auto"/>
              <w:right w:val="nil"/>
            </w:tcBorders>
            <w:shd w:val="clear" w:color="auto" w:fill="auto"/>
            <w:vAlign w:val="center"/>
          </w:tcPr>
          <w:p w14:paraId="6E00E63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38D168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single" w:sz="4" w:space="0" w:color="auto"/>
              <w:right w:val="nil"/>
            </w:tcBorders>
            <w:shd w:val="clear" w:color="auto" w:fill="auto"/>
            <w:vAlign w:val="center"/>
          </w:tcPr>
          <w:p w14:paraId="46A5788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(2.2)</w:t>
            </w:r>
          </w:p>
        </w:tc>
      </w:tr>
      <w:tr w:rsidR="0044223C" w:rsidRPr="00B54968" w14:paraId="7DD24221" w14:textId="77777777" w:rsidTr="00C3775E">
        <w:tc>
          <w:tcPr>
            <w:tcW w:w="4644" w:type="dxa"/>
            <w:tcBorders>
              <w:top w:val="single" w:sz="4" w:space="0" w:color="auto"/>
              <w:left w:val="nil"/>
              <w:bottom w:val="nil"/>
              <w:right w:val="nil"/>
            </w:tcBorders>
            <w:shd w:val="clear" w:color="auto" w:fill="auto"/>
          </w:tcPr>
          <w:p w14:paraId="0C2C238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Immune system disorders</w:t>
            </w:r>
          </w:p>
        </w:tc>
        <w:tc>
          <w:tcPr>
            <w:tcW w:w="1621" w:type="dxa"/>
            <w:tcBorders>
              <w:top w:val="single" w:sz="4" w:space="0" w:color="auto"/>
              <w:left w:val="nil"/>
              <w:bottom w:val="nil"/>
              <w:right w:val="nil"/>
            </w:tcBorders>
            <w:shd w:val="clear" w:color="auto" w:fill="auto"/>
          </w:tcPr>
          <w:p w14:paraId="145CC852"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67D9B1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5BB304F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0DEADA72" w14:textId="77777777" w:rsidTr="00C3775E">
        <w:tc>
          <w:tcPr>
            <w:tcW w:w="4644" w:type="dxa"/>
            <w:tcBorders>
              <w:top w:val="nil"/>
              <w:left w:val="nil"/>
              <w:bottom w:val="nil"/>
              <w:right w:val="nil"/>
            </w:tcBorders>
            <w:shd w:val="clear" w:color="auto" w:fill="auto"/>
          </w:tcPr>
          <w:p w14:paraId="063FFA5B"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Anaphylactic reaction</w:t>
            </w:r>
          </w:p>
        </w:tc>
        <w:tc>
          <w:tcPr>
            <w:tcW w:w="1621" w:type="dxa"/>
            <w:tcBorders>
              <w:top w:val="nil"/>
              <w:left w:val="nil"/>
              <w:bottom w:val="nil"/>
              <w:right w:val="nil"/>
            </w:tcBorders>
            <w:shd w:val="clear" w:color="auto" w:fill="auto"/>
            <w:vAlign w:val="center"/>
          </w:tcPr>
          <w:p w14:paraId="5F742D0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6F059B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4DAD56E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5CB2B674" w14:textId="77777777" w:rsidTr="00C3775E">
        <w:tc>
          <w:tcPr>
            <w:tcW w:w="4644" w:type="dxa"/>
            <w:tcBorders>
              <w:top w:val="nil"/>
              <w:left w:val="nil"/>
              <w:bottom w:val="nil"/>
              <w:right w:val="nil"/>
            </w:tcBorders>
            <w:shd w:val="clear" w:color="auto" w:fill="auto"/>
          </w:tcPr>
          <w:p w14:paraId="05CAFFB0"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Drug hypersensitivity</w:t>
            </w:r>
          </w:p>
        </w:tc>
        <w:tc>
          <w:tcPr>
            <w:tcW w:w="1621" w:type="dxa"/>
            <w:tcBorders>
              <w:top w:val="nil"/>
              <w:left w:val="nil"/>
              <w:bottom w:val="nil"/>
              <w:right w:val="nil"/>
            </w:tcBorders>
            <w:shd w:val="clear" w:color="auto" w:fill="auto"/>
            <w:vAlign w:val="center"/>
          </w:tcPr>
          <w:p w14:paraId="57BFC63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732456E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nil"/>
              <w:right w:val="nil"/>
            </w:tcBorders>
            <w:shd w:val="clear" w:color="auto" w:fill="auto"/>
            <w:vAlign w:val="center"/>
          </w:tcPr>
          <w:p w14:paraId="54264F0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(2.8)</w:t>
            </w:r>
          </w:p>
        </w:tc>
      </w:tr>
      <w:tr w:rsidR="0044223C" w:rsidRPr="00B54968" w14:paraId="34F1546E" w14:textId="77777777" w:rsidTr="00C3775E">
        <w:tc>
          <w:tcPr>
            <w:tcW w:w="4644" w:type="dxa"/>
            <w:tcBorders>
              <w:top w:val="nil"/>
              <w:left w:val="nil"/>
              <w:bottom w:val="single" w:sz="4" w:space="0" w:color="auto"/>
              <w:right w:val="nil"/>
            </w:tcBorders>
            <w:shd w:val="clear" w:color="auto" w:fill="auto"/>
          </w:tcPr>
          <w:p w14:paraId="4F0E6418"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Hypersensitivity</w:t>
            </w:r>
          </w:p>
        </w:tc>
        <w:tc>
          <w:tcPr>
            <w:tcW w:w="1621" w:type="dxa"/>
            <w:tcBorders>
              <w:top w:val="nil"/>
              <w:left w:val="nil"/>
              <w:bottom w:val="single" w:sz="4" w:space="0" w:color="auto"/>
              <w:right w:val="nil"/>
            </w:tcBorders>
            <w:shd w:val="clear" w:color="auto" w:fill="auto"/>
            <w:vAlign w:val="center"/>
          </w:tcPr>
          <w:p w14:paraId="7622D26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0EE593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42E060E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737F2069" w14:textId="77777777" w:rsidTr="00C3775E">
        <w:tc>
          <w:tcPr>
            <w:tcW w:w="4644" w:type="dxa"/>
            <w:tcBorders>
              <w:top w:val="single" w:sz="4" w:space="0" w:color="auto"/>
              <w:left w:val="nil"/>
              <w:bottom w:val="nil"/>
              <w:right w:val="nil"/>
            </w:tcBorders>
            <w:shd w:val="clear" w:color="auto" w:fill="auto"/>
          </w:tcPr>
          <w:p w14:paraId="2940DEBF"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Infections and infestations</w:t>
            </w:r>
          </w:p>
        </w:tc>
        <w:tc>
          <w:tcPr>
            <w:tcW w:w="1621" w:type="dxa"/>
            <w:tcBorders>
              <w:top w:val="single" w:sz="4" w:space="0" w:color="auto"/>
              <w:left w:val="nil"/>
              <w:bottom w:val="nil"/>
              <w:right w:val="nil"/>
            </w:tcBorders>
            <w:shd w:val="clear" w:color="auto" w:fill="auto"/>
          </w:tcPr>
          <w:p w14:paraId="38AE169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09A6349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83D51FD"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5B9A870A" w14:textId="77777777" w:rsidTr="00C3775E">
        <w:tc>
          <w:tcPr>
            <w:tcW w:w="4644" w:type="dxa"/>
            <w:tcBorders>
              <w:top w:val="nil"/>
              <w:left w:val="nil"/>
              <w:bottom w:val="nil"/>
              <w:right w:val="nil"/>
            </w:tcBorders>
            <w:shd w:val="clear" w:color="auto" w:fill="auto"/>
          </w:tcPr>
          <w:p w14:paraId="6F0B639D"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Bronchitis</w:t>
            </w:r>
          </w:p>
        </w:tc>
        <w:tc>
          <w:tcPr>
            <w:tcW w:w="1621" w:type="dxa"/>
            <w:tcBorders>
              <w:top w:val="nil"/>
              <w:left w:val="nil"/>
              <w:bottom w:val="nil"/>
              <w:right w:val="nil"/>
            </w:tcBorders>
            <w:shd w:val="clear" w:color="auto" w:fill="auto"/>
            <w:vAlign w:val="center"/>
          </w:tcPr>
          <w:p w14:paraId="22F9677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(4.3)</w:t>
            </w:r>
          </w:p>
        </w:tc>
        <w:tc>
          <w:tcPr>
            <w:tcW w:w="1477" w:type="dxa"/>
            <w:tcBorders>
              <w:top w:val="nil"/>
              <w:left w:val="nil"/>
              <w:bottom w:val="nil"/>
              <w:right w:val="nil"/>
            </w:tcBorders>
            <w:shd w:val="clear" w:color="auto" w:fill="auto"/>
            <w:vAlign w:val="center"/>
          </w:tcPr>
          <w:p w14:paraId="5502E33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(5.7)</w:t>
            </w:r>
          </w:p>
        </w:tc>
        <w:tc>
          <w:tcPr>
            <w:tcW w:w="1477" w:type="dxa"/>
            <w:tcBorders>
              <w:top w:val="nil"/>
              <w:left w:val="nil"/>
              <w:bottom w:val="nil"/>
              <w:right w:val="nil"/>
            </w:tcBorders>
            <w:shd w:val="clear" w:color="auto" w:fill="auto"/>
            <w:vAlign w:val="center"/>
          </w:tcPr>
          <w:p w14:paraId="6AD3D4E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30 (5.0)</w:t>
            </w:r>
          </w:p>
        </w:tc>
      </w:tr>
      <w:tr w:rsidR="0044223C" w:rsidRPr="00B54968" w14:paraId="190B428B" w14:textId="77777777" w:rsidTr="00C3775E">
        <w:tc>
          <w:tcPr>
            <w:tcW w:w="4644" w:type="dxa"/>
            <w:tcBorders>
              <w:top w:val="nil"/>
              <w:left w:val="nil"/>
              <w:bottom w:val="nil"/>
              <w:right w:val="nil"/>
            </w:tcBorders>
            <w:shd w:val="clear" w:color="auto" w:fill="auto"/>
          </w:tcPr>
          <w:p w14:paraId="523B799A"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Cellulitis</w:t>
            </w:r>
          </w:p>
        </w:tc>
        <w:tc>
          <w:tcPr>
            <w:tcW w:w="1621" w:type="dxa"/>
            <w:tcBorders>
              <w:top w:val="nil"/>
              <w:left w:val="nil"/>
              <w:bottom w:val="nil"/>
              <w:right w:val="nil"/>
            </w:tcBorders>
            <w:shd w:val="clear" w:color="auto" w:fill="auto"/>
            <w:vAlign w:val="center"/>
          </w:tcPr>
          <w:p w14:paraId="4EB4E32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0C7B6A0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5A0132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3C795131" w14:textId="77777777" w:rsidTr="00C3775E">
        <w:tc>
          <w:tcPr>
            <w:tcW w:w="4644" w:type="dxa"/>
            <w:tcBorders>
              <w:top w:val="nil"/>
              <w:left w:val="nil"/>
              <w:bottom w:val="nil"/>
              <w:right w:val="nil"/>
            </w:tcBorders>
            <w:shd w:val="clear" w:color="auto" w:fill="auto"/>
          </w:tcPr>
          <w:p w14:paraId="600488B7"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Gastroenteritis</w:t>
            </w:r>
          </w:p>
        </w:tc>
        <w:tc>
          <w:tcPr>
            <w:tcW w:w="1621" w:type="dxa"/>
            <w:tcBorders>
              <w:top w:val="nil"/>
              <w:left w:val="nil"/>
              <w:bottom w:val="nil"/>
              <w:right w:val="nil"/>
            </w:tcBorders>
            <w:shd w:val="clear" w:color="auto" w:fill="auto"/>
            <w:vAlign w:val="center"/>
          </w:tcPr>
          <w:p w14:paraId="28FDB37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27DBA88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(2.7)</w:t>
            </w:r>
          </w:p>
        </w:tc>
        <w:tc>
          <w:tcPr>
            <w:tcW w:w="1477" w:type="dxa"/>
            <w:tcBorders>
              <w:top w:val="nil"/>
              <w:left w:val="nil"/>
              <w:bottom w:val="nil"/>
              <w:right w:val="nil"/>
            </w:tcBorders>
            <w:shd w:val="clear" w:color="auto" w:fill="auto"/>
            <w:vAlign w:val="center"/>
          </w:tcPr>
          <w:p w14:paraId="30DD7FB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(2.5)</w:t>
            </w:r>
          </w:p>
        </w:tc>
      </w:tr>
      <w:tr w:rsidR="0044223C" w:rsidRPr="00B54968" w14:paraId="5A36860B" w14:textId="77777777" w:rsidTr="00C3775E">
        <w:tc>
          <w:tcPr>
            <w:tcW w:w="4644" w:type="dxa"/>
            <w:tcBorders>
              <w:top w:val="nil"/>
              <w:left w:val="nil"/>
              <w:bottom w:val="nil"/>
              <w:right w:val="nil"/>
            </w:tcBorders>
            <w:shd w:val="clear" w:color="auto" w:fill="auto"/>
          </w:tcPr>
          <w:p w14:paraId="152CAA1B"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Herpes zoster</w:t>
            </w:r>
          </w:p>
        </w:tc>
        <w:tc>
          <w:tcPr>
            <w:tcW w:w="1621" w:type="dxa"/>
            <w:tcBorders>
              <w:top w:val="nil"/>
              <w:left w:val="nil"/>
              <w:bottom w:val="nil"/>
              <w:right w:val="nil"/>
            </w:tcBorders>
            <w:shd w:val="clear" w:color="auto" w:fill="auto"/>
            <w:vAlign w:val="center"/>
          </w:tcPr>
          <w:p w14:paraId="6D86977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5F6D78E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5C463D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41825F7E" w14:textId="77777777" w:rsidTr="00C3775E">
        <w:tc>
          <w:tcPr>
            <w:tcW w:w="4644" w:type="dxa"/>
            <w:tcBorders>
              <w:top w:val="nil"/>
              <w:left w:val="nil"/>
              <w:bottom w:val="nil"/>
              <w:right w:val="nil"/>
            </w:tcBorders>
            <w:shd w:val="clear" w:color="auto" w:fill="auto"/>
          </w:tcPr>
          <w:p w14:paraId="78C13F84"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Influenza</w:t>
            </w:r>
          </w:p>
        </w:tc>
        <w:tc>
          <w:tcPr>
            <w:tcW w:w="1621" w:type="dxa"/>
            <w:tcBorders>
              <w:top w:val="nil"/>
              <w:left w:val="nil"/>
              <w:bottom w:val="nil"/>
              <w:right w:val="nil"/>
            </w:tcBorders>
            <w:shd w:val="clear" w:color="auto" w:fill="auto"/>
            <w:vAlign w:val="center"/>
          </w:tcPr>
          <w:p w14:paraId="28AE9DE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(3.6)</w:t>
            </w:r>
          </w:p>
        </w:tc>
        <w:tc>
          <w:tcPr>
            <w:tcW w:w="1477" w:type="dxa"/>
            <w:tcBorders>
              <w:top w:val="nil"/>
              <w:left w:val="nil"/>
              <w:bottom w:val="nil"/>
              <w:right w:val="nil"/>
            </w:tcBorders>
            <w:shd w:val="clear" w:color="auto" w:fill="auto"/>
            <w:vAlign w:val="center"/>
          </w:tcPr>
          <w:p w14:paraId="4DEC261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777E40A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(2.7)</w:t>
            </w:r>
          </w:p>
        </w:tc>
      </w:tr>
      <w:tr w:rsidR="0044223C" w:rsidRPr="00B54968" w14:paraId="6B9C1DBB" w14:textId="77777777" w:rsidTr="00C3775E">
        <w:tc>
          <w:tcPr>
            <w:tcW w:w="4644" w:type="dxa"/>
            <w:tcBorders>
              <w:top w:val="nil"/>
              <w:left w:val="nil"/>
              <w:bottom w:val="nil"/>
              <w:right w:val="nil"/>
            </w:tcBorders>
            <w:shd w:val="clear" w:color="auto" w:fill="auto"/>
          </w:tcPr>
          <w:p w14:paraId="41963A1E"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Latent tuberculosis</w:t>
            </w:r>
          </w:p>
        </w:tc>
        <w:tc>
          <w:tcPr>
            <w:tcW w:w="1621" w:type="dxa"/>
            <w:tcBorders>
              <w:top w:val="nil"/>
              <w:left w:val="nil"/>
              <w:bottom w:val="nil"/>
              <w:right w:val="nil"/>
            </w:tcBorders>
            <w:shd w:val="clear" w:color="auto" w:fill="auto"/>
            <w:vAlign w:val="center"/>
          </w:tcPr>
          <w:p w14:paraId="3B40667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27 (8.9)</w:t>
            </w:r>
          </w:p>
        </w:tc>
        <w:tc>
          <w:tcPr>
            <w:tcW w:w="1477" w:type="dxa"/>
            <w:tcBorders>
              <w:top w:val="nil"/>
              <w:left w:val="nil"/>
              <w:bottom w:val="nil"/>
              <w:right w:val="nil"/>
            </w:tcBorders>
            <w:shd w:val="clear" w:color="auto" w:fill="auto"/>
            <w:vAlign w:val="center"/>
          </w:tcPr>
          <w:p w14:paraId="30A7CDB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25 (8.3)</w:t>
            </w:r>
          </w:p>
        </w:tc>
        <w:tc>
          <w:tcPr>
            <w:tcW w:w="1477" w:type="dxa"/>
            <w:tcBorders>
              <w:top w:val="nil"/>
              <w:left w:val="nil"/>
              <w:bottom w:val="nil"/>
              <w:right w:val="nil"/>
            </w:tcBorders>
            <w:shd w:val="clear" w:color="auto" w:fill="auto"/>
            <w:vAlign w:val="center"/>
          </w:tcPr>
          <w:p w14:paraId="308B508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52 (8.6)</w:t>
            </w:r>
          </w:p>
        </w:tc>
      </w:tr>
      <w:tr w:rsidR="0044223C" w:rsidRPr="00B54968" w14:paraId="1DA332E4" w14:textId="77777777" w:rsidTr="00C3775E">
        <w:tc>
          <w:tcPr>
            <w:tcW w:w="4644" w:type="dxa"/>
            <w:tcBorders>
              <w:top w:val="nil"/>
              <w:left w:val="nil"/>
              <w:bottom w:val="nil"/>
              <w:right w:val="nil"/>
            </w:tcBorders>
            <w:shd w:val="clear" w:color="auto" w:fill="auto"/>
          </w:tcPr>
          <w:p w14:paraId="5F2D89F7"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proofErr w:type="spellStart"/>
            <w:r w:rsidRPr="00B54968">
              <w:rPr>
                <w:rFonts w:ascii="Times New Roman" w:eastAsia="SimSun" w:hAnsi="Times New Roman" w:cs="Times New Roman"/>
                <w:kern w:val="24"/>
                <w:sz w:val="18"/>
                <w:szCs w:val="18"/>
                <w:lang w:eastAsia="en-US"/>
              </w:rPr>
              <w:t>Nasopharyngitis</w:t>
            </w:r>
            <w:proofErr w:type="spellEnd"/>
          </w:p>
        </w:tc>
        <w:tc>
          <w:tcPr>
            <w:tcW w:w="1621" w:type="dxa"/>
            <w:tcBorders>
              <w:top w:val="nil"/>
              <w:left w:val="nil"/>
              <w:bottom w:val="nil"/>
              <w:right w:val="nil"/>
            </w:tcBorders>
            <w:shd w:val="clear" w:color="auto" w:fill="auto"/>
            <w:vAlign w:val="center"/>
          </w:tcPr>
          <w:p w14:paraId="7112AC4F"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24 (7.9)</w:t>
            </w:r>
          </w:p>
        </w:tc>
        <w:tc>
          <w:tcPr>
            <w:tcW w:w="1477" w:type="dxa"/>
            <w:tcBorders>
              <w:top w:val="nil"/>
              <w:left w:val="nil"/>
              <w:bottom w:val="nil"/>
              <w:right w:val="nil"/>
            </w:tcBorders>
            <w:shd w:val="clear" w:color="auto" w:fill="auto"/>
            <w:vAlign w:val="center"/>
          </w:tcPr>
          <w:p w14:paraId="74693BE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(5.7)</w:t>
            </w:r>
          </w:p>
        </w:tc>
        <w:tc>
          <w:tcPr>
            <w:tcW w:w="1477" w:type="dxa"/>
            <w:tcBorders>
              <w:top w:val="nil"/>
              <w:left w:val="nil"/>
              <w:bottom w:val="nil"/>
              <w:right w:val="nil"/>
            </w:tcBorders>
            <w:shd w:val="clear" w:color="auto" w:fill="auto"/>
            <w:vAlign w:val="center"/>
          </w:tcPr>
          <w:p w14:paraId="042BC14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41 (6.8)</w:t>
            </w:r>
          </w:p>
        </w:tc>
      </w:tr>
      <w:tr w:rsidR="0044223C" w:rsidRPr="00B54968" w14:paraId="1E4326DF" w14:textId="77777777" w:rsidTr="00C3775E">
        <w:tc>
          <w:tcPr>
            <w:tcW w:w="4644" w:type="dxa"/>
            <w:tcBorders>
              <w:top w:val="nil"/>
              <w:left w:val="nil"/>
              <w:bottom w:val="nil"/>
              <w:right w:val="nil"/>
            </w:tcBorders>
            <w:shd w:val="clear" w:color="auto" w:fill="auto"/>
          </w:tcPr>
          <w:p w14:paraId="18E403BC"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Oral herpes</w:t>
            </w:r>
          </w:p>
        </w:tc>
        <w:tc>
          <w:tcPr>
            <w:tcW w:w="1621" w:type="dxa"/>
            <w:tcBorders>
              <w:top w:val="nil"/>
              <w:left w:val="nil"/>
              <w:bottom w:val="nil"/>
              <w:right w:val="nil"/>
            </w:tcBorders>
            <w:shd w:val="clear" w:color="auto" w:fill="auto"/>
            <w:vAlign w:val="center"/>
          </w:tcPr>
          <w:p w14:paraId="7E7011E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2C6B6CC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303938C2"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22DEF9C4" w14:textId="77777777" w:rsidTr="00C3775E">
        <w:tc>
          <w:tcPr>
            <w:tcW w:w="4644" w:type="dxa"/>
            <w:tcBorders>
              <w:top w:val="nil"/>
              <w:left w:val="nil"/>
              <w:bottom w:val="nil"/>
              <w:right w:val="nil"/>
            </w:tcBorders>
            <w:shd w:val="clear" w:color="auto" w:fill="auto"/>
          </w:tcPr>
          <w:p w14:paraId="1136FBED"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Pharyngitis</w:t>
            </w:r>
          </w:p>
        </w:tc>
        <w:tc>
          <w:tcPr>
            <w:tcW w:w="1621" w:type="dxa"/>
            <w:tcBorders>
              <w:top w:val="nil"/>
              <w:left w:val="nil"/>
              <w:bottom w:val="nil"/>
              <w:right w:val="nil"/>
            </w:tcBorders>
            <w:shd w:val="clear" w:color="auto" w:fill="auto"/>
            <w:vAlign w:val="center"/>
          </w:tcPr>
          <w:p w14:paraId="056B6E72"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0578B98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(3.0)</w:t>
            </w:r>
          </w:p>
        </w:tc>
        <w:tc>
          <w:tcPr>
            <w:tcW w:w="1477" w:type="dxa"/>
            <w:tcBorders>
              <w:top w:val="nil"/>
              <w:left w:val="nil"/>
              <w:bottom w:val="nil"/>
              <w:right w:val="nil"/>
            </w:tcBorders>
            <w:shd w:val="clear" w:color="auto" w:fill="auto"/>
            <w:vAlign w:val="center"/>
          </w:tcPr>
          <w:p w14:paraId="03710BD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(2.7)</w:t>
            </w:r>
          </w:p>
        </w:tc>
      </w:tr>
      <w:tr w:rsidR="0044223C" w:rsidRPr="00B54968" w14:paraId="69578FA5" w14:textId="77777777" w:rsidTr="00C3775E">
        <w:tc>
          <w:tcPr>
            <w:tcW w:w="4644" w:type="dxa"/>
            <w:tcBorders>
              <w:top w:val="nil"/>
              <w:left w:val="nil"/>
              <w:bottom w:val="nil"/>
              <w:right w:val="nil"/>
            </w:tcBorders>
            <w:shd w:val="clear" w:color="auto" w:fill="auto"/>
          </w:tcPr>
          <w:p w14:paraId="5F208774"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Pneumonia</w:t>
            </w:r>
          </w:p>
        </w:tc>
        <w:tc>
          <w:tcPr>
            <w:tcW w:w="1621" w:type="dxa"/>
            <w:tcBorders>
              <w:top w:val="nil"/>
              <w:left w:val="nil"/>
              <w:bottom w:val="nil"/>
              <w:right w:val="nil"/>
            </w:tcBorders>
            <w:shd w:val="clear" w:color="auto" w:fill="auto"/>
            <w:vAlign w:val="center"/>
          </w:tcPr>
          <w:p w14:paraId="7DF9504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60894CD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0E54E16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5AF67F36" w14:textId="77777777" w:rsidTr="00C3775E">
        <w:tc>
          <w:tcPr>
            <w:tcW w:w="4644" w:type="dxa"/>
            <w:tcBorders>
              <w:top w:val="nil"/>
              <w:left w:val="nil"/>
              <w:bottom w:val="nil"/>
              <w:right w:val="nil"/>
            </w:tcBorders>
            <w:shd w:val="clear" w:color="auto" w:fill="auto"/>
          </w:tcPr>
          <w:p w14:paraId="5F2E905F"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Respiratory tract infection viral</w:t>
            </w:r>
          </w:p>
        </w:tc>
        <w:tc>
          <w:tcPr>
            <w:tcW w:w="1621" w:type="dxa"/>
            <w:tcBorders>
              <w:top w:val="nil"/>
              <w:left w:val="nil"/>
              <w:bottom w:val="nil"/>
              <w:right w:val="nil"/>
            </w:tcBorders>
            <w:shd w:val="clear" w:color="auto" w:fill="auto"/>
            <w:vAlign w:val="center"/>
          </w:tcPr>
          <w:p w14:paraId="186567C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54AF9E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2862377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1E5B2143" w14:textId="77777777" w:rsidTr="00C3775E">
        <w:tc>
          <w:tcPr>
            <w:tcW w:w="4644" w:type="dxa"/>
            <w:tcBorders>
              <w:top w:val="nil"/>
              <w:left w:val="nil"/>
              <w:bottom w:val="nil"/>
              <w:right w:val="nil"/>
            </w:tcBorders>
            <w:shd w:val="clear" w:color="auto" w:fill="auto"/>
          </w:tcPr>
          <w:p w14:paraId="3D7B1030"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Rhinitis</w:t>
            </w:r>
          </w:p>
        </w:tc>
        <w:tc>
          <w:tcPr>
            <w:tcW w:w="1621" w:type="dxa"/>
            <w:tcBorders>
              <w:top w:val="nil"/>
              <w:left w:val="nil"/>
              <w:bottom w:val="nil"/>
              <w:right w:val="nil"/>
            </w:tcBorders>
            <w:shd w:val="clear" w:color="auto" w:fill="auto"/>
            <w:vAlign w:val="center"/>
          </w:tcPr>
          <w:p w14:paraId="3528C58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782F69F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(3.0)</w:t>
            </w:r>
          </w:p>
        </w:tc>
        <w:tc>
          <w:tcPr>
            <w:tcW w:w="1477" w:type="dxa"/>
            <w:tcBorders>
              <w:top w:val="nil"/>
              <w:left w:val="nil"/>
              <w:bottom w:val="nil"/>
              <w:right w:val="nil"/>
            </w:tcBorders>
            <w:shd w:val="clear" w:color="auto" w:fill="auto"/>
            <w:vAlign w:val="center"/>
          </w:tcPr>
          <w:p w14:paraId="4E012E5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(2.2)</w:t>
            </w:r>
          </w:p>
        </w:tc>
      </w:tr>
      <w:tr w:rsidR="0044223C" w:rsidRPr="00B54968" w14:paraId="5999859D" w14:textId="77777777" w:rsidTr="00C3775E">
        <w:tc>
          <w:tcPr>
            <w:tcW w:w="4644" w:type="dxa"/>
            <w:tcBorders>
              <w:top w:val="nil"/>
              <w:left w:val="nil"/>
              <w:bottom w:val="nil"/>
              <w:right w:val="nil"/>
            </w:tcBorders>
            <w:shd w:val="clear" w:color="auto" w:fill="auto"/>
          </w:tcPr>
          <w:p w14:paraId="2917CB87"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Tonsillitis</w:t>
            </w:r>
          </w:p>
        </w:tc>
        <w:tc>
          <w:tcPr>
            <w:tcW w:w="1621" w:type="dxa"/>
            <w:tcBorders>
              <w:top w:val="nil"/>
              <w:left w:val="nil"/>
              <w:bottom w:val="nil"/>
              <w:right w:val="nil"/>
            </w:tcBorders>
            <w:shd w:val="clear" w:color="auto" w:fill="auto"/>
            <w:vAlign w:val="center"/>
          </w:tcPr>
          <w:p w14:paraId="10E7B8C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24A7C59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535406E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3ED2C2BE" w14:textId="77777777" w:rsidTr="00C3775E">
        <w:tc>
          <w:tcPr>
            <w:tcW w:w="4644" w:type="dxa"/>
            <w:tcBorders>
              <w:top w:val="nil"/>
              <w:left w:val="nil"/>
              <w:bottom w:val="nil"/>
              <w:right w:val="nil"/>
            </w:tcBorders>
            <w:shd w:val="clear" w:color="auto" w:fill="auto"/>
          </w:tcPr>
          <w:p w14:paraId="71A7ACA0"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Tooth abscess</w:t>
            </w:r>
          </w:p>
        </w:tc>
        <w:tc>
          <w:tcPr>
            <w:tcW w:w="1621" w:type="dxa"/>
            <w:tcBorders>
              <w:top w:val="nil"/>
              <w:left w:val="nil"/>
              <w:bottom w:val="nil"/>
              <w:right w:val="nil"/>
            </w:tcBorders>
            <w:shd w:val="clear" w:color="auto" w:fill="auto"/>
            <w:vAlign w:val="center"/>
          </w:tcPr>
          <w:p w14:paraId="4896791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4FB0A16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462CC6C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5D2345C5" w14:textId="77777777" w:rsidTr="00C3775E">
        <w:tc>
          <w:tcPr>
            <w:tcW w:w="4644" w:type="dxa"/>
            <w:tcBorders>
              <w:top w:val="nil"/>
              <w:left w:val="nil"/>
              <w:bottom w:val="nil"/>
              <w:right w:val="nil"/>
            </w:tcBorders>
            <w:shd w:val="clear" w:color="auto" w:fill="auto"/>
          </w:tcPr>
          <w:p w14:paraId="3685D5EE"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Upper respiratory tract infection</w:t>
            </w:r>
          </w:p>
        </w:tc>
        <w:tc>
          <w:tcPr>
            <w:tcW w:w="1621" w:type="dxa"/>
            <w:tcBorders>
              <w:top w:val="nil"/>
              <w:left w:val="nil"/>
              <w:bottom w:val="nil"/>
              <w:right w:val="nil"/>
            </w:tcBorders>
            <w:shd w:val="clear" w:color="auto" w:fill="auto"/>
            <w:vAlign w:val="center"/>
          </w:tcPr>
          <w:p w14:paraId="476CDC4F"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27 (8.9)</w:t>
            </w:r>
          </w:p>
        </w:tc>
        <w:tc>
          <w:tcPr>
            <w:tcW w:w="1477" w:type="dxa"/>
            <w:tcBorders>
              <w:top w:val="nil"/>
              <w:left w:val="nil"/>
              <w:bottom w:val="nil"/>
              <w:right w:val="nil"/>
            </w:tcBorders>
            <w:shd w:val="clear" w:color="auto" w:fill="auto"/>
            <w:vAlign w:val="center"/>
          </w:tcPr>
          <w:p w14:paraId="364C9C2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(5.3)</w:t>
            </w:r>
          </w:p>
        </w:tc>
        <w:tc>
          <w:tcPr>
            <w:tcW w:w="1477" w:type="dxa"/>
            <w:tcBorders>
              <w:top w:val="nil"/>
              <w:left w:val="nil"/>
              <w:bottom w:val="nil"/>
              <w:right w:val="nil"/>
            </w:tcBorders>
            <w:shd w:val="clear" w:color="auto" w:fill="auto"/>
            <w:vAlign w:val="center"/>
          </w:tcPr>
          <w:p w14:paraId="340FCC7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43 (7.1)</w:t>
            </w:r>
          </w:p>
        </w:tc>
      </w:tr>
      <w:tr w:rsidR="0044223C" w:rsidRPr="00B54968" w14:paraId="5A3C1A0E" w14:textId="77777777" w:rsidTr="00C3775E">
        <w:tc>
          <w:tcPr>
            <w:tcW w:w="4644" w:type="dxa"/>
            <w:tcBorders>
              <w:top w:val="nil"/>
              <w:left w:val="nil"/>
              <w:bottom w:val="single" w:sz="4" w:space="0" w:color="auto"/>
              <w:right w:val="nil"/>
            </w:tcBorders>
            <w:shd w:val="clear" w:color="auto" w:fill="auto"/>
          </w:tcPr>
          <w:p w14:paraId="2D388948"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Urinary tract infection</w:t>
            </w:r>
          </w:p>
        </w:tc>
        <w:tc>
          <w:tcPr>
            <w:tcW w:w="1621" w:type="dxa"/>
            <w:tcBorders>
              <w:top w:val="nil"/>
              <w:left w:val="nil"/>
              <w:bottom w:val="single" w:sz="4" w:space="0" w:color="auto"/>
              <w:right w:val="nil"/>
            </w:tcBorders>
            <w:shd w:val="clear" w:color="auto" w:fill="auto"/>
            <w:vAlign w:val="center"/>
          </w:tcPr>
          <w:p w14:paraId="6CF76C8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18 (6.0)</w:t>
            </w:r>
          </w:p>
        </w:tc>
        <w:tc>
          <w:tcPr>
            <w:tcW w:w="1477" w:type="dxa"/>
            <w:tcBorders>
              <w:top w:val="nil"/>
              <w:left w:val="nil"/>
              <w:bottom w:val="single" w:sz="4" w:space="0" w:color="auto"/>
              <w:right w:val="nil"/>
            </w:tcBorders>
            <w:shd w:val="clear" w:color="auto" w:fill="auto"/>
            <w:vAlign w:val="center"/>
          </w:tcPr>
          <w:p w14:paraId="6B0AEA3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 (7.0)</w:t>
            </w:r>
          </w:p>
        </w:tc>
        <w:tc>
          <w:tcPr>
            <w:tcW w:w="1477" w:type="dxa"/>
            <w:tcBorders>
              <w:top w:val="nil"/>
              <w:left w:val="nil"/>
              <w:bottom w:val="single" w:sz="4" w:space="0" w:color="auto"/>
              <w:right w:val="nil"/>
            </w:tcBorders>
            <w:shd w:val="clear" w:color="auto" w:fill="auto"/>
            <w:vAlign w:val="center"/>
          </w:tcPr>
          <w:p w14:paraId="1CC8B10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39 (6.5)</w:t>
            </w:r>
          </w:p>
        </w:tc>
      </w:tr>
      <w:tr w:rsidR="0044223C" w:rsidRPr="00B54968" w14:paraId="546B285A" w14:textId="77777777" w:rsidTr="00C3775E">
        <w:tc>
          <w:tcPr>
            <w:tcW w:w="4644" w:type="dxa"/>
            <w:tcBorders>
              <w:top w:val="single" w:sz="4" w:space="0" w:color="auto"/>
              <w:left w:val="nil"/>
              <w:bottom w:val="nil"/>
              <w:right w:val="nil"/>
            </w:tcBorders>
            <w:shd w:val="clear" w:color="auto" w:fill="auto"/>
          </w:tcPr>
          <w:p w14:paraId="4EC073F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Injury, poisoning, and procedural complications</w:t>
            </w:r>
          </w:p>
        </w:tc>
        <w:tc>
          <w:tcPr>
            <w:tcW w:w="1621" w:type="dxa"/>
            <w:tcBorders>
              <w:top w:val="single" w:sz="4" w:space="0" w:color="auto"/>
              <w:left w:val="nil"/>
              <w:bottom w:val="nil"/>
              <w:right w:val="nil"/>
            </w:tcBorders>
            <w:shd w:val="clear" w:color="auto" w:fill="auto"/>
            <w:vAlign w:val="center"/>
          </w:tcPr>
          <w:p w14:paraId="482E6FC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3882E7FB"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10A54FD"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527EDFF5" w14:textId="77777777" w:rsidTr="00C3775E">
        <w:tc>
          <w:tcPr>
            <w:tcW w:w="4644" w:type="dxa"/>
            <w:tcBorders>
              <w:top w:val="nil"/>
              <w:left w:val="nil"/>
              <w:bottom w:val="single" w:sz="4" w:space="0" w:color="auto"/>
              <w:right w:val="nil"/>
            </w:tcBorders>
            <w:shd w:val="clear" w:color="auto" w:fill="auto"/>
          </w:tcPr>
          <w:p w14:paraId="2DF7F89C"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Contusion</w:t>
            </w:r>
          </w:p>
        </w:tc>
        <w:tc>
          <w:tcPr>
            <w:tcW w:w="1621" w:type="dxa"/>
            <w:tcBorders>
              <w:top w:val="nil"/>
              <w:left w:val="nil"/>
              <w:bottom w:val="single" w:sz="4" w:space="0" w:color="auto"/>
              <w:right w:val="nil"/>
            </w:tcBorders>
            <w:shd w:val="clear" w:color="auto" w:fill="auto"/>
            <w:vAlign w:val="center"/>
          </w:tcPr>
          <w:p w14:paraId="1D09527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single" w:sz="4" w:space="0" w:color="auto"/>
              <w:right w:val="nil"/>
            </w:tcBorders>
            <w:shd w:val="clear" w:color="auto" w:fill="auto"/>
            <w:vAlign w:val="center"/>
          </w:tcPr>
          <w:p w14:paraId="09AC5D6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487A2D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02B44B04" w14:textId="77777777" w:rsidTr="00C3775E">
        <w:tc>
          <w:tcPr>
            <w:tcW w:w="4644" w:type="dxa"/>
            <w:tcBorders>
              <w:top w:val="single" w:sz="4" w:space="0" w:color="auto"/>
              <w:left w:val="nil"/>
              <w:bottom w:val="nil"/>
              <w:right w:val="nil"/>
            </w:tcBorders>
            <w:shd w:val="clear" w:color="auto" w:fill="auto"/>
          </w:tcPr>
          <w:p w14:paraId="68628947" w14:textId="77777777" w:rsidR="0044223C" w:rsidRPr="00B54968" w:rsidRDefault="0044223C" w:rsidP="003E2009">
            <w:pPr>
              <w:spacing w:before="40" w:after="40" w:line="240" w:lineRule="auto"/>
              <w:ind w:left="480" w:hanging="480"/>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Investigations</w:t>
            </w:r>
          </w:p>
        </w:tc>
        <w:tc>
          <w:tcPr>
            <w:tcW w:w="1621" w:type="dxa"/>
            <w:tcBorders>
              <w:top w:val="single" w:sz="4" w:space="0" w:color="auto"/>
              <w:left w:val="nil"/>
              <w:bottom w:val="nil"/>
              <w:right w:val="nil"/>
            </w:tcBorders>
            <w:shd w:val="clear" w:color="auto" w:fill="auto"/>
            <w:vAlign w:val="center"/>
          </w:tcPr>
          <w:p w14:paraId="2739496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5BC0C6E2"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D9AB23B"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00B2228D" w14:textId="77777777" w:rsidTr="00C3775E">
        <w:tc>
          <w:tcPr>
            <w:tcW w:w="4644" w:type="dxa"/>
            <w:tcBorders>
              <w:top w:val="nil"/>
              <w:left w:val="nil"/>
              <w:bottom w:val="nil"/>
              <w:right w:val="nil"/>
            </w:tcBorders>
            <w:shd w:val="clear" w:color="auto" w:fill="auto"/>
          </w:tcPr>
          <w:p w14:paraId="59AE9A2A"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Alanine aminotransferase increased</w:t>
            </w:r>
          </w:p>
        </w:tc>
        <w:tc>
          <w:tcPr>
            <w:tcW w:w="1621" w:type="dxa"/>
            <w:tcBorders>
              <w:top w:val="nil"/>
              <w:left w:val="nil"/>
              <w:bottom w:val="nil"/>
              <w:right w:val="nil"/>
            </w:tcBorders>
            <w:shd w:val="clear" w:color="auto" w:fill="auto"/>
            <w:vAlign w:val="center"/>
          </w:tcPr>
          <w:p w14:paraId="1A5D229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(5.0)</w:t>
            </w:r>
          </w:p>
        </w:tc>
        <w:tc>
          <w:tcPr>
            <w:tcW w:w="1477" w:type="dxa"/>
            <w:tcBorders>
              <w:top w:val="nil"/>
              <w:left w:val="nil"/>
              <w:bottom w:val="nil"/>
              <w:right w:val="nil"/>
            </w:tcBorders>
            <w:shd w:val="clear" w:color="auto" w:fill="auto"/>
            <w:vAlign w:val="center"/>
          </w:tcPr>
          <w:p w14:paraId="0203CEF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(5.7)</w:t>
            </w:r>
          </w:p>
        </w:tc>
        <w:tc>
          <w:tcPr>
            <w:tcW w:w="1477" w:type="dxa"/>
            <w:tcBorders>
              <w:top w:val="nil"/>
              <w:left w:val="nil"/>
              <w:bottom w:val="nil"/>
              <w:right w:val="nil"/>
            </w:tcBorders>
            <w:shd w:val="clear" w:color="auto" w:fill="auto"/>
            <w:vAlign w:val="center"/>
          </w:tcPr>
          <w:p w14:paraId="6727E612"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32 (5.3)</w:t>
            </w:r>
          </w:p>
        </w:tc>
      </w:tr>
      <w:tr w:rsidR="0044223C" w:rsidRPr="00B54968" w14:paraId="0B0DA92A" w14:textId="77777777" w:rsidTr="00C3775E">
        <w:tc>
          <w:tcPr>
            <w:tcW w:w="4644" w:type="dxa"/>
            <w:tcBorders>
              <w:top w:val="nil"/>
              <w:left w:val="nil"/>
              <w:bottom w:val="nil"/>
              <w:right w:val="nil"/>
            </w:tcBorders>
            <w:shd w:val="clear" w:color="auto" w:fill="auto"/>
          </w:tcPr>
          <w:p w14:paraId="4CE435D1"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Aspartate aminotransferase increased</w:t>
            </w:r>
          </w:p>
        </w:tc>
        <w:tc>
          <w:tcPr>
            <w:tcW w:w="1621" w:type="dxa"/>
            <w:tcBorders>
              <w:top w:val="nil"/>
              <w:left w:val="nil"/>
              <w:bottom w:val="nil"/>
              <w:right w:val="nil"/>
            </w:tcBorders>
            <w:shd w:val="clear" w:color="auto" w:fill="auto"/>
            <w:vAlign w:val="center"/>
          </w:tcPr>
          <w:p w14:paraId="69F16E6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6E25B57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(3.0)</w:t>
            </w:r>
          </w:p>
        </w:tc>
        <w:tc>
          <w:tcPr>
            <w:tcW w:w="1477" w:type="dxa"/>
            <w:tcBorders>
              <w:top w:val="nil"/>
              <w:left w:val="nil"/>
              <w:bottom w:val="nil"/>
              <w:right w:val="nil"/>
            </w:tcBorders>
            <w:shd w:val="clear" w:color="auto" w:fill="auto"/>
            <w:vAlign w:val="center"/>
          </w:tcPr>
          <w:p w14:paraId="37B08C9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(2.5)</w:t>
            </w:r>
          </w:p>
        </w:tc>
      </w:tr>
      <w:tr w:rsidR="0044223C" w:rsidRPr="00B54968" w14:paraId="4323A47A" w14:textId="77777777" w:rsidTr="00C3775E">
        <w:tc>
          <w:tcPr>
            <w:tcW w:w="4644" w:type="dxa"/>
            <w:tcBorders>
              <w:top w:val="nil"/>
              <w:left w:val="nil"/>
              <w:bottom w:val="nil"/>
              <w:right w:val="nil"/>
            </w:tcBorders>
            <w:shd w:val="clear" w:color="auto" w:fill="auto"/>
          </w:tcPr>
          <w:p w14:paraId="261F67DB"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Blood </w:t>
            </w:r>
            <w:proofErr w:type="spellStart"/>
            <w:r w:rsidRPr="00B54968">
              <w:rPr>
                <w:rFonts w:ascii="Times New Roman" w:eastAsia="SimSun" w:hAnsi="Times New Roman" w:cs="Times New Roman"/>
                <w:kern w:val="24"/>
                <w:sz w:val="18"/>
                <w:szCs w:val="18"/>
                <w:lang w:eastAsia="en-US"/>
              </w:rPr>
              <w:t>creatine</w:t>
            </w:r>
            <w:proofErr w:type="spellEnd"/>
            <w:r w:rsidRPr="00B54968">
              <w:rPr>
                <w:rFonts w:ascii="Times New Roman" w:eastAsia="SimSun" w:hAnsi="Times New Roman" w:cs="Times New Roman"/>
                <w:kern w:val="24"/>
                <w:sz w:val="18"/>
                <w:szCs w:val="18"/>
                <w:lang w:eastAsia="en-US"/>
              </w:rPr>
              <w:t> phosphokinase increased</w:t>
            </w:r>
          </w:p>
        </w:tc>
        <w:tc>
          <w:tcPr>
            <w:tcW w:w="1621" w:type="dxa"/>
            <w:tcBorders>
              <w:top w:val="nil"/>
              <w:left w:val="nil"/>
              <w:bottom w:val="nil"/>
              <w:right w:val="nil"/>
            </w:tcBorders>
            <w:shd w:val="clear" w:color="auto" w:fill="auto"/>
            <w:vAlign w:val="center"/>
          </w:tcPr>
          <w:p w14:paraId="1DE00DD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3780677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540E496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(1.8)</w:t>
            </w:r>
          </w:p>
        </w:tc>
      </w:tr>
      <w:tr w:rsidR="0044223C" w:rsidRPr="00B54968" w14:paraId="14F9757E" w14:textId="77777777" w:rsidTr="00C3775E">
        <w:tc>
          <w:tcPr>
            <w:tcW w:w="4644" w:type="dxa"/>
            <w:tcBorders>
              <w:top w:val="nil"/>
              <w:left w:val="nil"/>
              <w:bottom w:val="nil"/>
              <w:right w:val="nil"/>
            </w:tcBorders>
            <w:shd w:val="clear" w:color="auto" w:fill="auto"/>
          </w:tcPr>
          <w:p w14:paraId="4969B9E8"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Blood pressure increased</w:t>
            </w:r>
          </w:p>
        </w:tc>
        <w:tc>
          <w:tcPr>
            <w:tcW w:w="1621" w:type="dxa"/>
            <w:tcBorders>
              <w:top w:val="nil"/>
              <w:left w:val="nil"/>
              <w:bottom w:val="nil"/>
              <w:right w:val="nil"/>
            </w:tcBorders>
            <w:shd w:val="clear" w:color="auto" w:fill="auto"/>
            <w:vAlign w:val="center"/>
          </w:tcPr>
          <w:p w14:paraId="780DCE1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44A8869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10407C9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5A6A4E9E" w14:textId="77777777" w:rsidTr="00C3775E">
        <w:tc>
          <w:tcPr>
            <w:tcW w:w="4644" w:type="dxa"/>
            <w:tcBorders>
              <w:top w:val="nil"/>
              <w:left w:val="nil"/>
              <w:bottom w:val="nil"/>
              <w:right w:val="nil"/>
            </w:tcBorders>
            <w:shd w:val="clear" w:color="auto" w:fill="auto"/>
          </w:tcPr>
          <w:p w14:paraId="411D302D"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Body temperature increased</w:t>
            </w:r>
          </w:p>
        </w:tc>
        <w:tc>
          <w:tcPr>
            <w:tcW w:w="1621" w:type="dxa"/>
            <w:tcBorders>
              <w:top w:val="nil"/>
              <w:left w:val="nil"/>
              <w:bottom w:val="nil"/>
              <w:right w:val="nil"/>
            </w:tcBorders>
            <w:shd w:val="clear" w:color="auto" w:fill="auto"/>
            <w:vAlign w:val="center"/>
          </w:tcPr>
          <w:p w14:paraId="17CDFA2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5403634B"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21051102"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1A5A8E7F" w14:textId="77777777" w:rsidTr="00C3775E">
        <w:tc>
          <w:tcPr>
            <w:tcW w:w="4644" w:type="dxa"/>
            <w:tcBorders>
              <w:top w:val="nil"/>
              <w:left w:val="nil"/>
              <w:bottom w:val="nil"/>
              <w:right w:val="nil"/>
            </w:tcBorders>
            <w:shd w:val="clear" w:color="auto" w:fill="auto"/>
          </w:tcPr>
          <w:p w14:paraId="3B56FBE2"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Gamma-</w:t>
            </w:r>
            <w:proofErr w:type="spellStart"/>
            <w:r w:rsidRPr="00B54968">
              <w:rPr>
                <w:rFonts w:ascii="Times New Roman" w:eastAsia="SimSun" w:hAnsi="Times New Roman" w:cs="Times New Roman"/>
                <w:kern w:val="24"/>
                <w:sz w:val="18"/>
                <w:szCs w:val="18"/>
                <w:lang w:eastAsia="en-US"/>
              </w:rPr>
              <w:t>glutamyltransferase</w:t>
            </w:r>
            <w:proofErr w:type="spellEnd"/>
            <w:r w:rsidRPr="00B54968">
              <w:rPr>
                <w:rFonts w:ascii="Times New Roman" w:eastAsia="SimSun" w:hAnsi="Times New Roman" w:cs="Times New Roman"/>
                <w:kern w:val="24"/>
                <w:sz w:val="18"/>
                <w:szCs w:val="18"/>
                <w:lang w:eastAsia="en-US"/>
              </w:rPr>
              <w:t> increased</w:t>
            </w:r>
          </w:p>
        </w:tc>
        <w:tc>
          <w:tcPr>
            <w:tcW w:w="1621" w:type="dxa"/>
            <w:tcBorders>
              <w:top w:val="nil"/>
              <w:left w:val="nil"/>
              <w:bottom w:val="nil"/>
              <w:right w:val="nil"/>
            </w:tcBorders>
            <w:shd w:val="clear" w:color="auto" w:fill="auto"/>
            <w:vAlign w:val="center"/>
          </w:tcPr>
          <w:p w14:paraId="1309E9F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7E60780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55EA58B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51D384CF" w14:textId="77777777" w:rsidTr="00C3775E">
        <w:tc>
          <w:tcPr>
            <w:tcW w:w="4644" w:type="dxa"/>
            <w:tcBorders>
              <w:top w:val="nil"/>
              <w:left w:val="nil"/>
              <w:bottom w:val="nil"/>
              <w:right w:val="nil"/>
            </w:tcBorders>
            <w:shd w:val="clear" w:color="auto" w:fill="auto"/>
          </w:tcPr>
          <w:p w14:paraId="1F195716"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Hepatic enzyme increased</w:t>
            </w:r>
          </w:p>
        </w:tc>
        <w:tc>
          <w:tcPr>
            <w:tcW w:w="1621" w:type="dxa"/>
            <w:tcBorders>
              <w:top w:val="nil"/>
              <w:left w:val="nil"/>
              <w:bottom w:val="nil"/>
              <w:right w:val="nil"/>
            </w:tcBorders>
            <w:shd w:val="clear" w:color="auto" w:fill="auto"/>
            <w:vAlign w:val="center"/>
          </w:tcPr>
          <w:p w14:paraId="2A2E9C4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592DBC2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4A985A7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4C1CB50A" w14:textId="77777777" w:rsidTr="00C3775E">
        <w:tc>
          <w:tcPr>
            <w:tcW w:w="4644" w:type="dxa"/>
            <w:tcBorders>
              <w:top w:val="nil"/>
              <w:left w:val="nil"/>
              <w:bottom w:val="nil"/>
              <w:right w:val="nil"/>
            </w:tcBorders>
            <w:shd w:val="clear" w:color="auto" w:fill="auto"/>
          </w:tcPr>
          <w:p w14:paraId="3A9AE386"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Transaminases increased</w:t>
            </w:r>
          </w:p>
        </w:tc>
        <w:tc>
          <w:tcPr>
            <w:tcW w:w="1621" w:type="dxa"/>
            <w:tcBorders>
              <w:top w:val="nil"/>
              <w:left w:val="nil"/>
              <w:bottom w:val="nil"/>
              <w:right w:val="nil"/>
            </w:tcBorders>
            <w:shd w:val="clear" w:color="auto" w:fill="auto"/>
            <w:vAlign w:val="center"/>
          </w:tcPr>
          <w:p w14:paraId="63175BD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122BA1AD"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2EE6176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1CD70927" w14:textId="77777777" w:rsidTr="00C3775E">
        <w:tc>
          <w:tcPr>
            <w:tcW w:w="4644" w:type="dxa"/>
            <w:tcBorders>
              <w:top w:val="nil"/>
              <w:left w:val="nil"/>
              <w:bottom w:val="single" w:sz="4" w:space="0" w:color="auto"/>
              <w:right w:val="nil"/>
            </w:tcBorders>
            <w:shd w:val="clear" w:color="auto" w:fill="auto"/>
          </w:tcPr>
          <w:p w14:paraId="045A2CAF"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 xml:space="preserve">Weight increased </w:t>
            </w:r>
          </w:p>
        </w:tc>
        <w:tc>
          <w:tcPr>
            <w:tcW w:w="1621" w:type="dxa"/>
            <w:tcBorders>
              <w:top w:val="nil"/>
              <w:left w:val="nil"/>
              <w:bottom w:val="single" w:sz="4" w:space="0" w:color="auto"/>
              <w:right w:val="nil"/>
            </w:tcBorders>
            <w:shd w:val="clear" w:color="auto" w:fill="auto"/>
            <w:vAlign w:val="center"/>
          </w:tcPr>
          <w:p w14:paraId="1270E63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103C2E5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6FC9693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4822FD7F" w14:textId="77777777" w:rsidTr="00C3775E">
        <w:tc>
          <w:tcPr>
            <w:tcW w:w="4644" w:type="dxa"/>
            <w:tcBorders>
              <w:top w:val="single" w:sz="4" w:space="0" w:color="auto"/>
              <w:left w:val="nil"/>
              <w:bottom w:val="nil"/>
              <w:right w:val="nil"/>
            </w:tcBorders>
            <w:shd w:val="clear" w:color="auto" w:fill="auto"/>
          </w:tcPr>
          <w:p w14:paraId="0086D54B"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Metabolism and nutrition disorders</w:t>
            </w:r>
          </w:p>
        </w:tc>
        <w:tc>
          <w:tcPr>
            <w:tcW w:w="1621" w:type="dxa"/>
            <w:tcBorders>
              <w:top w:val="single" w:sz="4" w:space="0" w:color="auto"/>
              <w:left w:val="nil"/>
              <w:bottom w:val="nil"/>
              <w:right w:val="nil"/>
            </w:tcBorders>
            <w:shd w:val="clear" w:color="auto" w:fill="auto"/>
            <w:vAlign w:val="center"/>
          </w:tcPr>
          <w:p w14:paraId="4FB1539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60E0D4A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2C4AAED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6C05568F" w14:textId="77777777" w:rsidTr="00C3775E">
        <w:tc>
          <w:tcPr>
            <w:tcW w:w="4644" w:type="dxa"/>
            <w:tcBorders>
              <w:top w:val="nil"/>
              <w:left w:val="nil"/>
              <w:bottom w:val="single" w:sz="4" w:space="0" w:color="auto"/>
              <w:right w:val="nil"/>
            </w:tcBorders>
            <w:shd w:val="clear" w:color="auto" w:fill="auto"/>
          </w:tcPr>
          <w:p w14:paraId="0163C73C" w14:textId="77777777" w:rsidR="0044223C" w:rsidRPr="00B54968" w:rsidRDefault="0044223C" w:rsidP="003E2009">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Hypokalemia</w:t>
            </w:r>
          </w:p>
        </w:tc>
        <w:tc>
          <w:tcPr>
            <w:tcW w:w="1621" w:type="dxa"/>
            <w:tcBorders>
              <w:top w:val="nil"/>
              <w:left w:val="nil"/>
              <w:bottom w:val="single" w:sz="4" w:space="0" w:color="auto"/>
              <w:right w:val="nil"/>
            </w:tcBorders>
            <w:shd w:val="clear" w:color="auto" w:fill="auto"/>
            <w:vAlign w:val="center"/>
          </w:tcPr>
          <w:p w14:paraId="6BDEF0F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62CECEA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32D9E3CF"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4C6018CF" w14:textId="77777777" w:rsidTr="00C3775E">
        <w:tc>
          <w:tcPr>
            <w:tcW w:w="4644" w:type="dxa"/>
            <w:tcBorders>
              <w:top w:val="single" w:sz="4" w:space="0" w:color="auto"/>
              <w:left w:val="nil"/>
              <w:bottom w:val="nil"/>
              <w:right w:val="nil"/>
            </w:tcBorders>
            <w:shd w:val="clear" w:color="auto" w:fill="auto"/>
          </w:tcPr>
          <w:p w14:paraId="23D6AE6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Musculoskeletal and connective tissue disorders</w:t>
            </w:r>
          </w:p>
        </w:tc>
        <w:tc>
          <w:tcPr>
            <w:tcW w:w="1621" w:type="dxa"/>
            <w:tcBorders>
              <w:top w:val="single" w:sz="4" w:space="0" w:color="auto"/>
              <w:left w:val="nil"/>
              <w:bottom w:val="nil"/>
              <w:right w:val="nil"/>
            </w:tcBorders>
            <w:shd w:val="clear" w:color="auto" w:fill="auto"/>
            <w:vAlign w:val="center"/>
          </w:tcPr>
          <w:p w14:paraId="7DED620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6D6CB1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4939E05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223367C8" w14:textId="77777777" w:rsidTr="00C3775E">
        <w:tc>
          <w:tcPr>
            <w:tcW w:w="4644" w:type="dxa"/>
            <w:tcBorders>
              <w:top w:val="nil"/>
              <w:left w:val="nil"/>
              <w:bottom w:val="nil"/>
              <w:right w:val="nil"/>
            </w:tcBorders>
            <w:shd w:val="clear" w:color="auto" w:fill="auto"/>
          </w:tcPr>
          <w:p w14:paraId="1DA4A7AD"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Arthralgia</w:t>
            </w:r>
          </w:p>
        </w:tc>
        <w:tc>
          <w:tcPr>
            <w:tcW w:w="1621" w:type="dxa"/>
            <w:tcBorders>
              <w:top w:val="nil"/>
              <w:left w:val="nil"/>
              <w:bottom w:val="nil"/>
              <w:right w:val="nil"/>
            </w:tcBorders>
            <w:shd w:val="clear" w:color="auto" w:fill="auto"/>
            <w:vAlign w:val="center"/>
          </w:tcPr>
          <w:p w14:paraId="50C14F9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2317597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51CF8BCF" w14:textId="45060CF1"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78B35619" w14:textId="77777777" w:rsidTr="00C3775E">
        <w:tc>
          <w:tcPr>
            <w:tcW w:w="4644" w:type="dxa"/>
            <w:tcBorders>
              <w:top w:val="nil"/>
              <w:left w:val="nil"/>
              <w:bottom w:val="nil"/>
              <w:right w:val="nil"/>
            </w:tcBorders>
            <w:shd w:val="clear" w:color="auto" w:fill="auto"/>
          </w:tcPr>
          <w:p w14:paraId="2921267E"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Back pain</w:t>
            </w:r>
          </w:p>
        </w:tc>
        <w:tc>
          <w:tcPr>
            <w:tcW w:w="1621" w:type="dxa"/>
            <w:tcBorders>
              <w:top w:val="nil"/>
              <w:left w:val="nil"/>
              <w:bottom w:val="nil"/>
              <w:right w:val="nil"/>
            </w:tcBorders>
            <w:shd w:val="clear" w:color="auto" w:fill="auto"/>
            <w:vAlign w:val="center"/>
          </w:tcPr>
          <w:p w14:paraId="77CE8A82"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49A49C2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4B0778D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0D47DDF1" w14:textId="77777777" w:rsidTr="00C3775E">
        <w:tc>
          <w:tcPr>
            <w:tcW w:w="4644" w:type="dxa"/>
            <w:tcBorders>
              <w:top w:val="nil"/>
              <w:left w:val="nil"/>
              <w:bottom w:val="nil"/>
              <w:right w:val="nil"/>
            </w:tcBorders>
            <w:shd w:val="clear" w:color="auto" w:fill="auto"/>
          </w:tcPr>
          <w:p w14:paraId="12FAEB4E"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Bone pain</w:t>
            </w:r>
          </w:p>
        </w:tc>
        <w:tc>
          <w:tcPr>
            <w:tcW w:w="1621" w:type="dxa"/>
            <w:tcBorders>
              <w:top w:val="nil"/>
              <w:left w:val="nil"/>
              <w:bottom w:val="nil"/>
              <w:right w:val="nil"/>
            </w:tcBorders>
            <w:shd w:val="clear" w:color="auto" w:fill="auto"/>
            <w:vAlign w:val="center"/>
          </w:tcPr>
          <w:p w14:paraId="3F21CA4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0E5AEA4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50DB6F4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0D3F8D06" w14:textId="77777777" w:rsidTr="00C3775E">
        <w:tc>
          <w:tcPr>
            <w:tcW w:w="4644" w:type="dxa"/>
            <w:tcBorders>
              <w:top w:val="nil"/>
              <w:left w:val="nil"/>
              <w:bottom w:val="nil"/>
              <w:right w:val="nil"/>
            </w:tcBorders>
            <w:shd w:val="clear" w:color="auto" w:fill="auto"/>
          </w:tcPr>
          <w:p w14:paraId="191A2B6A"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lastRenderedPageBreak/>
              <w:t>Muscle spasms</w:t>
            </w:r>
          </w:p>
        </w:tc>
        <w:tc>
          <w:tcPr>
            <w:tcW w:w="1621" w:type="dxa"/>
            <w:tcBorders>
              <w:top w:val="nil"/>
              <w:left w:val="nil"/>
              <w:bottom w:val="nil"/>
              <w:right w:val="nil"/>
            </w:tcBorders>
            <w:shd w:val="clear" w:color="auto" w:fill="auto"/>
            <w:vAlign w:val="center"/>
          </w:tcPr>
          <w:p w14:paraId="1C00323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4E931E0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7CF2E4C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27B337A1" w14:textId="77777777" w:rsidTr="00C3775E">
        <w:tc>
          <w:tcPr>
            <w:tcW w:w="4644" w:type="dxa"/>
            <w:tcBorders>
              <w:top w:val="nil"/>
              <w:left w:val="nil"/>
              <w:bottom w:val="nil"/>
              <w:right w:val="nil"/>
            </w:tcBorders>
            <w:shd w:val="clear" w:color="auto" w:fill="auto"/>
          </w:tcPr>
          <w:p w14:paraId="5A11D3DA"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Osteoarthritis</w:t>
            </w:r>
          </w:p>
        </w:tc>
        <w:tc>
          <w:tcPr>
            <w:tcW w:w="1621" w:type="dxa"/>
            <w:tcBorders>
              <w:top w:val="nil"/>
              <w:left w:val="nil"/>
              <w:bottom w:val="nil"/>
              <w:right w:val="nil"/>
            </w:tcBorders>
            <w:shd w:val="clear" w:color="auto" w:fill="auto"/>
            <w:vAlign w:val="center"/>
          </w:tcPr>
          <w:p w14:paraId="78F946A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E17990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3A569C3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69F25856" w14:textId="77777777" w:rsidTr="00C3775E">
        <w:tc>
          <w:tcPr>
            <w:tcW w:w="4644" w:type="dxa"/>
            <w:tcBorders>
              <w:top w:val="nil"/>
              <w:left w:val="nil"/>
              <w:bottom w:val="single" w:sz="4" w:space="0" w:color="auto"/>
              <w:right w:val="nil"/>
            </w:tcBorders>
            <w:shd w:val="clear" w:color="auto" w:fill="auto"/>
          </w:tcPr>
          <w:p w14:paraId="2169F2EF"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Rheumatoid arthritis</w:t>
            </w:r>
          </w:p>
        </w:tc>
        <w:tc>
          <w:tcPr>
            <w:tcW w:w="1621" w:type="dxa"/>
            <w:tcBorders>
              <w:top w:val="nil"/>
              <w:left w:val="nil"/>
              <w:bottom w:val="single" w:sz="4" w:space="0" w:color="auto"/>
              <w:right w:val="nil"/>
            </w:tcBorders>
            <w:shd w:val="clear" w:color="auto" w:fill="auto"/>
            <w:vAlign w:val="center"/>
          </w:tcPr>
          <w:p w14:paraId="78996D5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(5.0)</w:t>
            </w:r>
          </w:p>
        </w:tc>
        <w:tc>
          <w:tcPr>
            <w:tcW w:w="1477" w:type="dxa"/>
            <w:tcBorders>
              <w:top w:val="nil"/>
              <w:left w:val="nil"/>
              <w:bottom w:val="single" w:sz="4" w:space="0" w:color="auto"/>
              <w:right w:val="nil"/>
            </w:tcBorders>
            <w:shd w:val="clear" w:color="auto" w:fill="auto"/>
            <w:vAlign w:val="center"/>
          </w:tcPr>
          <w:p w14:paraId="3103F35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single" w:sz="4" w:space="0" w:color="auto"/>
              <w:right w:val="nil"/>
            </w:tcBorders>
            <w:shd w:val="clear" w:color="auto" w:fill="auto"/>
            <w:vAlign w:val="center"/>
          </w:tcPr>
          <w:p w14:paraId="7F9A9FD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26 (4.3)</w:t>
            </w:r>
          </w:p>
        </w:tc>
      </w:tr>
      <w:tr w:rsidR="0044223C" w:rsidRPr="00B54968" w14:paraId="25BC2FA2" w14:textId="77777777" w:rsidTr="00C3775E">
        <w:tc>
          <w:tcPr>
            <w:tcW w:w="4644" w:type="dxa"/>
            <w:tcBorders>
              <w:top w:val="single" w:sz="4" w:space="0" w:color="auto"/>
              <w:left w:val="nil"/>
              <w:bottom w:val="nil"/>
              <w:right w:val="nil"/>
            </w:tcBorders>
            <w:shd w:val="clear" w:color="auto" w:fill="auto"/>
          </w:tcPr>
          <w:p w14:paraId="1133D0A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Nervous system disorders</w:t>
            </w:r>
          </w:p>
        </w:tc>
        <w:tc>
          <w:tcPr>
            <w:tcW w:w="1621" w:type="dxa"/>
            <w:tcBorders>
              <w:top w:val="single" w:sz="4" w:space="0" w:color="auto"/>
              <w:left w:val="nil"/>
              <w:bottom w:val="nil"/>
              <w:right w:val="nil"/>
            </w:tcBorders>
            <w:shd w:val="clear" w:color="auto" w:fill="auto"/>
            <w:vAlign w:val="center"/>
          </w:tcPr>
          <w:p w14:paraId="0BD888B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D01732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BAA77A2"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187F26E2" w14:textId="77777777" w:rsidTr="00C3775E">
        <w:tc>
          <w:tcPr>
            <w:tcW w:w="4644" w:type="dxa"/>
            <w:tcBorders>
              <w:top w:val="nil"/>
              <w:left w:val="nil"/>
              <w:bottom w:val="nil"/>
              <w:right w:val="nil"/>
            </w:tcBorders>
            <w:shd w:val="clear" w:color="auto" w:fill="auto"/>
          </w:tcPr>
          <w:p w14:paraId="3F7C3304"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Dizziness</w:t>
            </w:r>
          </w:p>
        </w:tc>
        <w:tc>
          <w:tcPr>
            <w:tcW w:w="1621" w:type="dxa"/>
            <w:tcBorders>
              <w:top w:val="nil"/>
              <w:left w:val="nil"/>
              <w:bottom w:val="nil"/>
              <w:right w:val="nil"/>
            </w:tcBorders>
            <w:shd w:val="clear" w:color="auto" w:fill="auto"/>
            <w:vAlign w:val="center"/>
          </w:tcPr>
          <w:p w14:paraId="1ABE002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061816D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6530B43B"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101579D3" w14:textId="77777777" w:rsidTr="00C3775E">
        <w:tc>
          <w:tcPr>
            <w:tcW w:w="4644" w:type="dxa"/>
            <w:tcBorders>
              <w:top w:val="nil"/>
              <w:left w:val="nil"/>
              <w:bottom w:val="nil"/>
              <w:right w:val="nil"/>
            </w:tcBorders>
            <w:shd w:val="clear" w:color="auto" w:fill="auto"/>
          </w:tcPr>
          <w:p w14:paraId="610371B5"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Headache</w:t>
            </w:r>
          </w:p>
        </w:tc>
        <w:tc>
          <w:tcPr>
            <w:tcW w:w="1621" w:type="dxa"/>
            <w:tcBorders>
              <w:top w:val="nil"/>
              <w:left w:val="nil"/>
              <w:bottom w:val="nil"/>
              <w:right w:val="nil"/>
            </w:tcBorders>
            <w:shd w:val="clear" w:color="auto" w:fill="auto"/>
            <w:vAlign w:val="center"/>
          </w:tcPr>
          <w:p w14:paraId="5C2E232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(4.3)</w:t>
            </w:r>
          </w:p>
        </w:tc>
        <w:tc>
          <w:tcPr>
            <w:tcW w:w="1477" w:type="dxa"/>
            <w:tcBorders>
              <w:top w:val="nil"/>
              <w:left w:val="nil"/>
              <w:bottom w:val="nil"/>
              <w:right w:val="nil"/>
            </w:tcBorders>
            <w:shd w:val="clear" w:color="auto" w:fill="auto"/>
            <w:vAlign w:val="center"/>
          </w:tcPr>
          <w:p w14:paraId="7106F59D"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(5.3)</w:t>
            </w:r>
          </w:p>
        </w:tc>
        <w:tc>
          <w:tcPr>
            <w:tcW w:w="1477" w:type="dxa"/>
            <w:tcBorders>
              <w:top w:val="nil"/>
              <w:left w:val="nil"/>
              <w:bottom w:val="nil"/>
              <w:right w:val="nil"/>
            </w:tcBorders>
            <w:shd w:val="clear" w:color="auto" w:fill="auto"/>
            <w:vAlign w:val="center"/>
          </w:tcPr>
          <w:p w14:paraId="33098A9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29 (4.8)</w:t>
            </w:r>
          </w:p>
        </w:tc>
      </w:tr>
      <w:tr w:rsidR="0044223C" w:rsidRPr="00B54968" w14:paraId="31A72AFE" w14:textId="77777777" w:rsidTr="00C3775E">
        <w:tc>
          <w:tcPr>
            <w:tcW w:w="4644" w:type="dxa"/>
            <w:tcBorders>
              <w:top w:val="nil"/>
              <w:left w:val="nil"/>
              <w:bottom w:val="single" w:sz="4" w:space="0" w:color="auto"/>
              <w:right w:val="nil"/>
            </w:tcBorders>
            <w:shd w:val="clear" w:color="auto" w:fill="auto"/>
          </w:tcPr>
          <w:p w14:paraId="22EF6062"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Migraine</w:t>
            </w:r>
          </w:p>
        </w:tc>
        <w:tc>
          <w:tcPr>
            <w:tcW w:w="1621" w:type="dxa"/>
            <w:tcBorders>
              <w:top w:val="nil"/>
              <w:left w:val="nil"/>
              <w:bottom w:val="single" w:sz="4" w:space="0" w:color="auto"/>
              <w:right w:val="nil"/>
            </w:tcBorders>
            <w:shd w:val="clear" w:color="auto" w:fill="auto"/>
            <w:vAlign w:val="center"/>
          </w:tcPr>
          <w:p w14:paraId="5451431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4C8727F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7813FB9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43B2D401" w14:textId="77777777" w:rsidTr="00C3775E">
        <w:tc>
          <w:tcPr>
            <w:tcW w:w="4644" w:type="dxa"/>
            <w:tcBorders>
              <w:top w:val="single" w:sz="4" w:space="0" w:color="auto"/>
              <w:left w:val="nil"/>
              <w:bottom w:val="nil"/>
              <w:right w:val="nil"/>
            </w:tcBorders>
            <w:shd w:val="clear" w:color="auto" w:fill="auto"/>
          </w:tcPr>
          <w:p w14:paraId="75291E0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Psychiatric disorders</w:t>
            </w:r>
          </w:p>
        </w:tc>
        <w:tc>
          <w:tcPr>
            <w:tcW w:w="1621" w:type="dxa"/>
            <w:tcBorders>
              <w:top w:val="single" w:sz="4" w:space="0" w:color="auto"/>
              <w:left w:val="nil"/>
              <w:bottom w:val="nil"/>
              <w:right w:val="nil"/>
            </w:tcBorders>
            <w:shd w:val="clear" w:color="auto" w:fill="auto"/>
            <w:vAlign w:val="center"/>
          </w:tcPr>
          <w:p w14:paraId="4571BE8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37A6D53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64DDA0D"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6FFEED75" w14:textId="77777777" w:rsidTr="00C3775E">
        <w:tc>
          <w:tcPr>
            <w:tcW w:w="4644" w:type="dxa"/>
            <w:tcBorders>
              <w:top w:val="nil"/>
              <w:left w:val="nil"/>
              <w:bottom w:val="single" w:sz="4" w:space="0" w:color="auto"/>
              <w:right w:val="nil"/>
            </w:tcBorders>
            <w:shd w:val="clear" w:color="auto" w:fill="auto"/>
          </w:tcPr>
          <w:p w14:paraId="3E7BF571" w14:textId="77777777" w:rsidR="0044223C" w:rsidRPr="00B54968" w:rsidRDefault="0044223C" w:rsidP="003E2009">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Anxiety</w:t>
            </w:r>
          </w:p>
        </w:tc>
        <w:tc>
          <w:tcPr>
            <w:tcW w:w="1621" w:type="dxa"/>
            <w:tcBorders>
              <w:top w:val="nil"/>
              <w:left w:val="nil"/>
              <w:bottom w:val="single" w:sz="4" w:space="0" w:color="auto"/>
              <w:right w:val="nil"/>
            </w:tcBorders>
            <w:shd w:val="clear" w:color="auto" w:fill="auto"/>
            <w:vAlign w:val="center"/>
          </w:tcPr>
          <w:p w14:paraId="3483CA0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EEAC13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4F0438A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278F389D" w14:textId="77777777" w:rsidTr="00C3775E">
        <w:tc>
          <w:tcPr>
            <w:tcW w:w="4644" w:type="dxa"/>
            <w:tcBorders>
              <w:top w:val="single" w:sz="4" w:space="0" w:color="auto"/>
              <w:left w:val="nil"/>
              <w:bottom w:val="nil"/>
              <w:right w:val="nil"/>
            </w:tcBorders>
            <w:shd w:val="clear" w:color="auto" w:fill="auto"/>
          </w:tcPr>
          <w:p w14:paraId="21E88C9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Renal and urinary disorders</w:t>
            </w:r>
          </w:p>
        </w:tc>
        <w:tc>
          <w:tcPr>
            <w:tcW w:w="1621" w:type="dxa"/>
            <w:tcBorders>
              <w:top w:val="single" w:sz="4" w:space="0" w:color="auto"/>
              <w:left w:val="nil"/>
              <w:bottom w:val="nil"/>
              <w:right w:val="nil"/>
            </w:tcBorders>
            <w:shd w:val="clear" w:color="auto" w:fill="auto"/>
            <w:vAlign w:val="center"/>
          </w:tcPr>
          <w:p w14:paraId="7165D2F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6A5B5FB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4E72DCD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7C8049A7" w14:textId="77777777" w:rsidTr="00C3775E">
        <w:tc>
          <w:tcPr>
            <w:tcW w:w="4644" w:type="dxa"/>
            <w:tcBorders>
              <w:top w:val="nil"/>
              <w:left w:val="nil"/>
              <w:bottom w:val="nil"/>
              <w:right w:val="nil"/>
            </w:tcBorders>
            <w:shd w:val="clear" w:color="auto" w:fill="auto"/>
          </w:tcPr>
          <w:p w14:paraId="3C7BB953"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Dysuria</w:t>
            </w:r>
          </w:p>
        </w:tc>
        <w:tc>
          <w:tcPr>
            <w:tcW w:w="1621" w:type="dxa"/>
            <w:tcBorders>
              <w:top w:val="nil"/>
              <w:left w:val="nil"/>
              <w:bottom w:val="nil"/>
              <w:right w:val="nil"/>
            </w:tcBorders>
            <w:shd w:val="clear" w:color="auto" w:fill="auto"/>
            <w:vAlign w:val="center"/>
          </w:tcPr>
          <w:p w14:paraId="71817A4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F3C901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2170B94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7B747542" w14:textId="77777777" w:rsidTr="00C3775E">
        <w:tc>
          <w:tcPr>
            <w:tcW w:w="4644" w:type="dxa"/>
            <w:tcBorders>
              <w:top w:val="nil"/>
              <w:left w:val="nil"/>
              <w:bottom w:val="single" w:sz="4" w:space="0" w:color="auto"/>
              <w:right w:val="nil"/>
            </w:tcBorders>
            <w:shd w:val="clear" w:color="auto" w:fill="auto"/>
          </w:tcPr>
          <w:p w14:paraId="609697B5" w14:textId="77777777" w:rsidR="0044223C" w:rsidRPr="00B54968" w:rsidRDefault="0044223C" w:rsidP="003E2009">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Hematuria</w:t>
            </w:r>
          </w:p>
        </w:tc>
        <w:tc>
          <w:tcPr>
            <w:tcW w:w="1621" w:type="dxa"/>
            <w:tcBorders>
              <w:top w:val="nil"/>
              <w:left w:val="nil"/>
              <w:bottom w:val="single" w:sz="4" w:space="0" w:color="auto"/>
              <w:right w:val="nil"/>
            </w:tcBorders>
            <w:shd w:val="clear" w:color="auto" w:fill="auto"/>
            <w:vAlign w:val="center"/>
          </w:tcPr>
          <w:p w14:paraId="0C46E754"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17253C9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0A9118E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08D371AF" w14:textId="77777777" w:rsidTr="00C3775E">
        <w:tc>
          <w:tcPr>
            <w:tcW w:w="4644" w:type="dxa"/>
            <w:tcBorders>
              <w:top w:val="single" w:sz="4" w:space="0" w:color="auto"/>
              <w:left w:val="nil"/>
              <w:bottom w:val="nil"/>
              <w:right w:val="nil"/>
            </w:tcBorders>
            <w:shd w:val="clear" w:color="auto" w:fill="auto"/>
          </w:tcPr>
          <w:p w14:paraId="3DC3590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Reproductive system and breast disorders</w:t>
            </w:r>
          </w:p>
        </w:tc>
        <w:tc>
          <w:tcPr>
            <w:tcW w:w="1621" w:type="dxa"/>
            <w:tcBorders>
              <w:top w:val="single" w:sz="4" w:space="0" w:color="auto"/>
              <w:left w:val="nil"/>
              <w:bottom w:val="nil"/>
              <w:right w:val="nil"/>
            </w:tcBorders>
            <w:shd w:val="clear" w:color="auto" w:fill="auto"/>
            <w:vAlign w:val="center"/>
          </w:tcPr>
          <w:p w14:paraId="0A3BBC6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30B7D193"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6EFCE8B"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3B598CEB" w14:textId="77777777" w:rsidTr="00C3775E">
        <w:tc>
          <w:tcPr>
            <w:tcW w:w="4644" w:type="dxa"/>
            <w:tcBorders>
              <w:top w:val="nil"/>
              <w:left w:val="nil"/>
              <w:bottom w:val="single" w:sz="4" w:space="0" w:color="auto"/>
              <w:right w:val="nil"/>
            </w:tcBorders>
            <w:shd w:val="clear" w:color="auto" w:fill="auto"/>
          </w:tcPr>
          <w:p w14:paraId="32BCE91E" w14:textId="77777777" w:rsidR="0044223C" w:rsidRPr="00B54968" w:rsidRDefault="0044223C" w:rsidP="003E2009">
            <w:pPr>
              <w:spacing w:before="40" w:after="40" w:line="240" w:lineRule="auto"/>
              <w:ind w:left="480" w:hanging="240"/>
              <w:rPr>
                <w:rFonts w:ascii="Times New Roman" w:eastAsia="SimSun" w:hAnsi="Times New Roman" w:cs="Times New Roman"/>
                <w:color w:val="000000"/>
                <w:kern w:val="24"/>
                <w:sz w:val="18"/>
                <w:szCs w:val="18"/>
                <w:lang w:eastAsia="en-US"/>
              </w:rPr>
            </w:pPr>
            <w:proofErr w:type="spellStart"/>
            <w:r w:rsidRPr="00B54968">
              <w:rPr>
                <w:rFonts w:ascii="Times New Roman" w:eastAsia="SimSun" w:hAnsi="Times New Roman" w:cs="Times New Roman"/>
                <w:kern w:val="24"/>
                <w:sz w:val="18"/>
                <w:szCs w:val="18"/>
                <w:lang w:eastAsia="en-US"/>
              </w:rPr>
              <w:t>Metrorrhagia</w:t>
            </w:r>
            <w:proofErr w:type="spellEnd"/>
          </w:p>
        </w:tc>
        <w:tc>
          <w:tcPr>
            <w:tcW w:w="1621" w:type="dxa"/>
            <w:tcBorders>
              <w:top w:val="nil"/>
              <w:left w:val="nil"/>
              <w:bottom w:val="single" w:sz="4" w:space="0" w:color="auto"/>
              <w:right w:val="nil"/>
            </w:tcBorders>
            <w:shd w:val="clear" w:color="auto" w:fill="auto"/>
            <w:vAlign w:val="center"/>
          </w:tcPr>
          <w:p w14:paraId="1447F3A0"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single" w:sz="4" w:space="0" w:color="auto"/>
              <w:right w:val="nil"/>
            </w:tcBorders>
            <w:shd w:val="clear" w:color="auto" w:fill="auto"/>
            <w:vAlign w:val="center"/>
          </w:tcPr>
          <w:p w14:paraId="2759FECB"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4290780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1C670B79" w14:textId="77777777" w:rsidTr="00C3775E">
        <w:tc>
          <w:tcPr>
            <w:tcW w:w="4644" w:type="dxa"/>
            <w:tcBorders>
              <w:top w:val="single" w:sz="4" w:space="0" w:color="auto"/>
              <w:left w:val="nil"/>
              <w:bottom w:val="nil"/>
              <w:right w:val="nil"/>
            </w:tcBorders>
            <w:shd w:val="clear" w:color="auto" w:fill="auto"/>
          </w:tcPr>
          <w:p w14:paraId="757FEE2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Respiratory, thoracic, and mediastinal disorders</w:t>
            </w:r>
          </w:p>
        </w:tc>
        <w:tc>
          <w:tcPr>
            <w:tcW w:w="1621" w:type="dxa"/>
            <w:tcBorders>
              <w:top w:val="single" w:sz="4" w:space="0" w:color="auto"/>
              <w:left w:val="nil"/>
              <w:bottom w:val="nil"/>
              <w:right w:val="nil"/>
            </w:tcBorders>
            <w:shd w:val="clear" w:color="auto" w:fill="auto"/>
            <w:vAlign w:val="center"/>
          </w:tcPr>
          <w:p w14:paraId="47E1609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2C440AED"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4964002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3F784726" w14:textId="77777777" w:rsidTr="00C3775E">
        <w:tc>
          <w:tcPr>
            <w:tcW w:w="4644" w:type="dxa"/>
            <w:tcBorders>
              <w:top w:val="nil"/>
              <w:left w:val="nil"/>
              <w:bottom w:val="nil"/>
              <w:right w:val="nil"/>
            </w:tcBorders>
            <w:shd w:val="clear" w:color="auto" w:fill="auto"/>
          </w:tcPr>
          <w:p w14:paraId="382FEDFC"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Cough</w:t>
            </w:r>
          </w:p>
        </w:tc>
        <w:tc>
          <w:tcPr>
            <w:tcW w:w="1621" w:type="dxa"/>
            <w:tcBorders>
              <w:top w:val="nil"/>
              <w:left w:val="nil"/>
              <w:bottom w:val="nil"/>
              <w:right w:val="nil"/>
            </w:tcBorders>
            <w:shd w:val="clear" w:color="auto" w:fill="auto"/>
            <w:vAlign w:val="center"/>
          </w:tcPr>
          <w:p w14:paraId="21C9ABE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50D457B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D36EEE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726754FD" w14:textId="77777777" w:rsidTr="00C3775E">
        <w:tc>
          <w:tcPr>
            <w:tcW w:w="4644" w:type="dxa"/>
            <w:tcBorders>
              <w:top w:val="nil"/>
              <w:left w:val="nil"/>
              <w:bottom w:val="nil"/>
              <w:right w:val="nil"/>
            </w:tcBorders>
            <w:shd w:val="clear" w:color="auto" w:fill="auto"/>
          </w:tcPr>
          <w:p w14:paraId="044E42DE"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Epistaxis</w:t>
            </w:r>
          </w:p>
        </w:tc>
        <w:tc>
          <w:tcPr>
            <w:tcW w:w="1621" w:type="dxa"/>
            <w:tcBorders>
              <w:top w:val="nil"/>
              <w:left w:val="nil"/>
              <w:bottom w:val="nil"/>
              <w:right w:val="nil"/>
            </w:tcBorders>
            <w:shd w:val="clear" w:color="auto" w:fill="auto"/>
            <w:vAlign w:val="center"/>
          </w:tcPr>
          <w:p w14:paraId="4967EBC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32CC324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5EB21F4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44B489F2" w14:textId="77777777" w:rsidTr="00C3775E">
        <w:tc>
          <w:tcPr>
            <w:tcW w:w="4644" w:type="dxa"/>
            <w:tcBorders>
              <w:top w:val="nil"/>
              <w:left w:val="nil"/>
              <w:bottom w:val="single" w:sz="4" w:space="0" w:color="auto"/>
              <w:right w:val="nil"/>
            </w:tcBorders>
            <w:shd w:val="clear" w:color="auto" w:fill="auto"/>
          </w:tcPr>
          <w:p w14:paraId="01345876"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Oropharyngeal pain</w:t>
            </w:r>
          </w:p>
        </w:tc>
        <w:tc>
          <w:tcPr>
            <w:tcW w:w="1621" w:type="dxa"/>
            <w:tcBorders>
              <w:top w:val="nil"/>
              <w:left w:val="nil"/>
              <w:bottom w:val="single" w:sz="4" w:space="0" w:color="auto"/>
              <w:right w:val="nil"/>
            </w:tcBorders>
            <w:shd w:val="clear" w:color="auto" w:fill="auto"/>
            <w:vAlign w:val="center"/>
          </w:tcPr>
          <w:p w14:paraId="5032659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single" w:sz="4" w:space="0" w:color="auto"/>
              <w:right w:val="nil"/>
            </w:tcBorders>
            <w:shd w:val="clear" w:color="auto" w:fill="auto"/>
            <w:vAlign w:val="center"/>
          </w:tcPr>
          <w:p w14:paraId="386FE03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36FA8B0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405D5313" w14:textId="77777777" w:rsidTr="00C3775E">
        <w:tc>
          <w:tcPr>
            <w:tcW w:w="4644" w:type="dxa"/>
            <w:tcBorders>
              <w:top w:val="single" w:sz="4" w:space="0" w:color="auto"/>
              <w:left w:val="nil"/>
              <w:bottom w:val="nil"/>
              <w:right w:val="nil"/>
            </w:tcBorders>
            <w:shd w:val="clear" w:color="auto" w:fill="auto"/>
          </w:tcPr>
          <w:p w14:paraId="5D1CF329" w14:textId="77777777" w:rsidR="0044223C" w:rsidRPr="00B54968" w:rsidRDefault="0044223C" w:rsidP="003E2009">
            <w:pPr>
              <w:spacing w:before="40" w:after="40" w:line="240" w:lineRule="auto"/>
              <w:rPr>
                <w:rFonts w:ascii="Times New Roman" w:eastAsia="SimSun" w:hAnsi="Times New Roman" w:cs="Times New Roman"/>
                <w:b/>
                <w:kern w:val="24"/>
                <w:sz w:val="18"/>
                <w:szCs w:val="18"/>
                <w:lang w:eastAsia="en-US"/>
              </w:rPr>
            </w:pPr>
            <w:r w:rsidRPr="00B54968">
              <w:rPr>
                <w:rFonts w:ascii="Times New Roman" w:eastAsia="SimSun" w:hAnsi="Times New Roman" w:cs="Times New Roman"/>
                <w:b/>
                <w:kern w:val="24"/>
                <w:sz w:val="18"/>
                <w:szCs w:val="18"/>
                <w:lang w:eastAsia="en-US"/>
              </w:rPr>
              <w:t>Skin and subcutaneous tissue disorders</w:t>
            </w:r>
          </w:p>
        </w:tc>
        <w:tc>
          <w:tcPr>
            <w:tcW w:w="1621" w:type="dxa"/>
            <w:tcBorders>
              <w:top w:val="single" w:sz="4" w:space="0" w:color="auto"/>
              <w:left w:val="nil"/>
              <w:bottom w:val="nil"/>
              <w:right w:val="nil"/>
            </w:tcBorders>
            <w:shd w:val="clear" w:color="auto" w:fill="auto"/>
            <w:vAlign w:val="center"/>
          </w:tcPr>
          <w:p w14:paraId="3AA95B7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E26A97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7C400DC6"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40EE9107" w14:textId="77777777" w:rsidTr="00C3775E">
        <w:tc>
          <w:tcPr>
            <w:tcW w:w="4644" w:type="dxa"/>
            <w:tcBorders>
              <w:top w:val="nil"/>
              <w:left w:val="nil"/>
              <w:bottom w:val="nil"/>
              <w:right w:val="nil"/>
            </w:tcBorders>
            <w:shd w:val="clear" w:color="auto" w:fill="auto"/>
          </w:tcPr>
          <w:p w14:paraId="5748DA31"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Dermatitis allergic</w:t>
            </w:r>
          </w:p>
        </w:tc>
        <w:tc>
          <w:tcPr>
            <w:tcW w:w="1621" w:type="dxa"/>
            <w:tcBorders>
              <w:top w:val="nil"/>
              <w:left w:val="nil"/>
              <w:bottom w:val="nil"/>
              <w:right w:val="nil"/>
            </w:tcBorders>
            <w:shd w:val="clear" w:color="auto" w:fill="auto"/>
            <w:vAlign w:val="center"/>
          </w:tcPr>
          <w:p w14:paraId="20E75EEC"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6731446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6819CD8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5CCA414D" w14:textId="77777777" w:rsidTr="00C3775E">
        <w:tc>
          <w:tcPr>
            <w:tcW w:w="4644" w:type="dxa"/>
            <w:tcBorders>
              <w:top w:val="nil"/>
              <w:left w:val="nil"/>
              <w:bottom w:val="nil"/>
              <w:right w:val="nil"/>
            </w:tcBorders>
            <w:shd w:val="clear" w:color="auto" w:fill="auto"/>
          </w:tcPr>
          <w:p w14:paraId="1B3EA358" w14:textId="77777777" w:rsidR="0044223C" w:rsidRPr="00B54968" w:rsidRDefault="0044223C" w:rsidP="003E200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Psoriasis</w:t>
            </w:r>
          </w:p>
        </w:tc>
        <w:tc>
          <w:tcPr>
            <w:tcW w:w="1621" w:type="dxa"/>
            <w:tcBorders>
              <w:top w:val="nil"/>
              <w:left w:val="nil"/>
              <w:bottom w:val="nil"/>
              <w:right w:val="nil"/>
            </w:tcBorders>
            <w:shd w:val="clear" w:color="auto" w:fill="auto"/>
            <w:vAlign w:val="center"/>
          </w:tcPr>
          <w:p w14:paraId="4D0D2CB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D79B989"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11CF67B5"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29C59CCB" w14:textId="77777777" w:rsidTr="00C3775E">
        <w:tc>
          <w:tcPr>
            <w:tcW w:w="4644" w:type="dxa"/>
            <w:tcBorders>
              <w:top w:val="nil"/>
              <w:left w:val="nil"/>
              <w:bottom w:val="single" w:sz="4" w:space="0" w:color="auto"/>
              <w:right w:val="nil"/>
            </w:tcBorders>
            <w:shd w:val="clear" w:color="auto" w:fill="auto"/>
          </w:tcPr>
          <w:p w14:paraId="563809CD" w14:textId="77777777" w:rsidR="0044223C" w:rsidRPr="00B54968" w:rsidRDefault="0044223C" w:rsidP="003E2009">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Rash</w:t>
            </w:r>
          </w:p>
        </w:tc>
        <w:tc>
          <w:tcPr>
            <w:tcW w:w="1621" w:type="dxa"/>
            <w:tcBorders>
              <w:top w:val="nil"/>
              <w:left w:val="nil"/>
              <w:bottom w:val="single" w:sz="4" w:space="0" w:color="auto"/>
              <w:right w:val="nil"/>
            </w:tcBorders>
            <w:shd w:val="clear" w:color="auto" w:fill="auto"/>
            <w:vAlign w:val="center"/>
          </w:tcPr>
          <w:p w14:paraId="3EDCEDB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single" w:sz="4" w:space="0" w:color="auto"/>
              <w:right w:val="nil"/>
            </w:tcBorders>
            <w:shd w:val="clear" w:color="auto" w:fill="auto"/>
            <w:vAlign w:val="center"/>
          </w:tcPr>
          <w:p w14:paraId="3C98631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single" w:sz="4" w:space="0" w:color="auto"/>
              <w:right w:val="nil"/>
            </w:tcBorders>
            <w:shd w:val="clear" w:color="auto" w:fill="auto"/>
            <w:vAlign w:val="center"/>
          </w:tcPr>
          <w:p w14:paraId="3D1D57FF"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(1.8)</w:t>
            </w:r>
          </w:p>
        </w:tc>
      </w:tr>
      <w:tr w:rsidR="0044223C" w:rsidRPr="00B54968" w14:paraId="4BEA134A" w14:textId="77777777" w:rsidTr="00C3775E">
        <w:tc>
          <w:tcPr>
            <w:tcW w:w="4644" w:type="dxa"/>
            <w:tcBorders>
              <w:top w:val="nil"/>
              <w:left w:val="nil"/>
              <w:bottom w:val="nil"/>
              <w:right w:val="nil"/>
            </w:tcBorders>
            <w:shd w:val="clear" w:color="auto" w:fill="auto"/>
          </w:tcPr>
          <w:p w14:paraId="1D1CD258"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Vascular disorders</w:t>
            </w:r>
          </w:p>
        </w:tc>
        <w:tc>
          <w:tcPr>
            <w:tcW w:w="1621" w:type="dxa"/>
            <w:tcBorders>
              <w:top w:val="nil"/>
              <w:left w:val="nil"/>
              <w:bottom w:val="nil"/>
              <w:right w:val="nil"/>
            </w:tcBorders>
            <w:shd w:val="clear" w:color="auto" w:fill="auto"/>
            <w:vAlign w:val="center"/>
          </w:tcPr>
          <w:p w14:paraId="75BE2F1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nil"/>
              <w:left w:val="nil"/>
              <w:bottom w:val="nil"/>
              <w:right w:val="nil"/>
            </w:tcBorders>
            <w:shd w:val="clear" w:color="auto" w:fill="auto"/>
            <w:vAlign w:val="center"/>
          </w:tcPr>
          <w:p w14:paraId="1C217D3E"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c>
          <w:tcPr>
            <w:tcW w:w="1477" w:type="dxa"/>
            <w:tcBorders>
              <w:top w:val="nil"/>
              <w:left w:val="nil"/>
              <w:bottom w:val="nil"/>
              <w:right w:val="nil"/>
            </w:tcBorders>
            <w:shd w:val="clear" w:color="auto" w:fill="auto"/>
            <w:vAlign w:val="center"/>
          </w:tcPr>
          <w:p w14:paraId="4BCE7EFA"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p>
        </w:tc>
      </w:tr>
      <w:tr w:rsidR="0044223C" w:rsidRPr="00B54968" w14:paraId="239B48AD" w14:textId="77777777" w:rsidTr="00C3775E">
        <w:tc>
          <w:tcPr>
            <w:tcW w:w="4644" w:type="dxa"/>
            <w:tcBorders>
              <w:top w:val="nil"/>
              <w:left w:val="nil"/>
              <w:bottom w:val="single" w:sz="4" w:space="0" w:color="auto"/>
              <w:right w:val="nil"/>
            </w:tcBorders>
            <w:shd w:val="clear" w:color="auto" w:fill="auto"/>
          </w:tcPr>
          <w:p w14:paraId="6DF2C8E2" w14:textId="77777777" w:rsidR="0044223C" w:rsidRPr="00B54968" w:rsidRDefault="0044223C" w:rsidP="003E2009">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Hypertension</w:t>
            </w:r>
          </w:p>
        </w:tc>
        <w:tc>
          <w:tcPr>
            <w:tcW w:w="1621" w:type="dxa"/>
            <w:tcBorders>
              <w:top w:val="nil"/>
              <w:left w:val="nil"/>
              <w:bottom w:val="single" w:sz="4" w:space="0" w:color="auto"/>
              <w:right w:val="nil"/>
            </w:tcBorders>
            <w:shd w:val="clear" w:color="auto" w:fill="auto"/>
            <w:vAlign w:val="center"/>
          </w:tcPr>
          <w:p w14:paraId="16117F7D"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(5.0)</w:t>
            </w:r>
          </w:p>
        </w:tc>
        <w:tc>
          <w:tcPr>
            <w:tcW w:w="1477" w:type="dxa"/>
            <w:tcBorders>
              <w:top w:val="nil"/>
              <w:left w:val="nil"/>
              <w:bottom w:val="single" w:sz="4" w:space="0" w:color="auto"/>
              <w:right w:val="nil"/>
            </w:tcBorders>
            <w:shd w:val="clear" w:color="auto" w:fill="auto"/>
            <w:vAlign w:val="center"/>
          </w:tcPr>
          <w:p w14:paraId="38549BC7"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10 (3.3)</w:t>
            </w:r>
          </w:p>
        </w:tc>
        <w:tc>
          <w:tcPr>
            <w:tcW w:w="1477" w:type="dxa"/>
            <w:tcBorders>
              <w:top w:val="nil"/>
              <w:left w:val="nil"/>
              <w:bottom w:val="single" w:sz="4" w:space="0" w:color="auto"/>
              <w:right w:val="nil"/>
            </w:tcBorders>
            <w:shd w:val="clear" w:color="auto" w:fill="auto"/>
            <w:vAlign w:val="center"/>
          </w:tcPr>
          <w:p w14:paraId="20E8F211" w14:textId="77777777" w:rsidR="0044223C" w:rsidRPr="00B54968" w:rsidRDefault="0044223C" w:rsidP="003E200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25 (4.2)</w:t>
            </w:r>
          </w:p>
        </w:tc>
      </w:tr>
      <w:tr w:rsidR="0044223C" w:rsidRPr="00B54968" w14:paraId="3ECE37CF" w14:textId="77777777" w:rsidTr="00C3775E">
        <w:tc>
          <w:tcPr>
            <w:tcW w:w="9219" w:type="dxa"/>
            <w:gridSpan w:val="4"/>
            <w:tcBorders>
              <w:top w:val="single" w:sz="4" w:space="0" w:color="auto"/>
              <w:left w:val="nil"/>
              <w:bottom w:val="nil"/>
              <w:right w:val="nil"/>
            </w:tcBorders>
            <w:shd w:val="clear" w:color="auto" w:fill="auto"/>
          </w:tcPr>
          <w:p w14:paraId="04E0CABC" w14:textId="0DA13766" w:rsidR="0044223C" w:rsidRPr="00B54968" w:rsidRDefault="0044223C" w:rsidP="003E2009">
            <w:pPr>
              <w:keepLines/>
              <w:spacing w:before="40" w:after="0" w:line="240" w:lineRule="auto"/>
              <w:ind w:left="707" w:hangingChars="393" w:hanging="707"/>
              <w:rPr>
                <w:rFonts w:ascii="Times New Roman" w:hAnsi="Times New Roman" w:cs="Times New Roman"/>
                <w:kern w:val="20"/>
                <w:sz w:val="18"/>
                <w:szCs w:val="18"/>
                <w:lang w:eastAsia="ko-KR"/>
              </w:rPr>
            </w:pPr>
            <w:r w:rsidRPr="00B54968">
              <w:rPr>
                <w:rFonts w:ascii="Times New Roman" w:eastAsia="SimSun" w:hAnsi="Times New Roman" w:cs="Times New Roman"/>
                <w:kern w:val="20"/>
                <w:sz w:val="18"/>
                <w:szCs w:val="18"/>
                <w:lang w:eastAsia="en-US"/>
              </w:rPr>
              <w:t>Note:</w:t>
            </w:r>
            <w:r w:rsidRPr="00B54968">
              <w:rPr>
                <w:rFonts w:ascii="Times New Roman" w:eastAsia="SimSun" w:hAnsi="Times New Roman" w:cs="Times New Roman"/>
                <w:kern w:val="20"/>
                <w:sz w:val="18"/>
                <w:szCs w:val="18"/>
                <w:lang w:eastAsia="en-US"/>
              </w:rPr>
              <w:tab/>
              <w:t xml:space="preserve">The total number of treatment-emergent adverse events count included all patient events. At each level of summarization, a patient was counted once if he or she reported 1 or more events. Only the most severe event was counted. </w:t>
            </w:r>
            <w:r w:rsidRPr="00B54968">
              <w:rPr>
                <w:rFonts w:ascii="Times New Roman" w:eastAsia="SimSun" w:hAnsi="Times New Roman" w:cs="Times New Roman"/>
                <w:kern w:val="20"/>
                <w:sz w:val="18"/>
                <w:szCs w:val="18"/>
                <w:lang w:eastAsia="en-US"/>
              </w:rPr>
              <w:br/>
              <w:t>Medical Dictionary for Regulatory Activities Version 13.1 was used.</w:t>
            </w:r>
          </w:p>
        </w:tc>
      </w:tr>
    </w:tbl>
    <w:p w14:paraId="2AB0AFF2" w14:textId="77777777" w:rsidR="00F35599" w:rsidRDefault="00F35599" w:rsidP="003E2009">
      <w:pPr>
        <w:rPr>
          <w:rFonts w:ascii="Times New Roman" w:eastAsia="Batang" w:hAnsi="Times New Roman" w:cs="Times New Roman"/>
          <w:b/>
          <w:bCs/>
          <w:kern w:val="24"/>
          <w:szCs w:val="24"/>
          <w:lang w:eastAsia="en-US"/>
        </w:rPr>
      </w:pPr>
      <w:r>
        <w:rPr>
          <w:rFonts w:eastAsia="Batang"/>
          <w:b/>
          <w:bCs/>
        </w:rPr>
        <w:br w:type="page"/>
      </w:r>
    </w:p>
    <w:p w14:paraId="7910DA7F" w14:textId="0630CB88" w:rsidR="00B54968" w:rsidRPr="00B54968" w:rsidRDefault="00B54968" w:rsidP="003E2009">
      <w:pPr>
        <w:pStyle w:val="NoSpacing"/>
        <w:spacing w:after="240"/>
        <w:ind w:left="1440" w:hanging="1440"/>
        <w:rPr>
          <w:rFonts w:eastAsiaTheme="minorEastAsia"/>
          <w:sz w:val="21"/>
          <w:szCs w:val="22"/>
          <w:highlight w:val="yellow"/>
          <w:lang w:eastAsia="ko-KR"/>
        </w:rPr>
      </w:pPr>
      <w:r w:rsidRPr="00B54968">
        <w:rPr>
          <w:rFonts w:eastAsia="Batang"/>
          <w:b/>
          <w:bCs/>
          <w:sz w:val="22"/>
        </w:rPr>
        <w:lastRenderedPageBreak/>
        <w:t>Table 14</w:t>
      </w:r>
      <w:r w:rsidRPr="00B54968">
        <w:rPr>
          <w:rFonts w:eastAsia="Batang"/>
          <w:b/>
          <w:bCs/>
          <w:sz w:val="22"/>
          <w:lang w:eastAsia="ko-KR"/>
        </w:rPr>
        <w:t>:</w:t>
      </w:r>
      <w:r w:rsidRPr="00B54968">
        <w:rPr>
          <w:rFonts w:eastAsia="Batang" w:hint="eastAsia"/>
          <w:b/>
          <w:bCs/>
          <w:sz w:val="22"/>
          <w:lang w:eastAsia="ko-KR"/>
        </w:rPr>
        <w:tab/>
      </w:r>
      <w:r w:rsidRPr="00B54968">
        <w:rPr>
          <w:rFonts w:eastAsia="Batang"/>
          <w:b/>
          <w:bCs/>
          <w:sz w:val="22"/>
          <w:lang w:eastAsia="ko-KR"/>
        </w:rPr>
        <w:t>Study PLANET AS Treatment-Emergent Adverse Events Reported for at Least 1% of Ankylosing Spondylitis Patients in Either Treatment Group by System Organ Class and Preferred Term: Safety Population</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4737"/>
        <w:gridCol w:w="1464"/>
        <w:gridCol w:w="1464"/>
        <w:gridCol w:w="1464"/>
      </w:tblGrid>
      <w:tr w:rsidR="00B54968" w:rsidRPr="00B54968" w14:paraId="1138168E" w14:textId="77777777" w:rsidTr="00336B3E">
        <w:trPr>
          <w:tblHeader/>
        </w:trPr>
        <w:tc>
          <w:tcPr>
            <w:tcW w:w="4737" w:type="dxa"/>
            <w:vMerge w:val="restart"/>
            <w:tcBorders>
              <w:top w:val="single" w:sz="4" w:space="0" w:color="auto"/>
              <w:left w:val="nil"/>
              <w:right w:val="nil"/>
            </w:tcBorders>
            <w:shd w:val="clear" w:color="auto" w:fill="auto"/>
            <w:tcMar>
              <w:left w:w="85" w:type="dxa"/>
              <w:right w:w="85" w:type="dxa"/>
            </w:tcMar>
            <w:vAlign w:val="bottom"/>
          </w:tcPr>
          <w:p w14:paraId="169B25D0" w14:textId="77777777" w:rsidR="00B54968" w:rsidRPr="00B54968" w:rsidRDefault="00B54968" w:rsidP="003E2009">
            <w:pPr>
              <w:spacing w:after="0" w:line="240" w:lineRule="auto"/>
              <w:rPr>
                <w:rFonts w:ascii="Times New Roman" w:eastAsia="Times New Roman" w:hAnsi="Times New Roman" w:cs="Times New Roman"/>
                <w:b/>
                <w:sz w:val="20"/>
                <w:szCs w:val="18"/>
                <w:lang w:eastAsia="en-US"/>
              </w:rPr>
            </w:pPr>
            <w:r w:rsidRPr="00B54968">
              <w:rPr>
                <w:rFonts w:ascii="Times New Roman" w:eastAsia="Times New Roman" w:hAnsi="Times New Roman" w:cs="Times New Roman"/>
                <w:b/>
                <w:sz w:val="20"/>
                <w:szCs w:val="18"/>
                <w:lang w:eastAsia="en-US"/>
              </w:rPr>
              <w:t>System Organ Class</w:t>
            </w:r>
          </w:p>
          <w:p w14:paraId="590650C9" w14:textId="77777777" w:rsidR="00B54968" w:rsidRPr="00B54968" w:rsidRDefault="00B54968" w:rsidP="003E2009">
            <w:pPr>
              <w:spacing w:before="40" w:after="40" w:line="240" w:lineRule="auto"/>
              <w:ind w:left="240"/>
              <w:rPr>
                <w:rFonts w:ascii="Times New Roman" w:eastAsia="Malgun Gothic" w:hAnsi="Times New Roman" w:cs="Times New Roman"/>
                <w:b/>
                <w:kern w:val="20"/>
                <w:sz w:val="20"/>
                <w:szCs w:val="18"/>
                <w:lang w:eastAsia="ko-KR"/>
              </w:rPr>
            </w:pPr>
            <w:r w:rsidRPr="00B54968">
              <w:rPr>
                <w:rFonts w:ascii="Times New Roman" w:eastAsia="Times New Roman" w:hAnsi="Times New Roman" w:cs="Times New Roman"/>
                <w:b/>
                <w:kern w:val="20"/>
                <w:sz w:val="20"/>
                <w:szCs w:val="18"/>
                <w:lang w:eastAsia="en-US"/>
              </w:rPr>
              <w:t>Preferred Term</w:t>
            </w:r>
          </w:p>
        </w:tc>
        <w:tc>
          <w:tcPr>
            <w:tcW w:w="1464" w:type="dxa"/>
            <w:tcBorders>
              <w:top w:val="single" w:sz="4" w:space="0" w:color="auto"/>
              <w:left w:val="nil"/>
              <w:bottom w:val="single" w:sz="4" w:space="0" w:color="auto"/>
              <w:right w:val="nil"/>
            </w:tcBorders>
            <w:shd w:val="clear" w:color="auto" w:fill="auto"/>
            <w:tcMar>
              <w:left w:w="85" w:type="dxa"/>
              <w:right w:w="85" w:type="dxa"/>
            </w:tcMar>
            <w:vAlign w:val="bottom"/>
          </w:tcPr>
          <w:p w14:paraId="62562002" w14:textId="03CE4B70" w:rsidR="00B54968" w:rsidRPr="00364D52" w:rsidRDefault="00B54968" w:rsidP="003E2009">
            <w:pPr>
              <w:spacing w:before="40" w:after="40" w:line="240" w:lineRule="auto"/>
              <w:ind w:left="-147" w:right="-89"/>
              <w:rPr>
                <w:rFonts w:ascii="Times New Roman" w:eastAsia="Times New Roman" w:hAnsi="Times New Roman" w:cs="Times New Roman"/>
                <w:b/>
                <w:kern w:val="20"/>
                <w:sz w:val="20"/>
                <w:szCs w:val="18"/>
                <w:lang w:val="de-DE" w:eastAsia="en-US"/>
              </w:rPr>
            </w:pPr>
            <w:r w:rsidRPr="00B54968">
              <w:rPr>
                <w:rFonts w:ascii="Times New Roman" w:eastAsia="Times New Roman" w:hAnsi="Times New Roman" w:cs="Times New Roman"/>
                <w:b/>
                <w:kern w:val="20"/>
                <w:sz w:val="20"/>
                <w:szCs w:val="18"/>
                <w:lang w:eastAsia="ko-KR"/>
              </w:rPr>
              <w:t xml:space="preserve"> </w:t>
            </w:r>
            <w:r w:rsidR="00281C64">
              <w:rPr>
                <w:rFonts w:ascii="Times New Roman" w:eastAsia="Times New Roman" w:hAnsi="Times New Roman" w:cs="Times New Roman"/>
                <w:b/>
                <w:kern w:val="20"/>
                <w:sz w:val="20"/>
                <w:szCs w:val="18"/>
                <w:lang w:val="de-DE" w:eastAsia="ko-KR"/>
              </w:rPr>
              <w:t>INFLECTRA</w:t>
            </w:r>
            <w:r w:rsidRPr="00364D52">
              <w:rPr>
                <w:rFonts w:ascii="Times New Roman" w:eastAsia="Times New Roman" w:hAnsi="Times New Roman" w:cs="Times New Roman"/>
                <w:b/>
                <w:kern w:val="20"/>
                <w:sz w:val="20"/>
                <w:szCs w:val="18"/>
                <w:vertAlign w:val="superscript"/>
                <w:lang w:val="de-DE" w:eastAsia="ko-KR"/>
              </w:rPr>
              <w:t>®</w:t>
            </w:r>
            <w:r w:rsidRPr="00364D52">
              <w:rPr>
                <w:rFonts w:ascii="Times New Roman" w:eastAsia="Times New Roman" w:hAnsi="Times New Roman" w:cs="Times New Roman"/>
                <w:b/>
                <w:kern w:val="20"/>
                <w:sz w:val="20"/>
                <w:szCs w:val="18"/>
                <w:lang w:val="de-DE" w:eastAsia="ko-KR"/>
              </w:rPr>
              <w:t xml:space="preserve"> </w:t>
            </w:r>
            <w:r w:rsidRPr="00364D52">
              <w:rPr>
                <w:rFonts w:ascii="Times New Roman" w:eastAsia="Times New Roman" w:hAnsi="Times New Roman" w:cs="Times New Roman"/>
                <w:b/>
                <w:kern w:val="20"/>
                <w:sz w:val="20"/>
                <w:szCs w:val="18"/>
                <w:lang w:val="de-DE" w:eastAsia="en-US"/>
              </w:rPr>
              <w:br/>
              <w:t>5 mg/kg</w:t>
            </w:r>
            <w:r w:rsidRPr="00364D52">
              <w:rPr>
                <w:rFonts w:ascii="Times New Roman" w:eastAsia="Times New Roman" w:hAnsi="Times New Roman" w:cs="Times New Roman"/>
                <w:b/>
                <w:kern w:val="20"/>
                <w:sz w:val="20"/>
                <w:szCs w:val="18"/>
                <w:lang w:val="de-DE" w:eastAsia="en-US"/>
              </w:rPr>
              <w:br/>
              <w:t>(N = 128)</w:t>
            </w:r>
          </w:p>
        </w:tc>
        <w:tc>
          <w:tcPr>
            <w:tcW w:w="1464" w:type="dxa"/>
            <w:tcBorders>
              <w:top w:val="single" w:sz="4" w:space="0" w:color="auto"/>
              <w:left w:val="nil"/>
              <w:bottom w:val="single" w:sz="4" w:space="0" w:color="auto"/>
              <w:right w:val="nil"/>
            </w:tcBorders>
            <w:shd w:val="clear" w:color="auto" w:fill="auto"/>
            <w:tcMar>
              <w:left w:w="85" w:type="dxa"/>
              <w:right w:w="85" w:type="dxa"/>
            </w:tcMar>
            <w:vAlign w:val="bottom"/>
          </w:tcPr>
          <w:p w14:paraId="1D16E9A2" w14:textId="77777777" w:rsidR="00B54968" w:rsidRPr="00B54968" w:rsidRDefault="00B54968" w:rsidP="003E2009">
            <w:pPr>
              <w:spacing w:before="40" w:after="40" w:line="240" w:lineRule="auto"/>
              <w:rPr>
                <w:rFonts w:ascii="Times New Roman" w:eastAsia="Times New Roman" w:hAnsi="Times New Roman" w:cs="Times New Roman"/>
                <w:b/>
                <w:kern w:val="20"/>
                <w:sz w:val="20"/>
                <w:szCs w:val="18"/>
                <w:lang w:eastAsia="en-US"/>
              </w:rPr>
            </w:pPr>
            <w:r w:rsidRPr="00B54968">
              <w:rPr>
                <w:rFonts w:ascii="Times New Roman" w:eastAsia="Times New Roman" w:hAnsi="Times New Roman" w:cs="Times New Roman"/>
                <w:b/>
                <w:kern w:val="20"/>
                <w:sz w:val="20"/>
                <w:szCs w:val="18"/>
                <w:lang w:eastAsia="en-US"/>
              </w:rPr>
              <w:t>REMICADE</w:t>
            </w:r>
            <w:r w:rsidRPr="00B54968">
              <w:rPr>
                <w:rFonts w:ascii="Times New Roman" w:eastAsia="Times New Roman" w:hAnsi="Times New Roman" w:cs="Times New Roman"/>
                <w:b/>
                <w:kern w:val="20"/>
                <w:sz w:val="20"/>
                <w:szCs w:val="18"/>
                <w:vertAlign w:val="superscript"/>
                <w:lang w:eastAsia="ko-KR"/>
              </w:rPr>
              <w:t>®</w:t>
            </w:r>
            <w:r w:rsidRPr="00B54968">
              <w:rPr>
                <w:rFonts w:ascii="Times New Roman" w:eastAsia="Times New Roman" w:hAnsi="Times New Roman" w:cs="Times New Roman"/>
                <w:b/>
                <w:kern w:val="20"/>
                <w:sz w:val="20"/>
                <w:szCs w:val="18"/>
                <w:lang w:eastAsia="en-US"/>
              </w:rPr>
              <w:br/>
              <w:t xml:space="preserve">5 mg/kg </w:t>
            </w:r>
            <w:r w:rsidRPr="00B54968">
              <w:rPr>
                <w:rFonts w:ascii="Times New Roman" w:eastAsia="Times New Roman" w:hAnsi="Times New Roman" w:cs="Times New Roman"/>
                <w:b/>
                <w:kern w:val="20"/>
                <w:sz w:val="20"/>
                <w:szCs w:val="18"/>
                <w:lang w:eastAsia="en-US"/>
              </w:rPr>
              <w:br/>
              <w:t>(N = 122)</w:t>
            </w:r>
          </w:p>
        </w:tc>
        <w:tc>
          <w:tcPr>
            <w:tcW w:w="1464" w:type="dxa"/>
            <w:tcBorders>
              <w:top w:val="single" w:sz="4" w:space="0" w:color="auto"/>
              <w:left w:val="nil"/>
              <w:bottom w:val="single" w:sz="4" w:space="0" w:color="auto"/>
              <w:right w:val="nil"/>
            </w:tcBorders>
            <w:shd w:val="clear" w:color="auto" w:fill="auto"/>
            <w:tcMar>
              <w:left w:w="85" w:type="dxa"/>
              <w:right w:w="85" w:type="dxa"/>
            </w:tcMar>
            <w:vAlign w:val="bottom"/>
          </w:tcPr>
          <w:p w14:paraId="130DBDD4" w14:textId="77777777" w:rsidR="00B54968" w:rsidRPr="00B54968" w:rsidRDefault="00B54968" w:rsidP="003E2009">
            <w:pPr>
              <w:spacing w:before="40" w:after="40" w:line="240" w:lineRule="auto"/>
              <w:rPr>
                <w:rFonts w:ascii="Times New Roman" w:eastAsia="Times New Roman" w:hAnsi="Times New Roman" w:cs="Times New Roman"/>
                <w:b/>
                <w:kern w:val="20"/>
                <w:sz w:val="20"/>
                <w:szCs w:val="18"/>
                <w:lang w:eastAsia="en-US"/>
              </w:rPr>
            </w:pPr>
            <w:r w:rsidRPr="00B54968">
              <w:rPr>
                <w:rFonts w:ascii="Times New Roman" w:eastAsia="Times New Roman" w:hAnsi="Times New Roman" w:cs="Times New Roman"/>
                <w:b/>
                <w:kern w:val="20"/>
                <w:sz w:val="20"/>
                <w:szCs w:val="18"/>
                <w:lang w:eastAsia="en-US"/>
              </w:rPr>
              <w:t>Total</w:t>
            </w:r>
            <w:r w:rsidRPr="00B54968">
              <w:rPr>
                <w:rFonts w:ascii="Times New Roman" w:eastAsia="Times New Roman" w:hAnsi="Times New Roman" w:cs="Times New Roman"/>
                <w:b/>
                <w:kern w:val="20"/>
                <w:sz w:val="20"/>
                <w:szCs w:val="18"/>
                <w:lang w:eastAsia="en-US"/>
              </w:rPr>
              <w:br/>
              <w:t>(N = 250)</w:t>
            </w:r>
          </w:p>
        </w:tc>
      </w:tr>
      <w:tr w:rsidR="00B54968" w:rsidRPr="00B54968" w14:paraId="27C49575" w14:textId="77777777" w:rsidTr="00336B3E">
        <w:trPr>
          <w:tblHeader/>
        </w:trPr>
        <w:tc>
          <w:tcPr>
            <w:tcW w:w="4737" w:type="dxa"/>
            <w:vMerge/>
            <w:tcBorders>
              <w:left w:val="nil"/>
              <w:bottom w:val="single" w:sz="4" w:space="0" w:color="auto"/>
              <w:right w:val="nil"/>
            </w:tcBorders>
            <w:shd w:val="clear" w:color="auto" w:fill="auto"/>
            <w:tcMar>
              <w:left w:w="85" w:type="dxa"/>
              <w:right w:w="85" w:type="dxa"/>
            </w:tcMar>
            <w:vAlign w:val="bottom"/>
          </w:tcPr>
          <w:p w14:paraId="2FC60354" w14:textId="77777777" w:rsidR="00B54968" w:rsidRPr="00B54968" w:rsidRDefault="00B54968" w:rsidP="003E2009">
            <w:pPr>
              <w:spacing w:before="40" w:after="40" w:line="240" w:lineRule="auto"/>
              <w:rPr>
                <w:rFonts w:ascii="Times New Roman" w:eastAsia="Times New Roman" w:hAnsi="Times New Roman" w:cs="Times New Roman"/>
                <w:b/>
                <w:kern w:val="20"/>
                <w:sz w:val="20"/>
                <w:szCs w:val="18"/>
                <w:lang w:eastAsia="en-US"/>
              </w:rPr>
            </w:pPr>
          </w:p>
        </w:tc>
        <w:tc>
          <w:tcPr>
            <w:tcW w:w="4392" w:type="dxa"/>
            <w:gridSpan w:val="3"/>
            <w:tcBorders>
              <w:left w:val="nil"/>
              <w:bottom w:val="single" w:sz="4" w:space="0" w:color="auto"/>
              <w:right w:val="nil"/>
            </w:tcBorders>
            <w:shd w:val="clear" w:color="auto" w:fill="auto"/>
            <w:tcMar>
              <w:left w:w="85" w:type="dxa"/>
              <w:right w:w="85" w:type="dxa"/>
            </w:tcMar>
            <w:vAlign w:val="bottom"/>
          </w:tcPr>
          <w:p w14:paraId="5A7A7AC4" w14:textId="77777777" w:rsidR="00B54968" w:rsidRPr="00B54968" w:rsidRDefault="00B54968" w:rsidP="003E2009">
            <w:pPr>
              <w:spacing w:before="40" w:after="40" w:line="240" w:lineRule="auto"/>
              <w:rPr>
                <w:rFonts w:ascii="Times New Roman" w:eastAsia="Times New Roman" w:hAnsi="Times New Roman" w:cs="Times New Roman"/>
                <w:b/>
                <w:kern w:val="20"/>
                <w:sz w:val="20"/>
                <w:szCs w:val="18"/>
                <w:lang w:eastAsia="en-US"/>
              </w:rPr>
            </w:pPr>
            <w:r w:rsidRPr="00B54968">
              <w:rPr>
                <w:rFonts w:ascii="Times New Roman" w:eastAsia="Times New Roman" w:hAnsi="Times New Roman" w:cs="Times New Roman"/>
                <w:b/>
                <w:kern w:val="20"/>
                <w:sz w:val="20"/>
                <w:szCs w:val="18"/>
                <w:lang w:eastAsia="en-US"/>
              </w:rPr>
              <w:t>Number (%) of patients</w:t>
            </w:r>
          </w:p>
        </w:tc>
      </w:tr>
      <w:tr w:rsidR="00B54968" w:rsidRPr="00B54968" w14:paraId="206FF60E" w14:textId="77777777" w:rsidTr="00336B3E">
        <w:tc>
          <w:tcPr>
            <w:tcW w:w="4737" w:type="dxa"/>
            <w:tcBorders>
              <w:top w:val="nil"/>
              <w:left w:val="nil"/>
              <w:bottom w:val="nil"/>
              <w:right w:val="nil"/>
            </w:tcBorders>
            <w:shd w:val="clear" w:color="auto" w:fill="auto"/>
            <w:tcMar>
              <w:left w:w="85" w:type="dxa"/>
              <w:right w:w="85" w:type="dxa"/>
            </w:tcMar>
          </w:tcPr>
          <w:p w14:paraId="3BA684B1" w14:textId="77777777" w:rsidR="00B54968" w:rsidRPr="00B54968" w:rsidRDefault="00B54968" w:rsidP="003E2009">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Total number of TEAEs</w:t>
            </w:r>
          </w:p>
        </w:tc>
        <w:tc>
          <w:tcPr>
            <w:tcW w:w="1464" w:type="dxa"/>
            <w:tcBorders>
              <w:top w:val="nil"/>
              <w:left w:val="nil"/>
              <w:bottom w:val="nil"/>
              <w:right w:val="nil"/>
            </w:tcBorders>
            <w:shd w:val="clear" w:color="auto" w:fill="auto"/>
            <w:tcMar>
              <w:left w:w="85" w:type="dxa"/>
              <w:right w:w="85" w:type="dxa"/>
            </w:tcMar>
          </w:tcPr>
          <w:p w14:paraId="7E3D564F" w14:textId="77777777" w:rsidR="00B54968" w:rsidRPr="00B54968" w:rsidRDefault="00B54968" w:rsidP="003E2009">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350</w:t>
            </w:r>
          </w:p>
        </w:tc>
        <w:tc>
          <w:tcPr>
            <w:tcW w:w="1464" w:type="dxa"/>
            <w:tcBorders>
              <w:top w:val="nil"/>
              <w:left w:val="nil"/>
              <w:bottom w:val="nil"/>
              <w:right w:val="nil"/>
            </w:tcBorders>
            <w:shd w:val="clear" w:color="auto" w:fill="auto"/>
            <w:tcMar>
              <w:left w:w="85" w:type="dxa"/>
              <w:right w:w="85" w:type="dxa"/>
            </w:tcMar>
          </w:tcPr>
          <w:p w14:paraId="12251701" w14:textId="77777777" w:rsidR="00B54968" w:rsidRPr="00364D52" w:rsidRDefault="00B54968" w:rsidP="003E2009">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365</w:t>
            </w:r>
          </w:p>
        </w:tc>
        <w:tc>
          <w:tcPr>
            <w:tcW w:w="1464" w:type="dxa"/>
            <w:tcBorders>
              <w:top w:val="nil"/>
              <w:left w:val="nil"/>
              <w:bottom w:val="nil"/>
              <w:right w:val="nil"/>
            </w:tcBorders>
            <w:shd w:val="clear" w:color="auto" w:fill="auto"/>
            <w:tcMar>
              <w:left w:w="85" w:type="dxa"/>
              <w:right w:w="85" w:type="dxa"/>
            </w:tcMar>
          </w:tcPr>
          <w:p w14:paraId="33F0300B" w14:textId="77777777" w:rsidR="00B54968" w:rsidRPr="00364D52" w:rsidRDefault="00B54968" w:rsidP="003E2009">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715</w:t>
            </w:r>
          </w:p>
        </w:tc>
      </w:tr>
      <w:tr w:rsidR="00B54968" w:rsidRPr="00B54968" w14:paraId="6F2C4FA7"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023F4BAF" w14:textId="77777777" w:rsidR="00B54968" w:rsidRPr="00B54968" w:rsidRDefault="00B54968" w:rsidP="003E2009">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Number (%) of patients with at least 1 TEAE</w:t>
            </w:r>
          </w:p>
        </w:tc>
        <w:tc>
          <w:tcPr>
            <w:tcW w:w="1464" w:type="dxa"/>
            <w:tcBorders>
              <w:top w:val="nil"/>
              <w:left w:val="nil"/>
              <w:bottom w:val="single" w:sz="4" w:space="0" w:color="auto"/>
              <w:right w:val="nil"/>
            </w:tcBorders>
            <w:shd w:val="clear" w:color="auto" w:fill="auto"/>
            <w:tcMar>
              <w:left w:w="85" w:type="dxa"/>
              <w:right w:w="85" w:type="dxa"/>
            </w:tcMar>
          </w:tcPr>
          <w:p w14:paraId="51472ED2" w14:textId="77777777" w:rsidR="00B54968" w:rsidRPr="00B54968" w:rsidRDefault="00B54968" w:rsidP="003E2009">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93 (72.7)</w:t>
            </w:r>
          </w:p>
        </w:tc>
        <w:tc>
          <w:tcPr>
            <w:tcW w:w="1464" w:type="dxa"/>
            <w:tcBorders>
              <w:top w:val="nil"/>
              <w:left w:val="nil"/>
              <w:bottom w:val="single" w:sz="4" w:space="0" w:color="auto"/>
              <w:right w:val="nil"/>
            </w:tcBorders>
            <w:shd w:val="clear" w:color="auto" w:fill="auto"/>
            <w:tcMar>
              <w:left w:w="85" w:type="dxa"/>
              <w:right w:w="85" w:type="dxa"/>
            </w:tcMar>
          </w:tcPr>
          <w:p w14:paraId="32DC1B9D" w14:textId="77777777" w:rsidR="00B54968" w:rsidRPr="00364D52" w:rsidRDefault="00B54968" w:rsidP="003E2009">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82 (67.2)</w:t>
            </w:r>
          </w:p>
        </w:tc>
        <w:tc>
          <w:tcPr>
            <w:tcW w:w="1464" w:type="dxa"/>
            <w:tcBorders>
              <w:top w:val="nil"/>
              <w:left w:val="nil"/>
              <w:bottom w:val="single" w:sz="4" w:space="0" w:color="auto"/>
              <w:right w:val="nil"/>
            </w:tcBorders>
            <w:shd w:val="clear" w:color="auto" w:fill="auto"/>
            <w:tcMar>
              <w:left w:w="85" w:type="dxa"/>
              <w:right w:w="85" w:type="dxa"/>
            </w:tcMar>
          </w:tcPr>
          <w:p w14:paraId="411C210A" w14:textId="77777777" w:rsidR="00B54968" w:rsidRPr="00364D52" w:rsidRDefault="00B54968" w:rsidP="003E2009">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175 (70.0)</w:t>
            </w:r>
          </w:p>
        </w:tc>
      </w:tr>
      <w:tr w:rsidR="00B54968" w:rsidRPr="00B54968" w14:paraId="1F1966D1"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11F89D67" w14:textId="77777777" w:rsidR="00B54968" w:rsidRPr="00B54968" w:rsidRDefault="00B54968" w:rsidP="003E2009">
            <w:pPr>
              <w:spacing w:before="40" w:after="40" w:line="240" w:lineRule="auto"/>
              <w:rPr>
                <w:rFonts w:ascii="Times New Roman" w:eastAsia="Times New Roman" w:hAnsi="Times New Roman" w:cs="Times New Roman"/>
                <w:b/>
                <w:kern w:val="24"/>
                <w:sz w:val="18"/>
                <w:szCs w:val="18"/>
                <w:lang w:eastAsia="en-US"/>
              </w:rPr>
            </w:pPr>
            <w:r w:rsidRPr="00B54968">
              <w:rPr>
                <w:rFonts w:ascii="Times New Roman" w:eastAsia="Times New Roman" w:hAnsi="Times New Roman" w:cs="Times New Roman"/>
                <w:b/>
                <w:kern w:val="24"/>
                <w:sz w:val="18"/>
                <w:szCs w:val="18"/>
                <w:lang w:eastAsia="en-US"/>
              </w:rPr>
              <w:t>Blood and lymphatic system disorders</w:t>
            </w:r>
          </w:p>
        </w:tc>
        <w:tc>
          <w:tcPr>
            <w:tcW w:w="1464" w:type="dxa"/>
            <w:tcBorders>
              <w:top w:val="single" w:sz="4" w:space="0" w:color="auto"/>
              <w:left w:val="nil"/>
              <w:bottom w:val="nil"/>
              <w:right w:val="nil"/>
            </w:tcBorders>
            <w:shd w:val="clear" w:color="auto" w:fill="auto"/>
            <w:tcMar>
              <w:left w:w="85" w:type="dxa"/>
              <w:right w:w="85" w:type="dxa"/>
            </w:tcMar>
          </w:tcPr>
          <w:p w14:paraId="09BB22E8"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6B36D161"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310B71CC"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5442229C" w14:textId="77777777" w:rsidTr="00336B3E">
        <w:tc>
          <w:tcPr>
            <w:tcW w:w="4737" w:type="dxa"/>
            <w:tcBorders>
              <w:top w:val="nil"/>
              <w:left w:val="nil"/>
              <w:bottom w:val="nil"/>
              <w:right w:val="nil"/>
            </w:tcBorders>
            <w:shd w:val="clear" w:color="auto" w:fill="auto"/>
            <w:tcMar>
              <w:left w:w="85" w:type="dxa"/>
              <w:right w:w="85" w:type="dxa"/>
            </w:tcMar>
          </w:tcPr>
          <w:p w14:paraId="2C8A333F" w14:textId="77777777" w:rsidR="00B54968" w:rsidRPr="00B54968" w:rsidRDefault="00B54968" w:rsidP="003E2009">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Anemia</w:t>
            </w:r>
          </w:p>
        </w:tc>
        <w:tc>
          <w:tcPr>
            <w:tcW w:w="1464" w:type="dxa"/>
            <w:tcBorders>
              <w:top w:val="nil"/>
              <w:left w:val="nil"/>
              <w:bottom w:val="nil"/>
              <w:right w:val="nil"/>
            </w:tcBorders>
            <w:shd w:val="clear" w:color="auto" w:fill="auto"/>
            <w:tcMar>
              <w:left w:w="85" w:type="dxa"/>
              <w:right w:w="85" w:type="dxa"/>
            </w:tcMar>
          </w:tcPr>
          <w:p w14:paraId="4CDCD120"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4E4F9F47"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(3.3)</w:t>
            </w:r>
          </w:p>
        </w:tc>
        <w:tc>
          <w:tcPr>
            <w:tcW w:w="1464" w:type="dxa"/>
            <w:tcBorders>
              <w:top w:val="nil"/>
              <w:left w:val="nil"/>
              <w:bottom w:val="nil"/>
              <w:right w:val="nil"/>
            </w:tcBorders>
            <w:shd w:val="clear" w:color="auto" w:fill="auto"/>
            <w:tcMar>
              <w:left w:w="85" w:type="dxa"/>
              <w:right w:w="85" w:type="dxa"/>
            </w:tcMar>
          </w:tcPr>
          <w:p w14:paraId="5F9E3AC9"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(2.0)</w:t>
            </w:r>
          </w:p>
        </w:tc>
      </w:tr>
      <w:tr w:rsidR="00B54968" w:rsidRPr="00B54968" w14:paraId="42A26C05" w14:textId="77777777" w:rsidTr="00336B3E">
        <w:tc>
          <w:tcPr>
            <w:tcW w:w="4737" w:type="dxa"/>
            <w:tcBorders>
              <w:top w:val="nil"/>
              <w:left w:val="nil"/>
              <w:bottom w:val="nil"/>
              <w:right w:val="nil"/>
            </w:tcBorders>
            <w:shd w:val="clear" w:color="auto" w:fill="auto"/>
            <w:tcMar>
              <w:left w:w="85" w:type="dxa"/>
              <w:right w:w="85" w:type="dxa"/>
            </w:tcMar>
          </w:tcPr>
          <w:p w14:paraId="0836A29A" w14:textId="77777777" w:rsidR="00B54968" w:rsidRPr="00B54968" w:rsidRDefault="00B54968" w:rsidP="003E200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Leukopenia</w:t>
            </w:r>
          </w:p>
        </w:tc>
        <w:tc>
          <w:tcPr>
            <w:tcW w:w="1464" w:type="dxa"/>
            <w:tcBorders>
              <w:top w:val="nil"/>
              <w:left w:val="nil"/>
              <w:bottom w:val="nil"/>
              <w:right w:val="nil"/>
            </w:tcBorders>
            <w:shd w:val="clear" w:color="auto" w:fill="auto"/>
            <w:tcMar>
              <w:left w:w="85" w:type="dxa"/>
              <w:right w:w="85" w:type="dxa"/>
            </w:tcMar>
          </w:tcPr>
          <w:p w14:paraId="33089EF3"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nil"/>
              <w:right w:val="nil"/>
            </w:tcBorders>
            <w:shd w:val="clear" w:color="auto" w:fill="auto"/>
            <w:tcMar>
              <w:left w:w="85" w:type="dxa"/>
              <w:right w:w="85" w:type="dxa"/>
            </w:tcMar>
          </w:tcPr>
          <w:p w14:paraId="6CC6A22C"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1B486048"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(0.8)</w:t>
            </w:r>
          </w:p>
        </w:tc>
      </w:tr>
      <w:tr w:rsidR="00B54968" w:rsidRPr="00B54968" w14:paraId="4B8433E8"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6C16C8B1" w14:textId="77777777" w:rsidR="00B54968" w:rsidRPr="00B54968" w:rsidRDefault="00B54968" w:rsidP="003E200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Neutropenia</w:t>
            </w:r>
          </w:p>
        </w:tc>
        <w:tc>
          <w:tcPr>
            <w:tcW w:w="1464" w:type="dxa"/>
            <w:tcBorders>
              <w:top w:val="nil"/>
              <w:left w:val="nil"/>
              <w:bottom w:val="single" w:sz="4" w:space="0" w:color="auto"/>
              <w:right w:val="nil"/>
            </w:tcBorders>
            <w:shd w:val="clear" w:color="auto" w:fill="auto"/>
            <w:tcMar>
              <w:left w:w="85" w:type="dxa"/>
              <w:right w:w="85" w:type="dxa"/>
            </w:tcMar>
          </w:tcPr>
          <w:p w14:paraId="411E1614"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4 (3.1)</w:t>
            </w:r>
          </w:p>
        </w:tc>
        <w:tc>
          <w:tcPr>
            <w:tcW w:w="1464" w:type="dxa"/>
            <w:tcBorders>
              <w:top w:val="nil"/>
              <w:left w:val="nil"/>
              <w:bottom w:val="single" w:sz="4" w:space="0" w:color="auto"/>
              <w:right w:val="nil"/>
            </w:tcBorders>
            <w:shd w:val="clear" w:color="auto" w:fill="auto"/>
            <w:tcMar>
              <w:left w:w="85" w:type="dxa"/>
              <w:right w:w="85" w:type="dxa"/>
            </w:tcMar>
          </w:tcPr>
          <w:p w14:paraId="3A41C6C5"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(4.1)</w:t>
            </w:r>
          </w:p>
        </w:tc>
        <w:tc>
          <w:tcPr>
            <w:tcW w:w="1464" w:type="dxa"/>
            <w:tcBorders>
              <w:top w:val="nil"/>
              <w:left w:val="nil"/>
              <w:bottom w:val="single" w:sz="4" w:space="0" w:color="auto"/>
              <w:right w:val="nil"/>
            </w:tcBorders>
            <w:shd w:val="clear" w:color="auto" w:fill="auto"/>
            <w:tcMar>
              <w:left w:w="85" w:type="dxa"/>
              <w:right w:w="85" w:type="dxa"/>
            </w:tcMar>
          </w:tcPr>
          <w:p w14:paraId="087354AD"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9 (3.6)</w:t>
            </w:r>
          </w:p>
        </w:tc>
      </w:tr>
      <w:tr w:rsidR="00B54968" w:rsidRPr="00B54968" w14:paraId="67DEF1E2"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29C83AED" w14:textId="77777777" w:rsidR="00B54968" w:rsidRPr="00B54968" w:rsidRDefault="00B54968" w:rsidP="003E2009">
            <w:pPr>
              <w:spacing w:before="40" w:after="40" w:line="240" w:lineRule="auto"/>
              <w:rPr>
                <w:rFonts w:ascii="Times New Roman" w:eastAsia="Times New Roman" w:hAnsi="Times New Roman" w:cs="Times New Roman"/>
                <w:b/>
                <w:kern w:val="24"/>
                <w:sz w:val="18"/>
                <w:szCs w:val="18"/>
                <w:lang w:eastAsia="en-US"/>
              </w:rPr>
            </w:pPr>
            <w:r w:rsidRPr="00B54968">
              <w:rPr>
                <w:rFonts w:ascii="Times New Roman" w:eastAsia="Times New Roman" w:hAnsi="Times New Roman" w:cs="Times New Roman"/>
                <w:b/>
                <w:kern w:val="24"/>
                <w:sz w:val="18"/>
                <w:szCs w:val="18"/>
                <w:lang w:eastAsia="en-US"/>
              </w:rPr>
              <w:t>Cardiac disorders</w:t>
            </w:r>
          </w:p>
        </w:tc>
        <w:tc>
          <w:tcPr>
            <w:tcW w:w="1464" w:type="dxa"/>
            <w:tcBorders>
              <w:top w:val="single" w:sz="4" w:space="0" w:color="auto"/>
              <w:left w:val="nil"/>
              <w:bottom w:val="nil"/>
              <w:right w:val="nil"/>
            </w:tcBorders>
            <w:shd w:val="clear" w:color="auto" w:fill="auto"/>
            <w:tcMar>
              <w:left w:w="85" w:type="dxa"/>
              <w:right w:w="85" w:type="dxa"/>
            </w:tcMar>
          </w:tcPr>
          <w:p w14:paraId="0189624E"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0E8CF366"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50625836"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70F2D4FA"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6EF260A9" w14:textId="77777777" w:rsidR="00B54968" w:rsidRPr="00B54968" w:rsidRDefault="00B54968" w:rsidP="003E2009">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Bradycardia</w:t>
            </w:r>
          </w:p>
        </w:tc>
        <w:tc>
          <w:tcPr>
            <w:tcW w:w="1464" w:type="dxa"/>
            <w:tcBorders>
              <w:top w:val="nil"/>
              <w:left w:val="nil"/>
              <w:bottom w:val="single" w:sz="4" w:space="0" w:color="auto"/>
              <w:right w:val="nil"/>
            </w:tcBorders>
            <w:shd w:val="clear" w:color="auto" w:fill="auto"/>
            <w:tcMar>
              <w:left w:w="85" w:type="dxa"/>
              <w:right w:w="85" w:type="dxa"/>
            </w:tcMar>
          </w:tcPr>
          <w:p w14:paraId="6373335F"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single" w:sz="4" w:space="0" w:color="auto"/>
              <w:right w:val="nil"/>
            </w:tcBorders>
            <w:shd w:val="clear" w:color="auto" w:fill="auto"/>
            <w:tcMar>
              <w:left w:w="85" w:type="dxa"/>
              <w:right w:w="85" w:type="dxa"/>
            </w:tcMar>
          </w:tcPr>
          <w:p w14:paraId="5586A6A4"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29B3C755"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5B219E41" w14:textId="77777777" w:rsidTr="00336B3E">
        <w:tc>
          <w:tcPr>
            <w:tcW w:w="4737" w:type="dxa"/>
            <w:tcBorders>
              <w:top w:val="nil"/>
              <w:left w:val="nil"/>
              <w:bottom w:val="nil"/>
              <w:right w:val="nil"/>
            </w:tcBorders>
            <w:shd w:val="clear" w:color="auto" w:fill="auto"/>
            <w:tcMar>
              <w:left w:w="85" w:type="dxa"/>
              <w:right w:w="85" w:type="dxa"/>
            </w:tcMar>
          </w:tcPr>
          <w:p w14:paraId="2EE17781" w14:textId="77777777" w:rsidR="00B54968" w:rsidRPr="00B54968" w:rsidRDefault="00B54968" w:rsidP="003E2009">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Eye disorders</w:t>
            </w:r>
          </w:p>
        </w:tc>
        <w:tc>
          <w:tcPr>
            <w:tcW w:w="1464" w:type="dxa"/>
            <w:tcBorders>
              <w:top w:val="nil"/>
              <w:left w:val="nil"/>
              <w:bottom w:val="nil"/>
              <w:right w:val="nil"/>
            </w:tcBorders>
            <w:shd w:val="clear" w:color="auto" w:fill="auto"/>
            <w:tcMar>
              <w:left w:w="85" w:type="dxa"/>
              <w:right w:w="85" w:type="dxa"/>
            </w:tcMar>
          </w:tcPr>
          <w:p w14:paraId="1AB24CEF"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453E21B9"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7BA0992F"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41AA6C43" w14:textId="77777777" w:rsidTr="00336B3E">
        <w:tc>
          <w:tcPr>
            <w:tcW w:w="4737" w:type="dxa"/>
            <w:tcBorders>
              <w:top w:val="nil"/>
              <w:left w:val="nil"/>
              <w:bottom w:val="nil"/>
              <w:right w:val="nil"/>
            </w:tcBorders>
            <w:shd w:val="clear" w:color="auto" w:fill="auto"/>
            <w:tcMar>
              <w:left w:w="85" w:type="dxa"/>
              <w:right w:w="85" w:type="dxa"/>
            </w:tcMar>
          </w:tcPr>
          <w:p w14:paraId="33C0F8F5" w14:textId="77777777" w:rsidR="00B54968" w:rsidRPr="00B54968" w:rsidRDefault="00B54968" w:rsidP="003E2009">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Conjunctivitis</w:t>
            </w:r>
          </w:p>
        </w:tc>
        <w:tc>
          <w:tcPr>
            <w:tcW w:w="1464" w:type="dxa"/>
            <w:tcBorders>
              <w:top w:val="nil"/>
              <w:left w:val="nil"/>
              <w:bottom w:val="nil"/>
              <w:right w:val="nil"/>
            </w:tcBorders>
            <w:shd w:val="clear" w:color="auto" w:fill="auto"/>
            <w:tcMar>
              <w:left w:w="85" w:type="dxa"/>
              <w:right w:w="85" w:type="dxa"/>
            </w:tcMar>
          </w:tcPr>
          <w:p w14:paraId="0D1BA493"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nil"/>
              <w:right w:val="nil"/>
            </w:tcBorders>
            <w:shd w:val="clear" w:color="auto" w:fill="auto"/>
            <w:tcMar>
              <w:left w:w="85" w:type="dxa"/>
              <w:right w:w="85" w:type="dxa"/>
            </w:tcMar>
          </w:tcPr>
          <w:p w14:paraId="78855F82"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(3.3)</w:t>
            </w:r>
          </w:p>
        </w:tc>
        <w:tc>
          <w:tcPr>
            <w:tcW w:w="1464" w:type="dxa"/>
            <w:tcBorders>
              <w:top w:val="nil"/>
              <w:left w:val="nil"/>
              <w:bottom w:val="nil"/>
              <w:right w:val="nil"/>
            </w:tcBorders>
            <w:shd w:val="clear" w:color="auto" w:fill="auto"/>
            <w:tcMar>
              <w:left w:w="85" w:type="dxa"/>
              <w:right w:w="85" w:type="dxa"/>
            </w:tcMar>
          </w:tcPr>
          <w:p w14:paraId="2FAE02B3"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7 (2.8)</w:t>
            </w:r>
          </w:p>
        </w:tc>
      </w:tr>
      <w:tr w:rsidR="00B54968" w:rsidRPr="00B54968" w14:paraId="714F09CA"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42081B02" w14:textId="77777777" w:rsidR="00B54968" w:rsidRPr="00B54968" w:rsidRDefault="00B54968" w:rsidP="003E200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Uveitis</w:t>
            </w:r>
          </w:p>
        </w:tc>
        <w:tc>
          <w:tcPr>
            <w:tcW w:w="1464" w:type="dxa"/>
            <w:tcBorders>
              <w:top w:val="nil"/>
              <w:left w:val="nil"/>
              <w:bottom w:val="single" w:sz="4" w:space="0" w:color="auto"/>
              <w:right w:val="nil"/>
            </w:tcBorders>
            <w:shd w:val="clear" w:color="auto" w:fill="auto"/>
            <w:tcMar>
              <w:left w:w="85" w:type="dxa"/>
              <w:right w:w="85" w:type="dxa"/>
            </w:tcMar>
          </w:tcPr>
          <w:p w14:paraId="4C00FF4E"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single" w:sz="4" w:space="0" w:color="auto"/>
              <w:right w:val="nil"/>
            </w:tcBorders>
            <w:shd w:val="clear" w:color="auto" w:fill="auto"/>
            <w:tcMar>
              <w:left w:w="85" w:type="dxa"/>
              <w:right w:w="85" w:type="dxa"/>
            </w:tcMar>
          </w:tcPr>
          <w:p w14:paraId="5D4F3C89"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single" w:sz="4" w:space="0" w:color="auto"/>
              <w:right w:val="nil"/>
            </w:tcBorders>
            <w:shd w:val="clear" w:color="auto" w:fill="auto"/>
            <w:tcMar>
              <w:left w:w="85" w:type="dxa"/>
              <w:right w:w="85" w:type="dxa"/>
            </w:tcMar>
          </w:tcPr>
          <w:p w14:paraId="43D22E82"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5CE175B5" w14:textId="77777777" w:rsidTr="00336B3E">
        <w:tc>
          <w:tcPr>
            <w:tcW w:w="4737" w:type="dxa"/>
            <w:tcBorders>
              <w:top w:val="nil"/>
              <w:left w:val="nil"/>
              <w:bottom w:val="nil"/>
              <w:right w:val="nil"/>
            </w:tcBorders>
            <w:shd w:val="clear" w:color="auto" w:fill="auto"/>
            <w:tcMar>
              <w:left w:w="85" w:type="dxa"/>
              <w:right w:w="85" w:type="dxa"/>
            </w:tcMar>
          </w:tcPr>
          <w:p w14:paraId="00377F0D" w14:textId="77777777" w:rsidR="00B54968" w:rsidRPr="00B54968" w:rsidRDefault="00B54968" w:rsidP="003E2009">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Gastrointestinal disorders</w:t>
            </w:r>
          </w:p>
        </w:tc>
        <w:tc>
          <w:tcPr>
            <w:tcW w:w="1464" w:type="dxa"/>
            <w:tcBorders>
              <w:top w:val="nil"/>
              <w:left w:val="nil"/>
              <w:bottom w:val="nil"/>
              <w:right w:val="nil"/>
            </w:tcBorders>
            <w:shd w:val="clear" w:color="auto" w:fill="auto"/>
            <w:tcMar>
              <w:left w:w="85" w:type="dxa"/>
              <w:right w:w="85" w:type="dxa"/>
            </w:tcMar>
          </w:tcPr>
          <w:p w14:paraId="6C11C227"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0052475D"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6F885994"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5CCD9901" w14:textId="77777777" w:rsidTr="00336B3E">
        <w:tc>
          <w:tcPr>
            <w:tcW w:w="4737" w:type="dxa"/>
            <w:tcBorders>
              <w:top w:val="nil"/>
              <w:left w:val="nil"/>
              <w:bottom w:val="nil"/>
              <w:right w:val="nil"/>
            </w:tcBorders>
            <w:shd w:val="clear" w:color="auto" w:fill="auto"/>
            <w:tcMar>
              <w:left w:w="85" w:type="dxa"/>
              <w:right w:w="85" w:type="dxa"/>
            </w:tcMar>
          </w:tcPr>
          <w:p w14:paraId="506D7B0B" w14:textId="77777777" w:rsidR="00B54968" w:rsidRPr="00B54968" w:rsidRDefault="00B54968" w:rsidP="003E200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Abdominal pain</w:t>
            </w:r>
          </w:p>
        </w:tc>
        <w:tc>
          <w:tcPr>
            <w:tcW w:w="1464" w:type="dxa"/>
            <w:tcBorders>
              <w:top w:val="nil"/>
              <w:left w:val="nil"/>
              <w:bottom w:val="nil"/>
              <w:right w:val="nil"/>
            </w:tcBorders>
            <w:shd w:val="clear" w:color="auto" w:fill="auto"/>
            <w:tcMar>
              <w:left w:w="85" w:type="dxa"/>
              <w:right w:w="85" w:type="dxa"/>
            </w:tcMar>
          </w:tcPr>
          <w:p w14:paraId="13162A1E"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545A8190"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nil"/>
              <w:right w:val="nil"/>
            </w:tcBorders>
            <w:shd w:val="clear" w:color="auto" w:fill="auto"/>
            <w:tcMar>
              <w:left w:w="85" w:type="dxa"/>
              <w:right w:w="85" w:type="dxa"/>
            </w:tcMar>
          </w:tcPr>
          <w:p w14:paraId="2F2941C9"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(1.6)</w:t>
            </w:r>
          </w:p>
        </w:tc>
      </w:tr>
      <w:tr w:rsidR="00B54968" w:rsidRPr="00B54968" w14:paraId="5A0C3BBF" w14:textId="77777777" w:rsidTr="00336B3E">
        <w:tc>
          <w:tcPr>
            <w:tcW w:w="4737" w:type="dxa"/>
            <w:tcBorders>
              <w:top w:val="nil"/>
              <w:left w:val="nil"/>
              <w:bottom w:val="nil"/>
              <w:right w:val="nil"/>
            </w:tcBorders>
            <w:shd w:val="clear" w:color="auto" w:fill="auto"/>
            <w:tcMar>
              <w:left w:w="85" w:type="dxa"/>
              <w:right w:w="85" w:type="dxa"/>
            </w:tcMar>
          </w:tcPr>
          <w:p w14:paraId="5673A529" w14:textId="77777777" w:rsidR="00B54968" w:rsidRPr="00B54968" w:rsidRDefault="00B54968" w:rsidP="003E200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Diarrhea</w:t>
            </w:r>
          </w:p>
        </w:tc>
        <w:tc>
          <w:tcPr>
            <w:tcW w:w="1464" w:type="dxa"/>
            <w:tcBorders>
              <w:top w:val="nil"/>
              <w:left w:val="nil"/>
              <w:bottom w:val="nil"/>
              <w:right w:val="nil"/>
            </w:tcBorders>
            <w:shd w:val="clear" w:color="auto" w:fill="auto"/>
            <w:tcMar>
              <w:left w:w="85" w:type="dxa"/>
              <w:right w:w="85" w:type="dxa"/>
            </w:tcMar>
          </w:tcPr>
          <w:p w14:paraId="2D940204"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6 (4.7)</w:t>
            </w:r>
          </w:p>
        </w:tc>
        <w:tc>
          <w:tcPr>
            <w:tcW w:w="1464" w:type="dxa"/>
            <w:tcBorders>
              <w:top w:val="nil"/>
              <w:left w:val="nil"/>
              <w:bottom w:val="nil"/>
              <w:right w:val="nil"/>
            </w:tcBorders>
            <w:shd w:val="clear" w:color="auto" w:fill="auto"/>
            <w:tcMar>
              <w:left w:w="85" w:type="dxa"/>
              <w:right w:w="85" w:type="dxa"/>
            </w:tcMar>
          </w:tcPr>
          <w:p w14:paraId="221E316A"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7B5A80CD"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7 (2.8)</w:t>
            </w:r>
          </w:p>
        </w:tc>
      </w:tr>
      <w:tr w:rsidR="00B54968" w:rsidRPr="00B54968" w14:paraId="3F423054" w14:textId="77777777" w:rsidTr="00336B3E">
        <w:tc>
          <w:tcPr>
            <w:tcW w:w="4737" w:type="dxa"/>
            <w:tcBorders>
              <w:top w:val="nil"/>
              <w:left w:val="nil"/>
              <w:bottom w:val="nil"/>
              <w:right w:val="nil"/>
            </w:tcBorders>
            <w:shd w:val="clear" w:color="auto" w:fill="auto"/>
            <w:tcMar>
              <w:left w:w="85" w:type="dxa"/>
              <w:right w:w="85" w:type="dxa"/>
            </w:tcMar>
          </w:tcPr>
          <w:p w14:paraId="225CF138" w14:textId="77777777" w:rsidR="00B54968" w:rsidRPr="00B54968" w:rsidRDefault="00B54968" w:rsidP="003E200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Dyspepsia</w:t>
            </w:r>
          </w:p>
        </w:tc>
        <w:tc>
          <w:tcPr>
            <w:tcW w:w="1464" w:type="dxa"/>
            <w:tcBorders>
              <w:top w:val="nil"/>
              <w:left w:val="nil"/>
              <w:bottom w:val="nil"/>
              <w:right w:val="nil"/>
            </w:tcBorders>
            <w:shd w:val="clear" w:color="auto" w:fill="auto"/>
            <w:tcMar>
              <w:left w:w="85" w:type="dxa"/>
              <w:right w:w="85" w:type="dxa"/>
            </w:tcMar>
          </w:tcPr>
          <w:p w14:paraId="629EBB39"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nil"/>
              <w:right w:val="nil"/>
            </w:tcBorders>
            <w:shd w:val="clear" w:color="auto" w:fill="auto"/>
            <w:tcMar>
              <w:left w:w="85" w:type="dxa"/>
              <w:right w:w="85" w:type="dxa"/>
            </w:tcMar>
          </w:tcPr>
          <w:p w14:paraId="7E81574A"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42FEAD11"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(1.6)</w:t>
            </w:r>
          </w:p>
        </w:tc>
      </w:tr>
      <w:tr w:rsidR="00B54968" w:rsidRPr="00B54968" w14:paraId="7E64021E" w14:textId="77777777" w:rsidTr="00336B3E">
        <w:tc>
          <w:tcPr>
            <w:tcW w:w="4737" w:type="dxa"/>
            <w:tcBorders>
              <w:top w:val="nil"/>
              <w:left w:val="nil"/>
              <w:bottom w:val="nil"/>
              <w:right w:val="nil"/>
            </w:tcBorders>
            <w:shd w:val="clear" w:color="auto" w:fill="auto"/>
            <w:tcMar>
              <w:left w:w="85" w:type="dxa"/>
              <w:right w:w="85" w:type="dxa"/>
            </w:tcMar>
          </w:tcPr>
          <w:p w14:paraId="6944E778" w14:textId="77777777" w:rsidR="00B54968" w:rsidRPr="00B54968" w:rsidRDefault="00B54968" w:rsidP="003E200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Gastritis</w:t>
            </w:r>
          </w:p>
        </w:tc>
        <w:tc>
          <w:tcPr>
            <w:tcW w:w="1464" w:type="dxa"/>
            <w:tcBorders>
              <w:top w:val="nil"/>
              <w:left w:val="nil"/>
              <w:bottom w:val="nil"/>
              <w:right w:val="nil"/>
            </w:tcBorders>
            <w:shd w:val="clear" w:color="auto" w:fill="auto"/>
            <w:tcMar>
              <w:left w:w="85" w:type="dxa"/>
              <w:right w:w="85" w:type="dxa"/>
            </w:tcMar>
          </w:tcPr>
          <w:p w14:paraId="1370E873"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nil"/>
              <w:right w:val="nil"/>
            </w:tcBorders>
            <w:shd w:val="clear" w:color="auto" w:fill="auto"/>
            <w:tcMar>
              <w:left w:w="85" w:type="dxa"/>
              <w:right w:w="85" w:type="dxa"/>
            </w:tcMar>
          </w:tcPr>
          <w:p w14:paraId="6D922EEF"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nil"/>
              <w:right w:val="nil"/>
            </w:tcBorders>
            <w:shd w:val="clear" w:color="auto" w:fill="auto"/>
            <w:tcMar>
              <w:left w:w="85" w:type="dxa"/>
              <w:right w:w="85" w:type="dxa"/>
            </w:tcMar>
          </w:tcPr>
          <w:p w14:paraId="1C1F78A5"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6 (2.4)</w:t>
            </w:r>
          </w:p>
        </w:tc>
      </w:tr>
      <w:tr w:rsidR="00B54968" w:rsidRPr="00B54968" w14:paraId="3C160D2E" w14:textId="77777777" w:rsidTr="00336B3E">
        <w:tc>
          <w:tcPr>
            <w:tcW w:w="4737" w:type="dxa"/>
            <w:tcBorders>
              <w:top w:val="nil"/>
              <w:left w:val="nil"/>
              <w:bottom w:val="nil"/>
              <w:right w:val="nil"/>
            </w:tcBorders>
            <w:shd w:val="clear" w:color="auto" w:fill="auto"/>
            <w:tcMar>
              <w:left w:w="85" w:type="dxa"/>
              <w:right w:w="85" w:type="dxa"/>
            </w:tcMar>
          </w:tcPr>
          <w:p w14:paraId="5DB2313B" w14:textId="77777777" w:rsidR="00B54968" w:rsidRPr="00B54968" w:rsidRDefault="00B54968" w:rsidP="003E200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Gastroesophageal reflux disease</w:t>
            </w:r>
          </w:p>
        </w:tc>
        <w:tc>
          <w:tcPr>
            <w:tcW w:w="1464" w:type="dxa"/>
            <w:tcBorders>
              <w:top w:val="nil"/>
              <w:left w:val="nil"/>
              <w:bottom w:val="nil"/>
              <w:right w:val="nil"/>
            </w:tcBorders>
            <w:shd w:val="clear" w:color="auto" w:fill="auto"/>
            <w:tcMar>
              <w:left w:w="85" w:type="dxa"/>
              <w:right w:w="85" w:type="dxa"/>
            </w:tcMar>
          </w:tcPr>
          <w:p w14:paraId="181799B3"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5C7025C4"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5565C3D1"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1C82C875" w14:textId="77777777" w:rsidTr="00336B3E">
        <w:tc>
          <w:tcPr>
            <w:tcW w:w="4737" w:type="dxa"/>
            <w:tcBorders>
              <w:top w:val="nil"/>
              <w:left w:val="nil"/>
              <w:bottom w:val="nil"/>
              <w:right w:val="nil"/>
            </w:tcBorders>
            <w:shd w:val="clear" w:color="auto" w:fill="auto"/>
            <w:tcMar>
              <w:left w:w="85" w:type="dxa"/>
              <w:right w:w="85" w:type="dxa"/>
            </w:tcMar>
          </w:tcPr>
          <w:p w14:paraId="350478E6" w14:textId="77777777" w:rsidR="00B54968" w:rsidRPr="00B54968" w:rsidRDefault="00B54968" w:rsidP="003E200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Nausea</w:t>
            </w:r>
          </w:p>
        </w:tc>
        <w:tc>
          <w:tcPr>
            <w:tcW w:w="1464" w:type="dxa"/>
            <w:tcBorders>
              <w:top w:val="nil"/>
              <w:left w:val="nil"/>
              <w:bottom w:val="nil"/>
              <w:right w:val="nil"/>
            </w:tcBorders>
            <w:shd w:val="clear" w:color="auto" w:fill="auto"/>
            <w:tcMar>
              <w:left w:w="85" w:type="dxa"/>
              <w:right w:w="85" w:type="dxa"/>
            </w:tcMar>
          </w:tcPr>
          <w:p w14:paraId="079EEB92"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4 (3.1)</w:t>
            </w:r>
          </w:p>
        </w:tc>
        <w:tc>
          <w:tcPr>
            <w:tcW w:w="1464" w:type="dxa"/>
            <w:tcBorders>
              <w:top w:val="nil"/>
              <w:left w:val="nil"/>
              <w:bottom w:val="nil"/>
              <w:right w:val="nil"/>
            </w:tcBorders>
            <w:shd w:val="clear" w:color="auto" w:fill="auto"/>
            <w:tcMar>
              <w:left w:w="85" w:type="dxa"/>
              <w:right w:w="85" w:type="dxa"/>
            </w:tcMar>
          </w:tcPr>
          <w:p w14:paraId="76BFF59C"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3D3E5D01"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6 (2.4)</w:t>
            </w:r>
          </w:p>
        </w:tc>
      </w:tr>
      <w:tr w:rsidR="00B54968" w:rsidRPr="00B54968" w14:paraId="6F8BCD14" w14:textId="77777777" w:rsidTr="00336B3E">
        <w:tc>
          <w:tcPr>
            <w:tcW w:w="4737" w:type="dxa"/>
            <w:tcBorders>
              <w:top w:val="nil"/>
              <w:left w:val="nil"/>
              <w:bottom w:val="nil"/>
              <w:right w:val="nil"/>
            </w:tcBorders>
            <w:shd w:val="clear" w:color="auto" w:fill="auto"/>
            <w:tcMar>
              <w:left w:w="85" w:type="dxa"/>
              <w:right w:w="85" w:type="dxa"/>
            </w:tcMar>
          </w:tcPr>
          <w:p w14:paraId="6050E2DB" w14:textId="77777777" w:rsidR="00B54968" w:rsidRPr="00B54968" w:rsidRDefault="00B54968" w:rsidP="003E200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Toothache</w:t>
            </w:r>
          </w:p>
        </w:tc>
        <w:tc>
          <w:tcPr>
            <w:tcW w:w="1464" w:type="dxa"/>
            <w:tcBorders>
              <w:top w:val="nil"/>
              <w:left w:val="nil"/>
              <w:bottom w:val="nil"/>
              <w:right w:val="nil"/>
            </w:tcBorders>
            <w:shd w:val="clear" w:color="auto" w:fill="auto"/>
            <w:tcMar>
              <w:left w:w="85" w:type="dxa"/>
              <w:right w:w="85" w:type="dxa"/>
            </w:tcMar>
          </w:tcPr>
          <w:p w14:paraId="1A1BC7CC"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36CCA797"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64461476"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516F034E"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61476CC7" w14:textId="77777777" w:rsidR="00B54968" w:rsidRPr="00B54968" w:rsidRDefault="00B54968" w:rsidP="003E200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Vomiting</w:t>
            </w:r>
          </w:p>
        </w:tc>
        <w:tc>
          <w:tcPr>
            <w:tcW w:w="1464" w:type="dxa"/>
            <w:tcBorders>
              <w:top w:val="nil"/>
              <w:left w:val="nil"/>
              <w:bottom w:val="single" w:sz="4" w:space="0" w:color="auto"/>
              <w:right w:val="nil"/>
            </w:tcBorders>
            <w:shd w:val="clear" w:color="auto" w:fill="auto"/>
            <w:tcMar>
              <w:left w:w="85" w:type="dxa"/>
              <w:right w:w="85" w:type="dxa"/>
            </w:tcMar>
          </w:tcPr>
          <w:p w14:paraId="0C24F985"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01851406"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single" w:sz="4" w:space="0" w:color="auto"/>
              <w:right w:val="nil"/>
            </w:tcBorders>
            <w:shd w:val="clear" w:color="auto" w:fill="auto"/>
            <w:tcMar>
              <w:left w:w="85" w:type="dxa"/>
              <w:right w:w="85" w:type="dxa"/>
            </w:tcMar>
          </w:tcPr>
          <w:p w14:paraId="695DE033"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11406A70" w14:textId="77777777" w:rsidTr="00336B3E">
        <w:tc>
          <w:tcPr>
            <w:tcW w:w="4737" w:type="dxa"/>
            <w:tcBorders>
              <w:top w:val="nil"/>
              <w:left w:val="nil"/>
              <w:bottom w:val="nil"/>
              <w:right w:val="nil"/>
            </w:tcBorders>
            <w:shd w:val="clear" w:color="auto" w:fill="auto"/>
            <w:tcMar>
              <w:left w:w="85" w:type="dxa"/>
              <w:right w:w="85" w:type="dxa"/>
            </w:tcMar>
          </w:tcPr>
          <w:p w14:paraId="2ADEB987" w14:textId="77777777" w:rsidR="00B54968" w:rsidRPr="00B54968" w:rsidRDefault="00B54968" w:rsidP="003E2009">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General disorders and administration site conditions</w:t>
            </w:r>
          </w:p>
        </w:tc>
        <w:tc>
          <w:tcPr>
            <w:tcW w:w="1464" w:type="dxa"/>
            <w:tcBorders>
              <w:top w:val="nil"/>
              <w:left w:val="nil"/>
              <w:bottom w:val="nil"/>
              <w:right w:val="nil"/>
            </w:tcBorders>
            <w:shd w:val="clear" w:color="auto" w:fill="auto"/>
            <w:tcMar>
              <w:left w:w="85" w:type="dxa"/>
              <w:right w:w="85" w:type="dxa"/>
            </w:tcMar>
          </w:tcPr>
          <w:p w14:paraId="3D8042FD"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7C96C0AB"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3E6A5B61"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5CEC02F4" w14:textId="77777777" w:rsidTr="00336B3E">
        <w:tc>
          <w:tcPr>
            <w:tcW w:w="4737" w:type="dxa"/>
            <w:tcBorders>
              <w:top w:val="nil"/>
              <w:left w:val="nil"/>
              <w:bottom w:val="nil"/>
              <w:right w:val="nil"/>
            </w:tcBorders>
            <w:shd w:val="clear" w:color="auto" w:fill="auto"/>
            <w:tcMar>
              <w:left w:w="85" w:type="dxa"/>
              <w:right w:w="85" w:type="dxa"/>
            </w:tcMar>
          </w:tcPr>
          <w:p w14:paraId="6F400820" w14:textId="77777777" w:rsidR="00B54968" w:rsidRPr="00B54968" w:rsidRDefault="00B54968" w:rsidP="003E200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Fatigue</w:t>
            </w:r>
          </w:p>
        </w:tc>
        <w:tc>
          <w:tcPr>
            <w:tcW w:w="1464" w:type="dxa"/>
            <w:tcBorders>
              <w:top w:val="nil"/>
              <w:left w:val="nil"/>
              <w:bottom w:val="nil"/>
              <w:right w:val="nil"/>
            </w:tcBorders>
            <w:shd w:val="clear" w:color="auto" w:fill="auto"/>
            <w:tcMar>
              <w:left w:w="85" w:type="dxa"/>
              <w:right w:w="85" w:type="dxa"/>
            </w:tcMar>
          </w:tcPr>
          <w:p w14:paraId="0684B1BC"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nil"/>
              <w:right w:val="nil"/>
            </w:tcBorders>
            <w:shd w:val="clear" w:color="auto" w:fill="auto"/>
            <w:tcMar>
              <w:left w:w="85" w:type="dxa"/>
              <w:right w:w="85" w:type="dxa"/>
            </w:tcMar>
          </w:tcPr>
          <w:p w14:paraId="2BA32163"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2C448D43"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(0.8)</w:t>
            </w:r>
          </w:p>
        </w:tc>
      </w:tr>
      <w:tr w:rsidR="00B54968" w:rsidRPr="00B54968" w14:paraId="50D54756" w14:textId="77777777" w:rsidTr="00336B3E">
        <w:tc>
          <w:tcPr>
            <w:tcW w:w="4737" w:type="dxa"/>
            <w:tcBorders>
              <w:top w:val="nil"/>
              <w:left w:val="nil"/>
              <w:bottom w:val="nil"/>
              <w:right w:val="nil"/>
            </w:tcBorders>
            <w:shd w:val="clear" w:color="auto" w:fill="auto"/>
            <w:tcMar>
              <w:left w:w="85" w:type="dxa"/>
              <w:right w:w="85" w:type="dxa"/>
            </w:tcMar>
          </w:tcPr>
          <w:p w14:paraId="653A2CA5" w14:textId="77777777" w:rsidR="00B54968" w:rsidRPr="00B54968" w:rsidRDefault="00B54968" w:rsidP="003E200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Infusion-related reaction</w:t>
            </w:r>
          </w:p>
        </w:tc>
        <w:tc>
          <w:tcPr>
            <w:tcW w:w="1464" w:type="dxa"/>
            <w:tcBorders>
              <w:top w:val="nil"/>
              <w:left w:val="nil"/>
              <w:bottom w:val="nil"/>
              <w:right w:val="nil"/>
            </w:tcBorders>
            <w:shd w:val="clear" w:color="auto" w:fill="auto"/>
            <w:tcMar>
              <w:left w:w="85" w:type="dxa"/>
              <w:right w:w="85" w:type="dxa"/>
            </w:tcMar>
          </w:tcPr>
          <w:p w14:paraId="03CFA643"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nil"/>
              <w:right w:val="nil"/>
            </w:tcBorders>
            <w:shd w:val="clear" w:color="auto" w:fill="auto"/>
            <w:tcMar>
              <w:left w:w="85" w:type="dxa"/>
              <w:right w:w="85" w:type="dxa"/>
            </w:tcMar>
          </w:tcPr>
          <w:p w14:paraId="502A1688"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(3.3)</w:t>
            </w:r>
          </w:p>
        </w:tc>
        <w:tc>
          <w:tcPr>
            <w:tcW w:w="1464" w:type="dxa"/>
            <w:tcBorders>
              <w:top w:val="nil"/>
              <w:left w:val="nil"/>
              <w:bottom w:val="nil"/>
              <w:right w:val="nil"/>
            </w:tcBorders>
            <w:shd w:val="clear" w:color="auto" w:fill="auto"/>
            <w:tcMar>
              <w:left w:w="85" w:type="dxa"/>
              <w:right w:w="85" w:type="dxa"/>
            </w:tcMar>
          </w:tcPr>
          <w:p w14:paraId="79AF301A"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(1.6)</w:t>
            </w:r>
          </w:p>
        </w:tc>
      </w:tr>
      <w:tr w:rsidR="00B54968" w:rsidRPr="00B54968" w14:paraId="364A3C8E"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211E8BAE" w14:textId="77777777" w:rsidR="00B54968" w:rsidRPr="00B54968" w:rsidRDefault="00B54968" w:rsidP="003E200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Pyrexia</w:t>
            </w:r>
          </w:p>
        </w:tc>
        <w:tc>
          <w:tcPr>
            <w:tcW w:w="1464" w:type="dxa"/>
            <w:tcBorders>
              <w:top w:val="nil"/>
              <w:left w:val="nil"/>
              <w:bottom w:val="single" w:sz="4" w:space="0" w:color="auto"/>
              <w:right w:val="nil"/>
            </w:tcBorders>
            <w:shd w:val="clear" w:color="auto" w:fill="auto"/>
            <w:tcMar>
              <w:left w:w="85" w:type="dxa"/>
              <w:right w:w="85" w:type="dxa"/>
            </w:tcMar>
          </w:tcPr>
          <w:p w14:paraId="2BE15918"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single" w:sz="4" w:space="0" w:color="auto"/>
              <w:right w:val="nil"/>
            </w:tcBorders>
            <w:shd w:val="clear" w:color="auto" w:fill="auto"/>
            <w:tcMar>
              <w:left w:w="85" w:type="dxa"/>
              <w:right w:w="85" w:type="dxa"/>
            </w:tcMar>
          </w:tcPr>
          <w:p w14:paraId="7F23C11C"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19B455BF"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(2.0)</w:t>
            </w:r>
          </w:p>
        </w:tc>
      </w:tr>
      <w:tr w:rsidR="00B54968" w:rsidRPr="00B54968" w14:paraId="49B095D3"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5901E7F4" w14:textId="77777777" w:rsidR="00B54968" w:rsidRPr="00B54968" w:rsidRDefault="00B54968" w:rsidP="003E2009">
            <w:pPr>
              <w:spacing w:before="40" w:after="40" w:line="240" w:lineRule="auto"/>
              <w:rPr>
                <w:rFonts w:ascii="Times New Roman" w:eastAsia="Times New Roman" w:hAnsi="Times New Roman" w:cs="Times New Roman"/>
                <w:b/>
                <w:kern w:val="24"/>
                <w:sz w:val="18"/>
                <w:szCs w:val="18"/>
                <w:lang w:eastAsia="en-US"/>
              </w:rPr>
            </w:pPr>
            <w:r w:rsidRPr="00B54968">
              <w:rPr>
                <w:rFonts w:ascii="Times New Roman" w:eastAsia="Times New Roman" w:hAnsi="Times New Roman" w:cs="Times New Roman"/>
                <w:b/>
                <w:kern w:val="24"/>
                <w:sz w:val="18"/>
                <w:szCs w:val="18"/>
                <w:lang w:eastAsia="en-US"/>
              </w:rPr>
              <w:t>Hepatobiliary disorders</w:t>
            </w:r>
          </w:p>
        </w:tc>
        <w:tc>
          <w:tcPr>
            <w:tcW w:w="1464" w:type="dxa"/>
            <w:tcBorders>
              <w:top w:val="single" w:sz="4" w:space="0" w:color="auto"/>
              <w:left w:val="nil"/>
              <w:bottom w:val="nil"/>
              <w:right w:val="nil"/>
            </w:tcBorders>
            <w:shd w:val="clear" w:color="auto" w:fill="auto"/>
            <w:tcMar>
              <w:left w:w="85" w:type="dxa"/>
              <w:right w:w="85" w:type="dxa"/>
            </w:tcMar>
          </w:tcPr>
          <w:p w14:paraId="392C69B6"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77E03E6F"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70C827ED"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68D3A66A"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16709AB1" w14:textId="77777777" w:rsidR="00B54968" w:rsidRPr="00B54968" w:rsidRDefault="00B54968" w:rsidP="003E2009">
            <w:pPr>
              <w:spacing w:before="40" w:after="40" w:line="240" w:lineRule="auto"/>
              <w:ind w:left="238"/>
              <w:rPr>
                <w:rFonts w:ascii="Times New Roman" w:eastAsia="Times New Roman" w:hAnsi="Times New Roman" w:cs="Times New Roman"/>
                <w:kern w:val="24"/>
                <w:sz w:val="18"/>
                <w:szCs w:val="18"/>
                <w:lang w:eastAsia="en-US"/>
              </w:rPr>
            </w:pPr>
            <w:proofErr w:type="spellStart"/>
            <w:r w:rsidRPr="00B54968">
              <w:rPr>
                <w:rFonts w:ascii="Times New Roman" w:eastAsia="Times New Roman" w:hAnsi="Times New Roman" w:cs="Times New Roman"/>
                <w:kern w:val="24"/>
                <w:sz w:val="18"/>
                <w:szCs w:val="18"/>
                <w:lang w:eastAsia="en-US"/>
              </w:rPr>
              <w:t>Hypertransaminasemia</w:t>
            </w:r>
            <w:proofErr w:type="spellEnd"/>
          </w:p>
        </w:tc>
        <w:tc>
          <w:tcPr>
            <w:tcW w:w="1464" w:type="dxa"/>
            <w:tcBorders>
              <w:top w:val="nil"/>
              <w:left w:val="nil"/>
              <w:bottom w:val="single" w:sz="4" w:space="0" w:color="auto"/>
              <w:right w:val="nil"/>
            </w:tcBorders>
            <w:shd w:val="clear" w:color="auto" w:fill="auto"/>
            <w:tcMar>
              <w:left w:w="85" w:type="dxa"/>
              <w:right w:w="85" w:type="dxa"/>
            </w:tcMar>
          </w:tcPr>
          <w:p w14:paraId="78EB465F"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74F7B50D"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single" w:sz="4" w:space="0" w:color="auto"/>
              <w:right w:val="nil"/>
            </w:tcBorders>
            <w:shd w:val="clear" w:color="auto" w:fill="auto"/>
            <w:tcMar>
              <w:left w:w="85" w:type="dxa"/>
              <w:right w:w="85" w:type="dxa"/>
            </w:tcMar>
          </w:tcPr>
          <w:p w14:paraId="5DE9AE61"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445DE1DE"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1AA40EEC" w14:textId="77777777" w:rsidR="00B54968" w:rsidRPr="00B54968" w:rsidRDefault="00B54968" w:rsidP="003E2009">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Immune system disorders</w:t>
            </w:r>
          </w:p>
        </w:tc>
        <w:tc>
          <w:tcPr>
            <w:tcW w:w="1464" w:type="dxa"/>
            <w:tcBorders>
              <w:top w:val="single" w:sz="4" w:space="0" w:color="auto"/>
              <w:left w:val="nil"/>
              <w:bottom w:val="nil"/>
              <w:right w:val="nil"/>
            </w:tcBorders>
            <w:shd w:val="clear" w:color="auto" w:fill="auto"/>
            <w:tcMar>
              <w:left w:w="85" w:type="dxa"/>
              <w:right w:w="85" w:type="dxa"/>
            </w:tcMar>
          </w:tcPr>
          <w:p w14:paraId="22DD221E"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18729D16"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000113B6"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0974E8B9"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60AED6B1" w14:textId="77777777" w:rsidR="00B54968" w:rsidRPr="00B54968" w:rsidRDefault="00B54968" w:rsidP="003E2009">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Drug hypersensitivity</w:t>
            </w:r>
          </w:p>
        </w:tc>
        <w:tc>
          <w:tcPr>
            <w:tcW w:w="1464" w:type="dxa"/>
            <w:tcBorders>
              <w:top w:val="nil"/>
              <w:left w:val="nil"/>
              <w:bottom w:val="single" w:sz="4" w:space="0" w:color="auto"/>
              <w:right w:val="nil"/>
            </w:tcBorders>
            <w:shd w:val="clear" w:color="auto" w:fill="auto"/>
            <w:tcMar>
              <w:left w:w="85" w:type="dxa"/>
              <w:right w:w="85" w:type="dxa"/>
            </w:tcMar>
          </w:tcPr>
          <w:p w14:paraId="2E6F3239" w14:textId="77777777" w:rsidR="00B54968" w:rsidRPr="00B54968" w:rsidRDefault="00B54968" w:rsidP="003E200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7AE67A16"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single" w:sz="4" w:space="0" w:color="auto"/>
              <w:right w:val="nil"/>
            </w:tcBorders>
            <w:shd w:val="clear" w:color="auto" w:fill="auto"/>
            <w:tcMar>
              <w:left w:w="85" w:type="dxa"/>
              <w:right w:w="85" w:type="dxa"/>
            </w:tcMar>
          </w:tcPr>
          <w:p w14:paraId="76E6A5D6" w14:textId="77777777" w:rsidR="00B54968" w:rsidRPr="00364D52" w:rsidRDefault="00B54968" w:rsidP="003E200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(2.0)</w:t>
            </w:r>
          </w:p>
        </w:tc>
      </w:tr>
      <w:tr w:rsidR="00B54968" w:rsidRPr="00B54968" w14:paraId="0A26C529" w14:textId="77777777" w:rsidTr="00336B3E">
        <w:tc>
          <w:tcPr>
            <w:tcW w:w="4737" w:type="dxa"/>
            <w:tcBorders>
              <w:top w:val="nil"/>
              <w:left w:val="nil"/>
              <w:bottom w:val="nil"/>
              <w:right w:val="nil"/>
            </w:tcBorders>
            <w:shd w:val="clear" w:color="auto" w:fill="auto"/>
            <w:tcMar>
              <w:left w:w="85" w:type="dxa"/>
              <w:right w:w="85" w:type="dxa"/>
            </w:tcMar>
          </w:tcPr>
          <w:p w14:paraId="6510BCEC" w14:textId="77777777" w:rsidR="00B54968" w:rsidRPr="00B54968" w:rsidRDefault="00B54968" w:rsidP="003E2009">
            <w:pPr>
              <w:pStyle w:val="TableCellText10pt"/>
              <w:keepNext w:val="0"/>
              <w:keepLines/>
              <w:rPr>
                <w:rFonts w:eastAsia="Times New Roman"/>
                <w:b/>
                <w:sz w:val="18"/>
                <w:szCs w:val="18"/>
              </w:rPr>
            </w:pPr>
            <w:r w:rsidRPr="00B54968">
              <w:rPr>
                <w:rFonts w:eastAsia="Times New Roman"/>
                <w:b/>
                <w:sz w:val="18"/>
                <w:szCs w:val="18"/>
              </w:rPr>
              <w:t>Infections and infestations</w:t>
            </w:r>
          </w:p>
        </w:tc>
        <w:tc>
          <w:tcPr>
            <w:tcW w:w="1464" w:type="dxa"/>
            <w:tcBorders>
              <w:top w:val="nil"/>
              <w:left w:val="nil"/>
              <w:bottom w:val="nil"/>
              <w:right w:val="nil"/>
            </w:tcBorders>
            <w:shd w:val="clear" w:color="auto" w:fill="auto"/>
            <w:tcMar>
              <w:left w:w="85" w:type="dxa"/>
              <w:right w:w="85" w:type="dxa"/>
            </w:tcMar>
          </w:tcPr>
          <w:p w14:paraId="4E2CA105" w14:textId="77777777" w:rsidR="00B54968" w:rsidRPr="00B54968" w:rsidRDefault="00B54968" w:rsidP="003E200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212A1D40" w14:textId="77777777" w:rsidR="00B54968" w:rsidRPr="00B54968" w:rsidRDefault="00B54968" w:rsidP="003E200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67B0F152" w14:textId="77777777" w:rsidR="00B54968" w:rsidRPr="00B54968" w:rsidRDefault="00B54968" w:rsidP="003E2009">
            <w:pPr>
              <w:pStyle w:val="TableCellText10pt"/>
              <w:keepNext w:val="0"/>
              <w:rPr>
                <w:rFonts w:eastAsia="Times New Roman"/>
                <w:sz w:val="18"/>
                <w:szCs w:val="18"/>
              </w:rPr>
            </w:pPr>
          </w:p>
        </w:tc>
      </w:tr>
      <w:tr w:rsidR="00B54968" w:rsidRPr="00B54968" w14:paraId="18C5527F" w14:textId="77777777" w:rsidTr="00336B3E">
        <w:tc>
          <w:tcPr>
            <w:tcW w:w="4737" w:type="dxa"/>
            <w:tcBorders>
              <w:top w:val="nil"/>
              <w:left w:val="nil"/>
              <w:bottom w:val="nil"/>
              <w:right w:val="nil"/>
            </w:tcBorders>
            <w:shd w:val="clear" w:color="auto" w:fill="auto"/>
            <w:tcMar>
              <w:left w:w="85" w:type="dxa"/>
              <w:right w:w="85" w:type="dxa"/>
            </w:tcMar>
          </w:tcPr>
          <w:p w14:paraId="0C667EBA" w14:textId="77777777" w:rsidR="00B54968" w:rsidRPr="00B54968" w:rsidRDefault="00B54968" w:rsidP="003E2009">
            <w:pPr>
              <w:pStyle w:val="TableCellText10pt"/>
              <w:keepNext w:val="0"/>
              <w:keepLines/>
              <w:ind w:left="480" w:hanging="240"/>
              <w:rPr>
                <w:rFonts w:eastAsia="Times New Roman"/>
                <w:sz w:val="18"/>
                <w:szCs w:val="18"/>
              </w:rPr>
            </w:pPr>
            <w:r w:rsidRPr="00B54968">
              <w:rPr>
                <w:rFonts w:eastAsia="Times New Roman"/>
                <w:sz w:val="18"/>
                <w:szCs w:val="18"/>
              </w:rPr>
              <w:t>Bacteriuria</w:t>
            </w:r>
          </w:p>
        </w:tc>
        <w:tc>
          <w:tcPr>
            <w:tcW w:w="1464" w:type="dxa"/>
            <w:tcBorders>
              <w:top w:val="nil"/>
              <w:left w:val="nil"/>
              <w:bottom w:val="nil"/>
              <w:right w:val="nil"/>
            </w:tcBorders>
            <w:shd w:val="clear" w:color="auto" w:fill="auto"/>
            <w:tcMar>
              <w:left w:w="85" w:type="dxa"/>
              <w:right w:w="85" w:type="dxa"/>
            </w:tcMar>
          </w:tcPr>
          <w:p w14:paraId="53186E53"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6B4D4E4D"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0FC1CC3F"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4 (1.6)</w:t>
            </w:r>
          </w:p>
        </w:tc>
      </w:tr>
      <w:tr w:rsidR="00B54968" w:rsidRPr="00B54968" w14:paraId="741E1688" w14:textId="77777777" w:rsidTr="00336B3E">
        <w:tc>
          <w:tcPr>
            <w:tcW w:w="4737" w:type="dxa"/>
            <w:tcBorders>
              <w:top w:val="nil"/>
              <w:left w:val="nil"/>
              <w:bottom w:val="nil"/>
              <w:right w:val="nil"/>
            </w:tcBorders>
            <w:shd w:val="clear" w:color="auto" w:fill="auto"/>
            <w:tcMar>
              <w:left w:w="85" w:type="dxa"/>
              <w:right w:w="85" w:type="dxa"/>
            </w:tcMar>
          </w:tcPr>
          <w:p w14:paraId="64FAA229" w14:textId="77777777" w:rsidR="00B54968" w:rsidRPr="00B54968" w:rsidRDefault="00B54968" w:rsidP="003E2009">
            <w:pPr>
              <w:pStyle w:val="TableCellText10pt"/>
              <w:keepNext w:val="0"/>
              <w:keepLines/>
              <w:ind w:left="480" w:hanging="240"/>
              <w:rPr>
                <w:rFonts w:eastAsia="Times New Roman"/>
                <w:sz w:val="18"/>
                <w:szCs w:val="18"/>
              </w:rPr>
            </w:pPr>
            <w:r w:rsidRPr="00B54968">
              <w:rPr>
                <w:rFonts w:eastAsia="Times New Roman"/>
                <w:sz w:val="18"/>
                <w:szCs w:val="18"/>
              </w:rPr>
              <w:t>Bronchitis</w:t>
            </w:r>
          </w:p>
        </w:tc>
        <w:tc>
          <w:tcPr>
            <w:tcW w:w="1464" w:type="dxa"/>
            <w:tcBorders>
              <w:top w:val="nil"/>
              <w:left w:val="nil"/>
              <w:bottom w:val="nil"/>
              <w:right w:val="nil"/>
            </w:tcBorders>
            <w:shd w:val="clear" w:color="auto" w:fill="auto"/>
            <w:tcMar>
              <w:left w:w="85" w:type="dxa"/>
              <w:right w:w="85" w:type="dxa"/>
            </w:tcMar>
          </w:tcPr>
          <w:p w14:paraId="7E2BD86E"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31AF67C"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4 (3.3)</w:t>
            </w:r>
          </w:p>
        </w:tc>
        <w:tc>
          <w:tcPr>
            <w:tcW w:w="1464" w:type="dxa"/>
            <w:tcBorders>
              <w:top w:val="nil"/>
              <w:left w:val="nil"/>
              <w:bottom w:val="nil"/>
              <w:right w:val="nil"/>
            </w:tcBorders>
            <w:shd w:val="clear" w:color="auto" w:fill="auto"/>
            <w:tcMar>
              <w:left w:w="85" w:type="dxa"/>
              <w:right w:w="85" w:type="dxa"/>
            </w:tcMar>
          </w:tcPr>
          <w:p w14:paraId="6C6EDCEB"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6 (2.4)</w:t>
            </w:r>
          </w:p>
        </w:tc>
      </w:tr>
      <w:tr w:rsidR="00B54968" w:rsidRPr="00B54968" w14:paraId="54B885F2" w14:textId="77777777" w:rsidTr="00336B3E">
        <w:tc>
          <w:tcPr>
            <w:tcW w:w="4737" w:type="dxa"/>
            <w:tcBorders>
              <w:top w:val="nil"/>
              <w:left w:val="nil"/>
              <w:bottom w:val="nil"/>
              <w:right w:val="nil"/>
            </w:tcBorders>
            <w:shd w:val="clear" w:color="auto" w:fill="auto"/>
            <w:tcMar>
              <w:left w:w="85" w:type="dxa"/>
              <w:right w:w="85" w:type="dxa"/>
            </w:tcMar>
          </w:tcPr>
          <w:p w14:paraId="415366A7" w14:textId="77777777" w:rsidR="00B54968" w:rsidRPr="00B54968" w:rsidRDefault="00B54968" w:rsidP="003E2009">
            <w:pPr>
              <w:pStyle w:val="TableCellText10pt"/>
              <w:keepNext w:val="0"/>
              <w:keepLines/>
              <w:ind w:left="480" w:hanging="240"/>
              <w:rPr>
                <w:rFonts w:eastAsia="Times New Roman"/>
                <w:sz w:val="18"/>
                <w:szCs w:val="18"/>
              </w:rPr>
            </w:pPr>
            <w:r w:rsidRPr="00B54968">
              <w:rPr>
                <w:rFonts w:eastAsia="Times New Roman"/>
                <w:sz w:val="18"/>
                <w:szCs w:val="18"/>
              </w:rPr>
              <w:t>Cervicitis</w:t>
            </w:r>
          </w:p>
        </w:tc>
        <w:tc>
          <w:tcPr>
            <w:tcW w:w="1464" w:type="dxa"/>
            <w:tcBorders>
              <w:top w:val="nil"/>
              <w:left w:val="nil"/>
              <w:bottom w:val="nil"/>
              <w:right w:val="nil"/>
            </w:tcBorders>
            <w:shd w:val="clear" w:color="auto" w:fill="auto"/>
            <w:tcMar>
              <w:left w:w="85" w:type="dxa"/>
              <w:right w:w="85" w:type="dxa"/>
            </w:tcMar>
          </w:tcPr>
          <w:p w14:paraId="3795E943"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D228BF4"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015FD69A"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 (0.8)</w:t>
            </w:r>
          </w:p>
        </w:tc>
      </w:tr>
      <w:tr w:rsidR="00B54968" w:rsidRPr="00B54968" w14:paraId="5CFA8D5B" w14:textId="77777777" w:rsidTr="00336B3E">
        <w:tc>
          <w:tcPr>
            <w:tcW w:w="4737" w:type="dxa"/>
            <w:tcBorders>
              <w:top w:val="nil"/>
              <w:left w:val="nil"/>
              <w:bottom w:val="nil"/>
              <w:right w:val="nil"/>
            </w:tcBorders>
            <w:shd w:val="clear" w:color="auto" w:fill="auto"/>
            <w:tcMar>
              <w:left w:w="85" w:type="dxa"/>
              <w:right w:w="85" w:type="dxa"/>
            </w:tcMar>
          </w:tcPr>
          <w:p w14:paraId="45F77101" w14:textId="77777777" w:rsidR="00B54968" w:rsidRPr="00B54968" w:rsidRDefault="00B54968" w:rsidP="003E2009">
            <w:pPr>
              <w:pStyle w:val="TableCellText10pt"/>
              <w:keepNext w:val="0"/>
              <w:keepLines/>
              <w:ind w:left="480" w:hanging="240"/>
              <w:rPr>
                <w:rFonts w:eastAsia="Times New Roman"/>
                <w:sz w:val="18"/>
                <w:szCs w:val="18"/>
              </w:rPr>
            </w:pPr>
            <w:r w:rsidRPr="00B54968">
              <w:rPr>
                <w:rFonts w:eastAsia="Times New Roman"/>
                <w:sz w:val="18"/>
                <w:szCs w:val="18"/>
              </w:rPr>
              <w:t>Herpes simplex</w:t>
            </w:r>
          </w:p>
        </w:tc>
        <w:tc>
          <w:tcPr>
            <w:tcW w:w="1464" w:type="dxa"/>
            <w:tcBorders>
              <w:top w:val="nil"/>
              <w:left w:val="nil"/>
              <w:bottom w:val="nil"/>
              <w:right w:val="nil"/>
            </w:tcBorders>
            <w:shd w:val="clear" w:color="auto" w:fill="auto"/>
            <w:tcMar>
              <w:left w:w="85" w:type="dxa"/>
              <w:right w:w="85" w:type="dxa"/>
            </w:tcMar>
          </w:tcPr>
          <w:p w14:paraId="40B6FB5F"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6D63458"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22A2DCBA"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3 (1.2)</w:t>
            </w:r>
          </w:p>
        </w:tc>
      </w:tr>
      <w:tr w:rsidR="00B54968" w:rsidRPr="00B54968" w14:paraId="51044E3E" w14:textId="77777777" w:rsidTr="00336B3E">
        <w:tc>
          <w:tcPr>
            <w:tcW w:w="4737" w:type="dxa"/>
            <w:tcBorders>
              <w:top w:val="nil"/>
              <w:left w:val="nil"/>
              <w:bottom w:val="nil"/>
              <w:right w:val="nil"/>
            </w:tcBorders>
            <w:shd w:val="clear" w:color="auto" w:fill="auto"/>
            <w:tcMar>
              <w:left w:w="85" w:type="dxa"/>
              <w:right w:w="85" w:type="dxa"/>
            </w:tcMar>
          </w:tcPr>
          <w:p w14:paraId="130DC855" w14:textId="77777777" w:rsidR="00B54968" w:rsidRPr="00B54968" w:rsidRDefault="00B54968" w:rsidP="003E2009">
            <w:pPr>
              <w:pStyle w:val="TableCellText10pt"/>
              <w:keepNext w:val="0"/>
              <w:keepLines/>
              <w:ind w:left="480" w:hanging="240"/>
              <w:rPr>
                <w:rFonts w:eastAsia="Times New Roman"/>
                <w:sz w:val="18"/>
                <w:szCs w:val="18"/>
              </w:rPr>
            </w:pPr>
            <w:r w:rsidRPr="00B54968">
              <w:rPr>
                <w:rFonts w:eastAsia="Times New Roman"/>
                <w:sz w:val="18"/>
                <w:szCs w:val="18"/>
              </w:rPr>
              <w:t>Influenza</w:t>
            </w:r>
          </w:p>
        </w:tc>
        <w:tc>
          <w:tcPr>
            <w:tcW w:w="1464" w:type="dxa"/>
            <w:tcBorders>
              <w:top w:val="nil"/>
              <w:left w:val="nil"/>
              <w:bottom w:val="nil"/>
              <w:right w:val="nil"/>
            </w:tcBorders>
            <w:shd w:val="clear" w:color="auto" w:fill="auto"/>
            <w:tcMar>
              <w:left w:w="85" w:type="dxa"/>
              <w:right w:w="85" w:type="dxa"/>
            </w:tcMar>
          </w:tcPr>
          <w:p w14:paraId="12CB2A6A"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1726ED91"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6 (4.9)</w:t>
            </w:r>
          </w:p>
        </w:tc>
        <w:tc>
          <w:tcPr>
            <w:tcW w:w="1464" w:type="dxa"/>
            <w:tcBorders>
              <w:top w:val="nil"/>
              <w:left w:val="nil"/>
              <w:bottom w:val="nil"/>
              <w:right w:val="nil"/>
            </w:tcBorders>
            <w:shd w:val="clear" w:color="auto" w:fill="auto"/>
            <w:tcMar>
              <w:left w:w="85" w:type="dxa"/>
              <w:right w:w="85" w:type="dxa"/>
            </w:tcMar>
          </w:tcPr>
          <w:p w14:paraId="4B748AF9"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8 (3.2)</w:t>
            </w:r>
          </w:p>
        </w:tc>
      </w:tr>
      <w:tr w:rsidR="00B54968" w:rsidRPr="00B54968" w14:paraId="086932EF" w14:textId="77777777" w:rsidTr="00336B3E">
        <w:tc>
          <w:tcPr>
            <w:tcW w:w="4737" w:type="dxa"/>
            <w:tcBorders>
              <w:top w:val="nil"/>
              <w:left w:val="nil"/>
              <w:bottom w:val="nil"/>
              <w:right w:val="nil"/>
            </w:tcBorders>
            <w:shd w:val="clear" w:color="auto" w:fill="auto"/>
            <w:tcMar>
              <w:left w:w="85" w:type="dxa"/>
              <w:right w:w="85" w:type="dxa"/>
            </w:tcMar>
          </w:tcPr>
          <w:p w14:paraId="2D3A8DEC" w14:textId="77777777" w:rsidR="00B54968" w:rsidRPr="00B54968" w:rsidRDefault="00B54968" w:rsidP="003E2009">
            <w:pPr>
              <w:pStyle w:val="TableCellText10pt"/>
              <w:keepNext w:val="0"/>
              <w:keepLines/>
              <w:ind w:left="480" w:hanging="240"/>
              <w:rPr>
                <w:rFonts w:eastAsia="Times New Roman"/>
                <w:sz w:val="18"/>
                <w:szCs w:val="18"/>
              </w:rPr>
            </w:pPr>
            <w:r w:rsidRPr="00B54968">
              <w:rPr>
                <w:rFonts w:eastAsia="Times New Roman"/>
                <w:sz w:val="18"/>
                <w:szCs w:val="18"/>
              </w:rPr>
              <w:t>Latent tuberculosis</w:t>
            </w:r>
          </w:p>
        </w:tc>
        <w:tc>
          <w:tcPr>
            <w:tcW w:w="1464" w:type="dxa"/>
            <w:tcBorders>
              <w:top w:val="nil"/>
              <w:left w:val="nil"/>
              <w:bottom w:val="nil"/>
              <w:right w:val="nil"/>
            </w:tcBorders>
            <w:shd w:val="clear" w:color="auto" w:fill="auto"/>
            <w:tcMar>
              <w:left w:w="85" w:type="dxa"/>
              <w:right w:w="85" w:type="dxa"/>
            </w:tcMar>
          </w:tcPr>
          <w:p w14:paraId="3A6351B4"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8 (6.3)</w:t>
            </w:r>
          </w:p>
        </w:tc>
        <w:tc>
          <w:tcPr>
            <w:tcW w:w="1464" w:type="dxa"/>
            <w:tcBorders>
              <w:top w:val="nil"/>
              <w:left w:val="nil"/>
              <w:bottom w:val="nil"/>
              <w:right w:val="nil"/>
            </w:tcBorders>
            <w:shd w:val="clear" w:color="auto" w:fill="auto"/>
            <w:tcMar>
              <w:left w:w="85" w:type="dxa"/>
              <w:right w:w="85" w:type="dxa"/>
            </w:tcMar>
          </w:tcPr>
          <w:p w14:paraId="0F423E5C"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5 (4.1)</w:t>
            </w:r>
          </w:p>
        </w:tc>
        <w:tc>
          <w:tcPr>
            <w:tcW w:w="1464" w:type="dxa"/>
            <w:tcBorders>
              <w:top w:val="nil"/>
              <w:left w:val="nil"/>
              <w:bottom w:val="nil"/>
              <w:right w:val="nil"/>
            </w:tcBorders>
            <w:shd w:val="clear" w:color="auto" w:fill="auto"/>
            <w:tcMar>
              <w:left w:w="85" w:type="dxa"/>
              <w:right w:w="85" w:type="dxa"/>
            </w:tcMar>
          </w:tcPr>
          <w:p w14:paraId="7B5F0C56"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13 (5.2)</w:t>
            </w:r>
          </w:p>
        </w:tc>
      </w:tr>
      <w:tr w:rsidR="00B54968" w:rsidRPr="00B54968" w14:paraId="4829C42B" w14:textId="77777777" w:rsidTr="00336B3E">
        <w:tc>
          <w:tcPr>
            <w:tcW w:w="4737" w:type="dxa"/>
            <w:tcBorders>
              <w:top w:val="nil"/>
              <w:left w:val="nil"/>
              <w:bottom w:val="nil"/>
              <w:right w:val="nil"/>
            </w:tcBorders>
            <w:shd w:val="clear" w:color="auto" w:fill="auto"/>
            <w:tcMar>
              <w:left w:w="85" w:type="dxa"/>
              <w:right w:w="85" w:type="dxa"/>
            </w:tcMar>
          </w:tcPr>
          <w:p w14:paraId="46D3BFAF" w14:textId="77777777" w:rsidR="00B54968" w:rsidRPr="00B54968" w:rsidRDefault="00B54968" w:rsidP="003E2009">
            <w:pPr>
              <w:pStyle w:val="TableCellText10pt"/>
              <w:keepNext w:val="0"/>
              <w:keepLines/>
              <w:ind w:left="480" w:hanging="240"/>
              <w:rPr>
                <w:rFonts w:eastAsia="Times New Roman"/>
                <w:sz w:val="18"/>
                <w:szCs w:val="18"/>
              </w:rPr>
            </w:pPr>
            <w:proofErr w:type="spellStart"/>
            <w:r w:rsidRPr="00B54968">
              <w:rPr>
                <w:rFonts w:eastAsia="Times New Roman"/>
                <w:sz w:val="18"/>
                <w:szCs w:val="18"/>
              </w:rPr>
              <w:t>Nasopharyngitis</w:t>
            </w:r>
            <w:proofErr w:type="spellEnd"/>
          </w:p>
        </w:tc>
        <w:tc>
          <w:tcPr>
            <w:tcW w:w="1464" w:type="dxa"/>
            <w:tcBorders>
              <w:top w:val="nil"/>
              <w:left w:val="nil"/>
              <w:bottom w:val="nil"/>
              <w:right w:val="nil"/>
            </w:tcBorders>
            <w:shd w:val="clear" w:color="auto" w:fill="auto"/>
            <w:tcMar>
              <w:left w:w="85" w:type="dxa"/>
              <w:right w:w="85" w:type="dxa"/>
            </w:tcMar>
          </w:tcPr>
          <w:p w14:paraId="446D73A4"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12 (9.4)</w:t>
            </w:r>
          </w:p>
        </w:tc>
        <w:tc>
          <w:tcPr>
            <w:tcW w:w="1464" w:type="dxa"/>
            <w:tcBorders>
              <w:top w:val="nil"/>
              <w:left w:val="nil"/>
              <w:bottom w:val="nil"/>
              <w:right w:val="nil"/>
            </w:tcBorders>
            <w:shd w:val="clear" w:color="auto" w:fill="auto"/>
            <w:tcMar>
              <w:left w:w="85" w:type="dxa"/>
              <w:right w:w="85" w:type="dxa"/>
            </w:tcMar>
          </w:tcPr>
          <w:p w14:paraId="35FA36F7"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10 (8.2)</w:t>
            </w:r>
          </w:p>
        </w:tc>
        <w:tc>
          <w:tcPr>
            <w:tcW w:w="1464" w:type="dxa"/>
            <w:tcBorders>
              <w:top w:val="nil"/>
              <w:left w:val="nil"/>
              <w:bottom w:val="nil"/>
              <w:right w:val="nil"/>
            </w:tcBorders>
            <w:shd w:val="clear" w:color="auto" w:fill="auto"/>
            <w:tcMar>
              <w:left w:w="85" w:type="dxa"/>
              <w:right w:w="85" w:type="dxa"/>
            </w:tcMar>
          </w:tcPr>
          <w:p w14:paraId="5B1B7A25"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22 (8.8)</w:t>
            </w:r>
          </w:p>
        </w:tc>
      </w:tr>
      <w:tr w:rsidR="00B54968" w:rsidRPr="00B54968" w14:paraId="4E3876A5" w14:textId="77777777" w:rsidTr="00336B3E">
        <w:tc>
          <w:tcPr>
            <w:tcW w:w="4737" w:type="dxa"/>
            <w:tcBorders>
              <w:top w:val="nil"/>
              <w:left w:val="nil"/>
              <w:bottom w:val="nil"/>
              <w:right w:val="nil"/>
            </w:tcBorders>
            <w:shd w:val="clear" w:color="auto" w:fill="auto"/>
            <w:tcMar>
              <w:left w:w="85" w:type="dxa"/>
              <w:right w:w="85" w:type="dxa"/>
            </w:tcMar>
          </w:tcPr>
          <w:p w14:paraId="05578097" w14:textId="77777777" w:rsidR="00B54968" w:rsidRPr="00B54968" w:rsidRDefault="00B54968" w:rsidP="003E2009">
            <w:pPr>
              <w:pStyle w:val="TableCellText10pt"/>
              <w:keepNext w:val="0"/>
              <w:ind w:left="480" w:hanging="240"/>
              <w:rPr>
                <w:rFonts w:eastAsia="Times New Roman"/>
                <w:sz w:val="18"/>
                <w:szCs w:val="18"/>
              </w:rPr>
            </w:pPr>
            <w:r w:rsidRPr="00B54968">
              <w:rPr>
                <w:rFonts w:eastAsia="Times New Roman"/>
                <w:sz w:val="18"/>
                <w:szCs w:val="18"/>
              </w:rPr>
              <w:t>Oral herpes</w:t>
            </w:r>
          </w:p>
        </w:tc>
        <w:tc>
          <w:tcPr>
            <w:tcW w:w="1464" w:type="dxa"/>
            <w:tcBorders>
              <w:top w:val="nil"/>
              <w:left w:val="nil"/>
              <w:bottom w:val="nil"/>
              <w:right w:val="nil"/>
            </w:tcBorders>
            <w:shd w:val="clear" w:color="auto" w:fill="auto"/>
            <w:tcMar>
              <w:left w:w="85" w:type="dxa"/>
              <w:right w:w="85" w:type="dxa"/>
            </w:tcMar>
          </w:tcPr>
          <w:p w14:paraId="08ECC19A"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DCBF2E1"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14319BF3"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3 (1.2)</w:t>
            </w:r>
          </w:p>
        </w:tc>
      </w:tr>
      <w:tr w:rsidR="00B54968" w:rsidRPr="00B54968" w14:paraId="785EDF54" w14:textId="77777777" w:rsidTr="00336B3E">
        <w:tc>
          <w:tcPr>
            <w:tcW w:w="4737" w:type="dxa"/>
            <w:tcBorders>
              <w:top w:val="nil"/>
              <w:left w:val="nil"/>
              <w:bottom w:val="nil"/>
              <w:right w:val="nil"/>
            </w:tcBorders>
            <w:shd w:val="clear" w:color="auto" w:fill="auto"/>
            <w:tcMar>
              <w:left w:w="85" w:type="dxa"/>
              <w:right w:w="85" w:type="dxa"/>
            </w:tcMar>
          </w:tcPr>
          <w:p w14:paraId="672C68B6" w14:textId="77777777" w:rsidR="00B54968" w:rsidRPr="00B54968" w:rsidRDefault="00B54968" w:rsidP="003E2009">
            <w:pPr>
              <w:pStyle w:val="TableCellText10pt"/>
              <w:keepNext w:val="0"/>
              <w:ind w:left="480" w:hanging="240"/>
              <w:rPr>
                <w:rFonts w:eastAsia="Times New Roman"/>
                <w:color w:val="000000"/>
                <w:sz w:val="18"/>
                <w:szCs w:val="18"/>
              </w:rPr>
            </w:pPr>
            <w:r w:rsidRPr="00B54968">
              <w:rPr>
                <w:rFonts w:eastAsia="Times New Roman"/>
                <w:sz w:val="18"/>
                <w:szCs w:val="18"/>
              </w:rPr>
              <w:t>Pharyngitis</w:t>
            </w:r>
          </w:p>
        </w:tc>
        <w:tc>
          <w:tcPr>
            <w:tcW w:w="1464" w:type="dxa"/>
            <w:tcBorders>
              <w:top w:val="nil"/>
              <w:left w:val="nil"/>
              <w:bottom w:val="nil"/>
              <w:right w:val="nil"/>
            </w:tcBorders>
            <w:shd w:val="clear" w:color="auto" w:fill="auto"/>
            <w:tcMar>
              <w:left w:w="85" w:type="dxa"/>
              <w:right w:w="85" w:type="dxa"/>
            </w:tcMar>
          </w:tcPr>
          <w:p w14:paraId="2DBA06FA"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54AA7E22"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7 (5.7)</w:t>
            </w:r>
          </w:p>
        </w:tc>
        <w:tc>
          <w:tcPr>
            <w:tcW w:w="1464" w:type="dxa"/>
            <w:tcBorders>
              <w:top w:val="nil"/>
              <w:left w:val="nil"/>
              <w:bottom w:val="nil"/>
              <w:right w:val="nil"/>
            </w:tcBorders>
            <w:shd w:val="clear" w:color="auto" w:fill="auto"/>
            <w:tcMar>
              <w:left w:w="85" w:type="dxa"/>
              <w:right w:w="85" w:type="dxa"/>
            </w:tcMar>
          </w:tcPr>
          <w:p w14:paraId="2BB5CBF9"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11 (4.4)</w:t>
            </w:r>
          </w:p>
        </w:tc>
      </w:tr>
      <w:tr w:rsidR="00B54968" w:rsidRPr="00B54968" w14:paraId="44614E16" w14:textId="77777777" w:rsidTr="00336B3E">
        <w:tc>
          <w:tcPr>
            <w:tcW w:w="4737" w:type="dxa"/>
            <w:tcBorders>
              <w:top w:val="nil"/>
              <w:left w:val="nil"/>
              <w:bottom w:val="nil"/>
              <w:right w:val="nil"/>
            </w:tcBorders>
            <w:shd w:val="clear" w:color="auto" w:fill="auto"/>
            <w:tcMar>
              <w:left w:w="85" w:type="dxa"/>
              <w:right w:w="85" w:type="dxa"/>
            </w:tcMar>
          </w:tcPr>
          <w:p w14:paraId="6AAA8B7B" w14:textId="77777777" w:rsidR="00B54968" w:rsidRPr="00B54968" w:rsidRDefault="00B54968" w:rsidP="003E2009">
            <w:pPr>
              <w:pStyle w:val="TableCellText10pt"/>
              <w:keepNext w:val="0"/>
              <w:ind w:left="480" w:hanging="240"/>
              <w:rPr>
                <w:rFonts w:eastAsia="Times New Roman"/>
                <w:sz w:val="18"/>
                <w:szCs w:val="18"/>
              </w:rPr>
            </w:pPr>
            <w:r w:rsidRPr="00B54968">
              <w:rPr>
                <w:rFonts w:eastAsia="Times New Roman"/>
                <w:sz w:val="18"/>
                <w:szCs w:val="18"/>
              </w:rPr>
              <w:t>Respiratory tract infection</w:t>
            </w:r>
          </w:p>
        </w:tc>
        <w:tc>
          <w:tcPr>
            <w:tcW w:w="1464" w:type="dxa"/>
            <w:tcBorders>
              <w:top w:val="nil"/>
              <w:left w:val="nil"/>
              <w:bottom w:val="nil"/>
              <w:right w:val="nil"/>
            </w:tcBorders>
            <w:shd w:val="clear" w:color="auto" w:fill="auto"/>
            <w:tcMar>
              <w:left w:w="85" w:type="dxa"/>
              <w:right w:w="85" w:type="dxa"/>
            </w:tcMar>
          </w:tcPr>
          <w:p w14:paraId="2BB5D22A"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94C5EFC"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1E4DF90"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 (0.8)</w:t>
            </w:r>
          </w:p>
        </w:tc>
      </w:tr>
      <w:tr w:rsidR="00B54968" w:rsidRPr="00B54968" w14:paraId="23BE3826" w14:textId="77777777" w:rsidTr="00336B3E">
        <w:tc>
          <w:tcPr>
            <w:tcW w:w="4737" w:type="dxa"/>
            <w:tcBorders>
              <w:top w:val="nil"/>
              <w:left w:val="nil"/>
              <w:bottom w:val="nil"/>
              <w:right w:val="nil"/>
            </w:tcBorders>
            <w:shd w:val="clear" w:color="auto" w:fill="auto"/>
            <w:tcMar>
              <w:left w:w="85" w:type="dxa"/>
              <w:right w:w="85" w:type="dxa"/>
            </w:tcMar>
          </w:tcPr>
          <w:p w14:paraId="63FD735D" w14:textId="77777777" w:rsidR="00B54968" w:rsidRPr="00B54968" w:rsidRDefault="00B54968" w:rsidP="003E2009">
            <w:pPr>
              <w:pStyle w:val="TableCellText10pt"/>
              <w:keepNext w:val="0"/>
              <w:ind w:left="480" w:hanging="240"/>
              <w:rPr>
                <w:rFonts w:eastAsia="Times New Roman"/>
                <w:sz w:val="18"/>
                <w:szCs w:val="18"/>
              </w:rPr>
            </w:pPr>
            <w:r w:rsidRPr="00B54968">
              <w:rPr>
                <w:rFonts w:eastAsia="Times New Roman"/>
                <w:sz w:val="18"/>
                <w:szCs w:val="18"/>
              </w:rPr>
              <w:t>Rhinitis</w:t>
            </w:r>
          </w:p>
        </w:tc>
        <w:tc>
          <w:tcPr>
            <w:tcW w:w="1464" w:type="dxa"/>
            <w:tcBorders>
              <w:top w:val="nil"/>
              <w:left w:val="nil"/>
              <w:bottom w:val="nil"/>
              <w:right w:val="nil"/>
            </w:tcBorders>
            <w:shd w:val="clear" w:color="auto" w:fill="auto"/>
            <w:tcMar>
              <w:left w:w="85" w:type="dxa"/>
              <w:right w:w="85" w:type="dxa"/>
            </w:tcMar>
          </w:tcPr>
          <w:p w14:paraId="0D3FB1AC"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5F8FC2C3"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292FA448"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3 (1.2)</w:t>
            </w:r>
          </w:p>
        </w:tc>
      </w:tr>
      <w:tr w:rsidR="00B54968" w:rsidRPr="00B54968" w14:paraId="04B395E5" w14:textId="77777777" w:rsidTr="00336B3E">
        <w:tc>
          <w:tcPr>
            <w:tcW w:w="4737" w:type="dxa"/>
            <w:tcBorders>
              <w:top w:val="nil"/>
              <w:left w:val="nil"/>
              <w:bottom w:val="nil"/>
              <w:right w:val="nil"/>
            </w:tcBorders>
            <w:shd w:val="clear" w:color="auto" w:fill="auto"/>
            <w:tcMar>
              <w:left w:w="85" w:type="dxa"/>
              <w:right w:w="85" w:type="dxa"/>
            </w:tcMar>
          </w:tcPr>
          <w:p w14:paraId="537CC30D" w14:textId="77777777" w:rsidR="00B54968" w:rsidRPr="00B54968" w:rsidRDefault="00B54968" w:rsidP="003E2009">
            <w:pPr>
              <w:pStyle w:val="TableCellText10pt"/>
              <w:keepNext w:val="0"/>
              <w:ind w:left="480" w:hanging="240"/>
              <w:rPr>
                <w:rFonts w:eastAsia="Times New Roman"/>
                <w:color w:val="000000"/>
                <w:sz w:val="18"/>
                <w:szCs w:val="18"/>
              </w:rPr>
            </w:pPr>
            <w:r w:rsidRPr="00B54968">
              <w:rPr>
                <w:rFonts w:eastAsia="Times New Roman"/>
                <w:sz w:val="18"/>
                <w:szCs w:val="18"/>
              </w:rPr>
              <w:t>Sinusitis</w:t>
            </w:r>
          </w:p>
        </w:tc>
        <w:tc>
          <w:tcPr>
            <w:tcW w:w="1464" w:type="dxa"/>
            <w:tcBorders>
              <w:top w:val="nil"/>
              <w:left w:val="nil"/>
              <w:bottom w:val="nil"/>
              <w:right w:val="nil"/>
            </w:tcBorders>
            <w:shd w:val="clear" w:color="auto" w:fill="auto"/>
            <w:tcMar>
              <w:left w:w="85" w:type="dxa"/>
              <w:right w:w="85" w:type="dxa"/>
            </w:tcMar>
          </w:tcPr>
          <w:p w14:paraId="74539ADE"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46692BFC"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BC94D9E"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6 (2.4)</w:t>
            </w:r>
          </w:p>
        </w:tc>
      </w:tr>
      <w:tr w:rsidR="00B54968" w:rsidRPr="00B54968" w14:paraId="6B9E0170" w14:textId="77777777" w:rsidTr="00336B3E">
        <w:tc>
          <w:tcPr>
            <w:tcW w:w="4737" w:type="dxa"/>
            <w:tcBorders>
              <w:top w:val="nil"/>
              <w:left w:val="nil"/>
              <w:bottom w:val="nil"/>
              <w:right w:val="nil"/>
            </w:tcBorders>
            <w:shd w:val="clear" w:color="auto" w:fill="auto"/>
            <w:tcMar>
              <w:left w:w="85" w:type="dxa"/>
              <w:right w:w="85" w:type="dxa"/>
            </w:tcMar>
          </w:tcPr>
          <w:p w14:paraId="788A3074" w14:textId="77777777" w:rsidR="00B54968" w:rsidRPr="00B54968" w:rsidRDefault="00B54968" w:rsidP="003E2009">
            <w:pPr>
              <w:pStyle w:val="TableCellText10pt"/>
              <w:keepNext w:val="0"/>
              <w:ind w:left="480" w:hanging="240"/>
              <w:rPr>
                <w:rFonts w:eastAsia="Times New Roman"/>
                <w:sz w:val="18"/>
                <w:szCs w:val="18"/>
              </w:rPr>
            </w:pPr>
            <w:r w:rsidRPr="00B54968">
              <w:rPr>
                <w:rFonts w:eastAsia="Times New Roman"/>
                <w:sz w:val="18"/>
                <w:szCs w:val="18"/>
              </w:rPr>
              <w:lastRenderedPageBreak/>
              <w:t>Tinea </w:t>
            </w:r>
            <w:proofErr w:type="spellStart"/>
            <w:r w:rsidRPr="00B54968">
              <w:rPr>
                <w:rFonts w:eastAsia="Times New Roman"/>
                <w:sz w:val="18"/>
                <w:szCs w:val="18"/>
              </w:rPr>
              <w:t>pedis</w:t>
            </w:r>
            <w:proofErr w:type="spellEnd"/>
          </w:p>
        </w:tc>
        <w:tc>
          <w:tcPr>
            <w:tcW w:w="1464" w:type="dxa"/>
            <w:tcBorders>
              <w:top w:val="nil"/>
              <w:left w:val="nil"/>
              <w:bottom w:val="nil"/>
              <w:right w:val="nil"/>
            </w:tcBorders>
            <w:shd w:val="clear" w:color="auto" w:fill="auto"/>
            <w:tcMar>
              <w:left w:w="85" w:type="dxa"/>
              <w:right w:w="85" w:type="dxa"/>
            </w:tcMar>
          </w:tcPr>
          <w:p w14:paraId="6871D02B"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14BEF63"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92BAD24"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3 (1.2)</w:t>
            </w:r>
          </w:p>
        </w:tc>
      </w:tr>
      <w:tr w:rsidR="00B54968" w:rsidRPr="00B54968" w14:paraId="2D2C45A2" w14:textId="77777777" w:rsidTr="00336B3E">
        <w:tc>
          <w:tcPr>
            <w:tcW w:w="4737" w:type="dxa"/>
            <w:tcBorders>
              <w:top w:val="nil"/>
              <w:left w:val="nil"/>
              <w:bottom w:val="nil"/>
              <w:right w:val="nil"/>
            </w:tcBorders>
            <w:shd w:val="clear" w:color="auto" w:fill="auto"/>
            <w:tcMar>
              <w:left w:w="85" w:type="dxa"/>
              <w:right w:w="85" w:type="dxa"/>
            </w:tcMar>
          </w:tcPr>
          <w:p w14:paraId="27AA0AD8" w14:textId="77777777" w:rsidR="00B54968" w:rsidRPr="00B54968" w:rsidRDefault="00B54968" w:rsidP="003E2009">
            <w:pPr>
              <w:pStyle w:val="TableCellText10pt"/>
              <w:keepNext w:val="0"/>
              <w:ind w:left="480" w:hanging="240"/>
              <w:rPr>
                <w:rFonts w:eastAsia="Times New Roman"/>
                <w:sz w:val="18"/>
                <w:szCs w:val="18"/>
              </w:rPr>
            </w:pPr>
            <w:r w:rsidRPr="00B54968">
              <w:rPr>
                <w:rFonts w:eastAsia="Times New Roman"/>
                <w:sz w:val="18"/>
                <w:szCs w:val="18"/>
              </w:rPr>
              <w:t>Tonsillitis</w:t>
            </w:r>
          </w:p>
        </w:tc>
        <w:tc>
          <w:tcPr>
            <w:tcW w:w="1464" w:type="dxa"/>
            <w:tcBorders>
              <w:top w:val="nil"/>
              <w:left w:val="nil"/>
              <w:bottom w:val="nil"/>
              <w:right w:val="nil"/>
            </w:tcBorders>
            <w:shd w:val="clear" w:color="auto" w:fill="auto"/>
            <w:tcMar>
              <w:left w:w="85" w:type="dxa"/>
              <w:right w:w="85" w:type="dxa"/>
            </w:tcMar>
          </w:tcPr>
          <w:p w14:paraId="416EBC30"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50364E5C"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E68FFDB"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 (0.8)</w:t>
            </w:r>
          </w:p>
        </w:tc>
      </w:tr>
      <w:tr w:rsidR="00B54968" w:rsidRPr="00B54968" w14:paraId="518ADD61" w14:textId="77777777" w:rsidTr="00336B3E">
        <w:tc>
          <w:tcPr>
            <w:tcW w:w="4737" w:type="dxa"/>
            <w:tcBorders>
              <w:top w:val="nil"/>
              <w:left w:val="nil"/>
              <w:bottom w:val="nil"/>
              <w:right w:val="nil"/>
            </w:tcBorders>
            <w:shd w:val="clear" w:color="auto" w:fill="auto"/>
            <w:tcMar>
              <w:left w:w="85" w:type="dxa"/>
              <w:right w:w="85" w:type="dxa"/>
            </w:tcMar>
          </w:tcPr>
          <w:p w14:paraId="16781FDC"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Upper respiratory tract infection</w:t>
            </w:r>
          </w:p>
        </w:tc>
        <w:tc>
          <w:tcPr>
            <w:tcW w:w="1464" w:type="dxa"/>
            <w:tcBorders>
              <w:top w:val="nil"/>
              <w:left w:val="nil"/>
              <w:bottom w:val="nil"/>
              <w:right w:val="nil"/>
            </w:tcBorders>
            <w:shd w:val="clear" w:color="auto" w:fill="auto"/>
            <w:tcMar>
              <w:left w:w="85" w:type="dxa"/>
              <w:right w:w="85" w:type="dxa"/>
            </w:tcMar>
          </w:tcPr>
          <w:p w14:paraId="196B03C1"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10 (7.8)</w:t>
            </w:r>
          </w:p>
        </w:tc>
        <w:tc>
          <w:tcPr>
            <w:tcW w:w="1464" w:type="dxa"/>
            <w:tcBorders>
              <w:top w:val="nil"/>
              <w:left w:val="nil"/>
              <w:bottom w:val="nil"/>
              <w:right w:val="nil"/>
            </w:tcBorders>
            <w:shd w:val="clear" w:color="auto" w:fill="auto"/>
            <w:tcMar>
              <w:left w:w="85" w:type="dxa"/>
              <w:right w:w="85" w:type="dxa"/>
            </w:tcMar>
          </w:tcPr>
          <w:p w14:paraId="397BCBDF"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13 (10.7)</w:t>
            </w:r>
          </w:p>
        </w:tc>
        <w:tc>
          <w:tcPr>
            <w:tcW w:w="1464" w:type="dxa"/>
            <w:tcBorders>
              <w:top w:val="nil"/>
              <w:left w:val="nil"/>
              <w:bottom w:val="nil"/>
              <w:right w:val="nil"/>
            </w:tcBorders>
            <w:shd w:val="clear" w:color="auto" w:fill="auto"/>
            <w:tcMar>
              <w:left w:w="85" w:type="dxa"/>
              <w:right w:w="85" w:type="dxa"/>
            </w:tcMar>
          </w:tcPr>
          <w:p w14:paraId="5D48EBCC"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23 (9.2)</w:t>
            </w:r>
          </w:p>
        </w:tc>
      </w:tr>
      <w:tr w:rsidR="00B54968" w:rsidRPr="00B54968" w14:paraId="7E5296F3" w14:textId="77777777" w:rsidTr="00336B3E">
        <w:tc>
          <w:tcPr>
            <w:tcW w:w="4737" w:type="dxa"/>
            <w:tcBorders>
              <w:top w:val="nil"/>
              <w:left w:val="nil"/>
              <w:bottom w:val="nil"/>
              <w:right w:val="nil"/>
            </w:tcBorders>
            <w:shd w:val="clear" w:color="auto" w:fill="auto"/>
            <w:tcMar>
              <w:left w:w="85" w:type="dxa"/>
              <w:right w:w="85" w:type="dxa"/>
            </w:tcMar>
          </w:tcPr>
          <w:p w14:paraId="575BBE22" w14:textId="77777777" w:rsidR="00B54968" w:rsidRPr="00B54968" w:rsidRDefault="00B54968" w:rsidP="003E2009">
            <w:pPr>
              <w:pStyle w:val="TableCellText10pt"/>
              <w:keepNext w:val="0"/>
              <w:ind w:left="480" w:hanging="240"/>
              <w:rPr>
                <w:rFonts w:eastAsia="Times New Roman"/>
                <w:sz w:val="18"/>
                <w:szCs w:val="18"/>
              </w:rPr>
            </w:pPr>
            <w:r w:rsidRPr="00B54968">
              <w:rPr>
                <w:rFonts w:eastAsia="Times New Roman"/>
                <w:sz w:val="18"/>
                <w:szCs w:val="18"/>
              </w:rPr>
              <w:t>Urinary tract infection</w:t>
            </w:r>
          </w:p>
        </w:tc>
        <w:tc>
          <w:tcPr>
            <w:tcW w:w="1464" w:type="dxa"/>
            <w:tcBorders>
              <w:top w:val="nil"/>
              <w:left w:val="nil"/>
              <w:bottom w:val="nil"/>
              <w:right w:val="nil"/>
            </w:tcBorders>
            <w:shd w:val="clear" w:color="auto" w:fill="auto"/>
            <w:tcMar>
              <w:left w:w="85" w:type="dxa"/>
              <w:right w:w="85" w:type="dxa"/>
            </w:tcMar>
          </w:tcPr>
          <w:p w14:paraId="759A0DC4"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8 (6.3)</w:t>
            </w:r>
          </w:p>
        </w:tc>
        <w:tc>
          <w:tcPr>
            <w:tcW w:w="1464" w:type="dxa"/>
            <w:tcBorders>
              <w:top w:val="nil"/>
              <w:left w:val="nil"/>
              <w:bottom w:val="nil"/>
              <w:right w:val="nil"/>
            </w:tcBorders>
            <w:shd w:val="clear" w:color="auto" w:fill="auto"/>
            <w:tcMar>
              <w:left w:w="85" w:type="dxa"/>
              <w:right w:w="85" w:type="dxa"/>
            </w:tcMar>
          </w:tcPr>
          <w:p w14:paraId="320F1C3A"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8BAB8DC"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9 (3.6)</w:t>
            </w:r>
          </w:p>
        </w:tc>
      </w:tr>
      <w:tr w:rsidR="00B54968" w:rsidRPr="00B54968" w14:paraId="71210937"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4175EFF9" w14:textId="77777777" w:rsidR="00B54968" w:rsidRPr="00B54968" w:rsidRDefault="00B54968" w:rsidP="003E2009">
            <w:pPr>
              <w:pStyle w:val="TableCellText10pt"/>
              <w:keepNext w:val="0"/>
              <w:ind w:left="480" w:hanging="240"/>
              <w:rPr>
                <w:rFonts w:eastAsia="Times New Roman"/>
                <w:sz w:val="18"/>
                <w:szCs w:val="18"/>
              </w:rPr>
            </w:pPr>
            <w:r w:rsidRPr="00B54968">
              <w:rPr>
                <w:rFonts w:eastAsia="Times New Roman"/>
                <w:sz w:val="18"/>
                <w:szCs w:val="18"/>
              </w:rPr>
              <w:t>Viral upper respiratory tract infection</w:t>
            </w:r>
          </w:p>
        </w:tc>
        <w:tc>
          <w:tcPr>
            <w:tcW w:w="1464" w:type="dxa"/>
            <w:tcBorders>
              <w:top w:val="nil"/>
              <w:left w:val="nil"/>
              <w:bottom w:val="single" w:sz="4" w:space="0" w:color="auto"/>
              <w:right w:val="nil"/>
            </w:tcBorders>
            <w:shd w:val="clear" w:color="auto" w:fill="auto"/>
            <w:tcMar>
              <w:left w:w="85" w:type="dxa"/>
              <w:right w:w="85" w:type="dxa"/>
            </w:tcMar>
          </w:tcPr>
          <w:p w14:paraId="6483FB7F"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6542163"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single" w:sz="4" w:space="0" w:color="auto"/>
              <w:right w:val="nil"/>
            </w:tcBorders>
            <w:shd w:val="clear" w:color="auto" w:fill="auto"/>
            <w:tcMar>
              <w:left w:w="85" w:type="dxa"/>
              <w:right w:w="85" w:type="dxa"/>
            </w:tcMar>
          </w:tcPr>
          <w:p w14:paraId="54919C2B"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3 (1.2)</w:t>
            </w:r>
          </w:p>
        </w:tc>
      </w:tr>
      <w:tr w:rsidR="00B54968" w:rsidRPr="00B54968" w14:paraId="00C7F648" w14:textId="77777777" w:rsidTr="00336B3E">
        <w:tc>
          <w:tcPr>
            <w:tcW w:w="4737" w:type="dxa"/>
            <w:tcBorders>
              <w:top w:val="nil"/>
              <w:left w:val="nil"/>
              <w:bottom w:val="nil"/>
              <w:right w:val="nil"/>
            </w:tcBorders>
            <w:shd w:val="clear" w:color="auto" w:fill="auto"/>
            <w:tcMar>
              <w:left w:w="85" w:type="dxa"/>
              <w:right w:w="85" w:type="dxa"/>
            </w:tcMar>
          </w:tcPr>
          <w:p w14:paraId="1B6B7CE4" w14:textId="77777777" w:rsidR="00B54968" w:rsidRPr="00B54968" w:rsidRDefault="00B54968" w:rsidP="003E2009">
            <w:pPr>
              <w:pStyle w:val="TableCellText10pt"/>
              <w:keepNext w:val="0"/>
              <w:rPr>
                <w:rFonts w:eastAsia="Times New Roman"/>
                <w:color w:val="000000"/>
                <w:sz w:val="18"/>
                <w:szCs w:val="18"/>
              </w:rPr>
            </w:pPr>
            <w:r w:rsidRPr="00364D52">
              <w:rPr>
                <w:rFonts w:eastAsia="Times New Roman"/>
                <w:b/>
                <w:sz w:val="18"/>
                <w:szCs w:val="18"/>
              </w:rPr>
              <w:t>Investigations</w:t>
            </w:r>
          </w:p>
        </w:tc>
        <w:tc>
          <w:tcPr>
            <w:tcW w:w="1464" w:type="dxa"/>
            <w:tcBorders>
              <w:top w:val="nil"/>
              <w:left w:val="nil"/>
              <w:bottom w:val="nil"/>
              <w:right w:val="nil"/>
            </w:tcBorders>
            <w:shd w:val="clear" w:color="auto" w:fill="auto"/>
            <w:tcMar>
              <w:left w:w="85" w:type="dxa"/>
              <w:right w:w="85" w:type="dxa"/>
            </w:tcMar>
          </w:tcPr>
          <w:p w14:paraId="05A2FEB0" w14:textId="77777777" w:rsidR="00B54968" w:rsidRPr="00B54968" w:rsidRDefault="00B54968" w:rsidP="003E200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591160D4" w14:textId="77777777" w:rsidR="00B54968" w:rsidRPr="00B54968" w:rsidRDefault="00B54968" w:rsidP="003E200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0ABC9C61" w14:textId="77777777" w:rsidR="00B54968" w:rsidRPr="00B54968" w:rsidRDefault="00B54968" w:rsidP="003E2009">
            <w:pPr>
              <w:pStyle w:val="TableCellText10pt"/>
              <w:keepNext w:val="0"/>
              <w:rPr>
                <w:rFonts w:eastAsia="Times New Roman"/>
                <w:sz w:val="18"/>
                <w:szCs w:val="18"/>
              </w:rPr>
            </w:pPr>
          </w:p>
        </w:tc>
      </w:tr>
      <w:tr w:rsidR="00B54968" w:rsidRPr="00B54968" w14:paraId="583C96BE" w14:textId="77777777" w:rsidTr="00336B3E">
        <w:tc>
          <w:tcPr>
            <w:tcW w:w="4737" w:type="dxa"/>
            <w:tcBorders>
              <w:top w:val="nil"/>
              <w:left w:val="nil"/>
              <w:bottom w:val="nil"/>
              <w:right w:val="nil"/>
            </w:tcBorders>
            <w:shd w:val="clear" w:color="auto" w:fill="auto"/>
            <w:tcMar>
              <w:left w:w="85" w:type="dxa"/>
              <w:right w:w="85" w:type="dxa"/>
            </w:tcMar>
          </w:tcPr>
          <w:p w14:paraId="123FCEBF"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Alanine aminotransferase increased</w:t>
            </w:r>
          </w:p>
        </w:tc>
        <w:tc>
          <w:tcPr>
            <w:tcW w:w="1464" w:type="dxa"/>
            <w:tcBorders>
              <w:top w:val="nil"/>
              <w:left w:val="nil"/>
              <w:bottom w:val="nil"/>
              <w:right w:val="nil"/>
            </w:tcBorders>
            <w:shd w:val="clear" w:color="auto" w:fill="auto"/>
            <w:tcMar>
              <w:left w:w="85" w:type="dxa"/>
              <w:right w:w="85" w:type="dxa"/>
            </w:tcMar>
          </w:tcPr>
          <w:p w14:paraId="34EB3DC5"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19 (14.8)</w:t>
            </w:r>
          </w:p>
        </w:tc>
        <w:tc>
          <w:tcPr>
            <w:tcW w:w="1464" w:type="dxa"/>
            <w:tcBorders>
              <w:top w:val="nil"/>
              <w:left w:val="nil"/>
              <w:bottom w:val="nil"/>
              <w:right w:val="nil"/>
            </w:tcBorders>
            <w:shd w:val="clear" w:color="auto" w:fill="auto"/>
            <w:tcMar>
              <w:left w:w="85" w:type="dxa"/>
              <w:right w:w="85" w:type="dxa"/>
            </w:tcMar>
          </w:tcPr>
          <w:p w14:paraId="3FAD7F60"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19 (15.6)</w:t>
            </w:r>
          </w:p>
        </w:tc>
        <w:tc>
          <w:tcPr>
            <w:tcW w:w="1464" w:type="dxa"/>
            <w:tcBorders>
              <w:top w:val="nil"/>
              <w:left w:val="nil"/>
              <w:bottom w:val="nil"/>
              <w:right w:val="nil"/>
            </w:tcBorders>
            <w:shd w:val="clear" w:color="auto" w:fill="auto"/>
            <w:tcMar>
              <w:left w:w="85" w:type="dxa"/>
              <w:right w:w="85" w:type="dxa"/>
            </w:tcMar>
          </w:tcPr>
          <w:p w14:paraId="7DFC6F09"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38 (15.2)</w:t>
            </w:r>
          </w:p>
        </w:tc>
      </w:tr>
      <w:tr w:rsidR="00B54968" w:rsidRPr="00B54968" w14:paraId="12378987" w14:textId="77777777" w:rsidTr="00336B3E">
        <w:tc>
          <w:tcPr>
            <w:tcW w:w="4737" w:type="dxa"/>
            <w:tcBorders>
              <w:top w:val="nil"/>
              <w:left w:val="nil"/>
              <w:bottom w:val="nil"/>
              <w:right w:val="nil"/>
            </w:tcBorders>
            <w:shd w:val="clear" w:color="auto" w:fill="auto"/>
            <w:tcMar>
              <w:left w:w="85" w:type="dxa"/>
              <w:right w:w="85" w:type="dxa"/>
            </w:tcMar>
          </w:tcPr>
          <w:p w14:paraId="276FD536" w14:textId="77777777" w:rsidR="00B54968" w:rsidRPr="00B54968" w:rsidRDefault="00B54968" w:rsidP="003E2009">
            <w:pPr>
              <w:pStyle w:val="TableCellText10pt"/>
              <w:keepNext w:val="0"/>
              <w:ind w:left="480" w:hanging="240"/>
              <w:rPr>
                <w:rFonts w:eastAsia="Times New Roman"/>
                <w:sz w:val="18"/>
                <w:szCs w:val="18"/>
              </w:rPr>
            </w:pPr>
            <w:r w:rsidRPr="00B54968">
              <w:rPr>
                <w:rFonts w:eastAsia="Times New Roman"/>
                <w:sz w:val="18"/>
                <w:szCs w:val="18"/>
              </w:rPr>
              <w:t>Aspartate aminotransferase increased</w:t>
            </w:r>
          </w:p>
        </w:tc>
        <w:tc>
          <w:tcPr>
            <w:tcW w:w="1464" w:type="dxa"/>
            <w:tcBorders>
              <w:top w:val="nil"/>
              <w:left w:val="nil"/>
              <w:bottom w:val="nil"/>
              <w:right w:val="nil"/>
            </w:tcBorders>
            <w:shd w:val="clear" w:color="auto" w:fill="auto"/>
            <w:tcMar>
              <w:left w:w="85" w:type="dxa"/>
              <w:right w:w="85" w:type="dxa"/>
            </w:tcMar>
          </w:tcPr>
          <w:p w14:paraId="08533876"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16 (12.5)</w:t>
            </w:r>
          </w:p>
        </w:tc>
        <w:tc>
          <w:tcPr>
            <w:tcW w:w="1464" w:type="dxa"/>
            <w:tcBorders>
              <w:top w:val="nil"/>
              <w:left w:val="nil"/>
              <w:bottom w:val="nil"/>
              <w:right w:val="nil"/>
            </w:tcBorders>
            <w:shd w:val="clear" w:color="auto" w:fill="auto"/>
            <w:tcMar>
              <w:left w:w="85" w:type="dxa"/>
              <w:right w:w="85" w:type="dxa"/>
            </w:tcMar>
          </w:tcPr>
          <w:p w14:paraId="7BA9B10C"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13 (10.7)</w:t>
            </w:r>
          </w:p>
        </w:tc>
        <w:tc>
          <w:tcPr>
            <w:tcW w:w="1464" w:type="dxa"/>
            <w:tcBorders>
              <w:top w:val="nil"/>
              <w:left w:val="nil"/>
              <w:bottom w:val="nil"/>
              <w:right w:val="nil"/>
            </w:tcBorders>
            <w:shd w:val="clear" w:color="auto" w:fill="auto"/>
            <w:tcMar>
              <w:left w:w="85" w:type="dxa"/>
              <w:right w:w="85" w:type="dxa"/>
            </w:tcMar>
          </w:tcPr>
          <w:p w14:paraId="37FA23AE"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29 (11.6)</w:t>
            </w:r>
          </w:p>
        </w:tc>
      </w:tr>
      <w:tr w:rsidR="00B54968" w:rsidRPr="00B54968" w14:paraId="360C460D" w14:textId="77777777" w:rsidTr="00336B3E">
        <w:tc>
          <w:tcPr>
            <w:tcW w:w="4737" w:type="dxa"/>
            <w:tcBorders>
              <w:top w:val="nil"/>
              <w:left w:val="nil"/>
              <w:bottom w:val="nil"/>
              <w:right w:val="nil"/>
            </w:tcBorders>
            <w:shd w:val="clear" w:color="auto" w:fill="auto"/>
            <w:tcMar>
              <w:left w:w="85" w:type="dxa"/>
              <w:right w:w="85" w:type="dxa"/>
            </w:tcMar>
          </w:tcPr>
          <w:p w14:paraId="77A3C62C" w14:textId="77777777" w:rsidR="00B54968" w:rsidRPr="00B54968" w:rsidRDefault="00B54968" w:rsidP="003E2009">
            <w:pPr>
              <w:pStyle w:val="TableCellText10pt"/>
              <w:keepNext w:val="0"/>
              <w:ind w:left="480" w:hanging="240"/>
              <w:rPr>
                <w:rFonts w:eastAsia="Times New Roman"/>
                <w:sz w:val="18"/>
                <w:szCs w:val="18"/>
              </w:rPr>
            </w:pPr>
            <w:r w:rsidRPr="00B54968">
              <w:rPr>
                <w:rFonts w:eastAsia="Times New Roman"/>
                <w:sz w:val="18"/>
                <w:szCs w:val="18"/>
              </w:rPr>
              <w:t>Blood </w:t>
            </w:r>
            <w:proofErr w:type="spellStart"/>
            <w:r w:rsidRPr="00B54968">
              <w:rPr>
                <w:rFonts w:eastAsia="Times New Roman"/>
                <w:sz w:val="18"/>
                <w:szCs w:val="18"/>
              </w:rPr>
              <w:t>creatine</w:t>
            </w:r>
            <w:proofErr w:type="spellEnd"/>
            <w:r w:rsidRPr="00B54968">
              <w:rPr>
                <w:rFonts w:eastAsia="Times New Roman"/>
                <w:sz w:val="18"/>
                <w:szCs w:val="18"/>
              </w:rPr>
              <w:t> phosphokinase increased</w:t>
            </w:r>
          </w:p>
        </w:tc>
        <w:tc>
          <w:tcPr>
            <w:tcW w:w="1464" w:type="dxa"/>
            <w:tcBorders>
              <w:top w:val="nil"/>
              <w:left w:val="nil"/>
              <w:bottom w:val="nil"/>
              <w:right w:val="nil"/>
            </w:tcBorders>
            <w:shd w:val="clear" w:color="auto" w:fill="auto"/>
            <w:tcMar>
              <w:left w:w="85" w:type="dxa"/>
              <w:right w:w="85" w:type="dxa"/>
            </w:tcMar>
          </w:tcPr>
          <w:p w14:paraId="60F686C9"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8 (6.3)</w:t>
            </w:r>
          </w:p>
        </w:tc>
        <w:tc>
          <w:tcPr>
            <w:tcW w:w="1464" w:type="dxa"/>
            <w:tcBorders>
              <w:top w:val="nil"/>
              <w:left w:val="nil"/>
              <w:bottom w:val="nil"/>
              <w:right w:val="nil"/>
            </w:tcBorders>
            <w:shd w:val="clear" w:color="auto" w:fill="auto"/>
            <w:tcMar>
              <w:left w:w="85" w:type="dxa"/>
              <w:right w:w="85" w:type="dxa"/>
            </w:tcMar>
          </w:tcPr>
          <w:p w14:paraId="6C9DB026"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5 (4.1)</w:t>
            </w:r>
          </w:p>
        </w:tc>
        <w:tc>
          <w:tcPr>
            <w:tcW w:w="1464" w:type="dxa"/>
            <w:tcBorders>
              <w:top w:val="nil"/>
              <w:left w:val="nil"/>
              <w:bottom w:val="nil"/>
              <w:right w:val="nil"/>
            </w:tcBorders>
            <w:shd w:val="clear" w:color="auto" w:fill="auto"/>
            <w:tcMar>
              <w:left w:w="85" w:type="dxa"/>
              <w:right w:w="85" w:type="dxa"/>
            </w:tcMar>
          </w:tcPr>
          <w:p w14:paraId="787B878E" w14:textId="77777777" w:rsidR="00B54968" w:rsidRPr="00B54968" w:rsidRDefault="00B54968" w:rsidP="003E2009">
            <w:pPr>
              <w:pStyle w:val="TableCellText10pt"/>
              <w:keepNext w:val="0"/>
              <w:rPr>
                <w:rFonts w:eastAsia="Times New Roman"/>
                <w:sz w:val="18"/>
                <w:szCs w:val="18"/>
              </w:rPr>
            </w:pPr>
            <w:r w:rsidRPr="00B54968">
              <w:rPr>
                <w:rFonts w:eastAsia="Times New Roman"/>
                <w:sz w:val="18"/>
                <w:szCs w:val="18"/>
              </w:rPr>
              <w:t>13 (5.2)</w:t>
            </w:r>
          </w:p>
        </w:tc>
      </w:tr>
      <w:tr w:rsidR="00B54968" w:rsidRPr="00B54968" w14:paraId="75955B49" w14:textId="77777777" w:rsidTr="00336B3E">
        <w:tc>
          <w:tcPr>
            <w:tcW w:w="4737" w:type="dxa"/>
            <w:tcBorders>
              <w:top w:val="nil"/>
              <w:left w:val="nil"/>
              <w:bottom w:val="nil"/>
              <w:right w:val="nil"/>
            </w:tcBorders>
            <w:shd w:val="clear" w:color="auto" w:fill="auto"/>
            <w:tcMar>
              <w:left w:w="85" w:type="dxa"/>
              <w:right w:w="85" w:type="dxa"/>
            </w:tcMar>
          </w:tcPr>
          <w:p w14:paraId="0FE8371E"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Blood lactate dehydrogenase increased</w:t>
            </w:r>
          </w:p>
        </w:tc>
        <w:tc>
          <w:tcPr>
            <w:tcW w:w="1464" w:type="dxa"/>
            <w:tcBorders>
              <w:top w:val="nil"/>
              <w:left w:val="nil"/>
              <w:bottom w:val="nil"/>
              <w:right w:val="nil"/>
            </w:tcBorders>
            <w:shd w:val="clear" w:color="auto" w:fill="auto"/>
            <w:tcMar>
              <w:left w:w="85" w:type="dxa"/>
              <w:right w:w="85" w:type="dxa"/>
            </w:tcMar>
          </w:tcPr>
          <w:p w14:paraId="5A973DEF"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72FD0F6"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0707717"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(1.2)</w:t>
            </w:r>
          </w:p>
        </w:tc>
      </w:tr>
      <w:tr w:rsidR="00B54968" w:rsidRPr="00B54968" w14:paraId="4E2B381B" w14:textId="77777777" w:rsidTr="00336B3E">
        <w:tc>
          <w:tcPr>
            <w:tcW w:w="4737" w:type="dxa"/>
            <w:tcBorders>
              <w:top w:val="nil"/>
              <w:left w:val="nil"/>
              <w:bottom w:val="nil"/>
              <w:right w:val="nil"/>
            </w:tcBorders>
            <w:shd w:val="clear" w:color="auto" w:fill="auto"/>
            <w:tcMar>
              <w:left w:w="85" w:type="dxa"/>
              <w:right w:w="85" w:type="dxa"/>
            </w:tcMar>
          </w:tcPr>
          <w:p w14:paraId="7DDBE69E"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Blood phosphorus decreased</w:t>
            </w:r>
          </w:p>
        </w:tc>
        <w:tc>
          <w:tcPr>
            <w:tcW w:w="1464" w:type="dxa"/>
            <w:tcBorders>
              <w:top w:val="nil"/>
              <w:left w:val="nil"/>
              <w:bottom w:val="nil"/>
              <w:right w:val="nil"/>
            </w:tcBorders>
            <w:shd w:val="clear" w:color="auto" w:fill="auto"/>
            <w:tcMar>
              <w:left w:w="85" w:type="dxa"/>
              <w:right w:w="85" w:type="dxa"/>
            </w:tcMar>
          </w:tcPr>
          <w:p w14:paraId="782B44BD"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2EF904EA"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223E6166"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C7920B0" w14:textId="77777777" w:rsidTr="00336B3E">
        <w:tc>
          <w:tcPr>
            <w:tcW w:w="4737" w:type="dxa"/>
            <w:tcBorders>
              <w:top w:val="nil"/>
              <w:left w:val="nil"/>
              <w:bottom w:val="nil"/>
              <w:right w:val="nil"/>
            </w:tcBorders>
            <w:shd w:val="clear" w:color="auto" w:fill="auto"/>
            <w:tcMar>
              <w:left w:w="85" w:type="dxa"/>
              <w:right w:w="85" w:type="dxa"/>
            </w:tcMar>
          </w:tcPr>
          <w:p w14:paraId="6B144A88"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Gamma-</w:t>
            </w:r>
            <w:proofErr w:type="spellStart"/>
            <w:r w:rsidRPr="00364D52">
              <w:rPr>
                <w:rFonts w:eastAsia="Times New Roman"/>
                <w:sz w:val="18"/>
                <w:szCs w:val="18"/>
              </w:rPr>
              <w:t>glutamyltransferase</w:t>
            </w:r>
            <w:proofErr w:type="spellEnd"/>
            <w:r w:rsidRPr="00364D52">
              <w:rPr>
                <w:rFonts w:eastAsia="Times New Roman"/>
                <w:sz w:val="18"/>
                <w:szCs w:val="18"/>
              </w:rPr>
              <w:t> increased</w:t>
            </w:r>
          </w:p>
        </w:tc>
        <w:tc>
          <w:tcPr>
            <w:tcW w:w="1464" w:type="dxa"/>
            <w:tcBorders>
              <w:top w:val="nil"/>
              <w:left w:val="nil"/>
              <w:bottom w:val="nil"/>
              <w:right w:val="nil"/>
            </w:tcBorders>
            <w:shd w:val="clear" w:color="auto" w:fill="auto"/>
            <w:tcMar>
              <w:left w:w="85" w:type="dxa"/>
              <w:right w:w="85" w:type="dxa"/>
            </w:tcMar>
          </w:tcPr>
          <w:p w14:paraId="047C44BD"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2E65A768"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7 (5.7)</w:t>
            </w:r>
          </w:p>
        </w:tc>
        <w:tc>
          <w:tcPr>
            <w:tcW w:w="1464" w:type="dxa"/>
            <w:tcBorders>
              <w:top w:val="nil"/>
              <w:left w:val="nil"/>
              <w:bottom w:val="nil"/>
              <w:right w:val="nil"/>
            </w:tcBorders>
            <w:shd w:val="clear" w:color="auto" w:fill="auto"/>
            <w:tcMar>
              <w:left w:w="85" w:type="dxa"/>
              <w:right w:w="85" w:type="dxa"/>
            </w:tcMar>
          </w:tcPr>
          <w:p w14:paraId="0CD402B9"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11 (4.4)</w:t>
            </w:r>
          </w:p>
        </w:tc>
      </w:tr>
      <w:tr w:rsidR="00B54968" w:rsidRPr="00B54968" w14:paraId="6BEA6080" w14:textId="77777777" w:rsidTr="00336B3E">
        <w:tc>
          <w:tcPr>
            <w:tcW w:w="4737" w:type="dxa"/>
            <w:tcBorders>
              <w:top w:val="nil"/>
              <w:left w:val="nil"/>
              <w:bottom w:val="nil"/>
              <w:right w:val="nil"/>
            </w:tcBorders>
            <w:shd w:val="clear" w:color="auto" w:fill="auto"/>
            <w:tcMar>
              <w:left w:w="85" w:type="dxa"/>
              <w:right w:w="85" w:type="dxa"/>
            </w:tcMar>
          </w:tcPr>
          <w:p w14:paraId="0DE7E398"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Hepatic enzyme increased</w:t>
            </w:r>
          </w:p>
        </w:tc>
        <w:tc>
          <w:tcPr>
            <w:tcW w:w="1464" w:type="dxa"/>
            <w:tcBorders>
              <w:top w:val="nil"/>
              <w:left w:val="nil"/>
              <w:bottom w:val="nil"/>
              <w:right w:val="nil"/>
            </w:tcBorders>
            <w:shd w:val="clear" w:color="auto" w:fill="auto"/>
            <w:tcMar>
              <w:left w:w="85" w:type="dxa"/>
              <w:right w:w="85" w:type="dxa"/>
            </w:tcMar>
          </w:tcPr>
          <w:p w14:paraId="14130807"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3927A4CC"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40E9FF0D"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(1.2)</w:t>
            </w:r>
          </w:p>
        </w:tc>
      </w:tr>
      <w:tr w:rsidR="00B54968" w:rsidRPr="00B54968" w14:paraId="7E34C552" w14:textId="77777777" w:rsidTr="00336B3E">
        <w:tc>
          <w:tcPr>
            <w:tcW w:w="4737" w:type="dxa"/>
            <w:tcBorders>
              <w:top w:val="nil"/>
              <w:left w:val="nil"/>
              <w:bottom w:val="nil"/>
              <w:right w:val="nil"/>
            </w:tcBorders>
            <w:shd w:val="clear" w:color="auto" w:fill="auto"/>
            <w:tcMar>
              <w:left w:w="85" w:type="dxa"/>
              <w:right w:w="85" w:type="dxa"/>
            </w:tcMar>
          </w:tcPr>
          <w:p w14:paraId="1984F2FB"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Transaminases increased</w:t>
            </w:r>
          </w:p>
        </w:tc>
        <w:tc>
          <w:tcPr>
            <w:tcW w:w="1464" w:type="dxa"/>
            <w:tcBorders>
              <w:top w:val="nil"/>
              <w:left w:val="nil"/>
              <w:bottom w:val="nil"/>
              <w:right w:val="nil"/>
            </w:tcBorders>
            <w:shd w:val="clear" w:color="auto" w:fill="auto"/>
            <w:tcMar>
              <w:left w:w="85" w:type="dxa"/>
              <w:right w:w="85" w:type="dxa"/>
            </w:tcMar>
          </w:tcPr>
          <w:p w14:paraId="1C6A50FE"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35B1D087"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199A3FD"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1ED8AF7D"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4982E5A2"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Weight increased</w:t>
            </w:r>
          </w:p>
        </w:tc>
        <w:tc>
          <w:tcPr>
            <w:tcW w:w="1464" w:type="dxa"/>
            <w:tcBorders>
              <w:top w:val="nil"/>
              <w:left w:val="nil"/>
              <w:bottom w:val="single" w:sz="4" w:space="0" w:color="auto"/>
              <w:right w:val="nil"/>
            </w:tcBorders>
            <w:shd w:val="clear" w:color="auto" w:fill="auto"/>
            <w:tcMar>
              <w:left w:w="85" w:type="dxa"/>
              <w:right w:w="85" w:type="dxa"/>
            </w:tcMar>
          </w:tcPr>
          <w:p w14:paraId="3DB04D0C"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2F888CFE"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single" w:sz="4" w:space="0" w:color="auto"/>
              <w:right w:val="nil"/>
            </w:tcBorders>
            <w:shd w:val="clear" w:color="auto" w:fill="auto"/>
            <w:tcMar>
              <w:left w:w="85" w:type="dxa"/>
              <w:right w:w="85" w:type="dxa"/>
            </w:tcMar>
          </w:tcPr>
          <w:p w14:paraId="2495B8A1"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(1.2)</w:t>
            </w:r>
          </w:p>
        </w:tc>
      </w:tr>
      <w:tr w:rsidR="00B54968" w:rsidRPr="00B54968" w14:paraId="6DE4D546"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79D10E52" w14:textId="77777777" w:rsidR="00B54968" w:rsidRPr="00B54968" w:rsidRDefault="00B54968" w:rsidP="003E2009">
            <w:pPr>
              <w:pStyle w:val="TableCellText10pt"/>
              <w:keepNext w:val="0"/>
              <w:rPr>
                <w:rFonts w:eastAsia="Times New Roman"/>
                <w:color w:val="000000"/>
                <w:sz w:val="18"/>
                <w:szCs w:val="18"/>
              </w:rPr>
            </w:pPr>
            <w:r w:rsidRPr="00364D52">
              <w:rPr>
                <w:rFonts w:eastAsia="Times New Roman"/>
                <w:b/>
                <w:sz w:val="18"/>
                <w:szCs w:val="18"/>
              </w:rPr>
              <w:t>Musculoskeletal and connective tissue disorders</w:t>
            </w:r>
          </w:p>
        </w:tc>
        <w:tc>
          <w:tcPr>
            <w:tcW w:w="1464" w:type="dxa"/>
            <w:tcBorders>
              <w:top w:val="single" w:sz="4" w:space="0" w:color="auto"/>
              <w:left w:val="nil"/>
              <w:bottom w:val="nil"/>
              <w:right w:val="nil"/>
            </w:tcBorders>
            <w:shd w:val="clear" w:color="auto" w:fill="auto"/>
            <w:tcMar>
              <w:left w:w="85" w:type="dxa"/>
              <w:right w:w="85" w:type="dxa"/>
            </w:tcMar>
          </w:tcPr>
          <w:p w14:paraId="641F5DAB" w14:textId="77777777" w:rsidR="00B54968" w:rsidRPr="00364D52" w:rsidRDefault="00B54968" w:rsidP="003E2009">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225948F5" w14:textId="77777777" w:rsidR="00B54968" w:rsidRPr="00364D52" w:rsidRDefault="00B54968" w:rsidP="003E2009">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56509EB1" w14:textId="77777777" w:rsidR="00B54968" w:rsidRPr="00364D52" w:rsidRDefault="00B54968" w:rsidP="003E2009">
            <w:pPr>
              <w:pStyle w:val="TableCellText10pt"/>
              <w:keepNext w:val="0"/>
              <w:rPr>
                <w:rFonts w:eastAsia="Times New Roman"/>
                <w:sz w:val="18"/>
                <w:szCs w:val="18"/>
              </w:rPr>
            </w:pPr>
          </w:p>
        </w:tc>
      </w:tr>
      <w:tr w:rsidR="00B54968" w:rsidRPr="00B54968" w14:paraId="7B190952" w14:textId="77777777" w:rsidTr="00336B3E">
        <w:tc>
          <w:tcPr>
            <w:tcW w:w="4737" w:type="dxa"/>
            <w:tcBorders>
              <w:top w:val="nil"/>
              <w:left w:val="nil"/>
              <w:bottom w:val="nil"/>
              <w:right w:val="nil"/>
            </w:tcBorders>
            <w:shd w:val="clear" w:color="auto" w:fill="auto"/>
            <w:tcMar>
              <w:left w:w="85" w:type="dxa"/>
              <w:right w:w="85" w:type="dxa"/>
            </w:tcMar>
          </w:tcPr>
          <w:p w14:paraId="7ED6CA9F"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Ankylosing spondylitis</w:t>
            </w:r>
          </w:p>
        </w:tc>
        <w:tc>
          <w:tcPr>
            <w:tcW w:w="1464" w:type="dxa"/>
            <w:tcBorders>
              <w:top w:val="nil"/>
              <w:left w:val="nil"/>
              <w:bottom w:val="nil"/>
              <w:right w:val="nil"/>
            </w:tcBorders>
            <w:shd w:val="clear" w:color="auto" w:fill="auto"/>
            <w:tcMar>
              <w:left w:w="85" w:type="dxa"/>
              <w:right w:w="85" w:type="dxa"/>
            </w:tcMar>
          </w:tcPr>
          <w:p w14:paraId="1128410E"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5 (3.9)</w:t>
            </w:r>
          </w:p>
        </w:tc>
        <w:tc>
          <w:tcPr>
            <w:tcW w:w="1464" w:type="dxa"/>
            <w:tcBorders>
              <w:top w:val="nil"/>
              <w:left w:val="nil"/>
              <w:bottom w:val="nil"/>
              <w:right w:val="nil"/>
            </w:tcBorders>
            <w:shd w:val="clear" w:color="auto" w:fill="auto"/>
            <w:tcMar>
              <w:left w:w="85" w:type="dxa"/>
              <w:right w:w="85" w:type="dxa"/>
            </w:tcMar>
          </w:tcPr>
          <w:p w14:paraId="50548356"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553F5E7F"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8 (3.2)</w:t>
            </w:r>
          </w:p>
        </w:tc>
      </w:tr>
      <w:tr w:rsidR="00B54968" w:rsidRPr="00B54968" w14:paraId="3280A3C4" w14:textId="77777777" w:rsidTr="00336B3E">
        <w:tc>
          <w:tcPr>
            <w:tcW w:w="4737" w:type="dxa"/>
            <w:tcBorders>
              <w:top w:val="nil"/>
              <w:left w:val="nil"/>
              <w:bottom w:val="nil"/>
              <w:right w:val="nil"/>
            </w:tcBorders>
            <w:shd w:val="clear" w:color="auto" w:fill="auto"/>
            <w:tcMar>
              <w:left w:w="85" w:type="dxa"/>
              <w:right w:w="85" w:type="dxa"/>
            </w:tcMar>
          </w:tcPr>
          <w:p w14:paraId="0A87912B"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Arthralgia</w:t>
            </w:r>
          </w:p>
        </w:tc>
        <w:tc>
          <w:tcPr>
            <w:tcW w:w="1464" w:type="dxa"/>
            <w:tcBorders>
              <w:top w:val="nil"/>
              <w:left w:val="nil"/>
              <w:bottom w:val="nil"/>
              <w:right w:val="nil"/>
            </w:tcBorders>
            <w:shd w:val="clear" w:color="auto" w:fill="auto"/>
            <w:tcMar>
              <w:left w:w="85" w:type="dxa"/>
              <w:right w:w="85" w:type="dxa"/>
            </w:tcMar>
          </w:tcPr>
          <w:p w14:paraId="0DD8D433"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52515722"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15888C72"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6 (2.4)</w:t>
            </w:r>
          </w:p>
        </w:tc>
      </w:tr>
      <w:tr w:rsidR="00B54968" w:rsidRPr="00B54968" w14:paraId="5089005B" w14:textId="77777777" w:rsidTr="00336B3E">
        <w:tc>
          <w:tcPr>
            <w:tcW w:w="4737" w:type="dxa"/>
            <w:tcBorders>
              <w:top w:val="nil"/>
              <w:left w:val="nil"/>
              <w:bottom w:val="nil"/>
              <w:right w:val="nil"/>
            </w:tcBorders>
            <w:shd w:val="clear" w:color="auto" w:fill="auto"/>
            <w:tcMar>
              <w:left w:w="85" w:type="dxa"/>
              <w:right w:w="85" w:type="dxa"/>
            </w:tcMar>
          </w:tcPr>
          <w:p w14:paraId="0C177271"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Back pain</w:t>
            </w:r>
          </w:p>
        </w:tc>
        <w:tc>
          <w:tcPr>
            <w:tcW w:w="1464" w:type="dxa"/>
            <w:tcBorders>
              <w:top w:val="nil"/>
              <w:left w:val="nil"/>
              <w:bottom w:val="nil"/>
              <w:right w:val="nil"/>
            </w:tcBorders>
            <w:shd w:val="clear" w:color="auto" w:fill="auto"/>
            <w:tcMar>
              <w:left w:w="85" w:type="dxa"/>
              <w:right w:w="85" w:type="dxa"/>
            </w:tcMar>
          </w:tcPr>
          <w:p w14:paraId="7A8E2387"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39F5E103"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4 (3.3)</w:t>
            </w:r>
          </w:p>
        </w:tc>
        <w:tc>
          <w:tcPr>
            <w:tcW w:w="1464" w:type="dxa"/>
            <w:tcBorders>
              <w:top w:val="nil"/>
              <w:left w:val="nil"/>
              <w:bottom w:val="nil"/>
              <w:right w:val="nil"/>
            </w:tcBorders>
            <w:shd w:val="clear" w:color="auto" w:fill="auto"/>
            <w:tcMar>
              <w:left w:w="85" w:type="dxa"/>
              <w:right w:w="85" w:type="dxa"/>
            </w:tcMar>
          </w:tcPr>
          <w:p w14:paraId="28C60A61"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7 (2.8)</w:t>
            </w:r>
          </w:p>
        </w:tc>
      </w:tr>
      <w:tr w:rsidR="00B54968" w:rsidRPr="00B54968" w14:paraId="425DE16A" w14:textId="77777777" w:rsidTr="00336B3E">
        <w:tc>
          <w:tcPr>
            <w:tcW w:w="4737" w:type="dxa"/>
            <w:tcBorders>
              <w:top w:val="nil"/>
              <w:left w:val="nil"/>
              <w:bottom w:val="nil"/>
              <w:right w:val="nil"/>
            </w:tcBorders>
            <w:shd w:val="clear" w:color="auto" w:fill="auto"/>
            <w:tcMar>
              <w:left w:w="85" w:type="dxa"/>
              <w:right w:w="85" w:type="dxa"/>
            </w:tcMar>
          </w:tcPr>
          <w:p w14:paraId="32DF8A16"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Muscle spasms</w:t>
            </w:r>
          </w:p>
        </w:tc>
        <w:tc>
          <w:tcPr>
            <w:tcW w:w="1464" w:type="dxa"/>
            <w:tcBorders>
              <w:top w:val="nil"/>
              <w:left w:val="nil"/>
              <w:bottom w:val="nil"/>
              <w:right w:val="nil"/>
            </w:tcBorders>
            <w:shd w:val="clear" w:color="auto" w:fill="auto"/>
            <w:tcMar>
              <w:left w:w="85" w:type="dxa"/>
              <w:right w:w="85" w:type="dxa"/>
            </w:tcMar>
          </w:tcPr>
          <w:p w14:paraId="44C13E77"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4863837"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6C277FC7"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25866307" w14:textId="77777777" w:rsidTr="00336B3E">
        <w:tc>
          <w:tcPr>
            <w:tcW w:w="4737" w:type="dxa"/>
            <w:tcBorders>
              <w:top w:val="nil"/>
              <w:left w:val="nil"/>
              <w:bottom w:val="nil"/>
              <w:right w:val="nil"/>
            </w:tcBorders>
            <w:shd w:val="clear" w:color="auto" w:fill="auto"/>
            <w:tcMar>
              <w:left w:w="85" w:type="dxa"/>
              <w:right w:w="85" w:type="dxa"/>
            </w:tcMar>
          </w:tcPr>
          <w:p w14:paraId="269D7D8B"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Musculoskeletal chest pain</w:t>
            </w:r>
          </w:p>
        </w:tc>
        <w:tc>
          <w:tcPr>
            <w:tcW w:w="1464" w:type="dxa"/>
            <w:tcBorders>
              <w:top w:val="nil"/>
              <w:left w:val="nil"/>
              <w:bottom w:val="nil"/>
              <w:right w:val="nil"/>
            </w:tcBorders>
            <w:shd w:val="clear" w:color="auto" w:fill="auto"/>
            <w:tcMar>
              <w:left w:w="85" w:type="dxa"/>
              <w:right w:w="85" w:type="dxa"/>
            </w:tcMar>
          </w:tcPr>
          <w:p w14:paraId="02E615C4"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4FDDB2A1"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071AADB3"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E596409" w14:textId="77777777" w:rsidTr="00336B3E">
        <w:tc>
          <w:tcPr>
            <w:tcW w:w="4737" w:type="dxa"/>
            <w:tcBorders>
              <w:top w:val="nil"/>
              <w:left w:val="nil"/>
              <w:bottom w:val="nil"/>
              <w:right w:val="nil"/>
            </w:tcBorders>
            <w:shd w:val="clear" w:color="auto" w:fill="auto"/>
            <w:tcMar>
              <w:left w:w="85" w:type="dxa"/>
              <w:right w:w="85" w:type="dxa"/>
            </w:tcMar>
          </w:tcPr>
          <w:p w14:paraId="2F91C375"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Pain in extremity</w:t>
            </w:r>
          </w:p>
        </w:tc>
        <w:tc>
          <w:tcPr>
            <w:tcW w:w="1464" w:type="dxa"/>
            <w:tcBorders>
              <w:top w:val="nil"/>
              <w:left w:val="nil"/>
              <w:bottom w:val="nil"/>
              <w:right w:val="nil"/>
            </w:tcBorders>
            <w:shd w:val="clear" w:color="auto" w:fill="auto"/>
            <w:tcMar>
              <w:left w:w="85" w:type="dxa"/>
              <w:right w:w="85" w:type="dxa"/>
            </w:tcMar>
          </w:tcPr>
          <w:p w14:paraId="06043706"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6ABF9AA6"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539CB85B"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6B6D4108"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065F731B"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Temporomandibular joint syndrome</w:t>
            </w:r>
          </w:p>
        </w:tc>
        <w:tc>
          <w:tcPr>
            <w:tcW w:w="1464" w:type="dxa"/>
            <w:tcBorders>
              <w:top w:val="nil"/>
              <w:left w:val="nil"/>
              <w:bottom w:val="single" w:sz="4" w:space="0" w:color="auto"/>
              <w:right w:val="nil"/>
            </w:tcBorders>
            <w:shd w:val="clear" w:color="auto" w:fill="auto"/>
            <w:tcMar>
              <w:left w:w="85" w:type="dxa"/>
              <w:right w:w="85" w:type="dxa"/>
            </w:tcMar>
          </w:tcPr>
          <w:p w14:paraId="16CF9160"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408DD0D"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53151902"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7F3DFA9D" w14:textId="77777777" w:rsidTr="00336B3E">
        <w:tc>
          <w:tcPr>
            <w:tcW w:w="4737" w:type="dxa"/>
            <w:tcBorders>
              <w:top w:val="nil"/>
              <w:left w:val="nil"/>
              <w:bottom w:val="nil"/>
              <w:right w:val="nil"/>
            </w:tcBorders>
            <w:shd w:val="clear" w:color="auto" w:fill="auto"/>
            <w:tcMar>
              <w:left w:w="85" w:type="dxa"/>
              <w:right w:w="85" w:type="dxa"/>
            </w:tcMar>
          </w:tcPr>
          <w:p w14:paraId="5964D1E8" w14:textId="77777777" w:rsidR="00B54968" w:rsidRPr="00B54968" w:rsidRDefault="00B54968" w:rsidP="003E2009">
            <w:pPr>
              <w:pStyle w:val="TableCellText10pt"/>
              <w:keepNext w:val="0"/>
              <w:keepLines/>
              <w:rPr>
                <w:rFonts w:eastAsia="Times New Roman"/>
                <w:color w:val="000000"/>
                <w:sz w:val="18"/>
                <w:szCs w:val="18"/>
              </w:rPr>
            </w:pPr>
            <w:r w:rsidRPr="00364D52">
              <w:rPr>
                <w:rFonts w:eastAsia="Times New Roman"/>
                <w:b/>
                <w:sz w:val="18"/>
                <w:szCs w:val="18"/>
              </w:rPr>
              <w:t>Nervous system disorders</w:t>
            </w:r>
          </w:p>
        </w:tc>
        <w:tc>
          <w:tcPr>
            <w:tcW w:w="1464" w:type="dxa"/>
            <w:tcBorders>
              <w:top w:val="nil"/>
              <w:left w:val="nil"/>
              <w:bottom w:val="nil"/>
              <w:right w:val="nil"/>
            </w:tcBorders>
            <w:shd w:val="clear" w:color="auto" w:fill="auto"/>
            <w:tcMar>
              <w:left w:w="85" w:type="dxa"/>
              <w:right w:w="85" w:type="dxa"/>
            </w:tcMar>
          </w:tcPr>
          <w:p w14:paraId="0BD590D1" w14:textId="77777777" w:rsidR="00B54968" w:rsidRPr="00364D52" w:rsidRDefault="00B54968" w:rsidP="003E200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1B216C1B" w14:textId="77777777" w:rsidR="00B54968" w:rsidRPr="00364D52" w:rsidRDefault="00B54968" w:rsidP="003E200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6C3D1AE7" w14:textId="77777777" w:rsidR="00B54968" w:rsidRPr="00364D52" w:rsidRDefault="00B54968" w:rsidP="003E2009">
            <w:pPr>
              <w:pStyle w:val="TableCellText10pt"/>
              <w:keepNext w:val="0"/>
              <w:rPr>
                <w:rFonts w:eastAsia="Times New Roman"/>
                <w:sz w:val="18"/>
                <w:szCs w:val="18"/>
              </w:rPr>
            </w:pPr>
          </w:p>
        </w:tc>
      </w:tr>
      <w:tr w:rsidR="00B54968" w:rsidRPr="00B54968" w14:paraId="6A60F3C2" w14:textId="77777777" w:rsidTr="00336B3E">
        <w:tc>
          <w:tcPr>
            <w:tcW w:w="4737" w:type="dxa"/>
            <w:tcBorders>
              <w:top w:val="nil"/>
              <w:left w:val="nil"/>
              <w:bottom w:val="nil"/>
              <w:right w:val="nil"/>
            </w:tcBorders>
            <w:shd w:val="clear" w:color="auto" w:fill="auto"/>
            <w:tcMar>
              <w:left w:w="85" w:type="dxa"/>
              <w:right w:w="85" w:type="dxa"/>
            </w:tcMar>
          </w:tcPr>
          <w:p w14:paraId="07C44C0E" w14:textId="77777777" w:rsidR="00B54968" w:rsidRPr="00364D52" w:rsidRDefault="00B54968" w:rsidP="003E2009">
            <w:pPr>
              <w:pStyle w:val="TableCellText10pt"/>
              <w:keepNext w:val="0"/>
              <w:keepLines/>
              <w:ind w:left="480" w:hanging="240"/>
              <w:rPr>
                <w:rFonts w:eastAsia="Times New Roman"/>
                <w:sz w:val="18"/>
                <w:szCs w:val="18"/>
              </w:rPr>
            </w:pPr>
            <w:r w:rsidRPr="00364D52">
              <w:rPr>
                <w:rFonts w:eastAsia="Times New Roman"/>
                <w:sz w:val="18"/>
                <w:szCs w:val="18"/>
              </w:rPr>
              <w:t>Carpal tunnel syndrome</w:t>
            </w:r>
          </w:p>
        </w:tc>
        <w:tc>
          <w:tcPr>
            <w:tcW w:w="1464" w:type="dxa"/>
            <w:tcBorders>
              <w:top w:val="nil"/>
              <w:left w:val="nil"/>
              <w:bottom w:val="nil"/>
              <w:right w:val="nil"/>
            </w:tcBorders>
            <w:shd w:val="clear" w:color="auto" w:fill="auto"/>
            <w:tcMar>
              <w:left w:w="85" w:type="dxa"/>
              <w:right w:w="85" w:type="dxa"/>
            </w:tcMar>
          </w:tcPr>
          <w:p w14:paraId="10A661AC"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59FDB9E2"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5D0E7FE"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(1.2)</w:t>
            </w:r>
          </w:p>
        </w:tc>
      </w:tr>
      <w:tr w:rsidR="00B54968" w:rsidRPr="00B54968" w14:paraId="57997196" w14:textId="77777777" w:rsidTr="00336B3E">
        <w:tc>
          <w:tcPr>
            <w:tcW w:w="4737" w:type="dxa"/>
            <w:tcBorders>
              <w:top w:val="nil"/>
              <w:left w:val="nil"/>
              <w:bottom w:val="nil"/>
              <w:right w:val="nil"/>
            </w:tcBorders>
            <w:shd w:val="clear" w:color="auto" w:fill="auto"/>
            <w:tcMar>
              <w:left w:w="85" w:type="dxa"/>
              <w:right w:w="85" w:type="dxa"/>
            </w:tcMar>
          </w:tcPr>
          <w:p w14:paraId="24743651" w14:textId="77777777" w:rsidR="00B54968" w:rsidRPr="00364D52" w:rsidRDefault="00B54968" w:rsidP="003E2009">
            <w:pPr>
              <w:pStyle w:val="TableCellText10pt"/>
              <w:keepNext w:val="0"/>
              <w:keepLines/>
              <w:ind w:left="480" w:hanging="240"/>
              <w:rPr>
                <w:rFonts w:eastAsia="Times New Roman"/>
                <w:sz w:val="18"/>
                <w:szCs w:val="18"/>
              </w:rPr>
            </w:pPr>
            <w:r w:rsidRPr="00364D52">
              <w:rPr>
                <w:rFonts w:eastAsia="Times New Roman"/>
                <w:sz w:val="18"/>
                <w:szCs w:val="18"/>
              </w:rPr>
              <w:t>Dizziness</w:t>
            </w:r>
          </w:p>
        </w:tc>
        <w:tc>
          <w:tcPr>
            <w:tcW w:w="1464" w:type="dxa"/>
            <w:tcBorders>
              <w:top w:val="nil"/>
              <w:left w:val="nil"/>
              <w:bottom w:val="nil"/>
              <w:right w:val="nil"/>
            </w:tcBorders>
            <w:shd w:val="clear" w:color="auto" w:fill="auto"/>
            <w:tcMar>
              <w:left w:w="85" w:type="dxa"/>
              <w:right w:w="85" w:type="dxa"/>
            </w:tcMar>
          </w:tcPr>
          <w:p w14:paraId="195476ED"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58633019"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0390C4A"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5 (2.0)</w:t>
            </w:r>
          </w:p>
        </w:tc>
      </w:tr>
      <w:tr w:rsidR="00B54968" w:rsidRPr="00B54968" w14:paraId="5487459C"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34A76754" w14:textId="77777777" w:rsidR="00B54968" w:rsidRPr="00364D52" w:rsidRDefault="00B54968" w:rsidP="003E2009">
            <w:pPr>
              <w:pStyle w:val="TableCellText10pt"/>
              <w:keepNext w:val="0"/>
              <w:keepLines/>
              <w:ind w:left="480" w:hanging="240"/>
              <w:rPr>
                <w:rFonts w:eastAsia="Times New Roman"/>
                <w:sz w:val="18"/>
                <w:szCs w:val="18"/>
              </w:rPr>
            </w:pPr>
            <w:r w:rsidRPr="00364D52">
              <w:rPr>
                <w:rFonts w:eastAsia="Times New Roman"/>
                <w:sz w:val="18"/>
                <w:szCs w:val="18"/>
              </w:rPr>
              <w:t>Headache</w:t>
            </w:r>
          </w:p>
        </w:tc>
        <w:tc>
          <w:tcPr>
            <w:tcW w:w="1464" w:type="dxa"/>
            <w:tcBorders>
              <w:top w:val="nil"/>
              <w:left w:val="nil"/>
              <w:bottom w:val="single" w:sz="4" w:space="0" w:color="auto"/>
              <w:right w:val="nil"/>
            </w:tcBorders>
            <w:shd w:val="clear" w:color="auto" w:fill="auto"/>
            <w:tcMar>
              <w:left w:w="85" w:type="dxa"/>
              <w:right w:w="85" w:type="dxa"/>
            </w:tcMar>
          </w:tcPr>
          <w:p w14:paraId="1533C135"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10 (7.8)</w:t>
            </w:r>
          </w:p>
        </w:tc>
        <w:tc>
          <w:tcPr>
            <w:tcW w:w="1464" w:type="dxa"/>
            <w:tcBorders>
              <w:top w:val="nil"/>
              <w:left w:val="nil"/>
              <w:bottom w:val="single" w:sz="4" w:space="0" w:color="auto"/>
              <w:right w:val="nil"/>
            </w:tcBorders>
            <w:shd w:val="clear" w:color="auto" w:fill="auto"/>
            <w:tcMar>
              <w:left w:w="85" w:type="dxa"/>
              <w:right w:w="85" w:type="dxa"/>
            </w:tcMar>
          </w:tcPr>
          <w:p w14:paraId="7D87D0DD"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7 (5.7)</w:t>
            </w:r>
          </w:p>
        </w:tc>
        <w:tc>
          <w:tcPr>
            <w:tcW w:w="1464" w:type="dxa"/>
            <w:tcBorders>
              <w:top w:val="nil"/>
              <w:left w:val="nil"/>
              <w:bottom w:val="single" w:sz="4" w:space="0" w:color="auto"/>
              <w:right w:val="nil"/>
            </w:tcBorders>
            <w:shd w:val="clear" w:color="auto" w:fill="auto"/>
            <w:tcMar>
              <w:left w:w="85" w:type="dxa"/>
              <w:right w:w="85" w:type="dxa"/>
            </w:tcMar>
          </w:tcPr>
          <w:p w14:paraId="5E649A7B"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17 (6.8)</w:t>
            </w:r>
          </w:p>
        </w:tc>
      </w:tr>
      <w:tr w:rsidR="00B54968" w:rsidRPr="00B54968" w14:paraId="15BA3937" w14:textId="77777777" w:rsidTr="00336B3E">
        <w:tc>
          <w:tcPr>
            <w:tcW w:w="4737" w:type="dxa"/>
            <w:tcBorders>
              <w:top w:val="nil"/>
              <w:left w:val="nil"/>
              <w:bottom w:val="nil"/>
              <w:right w:val="nil"/>
            </w:tcBorders>
            <w:shd w:val="clear" w:color="auto" w:fill="auto"/>
            <w:tcMar>
              <w:left w:w="85" w:type="dxa"/>
              <w:right w:w="85" w:type="dxa"/>
            </w:tcMar>
          </w:tcPr>
          <w:p w14:paraId="64866536" w14:textId="77777777" w:rsidR="00B54968" w:rsidRPr="00364D52" w:rsidRDefault="00B54968" w:rsidP="003E2009">
            <w:pPr>
              <w:pStyle w:val="TableCellText10pt"/>
              <w:keepNext w:val="0"/>
              <w:rPr>
                <w:rFonts w:eastAsia="Times New Roman"/>
                <w:b/>
                <w:sz w:val="18"/>
                <w:szCs w:val="18"/>
              </w:rPr>
            </w:pPr>
            <w:r w:rsidRPr="00364D52">
              <w:rPr>
                <w:rFonts w:eastAsia="Times New Roman"/>
                <w:b/>
                <w:sz w:val="18"/>
                <w:szCs w:val="18"/>
              </w:rPr>
              <w:t>Psychiatric disorders</w:t>
            </w:r>
          </w:p>
        </w:tc>
        <w:tc>
          <w:tcPr>
            <w:tcW w:w="1464" w:type="dxa"/>
            <w:tcBorders>
              <w:top w:val="nil"/>
              <w:left w:val="nil"/>
              <w:bottom w:val="nil"/>
              <w:right w:val="nil"/>
            </w:tcBorders>
            <w:shd w:val="clear" w:color="auto" w:fill="auto"/>
            <w:tcMar>
              <w:left w:w="85" w:type="dxa"/>
              <w:right w:w="85" w:type="dxa"/>
            </w:tcMar>
          </w:tcPr>
          <w:p w14:paraId="12E5A5E8" w14:textId="77777777" w:rsidR="00B54968" w:rsidRPr="00364D52" w:rsidRDefault="00B54968" w:rsidP="003E200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0F1A6E3B" w14:textId="77777777" w:rsidR="00B54968" w:rsidRPr="00364D52" w:rsidRDefault="00B54968" w:rsidP="003E200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040382B6" w14:textId="77777777" w:rsidR="00B54968" w:rsidRPr="00364D52" w:rsidRDefault="00B54968" w:rsidP="003E2009">
            <w:pPr>
              <w:pStyle w:val="TableCellText10pt"/>
              <w:keepNext w:val="0"/>
              <w:rPr>
                <w:rFonts w:eastAsia="Times New Roman"/>
                <w:sz w:val="18"/>
                <w:szCs w:val="18"/>
              </w:rPr>
            </w:pPr>
          </w:p>
        </w:tc>
      </w:tr>
      <w:tr w:rsidR="00B54968" w:rsidRPr="00B54968" w14:paraId="17E6F2B6"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2431B631" w14:textId="77777777" w:rsidR="00B54968" w:rsidRPr="00364D52" w:rsidRDefault="00B54968" w:rsidP="003E2009">
            <w:pPr>
              <w:pStyle w:val="TableCellText10pt"/>
              <w:keepNext w:val="0"/>
              <w:ind w:left="238"/>
              <w:rPr>
                <w:rFonts w:eastAsia="Times New Roman"/>
                <w:sz w:val="18"/>
                <w:szCs w:val="18"/>
              </w:rPr>
            </w:pPr>
            <w:r w:rsidRPr="00364D52">
              <w:rPr>
                <w:rFonts w:eastAsia="Times New Roman"/>
                <w:sz w:val="18"/>
                <w:szCs w:val="18"/>
              </w:rPr>
              <w:t>Depressed mood</w:t>
            </w:r>
          </w:p>
        </w:tc>
        <w:tc>
          <w:tcPr>
            <w:tcW w:w="1464" w:type="dxa"/>
            <w:tcBorders>
              <w:top w:val="nil"/>
              <w:left w:val="nil"/>
              <w:bottom w:val="single" w:sz="4" w:space="0" w:color="auto"/>
              <w:right w:val="nil"/>
            </w:tcBorders>
            <w:shd w:val="clear" w:color="auto" w:fill="auto"/>
            <w:tcMar>
              <w:left w:w="85" w:type="dxa"/>
              <w:right w:w="85" w:type="dxa"/>
            </w:tcMar>
          </w:tcPr>
          <w:p w14:paraId="22274D05"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58C27CC6"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839AE78"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4 (1.6)</w:t>
            </w:r>
          </w:p>
        </w:tc>
      </w:tr>
      <w:tr w:rsidR="00B54968" w:rsidRPr="00B54968" w14:paraId="4B46CFA4"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11F9DDAD" w14:textId="77777777" w:rsidR="00B54968" w:rsidRPr="00364D52" w:rsidRDefault="00B54968" w:rsidP="003E2009">
            <w:pPr>
              <w:pStyle w:val="TableCellText10pt"/>
              <w:keepNext w:val="0"/>
              <w:rPr>
                <w:rFonts w:eastAsia="Times New Roman"/>
                <w:b/>
                <w:sz w:val="18"/>
                <w:szCs w:val="18"/>
              </w:rPr>
            </w:pPr>
            <w:r w:rsidRPr="00364D52">
              <w:rPr>
                <w:rFonts w:eastAsia="Times New Roman"/>
                <w:b/>
                <w:sz w:val="18"/>
                <w:szCs w:val="18"/>
              </w:rPr>
              <w:t>Renal and urinary disorders</w:t>
            </w:r>
          </w:p>
        </w:tc>
        <w:tc>
          <w:tcPr>
            <w:tcW w:w="1464" w:type="dxa"/>
            <w:tcBorders>
              <w:top w:val="single" w:sz="4" w:space="0" w:color="auto"/>
              <w:left w:val="nil"/>
              <w:bottom w:val="nil"/>
              <w:right w:val="nil"/>
            </w:tcBorders>
            <w:shd w:val="clear" w:color="auto" w:fill="auto"/>
            <w:tcMar>
              <w:left w:w="85" w:type="dxa"/>
              <w:right w:w="85" w:type="dxa"/>
            </w:tcMar>
          </w:tcPr>
          <w:p w14:paraId="39B9FA1C" w14:textId="77777777" w:rsidR="00B54968" w:rsidRPr="00364D52" w:rsidRDefault="00B54968" w:rsidP="003E2009">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2EBCC9DB" w14:textId="77777777" w:rsidR="00B54968" w:rsidRPr="00364D52" w:rsidRDefault="00B54968" w:rsidP="003E2009">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1B98AD8E" w14:textId="77777777" w:rsidR="00B54968" w:rsidRPr="00364D52" w:rsidRDefault="00B54968" w:rsidP="003E2009">
            <w:pPr>
              <w:pStyle w:val="TableCellText10pt"/>
              <w:keepNext w:val="0"/>
              <w:rPr>
                <w:rFonts w:eastAsia="Times New Roman"/>
                <w:sz w:val="18"/>
                <w:szCs w:val="18"/>
              </w:rPr>
            </w:pPr>
          </w:p>
        </w:tc>
      </w:tr>
      <w:tr w:rsidR="00B54968" w:rsidRPr="00B54968" w14:paraId="14F89C57"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7698A31D" w14:textId="77777777" w:rsidR="00B54968" w:rsidRPr="00364D52" w:rsidRDefault="00B54968" w:rsidP="003E2009">
            <w:pPr>
              <w:pStyle w:val="TableCellText10pt"/>
              <w:keepNext w:val="0"/>
              <w:ind w:left="238"/>
              <w:rPr>
                <w:rFonts w:eastAsia="Times New Roman"/>
                <w:sz w:val="18"/>
                <w:szCs w:val="18"/>
              </w:rPr>
            </w:pPr>
            <w:r w:rsidRPr="00364D52">
              <w:rPr>
                <w:rFonts w:eastAsia="Times New Roman"/>
                <w:sz w:val="18"/>
                <w:szCs w:val="18"/>
              </w:rPr>
              <w:t>Hematuria</w:t>
            </w:r>
          </w:p>
        </w:tc>
        <w:tc>
          <w:tcPr>
            <w:tcW w:w="1464" w:type="dxa"/>
            <w:tcBorders>
              <w:top w:val="nil"/>
              <w:left w:val="nil"/>
              <w:bottom w:val="single" w:sz="4" w:space="0" w:color="auto"/>
              <w:right w:val="nil"/>
            </w:tcBorders>
            <w:shd w:val="clear" w:color="auto" w:fill="auto"/>
            <w:tcMar>
              <w:left w:w="85" w:type="dxa"/>
              <w:right w:w="85" w:type="dxa"/>
            </w:tcMar>
          </w:tcPr>
          <w:p w14:paraId="58B675E3"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6AD563F2"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17683CFE"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48A5F209"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209274B3" w14:textId="77777777" w:rsidR="00B54968" w:rsidRPr="00364D52" w:rsidRDefault="00B54968" w:rsidP="003E2009">
            <w:pPr>
              <w:pStyle w:val="TableCellText10pt"/>
              <w:keepNext w:val="0"/>
              <w:keepLines/>
              <w:rPr>
                <w:rFonts w:eastAsia="Times New Roman"/>
                <w:b/>
                <w:sz w:val="18"/>
                <w:szCs w:val="18"/>
              </w:rPr>
            </w:pPr>
            <w:r w:rsidRPr="00364D52">
              <w:rPr>
                <w:rFonts w:eastAsia="Times New Roman"/>
                <w:b/>
                <w:sz w:val="18"/>
                <w:szCs w:val="18"/>
              </w:rPr>
              <w:t>Respiratory, thoracic, and mediastinal disorders</w:t>
            </w:r>
          </w:p>
        </w:tc>
        <w:tc>
          <w:tcPr>
            <w:tcW w:w="1464" w:type="dxa"/>
            <w:tcBorders>
              <w:top w:val="single" w:sz="4" w:space="0" w:color="auto"/>
              <w:left w:val="nil"/>
              <w:bottom w:val="nil"/>
              <w:right w:val="nil"/>
            </w:tcBorders>
            <w:shd w:val="clear" w:color="auto" w:fill="auto"/>
            <w:tcMar>
              <w:left w:w="85" w:type="dxa"/>
              <w:right w:w="85" w:type="dxa"/>
            </w:tcMar>
          </w:tcPr>
          <w:p w14:paraId="2D93A842" w14:textId="77777777" w:rsidR="00B54968" w:rsidRPr="00364D52" w:rsidRDefault="00B54968" w:rsidP="003E2009">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14AAAC6B" w14:textId="77777777" w:rsidR="00B54968" w:rsidRPr="00364D52" w:rsidRDefault="00B54968" w:rsidP="003E2009">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72A54070" w14:textId="77777777" w:rsidR="00B54968" w:rsidRPr="00364D52" w:rsidRDefault="00B54968" w:rsidP="003E2009">
            <w:pPr>
              <w:pStyle w:val="TableCellText10pt"/>
              <w:keepNext w:val="0"/>
              <w:rPr>
                <w:rFonts w:eastAsia="Times New Roman"/>
                <w:sz w:val="18"/>
                <w:szCs w:val="18"/>
              </w:rPr>
            </w:pPr>
          </w:p>
        </w:tc>
      </w:tr>
      <w:tr w:rsidR="00B54968" w:rsidRPr="00B54968" w14:paraId="3ABBE99E" w14:textId="77777777" w:rsidTr="00336B3E">
        <w:tc>
          <w:tcPr>
            <w:tcW w:w="4737" w:type="dxa"/>
            <w:tcBorders>
              <w:top w:val="nil"/>
              <w:left w:val="nil"/>
              <w:bottom w:val="nil"/>
              <w:right w:val="nil"/>
            </w:tcBorders>
            <w:shd w:val="clear" w:color="auto" w:fill="auto"/>
            <w:tcMar>
              <w:left w:w="85" w:type="dxa"/>
              <w:right w:w="85" w:type="dxa"/>
            </w:tcMar>
          </w:tcPr>
          <w:p w14:paraId="21432BF2" w14:textId="77777777" w:rsidR="00B54968" w:rsidRPr="00364D52" w:rsidRDefault="00B54968" w:rsidP="003E2009">
            <w:pPr>
              <w:pStyle w:val="TableCellText10pt"/>
              <w:keepNext w:val="0"/>
              <w:keepLines/>
              <w:ind w:left="480" w:hanging="240"/>
              <w:rPr>
                <w:rFonts w:eastAsia="Times New Roman"/>
                <w:sz w:val="18"/>
                <w:szCs w:val="18"/>
              </w:rPr>
            </w:pPr>
            <w:r w:rsidRPr="00364D52">
              <w:rPr>
                <w:rFonts w:eastAsia="Times New Roman"/>
                <w:sz w:val="18"/>
                <w:szCs w:val="18"/>
              </w:rPr>
              <w:t>Cough</w:t>
            </w:r>
          </w:p>
        </w:tc>
        <w:tc>
          <w:tcPr>
            <w:tcW w:w="1464" w:type="dxa"/>
            <w:tcBorders>
              <w:top w:val="nil"/>
              <w:left w:val="nil"/>
              <w:bottom w:val="nil"/>
              <w:right w:val="nil"/>
            </w:tcBorders>
            <w:shd w:val="clear" w:color="auto" w:fill="auto"/>
            <w:tcMar>
              <w:left w:w="85" w:type="dxa"/>
              <w:right w:w="85" w:type="dxa"/>
            </w:tcMar>
          </w:tcPr>
          <w:p w14:paraId="28F9B33D"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0E5DFA36"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4654B54B"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(1.2)</w:t>
            </w:r>
          </w:p>
        </w:tc>
      </w:tr>
      <w:tr w:rsidR="00B54968" w:rsidRPr="00B54968" w14:paraId="5260517A" w14:textId="77777777" w:rsidTr="00336B3E">
        <w:tc>
          <w:tcPr>
            <w:tcW w:w="4737" w:type="dxa"/>
            <w:tcBorders>
              <w:top w:val="nil"/>
              <w:left w:val="nil"/>
              <w:bottom w:val="nil"/>
              <w:right w:val="nil"/>
            </w:tcBorders>
            <w:shd w:val="clear" w:color="auto" w:fill="auto"/>
            <w:tcMar>
              <w:left w:w="85" w:type="dxa"/>
              <w:right w:w="85" w:type="dxa"/>
            </w:tcMar>
          </w:tcPr>
          <w:p w14:paraId="55FE3767" w14:textId="77777777" w:rsidR="00B54968" w:rsidRPr="00364D52" w:rsidRDefault="00B54968" w:rsidP="003E2009">
            <w:pPr>
              <w:pStyle w:val="TableCellText10pt"/>
              <w:keepNext w:val="0"/>
              <w:keepLines/>
              <w:ind w:left="480" w:hanging="240"/>
              <w:rPr>
                <w:rFonts w:eastAsia="Times New Roman"/>
                <w:sz w:val="18"/>
                <w:szCs w:val="18"/>
              </w:rPr>
            </w:pPr>
            <w:r w:rsidRPr="00364D52">
              <w:rPr>
                <w:rFonts w:eastAsia="Times New Roman"/>
                <w:sz w:val="18"/>
                <w:szCs w:val="18"/>
              </w:rPr>
              <w:t>Dysphonia</w:t>
            </w:r>
          </w:p>
        </w:tc>
        <w:tc>
          <w:tcPr>
            <w:tcW w:w="1464" w:type="dxa"/>
            <w:tcBorders>
              <w:top w:val="nil"/>
              <w:left w:val="nil"/>
              <w:bottom w:val="nil"/>
              <w:right w:val="nil"/>
            </w:tcBorders>
            <w:shd w:val="clear" w:color="auto" w:fill="auto"/>
            <w:tcMar>
              <w:left w:w="85" w:type="dxa"/>
              <w:right w:w="85" w:type="dxa"/>
            </w:tcMar>
          </w:tcPr>
          <w:p w14:paraId="14A03E91"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628CF37A"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54656F01"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1DCB294D" w14:textId="77777777" w:rsidTr="00336B3E">
        <w:tc>
          <w:tcPr>
            <w:tcW w:w="4737" w:type="dxa"/>
            <w:tcBorders>
              <w:top w:val="nil"/>
              <w:left w:val="nil"/>
              <w:bottom w:val="nil"/>
              <w:right w:val="nil"/>
            </w:tcBorders>
            <w:shd w:val="clear" w:color="auto" w:fill="auto"/>
            <w:tcMar>
              <w:left w:w="85" w:type="dxa"/>
              <w:right w:w="85" w:type="dxa"/>
            </w:tcMar>
          </w:tcPr>
          <w:p w14:paraId="5422A689" w14:textId="77777777" w:rsidR="00B54968" w:rsidRPr="00364D52" w:rsidRDefault="00B54968" w:rsidP="003E2009">
            <w:pPr>
              <w:pStyle w:val="TableCellText10pt"/>
              <w:keepNext w:val="0"/>
              <w:keepLines/>
              <w:ind w:left="480" w:hanging="240"/>
              <w:rPr>
                <w:rFonts w:eastAsia="Times New Roman"/>
                <w:sz w:val="18"/>
                <w:szCs w:val="18"/>
              </w:rPr>
            </w:pPr>
            <w:r w:rsidRPr="00364D52">
              <w:rPr>
                <w:rFonts w:eastAsia="Times New Roman"/>
                <w:sz w:val="18"/>
                <w:szCs w:val="18"/>
              </w:rPr>
              <w:t>Oropharyngeal pain</w:t>
            </w:r>
          </w:p>
        </w:tc>
        <w:tc>
          <w:tcPr>
            <w:tcW w:w="1464" w:type="dxa"/>
            <w:tcBorders>
              <w:top w:val="nil"/>
              <w:left w:val="nil"/>
              <w:bottom w:val="nil"/>
              <w:right w:val="nil"/>
            </w:tcBorders>
            <w:shd w:val="clear" w:color="auto" w:fill="auto"/>
            <w:tcMar>
              <w:left w:w="85" w:type="dxa"/>
              <w:right w:w="85" w:type="dxa"/>
            </w:tcMar>
          </w:tcPr>
          <w:p w14:paraId="505BC137"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6B1046F3"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6A7ECEA9"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5 (2.0)</w:t>
            </w:r>
          </w:p>
        </w:tc>
      </w:tr>
      <w:tr w:rsidR="00B54968" w:rsidRPr="00B54968" w14:paraId="2262C807" w14:textId="77777777" w:rsidTr="00336B3E">
        <w:tc>
          <w:tcPr>
            <w:tcW w:w="4737" w:type="dxa"/>
            <w:tcBorders>
              <w:top w:val="nil"/>
              <w:left w:val="nil"/>
              <w:bottom w:val="nil"/>
              <w:right w:val="nil"/>
            </w:tcBorders>
            <w:shd w:val="clear" w:color="auto" w:fill="auto"/>
            <w:tcMar>
              <w:left w:w="85" w:type="dxa"/>
              <w:right w:w="85" w:type="dxa"/>
            </w:tcMar>
          </w:tcPr>
          <w:p w14:paraId="15FC24C6" w14:textId="77777777" w:rsidR="00B54968" w:rsidRPr="00364D52" w:rsidRDefault="00B54968" w:rsidP="003E2009">
            <w:pPr>
              <w:pStyle w:val="TableCellText10pt"/>
              <w:keepNext w:val="0"/>
              <w:keepLines/>
              <w:ind w:left="480" w:hanging="240"/>
              <w:rPr>
                <w:rFonts w:eastAsia="Times New Roman"/>
                <w:sz w:val="18"/>
                <w:szCs w:val="18"/>
              </w:rPr>
            </w:pPr>
            <w:r w:rsidRPr="00364D52">
              <w:rPr>
                <w:rFonts w:eastAsia="Times New Roman"/>
                <w:sz w:val="18"/>
                <w:szCs w:val="18"/>
              </w:rPr>
              <w:t>Rhinitis allergic</w:t>
            </w:r>
          </w:p>
        </w:tc>
        <w:tc>
          <w:tcPr>
            <w:tcW w:w="1464" w:type="dxa"/>
            <w:tcBorders>
              <w:top w:val="nil"/>
              <w:left w:val="nil"/>
              <w:bottom w:val="nil"/>
              <w:right w:val="nil"/>
            </w:tcBorders>
            <w:shd w:val="clear" w:color="auto" w:fill="auto"/>
            <w:tcMar>
              <w:left w:w="85" w:type="dxa"/>
              <w:right w:w="85" w:type="dxa"/>
            </w:tcMar>
          </w:tcPr>
          <w:p w14:paraId="051B8372"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B8E52C8"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6E0A7621"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4 (1.6)</w:t>
            </w:r>
          </w:p>
        </w:tc>
      </w:tr>
      <w:tr w:rsidR="00B54968" w:rsidRPr="00B54968" w14:paraId="627E3190"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42A06792" w14:textId="77777777" w:rsidR="00B54968" w:rsidRPr="00364D52" w:rsidRDefault="00B54968" w:rsidP="003E2009">
            <w:pPr>
              <w:pStyle w:val="TableCellText10pt"/>
              <w:keepNext w:val="0"/>
              <w:keepLines/>
              <w:ind w:left="480" w:hanging="240"/>
              <w:rPr>
                <w:rFonts w:eastAsia="Times New Roman"/>
                <w:sz w:val="18"/>
                <w:szCs w:val="18"/>
              </w:rPr>
            </w:pPr>
            <w:r w:rsidRPr="00364D52">
              <w:rPr>
                <w:rFonts w:eastAsia="Times New Roman"/>
                <w:sz w:val="18"/>
                <w:szCs w:val="18"/>
              </w:rPr>
              <w:t>Rhinorrhea</w:t>
            </w:r>
          </w:p>
        </w:tc>
        <w:tc>
          <w:tcPr>
            <w:tcW w:w="1464" w:type="dxa"/>
            <w:tcBorders>
              <w:top w:val="nil"/>
              <w:left w:val="nil"/>
              <w:bottom w:val="single" w:sz="4" w:space="0" w:color="auto"/>
              <w:right w:val="nil"/>
            </w:tcBorders>
            <w:shd w:val="clear" w:color="auto" w:fill="auto"/>
            <w:tcMar>
              <w:left w:w="85" w:type="dxa"/>
              <w:right w:w="85" w:type="dxa"/>
            </w:tcMar>
          </w:tcPr>
          <w:p w14:paraId="1EB21A44"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1A66E75"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58E84A7B"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6044C44" w14:textId="77777777" w:rsidTr="00336B3E">
        <w:tc>
          <w:tcPr>
            <w:tcW w:w="4737" w:type="dxa"/>
            <w:tcBorders>
              <w:top w:val="nil"/>
              <w:left w:val="nil"/>
              <w:bottom w:val="nil"/>
              <w:right w:val="nil"/>
            </w:tcBorders>
            <w:shd w:val="clear" w:color="auto" w:fill="auto"/>
            <w:tcMar>
              <w:left w:w="85" w:type="dxa"/>
              <w:right w:w="85" w:type="dxa"/>
            </w:tcMar>
          </w:tcPr>
          <w:p w14:paraId="1E405C33" w14:textId="77777777" w:rsidR="00B54968" w:rsidRPr="00B54968" w:rsidRDefault="00B54968" w:rsidP="003E2009">
            <w:pPr>
              <w:pStyle w:val="TableCellText10pt"/>
              <w:keepNext w:val="0"/>
              <w:rPr>
                <w:rFonts w:eastAsia="Times New Roman"/>
                <w:color w:val="000000"/>
                <w:sz w:val="18"/>
                <w:szCs w:val="18"/>
              </w:rPr>
            </w:pPr>
            <w:r w:rsidRPr="00364D52">
              <w:rPr>
                <w:rFonts w:eastAsia="Times New Roman"/>
                <w:b/>
                <w:sz w:val="18"/>
                <w:szCs w:val="18"/>
              </w:rPr>
              <w:t>Skin</w:t>
            </w:r>
            <w:r w:rsidRPr="00364D52">
              <w:rPr>
                <w:rFonts w:eastAsia="Times New Roman"/>
                <w:b/>
                <w:sz w:val="18"/>
                <w:szCs w:val="18"/>
                <w:lang w:eastAsia="ko-KR"/>
              </w:rPr>
              <w:t xml:space="preserve"> </w:t>
            </w:r>
            <w:r w:rsidRPr="00364D52">
              <w:rPr>
                <w:rFonts w:eastAsia="Times New Roman"/>
                <w:b/>
                <w:sz w:val="18"/>
                <w:szCs w:val="18"/>
              </w:rPr>
              <w:t>and</w:t>
            </w:r>
            <w:r w:rsidRPr="00364D52">
              <w:rPr>
                <w:rFonts w:eastAsia="Times New Roman"/>
                <w:b/>
                <w:sz w:val="18"/>
                <w:szCs w:val="18"/>
                <w:lang w:eastAsia="ko-KR"/>
              </w:rPr>
              <w:t xml:space="preserve"> </w:t>
            </w:r>
            <w:r w:rsidRPr="00364D52">
              <w:rPr>
                <w:rFonts w:eastAsia="Times New Roman"/>
                <w:b/>
                <w:sz w:val="18"/>
                <w:szCs w:val="18"/>
              </w:rPr>
              <w:t>subcutaneous tissue disorders</w:t>
            </w:r>
          </w:p>
        </w:tc>
        <w:tc>
          <w:tcPr>
            <w:tcW w:w="1464" w:type="dxa"/>
            <w:tcBorders>
              <w:top w:val="nil"/>
              <w:left w:val="nil"/>
              <w:bottom w:val="nil"/>
              <w:right w:val="nil"/>
            </w:tcBorders>
            <w:shd w:val="clear" w:color="auto" w:fill="auto"/>
            <w:tcMar>
              <w:left w:w="85" w:type="dxa"/>
              <w:right w:w="85" w:type="dxa"/>
            </w:tcMar>
          </w:tcPr>
          <w:p w14:paraId="261DBFCF" w14:textId="77777777" w:rsidR="00B54968" w:rsidRPr="00364D52" w:rsidRDefault="00B54968" w:rsidP="003E200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5E543347" w14:textId="77777777" w:rsidR="00B54968" w:rsidRPr="00364D52" w:rsidRDefault="00B54968" w:rsidP="003E200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5F4004C8" w14:textId="77777777" w:rsidR="00B54968" w:rsidRPr="00364D52" w:rsidRDefault="00B54968" w:rsidP="003E2009">
            <w:pPr>
              <w:pStyle w:val="TableCellText10pt"/>
              <w:keepNext w:val="0"/>
              <w:rPr>
                <w:rFonts w:eastAsia="Times New Roman"/>
                <w:sz w:val="18"/>
                <w:szCs w:val="18"/>
              </w:rPr>
            </w:pPr>
          </w:p>
        </w:tc>
      </w:tr>
      <w:tr w:rsidR="00B54968" w:rsidRPr="00B54968" w14:paraId="732A9C5F" w14:textId="77777777" w:rsidTr="00336B3E">
        <w:tc>
          <w:tcPr>
            <w:tcW w:w="4737" w:type="dxa"/>
            <w:tcBorders>
              <w:top w:val="nil"/>
              <w:left w:val="nil"/>
              <w:bottom w:val="nil"/>
              <w:right w:val="nil"/>
            </w:tcBorders>
            <w:shd w:val="clear" w:color="auto" w:fill="auto"/>
            <w:tcMar>
              <w:left w:w="85" w:type="dxa"/>
              <w:right w:w="85" w:type="dxa"/>
            </w:tcMar>
          </w:tcPr>
          <w:p w14:paraId="5DEE9DD9"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Dermatitis</w:t>
            </w:r>
            <w:r w:rsidRPr="00364D52">
              <w:rPr>
                <w:rFonts w:eastAsia="Times New Roman"/>
                <w:sz w:val="18"/>
                <w:szCs w:val="18"/>
                <w:lang w:eastAsia="ko-KR"/>
              </w:rPr>
              <w:t xml:space="preserve"> </w:t>
            </w:r>
            <w:r w:rsidRPr="00364D52">
              <w:rPr>
                <w:rFonts w:eastAsia="Times New Roman"/>
                <w:sz w:val="18"/>
                <w:szCs w:val="18"/>
              </w:rPr>
              <w:t>allergic</w:t>
            </w:r>
          </w:p>
        </w:tc>
        <w:tc>
          <w:tcPr>
            <w:tcW w:w="1464" w:type="dxa"/>
            <w:tcBorders>
              <w:top w:val="nil"/>
              <w:left w:val="nil"/>
              <w:bottom w:val="nil"/>
              <w:right w:val="nil"/>
            </w:tcBorders>
            <w:shd w:val="clear" w:color="auto" w:fill="auto"/>
            <w:tcMar>
              <w:left w:w="85" w:type="dxa"/>
              <w:right w:w="85" w:type="dxa"/>
            </w:tcMar>
          </w:tcPr>
          <w:p w14:paraId="262A832C"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47F6F3B2"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67EFBCCB"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4 (1.6)</w:t>
            </w:r>
          </w:p>
        </w:tc>
      </w:tr>
      <w:tr w:rsidR="00B54968" w:rsidRPr="00B54968" w14:paraId="02288767" w14:textId="77777777" w:rsidTr="00336B3E">
        <w:tc>
          <w:tcPr>
            <w:tcW w:w="4737" w:type="dxa"/>
            <w:tcBorders>
              <w:top w:val="nil"/>
              <w:left w:val="nil"/>
              <w:bottom w:val="nil"/>
              <w:right w:val="nil"/>
            </w:tcBorders>
            <w:shd w:val="clear" w:color="auto" w:fill="auto"/>
            <w:tcMar>
              <w:left w:w="85" w:type="dxa"/>
              <w:right w:w="85" w:type="dxa"/>
            </w:tcMar>
          </w:tcPr>
          <w:p w14:paraId="44BDE68B"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Pruritus</w:t>
            </w:r>
          </w:p>
        </w:tc>
        <w:tc>
          <w:tcPr>
            <w:tcW w:w="1464" w:type="dxa"/>
            <w:tcBorders>
              <w:top w:val="nil"/>
              <w:left w:val="nil"/>
              <w:bottom w:val="nil"/>
              <w:right w:val="nil"/>
            </w:tcBorders>
            <w:shd w:val="clear" w:color="auto" w:fill="auto"/>
            <w:tcMar>
              <w:left w:w="85" w:type="dxa"/>
              <w:right w:w="85" w:type="dxa"/>
            </w:tcMar>
          </w:tcPr>
          <w:p w14:paraId="444229E7"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394E60BB"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EE1A94C"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(1.2)</w:t>
            </w:r>
          </w:p>
        </w:tc>
      </w:tr>
      <w:tr w:rsidR="00B54968" w:rsidRPr="00B54968" w14:paraId="77AD70AD" w14:textId="77777777" w:rsidTr="00336B3E">
        <w:tc>
          <w:tcPr>
            <w:tcW w:w="4737" w:type="dxa"/>
            <w:tcBorders>
              <w:top w:val="nil"/>
              <w:left w:val="nil"/>
              <w:bottom w:val="nil"/>
              <w:right w:val="nil"/>
            </w:tcBorders>
            <w:shd w:val="clear" w:color="auto" w:fill="auto"/>
            <w:tcMar>
              <w:left w:w="85" w:type="dxa"/>
              <w:right w:w="85" w:type="dxa"/>
            </w:tcMar>
          </w:tcPr>
          <w:p w14:paraId="67DF3622"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Pruritus</w:t>
            </w:r>
            <w:r w:rsidRPr="00364D52">
              <w:rPr>
                <w:rFonts w:eastAsia="Times New Roman"/>
                <w:sz w:val="18"/>
                <w:szCs w:val="18"/>
                <w:lang w:eastAsia="ko-KR"/>
              </w:rPr>
              <w:t xml:space="preserve"> </w:t>
            </w:r>
            <w:r w:rsidRPr="00364D52">
              <w:rPr>
                <w:rFonts w:eastAsia="Times New Roman"/>
                <w:sz w:val="18"/>
                <w:szCs w:val="18"/>
              </w:rPr>
              <w:t>generali</w:t>
            </w:r>
            <w:r w:rsidRPr="00364D52">
              <w:rPr>
                <w:rFonts w:eastAsia="Times New Roman"/>
                <w:sz w:val="18"/>
                <w:szCs w:val="18"/>
                <w:lang w:eastAsia="ko-KR"/>
              </w:rPr>
              <w:t>z</w:t>
            </w:r>
            <w:r w:rsidRPr="00364D52">
              <w:rPr>
                <w:rFonts w:eastAsia="Times New Roman"/>
                <w:sz w:val="18"/>
                <w:szCs w:val="18"/>
              </w:rPr>
              <w:t>ed</w:t>
            </w:r>
          </w:p>
        </w:tc>
        <w:tc>
          <w:tcPr>
            <w:tcW w:w="1464" w:type="dxa"/>
            <w:tcBorders>
              <w:top w:val="nil"/>
              <w:left w:val="nil"/>
              <w:bottom w:val="nil"/>
              <w:right w:val="nil"/>
            </w:tcBorders>
            <w:shd w:val="clear" w:color="auto" w:fill="auto"/>
            <w:tcMar>
              <w:left w:w="85" w:type="dxa"/>
              <w:right w:w="85" w:type="dxa"/>
            </w:tcMar>
          </w:tcPr>
          <w:p w14:paraId="792CADA3"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20E3DA7"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375FF7AD"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A794175" w14:textId="77777777" w:rsidTr="00336B3E">
        <w:tc>
          <w:tcPr>
            <w:tcW w:w="4737" w:type="dxa"/>
            <w:tcBorders>
              <w:top w:val="nil"/>
              <w:left w:val="nil"/>
              <w:bottom w:val="nil"/>
              <w:right w:val="nil"/>
            </w:tcBorders>
            <w:shd w:val="clear" w:color="auto" w:fill="auto"/>
            <w:tcMar>
              <w:left w:w="85" w:type="dxa"/>
              <w:right w:w="85" w:type="dxa"/>
            </w:tcMar>
          </w:tcPr>
          <w:p w14:paraId="53C88BF7"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Psoriasis</w:t>
            </w:r>
          </w:p>
        </w:tc>
        <w:tc>
          <w:tcPr>
            <w:tcW w:w="1464" w:type="dxa"/>
            <w:tcBorders>
              <w:top w:val="nil"/>
              <w:left w:val="nil"/>
              <w:bottom w:val="nil"/>
              <w:right w:val="nil"/>
            </w:tcBorders>
            <w:shd w:val="clear" w:color="auto" w:fill="auto"/>
            <w:tcMar>
              <w:left w:w="85" w:type="dxa"/>
              <w:right w:w="85" w:type="dxa"/>
            </w:tcMar>
          </w:tcPr>
          <w:p w14:paraId="4FAE6AF5"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14A05E1"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3FD07084"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3 (1.2)</w:t>
            </w:r>
          </w:p>
        </w:tc>
      </w:tr>
      <w:tr w:rsidR="00B54968" w:rsidRPr="00B54968" w14:paraId="13A2C856" w14:textId="77777777" w:rsidTr="00336B3E">
        <w:tc>
          <w:tcPr>
            <w:tcW w:w="4737" w:type="dxa"/>
            <w:tcBorders>
              <w:top w:val="nil"/>
              <w:left w:val="nil"/>
              <w:bottom w:val="nil"/>
              <w:right w:val="nil"/>
            </w:tcBorders>
            <w:shd w:val="clear" w:color="auto" w:fill="auto"/>
            <w:tcMar>
              <w:left w:w="85" w:type="dxa"/>
              <w:right w:w="85" w:type="dxa"/>
            </w:tcMar>
          </w:tcPr>
          <w:p w14:paraId="58D1069C"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Rash</w:t>
            </w:r>
          </w:p>
        </w:tc>
        <w:tc>
          <w:tcPr>
            <w:tcW w:w="1464" w:type="dxa"/>
            <w:tcBorders>
              <w:top w:val="nil"/>
              <w:left w:val="nil"/>
              <w:bottom w:val="nil"/>
              <w:right w:val="nil"/>
            </w:tcBorders>
            <w:shd w:val="clear" w:color="auto" w:fill="auto"/>
            <w:tcMar>
              <w:left w:w="85" w:type="dxa"/>
              <w:right w:w="85" w:type="dxa"/>
            </w:tcMar>
          </w:tcPr>
          <w:p w14:paraId="65F77818"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61C7205C"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5 (4.1)</w:t>
            </w:r>
          </w:p>
        </w:tc>
        <w:tc>
          <w:tcPr>
            <w:tcW w:w="1464" w:type="dxa"/>
            <w:tcBorders>
              <w:top w:val="nil"/>
              <w:left w:val="nil"/>
              <w:bottom w:val="nil"/>
              <w:right w:val="nil"/>
            </w:tcBorders>
            <w:shd w:val="clear" w:color="auto" w:fill="auto"/>
            <w:tcMar>
              <w:left w:w="85" w:type="dxa"/>
              <w:right w:w="85" w:type="dxa"/>
            </w:tcMar>
          </w:tcPr>
          <w:p w14:paraId="2F315BFD"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6 (2.4)</w:t>
            </w:r>
          </w:p>
        </w:tc>
      </w:tr>
      <w:tr w:rsidR="00B54968" w:rsidRPr="00B54968" w14:paraId="4CD7BCC2" w14:textId="77777777" w:rsidTr="00336B3E">
        <w:tc>
          <w:tcPr>
            <w:tcW w:w="4737" w:type="dxa"/>
            <w:tcBorders>
              <w:top w:val="nil"/>
              <w:left w:val="nil"/>
              <w:bottom w:val="nil"/>
              <w:right w:val="nil"/>
            </w:tcBorders>
            <w:shd w:val="clear" w:color="auto" w:fill="auto"/>
            <w:tcMar>
              <w:left w:w="85" w:type="dxa"/>
              <w:right w:w="85" w:type="dxa"/>
            </w:tcMar>
          </w:tcPr>
          <w:p w14:paraId="66EC5365" w14:textId="77777777" w:rsidR="00B54968" w:rsidRPr="00364D52" w:rsidRDefault="00B54968" w:rsidP="003E2009">
            <w:pPr>
              <w:pStyle w:val="TableCellText10pt"/>
              <w:keepNext w:val="0"/>
              <w:ind w:left="480" w:hanging="240"/>
              <w:rPr>
                <w:rFonts w:eastAsia="Times New Roman"/>
                <w:sz w:val="18"/>
                <w:szCs w:val="18"/>
              </w:rPr>
            </w:pPr>
            <w:r w:rsidRPr="00364D52">
              <w:rPr>
                <w:rFonts w:eastAsia="Times New Roman"/>
                <w:sz w:val="18"/>
                <w:szCs w:val="18"/>
              </w:rPr>
              <w:t>Seborrheic dermatitis</w:t>
            </w:r>
          </w:p>
        </w:tc>
        <w:tc>
          <w:tcPr>
            <w:tcW w:w="1464" w:type="dxa"/>
            <w:tcBorders>
              <w:top w:val="nil"/>
              <w:left w:val="nil"/>
              <w:bottom w:val="nil"/>
              <w:right w:val="nil"/>
            </w:tcBorders>
            <w:shd w:val="clear" w:color="auto" w:fill="auto"/>
            <w:tcMar>
              <w:left w:w="85" w:type="dxa"/>
              <w:right w:w="85" w:type="dxa"/>
            </w:tcMar>
          </w:tcPr>
          <w:p w14:paraId="134846D3"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56D1CD2A"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49B8AD28"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1196A7D0"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0B714788" w14:textId="77777777" w:rsidR="00B54968" w:rsidRPr="00364D52" w:rsidRDefault="00B54968" w:rsidP="003E2009">
            <w:pPr>
              <w:pStyle w:val="TableCellText10pt"/>
              <w:keepNext w:val="0"/>
              <w:ind w:left="480" w:hanging="240"/>
              <w:rPr>
                <w:rFonts w:eastAsia="Times New Roman"/>
                <w:sz w:val="18"/>
                <w:szCs w:val="18"/>
              </w:rPr>
            </w:pPr>
            <w:proofErr w:type="spellStart"/>
            <w:r w:rsidRPr="00364D52">
              <w:rPr>
                <w:rFonts w:eastAsia="Times New Roman"/>
                <w:sz w:val="18"/>
                <w:szCs w:val="18"/>
              </w:rPr>
              <w:lastRenderedPageBreak/>
              <w:t>Urticaria</w:t>
            </w:r>
            <w:proofErr w:type="spellEnd"/>
          </w:p>
        </w:tc>
        <w:tc>
          <w:tcPr>
            <w:tcW w:w="1464" w:type="dxa"/>
            <w:tcBorders>
              <w:top w:val="nil"/>
              <w:left w:val="nil"/>
              <w:bottom w:val="single" w:sz="4" w:space="0" w:color="auto"/>
              <w:right w:val="nil"/>
            </w:tcBorders>
            <w:shd w:val="clear" w:color="auto" w:fill="auto"/>
            <w:tcMar>
              <w:left w:w="85" w:type="dxa"/>
              <w:right w:w="85" w:type="dxa"/>
            </w:tcMar>
          </w:tcPr>
          <w:p w14:paraId="13D1D2D9"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73928946"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57A93658" w14:textId="77777777" w:rsidR="00B54968" w:rsidRPr="00364D52" w:rsidRDefault="00B54968" w:rsidP="003E200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66C353A4"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5BB081DF" w14:textId="77777777" w:rsidR="00B54968" w:rsidRPr="00B54968" w:rsidRDefault="00B54968" w:rsidP="003E2009">
            <w:pPr>
              <w:pStyle w:val="TableCellText10pt"/>
              <w:keepNext w:val="0"/>
              <w:keepLines/>
              <w:rPr>
                <w:rFonts w:eastAsia="Times New Roman"/>
                <w:color w:val="000000"/>
                <w:sz w:val="18"/>
                <w:szCs w:val="18"/>
              </w:rPr>
            </w:pPr>
            <w:r w:rsidRPr="00364D52">
              <w:rPr>
                <w:rFonts w:eastAsia="Times New Roman"/>
                <w:b/>
                <w:sz w:val="18"/>
                <w:szCs w:val="18"/>
              </w:rPr>
              <w:t>Vascular disorders</w:t>
            </w:r>
          </w:p>
        </w:tc>
        <w:tc>
          <w:tcPr>
            <w:tcW w:w="1464" w:type="dxa"/>
            <w:tcBorders>
              <w:top w:val="single" w:sz="4" w:space="0" w:color="auto"/>
              <w:left w:val="nil"/>
              <w:bottom w:val="nil"/>
              <w:right w:val="nil"/>
            </w:tcBorders>
            <w:shd w:val="clear" w:color="auto" w:fill="auto"/>
            <w:tcMar>
              <w:left w:w="85" w:type="dxa"/>
              <w:right w:w="85" w:type="dxa"/>
            </w:tcMar>
          </w:tcPr>
          <w:p w14:paraId="1D732167" w14:textId="77777777" w:rsidR="00B54968" w:rsidRPr="00364D52" w:rsidRDefault="00B54968" w:rsidP="003E2009">
            <w:pPr>
              <w:pStyle w:val="TableCellText10pt"/>
              <w:keepNext w:val="0"/>
              <w:keepLines/>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64D53AA4" w14:textId="77777777" w:rsidR="00B54968" w:rsidRPr="00364D52" w:rsidRDefault="00B54968" w:rsidP="003E2009">
            <w:pPr>
              <w:pStyle w:val="TableCellText10pt"/>
              <w:keepNext w:val="0"/>
              <w:keepLines/>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633797B1" w14:textId="77777777" w:rsidR="00B54968" w:rsidRPr="00364D52" w:rsidRDefault="00B54968" w:rsidP="003E2009">
            <w:pPr>
              <w:pStyle w:val="TableCellText10pt"/>
              <w:keepNext w:val="0"/>
              <w:keepLines/>
              <w:rPr>
                <w:rFonts w:eastAsia="Times New Roman"/>
                <w:sz w:val="18"/>
                <w:szCs w:val="18"/>
              </w:rPr>
            </w:pPr>
          </w:p>
        </w:tc>
      </w:tr>
      <w:tr w:rsidR="00B54968" w:rsidRPr="00B54968" w14:paraId="309F9BBD"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6E6C9B75" w14:textId="77777777" w:rsidR="00B54968" w:rsidRPr="00B54968" w:rsidRDefault="00B54968" w:rsidP="003E2009">
            <w:pPr>
              <w:pStyle w:val="TableCellText10pt"/>
              <w:keepNext w:val="0"/>
              <w:keepLines/>
              <w:ind w:left="480" w:hanging="240"/>
              <w:rPr>
                <w:rFonts w:eastAsia="Times New Roman"/>
                <w:color w:val="000000"/>
                <w:sz w:val="18"/>
                <w:szCs w:val="18"/>
              </w:rPr>
            </w:pPr>
            <w:r w:rsidRPr="00364D52">
              <w:rPr>
                <w:rFonts w:eastAsia="Times New Roman"/>
                <w:sz w:val="18"/>
                <w:szCs w:val="18"/>
              </w:rPr>
              <w:t>Hypertension</w:t>
            </w:r>
          </w:p>
        </w:tc>
        <w:tc>
          <w:tcPr>
            <w:tcW w:w="1464" w:type="dxa"/>
            <w:tcBorders>
              <w:top w:val="nil"/>
              <w:left w:val="nil"/>
              <w:bottom w:val="single" w:sz="4" w:space="0" w:color="auto"/>
              <w:right w:val="nil"/>
            </w:tcBorders>
            <w:shd w:val="clear" w:color="auto" w:fill="auto"/>
            <w:tcMar>
              <w:left w:w="85" w:type="dxa"/>
              <w:right w:w="85" w:type="dxa"/>
            </w:tcMar>
          </w:tcPr>
          <w:p w14:paraId="5794D263" w14:textId="77777777" w:rsidR="00B54968" w:rsidRPr="00364D52" w:rsidRDefault="00B54968" w:rsidP="003E2009">
            <w:pPr>
              <w:pStyle w:val="TableCellText10pt"/>
              <w:keepNext w:val="0"/>
              <w:keepLines/>
              <w:rPr>
                <w:rFonts w:eastAsia="Times New Roman"/>
                <w:sz w:val="18"/>
                <w:szCs w:val="18"/>
              </w:rPr>
            </w:pPr>
            <w:r w:rsidRPr="00364D52">
              <w:rPr>
                <w:rFonts w:eastAsia="Times New Roman"/>
                <w:sz w:val="18"/>
                <w:szCs w:val="18"/>
              </w:rPr>
              <w:t>4 (3.1)</w:t>
            </w:r>
          </w:p>
        </w:tc>
        <w:tc>
          <w:tcPr>
            <w:tcW w:w="1464" w:type="dxa"/>
            <w:tcBorders>
              <w:top w:val="nil"/>
              <w:left w:val="nil"/>
              <w:bottom w:val="single" w:sz="4" w:space="0" w:color="auto"/>
              <w:right w:val="nil"/>
            </w:tcBorders>
            <w:shd w:val="clear" w:color="auto" w:fill="auto"/>
            <w:tcMar>
              <w:left w:w="85" w:type="dxa"/>
              <w:right w:w="85" w:type="dxa"/>
            </w:tcMar>
          </w:tcPr>
          <w:p w14:paraId="0357F59D" w14:textId="77777777" w:rsidR="00B54968" w:rsidRPr="00364D52" w:rsidRDefault="00B54968" w:rsidP="003E2009">
            <w:pPr>
              <w:pStyle w:val="TableCellText10pt"/>
              <w:keepNext w:val="0"/>
              <w:keepLines/>
              <w:rPr>
                <w:rFonts w:eastAsia="Times New Roman"/>
                <w:sz w:val="18"/>
                <w:szCs w:val="18"/>
              </w:rPr>
            </w:pPr>
            <w:r w:rsidRPr="00364D52">
              <w:rPr>
                <w:rFonts w:eastAsia="Times New Roman"/>
                <w:sz w:val="18"/>
                <w:szCs w:val="18"/>
              </w:rPr>
              <w:t>1 (0.8)</w:t>
            </w:r>
          </w:p>
        </w:tc>
        <w:tc>
          <w:tcPr>
            <w:tcW w:w="1464" w:type="dxa"/>
            <w:tcBorders>
              <w:top w:val="nil"/>
              <w:left w:val="nil"/>
              <w:bottom w:val="single" w:sz="4" w:space="0" w:color="auto"/>
              <w:right w:val="nil"/>
            </w:tcBorders>
            <w:shd w:val="clear" w:color="auto" w:fill="auto"/>
            <w:tcMar>
              <w:left w:w="85" w:type="dxa"/>
              <w:right w:w="85" w:type="dxa"/>
            </w:tcMar>
          </w:tcPr>
          <w:p w14:paraId="60762CC0" w14:textId="77777777" w:rsidR="00B54968" w:rsidRPr="00364D52" w:rsidRDefault="00B54968" w:rsidP="003E2009">
            <w:pPr>
              <w:pStyle w:val="TableCellText10pt"/>
              <w:keepNext w:val="0"/>
              <w:keepLines/>
              <w:rPr>
                <w:rFonts w:eastAsia="Times New Roman"/>
                <w:sz w:val="18"/>
                <w:szCs w:val="18"/>
              </w:rPr>
            </w:pPr>
            <w:r w:rsidRPr="00364D52">
              <w:rPr>
                <w:rFonts w:eastAsia="Times New Roman"/>
                <w:sz w:val="18"/>
                <w:szCs w:val="18"/>
              </w:rPr>
              <w:t>5 (2.0)</w:t>
            </w:r>
          </w:p>
        </w:tc>
      </w:tr>
      <w:tr w:rsidR="00B54968" w:rsidRPr="00B54968" w14:paraId="7DE0A495" w14:textId="77777777" w:rsidTr="00336B3E">
        <w:tc>
          <w:tcPr>
            <w:tcW w:w="9129" w:type="dxa"/>
            <w:gridSpan w:val="4"/>
            <w:tcBorders>
              <w:top w:val="single" w:sz="4" w:space="0" w:color="auto"/>
              <w:left w:val="nil"/>
              <w:bottom w:val="nil"/>
              <w:right w:val="nil"/>
            </w:tcBorders>
            <w:shd w:val="clear" w:color="auto" w:fill="auto"/>
            <w:tcMar>
              <w:left w:w="85" w:type="dxa"/>
              <w:right w:w="85" w:type="dxa"/>
            </w:tcMar>
          </w:tcPr>
          <w:p w14:paraId="76268144" w14:textId="77777777" w:rsidR="00B54968" w:rsidRPr="00364D52" w:rsidRDefault="00B54968" w:rsidP="003E2009">
            <w:pPr>
              <w:pStyle w:val="TableFootnote"/>
              <w:keepNext w:val="0"/>
              <w:spacing w:before="0"/>
              <w:ind w:left="601" w:hanging="601"/>
              <w:rPr>
                <w:rFonts w:eastAsia="Times New Roman"/>
                <w:sz w:val="18"/>
                <w:lang w:val="en-US" w:eastAsia="en-US"/>
              </w:rPr>
            </w:pPr>
            <w:r w:rsidRPr="00364D52">
              <w:rPr>
                <w:rFonts w:eastAsia="Times New Roman"/>
                <w:sz w:val="18"/>
                <w:lang w:val="en-US" w:eastAsia="en-US"/>
              </w:rPr>
              <w:t>Note:</w:t>
            </w:r>
            <w:r w:rsidRPr="00364D52">
              <w:rPr>
                <w:rFonts w:eastAsia="Times New Roman"/>
                <w:sz w:val="18"/>
                <w:lang w:val="en-US" w:eastAsia="en-US"/>
              </w:rPr>
              <w:tab/>
              <w:t xml:space="preserve">The total number of treatment-emergent adverse events count included all patient events. At each level of summarization, a patient was counted once if he or she reported 1 or more events. Only the most severe event was counted.  </w:t>
            </w:r>
          </w:p>
          <w:p w14:paraId="3E3A0537" w14:textId="77777777" w:rsidR="00B54968" w:rsidRPr="00364D52" w:rsidRDefault="00B54968" w:rsidP="003E2009">
            <w:pPr>
              <w:pStyle w:val="TableFootnote"/>
              <w:keepNext w:val="0"/>
              <w:spacing w:before="0"/>
              <w:ind w:left="1202" w:hanging="601"/>
              <w:rPr>
                <w:rFonts w:eastAsia="Times New Roman"/>
                <w:sz w:val="18"/>
                <w:lang w:val="en-US" w:eastAsia="en-US"/>
              </w:rPr>
            </w:pPr>
            <w:r w:rsidRPr="00364D52">
              <w:rPr>
                <w:rFonts w:eastAsia="Times New Roman"/>
                <w:sz w:val="18"/>
                <w:lang w:val="en-US" w:eastAsia="en-US"/>
              </w:rPr>
              <w:t>Medical Dictionary for Regulatory Activities Version 13.1 was used.</w:t>
            </w:r>
          </w:p>
          <w:p w14:paraId="52E6DE07" w14:textId="77777777" w:rsidR="00B54968" w:rsidRPr="00B54968" w:rsidRDefault="00B54968" w:rsidP="003E2009">
            <w:pPr>
              <w:pStyle w:val="DocumentText"/>
              <w:keepLines/>
              <w:spacing w:after="0" w:line="240" w:lineRule="auto"/>
              <w:ind w:left="839" w:hanging="839"/>
              <w:rPr>
                <w:rFonts w:eastAsia="Times New Roman"/>
                <w:sz w:val="20"/>
                <w:szCs w:val="20"/>
              </w:rPr>
            </w:pPr>
          </w:p>
        </w:tc>
      </w:tr>
    </w:tbl>
    <w:p w14:paraId="2E16D381" w14:textId="3842D316" w:rsidR="00B54968" w:rsidRPr="00B54968" w:rsidRDefault="00B54968" w:rsidP="003E2009">
      <w:pPr>
        <w:pStyle w:val="Default"/>
        <w:rPr>
          <w:rFonts w:ascii="Times New Roman" w:hAnsi="Times New Roman" w:cs="Times New Roman"/>
          <w:color w:val="auto"/>
          <w:sz w:val="22"/>
          <w:szCs w:val="22"/>
          <w:highlight w:val="yellow"/>
        </w:rPr>
      </w:pPr>
    </w:p>
    <w:p w14:paraId="3E11FE80" w14:textId="1C30B758" w:rsidR="00C3775E" w:rsidRPr="00B54968" w:rsidRDefault="00C3775E" w:rsidP="003E2009">
      <w:pPr>
        <w:pStyle w:val="Default"/>
        <w:rPr>
          <w:rFonts w:ascii="Times New Roman" w:hAnsi="Times New Roman" w:cs="Times New Roman"/>
          <w:color w:val="auto"/>
          <w:sz w:val="22"/>
          <w:szCs w:val="22"/>
          <w:highlight w:val="yellow"/>
          <w:lang w:eastAsia="ko-KR"/>
        </w:rPr>
      </w:pPr>
      <w:r w:rsidRPr="00B54968">
        <w:rPr>
          <w:rFonts w:ascii="Times New Roman" w:hAnsi="Times New Roman" w:cs="Times New Roman"/>
          <w:color w:val="auto"/>
          <w:sz w:val="22"/>
          <w:szCs w:val="22"/>
        </w:rPr>
        <w:t xml:space="preserve">The incidence rates of adverse events of infections in controlled and extension studies with </w:t>
      </w:r>
      <w:r w:rsidR="00281C64">
        <w:rPr>
          <w:rFonts w:ascii="Times New Roman" w:hAnsi="Times New Roman" w:cs="Times New Roman"/>
          <w:color w:val="auto"/>
          <w:sz w:val="22"/>
          <w:szCs w:val="22"/>
        </w:rPr>
        <w:t>INFLECTRA</w:t>
      </w:r>
      <w:r w:rsidRPr="00B54968">
        <w:rPr>
          <w:rFonts w:ascii="Times New Roman" w:hAnsi="Times New Roman" w:cs="Times New Roman"/>
          <w:color w:val="auto"/>
          <w:sz w:val="22"/>
          <w:szCs w:val="22"/>
        </w:rPr>
        <w:t xml:space="preserve"> are </w:t>
      </w:r>
      <w:proofErr w:type="spellStart"/>
      <w:r w:rsidRPr="00B54968">
        <w:rPr>
          <w:rFonts w:ascii="Times New Roman" w:hAnsi="Times New Roman" w:cs="Times New Roman"/>
          <w:color w:val="auto"/>
          <w:sz w:val="22"/>
          <w:szCs w:val="22"/>
        </w:rPr>
        <w:t>summarised</w:t>
      </w:r>
      <w:proofErr w:type="spellEnd"/>
      <w:r w:rsidRPr="00B54968">
        <w:rPr>
          <w:rFonts w:ascii="Times New Roman" w:hAnsi="Times New Roman" w:cs="Times New Roman"/>
          <w:color w:val="auto"/>
          <w:sz w:val="22"/>
          <w:szCs w:val="22"/>
        </w:rPr>
        <w:t xml:space="preserve"> in Table </w:t>
      </w:r>
      <w:r w:rsidRPr="00B54968">
        <w:rPr>
          <w:rFonts w:ascii="Times New Roman" w:hAnsi="Times New Roman" w:cs="Times New Roman"/>
          <w:color w:val="auto"/>
          <w:sz w:val="22"/>
          <w:szCs w:val="22"/>
          <w:lang w:eastAsia="ko-KR"/>
        </w:rPr>
        <w:t>1</w:t>
      </w:r>
      <w:r w:rsidR="00C05263" w:rsidRPr="00B54968">
        <w:rPr>
          <w:rFonts w:ascii="Times New Roman" w:hAnsi="Times New Roman" w:cs="Times New Roman"/>
          <w:color w:val="auto"/>
          <w:sz w:val="22"/>
          <w:szCs w:val="22"/>
          <w:lang w:eastAsia="ko-KR"/>
        </w:rPr>
        <w:t>5</w:t>
      </w:r>
      <w:r w:rsidRPr="00B54968">
        <w:rPr>
          <w:rFonts w:ascii="Times New Roman" w:hAnsi="Times New Roman" w:cs="Times New Roman"/>
          <w:color w:val="auto"/>
          <w:sz w:val="22"/>
          <w:szCs w:val="22"/>
          <w:lang w:eastAsia="ko-KR"/>
        </w:rPr>
        <w:t>.</w:t>
      </w:r>
    </w:p>
    <w:p w14:paraId="0D7039EA" w14:textId="7EEE0A79" w:rsidR="0044223C" w:rsidRPr="00B54968" w:rsidRDefault="0044223C" w:rsidP="003E2009">
      <w:pPr>
        <w:pStyle w:val="NoSpacing"/>
        <w:spacing w:after="240"/>
        <w:rPr>
          <w:sz w:val="22"/>
          <w:szCs w:val="22"/>
          <w:lang w:eastAsia="ko-KR"/>
        </w:rPr>
      </w:pPr>
    </w:p>
    <w:p w14:paraId="59D9394B" w14:textId="13F67287" w:rsidR="00B13E89" w:rsidRPr="00364D52" w:rsidRDefault="00B13E89" w:rsidP="003E2009">
      <w:pPr>
        <w:pStyle w:val="NoSpacing"/>
        <w:spacing w:after="240"/>
        <w:ind w:left="1440" w:hanging="1440"/>
        <w:rPr>
          <w:rFonts w:eastAsia="Batang"/>
          <w:b/>
          <w:bCs/>
          <w:sz w:val="22"/>
        </w:rPr>
      </w:pPr>
      <w:bookmarkStart w:id="1" w:name="_Ref393805333"/>
      <w:bookmarkStart w:id="2" w:name="_Toc393826646"/>
      <w:bookmarkStart w:id="3" w:name="_Toc394088128"/>
      <w:r w:rsidRPr="00364D52">
        <w:rPr>
          <w:rFonts w:eastAsia="Batang"/>
          <w:b/>
          <w:bCs/>
          <w:sz w:val="22"/>
        </w:rPr>
        <w:t>Table </w:t>
      </w:r>
      <w:bookmarkEnd w:id="1"/>
      <w:r w:rsidR="00D57B9B" w:rsidRPr="00364D52">
        <w:rPr>
          <w:rFonts w:eastAsia="Batang"/>
          <w:b/>
          <w:bCs/>
          <w:sz w:val="22"/>
        </w:rPr>
        <w:t>1</w:t>
      </w:r>
      <w:r w:rsidR="00C05263" w:rsidRPr="00364D52">
        <w:rPr>
          <w:rFonts w:eastAsia="Batang"/>
          <w:b/>
          <w:bCs/>
          <w:sz w:val="22"/>
        </w:rPr>
        <w:t>5</w:t>
      </w:r>
      <w:r w:rsidRPr="00364D52">
        <w:rPr>
          <w:rFonts w:eastAsia="Batang"/>
          <w:b/>
          <w:bCs/>
          <w:sz w:val="22"/>
        </w:rPr>
        <w:t>:</w:t>
      </w:r>
      <w:r w:rsidRPr="00364D52">
        <w:rPr>
          <w:rFonts w:eastAsia="Batang"/>
          <w:b/>
          <w:bCs/>
          <w:sz w:val="22"/>
        </w:rPr>
        <w:tab/>
        <w:t xml:space="preserve">Summary of Patients reporting Infections and Serious Infection in the </w:t>
      </w:r>
      <w:r w:rsidR="00281C64">
        <w:rPr>
          <w:rFonts w:eastAsia="Batang" w:hint="eastAsia"/>
          <w:b/>
          <w:bCs/>
          <w:sz w:val="22"/>
        </w:rPr>
        <w:t>INFLECTRA</w:t>
      </w:r>
      <w:r w:rsidR="00364D52" w:rsidRPr="00941F48">
        <w:rPr>
          <w:rFonts w:eastAsia="Batang"/>
          <w:b/>
          <w:bCs/>
          <w:sz w:val="22"/>
          <w:vertAlign w:val="superscript"/>
        </w:rPr>
        <w:t>®</w:t>
      </w:r>
      <w:r w:rsidRPr="00364D52">
        <w:rPr>
          <w:rFonts w:eastAsia="Batang"/>
          <w:b/>
          <w:bCs/>
          <w:sz w:val="22"/>
        </w:rPr>
        <w:t xml:space="preserve"> Clinical Studies</w:t>
      </w:r>
      <w:bookmarkEnd w:id="2"/>
      <w:bookmarkEnd w:id="3"/>
    </w:p>
    <w:tbl>
      <w:tblPr>
        <w:tblW w:w="5000" w:type="pct"/>
        <w:tblCellMar>
          <w:top w:w="85" w:type="dxa"/>
          <w:left w:w="85" w:type="dxa"/>
          <w:bottom w:w="85" w:type="dxa"/>
          <w:right w:w="85" w:type="dxa"/>
        </w:tblCellMar>
        <w:tblLook w:val="04A0" w:firstRow="1" w:lastRow="0" w:firstColumn="1" w:lastColumn="0" w:noHBand="0" w:noVBand="1"/>
      </w:tblPr>
      <w:tblGrid>
        <w:gridCol w:w="2802"/>
        <w:gridCol w:w="1610"/>
        <w:gridCol w:w="1610"/>
        <w:gridCol w:w="1610"/>
        <w:gridCol w:w="1610"/>
      </w:tblGrid>
      <w:tr w:rsidR="00B13E89" w:rsidRPr="00B54968" w14:paraId="7484AC37" w14:textId="77777777" w:rsidTr="00AF2E60">
        <w:trPr>
          <w:trHeight w:val="401"/>
        </w:trPr>
        <w:tc>
          <w:tcPr>
            <w:tcW w:w="1516" w:type="pct"/>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14:paraId="7D77E362" w14:textId="77777777" w:rsidR="00B13E89" w:rsidRPr="00364D52" w:rsidRDefault="00B13E89" w:rsidP="003E2009">
            <w:pPr>
              <w:spacing w:after="0" w:line="240" w:lineRule="auto"/>
              <w:rPr>
                <w:rFonts w:ascii="Times New Roman" w:hAnsi="Times New Roman" w:cs="Times New Roman"/>
                <w:sz w:val="18"/>
                <w:szCs w:val="20"/>
                <w:lang w:val="en-GB"/>
              </w:rPr>
            </w:pPr>
          </w:p>
        </w:tc>
        <w:tc>
          <w:tcPr>
            <w:tcW w:w="3484" w:type="pct"/>
            <w:gridSpan w:val="4"/>
            <w:tcBorders>
              <w:top w:val="doub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tcPr>
          <w:p w14:paraId="7B5B3171" w14:textId="77777777" w:rsidR="00B13E89" w:rsidRPr="00364D52" w:rsidRDefault="00B13E89" w:rsidP="003E2009">
            <w:pPr>
              <w:keepNext/>
              <w:spacing w:after="0" w:line="240" w:lineRule="auto"/>
              <w:rPr>
                <w:rFonts w:ascii="Times New Roman" w:hAnsi="Times New Roman" w:cs="Times New Roman"/>
                <w:b/>
                <w:bCs/>
                <w:sz w:val="18"/>
                <w:szCs w:val="20"/>
              </w:rPr>
            </w:pPr>
            <w:r w:rsidRPr="00364D52">
              <w:rPr>
                <w:rFonts w:ascii="Times New Roman" w:hAnsi="Times New Roman" w:cs="Times New Roman"/>
                <w:b/>
                <w:bCs/>
                <w:sz w:val="18"/>
                <w:szCs w:val="20"/>
              </w:rPr>
              <w:t>All reported cases</w:t>
            </w:r>
          </w:p>
        </w:tc>
      </w:tr>
      <w:tr w:rsidR="00B13E89" w:rsidRPr="00B54968" w14:paraId="6CCC2341" w14:textId="77777777" w:rsidTr="002B0C47">
        <w:trPr>
          <w:trHeight w:val="76"/>
        </w:trPr>
        <w:tc>
          <w:tcPr>
            <w:tcW w:w="1516" w:type="pct"/>
            <w:vMerge w:val="restart"/>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hideMark/>
          </w:tcPr>
          <w:p w14:paraId="20CFB70A" w14:textId="77777777" w:rsidR="00B13E89" w:rsidRPr="00364D52" w:rsidRDefault="00B13E89" w:rsidP="003E2009">
            <w:pPr>
              <w:spacing w:after="0" w:line="240" w:lineRule="auto"/>
              <w:rPr>
                <w:rFonts w:ascii="Times New Roman" w:hAnsi="Times New Roman" w:cs="Times New Roman"/>
                <w:b/>
                <w:sz w:val="18"/>
                <w:szCs w:val="20"/>
              </w:rPr>
            </w:pPr>
            <w:r w:rsidRPr="00364D52">
              <w:rPr>
                <w:rFonts w:ascii="Times New Roman" w:hAnsi="Times New Roman" w:cs="Times New Roman"/>
                <w:b/>
                <w:sz w:val="18"/>
                <w:szCs w:val="20"/>
              </w:rPr>
              <w:t>System Organ Class</w:t>
            </w:r>
          </w:p>
          <w:p w14:paraId="5BADB440" w14:textId="77777777" w:rsidR="00B13E89" w:rsidRPr="00364D52" w:rsidRDefault="00B13E89" w:rsidP="003E2009">
            <w:pPr>
              <w:keepNext/>
              <w:tabs>
                <w:tab w:val="left" w:pos="1985"/>
              </w:tabs>
              <w:spacing w:before="60" w:after="0" w:line="240" w:lineRule="auto"/>
              <w:rPr>
                <w:rFonts w:ascii="Times New Roman" w:hAnsi="Times New Roman" w:cs="Times New Roman"/>
                <w:b/>
                <w:sz w:val="18"/>
                <w:szCs w:val="20"/>
              </w:rPr>
            </w:pPr>
            <w:r w:rsidRPr="00364D52">
              <w:rPr>
                <w:rFonts w:ascii="Times New Roman" w:hAnsi="Times New Roman" w:cs="Times New Roman"/>
                <w:b/>
                <w:sz w:val="18"/>
                <w:szCs w:val="20"/>
              </w:rPr>
              <w:t>Preferred Term</w:t>
            </w:r>
          </w:p>
        </w:tc>
        <w:tc>
          <w:tcPr>
            <w:tcW w:w="174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E8EF3D" w14:textId="77777777" w:rsidR="00B13E89" w:rsidRPr="00364D52" w:rsidRDefault="00B13E89" w:rsidP="003E200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Controlled Studies</w:t>
            </w:r>
          </w:p>
          <w:p w14:paraId="502ED7E4" w14:textId="77777777" w:rsidR="00B13E89" w:rsidRPr="00364D52" w:rsidRDefault="00B13E89" w:rsidP="003E200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(Studies CT-P13 1.1, 1.2, 3.1, 3.3)</w:t>
            </w:r>
          </w:p>
        </w:tc>
        <w:tc>
          <w:tcPr>
            <w:tcW w:w="1742" w:type="pct"/>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301D32C6" w14:textId="77777777" w:rsidR="00B13E89" w:rsidRPr="00364D52" w:rsidRDefault="00B13E89" w:rsidP="003E200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Extension Studies</w:t>
            </w:r>
          </w:p>
          <w:p w14:paraId="6B31B3D0" w14:textId="77777777" w:rsidR="00B13E89" w:rsidRPr="00364D52" w:rsidRDefault="00B13E89" w:rsidP="003E200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(Studies CT-P13 1.3, 1.2 Phase II, 3.2)</w:t>
            </w:r>
          </w:p>
        </w:tc>
      </w:tr>
      <w:tr w:rsidR="00B13E89" w:rsidRPr="00B54968" w14:paraId="34D2A4F8" w14:textId="77777777" w:rsidTr="002B0C47">
        <w:trPr>
          <w:trHeight w:val="76"/>
        </w:trPr>
        <w:tc>
          <w:tcPr>
            <w:tcW w:w="1516" w:type="pct"/>
            <w:vMerge/>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vAlign w:val="center"/>
          </w:tcPr>
          <w:p w14:paraId="6E7155A5" w14:textId="77777777" w:rsidR="00B13E89" w:rsidRPr="00364D52" w:rsidRDefault="00B13E89" w:rsidP="003E2009">
            <w:pPr>
              <w:keepNext/>
              <w:tabs>
                <w:tab w:val="left" w:pos="1985"/>
              </w:tabs>
              <w:spacing w:before="60" w:after="0" w:line="240" w:lineRule="auto"/>
              <w:rPr>
                <w:rFonts w:ascii="Times New Roman" w:hAnsi="Times New Roman" w:cs="Times New Roman"/>
                <w:b/>
                <w:sz w:val="18"/>
                <w:szCs w:val="20"/>
              </w:rPr>
            </w:pPr>
          </w:p>
        </w:tc>
        <w:tc>
          <w:tcPr>
            <w:tcW w:w="871" w:type="pct"/>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0CEF7D7A" w14:textId="70946A6D" w:rsidR="00B13E89" w:rsidRPr="00364D52" w:rsidRDefault="00F55576" w:rsidP="003E2009">
            <w:pPr>
              <w:keepNext/>
              <w:spacing w:after="0" w:line="240" w:lineRule="auto"/>
              <w:rPr>
                <w:rFonts w:ascii="Times New Roman" w:hAnsi="Times New Roman" w:cs="Times New Roman"/>
                <w:b/>
                <w:bCs/>
                <w:sz w:val="18"/>
                <w:szCs w:val="20"/>
              </w:rPr>
            </w:pPr>
            <w:r>
              <w:rPr>
                <w:rFonts w:eastAsia="Batang" w:hint="eastAsia"/>
                <w:b/>
                <w:bCs/>
              </w:rPr>
              <w:t xml:space="preserve"> </w:t>
            </w:r>
            <w:r w:rsidR="00281C64">
              <w:rPr>
                <w:rFonts w:ascii="Times New Roman" w:hAnsi="Times New Roman" w:cs="Times New Roman"/>
                <w:b/>
                <w:bCs/>
                <w:sz w:val="18"/>
                <w:szCs w:val="20"/>
              </w:rPr>
              <w:t>INFLECTRA</w:t>
            </w:r>
            <w:r w:rsidRPr="00BA6D8C">
              <w:rPr>
                <w:rFonts w:ascii="Times New Roman" w:hAnsi="Times New Roman" w:cs="Times New Roman"/>
                <w:b/>
                <w:bCs/>
                <w:sz w:val="18"/>
                <w:szCs w:val="20"/>
                <w:vertAlign w:val="superscript"/>
              </w:rPr>
              <w:t>®</w:t>
            </w:r>
          </w:p>
          <w:p w14:paraId="5AAD5F66" w14:textId="77777777" w:rsidR="00B13E89" w:rsidRPr="00364D52" w:rsidRDefault="00B13E89" w:rsidP="003E200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(N=446)</w:t>
            </w:r>
          </w:p>
          <w:p w14:paraId="4831C118" w14:textId="77777777" w:rsidR="00B13E89" w:rsidRPr="00364D52" w:rsidRDefault="00B13E89" w:rsidP="003E200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c>
          <w:tcPr>
            <w:tcW w:w="871" w:type="pct"/>
            <w:tcBorders>
              <w:top w:val="single" w:sz="4" w:space="0" w:color="auto"/>
              <w:left w:val="single" w:sz="4" w:space="0" w:color="auto"/>
              <w:bottom w:val="double" w:sz="4" w:space="0" w:color="auto"/>
              <w:right w:val="single" w:sz="4" w:space="0" w:color="auto"/>
            </w:tcBorders>
            <w:vAlign w:val="center"/>
          </w:tcPr>
          <w:p w14:paraId="37C984EB" w14:textId="29DA4F75" w:rsidR="00B13E89" w:rsidRPr="00364D52" w:rsidRDefault="001A691C" w:rsidP="003E2009">
            <w:pPr>
              <w:keepNext/>
              <w:spacing w:after="0" w:line="240" w:lineRule="auto"/>
              <w:rPr>
                <w:rFonts w:ascii="Times New Roman" w:eastAsia="Malgun Gothic" w:hAnsi="Times New Roman" w:cs="Times New Roman"/>
                <w:sz w:val="18"/>
                <w:szCs w:val="20"/>
                <w:vertAlign w:val="superscript"/>
              </w:rPr>
            </w:pPr>
            <w:r>
              <w:rPr>
                <w:rFonts w:ascii="Times New Roman" w:hAnsi="Times New Roman" w:cs="Times New Roman"/>
                <w:b/>
                <w:bCs/>
                <w:sz w:val="18"/>
                <w:szCs w:val="20"/>
              </w:rPr>
              <w:t>REMICADE</w:t>
            </w:r>
            <w:r w:rsidR="00B13E89" w:rsidRPr="00364D52">
              <w:rPr>
                <w:rFonts w:ascii="Times New Roman" w:eastAsia="Malgun Gothic" w:hAnsi="Times New Roman" w:cs="Times New Roman"/>
                <w:sz w:val="18"/>
                <w:szCs w:val="20"/>
                <w:vertAlign w:val="superscript"/>
              </w:rPr>
              <w:t>®</w:t>
            </w:r>
          </w:p>
          <w:p w14:paraId="48FD04FC" w14:textId="77777777" w:rsidR="00B13E89" w:rsidRPr="00364D52" w:rsidRDefault="00B13E89" w:rsidP="003E200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(N=440)</w:t>
            </w:r>
          </w:p>
          <w:p w14:paraId="2DB51AAE" w14:textId="77777777" w:rsidR="00B13E89" w:rsidRPr="00364D52" w:rsidRDefault="00B13E89" w:rsidP="003E200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c>
          <w:tcPr>
            <w:tcW w:w="871" w:type="pct"/>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616D4EA1" w14:textId="08C3B915" w:rsidR="00F55576" w:rsidRPr="00364D52" w:rsidRDefault="00281C64" w:rsidP="003E2009">
            <w:pPr>
              <w:keepNext/>
              <w:spacing w:after="0" w:line="240" w:lineRule="auto"/>
              <w:rPr>
                <w:rFonts w:ascii="Times New Roman" w:hAnsi="Times New Roman" w:cs="Times New Roman"/>
                <w:b/>
                <w:bCs/>
                <w:sz w:val="18"/>
                <w:szCs w:val="20"/>
              </w:rPr>
            </w:pPr>
            <w:r>
              <w:rPr>
                <w:rFonts w:ascii="Times New Roman" w:hAnsi="Times New Roman" w:cs="Times New Roman" w:hint="eastAsia"/>
                <w:b/>
                <w:bCs/>
                <w:sz w:val="18"/>
                <w:szCs w:val="20"/>
              </w:rPr>
              <w:t>INFLECTRA</w:t>
            </w:r>
            <w:r w:rsidR="00F55576" w:rsidRPr="003528AC">
              <w:rPr>
                <w:rFonts w:ascii="Times New Roman" w:hAnsi="Times New Roman" w:cs="Times New Roman"/>
                <w:b/>
                <w:bCs/>
                <w:sz w:val="18"/>
                <w:szCs w:val="20"/>
                <w:vertAlign w:val="superscript"/>
              </w:rPr>
              <w:t>®</w:t>
            </w:r>
          </w:p>
          <w:p w14:paraId="38CD950C" w14:textId="77777777" w:rsidR="00B13E89" w:rsidRPr="00364D52" w:rsidRDefault="00B13E89" w:rsidP="003E2009">
            <w:pPr>
              <w:keepNext/>
              <w:spacing w:after="0" w:line="240" w:lineRule="auto"/>
              <w:rPr>
                <w:rFonts w:ascii="Times New Roman" w:hAnsi="Times New Roman" w:cs="Times New Roman"/>
                <w:b/>
                <w:bCs/>
                <w:sz w:val="18"/>
                <w:szCs w:val="20"/>
              </w:rPr>
            </w:pPr>
            <w:r w:rsidRPr="00364D52">
              <w:rPr>
                <w:rFonts w:ascii="Times New Roman" w:hAnsi="Times New Roman" w:cs="Times New Roman"/>
                <w:b/>
                <w:bCs/>
                <w:sz w:val="18"/>
                <w:szCs w:val="20"/>
              </w:rPr>
              <w:t xml:space="preserve">Maintenance </w:t>
            </w:r>
          </w:p>
          <w:p w14:paraId="41DBC3AD" w14:textId="77777777" w:rsidR="00B13E89" w:rsidRPr="00364D52" w:rsidRDefault="00B13E89" w:rsidP="003E200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(N=257)</w:t>
            </w:r>
          </w:p>
          <w:p w14:paraId="26EEA748" w14:textId="77777777" w:rsidR="00B13E89" w:rsidRPr="00364D52" w:rsidRDefault="00B13E89" w:rsidP="003E200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c>
          <w:tcPr>
            <w:tcW w:w="871" w:type="pct"/>
            <w:tcBorders>
              <w:top w:val="single" w:sz="4" w:space="0" w:color="auto"/>
              <w:left w:val="single" w:sz="4" w:space="0" w:color="auto"/>
              <w:bottom w:val="double" w:sz="4" w:space="0" w:color="auto"/>
              <w:right w:val="double" w:sz="4" w:space="0" w:color="auto"/>
            </w:tcBorders>
            <w:vAlign w:val="center"/>
          </w:tcPr>
          <w:p w14:paraId="5C76255C" w14:textId="57A01A3E" w:rsidR="00F55576" w:rsidRPr="00364D52" w:rsidRDefault="00281C64" w:rsidP="003E2009">
            <w:pPr>
              <w:keepNext/>
              <w:spacing w:after="0" w:line="240" w:lineRule="auto"/>
              <w:rPr>
                <w:rFonts w:ascii="Times New Roman" w:hAnsi="Times New Roman" w:cs="Times New Roman"/>
                <w:b/>
                <w:bCs/>
                <w:sz w:val="18"/>
                <w:szCs w:val="20"/>
              </w:rPr>
            </w:pPr>
            <w:r>
              <w:rPr>
                <w:rFonts w:ascii="Times New Roman" w:hAnsi="Times New Roman" w:cs="Times New Roman" w:hint="eastAsia"/>
                <w:b/>
                <w:bCs/>
                <w:sz w:val="18"/>
                <w:szCs w:val="20"/>
              </w:rPr>
              <w:t>INFLECTRA</w:t>
            </w:r>
            <w:r w:rsidR="00F55576" w:rsidRPr="003528AC">
              <w:rPr>
                <w:rFonts w:ascii="Times New Roman" w:hAnsi="Times New Roman" w:cs="Times New Roman"/>
                <w:b/>
                <w:bCs/>
                <w:sz w:val="18"/>
                <w:szCs w:val="20"/>
                <w:vertAlign w:val="superscript"/>
              </w:rPr>
              <w:t>®</w:t>
            </w:r>
          </w:p>
          <w:p w14:paraId="4B1E3E11" w14:textId="77777777" w:rsidR="00B13E89" w:rsidRPr="00364D52" w:rsidRDefault="00B13E89" w:rsidP="003E2009">
            <w:pPr>
              <w:keepNext/>
              <w:spacing w:after="0" w:line="240" w:lineRule="auto"/>
              <w:rPr>
                <w:rFonts w:ascii="Times New Roman" w:hAnsi="Times New Roman" w:cs="Times New Roman"/>
                <w:b/>
                <w:bCs/>
                <w:sz w:val="18"/>
                <w:szCs w:val="20"/>
              </w:rPr>
            </w:pPr>
            <w:r w:rsidRPr="00364D52">
              <w:rPr>
                <w:rFonts w:ascii="Times New Roman" w:hAnsi="Times New Roman" w:cs="Times New Roman"/>
                <w:b/>
                <w:bCs/>
                <w:sz w:val="18"/>
                <w:szCs w:val="20"/>
              </w:rPr>
              <w:t>Switch</w:t>
            </w:r>
          </w:p>
          <w:p w14:paraId="623FE9FD" w14:textId="77777777" w:rsidR="00B13E89" w:rsidRPr="00364D52" w:rsidRDefault="00B13E89" w:rsidP="003E200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(N=235)</w:t>
            </w:r>
          </w:p>
          <w:p w14:paraId="49008A9E" w14:textId="77777777" w:rsidR="00B13E89" w:rsidRPr="00364D52" w:rsidRDefault="00B13E89" w:rsidP="003E200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r>
      <w:tr w:rsidR="00B13E89" w:rsidRPr="00B54968" w14:paraId="1EF95667" w14:textId="77777777" w:rsidTr="002B0C47">
        <w:trPr>
          <w:trHeight w:val="35"/>
        </w:trPr>
        <w:tc>
          <w:tcPr>
            <w:tcW w:w="1516"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0F8235" w14:textId="77777777" w:rsidR="00B13E89" w:rsidRPr="00364D52" w:rsidRDefault="00B13E89" w:rsidP="003E2009">
            <w:pPr>
              <w:spacing w:after="0" w:line="240" w:lineRule="auto"/>
              <w:rPr>
                <w:rFonts w:ascii="Times New Roman" w:eastAsia="Malgun Gothic" w:hAnsi="Times New Roman" w:cs="Times New Roman"/>
                <w:bCs/>
                <w:sz w:val="18"/>
                <w:szCs w:val="20"/>
              </w:rPr>
            </w:pPr>
            <w:r w:rsidRPr="00364D52">
              <w:rPr>
                <w:rFonts w:ascii="Times New Roman" w:hAnsi="Times New Roman" w:cs="Times New Roman"/>
                <w:sz w:val="18"/>
                <w:szCs w:val="20"/>
              </w:rPr>
              <w:t>No. of patients with at least one TEAE</w:t>
            </w:r>
            <w:r w:rsidRPr="00364D52">
              <w:rPr>
                <w:rFonts w:ascii="Times New Roman" w:eastAsia="Malgun Gothic" w:hAnsi="Times New Roman" w:cs="Times New Roman"/>
                <w:sz w:val="18"/>
                <w:szCs w:val="20"/>
              </w:rPr>
              <w:t xml:space="preserve"> with infections</w:t>
            </w:r>
          </w:p>
        </w:tc>
        <w:tc>
          <w:tcPr>
            <w:tcW w:w="871"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02E300"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189/446 (42.4%)</w:t>
            </w:r>
          </w:p>
        </w:tc>
        <w:tc>
          <w:tcPr>
            <w:tcW w:w="871" w:type="pct"/>
            <w:tcBorders>
              <w:top w:val="double" w:sz="4" w:space="0" w:color="auto"/>
              <w:left w:val="single" w:sz="4" w:space="0" w:color="auto"/>
              <w:bottom w:val="single" w:sz="4" w:space="0" w:color="auto"/>
              <w:right w:val="single" w:sz="4" w:space="0" w:color="auto"/>
            </w:tcBorders>
            <w:vAlign w:val="center"/>
          </w:tcPr>
          <w:p w14:paraId="0FCB563D"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193/440 (43.9%)</w:t>
            </w:r>
          </w:p>
        </w:tc>
        <w:tc>
          <w:tcPr>
            <w:tcW w:w="871"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B81078" w14:textId="5D14A364"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74/257 (28.8%)</w:t>
            </w:r>
          </w:p>
        </w:tc>
        <w:tc>
          <w:tcPr>
            <w:tcW w:w="871" w:type="pct"/>
            <w:tcBorders>
              <w:top w:val="double" w:sz="4" w:space="0" w:color="auto"/>
              <w:left w:val="single" w:sz="4" w:space="0" w:color="auto"/>
              <w:bottom w:val="single" w:sz="4" w:space="0" w:color="auto"/>
              <w:right w:val="single" w:sz="4" w:space="0" w:color="auto"/>
            </w:tcBorders>
            <w:vAlign w:val="center"/>
          </w:tcPr>
          <w:p w14:paraId="5E5C88CF"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78/235 (33.2)</w:t>
            </w:r>
          </w:p>
        </w:tc>
      </w:tr>
      <w:tr w:rsidR="00B13E89" w:rsidRPr="00B54968" w14:paraId="2BB2F7E3"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7461CB" w14:textId="77777777" w:rsidR="00B13E89" w:rsidRPr="00364D52" w:rsidRDefault="00B13E89" w:rsidP="003E2009">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No. of patients with at least one SAE</w:t>
            </w:r>
            <w:r w:rsidRPr="00364D52">
              <w:rPr>
                <w:rFonts w:ascii="Times New Roman" w:eastAsia="Malgun Gothic" w:hAnsi="Times New Roman" w:cs="Times New Roman"/>
                <w:sz w:val="18"/>
                <w:szCs w:val="20"/>
              </w:rPr>
              <w:t xml:space="preserve"> with infections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D88150"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16/446 (3.6%)</w:t>
            </w:r>
          </w:p>
        </w:tc>
        <w:tc>
          <w:tcPr>
            <w:tcW w:w="871" w:type="pct"/>
            <w:tcBorders>
              <w:top w:val="single" w:sz="4" w:space="0" w:color="auto"/>
              <w:left w:val="single" w:sz="4" w:space="0" w:color="auto"/>
              <w:bottom w:val="single" w:sz="4" w:space="0" w:color="auto"/>
              <w:right w:val="single" w:sz="4" w:space="0" w:color="auto"/>
            </w:tcBorders>
            <w:vAlign w:val="center"/>
          </w:tcPr>
          <w:p w14:paraId="59E5A85C"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10/440 (2.3%)</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78CA81"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6/257 (2.3%)</w:t>
            </w:r>
          </w:p>
        </w:tc>
        <w:tc>
          <w:tcPr>
            <w:tcW w:w="871" w:type="pct"/>
            <w:tcBorders>
              <w:top w:val="single" w:sz="4" w:space="0" w:color="auto"/>
              <w:left w:val="single" w:sz="4" w:space="0" w:color="auto"/>
              <w:bottom w:val="single" w:sz="4" w:space="0" w:color="auto"/>
              <w:right w:val="single" w:sz="4" w:space="0" w:color="auto"/>
            </w:tcBorders>
            <w:vAlign w:val="center"/>
          </w:tcPr>
          <w:p w14:paraId="66FDA515"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5/235 (2.1%)</w:t>
            </w:r>
          </w:p>
        </w:tc>
      </w:tr>
      <w:tr w:rsidR="00B13E89" w:rsidRPr="00B54968" w14:paraId="7B0C5341"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DC9077" w14:textId="77777777" w:rsidR="00B13E89" w:rsidRPr="00364D52" w:rsidRDefault="00B13E89" w:rsidP="003E2009">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No. of SAE</w:t>
            </w:r>
            <w:r w:rsidRPr="00364D52">
              <w:rPr>
                <w:rFonts w:ascii="Times New Roman" w:eastAsia="Malgun Gothic" w:hAnsi="Times New Roman" w:cs="Times New Roman"/>
                <w:sz w:val="18"/>
                <w:szCs w:val="20"/>
              </w:rPr>
              <w:t xml:space="preserve"> with infections</w:t>
            </w:r>
            <w:r w:rsidRPr="00364D52">
              <w:rPr>
                <w:rFonts w:ascii="Times New Roman" w:hAnsi="Times New Roman" w:cs="Times New Roman"/>
                <w:sz w:val="18"/>
                <w:szCs w:val="20"/>
              </w:rPr>
              <w:t xml:space="preserve"> (events)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EE645"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19</w:t>
            </w:r>
          </w:p>
        </w:tc>
        <w:tc>
          <w:tcPr>
            <w:tcW w:w="871" w:type="pct"/>
            <w:tcBorders>
              <w:top w:val="single" w:sz="4" w:space="0" w:color="auto"/>
              <w:left w:val="single" w:sz="4" w:space="0" w:color="auto"/>
              <w:bottom w:val="single" w:sz="4" w:space="0" w:color="auto"/>
              <w:right w:val="single" w:sz="4" w:space="0" w:color="auto"/>
            </w:tcBorders>
            <w:vAlign w:val="center"/>
          </w:tcPr>
          <w:p w14:paraId="15F4B205"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E3232"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6</w:t>
            </w:r>
          </w:p>
        </w:tc>
        <w:tc>
          <w:tcPr>
            <w:tcW w:w="871" w:type="pct"/>
            <w:tcBorders>
              <w:top w:val="single" w:sz="4" w:space="0" w:color="auto"/>
              <w:left w:val="single" w:sz="4" w:space="0" w:color="auto"/>
              <w:bottom w:val="single" w:sz="4" w:space="0" w:color="auto"/>
              <w:right w:val="single" w:sz="4" w:space="0" w:color="auto"/>
            </w:tcBorders>
            <w:vAlign w:val="center"/>
          </w:tcPr>
          <w:p w14:paraId="23B893D7"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5</w:t>
            </w:r>
          </w:p>
        </w:tc>
      </w:tr>
      <w:tr w:rsidR="00B13E89" w:rsidRPr="00B54968" w14:paraId="0D719557"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E2CEA4" w14:textId="77777777" w:rsidR="00B13E89" w:rsidRPr="00364D52" w:rsidRDefault="00B13E89" w:rsidP="003E2009">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Tuberculosis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E1DF3"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eastAsia="Malgun Gothic" w:hAnsi="Times New Roman" w:cs="Times New Roman"/>
                <w:sz w:val="18"/>
                <w:szCs w:val="20"/>
              </w:rPr>
              <w:t>6</w:t>
            </w:r>
            <w:r w:rsidRPr="00364D52">
              <w:rPr>
                <w:rFonts w:ascii="Times New Roman" w:hAnsi="Times New Roman" w:cs="Times New Roman"/>
                <w:sz w:val="18"/>
                <w:szCs w:val="20"/>
              </w:rPr>
              <w:t>/446 (1.3%)</w:t>
            </w:r>
          </w:p>
        </w:tc>
        <w:tc>
          <w:tcPr>
            <w:tcW w:w="871" w:type="pct"/>
            <w:tcBorders>
              <w:top w:val="single" w:sz="4" w:space="0" w:color="auto"/>
              <w:left w:val="single" w:sz="4" w:space="0" w:color="auto"/>
              <w:bottom w:val="single" w:sz="4" w:space="0" w:color="auto"/>
              <w:right w:val="single" w:sz="4" w:space="0" w:color="auto"/>
            </w:tcBorders>
            <w:vAlign w:val="center"/>
          </w:tcPr>
          <w:p w14:paraId="086FF236"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1/440 (0.2%)</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ABA9B4"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1/257 (0.4%)</w:t>
            </w:r>
          </w:p>
        </w:tc>
        <w:tc>
          <w:tcPr>
            <w:tcW w:w="871" w:type="pct"/>
            <w:tcBorders>
              <w:top w:val="single" w:sz="4" w:space="0" w:color="auto"/>
              <w:left w:val="single" w:sz="4" w:space="0" w:color="auto"/>
              <w:bottom w:val="single" w:sz="4" w:space="0" w:color="auto"/>
              <w:right w:val="single" w:sz="4" w:space="0" w:color="auto"/>
            </w:tcBorders>
            <w:vAlign w:val="center"/>
          </w:tcPr>
          <w:p w14:paraId="599A3F0C"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1/235 (0.4%)</w:t>
            </w:r>
          </w:p>
        </w:tc>
      </w:tr>
      <w:tr w:rsidR="00B13E89" w:rsidRPr="00B54968" w14:paraId="0A037741"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7AE63F" w14:textId="77777777" w:rsidR="00B13E89" w:rsidRPr="00364D52" w:rsidRDefault="00B13E89" w:rsidP="003E2009">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Pneumonia</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DFEF34"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5/446 (1.1%)</w:t>
            </w:r>
          </w:p>
        </w:tc>
        <w:tc>
          <w:tcPr>
            <w:tcW w:w="871" w:type="pct"/>
            <w:tcBorders>
              <w:top w:val="single" w:sz="4" w:space="0" w:color="auto"/>
              <w:left w:val="single" w:sz="4" w:space="0" w:color="auto"/>
              <w:bottom w:val="single" w:sz="4" w:space="0" w:color="auto"/>
              <w:right w:val="single" w:sz="4" w:space="0" w:color="auto"/>
            </w:tcBorders>
            <w:vAlign w:val="center"/>
          </w:tcPr>
          <w:p w14:paraId="5BE88271"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0/440 (0%)</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E1201E"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1/257 (0.4%)</w:t>
            </w:r>
          </w:p>
        </w:tc>
        <w:tc>
          <w:tcPr>
            <w:tcW w:w="871" w:type="pct"/>
            <w:tcBorders>
              <w:top w:val="single" w:sz="4" w:space="0" w:color="auto"/>
              <w:left w:val="single" w:sz="4" w:space="0" w:color="auto"/>
              <w:bottom w:val="single" w:sz="4" w:space="0" w:color="auto"/>
              <w:right w:val="single" w:sz="4" w:space="0" w:color="auto"/>
            </w:tcBorders>
            <w:vAlign w:val="center"/>
          </w:tcPr>
          <w:p w14:paraId="3499C410"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0/235 (0%)</w:t>
            </w:r>
          </w:p>
        </w:tc>
      </w:tr>
      <w:tr w:rsidR="00B13E89" w:rsidRPr="00B54968" w14:paraId="72B0B122"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02B023" w14:textId="77777777" w:rsidR="00B13E89" w:rsidRPr="00364D52" w:rsidRDefault="00B13E89" w:rsidP="003E2009">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Sepsis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BF90A"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lang w:eastAsia="ko-KR"/>
              </w:rPr>
              <w:t>1</w:t>
            </w:r>
            <w:r w:rsidRPr="00364D52">
              <w:rPr>
                <w:rFonts w:ascii="Times New Roman" w:hAnsi="Times New Roman" w:cs="Times New Roman"/>
                <w:sz w:val="18"/>
                <w:szCs w:val="20"/>
              </w:rPr>
              <w:t>/446 (0.</w:t>
            </w:r>
            <w:r w:rsidRPr="00364D52">
              <w:rPr>
                <w:rFonts w:ascii="Times New Roman" w:hAnsi="Times New Roman" w:cs="Times New Roman"/>
                <w:sz w:val="18"/>
                <w:szCs w:val="20"/>
                <w:lang w:eastAsia="ko-KR"/>
              </w:rPr>
              <w:t>2</w:t>
            </w:r>
            <w:r w:rsidRPr="00364D52">
              <w:rPr>
                <w:rFonts w:ascii="Times New Roman" w:hAnsi="Times New Roman" w:cs="Times New Roman"/>
                <w:sz w:val="18"/>
                <w:szCs w:val="20"/>
              </w:rPr>
              <w:t>%)</w:t>
            </w:r>
          </w:p>
        </w:tc>
        <w:tc>
          <w:tcPr>
            <w:tcW w:w="871" w:type="pct"/>
            <w:tcBorders>
              <w:top w:val="single" w:sz="4" w:space="0" w:color="auto"/>
              <w:left w:val="single" w:sz="4" w:space="0" w:color="auto"/>
              <w:bottom w:val="single" w:sz="4" w:space="0" w:color="auto"/>
              <w:right w:val="single" w:sz="4" w:space="0" w:color="auto"/>
            </w:tcBorders>
            <w:vAlign w:val="center"/>
          </w:tcPr>
          <w:p w14:paraId="3DFDFC07"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2/440 (0.5%)</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A7B13"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0/257 (0%)</w:t>
            </w:r>
          </w:p>
        </w:tc>
        <w:tc>
          <w:tcPr>
            <w:tcW w:w="871" w:type="pct"/>
            <w:tcBorders>
              <w:top w:val="single" w:sz="4" w:space="0" w:color="auto"/>
              <w:left w:val="single" w:sz="4" w:space="0" w:color="auto"/>
              <w:bottom w:val="single" w:sz="4" w:space="0" w:color="auto"/>
              <w:right w:val="single" w:sz="4" w:space="0" w:color="auto"/>
            </w:tcBorders>
            <w:vAlign w:val="center"/>
          </w:tcPr>
          <w:p w14:paraId="34105C46"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1/235 (0.4%)</w:t>
            </w:r>
          </w:p>
        </w:tc>
      </w:tr>
      <w:tr w:rsidR="00B13E89" w:rsidRPr="00B54968" w14:paraId="1645D4D0"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885F08" w14:textId="77777777" w:rsidR="00B13E89" w:rsidRPr="00364D52" w:rsidRDefault="00B13E89" w:rsidP="003E2009">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Other infections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B2B583"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6/446 (1.3%)</w:t>
            </w:r>
          </w:p>
        </w:tc>
        <w:tc>
          <w:tcPr>
            <w:tcW w:w="871" w:type="pct"/>
            <w:tcBorders>
              <w:top w:val="single" w:sz="4" w:space="0" w:color="auto"/>
              <w:left w:val="single" w:sz="4" w:space="0" w:color="auto"/>
              <w:bottom w:val="single" w:sz="4" w:space="0" w:color="auto"/>
              <w:right w:val="single" w:sz="4" w:space="0" w:color="auto"/>
            </w:tcBorders>
            <w:vAlign w:val="center"/>
          </w:tcPr>
          <w:p w14:paraId="3BEA22F4"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9/440 (2.0%)</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BC59B"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4/257 (1.6%)</w:t>
            </w:r>
          </w:p>
        </w:tc>
        <w:tc>
          <w:tcPr>
            <w:tcW w:w="871" w:type="pct"/>
            <w:tcBorders>
              <w:top w:val="single" w:sz="4" w:space="0" w:color="auto"/>
              <w:left w:val="single" w:sz="4" w:space="0" w:color="auto"/>
              <w:bottom w:val="single" w:sz="4" w:space="0" w:color="auto"/>
              <w:right w:val="single" w:sz="4" w:space="0" w:color="auto"/>
            </w:tcBorders>
            <w:vAlign w:val="center"/>
          </w:tcPr>
          <w:p w14:paraId="15E8926B" w14:textId="77777777" w:rsidR="00B13E89" w:rsidRPr="00364D52" w:rsidRDefault="00B13E89" w:rsidP="003E200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3/235 (1.3%)</w:t>
            </w:r>
          </w:p>
        </w:tc>
      </w:tr>
      <w:tr w:rsidR="00B13E89" w:rsidRPr="00B54968" w14:paraId="3289D2A7" w14:textId="77777777" w:rsidTr="002B0C47">
        <w:trPr>
          <w:trHeight w:val="96"/>
        </w:trPr>
        <w:tc>
          <w:tcPr>
            <w:tcW w:w="1" w:type="pct"/>
            <w:gridSpan w:val="5"/>
            <w:tcBorders>
              <w:top w:val="single" w:sz="4" w:space="0" w:color="auto"/>
            </w:tcBorders>
            <w:tcMar>
              <w:top w:w="0" w:type="dxa"/>
              <w:left w:w="108" w:type="dxa"/>
              <w:bottom w:w="0" w:type="dxa"/>
              <w:right w:w="108" w:type="dxa"/>
            </w:tcMar>
            <w:vAlign w:val="center"/>
          </w:tcPr>
          <w:p w14:paraId="1001DD0C" w14:textId="77777777" w:rsidR="00B13E89" w:rsidRPr="00B54968" w:rsidRDefault="00B13E89" w:rsidP="003E2009">
            <w:pPr>
              <w:spacing w:after="0" w:line="240" w:lineRule="auto"/>
              <w:ind w:leftChars="-40" w:left="-88"/>
              <w:rPr>
                <w:rFonts w:ascii="Times New Roman" w:hAnsi="Times New Roman" w:cs="Times New Roman"/>
                <w:sz w:val="20"/>
                <w:szCs w:val="20"/>
                <w:lang w:eastAsia="ko-KR"/>
              </w:rPr>
            </w:pPr>
            <w:r w:rsidRPr="00364D52">
              <w:rPr>
                <w:rFonts w:ascii="Times New Roman" w:hAnsi="Times New Roman" w:cs="Times New Roman"/>
                <w:color w:val="000000"/>
                <w:sz w:val="18"/>
                <w:szCs w:val="20"/>
              </w:rPr>
              <w:t>SAE</w:t>
            </w:r>
            <w:r w:rsidRPr="00364D52">
              <w:rPr>
                <w:rFonts w:ascii="Times New Roman" w:hAnsi="Times New Roman" w:cs="Times New Roman"/>
                <w:color w:val="000000"/>
                <w:sz w:val="18"/>
                <w:szCs w:val="20"/>
                <w:lang w:eastAsia="ko-KR"/>
              </w:rPr>
              <w:t xml:space="preserve">: </w:t>
            </w:r>
            <w:r w:rsidRPr="00364D52">
              <w:rPr>
                <w:rFonts w:ascii="Times New Roman" w:hAnsi="Times New Roman" w:cs="Times New Roman"/>
                <w:color w:val="000000"/>
                <w:sz w:val="18"/>
                <w:szCs w:val="20"/>
              </w:rPr>
              <w:t>serious adverse event</w:t>
            </w:r>
            <w:r w:rsidRPr="00364D52">
              <w:rPr>
                <w:rFonts w:ascii="Times New Roman" w:hAnsi="Times New Roman" w:cs="Times New Roman"/>
                <w:color w:val="000000"/>
                <w:sz w:val="18"/>
                <w:szCs w:val="20"/>
                <w:lang w:eastAsia="ko-KR"/>
              </w:rPr>
              <w:t>,</w:t>
            </w:r>
            <w:r w:rsidRPr="00364D52">
              <w:rPr>
                <w:rFonts w:ascii="Times New Roman" w:hAnsi="Times New Roman" w:cs="Times New Roman"/>
                <w:color w:val="000000"/>
                <w:sz w:val="18"/>
                <w:szCs w:val="20"/>
              </w:rPr>
              <w:t xml:space="preserve"> TEAE</w:t>
            </w:r>
            <w:r w:rsidRPr="00364D52">
              <w:rPr>
                <w:rFonts w:ascii="Times New Roman" w:hAnsi="Times New Roman" w:cs="Times New Roman"/>
                <w:color w:val="000000"/>
                <w:sz w:val="18"/>
                <w:szCs w:val="20"/>
                <w:lang w:eastAsia="ko-KR"/>
              </w:rPr>
              <w:t xml:space="preserve">: </w:t>
            </w:r>
            <w:r w:rsidRPr="00364D52">
              <w:rPr>
                <w:rFonts w:ascii="Times New Roman" w:hAnsi="Times New Roman" w:cs="Times New Roman"/>
                <w:color w:val="000000"/>
                <w:sz w:val="18"/>
                <w:szCs w:val="20"/>
              </w:rPr>
              <w:t>treatment-emergent adverse event</w:t>
            </w:r>
          </w:p>
        </w:tc>
      </w:tr>
    </w:tbl>
    <w:p w14:paraId="57A7C59F" w14:textId="77777777" w:rsidR="0015282D" w:rsidRDefault="0015282D" w:rsidP="003E2009">
      <w:pPr>
        <w:pStyle w:val="Default"/>
        <w:rPr>
          <w:rFonts w:ascii="Times New Roman" w:hAnsi="Times New Roman" w:cs="Times New Roman"/>
          <w:sz w:val="22"/>
          <w:szCs w:val="22"/>
          <w:lang w:val="en-AU" w:eastAsia="ko-KR"/>
        </w:rPr>
      </w:pPr>
    </w:p>
    <w:p w14:paraId="5A55523B" w14:textId="1A54F985" w:rsidR="0015282D" w:rsidRDefault="0015282D" w:rsidP="003E2009">
      <w:pPr>
        <w:pStyle w:val="Default"/>
        <w:rPr>
          <w:rFonts w:ascii="Times New Roman" w:hAnsi="Times New Roman" w:cs="Times New Roman"/>
          <w:u w:val="single"/>
          <w:lang w:val="en-AU"/>
        </w:rPr>
      </w:pPr>
      <w:r w:rsidRPr="00B54968">
        <w:rPr>
          <w:rFonts w:ascii="Times New Roman" w:hAnsi="Times New Roman" w:cs="Times New Roman"/>
          <w:sz w:val="22"/>
          <w:szCs w:val="22"/>
          <w:lang w:val="en-AU"/>
        </w:rPr>
        <w:t xml:space="preserve">In extension studies following a single-way transition from </w:t>
      </w:r>
      <w:r w:rsidR="001A691C">
        <w:rPr>
          <w:rFonts w:ascii="Times New Roman" w:hAnsi="Times New Roman" w:cs="Times New Roman"/>
          <w:sz w:val="22"/>
          <w:szCs w:val="22"/>
          <w:lang w:val="en-AU"/>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to </w:t>
      </w:r>
      <w:r w:rsidR="00281C64">
        <w:rPr>
          <w:rFonts w:ascii="Times New Roman" w:hAnsi="Times New Roman" w:cs="Times New Roman"/>
          <w:sz w:val="22"/>
          <w:szCs w:val="22"/>
          <w:lang w:val="en-AU"/>
        </w:rPr>
        <w:t>INFLECTRA</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in patients with rheumatoid arthritis and ankylosing spondylitis who were treated with </w:t>
      </w:r>
      <w:r w:rsidR="00281C64">
        <w:rPr>
          <w:rFonts w:ascii="Times New Roman" w:hAnsi="Times New Roman" w:cs="Times New Roman"/>
          <w:sz w:val="22"/>
          <w:szCs w:val="22"/>
          <w:lang w:val="en-AU"/>
        </w:rPr>
        <w:t>INFLECTRA</w:t>
      </w:r>
      <w:r w:rsidRPr="00B54968">
        <w:rPr>
          <w:rFonts w:ascii="Times New Roman" w:hAnsi="Times New Roman" w:cs="Times New Roman"/>
          <w:sz w:val="22"/>
          <w:szCs w:val="22"/>
          <w:lang w:val="en-AU"/>
        </w:rPr>
        <w:t xml:space="preserve"> and </w:t>
      </w:r>
      <w:r w:rsidR="001A691C">
        <w:rPr>
          <w:rFonts w:ascii="Times New Roman" w:hAnsi="Times New Roman" w:cs="Times New Roman"/>
          <w:sz w:val="22"/>
          <w:szCs w:val="22"/>
          <w:lang w:val="en-AU"/>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for 54 weeks in controlled studies CT-P13 1.1 and CT-P13 3.1, the safety and immunogenicity profile remained consistent and similar between patients who were switched on </w:t>
      </w:r>
      <w:r w:rsidR="00281C64">
        <w:rPr>
          <w:rFonts w:ascii="Times New Roman" w:hAnsi="Times New Roman" w:cs="Times New Roman"/>
          <w:sz w:val="22"/>
          <w:szCs w:val="22"/>
          <w:lang w:val="en-AU"/>
        </w:rPr>
        <w:t>INFLECTRA</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and those who were maintained on </w:t>
      </w:r>
      <w:r w:rsidR="00281C64">
        <w:rPr>
          <w:rFonts w:ascii="Times New Roman" w:hAnsi="Times New Roman" w:cs="Times New Roman"/>
          <w:sz w:val="22"/>
          <w:szCs w:val="22"/>
          <w:lang w:val="en-AU"/>
        </w:rPr>
        <w:t>INFLECTRA</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w:t>
      </w:r>
    </w:p>
    <w:p w14:paraId="309A9D33" w14:textId="77777777" w:rsidR="007B7F0F" w:rsidRDefault="007B7F0F" w:rsidP="003E2009">
      <w:pPr>
        <w:pStyle w:val="Default"/>
        <w:rPr>
          <w:rFonts w:ascii="Times New Roman" w:hAnsi="Times New Roman" w:cs="Times New Roman"/>
          <w:u w:val="single"/>
          <w:lang w:val="en-AU"/>
        </w:rPr>
      </w:pPr>
    </w:p>
    <w:p w14:paraId="6BD19260" w14:textId="4ED7182A" w:rsidR="007B7F0F" w:rsidRDefault="007B7F0F" w:rsidP="003E2009">
      <w:pPr>
        <w:pStyle w:val="Default"/>
        <w:rPr>
          <w:rFonts w:ascii="Times New Roman" w:hAnsi="Times New Roman" w:cs="Times New Roman"/>
          <w:sz w:val="22"/>
          <w:szCs w:val="22"/>
          <w:lang w:val="en-AU" w:eastAsia="ko-KR"/>
        </w:rPr>
      </w:pPr>
      <w:r w:rsidRPr="00985174">
        <w:rPr>
          <w:rFonts w:ascii="Times New Roman" w:hAnsi="Times New Roman" w:cs="Times New Roman"/>
          <w:sz w:val="22"/>
          <w:szCs w:val="22"/>
          <w:lang w:val="en-AU" w:eastAsia="ko-KR"/>
        </w:rPr>
        <w:t xml:space="preserve">In patients with RA who continued up to Week 102, treatment-emergent </w:t>
      </w:r>
      <w:r>
        <w:rPr>
          <w:rFonts w:ascii="Times New Roman" w:hAnsi="Times New Roman" w:cs="Times New Roman"/>
          <w:sz w:val="22"/>
          <w:szCs w:val="22"/>
          <w:lang w:val="en-AU" w:eastAsia="ko-KR"/>
        </w:rPr>
        <w:t>infections were reported in 50 (31.4%)</w:t>
      </w:r>
      <w:r w:rsidRPr="00985174">
        <w:rPr>
          <w:rFonts w:ascii="Times New Roman" w:hAnsi="Times New Roman" w:cs="Times New Roman"/>
          <w:sz w:val="22"/>
          <w:szCs w:val="22"/>
          <w:lang w:val="en-AU" w:eastAsia="ko-KR"/>
        </w:rPr>
        <w:t xml:space="preserve"> patient</w:t>
      </w:r>
      <w:r>
        <w:rPr>
          <w:rFonts w:ascii="Times New Roman" w:hAnsi="Times New Roman" w:cs="Times New Roman"/>
          <w:sz w:val="22"/>
          <w:szCs w:val="22"/>
          <w:lang w:val="en-AU" w:eastAsia="ko-KR"/>
        </w:rPr>
        <w:t xml:space="preserve">s continuing </w:t>
      </w:r>
      <w:r w:rsidR="00281C64">
        <w:rPr>
          <w:rFonts w:ascii="Times New Roman" w:hAnsi="Times New Roman" w:cs="Times New Roman"/>
          <w:sz w:val="22"/>
          <w:szCs w:val="22"/>
          <w:lang w:val="en-AU" w:eastAsia="ko-KR"/>
        </w:rPr>
        <w:t>INFLECTRA</w:t>
      </w:r>
      <w:r>
        <w:rPr>
          <w:rFonts w:ascii="Times New Roman" w:hAnsi="Times New Roman" w:cs="Times New Roman"/>
          <w:sz w:val="22"/>
          <w:szCs w:val="22"/>
          <w:lang w:val="en-AU" w:eastAsia="ko-KR"/>
        </w:rPr>
        <w:t xml:space="preserve"> and in 47 (</w:t>
      </w:r>
      <w:r w:rsidRPr="00985174">
        <w:rPr>
          <w:rFonts w:ascii="Times New Roman" w:hAnsi="Times New Roman" w:cs="Times New Roman"/>
          <w:sz w:val="22"/>
          <w:szCs w:val="22"/>
          <w:lang w:val="en-AU" w:eastAsia="ko-KR"/>
        </w:rPr>
        <w:t>32.9%</w:t>
      </w:r>
      <w:r>
        <w:rPr>
          <w:rFonts w:ascii="Times New Roman" w:hAnsi="Times New Roman" w:cs="Times New Roman"/>
          <w:sz w:val="22"/>
          <w:szCs w:val="22"/>
          <w:lang w:val="en-AU" w:eastAsia="ko-KR"/>
        </w:rPr>
        <w:t>)</w:t>
      </w:r>
      <w:r w:rsidRPr="00985174">
        <w:rPr>
          <w:rFonts w:ascii="Times New Roman" w:hAnsi="Times New Roman" w:cs="Times New Roman"/>
          <w:sz w:val="22"/>
          <w:szCs w:val="22"/>
          <w:lang w:val="en-AU" w:eastAsia="ko-KR"/>
        </w:rPr>
        <w:t xml:space="preserve"> patients who were switched to </w:t>
      </w:r>
      <w:r w:rsidR="00281C64">
        <w:rPr>
          <w:rFonts w:ascii="Times New Roman" w:hAnsi="Times New Roman" w:cs="Times New Roman"/>
          <w:sz w:val="22"/>
          <w:szCs w:val="22"/>
          <w:lang w:val="en-AU" w:eastAsia="ko-KR"/>
        </w:rPr>
        <w:t>INFLECTRA</w:t>
      </w:r>
      <w:r w:rsidRPr="00985174">
        <w:rPr>
          <w:rFonts w:ascii="Times New Roman" w:hAnsi="Times New Roman" w:cs="Times New Roman"/>
          <w:sz w:val="22"/>
          <w:szCs w:val="22"/>
          <w:lang w:val="en-AU" w:eastAsia="ko-KR"/>
        </w:rPr>
        <w:t>. Latent TB occurred in 10 (6.3%) patients in the maintenance group v</w:t>
      </w:r>
      <w:r>
        <w:rPr>
          <w:rFonts w:ascii="Times New Roman" w:hAnsi="Times New Roman" w:cs="Times New Roman"/>
          <w:sz w:val="22"/>
          <w:szCs w:val="22"/>
          <w:lang w:val="en-AU" w:eastAsia="ko-KR"/>
        </w:rPr>
        <w:t>s. 5 (3.5%) in the switch group</w:t>
      </w:r>
      <w:r w:rsidRPr="00985174">
        <w:rPr>
          <w:rFonts w:ascii="Times New Roman" w:hAnsi="Times New Roman" w:cs="Times New Roman"/>
          <w:sz w:val="22"/>
          <w:szCs w:val="22"/>
          <w:lang w:val="en-AU" w:eastAsia="ko-KR"/>
        </w:rPr>
        <w:t xml:space="preserve">.  GI disorders were 10.1% in the </w:t>
      </w:r>
      <w:r w:rsidR="00281C64">
        <w:rPr>
          <w:rFonts w:ascii="Times New Roman" w:hAnsi="Times New Roman" w:cs="Times New Roman"/>
          <w:sz w:val="22"/>
          <w:szCs w:val="22"/>
          <w:lang w:val="en-AU" w:eastAsia="ko-KR"/>
        </w:rPr>
        <w:t>INFLECTRA</w:t>
      </w:r>
      <w:r w:rsidRPr="00985174">
        <w:rPr>
          <w:rFonts w:ascii="Times New Roman" w:hAnsi="Times New Roman" w:cs="Times New Roman"/>
          <w:sz w:val="22"/>
          <w:szCs w:val="22"/>
          <w:lang w:val="en-AU" w:eastAsia="ko-KR"/>
        </w:rPr>
        <w:t xml:space="preserve"> maintenance group vs 8.4% in the switch group.    </w:t>
      </w:r>
    </w:p>
    <w:p w14:paraId="368D7516" w14:textId="46D86CEC" w:rsidR="007B7F0F" w:rsidRDefault="007B7F0F" w:rsidP="003E2009">
      <w:pPr>
        <w:pStyle w:val="Default"/>
        <w:rPr>
          <w:rFonts w:ascii="Times New Roman" w:hAnsi="Times New Roman" w:cs="Times New Roman"/>
          <w:sz w:val="22"/>
          <w:szCs w:val="22"/>
          <w:lang w:val="en-AU" w:eastAsia="ko-KR"/>
        </w:rPr>
      </w:pPr>
      <w:r w:rsidRPr="00985174">
        <w:rPr>
          <w:rFonts w:ascii="Times New Roman" w:hAnsi="Times New Roman" w:cs="Times New Roman"/>
          <w:sz w:val="22"/>
          <w:szCs w:val="22"/>
          <w:lang w:val="en-AU" w:eastAsia="ko-KR"/>
        </w:rPr>
        <w:lastRenderedPageBreak/>
        <w:t>In patients with AS who continued up to Week 102, treatment-emergent infections were reported in 23 (25.6%) subj</w:t>
      </w:r>
      <w:r>
        <w:rPr>
          <w:rFonts w:ascii="Times New Roman" w:hAnsi="Times New Roman" w:cs="Times New Roman"/>
          <w:sz w:val="22"/>
          <w:szCs w:val="22"/>
          <w:lang w:val="en-AU" w:eastAsia="ko-KR"/>
        </w:rPr>
        <w:t xml:space="preserve">ects continuing </w:t>
      </w:r>
      <w:r w:rsidR="00281C64">
        <w:rPr>
          <w:rFonts w:ascii="Times New Roman" w:hAnsi="Times New Roman" w:cs="Times New Roman"/>
          <w:sz w:val="22"/>
          <w:szCs w:val="22"/>
          <w:lang w:val="en-AU" w:eastAsia="ko-KR"/>
        </w:rPr>
        <w:t>INFLECTRA</w:t>
      </w:r>
      <w:r>
        <w:rPr>
          <w:rFonts w:ascii="Times New Roman" w:hAnsi="Times New Roman" w:cs="Times New Roman"/>
          <w:sz w:val="22"/>
          <w:szCs w:val="22"/>
          <w:lang w:val="en-AU" w:eastAsia="ko-KR"/>
        </w:rPr>
        <w:t xml:space="preserve"> and in </w:t>
      </w:r>
      <w:r w:rsidRPr="00985174">
        <w:rPr>
          <w:rFonts w:ascii="Times New Roman" w:hAnsi="Times New Roman" w:cs="Times New Roman"/>
          <w:sz w:val="22"/>
          <w:szCs w:val="22"/>
          <w:lang w:val="en-AU" w:eastAsia="ko-KR"/>
        </w:rPr>
        <w:t xml:space="preserve">29 (34.5%) subjects switched to </w:t>
      </w:r>
      <w:r w:rsidR="00281C64">
        <w:rPr>
          <w:rFonts w:ascii="Times New Roman" w:hAnsi="Times New Roman" w:cs="Times New Roman"/>
          <w:sz w:val="22"/>
          <w:szCs w:val="22"/>
          <w:lang w:val="en-AU" w:eastAsia="ko-KR"/>
        </w:rPr>
        <w:t>INFLECTRA</w:t>
      </w:r>
      <w:r w:rsidRPr="00985174">
        <w:rPr>
          <w:rFonts w:ascii="Times New Roman" w:hAnsi="Times New Roman" w:cs="Times New Roman"/>
          <w:sz w:val="22"/>
          <w:szCs w:val="22"/>
          <w:lang w:val="en-AU" w:eastAsia="ko-KR"/>
        </w:rPr>
        <w:t xml:space="preserve">. The numerical difference was mainly due to TEAEs of latent TB: 4 (4.4%) vs. 7 (8.3%).  GI disorders were 4.4% in the </w:t>
      </w:r>
      <w:r w:rsidR="00281C64">
        <w:rPr>
          <w:rFonts w:ascii="Times New Roman" w:hAnsi="Times New Roman" w:cs="Times New Roman"/>
          <w:sz w:val="22"/>
          <w:szCs w:val="22"/>
          <w:lang w:val="en-AU" w:eastAsia="ko-KR"/>
        </w:rPr>
        <w:t>INFLECTRA</w:t>
      </w:r>
      <w:r w:rsidRPr="00985174">
        <w:rPr>
          <w:rFonts w:ascii="Times New Roman" w:hAnsi="Times New Roman" w:cs="Times New Roman"/>
          <w:sz w:val="22"/>
          <w:szCs w:val="22"/>
          <w:lang w:val="en-AU" w:eastAsia="ko-KR"/>
        </w:rPr>
        <w:t xml:space="preserve"> maintenance group vs 1</w:t>
      </w:r>
      <w:r w:rsidR="009D2F73">
        <w:rPr>
          <w:rFonts w:ascii="Times New Roman" w:hAnsi="Times New Roman" w:cs="Times New Roman" w:hint="eastAsia"/>
          <w:sz w:val="22"/>
          <w:szCs w:val="22"/>
          <w:lang w:val="en-AU" w:eastAsia="ko-KR"/>
        </w:rPr>
        <w:t>4</w:t>
      </w:r>
      <w:r w:rsidRPr="00985174">
        <w:rPr>
          <w:rFonts w:ascii="Times New Roman" w:hAnsi="Times New Roman" w:cs="Times New Roman"/>
          <w:sz w:val="22"/>
          <w:szCs w:val="22"/>
          <w:lang w:val="en-AU" w:eastAsia="ko-KR"/>
        </w:rPr>
        <w:t>.3% in the switch group.</w:t>
      </w:r>
      <w:r>
        <w:rPr>
          <w:rFonts w:ascii="Times New Roman" w:hAnsi="Times New Roman" w:cs="Times New Roman"/>
          <w:sz w:val="22"/>
          <w:szCs w:val="22"/>
          <w:lang w:val="en-AU" w:eastAsia="ko-KR"/>
        </w:rPr>
        <w:t xml:space="preserve">   </w:t>
      </w:r>
    </w:p>
    <w:p w14:paraId="6C631A78" w14:textId="50A85D7F" w:rsidR="00AF2E60" w:rsidRPr="00B54968" w:rsidRDefault="00AF2E60" w:rsidP="003E2009">
      <w:pPr>
        <w:pStyle w:val="Default"/>
        <w:rPr>
          <w:rFonts w:ascii="Times New Roman" w:hAnsi="Times New Roman" w:cs="Times New Roman"/>
          <w:sz w:val="22"/>
          <w:szCs w:val="22"/>
          <w:highlight w:val="yellow"/>
          <w:lang w:val="en-AU" w:eastAsia="ko-KR"/>
        </w:rPr>
      </w:pPr>
    </w:p>
    <w:p w14:paraId="2DF96C94" w14:textId="37B70ED6" w:rsidR="0071628C" w:rsidRPr="00B54968" w:rsidRDefault="0071628C" w:rsidP="003E2009">
      <w:pPr>
        <w:spacing w:line="240" w:lineRule="auto"/>
        <w:rPr>
          <w:rFonts w:ascii="Times New Roman" w:hAnsi="Times New Roman" w:cs="Times New Roman"/>
        </w:rPr>
      </w:pPr>
      <w:r w:rsidRPr="00B54968">
        <w:rPr>
          <w:rFonts w:ascii="Times New Roman" w:hAnsi="Times New Roman" w:cs="Times New Roman"/>
        </w:rPr>
        <w:t>In clinical trials with infliximab, adverse drug reactions (ADRs) reasonably attributable to treatment were observed in 36% of placebo-treated patients and 57% of infliximab-treated patients. Reasonably-related ADRs are listed in Table 1</w:t>
      </w:r>
      <w:r w:rsidR="0089177D">
        <w:rPr>
          <w:rFonts w:ascii="Times New Roman" w:hAnsi="Times New Roman" w:cs="Times New Roman"/>
        </w:rPr>
        <w:t>6</w:t>
      </w:r>
      <w:r w:rsidRPr="00B54968">
        <w:rPr>
          <w:rFonts w:ascii="Times New Roman" w:hAnsi="Times New Roman" w:cs="Times New Roman"/>
        </w:rPr>
        <w:t xml:space="preserve"> by system organ class and frequency. Frequency is based on the excess incidence of the ADR compared with placebo in pooled data from clinical trials involving 227 patients receiving placebo and 1421 patients receiving infliximab (Crohn's disease and rheumatoid arthritis). Most ADRs were mild to moderate in severity. Infusion-related reactions were the most common adverse reactions reported in clinical studies. The most common reason for discontinuation of treatment was infusion-related reactions (</w:t>
      </w:r>
      <w:proofErr w:type="spellStart"/>
      <w:r w:rsidRPr="00B54968">
        <w:rPr>
          <w:rFonts w:ascii="Times New Roman" w:hAnsi="Times New Roman" w:cs="Times New Roman"/>
        </w:rPr>
        <w:t>dyspnoea</w:t>
      </w:r>
      <w:proofErr w:type="spellEnd"/>
      <w:r w:rsidRPr="00B54968">
        <w:rPr>
          <w:rFonts w:ascii="Times New Roman" w:hAnsi="Times New Roman" w:cs="Times New Roman"/>
        </w:rPr>
        <w:t xml:space="preserve">, </w:t>
      </w:r>
      <w:proofErr w:type="spellStart"/>
      <w:r w:rsidRPr="00B54968">
        <w:rPr>
          <w:rFonts w:ascii="Times New Roman" w:hAnsi="Times New Roman" w:cs="Times New Roman"/>
        </w:rPr>
        <w:t>urticaria</w:t>
      </w:r>
      <w:proofErr w:type="spellEnd"/>
      <w:r w:rsidRPr="00B54968">
        <w:rPr>
          <w:rFonts w:ascii="Times New Roman" w:hAnsi="Times New Roman" w:cs="Times New Roman"/>
        </w:rPr>
        <w:t>, hypotension, flushing and headache).</w:t>
      </w:r>
    </w:p>
    <w:p w14:paraId="7ACCEABD" w14:textId="04C0FAFE" w:rsidR="0071628C" w:rsidRPr="00364D52" w:rsidRDefault="0071628C" w:rsidP="003E2009">
      <w:pPr>
        <w:pStyle w:val="NoSpacing"/>
        <w:spacing w:after="240"/>
        <w:ind w:left="1440" w:hanging="1440"/>
        <w:rPr>
          <w:rFonts w:eastAsia="Batang"/>
          <w:b/>
          <w:bCs/>
          <w:sz w:val="22"/>
        </w:rPr>
      </w:pPr>
      <w:r w:rsidRPr="00364D52">
        <w:rPr>
          <w:rFonts w:eastAsia="Batang"/>
          <w:b/>
          <w:bCs/>
          <w:sz w:val="22"/>
        </w:rPr>
        <w:t>Table 1</w:t>
      </w:r>
      <w:r w:rsidR="0089177D">
        <w:rPr>
          <w:rFonts w:eastAsia="Batang"/>
          <w:b/>
          <w:bCs/>
          <w:sz w:val="22"/>
        </w:rPr>
        <w:t>6</w:t>
      </w:r>
      <w:r w:rsidRPr="00364D52">
        <w:rPr>
          <w:rFonts w:eastAsia="Batang"/>
          <w:b/>
          <w:bCs/>
          <w:sz w:val="22"/>
        </w:rPr>
        <w:t>:</w:t>
      </w:r>
      <w:r w:rsidR="00364D52">
        <w:rPr>
          <w:rFonts w:eastAsia="Batang" w:hint="eastAsia"/>
          <w:b/>
          <w:bCs/>
          <w:sz w:val="22"/>
          <w:lang w:eastAsia="ko-KR"/>
        </w:rPr>
        <w:tab/>
      </w:r>
      <w:r w:rsidRPr="00364D52">
        <w:rPr>
          <w:rFonts w:eastAsia="Batang"/>
          <w:b/>
          <w:bCs/>
          <w:sz w:val="22"/>
        </w:rPr>
        <w:t xml:space="preserve">Undesirable effects in clinical trials (common &gt;1/100, &lt;1/10; uncommon &gt;1/1000, &lt;1/100; rare &lt;1/1000) </w:t>
      </w:r>
    </w:p>
    <w:tbl>
      <w:tblPr>
        <w:tblStyle w:val="TableGrid"/>
        <w:tblW w:w="0" w:type="auto"/>
        <w:tblLook w:val="04A0" w:firstRow="1" w:lastRow="0" w:firstColumn="1" w:lastColumn="0" w:noHBand="0" w:noVBand="1"/>
      </w:tblPr>
      <w:tblGrid>
        <w:gridCol w:w="3369"/>
        <w:gridCol w:w="5811"/>
      </w:tblGrid>
      <w:tr w:rsidR="0071628C" w:rsidRPr="00B54968" w14:paraId="7E82D92C" w14:textId="77777777" w:rsidTr="00314FEB">
        <w:tc>
          <w:tcPr>
            <w:tcW w:w="3369" w:type="dxa"/>
          </w:tcPr>
          <w:p w14:paraId="22563F23"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Resistance mechanism disorders</w:t>
            </w:r>
          </w:p>
          <w:p w14:paraId="61C0D989"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3E6642F9"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74241B01" w14:textId="77777777" w:rsidR="0071628C" w:rsidRPr="00B54968" w:rsidRDefault="0071628C" w:rsidP="003E2009">
            <w:pPr>
              <w:rPr>
                <w:rFonts w:ascii="Times New Roman" w:hAnsi="Times New Roman" w:cs="Times New Roman"/>
                <w:bCs/>
                <w:sz w:val="20"/>
                <w:szCs w:val="20"/>
              </w:rPr>
            </w:pPr>
          </w:p>
          <w:p w14:paraId="282CD952" w14:textId="77777777" w:rsidR="0071628C" w:rsidRPr="00B54968" w:rsidRDefault="0071628C" w:rsidP="003E2009">
            <w:pPr>
              <w:rPr>
                <w:rFonts w:ascii="Times New Roman" w:hAnsi="Times New Roman" w:cs="Times New Roman"/>
                <w:bCs/>
                <w:sz w:val="20"/>
                <w:szCs w:val="20"/>
              </w:rPr>
            </w:pPr>
          </w:p>
          <w:p w14:paraId="5B99DE1A"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38EA77F1" w14:textId="77777777" w:rsidR="0071628C" w:rsidRPr="00B54968" w:rsidRDefault="0071628C" w:rsidP="003E2009">
            <w:pPr>
              <w:rPr>
                <w:rFonts w:ascii="Times New Roman" w:hAnsi="Times New Roman" w:cs="Times New Roman"/>
                <w:bCs/>
                <w:sz w:val="20"/>
                <w:szCs w:val="20"/>
              </w:rPr>
            </w:pPr>
          </w:p>
          <w:p w14:paraId="160832FE"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Viral infection (e.g., influenza, herpes infections), fever</w:t>
            </w:r>
          </w:p>
          <w:p w14:paraId="5398F6F7"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Abscess, cellulitis, </w:t>
            </w:r>
            <w:proofErr w:type="spellStart"/>
            <w:r w:rsidRPr="00B54968">
              <w:rPr>
                <w:rFonts w:ascii="Times New Roman" w:hAnsi="Times New Roman" w:cs="Times New Roman"/>
                <w:bCs/>
                <w:sz w:val="20"/>
                <w:szCs w:val="20"/>
              </w:rPr>
              <w:t>moniliasis</w:t>
            </w:r>
            <w:proofErr w:type="spellEnd"/>
            <w:r w:rsidRPr="00B54968">
              <w:rPr>
                <w:rFonts w:ascii="Times New Roman" w:hAnsi="Times New Roman" w:cs="Times New Roman"/>
                <w:bCs/>
                <w:sz w:val="20"/>
                <w:szCs w:val="20"/>
              </w:rPr>
              <w:t>, sepsis, impaired healing, bacterial infection, tuberculosis, fungal infection</w:t>
            </w:r>
          </w:p>
          <w:p w14:paraId="2E474084"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Granulomatous lesion</w:t>
            </w:r>
          </w:p>
        </w:tc>
      </w:tr>
      <w:tr w:rsidR="0071628C" w:rsidRPr="00B54968" w14:paraId="1DD6C42E" w14:textId="77777777" w:rsidTr="00314FEB">
        <w:tc>
          <w:tcPr>
            <w:tcW w:w="3369" w:type="dxa"/>
          </w:tcPr>
          <w:p w14:paraId="7CD26949"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Neoplasms benign, malignant and </w:t>
            </w:r>
          </w:p>
          <w:p w14:paraId="2F1E22E9"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unspecified</w:t>
            </w:r>
          </w:p>
          <w:p w14:paraId="322E1532"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Rare: </w:t>
            </w:r>
          </w:p>
        </w:tc>
        <w:tc>
          <w:tcPr>
            <w:tcW w:w="5811" w:type="dxa"/>
          </w:tcPr>
          <w:p w14:paraId="2CEFDCC2" w14:textId="77777777" w:rsidR="0071628C" w:rsidRPr="00B54968" w:rsidRDefault="0071628C" w:rsidP="003E2009">
            <w:pPr>
              <w:rPr>
                <w:rFonts w:ascii="Times New Roman" w:hAnsi="Times New Roman" w:cs="Times New Roman"/>
                <w:bCs/>
                <w:sz w:val="20"/>
                <w:szCs w:val="20"/>
              </w:rPr>
            </w:pPr>
          </w:p>
          <w:p w14:paraId="08F4BDCB" w14:textId="77777777" w:rsidR="0071628C" w:rsidRPr="00B54968" w:rsidRDefault="0071628C" w:rsidP="003E2009">
            <w:pPr>
              <w:rPr>
                <w:rFonts w:ascii="Times New Roman" w:hAnsi="Times New Roman" w:cs="Times New Roman"/>
                <w:bCs/>
                <w:sz w:val="20"/>
                <w:szCs w:val="20"/>
              </w:rPr>
            </w:pPr>
          </w:p>
          <w:p w14:paraId="3021DAE1"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Lymphoma</w:t>
            </w:r>
          </w:p>
        </w:tc>
      </w:tr>
      <w:tr w:rsidR="0071628C" w:rsidRPr="00B54968" w14:paraId="73F9CEFB" w14:textId="77777777" w:rsidTr="00314FEB">
        <w:tc>
          <w:tcPr>
            <w:tcW w:w="3369" w:type="dxa"/>
          </w:tcPr>
          <w:p w14:paraId="5330D567"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Immune disorders</w:t>
            </w:r>
          </w:p>
          <w:p w14:paraId="1377AF35"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71892F1C"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36E1417B" w14:textId="77777777" w:rsidR="0071628C" w:rsidRPr="00B54968" w:rsidRDefault="0071628C" w:rsidP="003E2009">
            <w:pPr>
              <w:rPr>
                <w:rFonts w:ascii="Times New Roman" w:hAnsi="Times New Roman" w:cs="Times New Roman"/>
                <w:bCs/>
                <w:sz w:val="20"/>
                <w:szCs w:val="20"/>
                <w:lang w:eastAsia="ko-KR"/>
              </w:rPr>
            </w:pPr>
            <w:r w:rsidRPr="00B54968">
              <w:rPr>
                <w:rFonts w:ascii="Times New Roman" w:hAnsi="Times New Roman" w:cs="Times New Roman"/>
                <w:bCs/>
                <w:sz w:val="20"/>
                <w:szCs w:val="20"/>
              </w:rPr>
              <w:t>Rare:</w:t>
            </w:r>
          </w:p>
        </w:tc>
        <w:tc>
          <w:tcPr>
            <w:tcW w:w="5811" w:type="dxa"/>
          </w:tcPr>
          <w:p w14:paraId="7A99CC58" w14:textId="77777777" w:rsidR="0071628C" w:rsidRPr="00B54968" w:rsidRDefault="0071628C" w:rsidP="003E2009">
            <w:pPr>
              <w:rPr>
                <w:rFonts w:ascii="Times New Roman" w:hAnsi="Times New Roman" w:cs="Times New Roman"/>
                <w:bCs/>
                <w:sz w:val="20"/>
                <w:szCs w:val="20"/>
              </w:rPr>
            </w:pPr>
          </w:p>
          <w:p w14:paraId="794142CD"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Serum-sickness-like reactions</w:t>
            </w:r>
          </w:p>
          <w:p w14:paraId="57ACB5D2"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Autoantibodies, lupus-like syndrome, complement factor abnormality</w:t>
            </w:r>
          </w:p>
          <w:p w14:paraId="17C8232A"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Sarcoid-like reaction</w:t>
            </w:r>
          </w:p>
        </w:tc>
      </w:tr>
      <w:tr w:rsidR="0071628C" w:rsidRPr="00B54968" w14:paraId="2A7C5307" w14:textId="77777777" w:rsidTr="00314FEB">
        <w:tc>
          <w:tcPr>
            <w:tcW w:w="3369" w:type="dxa"/>
          </w:tcPr>
          <w:p w14:paraId="51867363"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Blood disorders</w:t>
            </w:r>
          </w:p>
          <w:p w14:paraId="2E056EB7"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p w14:paraId="21751C7A" w14:textId="77777777" w:rsidR="0071628C" w:rsidRPr="00B54968" w:rsidRDefault="0071628C" w:rsidP="003E2009">
            <w:pPr>
              <w:rPr>
                <w:rFonts w:ascii="Times New Roman" w:hAnsi="Times New Roman" w:cs="Times New Roman"/>
                <w:bCs/>
                <w:sz w:val="20"/>
                <w:szCs w:val="20"/>
              </w:rPr>
            </w:pPr>
          </w:p>
        </w:tc>
        <w:tc>
          <w:tcPr>
            <w:tcW w:w="5811" w:type="dxa"/>
          </w:tcPr>
          <w:p w14:paraId="24D23E6D" w14:textId="77777777" w:rsidR="0071628C" w:rsidRPr="00B54968" w:rsidRDefault="0071628C" w:rsidP="003E2009">
            <w:pPr>
              <w:rPr>
                <w:rFonts w:ascii="Times New Roman" w:hAnsi="Times New Roman" w:cs="Times New Roman"/>
                <w:bCs/>
                <w:sz w:val="20"/>
                <w:szCs w:val="20"/>
              </w:rPr>
            </w:pPr>
          </w:p>
          <w:p w14:paraId="30B1A7BA"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Anemia, </w:t>
            </w:r>
            <w:proofErr w:type="spellStart"/>
            <w:r w:rsidRPr="00B54968">
              <w:rPr>
                <w:rFonts w:ascii="Times New Roman" w:hAnsi="Times New Roman" w:cs="Times New Roman"/>
                <w:bCs/>
                <w:sz w:val="20"/>
                <w:szCs w:val="20"/>
              </w:rPr>
              <w:t>leukopaenia</w:t>
            </w:r>
            <w:proofErr w:type="spellEnd"/>
            <w:r w:rsidRPr="00B54968">
              <w:rPr>
                <w:rFonts w:ascii="Times New Roman" w:hAnsi="Times New Roman" w:cs="Times New Roman"/>
                <w:bCs/>
                <w:sz w:val="20"/>
                <w:szCs w:val="20"/>
              </w:rPr>
              <w:t xml:space="preserve">, lymphadenopathy, lymphocytosis, </w:t>
            </w:r>
            <w:proofErr w:type="spellStart"/>
            <w:r w:rsidRPr="00B54968">
              <w:rPr>
                <w:rFonts w:ascii="Times New Roman" w:hAnsi="Times New Roman" w:cs="Times New Roman"/>
                <w:bCs/>
                <w:sz w:val="20"/>
                <w:szCs w:val="20"/>
              </w:rPr>
              <w:t>lymphopaenia</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neutropaenia</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thrombocytopaenia</w:t>
            </w:r>
            <w:proofErr w:type="spellEnd"/>
          </w:p>
        </w:tc>
      </w:tr>
      <w:tr w:rsidR="0071628C" w:rsidRPr="00B54968" w14:paraId="4639CDCF" w14:textId="77777777" w:rsidTr="00314FEB">
        <w:tc>
          <w:tcPr>
            <w:tcW w:w="3369" w:type="dxa"/>
          </w:tcPr>
          <w:p w14:paraId="7E89FFD1" w14:textId="77777777" w:rsidR="0071628C" w:rsidRPr="00B54968" w:rsidRDefault="0071628C" w:rsidP="003E2009">
            <w:pPr>
              <w:tabs>
                <w:tab w:val="left" w:pos="1080"/>
              </w:tabs>
              <w:rPr>
                <w:rFonts w:ascii="Times New Roman" w:hAnsi="Times New Roman" w:cs="Times New Roman"/>
                <w:bCs/>
                <w:sz w:val="20"/>
                <w:szCs w:val="20"/>
              </w:rPr>
            </w:pPr>
            <w:r w:rsidRPr="00B54968">
              <w:rPr>
                <w:rFonts w:ascii="Times New Roman" w:hAnsi="Times New Roman" w:cs="Times New Roman"/>
                <w:bCs/>
                <w:sz w:val="20"/>
                <w:szCs w:val="20"/>
              </w:rPr>
              <w:t>Psychiatric disorders</w:t>
            </w:r>
          </w:p>
          <w:p w14:paraId="0F27F1AF" w14:textId="77777777" w:rsidR="0071628C" w:rsidRPr="00B54968" w:rsidRDefault="0071628C" w:rsidP="003E2009">
            <w:pPr>
              <w:tabs>
                <w:tab w:val="left" w:pos="1080"/>
              </w:tabs>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0A6F8AB0" w14:textId="77777777" w:rsidR="0071628C" w:rsidRPr="00B54968" w:rsidRDefault="0071628C" w:rsidP="003E2009">
            <w:pPr>
              <w:rPr>
                <w:rFonts w:ascii="Times New Roman" w:hAnsi="Times New Roman" w:cs="Times New Roman"/>
                <w:bCs/>
                <w:sz w:val="20"/>
                <w:szCs w:val="20"/>
              </w:rPr>
            </w:pPr>
          </w:p>
          <w:p w14:paraId="742839AE" w14:textId="77777777" w:rsidR="0071628C" w:rsidRPr="00B54968" w:rsidRDefault="0071628C" w:rsidP="003E2009">
            <w:pPr>
              <w:ind w:firstLine="33"/>
              <w:rPr>
                <w:rFonts w:ascii="Times New Roman" w:hAnsi="Times New Roman" w:cs="Times New Roman"/>
                <w:bCs/>
                <w:sz w:val="20"/>
                <w:szCs w:val="20"/>
              </w:rPr>
            </w:pPr>
            <w:r w:rsidRPr="00B54968">
              <w:rPr>
                <w:rFonts w:ascii="Times New Roman" w:hAnsi="Times New Roman" w:cs="Times New Roman"/>
                <w:bCs/>
                <w:sz w:val="20"/>
                <w:szCs w:val="20"/>
              </w:rPr>
              <w:t>Depression, confusion, agitation, nervousness, somnolence, insomnia</w:t>
            </w:r>
          </w:p>
        </w:tc>
      </w:tr>
      <w:tr w:rsidR="0071628C" w:rsidRPr="00B54968" w14:paraId="31B29C30" w14:textId="77777777" w:rsidTr="00314FEB">
        <w:tc>
          <w:tcPr>
            <w:tcW w:w="3369" w:type="dxa"/>
          </w:tcPr>
          <w:p w14:paraId="329952F2"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Central and peripheral nervous system disorders</w:t>
            </w:r>
          </w:p>
          <w:p w14:paraId="3F0FD219"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5CFBEE29"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47EC7602" w14:textId="77777777" w:rsidR="0071628C" w:rsidRPr="00B54968" w:rsidRDefault="0071628C" w:rsidP="003E2009">
            <w:pPr>
              <w:rPr>
                <w:rFonts w:ascii="Times New Roman" w:hAnsi="Times New Roman" w:cs="Times New Roman"/>
                <w:bCs/>
                <w:sz w:val="20"/>
                <w:szCs w:val="20"/>
              </w:rPr>
            </w:pPr>
          </w:p>
          <w:p w14:paraId="5577FFC5"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779C089F" w14:textId="77777777" w:rsidR="0071628C" w:rsidRPr="00B54968" w:rsidRDefault="0071628C" w:rsidP="003E2009">
            <w:pPr>
              <w:rPr>
                <w:rFonts w:ascii="Times New Roman" w:hAnsi="Times New Roman" w:cs="Times New Roman"/>
                <w:bCs/>
                <w:sz w:val="20"/>
                <w:szCs w:val="20"/>
              </w:rPr>
            </w:pPr>
          </w:p>
          <w:p w14:paraId="3803B6B8" w14:textId="77777777" w:rsidR="0071628C" w:rsidRPr="00B54968" w:rsidRDefault="0071628C" w:rsidP="003E2009">
            <w:pPr>
              <w:rPr>
                <w:rFonts w:ascii="Times New Roman" w:hAnsi="Times New Roman" w:cs="Times New Roman"/>
                <w:bCs/>
                <w:sz w:val="20"/>
                <w:szCs w:val="20"/>
              </w:rPr>
            </w:pPr>
          </w:p>
          <w:p w14:paraId="01858D89"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Headache, vertigo/dizziness</w:t>
            </w:r>
          </w:p>
          <w:p w14:paraId="7B936854"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Exacerbation of demyelinating disease suggestive of multiple sclerosis</w:t>
            </w:r>
          </w:p>
          <w:p w14:paraId="61165B1F"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Meningitis</w:t>
            </w:r>
          </w:p>
        </w:tc>
      </w:tr>
      <w:tr w:rsidR="0071628C" w:rsidRPr="00B54968" w14:paraId="5AC9BD7C" w14:textId="77777777" w:rsidTr="00314FEB">
        <w:tc>
          <w:tcPr>
            <w:tcW w:w="3369" w:type="dxa"/>
          </w:tcPr>
          <w:p w14:paraId="2C1EB4CE"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Vision and hearing disorders</w:t>
            </w:r>
          </w:p>
          <w:p w14:paraId="310B14BC"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1127383B" w14:textId="77777777" w:rsidR="0071628C" w:rsidRPr="00B54968" w:rsidRDefault="0071628C" w:rsidP="003E2009">
            <w:pPr>
              <w:rPr>
                <w:rFonts w:ascii="Times New Roman" w:hAnsi="Times New Roman" w:cs="Times New Roman"/>
                <w:bCs/>
                <w:sz w:val="20"/>
                <w:szCs w:val="20"/>
              </w:rPr>
            </w:pPr>
          </w:p>
          <w:p w14:paraId="28A4F14C"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Conjunctivitis, endophthalmitis, keratoconjunctivitis</w:t>
            </w:r>
          </w:p>
        </w:tc>
      </w:tr>
      <w:tr w:rsidR="0071628C" w:rsidRPr="00B54968" w14:paraId="24CA852C" w14:textId="77777777" w:rsidTr="00314FEB">
        <w:tc>
          <w:tcPr>
            <w:tcW w:w="3369" w:type="dxa"/>
          </w:tcPr>
          <w:p w14:paraId="087725D4"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Cardiovascular disorders</w:t>
            </w:r>
          </w:p>
          <w:p w14:paraId="5DF2D915"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487ED4C4"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44B550C0" w14:textId="77777777" w:rsidR="0071628C" w:rsidRPr="00B54968" w:rsidRDefault="0071628C" w:rsidP="003E2009">
            <w:pPr>
              <w:rPr>
                <w:rFonts w:ascii="Times New Roman" w:hAnsi="Times New Roman" w:cs="Times New Roman"/>
                <w:bCs/>
                <w:sz w:val="20"/>
                <w:szCs w:val="20"/>
              </w:rPr>
            </w:pPr>
          </w:p>
          <w:p w14:paraId="7AE79EA7" w14:textId="77777777" w:rsidR="0071628C" w:rsidRPr="00B54968" w:rsidRDefault="0071628C" w:rsidP="003E2009">
            <w:pPr>
              <w:rPr>
                <w:rFonts w:ascii="Times New Roman" w:hAnsi="Times New Roman" w:cs="Times New Roman"/>
                <w:bCs/>
                <w:sz w:val="20"/>
                <w:szCs w:val="20"/>
              </w:rPr>
            </w:pPr>
          </w:p>
          <w:p w14:paraId="22BE62C2" w14:textId="77777777" w:rsidR="0071628C" w:rsidRPr="00B54968" w:rsidRDefault="0071628C" w:rsidP="003E2009">
            <w:pPr>
              <w:rPr>
                <w:rFonts w:ascii="Times New Roman" w:hAnsi="Times New Roman" w:cs="Times New Roman"/>
                <w:bCs/>
                <w:sz w:val="20"/>
                <w:szCs w:val="20"/>
              </w:rPr>
            </w:pPr>
          </w:p>
          <w:p w14:paraId="7CDF6A24"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21F7D3BA" w14:textId="77777777" w:rsidR="0071628C" w:rsidRPr="00B54968" w:rsidRDefault="0071628C" w:rsidP="003E2009">
            <w:pPr>
              <w:rPr>
                <w:rFonts w:ascii="Times New Roman" w:hAnsi="Times New Roman" w:cs="Times New Roman"/>
                <w:bCs/>
                <w:sz w:val="20"/>
                <w:szCs w:val="20"/>
              </w:rPr>
            </w:pPr>
          </w:p>
          <w:p w14:paraId="3B824895"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Flushing</w:t>
            </w:r>
          </w:p>
          <w:p w14:paraId="102756F2"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Ecchymosis/</w:t>
            </w:r>
            <w:proofErr w:type="spellStart"/>
            <w:r w:rsidRPr="00B54968">
              <w:rPr>
                <w:rFonts w:ascii="Times New Roman" w:hAnsi="Times New Roman" w:cs="Times New Roman"/>
                <w:bCs/>
                <w:sz w:val="20"/>
                <w:szCs w:val="20"/>
              </w:rPr>
              <w:t>haematoma</w:t>
            </w:r>
            <w:proofErr w:type="spellEnd"/>
            <w:r w:rsidRPr="00B54968">
              <w:rPr>
                <w:rFonts w:ascii="Times New Roman" w:hAnsi="Times New Roman" w:cs="Times New Roman"/>
                <w:bCs/>
                <w:sz w:val="20"/>
                <w:szCs w:val="20"/>
              </w:rPr>
              <w:t xml:space="preserve">, hypertension, hypotension, syncope, </w:t>
            </w:r>
            <w:proofErr w:type="spellStart"/>
            <w:r w:rsidRPr="00B54968">
              <w:rPr>
                <w:rFonts w:ascii="Times New Roman" w:hAnsi="Times New Roman" w:cs="Times New Roman"/>
                <w:bCs/>
                <w:sz w:val="20"/>
                <w:szCs w:val="20"/>
              </w:rPr>
              <w:t>petechia</w:t>
            </w:r>
            <w:proofErr w:type="spellEnd"/>
            <w:r w:rsidRPr="00B54968">
              <w:rPr>
                <w:rFonts w:ascii="Times New Roman" w:hAnsi="Times New Roman" w:cs="Times New Roman"/>
                <w:bCs/>
                <w:sz w:val="20"/>
                <w:szCs w:val="20"/>
              </w:rPr>
              <w:t xml:space="preserve">, thrombophlebitis, palpitation, vasospasm, cyanosis, peripheral </w:t>
            </w:r>
            <w:proofErr w:type="spellStart"/>
            <w:r w:rsidRPr="00B54968">
              <w:rPr>
                <w:rFonts w:ascii="Times New Roman" w:hAnsi="Times New Roman" w:cs="Times New Roman"/>
                <w:bCs/>
                <w:sz w:val="20"/>
                <w:szCs w:val="20"/>
              </w:rPr>
              <w:t>ischaemia</w:t>
            </w:r>
            <w:proofErr w:type="spellEnd"/>
            <w:r w:rsidRPr="00B54968">
              <w:rPr>
                <w:rFonts w:ascii="Times New Roman" w:hAnsi="Times New Roman" w:cs="Times New Roman"/>
                <w:bCs/>
                <w:sz w:val="20"/>
                <w:szCs w:val="20"/>
              </w:rPr>
              <w:t>, arrhythmia, worsening heart failure, bradycardia</w:t>
            </w:r>
          </w:p>
          <w:p w14:paraId="503F3B15"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Circulatory failure, tachycardia</w:t>
            </w:r>
          </w:p>
        </w:tc>
      </w:tr>
      <w:tr w:rsidR="0071628C" w:rsidRPr="00B54968" w14:paraId="04C6DEC1" w14:textId="77777777" w:rsidTr="00314FEB">
        <w:tc>
          <w:tcPr>
            <w:tcW w:w="3369" w:type="dxa"/>
          </w:tcPr>
          <w:p w14:paraId="0863BC15"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Respiratory system disorders</w:t>
            </w:r>
          </w:p>
          <w:p w14:paraId="753335F6"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Common: </w:t>
            </w:r>
          </w:p>
          <w:p w14:paraId="48AA1162" w14:textId="77777777" w:rsidR="0071628C" w:rsidRPr="00B54968" w:rsidRDefault="0071628C" w:rsidP="003E2009">
            <w:pPr>
              <w:rPr>
                <w:rFonts w:ascii="Times New Roman" w:hAnsi="Times New Roman" w:cs="Times New Roman"/>
                <w:bCs/>
                <w:sz w:val="20"/>
                <w:szCs w:val="20"/>
              </w:rPr>
            </w:pPr>
          </w:p>
          <w:p w14:paraId="3F69AF8C"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54806A9F" w14:textId="77777777" w:rsidR="0071628C" w:rsidRPr="00B54968" w:rsidRDefault="0071628C" w:rsidP="003E2009">
            <w:pPr>
              <w:rPr>
                <w:rFonts w:ascii="Times New Roman" w:hAnsi="Times New Roman" w:cs="Times New Roman"/>
                <w:bCs/>
                <w:sz w:val="20"/>
                <w:szCs w:val="20"/>
              </w:rPr>
            </w:pPr>
          </w:p>
          <w:p w14:paraId="5D872AA7"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257C4128" w14:textId="77777777" w:rsidR="0071628C" w:rsidRPr="00B54968" w:rsidRDefault="0071628C" w:rsidP="003E2009">
            <w:pPr>
              <w:rPr>
                <w:rFonts w:ascii="Times New Roman" w:hAnsi="Times New Roman" w:cs="Times New Roman"/>
                <w:bCs/>
                <w:sz w:val="20"/>
                <w:szCs w:val="20"/>
              </w:rPr>
            </w:pPr>
          </w:p>
          <w:p w14:paraId="2ADC5201"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Upper respiratory tract infection, lower respiratory tract infection (e.g., bronchitis, pneumonia), </w:t>
            </w:r>
            <w:proofErr w:type="spellStart"/>
            <w:r w:rsidRPr="00B54968">
              <w:rPr>
                <w:rFonts w:ascii="Times New Roman" w:hAnsi="Times New Roman" w:cs="Times New Roman"/>
                <w:bCs/>
                <w:sz w:val="20"/>
                <w:szCs w:val="20"/>
              </w:rPr>
              <w:t>dyspnoea</w:t>
            </w:r>
            <w:proofErr w:type="spellEnd"/>
            <w:r w:rsidRPr="00B54968">
              <w:rPr>
                <w:rFonts w:ascii="Times New Roman" w:hAnsi="Times New Roman" w:cs="Times New Roman"/>
                <w:bCs/>
                <w:sz w:val="20"/>
                <w:szCs w:val="20"/>
              </w:rPr>
              <w:t>, sinusitis</w:t>
            </w:r>
          </w:p>
          <w:p w14:paraId="6142CC39"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Epistaxis, bronchospasm, pleurisy, respiratory tract allergic reaction, pulmonary </w:t>
            </w:r>
            <w:proofErr w:type="spellStart"/>
            <w:r w:rsidRPr="00B54968">
              <w:rPr>
                <w:rFonts w:ascii="Times New Roman" w:hAnsi="Times New Roman" w:cs="Times New Roman"/>
                <w:bCs/>
                <w:sz w:val="20"/>
                <w:szCs w:val="20"/>
              </w:rPr>
              <w:t>oedema</w:t>
            </w:r>
            <w:proofErr w:type="spellEnd"/>
          </w:p>
          <w:p w14:paraId="5AA19B12"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Pleural effusion</w:t>
            </w:r>
          </w:p>
        </w:tc>
      </w:tr>
      <w:tr w:rsidR="0071628C" w:rsidRPr="00B54968" w14:paraId="072F36A7" w14:textId="77777777" w:rsidTr="00314FEB">
        <w:tc>
          <w:tcPr>
            <w:tcW w:w="3369" w:type="dxa"/>
          </w:tcPr>
          <w:p w14:paraId="5C5C4417"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Gastrointestinal system disorders</w:t>
            </w:r>
          </w:p>
          <w:p w14:paraId="5AAD061D"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3AD0659F"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lastRenderedPageBreak/>
              <w:t>Uncommon:</w:t>
            </w:r>
          </w:p>
          <w:p w14:paraId="67D74B7E" w14:textId="77777777" w:rsidR="0071628C" w:rsidRPr="00B54968" w:rsidRDefault="0071628C" w:rsidP="003E2009">
            <w:pPr>
              <w:rPr>
                <w:rFonts w:ascii="Times New Roman" w:hAnsi="Times New Roman" w:cs="Times New Roman"/>
                <w:bCs/>
                <w:sz w:val="20"/>
                <w:szCs w:val="20"/>
              </w:rPr>
            </w:pPr>
          </w:p>
          <w:p w14:paraId="49780C98"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Rare:</w:t>
            </w:r>
          </w:p>
          <w:p w14:paraId="1D880BAC" w14:textId="77777777" w:rsidR="0071628C" w:rsidRPr="00B54968" w:rsidRDefault="0071628C" w:rsidP="003E2009">
            <w:pPr>
              <w:rPr>
                <w:rFonts w:ascii="Times New Roman" w:hAnsi="Times New Roman" w:cs="Times New Roman"/>
                <w:bCs/>
                <w:sz w:val="20"/>
                <w:szCs w:val="20"/>
              </w:rPr>
            </w:pPr>
          </w:p>
        </w:tc>
        <w:tc>
          <w:tcPr>
            <w:tcW w:w="5811" w:type="dxa"/>
          </w:tcPr>
          <w:p w14:paraId="073480E8" w14:textId="77777777" w:rsidR="0071628C" w:rsidRPr="00B54968" w:rsidRDefault="0071628C" w:rsidP="003E2009">
            <w:pPr>
              <w:rPr>
                <w:rFonts w:ascii="Times New Roman" w:hAnsi="Times New Roman" w:cs="Times New Roman"/>
                <w:bCs/>
                <w:sz w:val="20"/>
                <w:szCs w:val="20"/>
              </w:rPr>
            </w:pPr>
          </w:p>
          <w:p w14:paraId="0441F956"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Nausea, </w:t>
            </w:r>
            <w:proofErr w:type="spellStart"/>
            <w:r w:rsidRPr="00B54968">
              <w:rPr>
                <w:rFonts w:ascii="Times New Roman" w:hAnsi="Times New Roman" w:cs="Times New Roman"/>
                <w:bCs/>
                <w:sz w:val="20"/>
                <w:szCs w:val="20"/>
              </w:rPr>
              <w:t>diarrhoea</w:t>
            </w:r>
            <w:proofErr w:type="spellEnd"/>
            <w:r w:rsidRPr="00B54968">
              <w:rPr>
                <w:rFonts w:ascii="Times New Roman" w:hAnsi="Times New Roman" w:cs="Times New Roman"/>
                <w:bCs/>
                <w:sz w:val="20"/>
                <w:szCs w:val="20"/>
              </w:rPr>
              <w:t>, abdominal pain, dyspepsia</w:t>
            </w:r>
          </w:p>
          <w:p w14:paraId="7206FC6E"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lastRenderedPageBreak/>
              <w:t xml:space="preserve">Constipation, gastroesophageal reflux, </w:t>
            </w:r>
            <w:proofErr w:type="spellStart"/>
            <w:r w:rsidRPr="00B54968">
              <w:rPr>
                <w:rFonts w:ascii="Times New Roman" w:hAnsi="Times New Roman" w:cs="Times New Roman"/>
                <w:bCs/>
                <w:sz w:val="20"/>
                <w:szCs w:val="20"/>
              </w:rPr>
              <w:t>cheilitis</w:t>
            </w:r>
            <w:proofErr w:type="spellEnd"/>
            <w:r w:rsidRPr="00B54968">
              <w:rPr>
                <w:rFonts w:ascii="Times New Roman" w:hAnsi="Times New Roman" w:cs="Times New Roman"/>
                <w:bCs/>
                <w:sz w:val="20"/>
                <w:szCs w:val="20"/>
              </w:rPr>
              <w:t>, diverticulitis, intestinal obstruction</w:t>
            </w:r>
          </w:p>
          <w:p w14:paraId="110EFDE7"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Intestinal perforation, intestinal stenosis, gastrointestinal </w:t>
            </w:r>
            <w:proofErr w:type="spellStart"/>
            <w:r w:rsidRPr="00B54968">
              <w:rPr>
                <w:rFonts w:ascii="Times New Roman" w:hAnsi="Times New Roman" w:cs="Times New Roman"/>
                <w:bCs/>
                <w:sz w:val="20"/>
                <w:szCs w:val="20"/>
              </w:rPr>
              <w:t>haemorrhage</w:t>
            </w:r>
            <w:proofErr w:type="spellEnd"/>
          </w:p>
        </w:tc>
      </w:tr>
      <w:tr w:rsidR="0071628C" w:rsidRPr="00B54968" w14:paraId="0502E03A" w14:textId="77777777" w:rsidTr="00314FEB">
        <w:tc>
          <w:tcPr>
            <w:tcW w:w="3369" w:type="dxa"/>
          </w:tcPr>
          <w:p w14:paraId="39504CD5"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lastRenderedPageBreak/>
              <w:t>Liver and biliary system disorders</w:t>
            </w:r>
          </w:p>
          <w:p w14:paraId="58A048A4"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180F9D70"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2A178DB5"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64A41F2F" w14:textId="77777777" w:rsidR="0071628C" w:rsidRPr="00B54968" w:rsidRDefault="0071628C" w:rsidP="003E2009">
            <w:pPr>
              <w:rPr>
                <w:rFonts w:ascii="Times New Roman" w:hAnsi="Times New Roman" w:cs="Times New Roman"/>
                <w:bCs/>
                <w:sz w:val="20"/>
                <w:szCs w:val="20"/>
              </w:rPr>
            </w:pPr>
          </w:p>
          <w:p w14:paraId="074D4464"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Abnormal hepatic function</w:t>
            </w:r>
          </w:p>
          <w:p w14:paraId="3A455C89" w14:textId="77777777" w:rsidR="0071628C" w:rsidRPr="00B54968" w:rsidRDefault="0071628C" w:rsidP="003E2009">
            <w:pPr>
              <w:rPr>
                <w:rFonts w:ascii="Times New Roman" w:hAnsi="Times New Roman" w:cs="Times New Roman"/>
                <w:bCs/>
                <w:sz w:val="20"/>
                <w:szCs w:val="20"/>
              </w:rPr>
            </w:pPr>
            <w:proofErr w:type="spellStart"/>
            <w:r w:rsidRPr="00B54968">
              <w:rPr>
                <w:rFonts w:ascii="Times New Roman" w:hAnsi="Times New Roman" w:cs="Times New Roman"/>
                <w:bCs/>
                <w:sz w:val="20"/>
                <w:szCs w:val="20"/>
              </w:rPr>
              <w:t>Cholecystitis</w:t>
            </w:r>
            <w:proofErr w:type="spellEnd"/>
          </w:p>
          <w:p w14:paraId="11FBD40E"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Hepatitis</w:t>
            </w:r>
          </w:p>
        </w:tc>
      </w:tr>
      <w:tr w:rsidR="0071628C" w:rsidRPr="00B54968" w14:paraId="4AB10ABC" w14:textId="77777777" w:rsidTr="00314FEB">
        <w:tc>
          <w:tcPr>
            <w:tcW w:w="3369" w:type="dxa"/>
          </w:tcPr>
          <w:p w14:paraId="5A60BAF4"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Skin and appendages disorders</w:t>
            </w:r>
          </w:p>
          <w:p w14:paraId="4BF11116"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7A2948CA"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1CDA5862" w14:textId="77777777" w:rsidR="0071628C" w:rsidRPr="00B54968" w:rsidRDefault="0071628C" w:rsidP="003E2009">
            <w:pPr>
              <w:rPr>
                <w:rFonts w:ascii="Times New Roman" w:hAnsi="Times New Roman" w:cs="Times New Roman"/>
                <w:bCs/>
                <w:sz w:val="20"/>
                <w:szCs w:val="20"/>
              </w:rPr>
            </w:pPr>
          </w:p>
        </w:tc>
        <w:tc>
          <w:tcPr>
            <w:tcW w:w="5811" w:type="dxa"/>
          </w:tcPr>
          <w:p w14:paraId="7F7D69C2" w14:textId="77777777" w:rsidR="0071628C" w:rsidRPr="00B54968" w:rsidRDefault="0071628C" w:rsidP="003E2009">
            <w:pPr>
              <w:rPr>
                <w:rFonts w:ascii="Times New Roman" w:hAnsi="Times New Roman" w:cs="Times New Roman"/>
                <w:bCs/>
                <w:sz w:val="20"/>
                <w:szCs w:val="20"/>
              </w:rPr>
            </w:pPr>
          </w:p>
          <w:p w14:paraId="094F4698"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Rash, pruritus, </w:t>
            </w:r>
            <w:proofErr w:type="spellStart"/>
            <w:r w:rsidRPr="00B54968">
              <w:rPr>
                <w:rFonts w:ascii="Times New Roman" w:hAnsi="Times New Roman" w:cs="Times New Roman"/>
                <w:bCs/>
                <w:sz w:val="20"/>
                <w:szCs w:val="20"/>
              </w:rPr>
              <w:t>urticaria</w:t>
            </w:r>
            <w:proofErr w:type="spellEnd"/>
            <w:r w:rsidRPr="00B54968">
              <w:rPr>
                <w:rFonts w:ascii="Times New Roman" w:hAnsi="Times New Roman" w:cs="Times New Roman"/>
                <w:bCs/>
                <w:sz w:val="20"/>
                <w:szCs w:val="20"/>
              </w:rPr>
              <w:t xml:space="preserve">, increased sweating, dry skin </w:t>
            </w:r>
          </w:p>
          <w:p w14:paraId="4153E626"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Fungal dermatitis/onychomycosis, eczema/</w:t>
            </w:r>
            <w:proofErr w:type="spellStart"/>
            <w:r w:rsidRPr="00B54968">
              <w:rPr>
                <w:rFonts w:ascii="Times New Roman" w:hAnsi="Times New Roman" w:cs="Times New Roman"/>
                <w:bCs/>
                <w:sz w:val="20"/>
                <w:szCs w:val="20"/>
              </w:rPr>
              <w:t>seborrhoea</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hordeolum</w:t>
            </w:r>
            <w:proofErr w:type="spellEnd"/>
            <w:r w:rsidRPr="00B54968">
              <w:rPr>
                <w:rFonts w:ascii="Times New Roman" w:hAnsi="Times New Roman" w:cs="Times New Roman"/>
                <w:bCs/>
                <w:sz w:val="20"/>
                <w:szCs w:val="20"/>
              </w:rPr>
              <w:t xml:space="preserve">, bullous eruption, </w:t>
            </w:r>
            <w:proofErr w:type="spellStart"/>
            <w:r w:rsidRPr="00B54968">
              <w:rPr>
                <w:rFonts w:ascii="Times New Roman" w:hAnsi="Times New Roman" w:cs="Times New Roman"/>
                <w:bCs/>
                <w:sz w:val="20"/>
                <w:szCs w:val="20"/>
              </w:rPr>
              <w:t>furunculosis</w:t>
            </w:r>
            <w:proofErr w:type="spellEnd"/>
            <w:r w:rsidRPr="00B54968">
              <w:rPr>
                <w:rFonts w:ascii="Times New Roman" w:hAnsi="Times New Roman" w:cs="Times New Roman"/>
                <w:bCs/>
                <w:sz w:val="20"/>
                <w:szCs w:val="20"/>
              </w:rPr>
              <w:t xml:space="preserve">, periorbital </w:t>
            </w:r>
            <w:proofErr w:type="spellStart"/>
            <w:r w:rsidRPr="00B54968">
              <w:rPr>
                <w:rFonts w:ascii="Times New Roman" w:hAnsi="Times New Roman" w:cs="Times New Roman"/>
                <w:bCs/>
                <w:sz w:val="20"/>
                <w:szCs w:val="20"/>
              </w:rPr>
              <w:t>oedema</w:t>
            </w:r>
            <w:proofErr w:type="spellEnd"/>
            <w:r w:rsidRPr="00B54968">
              <w:rPr>
                <w:rFonts w:ascii="Times New Roman" w:hAnsi="Times New Roman" w:cs="Times New Roman"/>
                <w:bCs/>
                <w:sz w:val="20"/>
                <w:szCs w:val="20"/>
              </w:rPr>
              <w:t>, hyperkeratosis, rosacea, verruca, abnormal skin pigmentation/</w:t>
            </w:r>
            <w:proofErr w:type="spellStart"/>
            <w:r w:rsidRPr="00B54968">
              <w:rPr>
                <w:rFonts w:ascii="Times New Roman" w:hAnsi="Times New Roman" w:cs="Times New Roman"/>
                <w:bCs/>
                <w:sz w:val="20"/>
                <w:szCs w:val="20"/>
              </w:rPr>
              <w:t>colouring</w:t>
            </w:r>
            <w:proofErr w:type="spellEnd"/>
            <w:r w:rsidRPr="00B54968">
              <w:rPr>
                <w:rFonts w:ascii="Times New Roman" w:hAnsi="Times New Roman" w:cs="Times New Roman"/>
                <w:bCs/>
                <w:sz w:val="20"/>
                <w:szCs w:val="20"/>
              </w:rPr>
              <w:t>, alopecia</w:t>
            </w:r>
          </w:p>
        </w:tc>
      </w:tr>
      <w:tr w:rsidR="0071628C" w:rsidRPr="00B54968" w14:paraId="1DCDDC61" w14:textId="77777777" w:rsidTr="00314FEB">
        <w:tc>
          <w:tcPr>
            <w:tcW w:w="3369" w:type="dxa"/>
          </w:tcPr>
          <w:p w14:paraId="04F59A5A" w14:textId="77777777" w:rsidR="0071628C" w:rsidRPr="00B54968" w:rsidRDefault="0071628C" w:rsidP="003E2009">
            <w:pPr>
              <w:rPr>
                <w:rFonts w:ascii="Times New Roman" w:hAnsi="Times New Roman" w:cs="Times New Roman"/>
                <w:bCs/>
                <w:sz w:val="20"/>
                <w:szCs w:val="20"/>
              </w:rPr>
            </w:pPr>
            <w:proofErr w:type="spellStart"/>
            <w:r w:rsidRPr="00B54968">
              <w:rPr>
                <w:rFonts w:ascii="Times New Roman" w:hAnsi="Times New Roman" w:cs="Times New Roman"/>
                <w:bCs/>
                <w:sz w:val="20"/>
                <w:szCs w:val="20"/>
              </w:rPr>
              <w:t>Musculo</w:t>
            </w:r>
            <w:proofErr w:type="spellEnd"/>
            <w:r w:rsidRPr="00B54968">
              <w:rPr>
                <w:rFonts w:ascii="Times New Roman" w:hAnsi="Times New Roman" w:cs="Times New Roman"/>
                <w:bCs/>
                <w:sz w:val="20"/>
                <w:szCs w:val="20"/>
              </w:rPr>
              <w:t>-skeletal system disorders</w:t>
            </w:r>
          </w:p>
          <w:p w14:paraId="5D2F302E"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76584B78" w14:textId="77777777" w:rsidR="0071628C" w:rsidRPr="00B54968" w:rsidRDefault="0071628C" w:rsidP="003E2009">
            <w:pPr>
              <w:rPr>
                <w:rFonts w:ascii="Times New Roman" w:hAnsi="Times New Roman" w:cs="Times New Roman"/>
                <w:bCs/>
                <w:sz w:val="20"/>
                <w:szCs w:val="20"/>
              </w:rPr>
            </w:pPr>
          </w:p>
          <w:p w14:paraId="345436FA"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Myalgia, </w:t>
            </w:r>
            <w:proofErr w:type="spellStart"/>
            <w:r w:rsidRPr="00B54968">
              <w:rPr>
                <w:rFonts w:ascii="Times New Roman" w:hAnsi="Times New Roman" w:cs="Times New Roman"/>
                <w:bCs/>
                <w:sz w:val="20"/>
                <w:szCs w:val="20"/>
              </w:rPr>
              <w:t>arthalgia</w:t>
            </w:r>
            <w:proofErr w:type="spellEnd"/>
            <w:r w:rsidRPr="00B54968">
              <w:rPr>
                <w:rFonts w:ascii="Times New Roman" w:hAnsi="Times New Roman" w:cs="Times New Roman"/>
                <w:bCs/>
                <w:sz w:val="20"/>
                <w:szCs w:val="20"/>
              </w:rPr>
              <w:t>, back pain</w:t>
            </w:r>
          </w:p>
        </w:tc>
      </w:tr>
      <w:tr w:rsidR="0071628C" w:rsidRPr="00B54968" w14:paraId="3CF2A82E" w14:textId="77777777" w:rsidTr="00314FEB">
        <w:tc>
          <w:tcPr>
            <w:tcW w:w="3369" w:type="dxa"/>
          </w:tcPr>
          <w:p w14:paraId="7D8C3A9E"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Urinary system disorders</w:t>
            </w:r>
          </w:p>
          <w:p w14:paraId="07B1C73F"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4A357B80" w14:textId="77777777" w:rsidR="0071628C" w:rsidRPr="00B54968" w:rsidRDefault="0071628C" w:rsidP="003E2009">
            <w:pPr>
              <w:rPr>
                <w:rFonts w:ascii="Times New Roman" w:hAnsi="Times New Roman" w:cs="Times New Roman"/>
                <w:bCs/>
                <w:sz w:val="20"/>
                <w:szCs w:val="20"/>
              </w:rPr>
            </w:pPr>
          </w:p>
          <w:p w14:paraId="00CFBF83"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Urinary tract infection, pyelonephritis</w:t>
            </w:r>
          </w:p>
        </w:tc>
      </w:tr>
      <w:tr w:rsidR="0071628C" w:rsidRPr="00B54968" w14:paraId="79B75F99" w14:textId="77777777" w:rsidTr="00314FEB">
        <w:tc>
          <w:tcPr>
            <w:tcW w:w="3369" w:type="dxa"/>
          </w:tcPr>
          <w:p w14:paraId="442AD144"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Reproductive disorders</w:t>
            </w:r>
          </w:p>
          <w:p w14:paraId="39AAF9DE"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6F407D28" w14:textId="77777777" w:rsidR="0071628C" w:rsidRPr="00B54968" w:rsidRDefault="0071628C" w:rsidP="003E2009">
            <w:pPr>
              <w:rPr>
                <w:rFonts w:ascii="Times New Roman" w:hAnsi="Times New Roman" w:cs="Times New Roman"/>
                <w:bCs/>
                <w:sz w:val="20"/>
                <w:szCs w:val="20"/>
              </w:rPr>
            </w:pPr>
          </w:p>
          <w:p w14:paraId="180E5AA0"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Vaginitis</w:t>
            </w:r>
          </w:p>
        </w:tc>
      </w:tr>
      <w:tr w:rsidR="0071628C" w:rsidRPr="00B54968" w14:paraId="07248E60" w14:textId="77777777" w:rsidTr="00314FEB">
        <w:tc>
          <w:tcPr>
            <w:tcW w:w="3369" w:type="dxa"/>
          </w:tcPr>
          <w:p w14:paraId="0ADB689F"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Body as a whole-general disorders</w:t>
            </w:r>
          </w:p>
          <w:p w14:paraId="1E494ECA"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7D60699B"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76C0516C" w14:textId="77777777" w:rsidR="0071628C" w:rsidRPr="00B54968" w:rsidRDefault="0071628C" w:rsidP="003E2009">
            <w:pPr>
              <w:rPr>
                <w:rFonts w:ascii="Times New Roman" w:hAnsi="Times New Roman" w:cs="Times New Roman"/>
                <w:bCs/>
                <w:sz w:val="20"/>
                <w:szCs w:val="20"/>
              </w:rPr>
            </w:pPr>
          </w:p>
        </w:tc>
        <w:tc>
          <w:tcPr>
            <w:tcW w:w="5811" w:type="dxa"/>
          </w:tcPr>
          <w:p w14:paraId="4B008EA6" w14:textId="77777777" w:rsidR="0071628C" w:rsidRPr="00B54968" w:rsidRDefault="0071628C" w:rsidP="003E2009">
            <w:pPr>
              <w:rPr>
                <w:rFonts w:ascii="Times New Roman" w:hAnsi="Times New Roman" w:cs="Times New Roman"/>
                <w:bCs/>
                <w:sz w:val="20"/>
                <w:szCs w:val="20"/>
              </w:rPr>
            </w:pPr>
          </w:p>
          <w:p w14:paraId="6F6D5E3A"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Fatigue, chest pain, infusion-related reactions</w:t>
            </w:r>
          </w:p>
          <w:p w14:paraId="51C4D4CD" w14:textId="77777777" w:rsidR="0071628C" w:rsidRPr="00B54968" w:rsidRDefault="0071628C" w:rsidP="003E2009">
            <w:pPr>
              <w:rPr>
                <w:rFonts w:ascii="Times New Roman" w:hAnsi="Times New Roman" w:cs="Times New Roman"/>
                <w:bCs/>
                <w:sz w:val="20"/>
                <w:szCs w:val="20"/>
              </w:rPr>
            </w:pPr>
            <w:proofErr w:type="spellStart"/>
            <w:r w:rsidRPr="00B54968">
              <w:rPr>
                <w:rFonts w:ascii="Times New Roman" w:hAnsi="Times New Roman" w:cs="Times New Roman"/>
                <w:bCs/>
                <w:sz w:val="20"/>
                <w:szCs w:val="20"/>
              </w:rPr>
              <w:t>Oedema</w:t>
            </w:r>
            <w:proofErr w:type="spellEnd"/>
            <w:r w:rsidRPr="00B54968">
              <w:rPr>
                <w:rFonts w:ascii="Times New Roman" w:hAnsi="Times New Roman" w:cs="Times New Roman"/>
                <w:bCs/>
                <w:sz w:val="20"/>
                <w:szCs w:val="20"/>
              </w:rPr>
              <w:t>, hot flashes, infusion syndrome, pain, chills/rigors, anaphylactic reactions</w:t>
            </w:r>
          </w:p>
        </w:tc>
      </w:tr>
      <w:tr w:rsidR="0071628C" w:rsidRPr="00B54968" w14:paraId="7B36F1E5" w14:textId="77777777" w:rsidTr="00314FEB">
        <w:tc>
          <w:tcPr>
            <w:tcW w:w="3369" w:type="dxa"/>
          </w:tcPr>
          <w:p w14:paraId="20769A72"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Administration/application site disorders</w:t>
            </w:r>
          </w:p>
          <w:p w14:paraId="010FC948"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55A975AB" w14:textId="77777777" w:rsidR="0071628C" w:rsidRPr="00B54968" w:rsidRDefault="0071628C" w:rsidP="003E2009">
            <w:pPr>
              <w:rPr>
                <w:rFonts w:ascii="Times New Roman" w:hAnsi="Times New Roman" w:cs="Times New Roman"/>
                <w:bCs/>
                <w:sz w:val="20"/>
                <w:szCs w:val="20"/>
              </w:rPr>
            </w:pPr>
          </w:p>
          <w:p w14:paraId="611408E5" w14:textId="77777777" w:rsidR="0071628C" w:rsidRPr="00B54968" w:rsidRDefault="0071628C" w:rsidP="003E2009">
            <w:pPr>
              <w:rPr>
                <w:rFonts w:ascii="Times New Roman" w:hAnsi="Times New Roman" w:cs="Times New Roman"/>
                <w:bCs/>
                <w:sz w:val="20"/>
                <w:szCs w:val="20"/>
              </w:rPr>
            </w:pPr>
          </w:p>
          <w:p w14:paraId="58A63472" w14:textId="77777777"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Cs/>
                <w:sz w:val="20"/>
                <w:szCs w:val="20"/>
              </w:rPr>
              <w:t>Injection site reactions</w:t>
            </w:r>
          </w:p>
        </w:tc>
      </w:tr>
    </w:tbl>
    <w:p w14:paraId="05EAE165" w14:textId="451C6D02" w:rsidR="0071628C" w:rsidRPr="00B54968" w:rsidRDefault="0071628C" w:rsidP="003E2009">
      <w:pPr>
        <w:rPr>
          <w:rFonts w:ascii="Times New Roman" w:hAnsi="Times New Roman" w:cs="Times New Roman"/>
          <w:bCs/>
          <w:sz w:val="20"/>
          <w:szCs w:val="20"/>
        </w:rPr>
      </w:pPr>
      <w:r w:rsidRPr="00B54968">
        <w:rPr>
          <w:rFonts w:ascii="Times New Roman" w:hAnsi="Times New Roman" w:cs="Times New Roman"/>
          <w:b/>
          <w:bCs/>
        </w:rPr>
        <w:t>*</w:t>
      </w:r>
      <w:r w:rsidRPr="00B54968">
        <w:rPr>
          <w:rFonts w:ascii="Times New Roman" w:hAnsi="Times New Roman" w:cs="Times New Roman"/>
          <w:bCs/>
          <w:sz w:val="20"/>
          <w:szCs w:val="20"/>
        </w:rPr>
        <w:t>reported in early phase studies evaluating infliximab in patients with congestive heart failure</w:t>
      </w:r>
    </w:p>
    <w:p w14:paraId="5139B59F" w14:textId="77777777" w:rsidR="0071628C" w:rsidRDefault="0071628C" w:rsidP="003E2009">
      <w:pPr>
        <w:pStyle w:val="Default"/>
        <w:rPr>
          <w:rFonts w:ascii="Times New Roman" w:hAnsi="Times New Roman" w:cs="Times New Roman"/>
          <w:color w:val="auto"/>
          <w:sz w:val="22"/>
          <w:szCs w:val="22"/>
          <w:u w:val="single"/>
        </w:rPr>
      </w:pPr>
    </w:p>
    <w:p w14:paraId="4CAD94BF" w14:textId="77777777" w:rsidR="00A02600" w:rsidRPr="00B54968" w:rsidRDefault="00592F33" w:rsidP="003E2009">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Children and adolescent patients </w:t>
      </w:r>
    </w:p>
    <w:p w14:paraId="3A3047DE" w14:textId="77777777" w:rsidR="00A02600" w:rsidRPr="00B54968" w:rsidRDefault="00592F33" w:rsidP="003E2009">
      <w:pPr>
        <w:pStyle w:val="Default"/>
        <w:rPr>
          <w:rFonts w:ascii="Times New Roman" w:hAnsi="Times New Roman" w:cs="Times New Roman"/>
          <w:color w:val="auto"/>
          <w:sz w:val="22"/>
          <w:szCs w:val="22"/>
        </w:rPr>
      </w:pPr>
      <w:proofErr w:type="spellStart"/>
      <w:r w:rsidRPr="00B54968">
        <w:rPr>
          <w:rFonts w:ascii="Times New Roman" w:hAnsi="Times New Roman" w:cs="Times New Roman"/>
          <w:i/>
          <w:iCs/>
          <w:color w:val="auto"/>
          <w:sz w:val="22"/>
          <w:szCs w:val="22"/>
        </w:rPr>
        <w:t>Paediatric</w:t>
      </w:r>
      <w:proofErr w:type="spellEnd"/>
      <w:r w:rsidRPr="00B54968">
        <w:rPr>
          <w:rFonts w:ascii="Times New Roman" w:hAnsi="Times New Roman" w:cs="Times New Roman"/>
          <w:i/>
          <w:iCs/>
          <w:color w:val="auto"/>
          <w:sz w:val="22"/>
          <w:szCs w:val="22"/>
        </w:rPr>
        <w:t xml:space="preserve"> Crohn’s disease (children and adolescents (6-17 years)) </w:t>
      </w:r>
    </w:p>
    <w:p w14:paraId="6941D960"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general, the adverse events in children and adolescent patients who received infliximab were similar in frequency and type to those seen in adult Crohn’s disease patients. Differences from adults and other special considerations are discussed in the following paragraphs. </w:t>
      </w:r>
    </w:p>
    <w:p w14:paraId="1E3D2DE4" w14:textId="77777777" w:rsidR="00A02600" w:rsidRPr="00B54968" w:rsidRDefault="00A02600" w:rsidP="003E2009">
      <w:pPr>
        <w:pStyle w:val="Default"/>
        <w:rPr>
          <w:rFonts w:ascii="Times New Roman" w:hAnsi="Times New Roman" w:cs="Times New Roman"/>
          <w:color w:val="auto"/>
          <w:sz w:val="22"/>
          <w:szCs w:val="22"/>
        </w:rPr>
      </w:pPr>
    </w:p>
    <w:p w14:paraId="2C163A87" w14:textId="33A6205F"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following adverse events were reported more commonly in 103 children and adolescent Crohn’s disease patients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at week 10 administered 5 mg/kg infliximab through 54 weeks (out of a total of 112 patients who entered the REACH trial, see also CLINICAL TRIALS section) than in adult Crohn’s disease patients receiving a similar treatment regimen (ACCENT 1 trial, see also CLINICAL TRIALS section): </w:t>
      </w:r>
      <w:proofErr w:type="spellStart"/>
      <w:r w:rsidRPr="00B54968">
        <w:rPr>
          <w:rFonts w:ascii="Times New Roman" w:hAnsi="Times New Roman" w:cs="Times New Roman"/>
          <w:color w:val="auto"/>
          <w:sz w:val="22"/>
          <w:szCs w:val="22"/>
        </w:rPr>
        <w:t>anaemia</w:t>
      </w:r>
      <w:proofErr w:type="spellEnd"/>
      <w:r w:rsidRPr="00B54968">
        <w:rPr>
          <w:rFonts w:ascii="Times New Roman" w:hAnsi="Times New Roman" w:cs="Times New Roman"/>
          <w:color w:val="auto"/>
          <w:sz w:val="22"/>
          <w:szCs w:val="22"/>
        </w:rPr>
        <w:t xml:space="preserve"> (10.7%), blood in stool (9.7%), </w:t>
      </w:r>
      <w:proofErr w:type="spellStart"/>
      <w:r w:rsidRPr="00B54968">
        <w:rPr>
          <w:rFonts w:ascii="Times New Roman" w:hAnsi="Times New Roman" w:cs="Times New Roman"/>
          <w:color w:val="auto"/>
          <w:sz w:val="22"/>
          <w:szCs w:val="22"/>
        </w:rPr>
        <w:t>leukopaenia</w:t>
      </w:r>
      <w:proofErr w:type="spellEnd"/>
      <w:r w:rsidRPr="00B54968">
        <w:rPr>
          <w:rFonts w:ascii="Times New Roman" w:hAnsi="Times New Roman" w:cs="Times New Roman"/>
          <w:color w:val="auto"/>
          <w:sz w:val="22"/>
          <w:szCs w:val="22"/>
        </w:rPr>
        <w:t xml:space="preserve"> (8.7%), flushing (8.7%), viral infection (7.8%), </w:t>
      </w:r>
      <w:proofErr w:type="spellStart"/>
      <w:r w:rsidRPr="00B54968">
        <w:rPr>
          <w:rFonts w:ascii="Times New Roman" w:hAnsi="Times New Roman" w:cs="Times New Roman"/>
          <w:color w:val="auto"/>
          <w:sz w:val="22"/>
          <w:szCs w:val="22"/>
        </w:rPr>
        <w:t>neutropaenia</w:t>
      </w:r>
      <w:proofErr w:type="spellEnd"/>
      <w:r w:rsidRPr="00B54968">
        <w:rPr>
          <w:rFonts w:ascii="Times New Roman" w:hAnsi="Times New Roman" w:cs="Times New Roman"/>
          <w:color w:val="auto"/>
          <w:sz w:val="22"/>
          <w:szCs w:val="22"/>
        </w:rPr>
        <w:t xml:space="preserve"> (6.8%), bone fracture (6.8%), bacterial infection (5.8%), and respiratory tract allergic reaction (5.8%). </w:t>
      </w:r>
    </w:p>
    <w:p w14:paraId="6BD01772" w14:textId="77777777" w:rsidR="00A02600" w:rsidRPr="00B54968" w:rsidRDefault="00A02600" w:rsidP="003E2009">
      <w:pPr>
        <w:pStyle w:val="Default"/>
        <w:rPr>
          <w:rFonts w:ascii="Times New Roman" w:hAnsi="Times New Roman" w:cs="Times New Roman"/>
          <w:color w:val="auto"/>
          <w:sz w:val="22"/>
          <w:szCs w:val="22"/>
        </w:rPr>
      </w:pPr>
    </w:p>
    <w:p w14:paraId="2920586B"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Infusion-related reactions </w:t>
      </w:r>
    </w:p>
    <w:p w14:paraId="58ECB8D7"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Overall, in REACH, 17.5% of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patients experienced 1 or more infusion reactions, with 17.0% and 18.0% of patients in the 8-weekly and 12-weekly maintenance treatment groups, respectively. There were no serious infusion reactions, and 2 subjects in REACH had non-serious anaphylactic reactions. </w:t>
      </w:r>
    </w:p>
    <w:p w14:paraId="0C7C043F" w14:textId="77777777" w:rsidR="00A02600" w:rsidRPr="00B54968" w:rsidRDefault="00A02600" w:rsidP="003E2009">
      <w:pPr>
        <w:pStyle w:val="Default"/>
        <w:rPr>
          <w:rFonts w:ascii="Times New Roman" w:hAnsi="Times New Roman" w:cs="Times New Roman"/>
          <w:color w:val="auto"/>
          <w:sz w:val="22"/>
          <w:szCs w:val="22"/>
        </w:rPr>
      </w:pPr>
    </w:p>
    <w:p w14:paraId="0CBBAD32"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Immunogenicity </w:t>
      </w:r>
    </w:p>
    <w:p w14:paraId="16F01582" w14:textId="2FC8B3E8"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developed in 3 (2.9%) children and adolescent patients. </w:t>
      </w:r>
    </w:p>
    <w:p w14:paraId="1375D480" w14:textId="70E0BF2E" w:rsidR="00A02600" w:rsidRPr="00B54968" w:rsidRDefault="00A02600" w:rsidP="003E2009">
      <w:pPr>
        <w:pStyle w:val="Default"/>
        <w:rPr>
          <w:rFonts w:ascii="Times New Roman" w:hAnsi="Times New Roman" w:cs="Times New Roman"/>
          <w:color w:val="auto"/>
          <w:sz w:val="22"/>
          <w:szCs w:val="22"/>
        </w:rPr>
      </w:pPr>
    </w:p>
    <w:p w14:paraId="2A65F5CA"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t>
      </w:r>
    </w:p>
    <w:p w14:paraId="2492FE35" w14:textId="77777777" w:rsidR="00A02600" w:rsidRPr="00B54968" w:rsidRDefault="00592F33" w:rsidP="003E2009">
      <w:pPr>
        <w:spacing w:after="0" w:line="240" w:lineRule="auto"/>
        <w:rPr>
          <w:rFonts w:ascii="Times New Roman" w:hAnsi="Times New Roman" w:cs="Times New Roman"/>
        </w:rPr>
      </w:pPr>
      <w:r w:rsidRPr="00B54968">
        <w:rPr>
          <w:rFonts w:ascii="Times New Roman" w:hAnsi="Times New Roman" w:cs="Times New Roman"/>
        </w:rPr>
        <w:t xml:space="preserve">Infections were reported in 56.3% of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children and adolescent subjects treated with infliximab (REACH trial), and in 50.4% of subjects in adult’s Crohn’s (ACCENT 1 trial).</w:t>
      </w:r>
    </w:p>
    <w:p w14:paraId="362EF718"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REACH trial, infections were reported more frequently for subjects who received 8-weekly as opposed to 12-weekly infusions (73.6% and 38.0%, respectively), while serious infections were </w:t>
      </w:r>
      <w:r w:rsidRPr="00B54968">
        <w:rPr>
          <w:rFonts w:ascii="Times New Roman" w:hAnsi="Times New Roman" w:cs="Times New Roman"/>
          <w:color w:val="auto"/>
          <w:sz w:val="22"/>
          <w:szCs w:val="22"/>
        </w:rPr>
        <w:lastRenderedPageBreak/>
        <w:t xml:space="preserve">reported for 3 subjects in the q8 week and 4 subjects in the 12-weekly maintenance treatment group. The most commonly reported infections were upper respiratory tract infection and pharyngitis, and the most commonly reported serious infection was abscess. Pneumonia was reported in 3 patients, 2 in the 8-weekly and 1 in the 12-weekly maintenance treatment groups. Herpes zoster was reported in 2 patients in the 8-weekly maintenance treatment group. </w:t>
      </w:r>
    </w:p>
    <w:p w14:paraId="42CA2444" w14:textId="77777777" w:rsidR="00A02600" w:rsidRPr="00B54968" w:rsidRDefault="00A02600" w:rsidP="003E2009">
      <w:pPr>
        <w:pStyle w:val="Default"/>
        <w:rPr>
          <w:rFonts w:ascii="Times New Roman" w:hAnsi="Times New Roman" w:cs="Times New Roman"/>
          <w:color w:val="auto"/>
          <w:sz w:val="22"/>
          <w:szCs w:val="22"/>
        </w:rPr>
      </w:pPr>
    </w:p>
    <w:p w14:paraId="5FDE28A8" w14:textId="77777777" w:rsidR="00A02600" w:rsidRPr="00B54968" w:rsidRDefault="00592F33" w:rsidP="003E2009">
      <w:pPr>
        <w:pStyle w:val="Default"/>
        <w:rPr>
          <w:rFonts w:ascii="Times New Roman" w:hAnsi="Times New Roman" w:cs="Times New Roman"/>
          <w:color w:val="auto"/>
          <w:sz w:val="22"/>
          <w:szCs w:val="22"/>
        </w:rPr>
      </w:pPr>
      <w:proofErr w:type="spellStart"/>
      <w:r w:rsidRPr="00B54968">
        <w:rPr>
          <w:rFonts w:ascii="Times New Roman" w:hAnsi="Times New Roman" w:cs="Times New Roman"/>
          <w:i/>
          <w:iCs/>
          <w:color w:val="auto"/>
          <w:sz w:val="22"/>
          <w:szCs w:val="22"/>
        </w:rPr>
        <w:t>Paediatric</w:t>
      </w:r>
      <w:proofErr w:type="spellEnd"/>
      <w:r w:rsidRPr="00B54968">
        <w:rPr>
          <w:rFonts w:ascii="Times New Roman" w:hAnsi="Times New Roman" w:cs="Times New Roman"/>
          <w:i/>
          <w:iCs/>
          <w:color w:val="auto"/>
          <w:sz w:val="22"/>
          <w:szCs w:val="22"/>
        </w:rPr>
        <w:t xml:space="preserve"> ulcerative colitis (children and adolescents (6-17 years)</w:t>
      </w:r>
    </w:p>
    <w:p w14:paraId="68CA9AB5"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Overall proportions of patients with adverse events and serious adverse events were generally consistent in the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ulcerative colitis and adult ulcerative colitis (ACT 1 and ACT 2) studies. In the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ulcerative colitis study (C0168T72), the most common adverse event was worsening of ulcerative colitis, the incidence of which was higher in patients on the every 12 week vs. the every 8 week dosing regimen. In ACT 1 and ACT 2 studies, the most common adverse event was headache. The most common serious adverse event across these three studies was worsening of ulcerative colitis. </w:t>
      </w:r>
    </w:p>
    <w:p w14:paraId="3F9DFE40" w14:textId="704B4DC0" w:rsidR="008669BA" w:rsidRPr="00B54968" w:rsidRDefault="008669BA" w:rsidP="003E2009">
      <w:pPr>
        <w:pStyle w:val="Default"/>
        <w:rPr>
          <w:rFonts w:ascii="Times New Roman" w:hAnsi="Times New Roman" w:cs="Times New Roman"/>
          <w:color w:val="auto"/>
          <w:sz w:val="22"/>
          <w:szCs w:val="22"/>
        </w:rPr>
      </w:pPr>
    </w:p>
    <w:p w14:paraId="2B2FB7B1"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t>
      </w:r>
    </w:p>
    <w:p w14:paraId="60A6BDFE"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were reported in 31 (51.7%) of 60 treated patients in C0168T72 and 22 (36.7%) required oral or parenteral antimicrobial treatment. The proportion of patients with infections in C0168T72 was similar to that in the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Crohn's disease study (REACH) but higher than the proportion in the adults ulcerative colitis studies (ACT 1 and ACT 2). Unlike REACH, in which infections were reported more frequently for patients who received every 8 week as opposed to every 12 week infusions; in C0168T72, the overall incidence of infections was similar in the every 8 week (13/22 [59.1%]) and every 12 week (14/23 [60.9%] maintenance treatment groups. In C0168T72, serious infections were reported for 3 of 22 (13.6%) patients in the every 8 week and 3 of 23 (13.0%) patients in the every 12 week maintenance treatment group. Upper respiratory tract infection (7/60 [11.7%]) and pharyngitis (5/60 [8.3%]) were the most frequently reported respiratory infections among all treated patients. The infections occurring in more than one patient in a treatment group that required antimicrobial treatment were pharyngitis (4/60 [6.7%]), urinary tract infection (4/60 [6.7%]), and bronchitis (2/60 [3.3%]). </w:t>
      </w:r>
    </w:p>
    <w:p w14:paraId="77D3980E" w14:textId="77777777" w:rsidR="00A02600" w:rsidRPr="00B54968" w:rsidRDefault="00A02600" w:rsidP="003E2009">
      <w:pPr>
        <w:pStyle w:val="Default"/>
        <w:rPr>
          <w:rFonts w:ascii="Times New Roman" w:hAnsi="Times New Roman" w:cs="Times New Roman"/>
          <w:color w:val="auto"/>
          <w:sz w:val="22"/>
          <w:szCs w:val="22"/>
        </w:rPr>
      </w:pPr>
    </w:p>
    <w:p w14:paraId="0B7D48AD"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Infusion-related reactions </w:t>
      </w:r>
    </w:p>
    <w:p w14:paraId="6059C46D" w14:textId="1EDB70C8"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Overall, 8 (13.3%) of 60 treated patients experienced one or more infusion reactions, with 4 of 22 (18.2%) in the every 8 week and 3 of 23 (13.0%) in the every 12 week treatment maintenance group. No serious infusion reactions were reported. All infusion reactions were mild or moderate in intensity. </w:t>
      </w:r>
    </w:p>
    <w:p w14:paraId="6ED1708C" w14:textId="77777777" w:rsidR="00A02600" w:rsidRPr="00B54968" w:rsidRDefault="00A02600" w:rsidP="003E2009">
      <w:pPr>
        <w:pStyle w:val="Default"/>
        <w:rPr>
          <w:rFonts w:ascii="Times New Roman" w:hAnsi="Times New Roman" w:cs="Times New Roman"/>
          <w:color w:val="auto"/>
          <w:sz w:val="22"/>
          <w:szCs w:val="22"/>
        </w:rPr>
      </w:pPr>
    </w:p>
    <w:p w14:paraId="73D79AB9"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Immunogenicity </w:t>
      </w:r>
    </w:p>
    <w:p w14:paraId="3157B2C1"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were detected in 4 (7.7%) patients through week 54. </w:t>
      </w:r>
    </w:p>
    <w:p w14:paraId="0C716039" w14:textId="77777777" w:rsidR="00A02600" w:rsidRPr="00B54968" w:rsidRDefault="00A02600" w:rsidP="003E2009">
      <w:pPr>
        <w:pStyle w:val="Default"/>
        <w:rPr>
          <w:rFonts w:ascii="Times New Roman" w:hAnsi="Times New Roman" w:cs="Times New Roman"/>
          <w:color w:val="auto"/>
          <w:sz w:val="22"/>
          <w:szCs w:val="22"/>
        </w:rPr>
      </w:pPr>
    </w:p>
    <w:p w14:paraId="74851078"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Experience: </w:t>
      </w:r>
    </w:p>
    <w:p w14:paraId="2FD5BA6A"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During post-marketing experience, a rare type of </w:t>
      </w:r>
      <w:proofErr w:type="spellStart"/>
      <w:r w:rsidRPr="00B54968">
        <w:rPr>
          <w:rFonts w:ascii="Times New Roman" w:hAnsi="Times New Roman" w:cs="Times New Roman"/>
          <w:color w:val="auto"/>
          <w:sz w:val="22"/>
          <w:szCs w:val="22"/>
        </w:rPr>
        <w:t>hepatosplenic</w:t>
      </w:r>
      <w:proofErr w:type="spellEnd"/>
      <w:r w:rsidRPr="00B54968">
        <w:rPr>
          <w:rFonts w:ascii="Times New Roman" w:hAnsi="Times New Roman" w:cs="Times New Roman"/>
          <w:color w:val="auto"/>
          <w:sz w:val="22"/>
          <w:szCs w:val="22"/>
        </w:rPr>
        <w:t xml:space="preserve"> T-cell lymphoma has been reported in patients with Crohn’s disease or ulcerative colitis treated with </w:t>
      </w:r>
      <w:r w:rsidR="002A10D6"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 majority of whom were adolescent or young adult males (see PRECAUTIONS). </w:t>
      </w:r>
    </w:p>
    <w:p w14:paraId="355D40DC" w14:textId="77777777" w:rsidR="00A02600" w:rsidRPr="00B54968" w:rsidRDefault="00A02600" w:rsidP="003E2009">
      <w:pPr>
        <w:pStyle w:val="Default"/>
        <w:rPr>
          <w:rFonts w:ascii="Times New Roman" w:hAnsi="Times New Roman" w:cs="Times New Roman"/>
          <w:color w:val="auto"/>
          <w:sz w:val="22"/>
          <w:szCs w:val="22"/>
        </w:rPr>
      </w:pPr>
    </w:p>
    <w:p w14:paraId="558E1548"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i/>
          <w:iCs/>
          <w:color w:val="auto"/>
          <w:sz w:val="22"/>
          <w:szCs w:val="22"/>
        </w:rPr>
        <w:t xml:space="preserve">Juvenile Rheumatoid Arthritis </w:t>
      </w:r>
    </w:p>
    <w:p w14:paraId="46D3516F" w14:textId="77777777" w:rsidR="00A02600" w:rsidRPr="00B54968" w:rsidRDefault="00816ADC"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592F33" w:rsidRPr="00B54968">
        <w:rPr>
          <w:rFonts w:ascii="Times New Roman" w:hAnsi="Times New Roman" w:cs="Times New Roman"/>
          <w:color w:val="auto"/>
          <w:sz w:val="22"/>
          <w:szCs w:val="22"/>
        </w:rPr>
        <w:t xml:space="preserve">was studied in a trial in 120 patients (age range: 4-17 years old) with active JRA despite methotrexate. Patients received 3 mg/kg </w:t>
      </w:r>
      <w:r w:rsidRPr="00B54968">
        <w:rPr>
          <w:rFonts w:ascii="Times New Roman" w:hAnsi="Times New Roman" w:cs="Times New Roman"/>
          <w:color w:val="auto"/>
          <w:sz w:val="22"/>
          <w:szCs w:val="22"/>
        </w:rPr>
        <w:t>infliximab</w:t>
      </w:r>
      <w:r w:rsidR="00592F33" w:rsidRPr="00B54968">
        <w:rPr>
          <w:rFonts w:ascii="Times New Roman" w:hAnsi="Times New Roman" w:cs="Times New Roman"/>
          <w:color w:val="auto"/>
          <w:sz w:val="22"/>
          <w:szCs w:val="22"/>
        </w:rPr>
        <w:t xml:space="preserve"> or placebo intravenously at weeks 0, 2, and 6. Subjects </w:t>
      </w:r>
      <w:proofErr w:type="spellStart"/>
      <w:r w:rsidR="00592F33" w:rsidRPr="00B54968">
        <w:rPr>
          <w:rFonts w:ascii="Times New Roman" w:hAnsi="Times New Roman" w:cs="Times New Roman"/>
          <w:color w:val="auto"/>
          <w:sz w:val="22"/>
          <w:szCs w:val="22"/>
        </w:rPr>
        <w:t>randomised</w:t>
      </w:r>
      <w:proofErr w:type="spellEnd"/>
      <w:r w:rsidR="00592F33" w:rsidRPr="00B54968">
        <w:rPr>
          <w:rFonts w:ascii="Times New Roman" w:hAnsi="Times New Roman" w:cs="Times New Roman"/>
          <w:color w:val="auto"/>
          <w:sz w:val="22"/>
          <w:szCs w:val="22"/>
        </w:rPr>
        <w:t xml:space="preserve"> to placebo crossed over to receive 6 mg/kg </w:t>
      </w:r>
      <w:r w:rsidR="00CD2A30" w:rsidRPr="00B54968">
        <w:rPr>
          <w:rFonts w:ascii="Times New Roman" w:hAnsi="Times New Roman" w:cs="Times New Roman"/>
          <w:color w:val="auto"/>
          <w:sz w:val="22"/>
          <w:szCs w:val="22"/>
        </w:rPr>
        <w:t>INFLIXIMAB</w:t>
      </w:r>
      <w:r w:rsidR="00592F33" w:rsidRPr="00B54968">
        <w:rPr>
          <w:rFonts w:ascii="Times New Roman" w:hAnsi="Times New Roman" w:cs="Times New Roman"/>
          <w:color w:val="auto"/>
          <w:sz w:val="22"/>
          <w:szCs w:val="22"/>
        </w:rPr>
        <w:t xml:space="preserve"> at weeks 14, 16 and 20 and then every 8 weeks through to week 44. Subjects </w:t>
      </w:r>
      <w:proofErr w:type="spellStart"/>
      <w:r w:rsidR="00592F33" w:rsidRPr="00B54968">
        <w:rPr>
          <w:rFonts w:ascii="Times New Roman" w:hAnsi="Times New Roman" w:cs="Times New Roman"/>
          <w:color w:val="auto"/>
          <w:sz w:val="22"/>
          <w:szCs w:val="22"/>
        </w:rPr>
        <w:t>randomised</w:t>
      </w:r>
      <w:proofErr w:type="spellEnd"/>
      <w:r w:rsidR="00592F33" w:rsidRPr="00B54968">
        <w:rPr>
          <w:rFonts w:ascii="Times New Roman" w:hAnsi="Times New Roman" w:cs="Times New Roman"/>
          <w:color w:val="auto"/>
          <w:sz w:val="22"/>
          <w:szCs w:val="22"/>
        </w:rPr>
        <w:t xml:space="preserve"> to 3 mg/kg</w:t>
      </w:r>
      <w:r w:rsidRPr="00B54968">
        <w:rPr>
          <w:rFonts w:ascii="Times New Roman" w:hAnsi="Times New Roman" w:cs="Times New Roman"/>
          <w:color w:val="auto"/>
          <w:sz w:val="22"/>
          <w:szCs w:val="22"/>
        </w:rPr>
        <w:t xml:space="preserve"> infliximab </w:t>
      </w:r>
      <w:r w:rsidR="00592F33" w:rsidRPr="00B54968">
        <w:rPr>
          <w:rFonts w:ascii="Times New Roman" w:hAnsi="Times New Roman" w:cs="Times New Roman"/>
          <w:color w:val="auto"/>
          <w:sz w:val="22"/>
          <w:szCs w:val="22"/>
        </w:rPr>
        <w:t xml:space="preserve">continued to receive the same dose of </w:t>
      </w:r>
      <w:r w:rsidRPr="00B54968">
        <w:rPr>
          <w:rFonts w:ascii="Times New Roman" w:hAnsi="Times New Roman" w:cs="Times New Roman"/>
          <w:color w:val="auto"/>
          <w:sz w:val="22"/>
          <w:szCs w:val="22"/>
        </w:rPr>
        <w:t>infliximab</w:t>
      </w:r>
      <w:r w:rsidR="00592F33" w:rsidRPr="00B54968">
        <w:rPr>
          <w:rFonts w:ascii="Times New Roman" w:hAnsi="Times New Roman" w:cs="Times New Roman"/>
          <w:color w:val="auto"/>
          <w:sz w:val="22"/>
          <w:szCs w:val="22"/>
        </w:rPr>
        <w:t xml:space="preserve"> at weeks 14, 20 and then every 8 weeks through to week 44. This study did not provide conclusive evidence for the efficacy of </w:t>
      </w:r>
      <w:r w:rsidRPr="00B54968">
        <w:rPr>
          <w:rFonts w:ascii="Times New Roman" w:hAnsi="Times New Roman" w:cs="Times New Roman"/>
          <w:color w:val="auto"/>
          <w:sz w:val="22"/>
          <w:szCs w:val="22"/>
        </w:rPr>
        <w:t xml:space="preserve">infliximab </w:t>
      </w:r>
      <w:r w:rsidR="00592F33" w:rsidRPr="00B54968">
        <w:rPr>
          <w:rFonts w:ascii="Times New Roman" w:hAnsi="Times New Roman" w:cs="Times New Roman"/>
          <w:color w:val="auto"/>
          <w:sz w:val="22"/>
          <w:szCs w:val="22"/>
        </w:rPr>
        <w:t xml:space="preserve">in JRA. </w:t>
      </w:r>
    </w:p>
    <w:p w14:paraId="33E7E6D7" w14:textId="77777777" w:rsidR="00A02600" w:rsidRPr="00B54968" w:rsidRDefault="00A02600" w:rsidP="003E2009">
      <w:pPr>
        <w:pStyle w:val="Default"/>
        <w:rPr>
          <w:rFonts w:ascii="Times New Roman" w:hAnsi="Times New Roman" w:cs="Times New Roman"/>
          <w:color w:val="auto"/>
          <w:sz w:val="22"/>
          <w:szCs w:val="22"/>
        </w:rPr>
      </w:pPr>
    </w:p>
    <w:p w14:paraId="628FA5F0"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Infusion reactions </w:t>
      </w:r>
    </w:p>
    <w:p w14:paraId="3BDDCE3E"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Infusion reactions occurred in 35 % of patients with JRA receiving 3 mg/kg compared with 17.5% of patients receiving 6 mg/kg. In the 3 mg/kg </w:t>
      </w:r>
      <w:r w:rsidR="00816ADC"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group, 4 out of 60 patients had a serious infusion reaction and 3 patients reported a possible anaphylactic reaction (2 of which were among the </w:t>
      </w:r>
      <w:r w:rsidRPr="00B54968">
        <w:rPr>
          <w:rFonts w:ascii="Times New Roman" w:hAnsi="Times New Roman" w:cs="Times New Roman"/>
          <w:color w:val="auto"/>
          <w:sz w:val="22"/>
          <w:szCs w:val="22"/>
        </w:rPr>
        <w:lastRenderedPageBreak/>
        <w:t xml:space="preserve">serious infusion reactions). In the 6 mg/kg group, 2 out of 57 patients had a serious infusion reaction, one of whom had a possible anaphylactic reaction. </w:t>
      </w:r>
    </w:p>
    <w:p w14:paraId="473DE322" w14:textId="77777777" w:rsidR="00A02600" w:rsidRPr="00B54968" w:rsidRDefault="00A02600" w:rsidP="003E2009">
      <w:pPr>
        <w:pStyle w:val="Default"/>
        <w:rPr>
          <w:rFonts w:ascii="Times New Roman" w:hAnsi="Times New Roman" w:cs="Times New Roman"/>
          <w:color w:val="auto"/>
          <w:sz w:val="22"/>
          <w:szCs w:val="22"/>
        </w:rPr>
      </w:pPr>
    </w:p>
    <w:p w14:paraId="2C3F7B8D"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Immunogenicity </w:t>
      </w:r>
    </w:p>
    <w:p w14:paraId="1A738ECA"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developed in 38 % of patients receiving 3 mg/kg compared with 12% of patients receiving 6 mg/kg. The antibody </w:t>
      </w:r>
      <w:proofErr w:type="spellStart"/>
      <w:r w:rsidRPr="00B54968">
        <w:rPr>
          <w:rFonts w:ascii="Times New Roman" w:hAnsi="Times New Roman" w:cs="Times New Roman"/>
          <w:color w:val="auto"/>
          <w:sz w:val="22"/>
          <w:szCs w:val="22"/>
        </w:rPr>
        <w:t>titres</w:t>
      </w:r>
      <w:proofErr w:type="spellEnd"/>
      <w:r w:rsidRPr="00B54968">
        <w:rPr>
          <w:rFonts w:ascii="Times New Roman" w:hAnsi="Times New Roman" w:cs="Times New Roman"/>
          <w:color w:val="auto"/>
          <w:sz w:val="22"/>
          <w:szCs w:val="22"/>
        </w:rPr>
        <w:t xml:space="preserve"> were notably higher for the 3 mg/kg compared to the 6 mg/kg group. </w:t>
      </w:r>
    </w:p>
    <w:p w14:paraId="5E39A88F" w14:textId="77777777" w:rsidR="00A02600" w:rsidRPr="00B54968" w:rsidRDefault="00A02600" w:rsidP="003E2009">
      <w:pPr>
        <w:pStyle w:val="Default"/>
        <w:rPr>
          <w:rFonts w:ascii="Times New Roman" w:hAnsi="Times New Roman" w:cs="Times New Roman"/>
          <w:color w:val="auto"/>
          <w:sz w:val="22"/>
          <w:szCs w:val="22"/>
        </w:rPr>
      </w:pPr>
    </w:p>
    <w:p w14:paraId="6504533C"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t>
      </w:r>
    </w:p>
    <w:p w14:paraId="71FA041A" w14:textId="77777777" w:rsidR="00A02600" w:rsidRPr="00B54968" w:rsidRDefault="00592F33" w:rsidP="003E2009">
      <w:pPr>
        <w:spacing w:after="0" w:line="240" w:lineRule="auto"/>
        <w:rPr>
          <w:rFonts w:ascii="Times New Roman" w:hAnsi="Times New Roman" w:cs="Times New Roman"/>
        </w:rPr>
      </w:pPr>
      <w:r w:rsidRPr="00B54968">
        <w:rPr>
          <w:rFonts w:ascii="Times New Roman" w:hAnsi="Times New Roman" w:cs="Times New Roman"/>
        </w:rPr>
        <w:t>Infections occurred in 68% (41/60) of children receiving 3 mg/kg over 52 weeks, 65% (37/57) of children receiving infliximab 6 mg/kg over 38 weeks and 47% (28/60) of children receiving placebo over 14 weeks.</w:t>
      </w:r>
    </w:p>
    <w:p w14:paraId="1F7C5B73" w14:textId="77777777" w:rsidR="00767DA5" w:rsidRPr="00B54968" w:rsidRDefault="00767DA5" w:rsidP="003E2009">
      <w:pPr>
        <w:spacing w:after="0"/>
        <w:rPr>
          <w:rFonts w:ascii="Times New Roman" w:hAnsi="Times New Roman" w:cs="Times New Roman"/>
          <w:b/>
        </w:rPr>
      </w:pPr>
    </w:p>
    <w:p w14:paraId="541D4B75" w14:textId="7A69A52E" w:rsidR="00A02600" w:rsidRPr="00364D52" w:rsidRDefault="00F635F3" w:rsidP="003E2009">
      <w:pPr>
        <w:pStyle w:val="NoSpacing"/>
        <w:spacing w:after="240"/>
        <w:ind w:left="1440" w:hanging="1440"/>
        <w:rPr>
          <w:rFonts w:eastAsia="Batang"/>
          <w:b/>
          <w:bCs/>
          <w:sz w:val="22"/>
        </w:rPr>
      </w:pPr>
      <w:r w:rsidRPr="00364D52">
        <w:rPr>
          <w:rFonts w:eastAsia="Batang"/>
          <w:b/>
          <w:bCs/>
          <w:sz w:val="22"/>
        </w:rPr>
        <w:t xml:space="preserve">Table </w:t>
      </w:r>
      <w:r w:rsidR="000F6A09" w:rsidRPr="00364D52">
        <w:rPr>
          <w:rFonts w:eastAsia="Batang"/>
          <w:b/>
          <w:bCs/>
          <w:sz w:val="22"/>
        </w:rPr>
        <w:t>1</w:t>
      </w:r>
      <w:r w:rsidR="0089177D">
        <w:rPr>
          <w:rFonts w:eastAsia="Batang"/>
          <w:b/>
          <w:bCs/>
          <w:sz w:val="22"/>
        </w:rPr>
        <w:t>7</w:t>
      </w:r>
      <w:r w:rsidRPr="00364D52">
        <w:rPr>
          <w:rFonts w:eastAsia="Batang"/>
          <w:b/>
          <w:bCs/>
          <w:sz w:val="22"/>
        </w:rPr>
        <w:t xml:space="preserve">: </w:t>
      </w:r>
      <w:r w:rsidRPr="00364D52">
        <w:rPr>
          <w:rFonts w:eastAsia="Batang"/>
          <w:b/>
          <w:bCs/>
          <w:sz w:val="22"/>
        </w:rPr>
        <w:tab/>
        <w:t xml:space="preserve">Undesirable effects in post-marketing reports </w:t>
      </w:r>
      <w:r w:rsidRPr="00364D52">
        <w:rPr>
          <w:rFonts w:eastAsia="Batang"/>
          <w:b/>
          <w:bCs/>
          <w:sz w:val="22"/>
        </w:rPr>
        <w:tab/>
        <w:t>(common &gt;1/100, &lt;1/10; uncommon &gt;1/1000, &lt;1/100; rare &lt;1/1000; very rare &lt;1/10,000)</w:t>
      </w:r>
    </w:p>
    <w:tbl>
      <w:tblPr>
        <w:tblStyle w:val="TableGrid"/>
        <w:tblW w:w="0" w:type="auto"/>
        <w:tblLayout w:type="fixed"/>
        <w:tblLook w:val="04A0" w:firstRow="1" w:lastRow="0" w:firstColumn="1" w:lastColumn="0" w:noHBand="0" w:noVBand="1"/>
      </w:tblPr>
      <w:tblGrid>
        <w:gridCol w:w="2235"/>
        <w:gridCol w:w="1275"/>
        <w:gridCol w:w="5670"/>
      </w:tblGrid>
      <w:tr w:rsidR="00AD36B4" w:rsidRPr="00B54968" w14:paraId="5D7A5058" w14:textId="77777777" w:rsidTr="00AD576A">
        <w:tc>
          <w:tcPr>
            <w:tcW w:w="2235" w:type="dxa"/>
            <w:vMerge w:val="restart"/>
            <w:tcBorders>
              <w:right w:val="nil"/>
            </w:tcBorders>
          </w:tcPr>
          <w:p w14:paraId="02E49A9B"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Neurological events</w:t>
            </w:r>
          </w:p>
        </w:tc>
        <w:tc>
          <w:tcPr>
            <w:tcW w:w="1275" w:type="dxa"/>
            <w:tcBorders>
              <w:left w:val="nil"/>
              <w:bottom w:val="nil"/>
              <w:right w:val="nil"/>
            </w:tcBorders>
          </w:tcPr>
          <w:p w14:paraId="170BD5BF" w14:textId="77777777" w:rsidR="00AD36B4" w:rsidRPr="00B54968" w:rsidRDefault="00AD36B4" w:rsidP="003E2009">
            <w:pPr>
              <w:rPr>
                <w:rFonts w:ascii="Times New Roman" w:hAnsi="Times New Roman" w:cs="Times New Roman"/>
                <w:sz w:val="20"/>
                <w:szCs w:val="20"/>
                <w:lang w:eastAsia="ko-KR"/>
              </w:rPr>
            </w:pPr>
          </w:p>
        </w:tc>
        <w:tc>
          <w:tcPr>
            <w:tcW w:w="5670" w:type="dxa"/>
            <w:tcBorders>
              <w:left w:val="nil"/>
              <w:bottom w:val="nil"/>
            </w:tcBorders>
          </w:tcPr>
          <w:p w14:paraId="3C13C506" w14:textId="77777777" w:rsidR="00AD36B4" w:rsidRPr="00B54968" w:rsidRDefault="00AD36B4" w:rsidP="003E2009">
            <w:pPr>
              <w:rPr>
                <w:rFonts w:ascii="Times New Roman" w:hAnsi="Times New Roman" w:cs="Times New Roman"/>
                <w:sz w:val="20"/>
                <w:szCs w:val="20"/>
                <w:lang w:eastAsia="ko-KR"/>
              </w:rPr>
            </w:pPr>
          </w:p>
        </w:tc>
      </w:tr>
      <w:tr w:rsidR="00AD36B4" w:rsidRPr="00B54968" w14:paraId="0741E476" w14:textId="77777777" w:rsidTr="00AD576A">
        <w:tc>
          <w:tcPr>
            <w:tcW w:w="2235" w:type="dxa"/>
            <w:vMerge/>
            <w:tcBorders>
              <w:right w:val="nil"/>
            </w:tcBorders>
          </w:tcPr>
          <w:p w14:paraId="38691FA7" w14:textId="77777777" w:rsidR="00AD36B4" w:rsidRPr="00B54968" w:rsidRDefault="00AD36B4" w:rsidP="003E2009">
            <w:pPr>
              <w:rPr>
                <w:rFonts w:ascii="Times New Roman" w:hAnsi="Times New Roman" w:cs="Times New Roman"/>
                <w:sz w:val="20"/>
                <w:szCs w:val="20"/>
                <w:lang w:eastAsia="ko-KR"/>
              </w:rPr>
            </w:pPr>
          </w:p>
        </w:tc>
        <w:tc>
          <w:tcPr>
            <w:tcW w:w="1275" w:type="dxa"/>
            <w:tcBorders>
              <w:top w:val="nil"/>
              <w:left w:val="nil"/>
              <w:bottom w:val="nil"/>
              <w:right w:val="nil"/>
            </w:tcBorders>
          </w:tcPr>
          <w:p w14:paraId="33F021C9"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 xml:space="preserve">Rare: </w:t>
            </w:r>
          </w:p>
        </w:tc>
        <w:tc>
          <w:tcPr>
            <w:tcW w:w="5670" w:type="dxa"/>
            <w:tcBorders>
              <w:top w:val="nil"/>
              <w:left w:val="nil"/>
              <w:bottom w:val="nil"/>
            </w:tcBorders>
          </w:tcPr>
          <w:p w14:paraId="1E4CE6E0"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Central nervous system demyelinating disorders (such as multiple</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sclerosis and optic neuritis), peripheral</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demyelinating</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disorders (such as Guillain-Barre syndrome,</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chronic</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inflammatory demyelinating polyneuropathy</w:t>
            </w:r>
            <w:r w:rsidRPr="00B54968">
              <w:rPr>
                <w:rFonts w:ascii="Times New Roman" w:hAnsi="Times New Roman" w:cs="Times New Roman"/>
                <w:bCs/>
                <w:sz w:val="20"/>
                <w:szCs w:val="20"/>
                <w:lang w:eastAsia="ko-KR"/>
              </w:rPr>
              <w:t>, and multifocal motor neuropathy), neuropathies, numbness, tingling, seizure</w:t>
            </w:r>
          </w:p>
        </w:tc>
      </w:tr>
      <w:tr w:rsidR="00AD36B4" w:rsidRPr="00B54968" w14:paraId="56CCDC76" w14:textId="77777777" w:rsidTr="00AD576A">
        <w:tc>
          <w:tcPr>
            <w:tcW w:w="2235" w:type="dxa"/>
            <w:vMerge/>
            <w:tcBorders>
              <w:right w:val="nil"/>
            </w:tcBorders>
          </w:tcPr>
          <w:p w14:paraId="05E6487B" w14:textId="77777777" w:rsidR="00AD36B4" w:rsidRPr="00B54968" w:rsidRDefault="00AD36B4" w:rsidP="003E2009">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6E774057"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Very rare:</w:t>
            </w:r>
          </w:p>
        </w:tc>
        <w:tc>
          <w:tcPr>
            <w:tcW w:w="5670" w:type="dxa"/>
            <w:tcBorders>
              <w:top w:val="nil"/>
              <w:left w:val="nil"/>
              <w:bottom w:val="single" w:sz="4" w:space="0" w:color="auto"/>
            </w:tcBorders>
          </w:tcPr>
          <w:p w14:paraId="6FEC4981"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Transverse myelitis</w:t>
            </w:r>
          </w:p>
        </w:tc>
      </w:tr>
      <w:tr w:rsidR="00AD36B4" w:rsidRPr="00B54968" w14:paraId="23566997" w14:textId="77777777" w:rsidTr="00AD576A">
        <w:tc>
          <w:tcPr>
            <w:tcW w:w="2235" w:type="dxa"/>
            <w:vMerge w:val="restart"/>
            <w:tcBorders>
              <w:right w:val="nil"/>
            </w:tcBorders>
          </w:tcPr>
          <w:p w14:paraId="0C328BCA" w14:textId="77777777" w:rsidR="00AD36B4" w:rsidRPr="00B54968" w:rsidRDefault="00AD576A" w:rsidP="003E200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Blood</w:t>
            </w:r>
          </w:p>
        </w:tc>
        <w:tc>
          <w:tcPr>
            <w:tcW w:w="1275" w:type="dxa"/>
            <w:tcBorders>
              <w:left w:val="nil"/>
              <w:bottom w:val="nil"/>
              <w:right w:val="nil"/>
            </w:tcBorders>
          </w:tcPr>
          <w:p w14:paraId="0A296D99" w14:textId="77777777" w:rsidR="00AD36B4" w:rsidRPr="00B54968" w:rsidRDefault="00AD36B4" w:rsidP="003E2009">
            <w:pPr>
              <w:rPr>
                <w:rFonts w:ascii="Times New Roman" w:hAnsi="Times New Roman" w:cs="Times New Roman"/>
                <w:sz w:val="20"/>
                <w:szCs w:val="20"/>
                <w:lang w:eastAsia="ko-KR"/>
              </w:rPr>
            </w:pPr>
          </w:p>
        </w:tc>
        <w:tc>
          <w:tcPr>
            <w:tcW w:w="5670" w:type="dxa"/>
            <w:tcBorders>
              <w:left w:val="nil"/>
              <w:bottom w:val="nil"/>
            </w:tcBorders>
          </w:tcPr>
          <w:p w14:paraId="725E364F" w14:textId="77777777" w:rsidR="00AD36B4" w:rsidRPr="00B54968" w:rsidRDefault="00AD36B4" w:rsidP="003E2009">
            <w:pPr>
              <w:rPr>
                <w:rFonts w:ascii="Times New Roman" w:hAnsi="Times New Roman" w:cs="Times New Roman"/>
                <w:sz w:val="20"/>
                <w:szCs w:val="20"/>
                <w:lang w:eastAsia="ko-KR"/>
              </w:rPr>
            </w:pPr>
          </w:p>
        </w:tc>
      </w:tr>
      <w:tr w:rsidR="00AD36B4" w:rsidRPr="00B54968" w14:paraId="1273A793" w14:textId="77777777" w:rsidTr="00AD576A">
        <w:tc>
          <w:tcPr>
            <w:tcW w:w="2235" w:type="dxa"/>
            <w:vMerge/>
            <w:tcBorders>
              <w:right w:val="nil"/>
            </w:tcBorders>
          </w:tcPr>
          <w:p w14:paraId="451D871E" w14:textId="77777777" w:rsidR="00AD36B4" w:rsidRPr="00B54968" w:rsidRDefault="00AD36B4" w:rsidP="003E2009">
            <w:pPr>
              <w:rPr>
                <w:rFonts w:ascii="Times New Roman" w:hAnsi="Times New Roman" w:cs="Times New Roman"/>
                <w:sz w:val="20"/>
                <w:szCs w:val="20"/>
                <w:lang w:eastAsia="ko-KR"/>
              </w:rPr>
            </w:pPr>
          </w:p>
        </w:tc>
        <w:tc>
          <w:tcPr>
            <w:tcW w:w="1275" w:type="dxa"/>
            <w:tcBorders>
              <w:top w:val="nil"/>
              <w:left w:val="nil"/>
              <w:bottom w:val="nil"/>
              <w:right w:val="nil"/>
            </w:tcBorders>
          </w:tcPr>
          <w:p w14:paraId="18D56BC2"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Rare:</w:t>
            </w:r>
          </w:p>
        </w:tc>
        <w:tc>
          <w:tcPr>
            <w:tcW w:w="5670" w:type="dxa"/>
            <w:tcBorders>
              <w:top w:val="nil"/>
              <w:left w:val="nil"/>
              <w:bottom w:val="nil"/>
            </w:tcBorders>
          </w:tcPr>
          <w:p w14:paraId="4E93AD7E" w14:textId="6664F8E5" w:rsidR="00AD36B4" w:rsidRPr="00B54968" w:rsidRDefault="00AD36B4" w:rsidP="003E2009">
            <w:pPr>
              <w:rPr>
                <w:rFonts w:ascii="Times New Roman" w:hAnsi="Times New Roman" w:cs="Times New Roman"/>
                <w:sz w:val="20"/>
                <w:szCs w:val="20"/>
                <w:lang w:eastAsia="ko-KR"/>
              </w:rPr>
            </w:pPr>
            <w:proofErr w:type="spellStart"/>
            <w:r w:rsidRPr="00B54968">
              <w:rPr>
                <w:rFonts w:ascii="Times New Roman" w:hAnsi="Times New Roman" w:cs="Times New Roman"/>
                <w:bCs/>
                <w:sz w:val="20"/>
                <w:szCs w:val="20"/>
              </w:rPr>
              <w:t>Pancytopaenia</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agranolucytosis</w:t>
            </w:r>
            <w:proofErr w:type="spellEnd"/>
            <w:r w:rsidR="00522FE8">
              <w:rPr>
                <w:rFonts w:ascii="Times New Roman" w:hAnsi="Times New Roman" w:cs="Times New Roman"/>
                <w:bCs/>
                <w:sz w:val="20"/>
                <w:szCs w:val="20"/>
              </w:rPr>
              <w:t xml:space="preserve"> (including infants exposed in utero to infliximab).</w:t>
            </w:r>
          </w:p>
        </w:tc>
      </w:tr>
      <w:tr w:rsidR="00AD36B4" w:rsidRPr="00B54968" w14:paraId="589665F8" w14:textId="77777777" w:rsidTr="00AD576A">
        <w:tc>
          <w:tcPr>
            <w:tcW w:w="2235" w:type="dxa"/>
            <w:vMerge/>
            <w:tcBorders>
              <w:right w:val="nil"/>
            </w:tcBorders>
          </w:tcPr>
          <w:p w14:paraId="79F05BFC" w14:textId="77777777" w:rsidR="00AD36B4" w:rsidRPr="00B54968" w:rsidRDefault="00AD36B4" w:rsidP="003E2009">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1505CB7C"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Very rare:</w:t>
            </w:r>
          </w:p>
        </w:tc>
        <w:tc>
          <w:tcPr>
            <w:tcW w:w="5670" w:type="dxa"/>
            <w:tcBorders>
              <w:top w:val="nil"/>
              <w:left w:val="nil"/>
              <w:bottom w:val="single" w:sz="4" w:space="0" w:color="auto"/>
            </w:tcBorders>
          </w:tcPr>
          <w:p w14:paraId="1A5C0E1E" w14:textId="77777777" w:rsidR="00AD36B4" w:rsidRPr="00B54968" w:rsidRDefault="00AD36B4" w:rsidP="003E2009">
            <w:pPr>
              <w:rPr>
                <w:rFonts w:ascii="Times New Roman" w:hAnsi="Times New Roman" w:cs="Times New Roman"/>
                <w:sz w:val="20"/>
                <w:szCs w:val="20"/>
                <w:lang w:eastAsia="ko-KR"/>
              </w:rPr>
            </w:pPr>
            <w:proofErr w:type="spellStart"/>
            <w:r w:rsidRPr="00B54968">
              <w:rPr>
                <w:rFonts w:ascii="Times New Roman" w:hAnsi="Times New Roman" w:cs="Times New Roman"/>
                <w:bCs/>
                <w:sz w:val="20"/>
                <w:szCs w:val="20"/>
              </w:rPr>
              <w:t>Haemolytic</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anaemia</w:t>
            </w:r>
            <w:proofErr w:type="spellEnd"/>
            <w:r w:rsidRPr="00B54968">
              <w:rPr>
                <w:rFonts w:ascii="Times New Roman" w:hAnsi="Times New Roman" w:cs="Times New Roman"/>
                <w:bCs/>
                <w:sz w:val="20"/>
                <w:szCs w:val="20"/>
              </w:rPr>
              <w:t xml:space="preserve">, idiopathic </w:t>
            </w:r>
            <w:proofErr w:type="spellStart"/>
            <w:r w:rsidRPr="00B54968">
              <w:rPr>
                <w:rFonts w:ascii="Times New Roman" w:hAnsi="Times New Roman" w:cs="Times New Roman"/>
                <w:bCs/>
                <w:sz w:val="20"/>
                <w:szCs w:val="20"/>
              </w:rPr>
              <w:t>thrombocytopaenic</w:t>
            </w:r>
            <w:proofErr w:type="spellEnd"/>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 xml:space="preserve">purpura, thrombotic </w:t>
            </w:r>
            <w:proofErr w:type="spellStart"/>
            <w:r w:rsidRPr="00B54968">
              <w:rPr>
                <w:rFonts w:ascii="Times New Roman" w:hAnsi="Times New Roman" w:cs="Times New Roman"/>
                <w:bCs/>
                <w:sz w:val="20"/>
                <w:szCs w:val="20"/>
              </w:rPr>
              <w:t>thrombocytopaenic</w:t>
            </w:r>
            <w:proofErr w:type="spellEnd"/>
            <w:r w:rsidRPr="00B54968">
              <w:rPr>
                <w:rFonts w:ascii="Times New Roman" w:hAnsi="Times New Roman" w:cs="Times New Roman"/>
                <w:bCs/>
                <w:sz w:val="20"/>
                <w:szCs w:val="20"/>
              </w:rPr>
              <w:t xml:space="preserve"> purpura</w:t>
            </w:r>
          </w:p>
        </w:tc>
      </w:tr>
      <w:tr w:rsidR="00AD36B4" w:rsidRPr="00B54968" w14:paraId="605053D3" w14:textId="77777777" w:rsidTr="00AD576A">
        <w:tc>
          <w:tcPr>
            <w:tcW w:w="2235" w:type="dxa"/>
            <w:vMerge w:val="restart"/>
            <w:tcBorders>
              <w:right w:val="nil"/>
            </w:tcBorders>
          </w:tcPr>
          <w:p w14:paraId="1CD2C977" w14:textId="77777777" w:rsidR="00AD36B4" w:rsidRPr="00B54968" w:rsidRDefault="00AD36B4" w:rsidP="003E2009">
            <w:pPr>
              <w:rPr>
                <w:rFonts w:ascii="Times New Roman" w:hAnsi="Times New Roman" w:cs="Times New Roman"/>
                <w:bCs/>
                <w:sz w:val="20"/>
                <w:szCs w:val="20"/>
                <w:lang w:eastAsia="ko-KR"/>
              </w:rPr>
            </w:pPr>
            <w:r w:rsidRPr="00B54968">
              <w:rPr>
                <w:rFonts w:ascii="Times New Roman" w:hAnsi="Times New Roman" w:cs="Times New Roman"/>
                <w:bCs/>
                <w:sz w:val="20"/>
                <w:szCs w:val="20"/>
              </w:rPr>
              <w:t>Liver and biliary system</w:t>
            </w:r>
          </w:p>
        </w:tc>
        <w:tc>
          <w:tcPr>
            <w:tcW w:w="1275" w:type="dxa"/>
            <w:tcBorders>
              <w:left w:val="nil"/>
              <w:bottom w:val="nil"/>
              <w:right w:val="nil"/>
            </w:tcBorders>
          </w:tcPr>
          <w:p w14:paraId="5D87A30F" w14:textId="77777777" w:rsidR="00AD36B4" w:rsidRPr="00B54968" w:rsidRDefault="00AD36B4" w:rsidP="003E2009">
            <w:pPr>
              <w:rPr>
                <w:rFonts w:ascii="Times New Roman" w:hAnsi="Times New Roman" w:cs="Times New Roman"/>
                <w:sz w:val="20"/>
                <w:szCs w:val="20"/>
                <w:lang w:eastAsia="ko-KR"/>
              </w:rPr>
            </w:pPr>
          </w:p>
        </w:tc>
        <w:tc>
          <w:tcPr>
            <w:tcW w:w="5670" w:type="dxa"/>
            <w:tcBorders>
              <w:left w:val="nil"/>
              <w:bottom w:val="nil"/>
            </w:tcBorders>
          </w:tcPr>
          <w:p w14:paraId="37876592" w14:textId="77777777" w:rsidR="00AD36B4" w:rsidRPr="00B54968" w:rsidRDefault="00AD36B4" w:rsidP="003E2009">
            <w:pPr>
              <w:rPr>
                <w:rFonts w:ascii="Times New Roman" w:hAnsi="Times New Roman" w:cs="Times New Roman"/>
                <w:sz w:val="20"/>
                <w:szCs w:val="20"/>
                <w:lang w:eastAsia="ko-KR"/>
              </w:rPr>
            </w:pPr>
          </w:p>
        </w:tc>
      </w:tr>
      <w:tr w:rsidR="00AD36B4" w:rsidRPr="00B54968" w14:paraId="5255DB04" w14:textId="77777777" w:rsidTr="00AD576A">
        <w:tc>
          <w:tcPr>
            <w:tcW w:w="2235" w:type="dxa"/>
            <w:vMerge/>
            <w:tcBorders>
              <w:right w:val="nil"/>
            </w:tcBorders>
          </w:tcPr>
          <w:p w14:paraId="04ACB1ED" w14:textId="77777777" w:rsidR="00AD36B4" w:rsidRPr="00B54968" w:rsidRDefault="00AD36B4" w:rsidP="003E2009">
            <w:pPr>
              <w:rPr>
                <w:rFonts w:ascii="Times New Roman" w:hAnsi="Times New Roman" w:cs="Times New Roman"/>
                <w:sz w:val="20"/>
                <w:szCs w:val="20"/>
                <w:lang w:eastAsia="ko-KR"/>
              </w:rPr>
            </w:pPr>
          </w:p>
        </w:tc>
        <w:tc>
          <w:tcPr>
            <w:tcW w:w="1275" w:type="dxa"/>
            <w:tcBorders>
              <w:top w:val="nil"/>
              <w:left w:val="nil"/>
              <w:bottom w:val="nil"/>
              <w:right w:val="nil"/>
            </w:tcBorders>
          </w:tcPr>
          <w:p w14:paraId="703296A1"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Rare:</w:t>
            </w:r>
          </w:p>
        </w:tc>
        <w:tc>
          <w:tcPr>
            <w:tcW w:w="5670" w:type="dxa"/>
            <w:tcBorders>
              <w:top w:val="nil"/>
              <w:left w:val="nil"/>
              <w:bottom w:val="nil"/>
            </w:tcBorders>
          </w:tcPr>
          <w:p w14:paraId="5FC98DE8"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Hepatitis, hepatitis B reactivation, jaundice, autoimmune</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hepatitis, liver failure</w:t>
            </w:r>
          </w:p>
        </w:tc>
      </w:tr>
      <w:tr w:rsidR="00AD36B4" w:rsidRPr="00B54968" w14:paraId="16022732" w14:textId="77777777" w:rsidTr="00AD576A">
        <w:tc>
          <w:tcPr>
            <w:tcW w:w="2235" w:type="dxa"/>
            <w:vMerge/>
            <w:tcBorders>
              <w:right w:val="nil"/>
            </w:tcBorders>
          </w:tcPr>
          <w:p w14:paraId="42C00B35" w14:textId="77777777" w:rsidR="00AD36B4" w:rsidRPr="00B54968" w:rsidRDefault="00AD36B4" w:rsidP="003E2009">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5C7AD987"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Very rare:</w:t>
            </w:r>
          </w:p>
        </w:tc>
        <w:tc>
          <w:tcPr>
            <w:tcW w:w="5670" w:type="dxa"/>
            <w:tcBorders>
              <w:top w:val="nil"/>
              <w:left w:val="nil"/>
              <w:bottom w:val="single" w:sz="4" w:space="0" w:color="auto"/>
            </w:tcBorders>
          </w:tcPr>
          <w:p w14:paraId="6FF7F1BF" w14:textId="52836AE0"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 xml:space="preserve">Hepatocellular damage, </w:t>
            </w:r>
            <w:proofErr w:type="spellStart"/>
            <w:r w:rsidRPr="00B54968">
              <w:rPr>
                <w:rFonts w:ascii="Times New Roman" w:hAnsi="Times New Roman" w:cs="Times New Roman"/>
                <w:bCs/>
                <w:sz w:val="20"/>
                <w:szCs w:val="20"/>
              </w:rPr>
              <w:t>Hepatosplenic</w:t>
            </w:r>
            <w:proofErr w:type="spellEnd"/>
            <w:r w:rsidRPr="00B54968">
              <w:rPr>
                <w:rFonts w:ascii="Times New Roman" w:hAnsi="Times New Roman" w:cs="Times New Roman"/>
                <w:bCs/>
                <w:sz w:val="20"/>
                <w:szCs w:val="20"/>
              </w:rPr>
              <w:t xml:space="preserve"> T-cell lymphoma</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(primarily in adolescents and young adults with Crohn’s</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disease and ulcerative colitis)</w:t>
            </w:r>
          </w:p>
        </w:tc>
      </w:tr>
      <w:tr w:rsidR="00AD36B4" w:rsidRPr="00B54968" w14:paraId="2480F46E" w14:textId="77777777" w:rsidTr="00AD576A">
        <w:tc>
          <w:tcPr>
            <w:tcW w:w="2235" w:type="dxa"/>
            <w:vMerge w:val="restart"/>
            <w:tcBorders>
              <w:right w:val="nil"/>
            </w:tcBorders>
          </w:tcPr>
          <w:p w14:paraId="6BA677E9"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Cardiovascular system</w:t>
            </w:r>
          </w:p>
        </w:tc>
        <w:tc>
          <w:tcPr>
            <w:tcW w:w="1275" w:type="dxa"/>
            <w:tcBorders>
              <w:left w:val="nil"/>
              <w:bottom w:val="nil"/>
              <w:right w:val="nil"/>
            </w:tcBorders>
          </w:tcPr>
          <w:p w14:paraId="6C53222C" w14:textId="77777777" w:rsidR="00AD36B4" w:rsidRPr="00B54968" w:rsidRDefault="00AD36B4" w:rsidP="003E2009">
            <w:pPr>
              <w:rPr>
                <w:rFonts w:ascii="Times New Roman" w:hAnsi="Times New Roman" w:cs="Times New Roman"/>
                <w:sz w:val="20"/>
                <w:szCs w:val="20"/>
                <w:lang w:eastAsia="ko-KR"/>
              </w:rPr>
            </w:pPr>
          </w:p>
        </w:tc>
        <w:tc>
          <w:tcPr>
            <w:tcW w:w="5670" w:type="dxa"/>
            <w:tcBorders>
              <w:left w:val="nil"/>
              <w:bottom w:val="nil"/>
            </w:tcBorders>
          </w:tcPr>
          <w:p w14:paraId="4C52EDFE" w14:textId="77777777" w:rsidR="00AD36B4" w:rsidRPr="00B54968" w:rsidRDefault="00AD36B4" w:rsidP="003E2009">
            <w:pPr>
              <w:rPr>
                <w:rFonts w:ascii="Times New Roman" w:hAnsi="Times New Roman" w:cs="Times New Roman"/>
                <w:sz w:val="20"/>
                <w:szCs w:val="20"/>
                <w:lang w:eastAsia="ko-KR"/>
              </w:rPr>
            </w:pPr>
          </w:p>
        </w:tc>
      </w:tr>
      <w:tr w:rsidR="00AD36B4" w:rsidRPr="00B54968" w14:paraId="6CE3B70D" w14:textId="77777777" w:rsidTr="00AD576A">
        <w:tc>
          <w:tcPr>
            <w:tcW w:w="2235" w:type="dxa"/>
            <w:vMerge/>
            <w:tcBorders>
              <w:right w:val="nil"/>
            </w:tcBorders>
          </w:tcPr>
          <w:p w14:paraId="022DDA8F" w14:textId="77777777" w:rsidR="00AD36B4" w:rsidRPr="00B54968" w:rsidRDefault="00AD36B4" w:rsidP="003E2009">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34265513"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Very rare</w:t>
            </w:r>
            <w:r w:rsidRPr="00B54968">
              <w:rPr>
                <w:rFonts w:ascii="Times New Roman" w:hAnsi="Times New Roman" w:cs="Times New Roman"/>
                <w:bCs/>
                <w:sz w:val="20"/>
                <w:szCs w:val="20"/>
                <w:lang w:eastAsia="ko-KR"/>
              </w:rPr>
              <w:t>:</w:t>
            </w:r>
          </w:p>
        </w:tc>
        <w:tc>
          <w:tcPr>
            <w:tcW w:w="5670" w:type="dxa"/>
            <w:tcBorders>
              <w:top w:val="nil"/>
              <w:left w:val="nil"/>
              <w:bottom w:val="single" w:sz="4" w:space="0" w:color="auto"/>
            </w:tcBorders>
          </w:tcPr>
          <w:p w14:paraId="3D9A8B6D"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Pericardial effusion</w:t>
            </w:r>
          </w:p>
        </w:tc>
      </w:tr>
      <w:tr w:rsidR="00AD36B4" w:rsidRPr="00B54968" w14:paraId="0FEED156" w14:textId="77777777" w:rsidTr="00AD576A">
        <w:tc>
          <w:tcPr>
            <w:tcW w:w="2235" w:type="dxa"/>
            <w:vMerge w:val="restart"/>
            <w:tcBorders>
              <w:right w:val="nil"/>
            </w:tcBorders>
          </w:tcPr>
          <w:p w14:paraId="76F2617C"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Body as a whole-general</w:t>
            </w:r>
          </w:p>
        </w:tc>
        <w:tc>
          <w:tcPr>
            <w:tcW w:w="1275" w:type="dxa"/>
            <w:tcBorders>
              <w:left w:val="nil"/>
              <w:bottom w:val="nil"/>
              <w:right w:val="nil"/>
            </w:tcBorders>
          </w:tcPr>
          <w:p w14:paraId="4B92C450" w14:textId="77777777" w:rsidR="00AD36B4" w:rsidRPr="00B54968" w:rsidRDefault="00AD36B4" w:rsidP="003E2009">
            <w:pPr>
              <w:rPr>
                <w:rFonts w:ascii="Times New Roman" w:hAnsi="Times New Roman" w:cs="Times New Roman"/>
                <w:sz w:val="20"/>
                <w:szCs w:val="20"/>
                <w:lang w:eastAsia="ko-KR"/>
              </w:rPr>
            </w:pPr>
          </w:p>
        </w:tc>
        <w:tc>
          <w:tcPr>
            <w:tcW w:w="5670" w:type="dxa"/>
            <w:tcBorders>
              <w:left w:val="nil"/>
              <w:bottom w:val="nil"/>
            </w:tcBorders>
          </w:tcPr>
          <w:p w14:paraId="58820B0D" w14:textId="77777777" w:rsidR="00AD36B4" w:rsidRPr="00B54968" w:rsidRDefault="00AD36B4" w:rsidP="003E2009">
            <w:pPr>
              <w:rPr>
                <w:rFonts w:ascii="Times New Roman" w:hAnsi="Times New Roman" w:cs="Times New Roman"/>
                <w:sz w:val="20"/>
                <w:szCs w:val="20"/>
                <w:lang w:eastAsia="ko-KR"/>
              </w:rPr>
            </w:pPr>
          </w:p>
        </w:tc>
      </w:tr>
      <w:tr w:rsidR="00AD36B4" w:rsidRPr="00B54968" w14:paraId="6E9036AC" w14:textId="77777777" w:rsidTr="00AD576A">
        <w:tc>
          <w:tcPr>
            <w:tcW w:w="2235" w:type="dxa"/>
            <w:vMerge/>
            <w:tcBorders>
              <w:right w:val="nil"/>
            </w:tcBorders>
          </w:tcPr>
          <w:p w14:paraId="57E17B06" w14:textId="77777777" w:rsidR="00AD36B4" w:rsidRPr="00B54968" w:rsidRDefault="00AD36B4" w:rsidP="003E2009">
            <w:pPr>
              <w:rPr>
                <w:rFonts w:ascii="Times New Roman" w:hAnsi="Times New Roman" w:cs="Times New Roman"/>
                <w:sz w:val="20"/>
                <w:szCs w:val="20"/>
                <w:lang w:eastAsia="ko-KR"/>
              </w:rPr>
            </w:pPr>
          </w:p>
        </w:tc>
        <w:tc>
          <w:tcPr>
            <w:tcW w:w="1275" w:type="dxa"/>
            <w:tcBorders>
              <w:top w:val="nil"/>
              <w:left w:val="nil"/>
              <w:bottom w:val="nil"/>
              <w:right w:val="nil"/>
            </w:tcBorders>
          </w:tcPr>
          <w:p w14:paraId="00398A86"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Common:</w:t>
            </w:r>
          </w:p>
        </w:tc>
        <w:tc>
          <w:tcPr>
            <w:tcW w:w="5670" w:type="dxa"/>
            <w:tcBorders>
              <w:top w:val="nil"/>
              <w:left w:val="nil"/>
              <w:bottom w:val="nil"/>
            </w:tcBorders>
          </w:tcPr>
          <w:p w14:paraId="3A83D507" w14:textId="26E4CF20"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Infusion-related reactions</w:t>
            </w:r>
          </w:p>
        </w:tc>
      </w:tr>
      <w:tr w:rsidR="00AD36B4" w:rsidRPr="00B54968" w14:paraId="5F7DF93D" w14:textId="77777777" w:rsidTr="00AD576A">
        <w:tc>
          <w:tcPr>
            <w:tcW w:w="2235" w:type="dxa"/>
            <w:vMerge/>
            <w:tcBorders>
              <w:right w:val="nil"/>
            </w:tcBorders>
          </w:tcPr>
          <w:p w14:paraId="2D8E5780" w14:textId="77777777" w:rsidR="00AD36B4" w:rsidRPr="00B54968" w:rsidRDefault="00AD36B4" w:rsidP="003E2009">
            <w:pPr>
              <w:rPr>
                <w:rFonts w:ascii="Times New Roman" w:hAnsi="Times New Roman" w:cs="Times New Roman"/>
                <w:sz w:val="20"/>
                <w:szCs w:val="20"/>
                <w:lang w:eastAsia="ko-KR"/>
              </w:rPr>
            </w:pPr>
          </w:p>
        </w:tc>
        <w:tc>
          <w:tcPr>
            <w:tcW w:w="1275" w:type="dxa"/>
            <w:tcBorders>
              <w:top w:val="nil"/>
              <w:left w:val="nil"/>
              <w:bottom w:val="nil"/>
              <w:right w:val="nil"/>
            </w:tcBorders>
          </w:tcPr>
          <w:p w14:paraId="48BF9C72"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Uncommon</w:t>
            </w:r>
            <w:r w:rsidRPr="00B54968">
              <w:rPr>
                <w:rFonts w:ascii="Times New Roman" w:hAnsi="Times New Roman" w:cs="Times New Roman"/>
                <w:bCs/>
                <w:sz w:val="20"/>
                <w:szCs w:val="20"/>
                <w:lang w:eastAsia="ko-KR"/>
              </w:rPr>
              <w:t>:</w:t>
            </w:r>
          </w:p>
        </w:tc>
        <w:tc>
          <w:tcPr>
            <w:tcW w:w="5670" w:type="dxa"/>
            <w:tcBorders>
              <w:top w:val="nil"/>
              <w:left w:val="nil"/>
              <w:bottom w:val="nil"/>
            </w:tcBorders>
          </w:tcPr>
          <w:p w14:paraId="79E19E2C" w14:textId="7F60080D"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Anaphylactic reactions</w:t>
            </w:r>
          </w:p>
        </w:tc>
      </w:tr>
      <w:tr w:rsidR="00AD36B4" w:rsidRPr="00B54968" w14:paraId="734AEDCE" w14:textId="77777777" w:rsidTr="00AD576A">
        <w:tc>
          <w:tcPr>
            <w:tcW w:w="2235" w:type="dxa"/>
            <w:vMerge/>
            <w:tcBorders>
              <w:right w:val="nil"/>
            </w:tcBorders>
          </w:tcPr>
          <w:p w14:paraId="7ECF91B7" w14:textId="77777777" w:rsidR="00AD36B4" w:rsidRPr="00B54968" w:rsidRDefault="00AD36B4" w:rsidP="003E2009">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7C1623A5"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top w:val="nil"/>
              <w:left w:val="nil"/>
              <w:bottom w:val="single" w:sz="4" w:space="0" w:color="auto"/>
            </w:tcBorders>
          </w:tcPr>
          <w:p w14:paraId="78626F0B"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Anaphylactic shock, cutaneous and systemic vasculitis</w:t>
            </w:r>
          </w:p>
        </w:tc>
      </w:tr>
      <w:tr w:rsidR="00AD36B4" w:rsidRPr="00B54968" w14:paraId="09A58B17" w14:textId="77777777" w:rsidTr="00AD576A">
        <w:tc>
          <w:tcPr>
            <w:tcW w:w="2235" w:type="dxa"/>
            <w:vMerge w:val="restart"/>
            <w:tcBorders>
              <w:right w:val="nil"/>
            </w:tcBorders>
          </w:tcPr>
          <w:p w14:paraId="1C91FEEF" w14:textId="77777777" w:rsidR="00A02600" w:rsidRPr="00B54968" w:rsidRDefault="00AD36B4" w:rsidP="003E2009">
            <w:pPr>
              <w:rPr>
                <w:rFonts w:ascii="Times New Roman" w:hAnsi="Times New Roman" w:cs="Times New Roman"/>
                <w:bCs/>
                <w:sz w:val="20"/>
                <w:szCs w:val="20"/>
              </w:rPr>
            </w:pPr>
            <w:r w:rsidRPr="00B54968">
              <w:rPr>
                <w:rFonts w:ascii="Times New Roman" w:hAnsi="Times New Roman" w:cs="Times New Roman"/>
                <w:bCs/>
                <w:sz w:val="20"/>
                <w:szCs w:val="20"/>
              </w:rPr>
              <w:t>Resistance mechanism</w:t>
            </w:r>
          </w:p>
          <w:p w14:paraId="27EDDD7C" w14:textId="77777777" w:rsidR="00AD36B4" w:rsidRPr="00B54968" w:rsidRDefault="00AD36B4" w:rsidP="003E2009">
            <w:pPr>
              <w:rPr>
                <w:rFonts w:ascii="Times New Roman" w:hAnsi="Times New Roman" w:cs="Times New Roman"/>
                <w:sz w:val="20"/>
                <w:szCs w:val="20"/>
                <w:lang w:eastAsia="ko-KR"/>
              </w:rPr>
            </w:pPr>
          </w:p>
        </w:tc>
        <w:tc>
          <w:tcPr>
            <w:tcW w:w="1275" w:type="dxa"/>
            <w:tcBorders>
              <w:left w:val="nil"/>
              <w:bottom w:val="nil"/>
              <w:right w:val="nil"/>
            </w:tcBorders>
          </w:tcPr>
          <w:p w14:paraId="6B569C89" w14:textId="77777777" w:rsidR="00AD36B4" w:rsidRPr="00B54968" w:rsidRDefault="00AD36B4" w:rsidP="003E2009">
            <w:pPr>
              <w:rPr>
                <w:rFonts w:ascii="Times New Roman" w:hAnsi="Times New Roman" w:cs="Times New Roman"/>
                <w:sz w:val="20"/>
                <w:szCs w:val="20"/>
                <w:lang w:eastAsia="ko-KR"/>
              </w:rPr>
            </w:pPr>
          </w:p>
        </w:tc>
        <w:tc>
          <w:tcPr>
            <w:tcW w:w="5670" w:type="dxa"/>
            <w:tcBorders>
              <w:left w:val="nil"/>
              <w:bottom w:val="nil"/>
            </w:tcBorders>
          </w:tcPr>
          <w:p w14:paraId="74C02056" w14:textId="77777777" w:rsidR="00AD36B4" w:rsidRPr="00B54968" w:rsidRDefault="00AD36B4" w:rsidP="003E2009">
            <w:pPr>
              <w:rPr>
                <w:rFonts w:ascii="Times New Roman" w:hAnsi="Times New Roman" w:cs="Times New Roman"/>
                <w:sz w:val="20"/>
                <w:szCs w:val="20"/>
                <w:lang w:eastAsia="ko-KR"/>
              </w:rPr>
            </w:pPr>
          </w:p>
        </w:tc>
      </w:tr>
      <w:tr w:rsidR="00AD36B4" w:rsidRPr="00B54968" w14:paraId="16F99C9C" w14:textId="77777777" w:rsidTr="00AD576A">
        <w:tc>
          <w:tcPr>
            <w:tcW w:w="2235" w:type="dxa"/>
            <w:vMerge/>
            <w:tcBorders>
              <w:right w:val="nil"/>
            </w:tcBorders>
          </w:tcPr>
          <w:p w14:paraId="2ED5B0F9" w14:textId="77777777" w:rsidR="00AD36B4" w:rsidRPr="00B54968" w:rsidRDefault="00AD36B4" w:rsidP="003E2009">
            <w:pPr>
              <w:rPr>
                <w:rFonts w:ascii="Times New Roman" w:hAnsi="Times New Roman" w:cs="Times New Roman"/>
                <w:sz w:val="20"/>
                <w:szCs w:val="20"/>
                <w:lang w:eastAsia="ko-KR"/>
              </w:rPr>
            </w:pPr>
          </w:p>
        </w:tc>
        <w:tc>
          <w:tcPr>
            <w:tcW w:w="1275" w:type="dxa"/>
            <w:tcBorders>
              <w:top w:val="nil"/>
              <w:left w:val="nil"/>
              <w:bottom w:val="nil"/>
              <w:right w:val="nil"/>
            </w:tcBorders>
          </w:tcPr>
          <w:p w14:paraId="56F2FC19"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top w:val="nil"/>
              <w:left w:val="nil"/>
              <w:bottom w:val="nil"/>
            </w:tcBorders>
          </w:tcPr>
          <w:p w14:paraId="42BE3B66" w14:textId="78806712"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opportunistic infections such as atypical mycobacteria,</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 xml:space="preserve">tuberculosis, pneumocystis </w:t>
            </w:r>
            <w:proofErr w:type="spellStart"/>
            <w:r w:rsidRPr="00B54968">
              <w:rPr>
                <w:rFonts w:ascii="Times New Roman" w:hAnsi="Times New Roman" w:cs="Times New Roman"/>
                <w:bCs/>
                <w:sz w:val="20"/>
                <w:szCs w:val="20"/>
              </w:rPr>
              <w:t>carinii</w:t>
            </w:r>
            <w:proofErr w:type="spellEnd"/>
            <w:r w:rsidRPr="00B54968">
              <w:rPr>
                <w:rFonts w:ascii="Times New Roman" w:hAnsi="Times New Roman" w:cs="Times New Roman"/>
                <w:bCs/>
                <w:sz w:val="20"/>
                <w:szCs w:val="20"/>
              </w:rPr>
              <w:t xml:space="preserve"> pneumonia (PCP),</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 xml:space="preserve">histoplasmosis, </w:t>
            </w:r>
            <w:proofErr w:type="spellStart"/>
            <w:r w:rsidRPr="00B54968">
              <w:rPr>
                <w:rFonts w:ascii="Times New Roman" w:hAnsi="Times New Roman" w:cs="Times New Roman"/>
                <w:bCs/>
                <w:sz w:val="20"/>
                <w:szCs w:val="20"/>
              </w:rPr>
              <w:t>coccidioidomycosis</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cryptococcosis</w:t>
            </w:r>
            <w:proofErr w:type="spellEnd"/>
            <w:r w:rsidRPr="00B54968">
              <w:rPr>
                <w:rFonts w:ascii="Times New Roman" w:hAnsi="Times New Roman" w:cs="Times New Roman"/>
                <w:bCs/>
                <w:sz w:val="20"/>
                <w:szCs w:val="20"/>
              </w:rPr>
              <w:t>,</w:t>
            </w:r>
            <w:r w:rsidRPr="00B54968">
              <w:rPr>
                <w:rFonts w:ascii="Times New Roman" w:hAnsi="Times New Roman" w:cs="Times New Roman"/>
                <w:bCs/>
                <w:sz w:val="20"/>
                <w:szCs w:val="20"/>
                <w:lang w:eastAsia="ko-KR"/>
              </w:rPr>
              <w:t xml:space="preserve"> </w:t>
            </w:r>
            <w:proofErr w:type="spellStart"/>
            <w:r w:rsidRPr="00B54968">
              <w:rPr>
                <w:rFonts w:ascii="Times New Roman" w:hAnsi="Times New Roman" w:cs="Times New Roman"/>
                <w:bCs/>
                <w:sz w:val="20"/>
                <w:szCs w:val="20"/>
              </w:rPr>
              <w:t>aspergillosis</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listeriosis</w:t>
            </w:r>
            <w:proofErr w:type="spellEnd"/>
            <w:r w:rsidRPr="00B54968">
              <w:rPr>
                <w:rFonts w:ascii="Times New Roman" w:hAnsi="Times New Roman" w:cs="Times New Roman"/>
                <w:bCs/>
                <w:sz w:val="20"/>
                <w:szCs w:val="20"/>
              </w:rPr>
              <w:t>, and candidiasis</w:t>
            </w:r>
            <w:r w:rsidR="00522FE8">
              <w:rPr>
                <w:rFonts w:ascii="Times New Roman" w:hAnsi="Times New Roman" w:cs="Times New Roman"/>
                <w:bCs/>
                <w:sz w:val="20"/>
                <w:szCs w:val="20"/>
              </w:rPr>
              <w:t xml:space="preserve">, *and vaccine </w:t>
            </w:r>
            <w:proofErr w:type="spellStart"/>
            <w:r w:rsidR="00522FE8">
              <w:rPr>
                <w:rFonts w:ascii="Times New Roman" w:hAnsi="Times New Roman" w:cs="Times New Roman"/>
                <w:bCs/>
                <w:sz w:val="20"/>
                <w:szCs w:val="20"/>
              </w:rPr>
              <w:t>breathrough</w:t>
            </w:r>
            <w:proofErr w:type="spellEnd"/>
            <w:r w:rsidR="00522FE8">
              <w:rPr>
                <w:rFonts w:ascii="Times New Roman" w:hAnsi="Times New Roman" w:cs="Times New Roman"/>
                <w:bCs/>
                <w:sz w:val="20"/>
                <w:szCs w:val="20"/>
              </w:rPr>
              <w:t xml:space="preserve"> infection (after in utero) exposure to infliximab)</w:t>
            </w:r>
          </w:p>
        </w:tc>
      </w:tr>
      <w:tr w:rsidR="00AD36B4" w:rsidRPr="00B54968" w14:paraId="26BFE6ED" w14:textId="77777777" w:rsidTr="00AD576A">
        <w:tc>
          <w:tcPr>
            <w:tcW w:w="2235" w:type="dxa"/>
            <w:vMerge/>
            <w:tcBorders>
              <w:right w:val="nil"/>
            </w:tcBorders>
          </w:tcPr>
          <w:p w14:paraId="00F9DD60" w14:textId="77777777" w:rsidR="00AD36B4" w:rsidRPr="00B54968" w:rsidRDefault="00AD36B4" w:rsidP="003E2009">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0CAE510B"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Very rare:</w:t>
            </w:r>
          </w:p>
        </w:tc>
        <w:tc>
          <w:tcPr>
            <w:tcW w:w="5670" w:type="dxa"/>
            <w:tcBorders>
              <w:top w:val="nil"/>
              <w:left w:val="nil"/>
              <w:bottom w:val="single" w:sz="4" w:space="0" w:color="auto"/>
            </w:tcBorders>
          </w:tcPr>
          <w:p w14:paraId="1667CA13"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Salmonellosis</w:t>
            </w:r>
          </w:p>
        </w:tc>
      </w:tr>
      <w:tr w:rsidR="00AD36B4" w:rsidRPr="00B54968" w14:paraId="7D0B3DB5" w14:textId="77777777" w:rsidTr="00AD576A">
        <w:tc>
          <w:tcPr>
            <w:tcW w:w="2235" w:type="dxa"/>
            <w:tcBorders>
              <w:right w:val="nil"/>
            </w:tcBorders>
          </w:tcPr>
          <w:p w14:paraId="2B0ACDC8"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Respiratory</w:t>
            </w:r>
          </w:p>
        </w:tc>
        <w:tc>
          <w:tcPr>
            <w:tcW w:w="1275" w:type="dxa"/>
            <w:tcBorders>
              <w:left w:val="nil"/>
              <w:bottom w:val="single" w:sz="4" w:space="0" w:color="auto"/>
              <w:right w:val="nil"/>
            </w:tcBorders>
          </w:tcPr>
          <w:p w14:paraId="58852BE9"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left w:val="nil"/>
              <w:bottom w:val="single" w:sz="4" w:space="0" w:color="auto"/>
            </w:tcBorders>
          </w:tcPr>
          <w:p w14:paraId="07F27F53" w14:textId="77777777" w:rsidR="00AD36B4" w:rsidRPr="00B54968" w:rsidRDefault="00AD36B4"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Interstitial pneumonitis/fibrosis</w:t>
            </w:r>
          </w:p>
        </w:tc>
      </w:tr>
      <w:tr w:rsidR="00AD576A" w:rsidRPr="00B54968" w14:paraId="26E18A23" w14:textId="77777777" w:rsidTr="00AD576A">
        <w:tc>
          <w:tcPr>
            <w:tcW w:w="2235" w:type="dxa"/>
            <w:vMerge w:val="restart"/>
            <w:tcBorders>
              <w:right w:val="nil"/>
            </w:tcBorders>
          </w:tcPr>
          <w:p w14:paraId="334B4F8D" w14:textId="77777777" w:rsidR="00AD576A" w:rsidRPr="00B54968" w:rsidRDefault="00AD576A" w:rsidP="003E2009">
            <w:pPr>
              <w:rPr>
                <w:rFonts w:ascii="Times New Roman" w:hAnsi="Times New Roman" w:cs="Times New Roman"/>
                <w:bCs/>
                <w:sz w:val="20"/>
                <w:szCs w:val="20"/>
                <w:lang w:eastAsia="ko-KR"/>
              </w:rPr>
            </w:pPr>
            <w:r w:rsidRPr="00B54968">
              <w:rPr>
                <w:rFonts w:ascii="Times New Roman" w:hAnsi="Times New Roman" w:cs="Times New Roman"/>
                <w:bCs/>
                <w:sz w:val="20"/>
                <w:szCs w:val="20"/>
              </w:rPr>
              <w:t xml:space="preserve">Neoplasm benign </w:t>
            </w:r>
          </w:p>
          <w:p w14:paraId="6B37A55E" w14:textId="77777777" w:rsidR="00AD576A" w:rsidRPr="00B54968" w:rsidRDefault="00AD576A"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and malignant</w:t>
            </w:r>
          </w:p>
        </w:tc>
        <w:tc>
          <w:tcPr>
            <w:tcW w:w="1275" w:type="dxa"/>
            <w:tcBorders>
              <w:left w:val="nil"/>
              <w:bottom w:val="nil"/>
              <w:right w:val="nil"/>
            </w:tcBorders>
          </w:tcPr>
          <w:p w14:paraId="50CFFC7C" w14:textId="77777777" w:rsidR="00AD576A" w:rsidRPr="00B54968" w:rsidRDefault="00AD576A"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left w:val="nil"/>
              <w:bottom w:val="nil"/>
            </w:tcBorders>
          </w:tcPr>
          <w:p w14:paraId="56160C45" w14:textId="77777777" w:rsidR="00AD576A" w:rsidRPr="00B54968" w:rsidRDefault="00AD576A" w:rsidP="003E2009">
            <w:pPr>
              <w:rPr>
                <w:rFonts w:ascii="Times New Roman" w:hAnsi="Times New Roman" w:cs="Times New Roman"/>
                <w:bCs/>
                <w:sz w:val="20"/>
                <w:szCs w:val="20"/>
                <w:lang w:eastAsia="ko-KR"/>
              </w:rPr>
            </w:pPr>
            <w:r w:rsidRPr="00B54968">
              <w:rPr>
                <w:rFonts w:ascii="Times New Roman" w:hAnsi="Times New Roman" w:cs="Times New Roman"/>
                <w:bCs/>
                <w:sz w:val="20"/>
                <w:szCs w:val="20"/>
              </w:rPr>
              <w:t xml:space="preserve">Melanoma </w:t>
            </w:r>
          </w:p>
        </w:tc>
      </w:tr>
      <w:tr w:rsidR="00AD576A" w:rsidRPr="00B54968" w14:paraId="04DE8544" w14:textId="77777777" w:rsidTr="00AD576A">
        <w:tc>
          <w:tcPr>
            <w:tcW w:w="2235" w:type="dxa"/>
            <w:vMerge/>
            <w:tcBorders>
              <w:right w:val="nil"/>
            </w:tcBorders>
          </w:tcPr>
          <w:p w14:paraId="357D16BD" w14:textId="77777777" w:rsidR="00AD576A" w:rsidRPr="00B54968" w:rsidRDefault="00AD576A" w:rsidP="003E2009">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1ADE2914" w14:textId="77777777" w:rsidR="00AD576A" w:rsidRPr="00B54968" w:rsidRDefault="00AD576A" w:rsidP="003E2009">
            <w:pPr>
              <w:rPr>
                <w:rFonts w:ascii="Times New Roman" w:hAnsi="Times New Roman" w:cs="Times New Roman"/>
                <w:bCs/>
                <w:sz w:val="20"/>
                <w:szCs w:val="20"/>
              </w:rPr>
            </w:pPr>
            <w:r w:rsidRPr="00B54968">
              <w:rPr>
                <w:rFonts w:ascii="Times New Roman" w:hAnsi="Times New Roman" w:cs="Times New Roman"/>
                <w:bCs/>
                <w:sz w:val="20"/>
                <w:szCs w:val="20"/>
              </w:rPr>
              <w:t>Very rare</w:t>
            </w:r>
            <w:r w:rsidR="000445C0" w:rsidRPr="00B54968">
              <w:rPr>
                <w:rFonts w:ascii="Times New Roman" w:hAnsi="Times New Roman" w:cs="Times New Roman"/>
                <w:bCs/>
                <w:sz w:val="20"/>
                <w:szCs w:val="20"/>
              </w:rPr>
              <w:t>:</w:t>
            </w:r>
          </w:p>
          <w:p w14:paraId="57DAA4A1" w14:textId="77777777" w:rsidR="000445C0" w:rsidRPr="00B54968" w:rsidRDefault="000445C0" w:rsidP="003E2009">
            <w:pPr>
              <w:rPr>
                <w:rFonts w:ascii="Times New Roman" w:hAnsi="Times New Roman" w:cs="Times New Roman"/>
                <w:sz w:val="20"/>
                <w:szCs w:val="20"/>
                <w:lang w:eastAsia="ko-KR"/>
              </w:rPr>
            </w:pPr>
            <w:r w:rsidRPr="00B54968">
              <w:rPr>
                <w:rFonts w:ascii="Times New Roman" w:hAnsi="Times New Roman" w:cs="Times New Roman"/>
                <w:bCs/>
                <w:sz w:val="20"/>
                <w:szCs w:val="20"/>
              </w:rPr>
              <w:t>Frequency unknown:</w:t>
            </w:r>
          </w:p>
        </w:tc>
        <w:tc>
          <w:tcPr>
            <w:tcW w:w="5670" w:type="dxa"/>
            <w:tcBorders>
              <w:top w:val="nil"/>
              <w:left w:val="nil"/>
              <w:bottom w:val="single" w:sz="4" w:space="0" w:color="auto"/>
            </w:tcBorders>
          </w:tcPr>
          <w:p w14:paraId="79EA8F73" w14:textId="77777777" w:rsidR="00AD576A" w:rsidRPr="00B54968" w:rsidRDefault="00AD576A" w:rsidP="003E2009">
            <w:pPr>
              <w:rPr>
                <w:rFonts w:ascii="Times New Roman" w:hAnsi="Times New Roman" w:cs="Times New Roman"/>
                <w:bCs/>
                <w:sz w:val="20"/>
                <w:szCs w:val="20"/>
              </w:rPr>
            </w:pPr>
            <w:r w:rsidRPr="00B54968">
              <w:rPr>
                <w:rFonts w:ascii="Times New Roman" w:hAnsi="Times New Roman" w:cs="Times New Roman"/>
                <w:bCs/>
                <w:sz w:val="20"/>
                <w:szCs w:val="20"/>
              </w:rPr>
              <w:t>Merkel cell carcinoma</w:t>
            </w:r>
          </w:p>
          <w:p w14:paraId="368E1C40" w14:textId="77777777" w:rsidR="000445C0" w:rsidRPr="00B54968" w:rsidRDefault="000445C0" w:rsidP="003E200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Basal cell carcinoma, squamous cell carcinoma</w:t>
            </w:r>
          </w:p>
        </w:tc>
      </w:tr>
    </w:tbl>
    <w:p w14:paraId="67AB3627" w14:textId="06CF28DF" w:rsidR="00AD36B4" w:rsidRDefault="00522FE8" w:rsidP="003E2009">
      <w:pPr>
        <w:spacing w:after="0"/>
        <w:rPr>
          <w:rFonts w:ascii="Times New Roman" w:hAnsi="Times New Roman" w:cs="Times New Roman"/>
          <w:b/>
          <w:sz w:val="20"/>
          <w:szCs w:val="20"/>
          <w:lang w:eastAsia="ko-KR"/>
        </w:rPr>
      </w:pPr>
      <w:r>
        <w:rPr>
          <w:rFonts w:ascii="Times New Roman" w:hAnsi="Times New Roman" w:cs="Times New Roman"/>
          <w:b/>
          <w:sz w:val="20"/>
          <w:szCs w:val="20"/>
          <w:lang w:eastAsia="ko-KR"/>
        </w:rPr>
        <w:t xml:space="preserve">* </w:t>
      </w:r>
      <w:r w:rsidRPr="00F35599">
        <w:rPr>
          <w:rFonts w:ascii="Times New Roman" w:hAnsi="Times New Roman" w:cs="Times New Roman"/>
          <w:sz w:val="20"/>
          <w:szCs w:val="20"/>
          <w:lang w:eastAsia="ko-KR"/>
        </w:rPr>
        <w:t>including bovine tuberculosis [disseminated BCG infection (see PECAUTIONS – Live Vaccines/Therapeutic Infectious Agents)].</w:t>
      </w:r>
    </w:p>
    <w:p w14:paraId="2B696EDF" w14:textId="77777777" w:rsidR="00522FE8" w:rsidRPr="00B54968" w:rsidRDefault="00522FE8" w:rsidP="003E2009">
      <w:pPr>
        <w:spacing w:after="0"/>
        <w:rPr>
          <w:rFonts w:ascii="Times New Roman" w:hAnsi="Times New Roman" w:cs="Times New Roman"/>
          <w:b/>
          <w:sz w:val="20"/>
          <w:szCs w:val="20"/>
          <w:lang w:eastAsia="ko-KR"/>
        </w:rPr>
      </w:pPr>
    </w:p>
    <w:p w14:paraId="2E4955B4"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reports: In </w:t>
      </w:r>
      <w:proofErr w:type="spellStart"/>
      <w:r w:rsidRPr="00B54968">
        <w:rPr>
          <w:rFonts w:ascii="Times New Roman" w:hAnsi="Times New Roman" w:cs="Times New Roman"/>
          <w:color w:val="auto"/>
          <w:sz w:val="22"/>
          <w:szCs w:val="22"/>
        </w:rPr>
        <w:t>postmarketing</w:t>
      </w:r>
      <w:proofErr w:type="spellEnd"/>
      <w:r w:rsidRPr="00B54968">
        <w:rPr>
          <w:rFonts w:ascii="Times New Roman" w:hAnsi="Times New Roman" w:cs="Times New Roman"/>
          <w:color w:val="auto"/>
          <w:sz w:val="22"/>
          <w:szCs w:val="22"/>
        </w:rPr>
        <w:t xml:space="preserve"> spontaneous reporting, Stevens-Johnson syndrome, toxic epidermal necrolysis, erythema </w:t>
      </w:r>
      <w:proofErr w:type="spellStart"/>
      <w:r w:rsidRPr="00B54968">
        <w:rPr>
          <w:rFonts w:ascii="Times New Roman" w:hAnsi="Times New Roman" w:cs="Times New Roman"/>
          <w:color w:val="auto"/>
          <w:sz w:val="22"/>
          <w:szCs w:val="22"/>
        </w:rPr>
        <w:t>multiforme</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malignancy, and </w:t>
      </w:r>
      <w:proofErr w:type="spellStart"/>
      <w:r w:rsidRPr="00B54968">
        <w:rPr>
          <w:rFonts w:ascii="Times New Roman" w:hAnsi="Times New Roman" w:cs="Times New Roman"/>
          <w:color w:val="auto"/>
          <w:sz w:val="22"/>
          <w:szCs w:val="22"/>
        </w:rPr>
        <w:t>leukaemia</w:t>
      </w:r>
      <w:proofErr w:type="spellEnd"/>
      <w:r w:rsidRPr="00B54968">
        <w:rPr>
          <w:rFonts w:ascii="Times New Roman" w:hAnsi="Times New Roman" w:cs="Times New Roman"/>
          <w:color w:val="auto"/>
          <w:sz w:val="22"/>
          <w:szCs w:val="22"/>
        </w:rPr>
        <w:t xml:space="preserve"> have been reported </w:t>
      </w:r>
      <w:r w:rsidRPr="00B54968">
        <w:rPr>
          <w:rFonts w:ascii="Times New Roman" w:hAnsi="Times New Roman" w:cs="Times New Roman"/>
          <w:color w:val="auto"/>
          <w:sz w:val="22"/>
          <w:szCs w:val="22"/>
        </w:rPr>
        <w:lastRenderedPageBreak/>
        <w:t xml:space="preserve">rarely or very rarely. Exceedingly rare cases of transient visual loss and myocardial </w:t>
      </w:r>
      <w:proofErr w:type="spellStart"/>
      <w:r w:rsidRPr="00B54968">
        <w:rPr>
          <w:rFonts w:ascii="Times New Roman" w:hAnsi="Times New Roman" w:cs="Times New Roman"/>
          <w:color w:val="auto"/>
          <w:sz w:val="22"/>
          <w:szCs w:val="22"/>
        </w:rPr>
        <w:t>ischaemia</w:t>
      </w:r>
      <w:proofErr w:type="spellEnd"/>
      <w:r w:rsidRPr="00B54968">
        <w:rPr>
          <w:rFonts w:ascii="Times New Roman" w:hAnsi="Times New Roman" w:cs="Times New Roman"/>
          <w:color w:val="auto"/>
          <w:sz w:val="22"/>
          <w:szCs w:val="22"/>
        </w:rPr>
        <w:t xml:space="preserve">/myocardial infarction occurring during or within 2 hours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infusion have also been reported. In addition, interstitial lung disease (including pulmonary fibrosis/interstitial pneumonitis) has been rarely observed, which in some cases may be very rarely rapidly aggressive. </w:t>
      </w:r>
    </w:p>
    <w:p w14:paraId="4E69A492" w14:textId="77777777" w:rsidR="00A02600" w:rsidRPr="00B54968" w:rsidRDefault="00A02600" w:rsidP="003E2009">
      <w:pPr>
        <w:pStyle w:val="Default"/>
        <w:rPr>
          <w:rFonts w:ascii="Times New Roman" w:hAnsi="Times New Roman" w:cs="Times New Roman"/>
          <w:color w:val="auto"/>
          <w:sz w:val="22"/>
          <w:szCs w:val="22"/>
        </w:rPr>
      </w:pPr>
    </w:p>
    <w:p w14:paraId="45DB4822" w14:textId="77777777" w:rsidR="00A02600" w:rsidRPr="003E2009" w:rsidRDefault="00592F3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Psoriasis: New-Onset and Exacerbations </w:t>
      </w:r>
    </w:p>
    <w:p w14:paraId="086B2B0E"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new onset psoriasis, including pustular psoriasis and palmoplantar psoriasis, have been reported with the use of TNF-blockers, including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Cases of exacerbation of pre-existing psoriasis have also been reported with the use of TNF-blockers. Many of these patients were taking concomitant </w:t>
      </w:r>
      <w:proofErr w:type="spellStart"/>
      <w:r w:rsidRPr="00B54968">
        <w:rPr>
          <w:rFonts w:ascii="Times New Roman" w:hAnsi="Times New Roman" w:cs="Times New Roman"/>
          <w:color w:val="auto"/>
          <w:sz w:val="22"/>
          <w:szCs w:val="22"/>
        </w:rPr>
        <w:t>immunosuppressants</w:t>
      </w:r>
      <w:proofErr w:type="spellEnd"/>
      <w:r w:rsidRPr="00B54968">
        <w:rPr>
          <w:rFonts w:ascii="Times New Roman" w:hAnsi="Times New Roman" w:cs="Times New Roman"/>
          <w:color w:val="auto"/>
          <w:sz w:val="22"/>
          <w:szCs w:val="22"/>
        </w:rPr>
        <w:t xml:space="preserve"> (e.g., MTX, corticosteroids). Some of these patients required </w:t>
      </w:r>
      <w:proofErr w:type="spellStart"/>
      <w:r w:rsidRPr="00B54968">
        <w:rPr>
          <w:rFonts w:ascii="Times New Roman" w:hAnsi="Times New Roman" w:cs="Times New Roman"/>
          <w:color w:val="auto"/>
          <w:sz w:val="22"/>
          <w:szCs w:val="22"/>
        </w:rPr>
        <w:t>hospitalisation</w:t>
      </w:r>
      <w:proofErr w:type="spellEnd"/>
      <w:r w:rsidRPr="00B54968">
        <w:rPr>
          <w:rFonts w:ascii="Times New Roman" w:hAnsi="Times New Roman" w:cs="Times New Roman"/>
          <w:color w:val="auto"/>
          <w:sz w:val="22"/>
          <w:szCs w:val="22"/>
        </w:rPr>
        <w:t xml:space="preserve">. Most patients had improvement of their psoriasis following discontinuation of their TNF-blocker. Some patients have had recurrences of the psoriasis when they were re-challenged with a different TNF-blocker. Discontinuation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be considered for severe cases and those that do not improve or that worsen despite topical treatments. </w:t>
      </w:r>
    </w:p>
    <w:p w14:paraId="125F5E61" w14:textId="77777777" w:rsidR="008669BA" w:rsidRPr="00B54968" w:rsidRDefault="008669BA" w:rsidP="003E2009">
      <w:pPr>
        <w:pStyle w:val="Default"/>
        <w:rPr>
          <w:rFonts w:ascii="Times New Roman" w:hAnsi="Times New Roman" w:cs="Times New Roman"/>
          <w:color w:val="auto"/>
          <w:sz w:val="22"/>
          <w:szCs w:val="22"/>
          <w:u w:val="single"/>
        </w:rPr>
      </w:pPr>
    </w:p>
    <w:p w14:paraId="6FB45BBE" w14:textId="77777777" w:rsidR="00A02600" w:rsidRPr="003E2009" w:rsidRDefault="00592F3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Infusion-related reactions </w:t>
      </w:r>
    </w:p>
    <w:p w14:paraId="7530842D"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 infusion related reaction was defined in clinical studies, as any adverse event occurring during an infusion or within 1 hour after an infusion. In phase 3 clinical studies, 18% of infliximab-treated patients compared with 5% of placebo-treated patients experienced an infusion-related reaction. Among all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infusions, approximately 3% of infusions were accompanied by nonspecific symptoms such as fever or chills, &lt;1% were accompanied by pruritus or </w:t>
      </w:r>
      <w:proofErr w:type="spellStart"/>
      <w:r w:rsidRPr="00B54968">
        <w:rPr>
          <w:rFonts w:ascii="Times New Roman" w:hAnsi="Times New Roman" w:cs="Times New Roman"/>
          <w:color w:val="auto"/>
          <w:sz w:val="22"/>
          <w:szCs w:val="22"/>
        </w:rPr>
        <w:t>urticaria</w:t>
      </w:r>
      <w:proofErr w:type="spellEnd"/>
      <w:r w:rsidRPr="00B54968">
        <w:rPr>
          <w:rFonts w:ascii="Times New Roman" w:hAnsi="Times New Roman" w:cs="Times New Roman"/>
          <w:color w:val="auto"/>
          <w:sz w:val="22"/>
          <w:szCs w:val="22"/>
        </w:rPr>
        <w:t xml:space="preserve">, 1% were accompanied by cardiopulmonary reactions (primary chest pain, hypotension, hypertension or </w:t>
      </w:r>
      <w:proofErr w:type="spellStart"/>
      <w:r w:rsidRPr="00B54968">
        <w:rPr>
          <w:rFonts w:ascii="Times New Roman" w:hAnsi="Times New Roman" w:cs="Times New Roman"/>
          <w:color w:val="auto"/>
          <w:sz w:val="22"/>
          <w:szCs w:val="22"/>
        </w:rPr>
        <w:t>dyspnoea</w:t>
      </w:r>
      <w:proofErr w:type="spellEnd"/>
      <w:r w:rsidRPr="00B54968">
        <w:rPr>
          <w:rFonts w:ascii="Times New Roman" w:hAnsi="Times New Roman" w:cs="Times New Roman"/>
          <w:color w:val="auto"/>
          <w:sz w:val="22"/>
          <w:szCs w:val="22"/>
        </w:rPr>
        <w:t>) and 0.1% were accompanied by combined symptoms of pruritus/</w:t>
      </w:r>
      <w:proofErr w:type="spellStart"/>
      <w:r w:rsidRPr="00B54968">
        <w:rPr>
          <w:rFonts w:ascii="Times New Roman" w:hAnsi="Times New Roman" w:cs="Times New Roman"/>
          <w:color w:val="auto"/>
          <w:sz w:val="22"/>
          <w:szCs w:val="22"/>
        </w:rPr>
        <w:t>urticaria</w:t>
      </w:r>
      <w:proofErr w:type="spellEnd"/>
      <w:r w:rsidRPr="00B54968">
        <w:rPr>
          <w:rFonts w:ascii="Times New Roman" w:hAnsi="Times New Roman" w:cs="Times New Roman"/>
          <w:color w:val="auto"/>
          <w:sz w:val="22"/>
          <w:szCs w:val="22"/>
        </w:rPr>
        <w:t xml:space="preserve"> and cardiopulmonary reactions. Discontinuation of treatment resulted in 2% of patients and all patients recovered with or without medical therapy. Infusion-related effects in patients were more likely to occur during the first (8%) and less likely, on subsequent infusions (second, 7%; third, 6%; and fourth, 5%; etc.). Patients who became positive for antibodies to infliximab were more likely (approximately 2-3 fold) to have an infusion reaction than were those who were negative. Use of concomitant immunosuppressant agents appeared to reduce the frequency of infusion-related reactions.</w:t>
      </w:r>
    </w:p>
    <w:p w14:paraId="614BB1CD"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p>
    <w:p w14:paraId="2FF0DE44"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Of infliximab-treated patients who had an infusion reaction during the induction period, 27% experienced an infusion reaction during the maintenance period. Of patients who did not have an infusion reaction during the induction period, 9% experienced an infusion reaction during the maintenance period. </w:t>
      </w:r>
    </w:p>
    <w:p w14:paraId="468B938B" w14:textId="77777777" w:rsidR="00A02600" w:rsidRPr="00B54968" w:rsidRDefault="00A02600" w:rsidP="003E2009">
      <w:pPr>
        <w:pStyle w:val="Default"/>
        <w:rPr>
          <w:rFonts w:ascii="Times New Roman" w:hAnsi="Times New Roman" w:cs="Times New Roman"/>
          <w:color w:val="auto"/>
          <w:sz w:val="22"/>
          <w:szCs w:val="22"/>
        </w:rPr>
      </w:pPr>
    </w:p>
    <w:p w14:paraId="73A82837"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ASPIRE study, 66% of the patients (686 out of 1040) received at least one shortened infusion of 90 minutes or less and 44% of the patients (454 out of 1040) received at least one shortened infusion of 60 minutes or less. Of the infliximab-treated patients who received at least one shortened infusion, infusion-related reactions occurred in 15% of the patients and serious infusion reactions occurred in 0.4% of the patients. </w:t>
      </w:r>
    </w:p>
    <w:p w14:paraId="151BB554" w14:textId="77777777" w:rsidR="00767DA5" w:rsidRPr="00B54968" w:rsidRDefault="00767DA5" w:rsidP="003E2009">
      <w:pPr>
        <w:pStyle w:val="Default"/>
        <w:rPr>
          <w:rFonts w:ascii="Times New Roman" w:hAnsi="Times New Roman" w:cs="Times New Roman"/>
          <w:color w:val="auto"/>
          <w:sz w:val="22"/>
          <w:szCs w:val="22"/>
        </w:rPr>
      </w:pPr>
    </w:p>
    <w:p w14:paraId="630807FE" w14:textId="3F978485" w:rsidR="00A02600" w:rsidRPr="00B54968" w:rsidRDefault="00767DA5"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 a post hoc analysis of ten Phase 3 clinical studies, in patients receiving infliximab with</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or without concomitant immunomodulator therapy, 13-19% of patients receiving infliximab</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at a low infusion rate (= 6 mg/kg/2-hr) experienced an infusion-related reaction, compared to</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15-16% of patients receiving </w:t>
      </w:r>
      <w:r w:rsidR="001A691C">
        <w:rPr>
          <w:rFonts w:ascii="Times New Roman" w:hAnsi="Times New Roman" w:cs="Times New Roman"/>
          <w:color w:val="auto"/>
          <w:sz w:val="22"/>
          <w:szCs w:val="22"/>
        </w:rPr>
        <w:t>REMICADE</w:t>
      </w:r>
      <w:r w:rsidR="005662F7" w:rsidRPr="00B54968">
        <w:rPr>
          <w:rFonts w:ascii="Times New Roman" w:hAnsi="Times New Roman" w:cs="Times New Roman"/>
          <w:iCs/>
          <w:sz w:val="22"/>
          <w:szCs w:val="22"/>
          <w:vertAlign w:val="superscript"/>
        </w:rPr>
        <w:t>®</w:t>
      </w:r>
      <w:r w:rsidRPr="00B54968">
        <w:rPr>
          <w:rFonts w:ascii="Times New Roman" w:hAnsi="Times New Roman" w:cs="Times New Roman"/>
          <w:color w:val="auto"/>
          <w:sz w:val="22"/>
          <w:szCs w:val="22"/>
        </w:rPr>
        <w:t xml:space="preserve"> at a high infusion rate (&gt; 6 mg/kg/2-hr). Of patients</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receiving infliximab at a low infusion rate, 0.4%-0.7% experienced a serious infusion related</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reaction, compared to 0.4%-0.5% of patients receiving infliximab at a high infusion rate.</w:t>
      </w:r>
    </w:p>
    <w:p w14:paraId="4627891E" w14:textId="77777777" w:rsidR="00767DA5" w:rsidRPr="00B54968" w:rsidRDefault="00767DA5" w:rsidP="003E2009">
      <w:pPr>
        <w:pStyle w:val="Default"/>
        <w:rPr>
          <w:rFonts w:ascii="Times New Roman" w:hAnsi="Times New Roman" w:cs="Times New Roman"/>
          <w:color w:val="auto"/>
          <w:sz w:val="22"/>
          <w:szCs w:val="22"/>
        </w:rPr>
      </w:pPr>
    </w:p>
    <w:p w14:paraId="75C428AD"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surveillance has noted exceedingly rare cases of transient visual loss and myocardial ischemia/myocardial infarction occurring during or within 2 hours of </w:t>
      </w:r>
      <w:r w:rsidR="009803C9" w:rsidRPr="00B54968">
        <w:rPr>
          <w:rFonts w:ascii="Times New Roman" w:hAnsi="Times New Roman" w:cs="Times New Roman"/>
          <w:color w:val="auto"/>
          <w:sz w:val="22"/>
          <w:szCs w:val="22"/>
          <w:lang w:eastAsia="ko-KR"/>
        </w:rPr>
        <w:t>infliximab</w:t>
      </w:r>
      <w:r w:rsidR="009803C9"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infusion. </w:t>
      </w:r>
    </w:p>
    <w:p w14:paraId="01595A74" w14:textId="77777777" w:rsidR="00A02600" w:rsidRPr="00B54968" w:rsidRDefault="00A02600" w:rsidP="003E2009">
      <w:pPr>
        <w:pStyle w:val="Default"/>
        <w:rPr>
          <w:rFonts w:ascii="Times New Roman" w:hAnsi="Times New Roman" w:cs="Times New Roman"/>
          <w:color w:val="auto"/>
          <w:sz w:val="22"/>
          <w:szCs w:val="22"/>
        </w:rPr>
      </w:pPr>
    </w:p>
    <w:p w14:paraId="5BEFD34E" w14:textId="77777777" w:rsidR="00A02600" w:rsidRPr="003E2009" w:rsidRDefault="00592F33" w:rsidP="003E2009">
      <w:pPr>
        <w:pStyle w:val="Default"/>
        <w:rPr>
          <w:rFonts w:ascii="Times New Roman" w:hAnsi="Times New Roman" w:cs="Times New Roman"/>
          <w:color w:val="auto"/>
          <w:sz w:val="22"/>
          <w:szCs w:val="22"/>
        </w:rPr>
      </w:pPr>
      <w:r w:rsidRPr="003E2009">
        <w:rPr>
          <w:rFonts w:ascii="Times New Roman" w:hAnsi="Times New Roman" w:cs="Times New Roman"/>
          <w:color w:val="auto"/>
          <w:sz w:val="22"/>
          <w:szCs w:val="22"/>
        </w:rPr>
        <w:t xml:space="preserve">Infusion reactions following re-administration of </w:t>
      </w:r>
      <w:r w:rsidR="00816ADC" w:rsidRPr="003E2009">
        <w:rPr>
          <w:rFonts w:ascii="Times New Roman" w:hAnsi="Times New Roman" w:cs="Times New Roman"/>
          <w:color w:val="auto"/>
          <w:sz w:val="22"/>
          <w:szCs w:val="22"/>
        </w:rPr>
        <w:t>infliximab</w:t>
      </w:r>
      <w:r w:rsidRPr="003E2009">
        <w:rPr>
          <w:rFonts w:ascii="Times New Roman" w:hAnsi="Times New Roman" w:cs="Times New Roman"/>
          <w:color w:val="auto"/>
          <w:sz w:val="22"/>
          <w:szCs w:val="22"/>
        </w:rPr>
        <w:t xml:space="preserve"> </w:t>
      </w:r>
    </w:p>
    <w:p w14:paraId="1A8A35E6"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rheumatoid arthritis, Crohn’s disease, and psoriasis clinical trials, re-administration of </w:t>
      </w:r>
      <w:r w:rsidR="00012A49"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after a period of no treatment resulted in a higher incidence of infusion reactions relative to regular maintenance treatment. </w:t>
      </w:r>
    </w:p>
    <w:p w14:paraId="43428056" w14:textId="77777777" w:rsidR="00A02600" w:rsidRPr="00B54968" w:rsidRDefault="00A02600" w:rsidP="003E2009">
      <w:pPr>
        <w:pStyle w:val="Default"/>
        <w:rPr>
          <w:rFonts w:ascii="Times New Roman" w:hAnsi="Times New Roman" w:cs="Times New Roman"/>
          <w:color w:val="auto"/>
          <w:sz w:val="22"/>
          <w:szCs w:val="22"/>
        </w:rPr>
      </w:pPr>
    </w:p>
    <w:p w14:paraId="69423D87"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a clinical trial of patients with moderate to severe psoriasis designed to assess the efficacy and safety of long-term maintenance therapy versus re-treatment with an induction cycle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4% (8/219) of patients in the intermittent therapy arm experienced serious infusion reactions versus &lt;1% (1/222) in the maintenance therapy arm. Patients enrolled in this trial did not receive any concomitant immunosuppressant therapy. Intermittent therapy in this trial was defined as the re-administration of an induction cycle (maximum of four infusions at 0, 2, 6, and 14 weeks)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upon disease flare after a period of no treatment. In this study, the majority of serious infusion reactions occurred during the second infusion at Week 2. Symptoms included, but were not limited to, </w:t>
      </w:r>
      <w:proofErr w:type="spellStart"/>
      <w:r w:rsidRPr="00B54968">
        <w:rPr>
          <w:rFonts w:ascii="Times New Roman" w:hAnsi="Times New Roman" w:cs="Times New Roman"/>
          <w:color w:val="auto"/>
          <w:sz w:val="22"/>
          <w:szCs w:val="22"/>
        </w:rPr>
        <w:t>dyspnoea</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urticaria</w:t>
      </w:r>
      <w:proofErr w:type="spellEnd"/>
      <w:r w:rsidRPr="00B54968">
        <w:rPr>
          <w:rFonts w:ascii="Times New Roman" w:hAnsi="Times New Roman" w:cs="Times New Roman"/>
          <w:color w:val="auto"/>
          <w:sz w:val="22"/>
          <w:szCs w:val="22"/>
        </w:rPr>
        <w:t xml:space="preserve">, facial </w:t>
      </w:r>
      <w:proofErr w:type="spellStart"/>
      <w:r w:rsidRPr="00B54968">
        <w:rPr>
          <w:rFonts w:ascii="Times New Roman" w:hAnsi="Times New Roman" w:cs="Times New Roman"/>
          <w:color w:val="auto"/>
          <w:sz w:val="22"/>
          <w:szCs w:val="22"/>
        </w:rPr>
        <w:t>oedema</w:t>
      </w:r>
      <w:proofErr w:type="spellEnd"/>
      <w:r w:rsidRPr="00B54968">
        <w:rPr>
          <w:rFonts w:ascii="Times New Roman" w:hAnsi="Times New Roman" w:cs="Times New Roman"/>
          <w:color w:val="auto"/>
          <w:sz w:val="22"/>
          <w:szCs w:val="22"/>
        </w:rPr>
        <w:t xml:space="preserve">, and hypotension. In all cases,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was discontinued and/or other treatment instituted with complete resolution of signs and symptoms. </w:t>
      </w:r>
    </w:p>
    <w:p w14:paraId="2D3F5F87" w14:textId="77777777" w:rsidR="00A02600" w:rsidRPr="00B54968" w:rsidRDefault="00A02600" w:rsidP="003E2009">
      <w:pPr>
        <w:pStyle w:val="Default"/>
        <w:rPr>
          <w:rFonts w:ascii="Times New Roman" w:hAnsi="Times New Roman" w:cs="Times New Roman"/>
          <w:color w:val="auto"/>
          <w:sz w:val="22"/>
          <w:szCs w:val="22"/>
        </w:rPr>
      </w:pPr>
    </w:p>
    <w:p w14:paraId="73407EB4" w14:textId="77777777" w:rsidR="00A02600" w:rsidRPr="00051AEE" w:rsidRDefault="00592F33" w:rsidP="003E2009">
      <w:pPr>
        <w:pStyle w:val="Default"/>
        <w:rPr>
          <w:rFonts w:ascii="Times New Roman" w:hAnsi="Times New Roman" w:cs="Times New Roman"/>
          <w:color w:val="auto"/>
          <w:sz w:val="22"/>
          <w:szCs w:val="22"/>
        </w:rPr>
      </w:pPr>
      <w:r w:rsidRPr="00051AEE">
        <w:rPr>
          <w:rFonts w:ascii="Times New Roman" w:hAnsi="Times New Roman" w:cs="Times New Roman"/>
          <w:color w:val="auto"/>
          <w:sz w:val="22"/>
          <w:szCs w:val="22"/>
        </w:rPr>
        <w:t xml:space="preserve">Delayed Hypersensitivity </w:t>
      </w:r>
    </w:p>
    <w:p w14:paraId="0C49B63B"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a clinical study of 41 patients retreated with a liquid formulation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which is no longer in use, following a 2 to 4 year period without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10 patients experienced undesirable effects manifesting 3 to 12 days following infusion. In 6 of these patients, the effects were considered serious. Signs and symptoms included myalgia and/or arthralgia with fever and/or rash. Some patients also experienced pruritus, facial, hand or lip </w:t>
      </w:r>
      <w:proofErr w:type="spellStart"/>
      <w:r w:rsidRPr="00B54968">
        <w:rPr>
          <w:rFonts w:ascii="Times New Roman" w:hAnsi="Times New Roman" w:cs="Times New Roman"/>
          <w:color w:val="auto"/>
          <w:sz w:val="22"/>
          <w:szCs w:val="22"/>
        </w:rPr>
        <w:t>oedema</w:t>
      </w:r>
      <w:proofErr w:type="spellEnd"/>
      <w:r w:rsidRPr="00B54968">
        <w:rPr>
          <w:rFonts w:ascii="Times New Roman" w:hAnsi="Times New Roman" w:cs="Times New Roman"/>
          <w:color w:val="auto"/>
          <w:sz w:val="22"/>
          <w:szCs w:val="22"/>
        </w:rPr>
        <w:t xml:space="preserve">, dysphagia, </w:t>
      </w:r>
      <w:proofErr w:type="spellStart"/>
      <w:r w:rsidRPr="00B54968">
        <w:rPr>
          <w:rFonts w:ascii="Times New Roman" w:hAnsi="Times New Roman" w:cs="Times New Roman"/>
          <w:color w:val="auto"/>
          <w:sz w:val="22"/>
          <w:szCs w:val="22"/>
        </w:rPr>
        <w:t>urticaria</w:t>
      </w:r>
      <w:proofErr w:type="spellEnd"/>
      <w:r w:rsidRPr="00B54968">
        <w:rPr>
          <w:rFonts w:ascii="Times New Roman" w:hAnsi="Times New Roman" w:cs="Times New Roman"/>
          <w:color w:val="auto"/>
          <w:sz w:val="22"/>
          <w:szCs w:val="22"/>
        </w:rPr>
        <w:t xml:space="preserve">, sore throat and/or headache. The clinical data are not adequate to determine if occurrence of these reactions is due to the different formulations administered to these patients in this study. Patients’ signs and symptoms improved substantially or resolved with treatment in all cases. There are insufficient data on the incidence of these events after drug-free intervals of 1 to 2 years. These events have been observed only infrequently in clinical studies and post-marketing surveillance with retreatment intervals up to 1 year. In the Phase III psoriasis study, 1% (4/366) of patients experienced symptoms of arthralgia, myalgia, fever and rash early in the treatment course following infliximab infusions. </w:t>
      </w:r>
    </w:p>
    <w:p w14:paraId="02E0AC36" w14:textId="77777777" w:rsidR="00A02600" w:rsidRPr="00B54968" w:rsidRDefault="00A02600" w:rsidP="003E2009">
      <w:pPr>
        <w:pStyle w:val="Default"/>
        <w:rPr>
          <w:rFonts w:ascii="Times New Roman" w:hAnsi="Times New Roman" w:cs="Times New Roman"/>
          <w:color w:val="auto"/>
          <w:sz w:val="22"/>
          <w:szCs w:val="22"/>
        </w:rPr>
      </w:pPr>
    </w:p>
    <w:p w14:paraId="003B3EA1" w14:textId="77777777" w:rsidR="00A02600" w:rsidRPr="00051AEE" w:rsidRDefault="00592F33" w:rsidP="003E2009">
      <w:pPr>
        <w:pStyle w:val="Default"/>
        <w:rPr>
          <w:rFonts w:ascii="Times New Roman" w:hAnsi="Times New Roman" w:cs="Times New Roman"/>
          <w:color w:val="auto"/>
          <w:sz w:val="22"/>
          <w:szCs w:val="22"/>
        </w:rPr>
      </w:pPr>
      <w:r w:rsidRPr="00051AEE">
        <w:rPr>
          <w:rFonts w:ascii="Times New Roman" w:hAnsi="Times New Roman" w:cs="Times New Roman"/>
          <w:color w:val="auto"/>
          <w:sz w:val="22"/>
          <w:szCs w:val="22"/>
        </w:rPr>
        <w:t xml:space="preserve">Immunogenicity </w:t>
      </w:r>
    </w:p>
    <w:p w14:paraId="7BDE6401" w14:textId="31330CB4"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who developed antibodies to infliximab were more likely to develop infusion-related reactions. In clinical studies using single and multiple infliximab doses ranging from 1 to 20 mg/kg, antibodies to infliximab were detected in approximately 24% of patients with any immunosuppressant therapy, and in approximately 37% of patients without immunosuppressant therapy. In rheumatoid arthritis patients who received the recommended repeated treatment dose regimens with methotrexate, approximately 8% of patients developed antibodies to infliximab. In psoriatic arthritis patients who received 5 mg/kg with and without methotrexate, antibodies occurred overall in 15% of patients (antibodies occurred in 4% of patients receiving methotrexate and in 26% of patients not receiving methotrexate at baseline). Of Crohn’s disease patients who received maintenance treatment, approximately 6-13% developed antibodies to infliximab. The antibody incidence was 2-3 fold higher for patients treated episodically. Due to methodological shortcomings, a negative assay did not exclude the presence of antibodies to infliximab. Some patients who developed high </w:t>
      </w:r>
      <w:proofErr w:type="spellStart"/>
      <w:r w:rsidRPr="00B54968">
        <w:rPr>
          <w:rFonts w:ascii="Times New Roman" w:hAnsi="Times New Roman" w:cs="Times New Roman"/>
          <w:color w:val="auto"/>
          <w:sz w:val="22"/>
          <w:szCs w:val="22"/>
        </w:rPr>
        <w:t>titres</w:t>
      </w:r>
      <w:proofErr w:type="spellEnd"/>
      <w:r w:rsidRPr="00B54968">
        <w:rPr>
          <w:rFonts w:ascii="Times New Roman" w:hAnsi="Times New Roman" w:cs="Times New Roman"/>
          <w:color w:val="auto"/>
          <w:sz w:val="22"/>
          <w:szCs w:val="22"/>
        </w:rPr>
        <w:t xml:space="preserve"> of antibodies to infliximab had evidence of reduced efficacy. In a Phase III psoriasis study in which patients were treated with infliximab induction followed by every 8-week maintenance infusions without concomitant immunosuppressive therapy, antibodies were detected in approximately 20% of patients. </w:t>
      </w:r>
    </w:p>
    <w:p w14:paraId="1DAF7013" w14:textId="77777777" w:rsidR="00A02600" w:rsidRPr="00B54968" w:rsidRDefault="00A02600" w:rsidP="003E2009">
      <w:pPr>
        <w:pStyle w:val="Default"/>
        <w:rPr>
          <w:rFonts w:ascii="Times New Roman" w:hAnsi="Times New Roman" w:cs="Times New Roman"/>
          <w:color w:val="auto"/>
          <w:sz w:val="22"/>
          <w:szCs w:val="22"/>
        </w:rPr>
      </w:pPr>
    </w:p>
    <w:p w14:paraId="6E6B39FA" w14:textId="77D77465" w:rsidR="00A02600" w:rsidRPr="00B54968" w:rsidRDefault="00DE74B6" w:rsidP="003E2009">
      <w:pPr>
        <w:pStyle w:val="Default"/>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t xml:space="preserve">Comparability of </w:t>
      </w:r>
      <w:r w:rsidR="00281C64">
        <w:rPr>
          <w:rFonts w:ascii="Times New Roman" w:hAnsi="Times New Roman" w:cs="Times New Roman"/>
          <w:b/>
          <w:i/>
          <w:color w:val="auto"/>
          <w:sz w:val="22"/>
          <w:szCs w:val="22"/>
        </w:rPr>
        <w:t>INFLECTRA</w:t>
      </w:r>
      <w:r w:rsidR="009F0B6A" w:rsidRPr="00B54968">
        <w:rPr>
          <w:rFonts w:ascii="Times New Roman" w:hAnsi="Times New Roman" w:cs="Times New Roman"/>
          <w:color w:val="auto"/>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229C2B0D" w14:textId="28D5738B" w:rsidR="00A02600" w:rsidRPr="00B54968" w:rsidRDefault="00A02600" w:rsidP="003E2009">
      <w:pPr>
        <w:pStyle w:val="Default"/>
        <w:rPr>
          <w:rFonts w:ascii="Times New Roman" w:hAnsi="Times New Roman" w:cs="Times New Roman"/>
          <w:color w:val="auto"/>
          <w:sz w:val="22"/>
          <w:szCs w:val="22"/>
        </w:rPr>
      </w:pPr>
    </w:p>
    <w:p w14:paraId="33127EA5" w14:textId="6DA8DAAB" w:rsidR="007B7F0F" w:rsidRPr="00B54968" w:rsidRDefault="00DE74B6"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comparing </w:t>
      </w:r>
      <w:r w:rsidR="00281C64">
        <w:rPr>
          <w:rFonts w:ascii="Times New Roman" w:hAnsi="Times New Roman" w:cs="Times New Roman"/>
          <w:color w:val="auto"/>
          <w:sz w:val="22"/>
          <w:szCs w:val="22"/>
        </w:rPr>
        <w:t>INFLECTRA</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with </w:t>
      </w:r>
      <w:r w:rsidR="001A691C">
        <w:rPr>
          <w:rFonts w:ascii="Times New Roman" w:hAnsi="Times New Roman" w:cs="Times New Roman"/>
          <w:color w:val="auto"/>
          <w:sz w:val="22"/>
          <w:szCs w:val="22"/>
        </w:rPr>
        <w:t>REMICADE</w:t>
      </w:r>
      <w:r w:rsidR="00556463" w:rsidRPr="00B54968">
        <w:rPr>
          <w:rFonts w:ascii="Times New Roman" w:hAnsi="Times New Roman" w:cs="Times New Roman"/>
          <w:iCs/>
          <w:color w:val="auto"/>
          <w:sz w:val="22"/>
          <w:szCs w:val="22"/>
          <w:vertAlign w:val="superscript"/>
        </w:rPr>
        <w:t>®</w:t>
      </w:r>
      <w:r w:rsidR="001B3490" w:rsidRPr="00B54968">
        <w:rPr>
          <w:rFonts w:ascii="Times New Roman" w:hAnsi="Times New Roman" w:cs="Times New Roman"/>
          <w:color w:val="auto"/>
          <w:sz w:val="22"/>
          <w:szCs w:val="22"/>
        </w:rPr>
        <w:t>, the number of patients who developed antibodies to infliximab was similar in both treatment groups at each study point.</w:t>
      </w:r>
      <w:r w:rsidR="00237706" w:rsidRPr="00B54968">
        <w:rPr>
          <w:rFonts w:ascii="Times New Roman" w:hAnsi="Times New Roman" w:cs="Times New Roman"/>
          <w:color w:val="auto"/>
          <w:sz w:val="22"/>
          <w:szCs w:val="22"/>
        </w:rPr>
        <w:t xml:space="preserve"> The immunogenicity following single way transition from </w:t>
      </w:r>
      <w:r w:rsidR="001A691C">
        <w:rPr>
          <w:rFonts w:ascii="Times New Roman" w:hAnsi="Times New Roman" w:cs="Times New Roman"/>
          <w:color w:val="auto"/>
          <w:sz w:val="22"/>
          <w:szCs w:val="22"/>
        </w:rPr>
        <w:t>REMICADE</w:t>
      </w:r>
      <w:r w:rsidR="00972E0D" w:rsidRPr="00B54968">
        <w:rPr>
          <w:rFonts w:ascii="Times New Roman" w:hAnsi="Times New Roman" w:cs="Times New Roman"/>
          <w:color w:val="auto"/>
          <w:sz w:val="22"/>
          <w:szCs w:val="22"/>
          <w:vertAlign w:val="superscript"/>
        </w:rPr>
        <w:t>®</w:t>
      </w:r>
      <w:r w:rsidR="00237706" w:rsidRPr="00B54968">
        <w:rPr>
          <w:rFonts w:ascii="Times New Roman" w:hAnsi="Times New Roman" w:cs="Times New Roman"/>
          <w:color w:val="auto"/>
          <w:sz w:val="22"/>
          <w:szCs w:val="22"/>
        </w:rPr>
        <w:t xml:space="preserve"> </w:t>
      </w:r>
      <w:r w:rsidR="001E30C4" w:rsidRPr="00B54968">
        <w:rPr>
          <w:rFonts w:ascii="Times New Roman" w:hAnsi="Times New Roman" w:cs="Times New Roman"/>
          <w:color w:val="auto"/>
          <w:sz w:val="22"/>
          <w:szCs w:val="22"/>
        </w:rPr>
        <w:t>to</w:t>
      </w:r>
      <w:r w:rsidR="00237706" w:rsidRPr="00B54968">
        <w:rPr>
          <w:rFonts w:ascii="Times New Roman" w:hAnsi="Times New Roman" w:cs="Times New Roman"/>
          <w:color w:val="auto"/>
          <w:sz w:val="22"/>
          <w:szCs w:val="22"/>
        </w:rPr>
        <w:t xml:space="preserve"> </w:t>
      </w:r>
      <w:r w:rsidR="00281C64">
        <w:rPr>
          <w:rFonts w:ascii="Times New Roman" w:hAnsi="Times New Roman" w:cs="Times New Roman"/>
          <w:color w:val="auto"/>
          <w:sz w:val="22"/>
          <w:szCs w:val="22"/>
        </w:rPr>
        <w:t>INFLECTRA</w:t>
      </w:r>
      <w:r w:rsidR="00972E0D" w:rsidRPr="00B54968">
        <w:rPr>
          <w:rFonts w:ascii="Times New Roman" w:hAnsi="Times New Roman" w:cs="Times New Roman"/>
          <w:color w:val="auto"/>
          <w:sz w:val="22"/>
          <w:szCs w:val="22"/>
          <w:vertAlign w:val="superscript"/>
        </w:rPr>
        <w:t>®</w:t>
      </w:r>
      <w:r w:rsidR="00237706" w:rsidRPr="00B54968">
        <w:rPr>
          <w:rFonts w:ascii="Times New Roman" w:hAnsi="Times New Roman" w:cs="Times New Roman"/>
          <w:color w:val="auto"/>
          <w:sz w:val="22"/>
          <w:szCs w:val="22"/>
        </w:rPr>
        <w:t xml:space="preserve"> in patients with rheumatoid arthritis and ankylosing spondylitis was similar and consistent throughout </w:t>
      </w:r>
      <w:r w:rsidR="004322D1" w:rsidRPr="00B54968">
        <w:rPr>
          <w:rFonts w:ascii="Times New Roman" w:hAnsi="Times New Roman" w:cs="Times New Roman"/>
          <w:color w:val="auto"/>
          <w:sz w:val="22"/>
          <w:szCs w:val="22"/>
        </w:rPr>
        <w:t xml:space="preserve"> </w:t>
      </w:r>
      <w:r w:rsidR="00237706" w:rsidRPr="00B54968">
        <w:rPr>
          <w:rFonts w:ascii="Times New Roman" w:hAnsi="Times New Roman" w:cs="Times New Roman"/>
          <w:color w:val="auto"/>
          <w:sz w:val="22"/>
          <w:szCs w:val="22"/>
        </w:rPr>
        <w:t>extension studies</w:t>
      </w:r>
      <w:r w:rsidR="008A6484">
        <w:rPr>
          <w:rFonts w:ascii="Times New Roman" w:hAnsi="Times New Roman" w:cs="Times New Roman"/>
          <w:color w:val="auto"/>
          <w:sz w:val="22"/>
          <w:szCs w:val="22"/>
        </w:rPr>
        <w:t xml:space="preserve"> (up to 102 week).</w:t>
      </w:r>
      <w:r w:rsidR="007B7F0F" w:rsidRPr="007B7F0F">
        <w:rPr>
          <w:rFonts w:ascii="Times New Roman" w:hAnsi="Times New Roman" w:cs="Times New Roman"/>
          <w:color w:val="auto"/>
          <w:sz w:val="22"/>
          <w:szCs w:val="22"/>
        </w:rPr>
        <w:t xml:space="preserve"> </w:t>
      </w:r>
      <w:r w:rsidR="007B7F0F" w:rsidRPr="000563EA">
        <w:rPr>
          <w:rFonts w:ascii="Times New Roman" w:hAnsi="Times New Roman" w:cs="Times New Roman"/>
          <w:color w:val="auto"/>
          <w:sz w:val="22"/>
          <w:szCs w:val="22"/>
        </w:rPr>
        <w:t xml:space="preserve">In the AS study, anti-drug antibodies (ADA) were detected at Week 102 in 21/90 (23.3%) subjects continuing </w:t>
      </w:r>
      <w:r w:rsidR="00281C64">
        <w:rPr>
          <w:rFonts w:ascii="Times New Roman" w:hAnsi="Times New Roman" w:cs="Times New Roman"/>
          <w:color w:val="auto"/>
          <w:sz w:val="22"/>
          <w:szCs w:val="22"/>
        </w:rPr>
        <w:t>INFLECTRA</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 xml:space="preserve"> and in 23/84 (27.4%) subjects switched to </w:t>
      </w:r>
      <w:r w:rsidR="00281C64">
        <w:rPr>
          <w:rFonts w:ascii="Times New Roman" w:hAnsi="Times New Roman" w:cs="Times New Roman"/>
          <w:color w:val="auto"/>
          <w:sz w:val="22"/>
          <w:szCs w:val="22"/>
        </w:rPr>
        <w:t>INFLECTRA</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 xml:space="preserve">.  In the RA study anti-drug antibodies (ADA) were detected at Week 102 in 64/159 (40.3%) subjects continuing </w:t>
      </w:r>
      <w:r w:rsidR="00281C64">
        <w:rPr>
          <w:rFonts w:ascii="Times New Roman" w:hAnsi="Times New Roman" w:cs="Times New Roman"/>
          <w:color w:val="auto"/>
          <w:sz w:val="22"/>
          <w:szCs w:val="22"/>
        </w:rPr>
        <w:t>INFLECTRA</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 xml:space="preserve"> and in 64/143 (44.8%) subjects switched to </w:t>
      </w:r>
      <w:r w:rsidR="00281C64">
        <w:rPr>
          <w:rFonts w:ascii="Times New Roman" w:hAnsi="Times New Roman" w:cs="Times New Roman"/>
          <w:color w:val="auto"/>
          <w:sz w:val="22"/>
          <w:szCs w:val="22"/>
        </w:rPr>
        <w:t>INFLECTRA</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w:t>
      </w:r>
    </w:p>
    <w:p w14:paraId="483D88DD" w14:textId="77777777" w:rsidR="00A02600" w:rsidRPr="00051AEE" w:rsidRDefault="00592F33" w:rsidP="003E2009">
      <w:pPr>
        <w:pStyle w:val="Default"/>
        <w:rPr>
          <w:rFonts w:ascii="Times New Roman" w:hAnsi="Times New Roman" w:cs="Times New Roman"/>
          <w:color w:val="auto"/>
          <w:sz w:val="22"/>
          <w:szCs w:val="22"/>
        </w:rPr>
      </w:pPr>
      <w:r w:rsidRPr="00051AEE">
        <w:rPr>
          <w:rFonts w:ascii="Times New Roman" w:hAnsi="Times New Roman" w:cs="Times New Roman"/>
          <w:color w:val="auto"/>
          <w:sz w:val="22"/>
          <w:szCs w:val="22"/>
        </w:rPr>
        <w:lastRenderedPageBreak/>
        <w:t xml:space="preserve">Infections </w:t>
      </w:r>
    </w:p>
    <w:p w14:paraId="7BB85A34"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35% of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experienced infections compared with 22% of placebo-treated patients. Serious infections, such as pneumonia, were reported in 5% of both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and placebo-treated patients (see PRECAUTIONS). In a Phase III psoriasis study, after 24 weeks of follow-up, 1% (3/298) of infliximab-treated psoriasis patients compared to 0% (0/76) of placebo-treated patients developed serious infections. </w:t>
      </w:r>
    </w:p>
    <w:p w14:paraId="6A696783" w14:textId="77777777" w:rsidR="00A02600" w:rsidRPr="00B54968" w:rsidRDefault="00A02600" w:rsidP="003E2009">
      <w:pPr>
        <w:pStyle w:val="Default"/>
        <w:rPr>
          <w:rFonts w:ascii="Times New Roman" w:hAnsi="Times New Roman" w:cs="Times New Roman"/>
          <w:color w:val="auto"/>
          <w:sz w:val="22"/>
          <w:szCs w:val="22"/>
        </w:rPr>
      </w:pPr>
    </w:p>
    <w:p w14:paraId="68B4F8B6"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post marketing surveillance, opportunistic infections such as tuberculosis, pneumocystis </w:t>
      </w:r>
      <w:proofErr w:type="spellStart"/>
      <w:r w:rsidRPr="00B54968">
        <w:rPr>
          <w:rFonts w:ascii="Times New Roman" w:hAnsi="Times New Roman" w:cs="Times New Roman"/>
          <w:color w:val="auto"/>
          <w:sz w:val="22"/>
          <w:szCs w:val="22"/>
        </w:rPr>
        <w:t>carinii</w:t>
      </w:r>
      <w:proofErr w:type="spellEnd"/>
      <w:r w:rsidRPr="00B54968">
        <w:rPr>
          <w:rFonts w:ascii="Times New Roman" w:hAnsi="Times New Roman" w:cs="Times New Roman"/>
          <w:color w:val="auto"/>
          <w:sz w:val="22"/>
          <w:szCs w:val="22"/>
        </w:rPr>
        <w:t xml:space="preserve"> pneumonia (PCP), histoplasmosis, </w:t>
      </w:r>
      <w:proofErr w:type="spellStart"/>
      <w:r w:rsidRPr="00B54968">
        <w:rPr>
          <w:rFonts w:ascii="Times New Roman" w:hAnsi="Times New Roman" w:cs="Times New Roman"/>
          <w:color w:val="auto"/>
          <w:sz w:val="22"/>
          <w:szCs w:val="22"/>
        </w:rPr>
        <w:t>listeriosis</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coccidioidomycosis</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aspergillosis</w:t>
      </w:r>
      <w:proofErr w:type="spellEnd"/>
      <w:r w:rsidRPr="00B54968">
        <w:rPr>
          <w:rFonts w:ascii="Times New Roman" w:hAnsi="Times New Roman" w:cs="Times New Roman"/>
          <w:color w:val="auto"/>
          <w:sz w:val="22"/>
          <w:szCs w:val="22"/>
        </w:rPr>
        <w:t xml:space="preserve"> and </w:t>
      </w:r>
      <w:proofErr w:type="spellStart"/>
      <w:r w:rsidRPr="00B54968">
        <w:rPr>
          <w:rFonts w:ascii="Times New Roman" w:hAnsi="Times New Roman" w:cs="Times New Roman"/>
          <w:color w:val="auto"/>
          <w:sz w:val="22"/>
          <w:szCs w:val="22"/>
        </w:rPr>
        <w:t>oesophageal</w:t>
      </w:r>
      <w:proofErr w:type="spellEnd"/>
      <w:r w:rsidRPr="00B54968">
        <w:rPr>
          <w:rFonts w:ascii="Times New Roman" w:hAnsi="Times New Roman" w:cs="Times New Roman"/>
          <w:color w:val="auto"/>
          <w:sz w:val="22"/>
          <w:szCs w:val="22"/>
        </w:rPr>
        <w:t xml:space="preserve"> candidiasis have been reported. </w:t>
      </w:r>
    </w:p>
    <w:p w14:paraId="01B63C15" w14:textId="77777777" w:rsidR="00A02600" w:rsidRPr="00B54968" w:rsidRDefault="00A02600" w:rsidP="003E2009">
      <w:pPr>
        <w:pStyle w:val="Default"/>
        <w:rPr>
          <w:rFonts w:ascii="Times New Roman" w:hAnsi="Times New Roman" w:cs="Times New Roman"/>
          <w:color w:val="auto"/>
          <w:sz w:val="22"/>
          <w:szCs w:val="22"/>
        </w:rPr>
      </w:pPr>
    </w:p>
    <w:p w14:paraId="472B9C90"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w:t>
      </w:r>
      <w:proofErr w:type="spellStart"/>
      <w:r w:rsidRPr="00B54968">
        <w:rPr>
          <w:rFonts w:ascii="Times New Roman" w:hAnsi="Times New Roman" w:cs="Times New Roman"/>
          <w:color w:val="auto"/>
          <w:sz w:val="22"/>
          <w:szCs w:val="22"/>
        </w:rPr>
        <w:t>postmarketing</w:t>
      </w:r>
      <w:proofErr w:type="spellEnd"/>
      <w:r w:rsidRPr="00B54968">
        <w:rPr>
          <w:rFonts w:ascii="Times New Roman" w:hAnsi="Times New Roman" w:cs="Times New Roman"/>
          <w:color w:val="auto"/>
          <w:sz w:val="22"/>
          <w:szCs w:val="22"/>
        </w:rPr>
        <w:t xml:space="preserve"> spontaneous reporting, infections are the most common serious adverse event. Some of the cases have resulted in fatal outcome. Cases of tuberculosis, sometimes fatal, including </w:t>
      </w:r>
      <w:proofErr w:type="spellStart"/>
      <w:r w:rsidRPr="00B54968">
        <w:rPr>
          <w:rFonts w:ascii="Times New Roman" w:hAnsi="Times New Roman" w:cs="Times New Roman"/>
          <w:color w:val="auto"/>
          <w:sz w:val="22"/>
          <w:szCs w:val="22"/>
        </w:rPr>
        <w:t>miliary</w:t>
      </w:r>
      <w:proofErr w:type="spellEnd"/>
      <w:r w:rsidRPr="00B54968">
        <w:rPr>
          <w:rFonts w:ascii="Times New Roman" w:hAnsi="Times New Roman" w:cs="Times New Roman"/>
          <w:color w:val="auto"/>
          <w:sz w:val="22"/>
          <w:szCs w:val="22"/>
        </w:rPr>
        <w:t xml:space="preserve"> tuberculosis and tuberculosis with </w:t>
      </w:r>
      <w:proofErr w:type="spellStart"/>
      <w:r w:rsidRPr="00B54968">
        <w:rPr>
          <w:rFonts w:ascii="Times New Roman" w:hAnsi="Times New Roman" w:cs="Times New Roman"/>
          <w:color w:val="auto"/>
          <w:sz w:val="22"/>
          <w:szCs w:val="22"/>
        </w:rPr>
        <w:t>extrapulmonary</w:t>
      </w:r>
      <w:proofErr w:type="spellEnd"/>
      <w:r w:rsidRPr="00B54968">
        <w:rPr>
          <w:rFonts w:ascii="Times New Roman" w:hAnsi="Times New Roman" w:cs="Times New Roman"/>
          <w:color w:val="auto"/>
          <w:sz w:val="22"/>
          <w:szCs w:val="22"/>
        </w:rPr>
        <w:t xml:space="preserve"> location (see PRECAUTIONS), and protozoal infections have been reported rarely or very rarely. </w:t>
      </w:r>
    </w:p>
    <w:p w14:paraId="6F221D39" w14:textId="77777777" w:rsidR="00A02600" w:rsidRPr="00B54968" w:rsidRDefault="00A02600" w:rsidP="003E2009">
      <w:pPr>
        <w:pStyle w:val="Default"/>
        <w:rPr>
          <w:rFonts w:ascii="Times New Roman" w:hAnsi="Times New Roman" w:cs="Times New Roman"/>
          <w:color w:val="auto"/>
          <w:sz w:val="22"/>
          <w:szCs w:val="22"/>
        </w:rPr>
      </w:pPr>
    </w:p>
    <w:p w14:paraId="0AC80D8B" w14:textId="77777777" w:rsidR="00A02600" w:rsidRPr="00051AEE" w:rsidRDefault="00592F33" w:rsidP="003E2009">
      <w:pPr>
        <w:pStyle w:val="Default"/>
        <w:rPr>
          <w:rFonts w:ascii="Times New Roman" w:hAnsi="Times New Roman" w:cs="Times New Roman"/>
          <w:color w:val="auto"/>
          <w:sz w:val="22"/>
          <w:szCs w:val="22"/>
        </w:rPr>
      </w:pPr>
      <w:r w:rsidRPr="00051AEE">
        <w:rPr>
          <w:rFonts w:ascii="Times New Roman" w:hAnsi="Times New Roman" w:cs="Times New Roman"/>
          <w:color w:val="auto"/>
          <w:sz w:val="22"/>
          <w:szCs w:val="22"/>
        </w:rPr>
        <w:t xml:space="preserve">Malignancies and lymphoproliferative disorders </w:t>
      </w:r>
    </w:p>
    <w:p w14:paraId="37BC4E76"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with infliximab, in which 5780 patients were treated, representing 5494 patient-years, 5 cases of lymphomas and 26 non-lymphoma malignancies were detected as compared with no lymphomas and 1 non-lymphoma malignancy in 1600 placebo-treated patients observed during 941 patient years. </w:t>
      </w:r>
    </w:p>
    <w:p w14:paraId="4E1ACADA" w14:textId="77777777" w:rsidR="00A02600" w:rsidRPr="00B54968" w:rsidRDefault="00A02600" w:rsidP="003E2009">
      <w:pPr>
        <w:pStyle w:val="Default"/>
        <w:rPr>
          <w:rFonts w:ascii="Times New Roman" w:hAnsi="Times New Roman" w:cs="Times New Roman"/>
          <w:color w:val="auto"/>
          <w:sz w:val="22"/>
          <w:szCs w:val="22"/>
        </w:rPr>
      </w:pPr>
    </w:p>
    <w:p w14:paraId="74E4D9B2"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long-term safety follow-up of clinical studies with infliximab of up to 5 years, representing 6234 patient years, 5 cases of lymphoma and 38 cases of non-lymphoma malignancies were reported. </w:t>
      </w:r>
    </w:p>
    <w:p w14:paraId="0A806CF7" w14:textId="77777777" w:rsidR="00A02600" w:rsidRPr="00B54968" w:rsidRDefault="00A02600" w:rsidP="003E2009">
      <w:pPr>
        <w:pStyle w:val="Default"/>
        <w:rPr>
          <w:rFonts w:ascii="Times New Roman" w:hAnsi="Times New Roman" w:cs="Times New Roman"/>
          <w:color w:val="auto"/>
          <w:sz w:val="22"/>
          <w:szCs w:val="22"/>
        </w:rPr>
      </w:pPr>
    </w:p>
    <w:p w14:paraId="7BE0F766"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From August 1998 to August 2005, 1909 cases of suspected malignancies have been reported from post-marketing, clinical trials and registries (321 in Crohn’s disease patients, 1302 in rheumatoid arthritis patients and 286 in patients with other or unknown indications). Among those there were 347 lymphoma cases. During this period, the estimated exposure is 1,909,941 patient years since first exposure (see PRECAUTIONS, Malignancies and lymphoproliferative disorders). </w:t>
      </w:r>
    </w:p>
    <w:p w14:paraId="008002B0" w14:textId="77777777" w:rsidR="00A02600" w:rsidRPr="00B54968" w:rsidRDefault="00A02600" w:rsidP="003E2009">
      <w:pPr>
        <w:pStyle w:val="Default"/>
        <w:rPr>
          <w:rFonts w:ascii="Times New Roman" w:hAnsi="Times New Roman" w:cs="Times New Roman"/>
          <w:color w:val="auto"/>
          <w:sz w:val="22"/>
          <w:szCs w:val="22"/>
        </w:rPr>
      </w:pPr>
    </w:p>
    <w:p w14:paraId="49F3CC84"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controlled portions of some clinical trials of the TNF-blocking agents, more cases of non-lymphoma malignancy have been observed among patients receiving a TNF-blocker compared with control patients. In an exploratory clinical trial evaluating the use of </w:t>
      </w:r>
      <w:r w:rsidR="005C75F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moderate to severe chronic obstructive pulmonary disease (COPD), more malignancies were reported in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compared with control patients, 5.7% [95% CI 2.65% - 10.6%] vs. 1% [95% CI 0.03% - 7.0%]. The malignancies were mainly lung and head and neck. All patients had a history of heavy smoking. </w:t>
      </w:r>
    </w:p>
    <w:p w14:paraId="28F9AEBC" w14:textId="77777777" w:rsidR="00A02600" w:rsidRPr="00B54968" w:rsidRDefault="00A02600" w:rsidP="003E2009">
      <w:pPr>
        <w:pStyle w:val="Default"/>
        <w:rPr>
          <w:rFonts w:ascii="Times New Roman" w:hAnsi="Times New Roman" w:cs="Times New Roman"/>
          <w:color w:val="auto"/>
          <w:sz w:val="22"/>
          <w:szCs w:val="22"/>
        </w:rPr>
      </w:pPr>
    </w:p>
    <w:p w14:paraId="0DB12BE1"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During </w:t>
      </w:r>
      <w:proofErr w:type="spellStart"/>
      <w:r w:rsidRPr="00B54968">
        <w:rPr>
          <w:rFonts w:ascii="Times New Roman" w:hAnsi="Times New Roman" w:cs="Times New Roman"/>
          <w:color w:val="auto"/>
          <w:sz w:val="22"/>
          <w:szCs w:val="22"/>
        </w:rPr>
        <w:t>postmarketing</w:t>
      </w:r>
      <w:proofErr w:type="spellEnd"/>
      <w:r w:rsidRPr="00B54968">
        <w:rPr>
          <w:rFonts w:ascii="Times New Roman" w:hAnsi="Times New Roman" w:cs="Times New Roman"/>
          <w:color w:val="auto"/>
          <w:sz w:val="22"/>
          <w:szCs w:val="22"/>
        </w:rPr>
        <w:t xml:space="preserve"> experience, a rare type of </w:t>
      </w:r>
      <w:proofErr w:type="spellStart"/>
      <w:r w:rsidRPr="00B54968">
        <w:rPr>
          <w:rFonts w:ascii="Times New Roman" w:hAnsi="Times New Roman" w:cs="Times New Roman"/>
          <w:color w:val="auto"/>
          <w:sz w:val="22"/>
          <w:szCs w:val="22"/>
        </w:rPr>
        <w:t>hepatosplenic</w:t>
      </w:r>
      <w:proofErr w:type="spellEnd"/>
      <w:r w:rsidRPr="00B54968">
        <w:rPr>
          <w:rFonts w:ascii="Times New Roman" w:hAnsi="Times New Roman" w:cs="Times New Roman"/>
          <w:color w:val="auto"/>
          <w:sz w:val="22"/>
          <w:szCs w:val="22"/>
        </w:rPr>
        <w:t xml:space="preserve"> T-cell lymphoma has been reported in adolescent and young adult patients with Crohn’s disease treated with </w:t>
      </w:r>
      <w:r w:rsidR="005C75F7"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(see PRECAUTIONS – Malignancies and lymphoproliferative disorders). </w:t>
      </w:r>
    </w:p>
    <w:p w14:paraId="60ED1873" w14:textId="77777777" w:rsidR="00A02600" w:rsidRPr="00B54968" w:rsidRDefault="00A02600" w:rsidP="003E2009">
      <w:pPr>
        <w:pStyle w:val="Default"/>
        <w:rPr>
          <w:rFonts w:ascii="Times New Roman" w:hAnsi="Times New Roman" w:cs="Times New Roman"/>
          <w:color w:val="auto"/>
          <w:sz w:val="22"/>
          <w:szCs w:val="22"/>
        </w:rPr>
      </w:pPr>
    </w:p>
    <w:p w14:paraId="02CFD916" w14:textId="77777777" w:rsidR="00A02600" w:rsidRPr="00B54968" w:rsidRDefault="00592F33" w:rsidP="003E2009">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Heart failure </w:t>
      </w:r>
    </w:p>
    <w:p w14:paraId="7AC7C448"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a phase II study aimed at evaluating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moderate to severe congestive heart failure (CHF), higher incidence of mortality due to worsening of heart failure was seen in patients treated with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especially those treated with the higher dose of 10 mg/kg. There have been post-marketing reports of worsening heart failure, with and without identifiable precipitating factors, in patients taking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There have also been rare post-marketing reports of new onset heart failure, including heart failure in patients without known pre-existing cardiovascular disease. Some of these patients have been under 50 years of age. </w:t>
      </w:r>
    </w:p>
    <w:p w14:paraId="5CC1ED33" w14:textId="77777777" w:rsidR="00A02600" w:rsidRPr="00B54968" w:rsidRDefault="00A02600" w:rsidP="003E2009">
      <w:pPr>
        <w:pStyle w:val="Default"/>
        <w:rPr>
          <w:rFonts w:ascii="Times New Roman" w:hAnsi="Times New Roman" w:cs="Times New Roman"/>
          <w:color w:val="auto"/>
          <w:sz w:val="22"/>
          <w:szCs w:val="22"/>
        </w:rPr>
      </w:pPr>
    </w:p>
    <w:p w14:paraId="16B5B5CA" w14:textId="77777777" w:rsidR="00A02600" w:rsidRPr="00051AEE" w:rsidRDefault="00592F33" w:rsidP="003E2009">
      <w:pPr>
        <w:pStyle w:val="Default"/>
        <w:rPr>
          <w:rFonts w:ascii="Times New Roman" w:hAnsi="Times New Roman" w:cs="Times New Roman"/>
          <w:color w:val="auto"/>
          <w:sz w:val="22"/>
          <w:szCs w:val="22"/>
        </w:rPr>
      </w:pPr>
      <w:r w:rsidRPr="00051AEE">
        <w:rPr>
          <w:rFonts w:ascii="Times New Roman" w:hAnsi="Times New Roman" w:cs="Times New Roman"/>
          <w:color w:val="auto"/>
          <w:sz w:val="22"/>
          <w:szCs w:val="22"/>
        </w:rPr>
        <w:t xml:space="preserve">Autoantibodies / Lupus-like Syndrome </w:t>
      </w:r>
    </w:p>
    <w:p w14:paraId="540BCE50"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approximately 52% of (1261) infliximab-treated patients who were ANA negative at baseline developed a positive ANA during the trial (compared with approximately 19% of 129 </w:t>
      </w:r>
      <w:r w:rsidRPr="00B54968">
        <w:rPr>
          <w:rFonts w:ascii="Times New Roman" w:hAnsi="Times New Roman" w:cs="Times New Roman"/>
          <w:color w:val="auto"/>
          <w:sz w:val="22"/>
          <w:szCs w:val="22"/>
        </w:rPr>
        <w:lastRenderedPageBreak/>
        <w:t xml:space="preserve">placebo-treated patients). Anti-dsDNA antibodies developed in approximately 17% (261) of patients treated with </w:t>
      </w:r>
      <w:r w:rsidR="005C75F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(compared with 0% of 162 placebo-treated patients. At the last evaluation, 150 of these 261 infliximab-treated patients (57%) remained anti-dsDNA positive. Clinical signs consistent with a lupus-like syndrome remain uncommon. </w:t>
      </w:r>
    </w:p>
    <w:p w14:paraId="63F6BB49" w14:textId="77777777" w:rsidR="00A02600" w:rsidRPr="00B54968" w:rsidRDefault="00A02600" w:rsidP="003E2009">
      <w:pPr>
        <w:pStyle w:val="Default"/>
        <w:rPr>
          <w:rFonts w:ascii="Times New Roman" w:hAnsi="Times New Roman" w:cs="Times New Roman"/>
          <w:color w:val="auto"/>
          <w:sz w:val="22"/>
          <w:szCs w:val="22"/>
        </w:rPr>
      </w:pPr>
    </w:p>
    <w:p w14:paraId="0B7BD2C3" w14:textId="77777777" w:rsidR="00A02600" w:rsidRPr="00051AEE" w:rsidRDefault="00592F33" w:rsidP="003E2009">
      <w:pPr>
        <w:pStyle w:val="Default"/>
        <w:rPr>
          <w:rFonts w:ascii="Times New Roman" w:hAnsi="Times New Roman" w:cs="Times New Roman"/>
          <w:color w:val="auto"/>
          <w:sz w:val="22"/>
          <w:szCs w:val="22"/>
        </w:rPr>
      </w:pPr>
      <w:r w:rsidRPr="00051AEE">
        <w:rPr>
          <w:rFonts w:ascii="Times New Roman" w:hAnsi="Times New Roman" w:cs="Times New Roman"/>
          <w:color w:val="auto"/>
          <w:sz w:val="22"/>
          <w:szCs w:val="22"/>
        </w:rPr>
        <w:t xml:space="preserve">Hepatobiliary Events </w:t>
      </w:r>
    </w:p>
    <w:p w14:paraId="28514441"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post-marketing surveillance, very rare cases of jaundice and hepatitis, some with features of autoimmune hepatitis, have been reported in patients receiving </w:t>
      </w:r>
      <w:r w:rsidR="005C75F7"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(see PRECAUTIONS). A causal relationship between </w:t>
      </w:r>
      <w:r w:rsidR="005C75F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and these events has not been established. </w:t>
      </w:r>
    </w:p>
    <w:p w14:paraId="50B43B0B" w14:textId="77777777" w:rsidR="00A02600" w:rsidRPr="00B54968" w:rsidRDefault="00A02600" w:rsidP="003E2009">
      <w:pPr>
        <w:pStyle w:val="Default"/>
        <w:rPr>
          <w:rFonts w:ascii="Times New Roman" w:hAnsi="Times New Roman" w:cs="Times New Roman"/>
          <w:color w:val="auto"/>
          <w:sz w:val="22"/>
          <w:szCs w:val="22"/>
        </w:rPr>
      </w:pPr>
    </w:p>
    <w:p w14:paraId="2D49EF23" w14:textId="41F2DDC8" w:rsidR="00A02600" w:rsidRPr="00B54968" w:rsidRDefault="00592F33" w:rsidP="003E2009">
      <w:pPr>
        <w:spacing w:after="0" w:line="240" w:lineRule="auto"/>
        <w:rPr>
          <w:rFonts w:ascii="Times New Roman" w:hAnsi="Times New Roman" w:cs="Times New Roman"/>
          <w:lang w:eastAsia="ko-KR"/>
        </w:rPr>
      </w:pPr>
      <w:r w:rsidRPr="00B54968">
        <w:rPr>
          <w:rFonts w:ascii="Times New Roman" w:hAnsi="Times New Roman" w:cs="Times New Roman"/>
        </w:rPr>
        <w:t xml:space="preserve">In clinical trials, mild or moderate elevations of ALT and AST have been observed in patients receiving </w:t>
      </w:r>
      <w:r w:rsidR="005C75F7" w:rsidRPr="00B54968">
        <w:rPr>
          <w:rFonts w:ascii="Times New Roman" w:hAnsi="Times New Roman" w:cs="Times New Roman"/>
        </w:rPr>
        <w:t xml:space="preserve">infliximab </w:t>
      </w:r>
      <w:r w:rsidRPr="00B54968">
        <w:rPr>
          <w:rFonts w:ascii="Times New Roman" w:hAnsi="Times New Roman" w:cs="Times New Roman"/>
        </w:rPr>
        <w:t xml:space="preserve">without progression to severe hepatic injury. Elevations of ALT ≥5 x ULN have been observed (see Table </w:t>
      </w:r>
      <w:r w:rsidR="0089177D">
        <w:rPr>
          <w:rFonts w:ascii="Times New Roman" w:hAnsi="Times New Roman" w:cs="Times New Roman"/>
          <w:lang w:eastAsia="ko-KR"/>
        </w:rPr>
        <w:t>18</w:t>
      </w:r>
      <w:r w:rsidRPr="00B54968">
        <w:rPr>
          <w:rFonts w:ascii="Times New Roman" w:hAnsi="Times New Roman" w:cs="Times New Roman"/>
        </w:rPr>
        <w:t xml:space="preserve">). Elevations of aminotransferases were observed (ALT more common than AST) in a greater proportion of patients receiving </w:t>
      </w:r>
      <w:r w:rsidR="005C75F7" w:rsidRPr="00B54968">
        <w:rPr>
          <w:rFonts w:ascii="Times New Roman" w:hAnsi="Times New Roman" w:cs="Times New Roman"/>
        </w:rPr>
        <w:t xml:space="preserve">infliximab </w:t>
      </w:r>
      <w:r w:rsidRPr="00B54968">
        <w:rPr>
          <w:rFonts w:ascii="Times New Roman" w:hAnsi="Times New Roman" w:cs="Times New Roman"/>
        </w:rPr>
        <w:t xml:space="preserve">than in controls, both when </w:t>
      </w:r>
      <w:r w:rsidR="005C75F7" w:rsidRPr="00B54968">
        <w:rPr>
          <w:rFonts w:ascii="Times New Roman" w:hAnsi="Times New Roman" w:cs="Times New Roman"/>
        </w:rPr>
        <w:t>infliximab</w:t>
      </w:r>
      <w:r w:rsidRPr="00B54968">
        <w:rPr>
          <w:rFonts w:ascii="Times New Roman" w:hAnsi="Times New Roman" w:cs="Times New Roman"/>
        </w:rPr>
        <w:t xml:space="preserve"> was given as monotherapy and when it was used in combination with other immunosuppressive agents. Most aminotransferase abnormalities were transient; however, a small number of patients experienced more prolonged elevations. In general, patients who developed ALT and AST elevations were asymptomatic, and the abnormalities decreased or resolved with either continuation or discontinuation of </w:t>
      </w:r>
      <w:r w:rsidR="005C75F7" w:rsidRPr="00B54968">
        <w:rPr>
          <w:rFonts w:ascii="Times New Roman" w:hAnsi="Times New Roman" w:cs="Times New Roman"/>
        </w:rPr>
        <w:t>infliximab</w:t>
      </w:r>
      <w:r w:rsidRPr="00B54968">
        <w:rPr>
          <w:rFonts w:ascii="Times New Roman" w:hAnsi="Times New Roman" w:cs="Times New Roman"/>
        </w:rPr>
        <w:t>, or modification of concomitant medications.</w:t>
      </w:r>
    </w:p>
    <w:p w14:paraId="0867D8E7" w14:textId="77777777" w:rsidR="005662F7" w:rsidRPr="00B54968" w:rsidRDefault="005662F7" w:rsidP="003E2009">
      <w:pPr>
        <w:spacing w:after="0" w:line="240" w:lineRule="auto"/>
        <w:rPr>
          <w:rFonts w:ascii="Times New Roman" w:hAnsi="Times New Roman" w:cs="Times New Roman"/>
          <w:lang w:eastAsia="ko-KR"/>
        </w:rPr>
      </w:pPr>
    </w:p>
    <w:p w14:paraId="12F8B877" w14:textId="1D33161A" w:rsidR="00A02600" w:rsidRPr="00364D52" w:rsidRDefault="00375BC4" w:rsidP="003E2009">
      <w:pPr>
        <w:pStyle w:val="NoSpacing"/>
        <w:spacing w:after="240"/>
        <w:ind w:left="1440" w:hanging="1440"/>
        <w:rPr>
          <w:rFonts w:eastAsia="Batang"/>
          <w:b/>
          <w:bCs/>
          <w:sz w:val="22"/>
        </w:rPr>
      </w:pPr>
      <w:r w:rsidRPr="00364D52">
        <w:rPr>
          <w:rFonts w:eastAsia="Batang"/>
          <w:b/>
          <w:bCs/>
          <w:sz w:val="22"/>
        </w:rPr>
        <w:t xml:space="preserve">Table </w:t>
      </w:r>
      <w:r w:rsidR="0089177D">
        <w:rPr>
          <w:rFonts w:eastAsia="Batang"/>
          <w:b/>
          <w:bCs/>
          <w:sz w:val="22"/>
        </w:rPr>
        <w:t>18</w:t>
      </w:r>
      <w:r w:rsidR="00364D52">
        <w:rPr>
          <w:rFonts w:eastAsia="Batang"/>
          <w:b/>
          <w:bCs/>
          <w:sz w:val="22"/>
        </w:rPr>
        <w:t>:</w:t>
      </w:r>
      <w:r w:rsidR="00364D52">
        <w:rPr>
          <w:rFonts w:eastAsia="Batang" w:hint="eastAsia"/>
          <w:b/>
          <w:bCs/>
          <w:sz w:val="22"/>
          <w:lang w:eastAsia="ko-KR"/>
        </w:rPr>
        <w:tab/>
      </w:r>
      <w:r w:rsidRPr="00364D52">
        <w:rPr>
          <w:rFonts w:eastAsia="Batang"/>
          <w:b/>
          <w:bCs/>
          <w:sz w:val="22"/>
        </w:rPr>
        <w:t>Proportion of patients with increased ALT activity in Clinical Trials</w:t>
      </w:r>
    </w:p>
    <w:tbl>
      <w:tblPr>
        <w:tblStyle w:val="TableGrid"/>
        <w:tblW w:w="0" w:type="auto"/>
        <w:tblInd w:w="108" w:type="dxa"/>
        <w:tblLook w:val="04A0" w:firstRow="1" w:lastRow="0" w:firstColumn="1" w:lastColumn="0" w:noHBand="0" w:noVBand="1"/>
      </w:tblPr>
      <w:tblGrid>
        <w:gridCol w:w="1282"/>
        <w:gridCol w:w="965"/>
        <w:gridCol w:w="965"/>
        <w:gridCol w:w="966"/>
        <w:gridCol w:w="965"/>
        <w:gridCol w:w="965"/>
        <w:gridCol w:w="966"/>
        <w:gridCol w:w="965"/>
        <w:gridCol w:w="966"/>
      </w:tblGrid>
      <w:tr w:rsidR="00F02007" w:rsidRPr="00B54968" w14:paraId="4BEF098A" w14:textId="77777777" w:rsidTr="00F55576">
        <w:trPr>
          <w:trHeight w:val="500"/>
        </w:trPr>
        <w:tc>
          <w:tcPr>
            <w:tcW w:w="1282" w:type="dxa"/>
            <w:vMerge w:val="restart"/>
            <w:vAlign w:val="center"/>
          </w:tcPr>
          <w:p w14:paraId="490BC2E2" w14:textId="1D8EB901" w:rsidR="00F02007" w:rsidRPr="00B54968" w:rsidRDefault="00F55576" w:rsidP="003E2009">
            <w:pPr>
              <w:adjustRightInd w:val="0"/>
              <w:spacing w:before="55" w:line="207" w:lineRule="exact"/>
              <w:rPr>
                <w:rFonts w:ascii="Times New Roman" w:hAnsi="Times New Roman" w:cs="Times New Roman"/>
                <w:color w:val="000000"/>
                <w:spacing w:val="-3"/>
                <w:sz w:val="16"/>
                <w:szCs w:val="16"/>
                <w:lang w:eastAsia="ko-KR"/>
              </w:rPr>
            </w:pPr>
            <w:r>
              <w:rPr>
                <w:rFonts w:ascii="Times New Roman" w:hAnsi="Times New Roman" w:cs="Times New Roman"/>
                <w:color w:val="000000"/>
                <w:spacing w:val="-3"/>
                <w:sz w:val="16"/>
                <w:szCs w:val="16"/>
              </w:rPr>
              <w:t>Indication</w:t>
            </w:r>
          </w:p>
        </w:tc>
        <w:tc>
          <w:tcPr>
            <w:tcW w:w="1930" w:type="dxa"/>
            <w:gridSpan w:val="2"/>
            <w:vAlign w:val="center"/>
          </w:tcPr>
          <w:p w14:paraId="634044D2" w14:textId="77777777" w:rsidR="00F02007" w:rsidRPr="00B54968" w:rsidRDefault="00F02007" w:rsidP="003E2009">
            <w:pPr>
              <w:rPr>
                <w:rFonts w:ascii="Times New Roman" w:hAnsi="Times New Roman" w:cs="Times New Roman"/>
                <w:b/>
                <w:sz w:val="16"/>
                <w:szCs w:val="16"/>
              </w:rPr>
            </w:pPr>
            <w:r w:rsidRPr="00B54968">
              <w:rPr>
                <w:rFonts w:ascii="Times New Roman" w:hAnsi="Times New Roman" w:cs="Times New Roman"/>
                <w:color w:val="000000"/>
                <w:spacing w:val="-2"/>
                <w:sz w:val="16"/>
                <w:szCs w:val="16"/>
              </w:rPr>
              <w:t>Number of patients evaluated for ALT</w:t>
            </w:r>
          </w:p>
        </w:tc>
        <w:tc>
          <w:tcPr>
            <w:tcW w:w="1931" w:type="dxa"/>
            <w:gridSpan w:val="2"/>
            <w:vAlign w:val="center"/>
          </w:tcPr>
          <w:p w14:paraId="339D1BA2" w14:textId="77777777" w:rsidR="00F02007" w:rsidRPr="00B54968" w:rsidRDefault="00F02007" w:rsidP="003E2009">
            <w:pPr>
              <w:rPr>
                <w:rFonts w:ascii="Times New Roman" w:hAnsi="Times New Roman" w:cs="Times New Roman"/>
                <w:b/>
                <w:sz w:val="16"/>
                <w:szCs w:val="16"/>
              </w:rPr>
            </w:pPr>
            <w:r w:rsidRPr="00B54968">
              <w:rPr>
                <w:rFonts w:ascii="Times New Roman" w:hAnsi="Times New Roman" w:cs="Times New Roman"/>
                <w:color w:val="000000"/>
                <w:spacing w:val="-2"/>
                <w:sz w:val="16"/>
                <w:szCs w:val="16"/>
              </w:rPr>
              <w:t>Median follow-up</w:t>
            </w:r>
          </w:p>
          <w:p w14:paraId="2D39EC8C" w14:textId="77777777" w:rsidR="00F02007" w:rsidRPr="00B54968" w:rsidRDefault="00F02007" w:rsidP="003E2009">
            <w:pPr>
              <w:rPr>
                <w:rFonts w:ascii="Times New Roman" w:hAnsi="Times New Roman" w:cs="Times New Roman"/>
                <w:b/>
                <w:sz w:val="16"/>
                <w:szCs w:val="16"/>
              </w:rPr>
            </w:pPr>
            <w:r w:rsidRPr="00B54968">
              <w:rPr>
                <w:rFonts w:ascii="Times New Roman" w:hAnsi="Times New Roman" w:cs="Times New Roman"/>
                <w:color w:val="000000"/>
                <w:spacing w:val="-1"/>
                <w:sz w:val="16"/>
                <w:szCs w:val="16"/>
              </w:rPr>
              <w:t>(</w:t>
            </w:r>
            <w:proofErr w:type="spellStart"/>
            <w:r w:rsidRPr="00B54968">
              <w:rPr>
                <w:rFonts w:ascii="Times New Roman" w:hAnsi="Times New Roman" w:cs="Times New Roman"/>
                <w:color w:val="000000"/>
                <w:spacing w:val="-1"/>
                <w:sz w:val="16"/>
                <w:szCs w:val="16"/>
              </w:rPr>
              <w:t>wks</w:t>
            </w:r>
            <w:proofErr w:type="spellEnd"/>
            <w:r w:rsidRPr="00B54968">
              <w:rPr>
                <w:rFonts w:ascii="Times New Roman" w:hAnsi="Times New Roman" w:cs="Times New Roman"/>
                <w:color w:val="000000"/>
                <w:spacing w:val="-1"/>
                <w:sz w:val="16"/>
                <w:szCs w:val="16"/>
              </w:rPr>
              <w:t>)</w:t>
            </w:r>
            <w:r w:rsidRPr="00B54968">
              <w:rPr>
                <w:rFonts w:ascii="Times New Roman" w:hAnsi="Times New Roman" w:cs="Times New Roman"/>
                <w:color w:val="000000"/>
                <w:spacing w:val="-1"/>
                <w:sz w:val="16"/>
                <w:szCs w:val="16"/>
                <w:vertAlign w:val="superscript"/>
              </w:rPr>
              <w:t>3</w:t>
            </w:r>
          </w:p>
        </w:tc>
        <w:tc>
          <w:tcPr>
            <w:tcW w:w="1931" w:type="dxa"/>
            <w:gridSpan w:val="2"/>
            <w:vAlign w:val="center"/>
          </w:tcPr>
          <w:p w14:paraId="22347068" w14:textId="77777777" w:rsidR="00F02007" w:rsidRPr="00B54968" w:rsidRDefault="00F02007" w:rsidP="003E2009">
            <w:pPr>
              <w:rPr>
                <w:rFonts w:ascii="Times New Roman" w:hAnsi="Times New Roman" w:cs="Times New Roman"/>
                <w:b/>
                <w:sz w:val="16"/>
                <w:szCs w:val="16"/>
              </w:rPr>
            </w:pPr>
            <w:r w:rsidRPr="00B54968">
              <w:rPr>
                <w:rFonts w:ascii="Times New Roman" w:hAnsi="Times New Roman" w:cs="Times New Roman"/>
                <w:color w:val="000000"/>
                <w:spacing w:val="-2"/>
                <w:sz w:val="16"/>
                <w:szCs w:val="16"/>
              </w:rPr>
              <w:t>≥3 x ULN</w:t>
            </w:r>
          </w:p>
        </w:tc>
        <w:tc>
          <w:tcPr>
            <w:tcW w:w="1931" w:type="dxa"/>
            <w:gridSpan w:val="2"/>
            <w:vAlign w:val="center"/>
          </w:tcPr>
          <w:p w14:paraId="50C90C70" w14:textId="77777777" w:rsidR="00F02007" w:rsidRPr="00B54968" w:rsidRDefault="00F02007" w:rsidP="003E2009">
            <w:pPr>
              <w:tabs>
                <w:tab w:val="left" w:pos="2432"/>
              </w:tabs>
              <w:adjustRightInd w:val="0"/>
              <w:spacing w:before="55"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 x ULN</w:t>
            </w:r>
          </w:p>
        </w:tc>
      </w:tr>
      <w:tr w:rsidR="00F02007" w:rsidRPr="00B54968" w14:paraId="00E7F11D" w14:textId="77777777" w:rsidTr="00F55576">
        <w:trPr>
          <w:trHeight w:val="281"/>
        </w:trPr>
        <w:tc>
          <w:tcPr>
            <w:tcW w:w="1282" w:type="dxa"/>
            <w:vMerge/>
            <w:vAlign w:val="center"/>
          </w:tcPr>
          <w:p w14:paraId="2C4DDFB5" w14:textId="77777777" w:rsidR="00F02007" w:rsidRPr="00B54968" w:rsidRDefault="00F02007" w:rsidP="003E2009">
            <w:pPr>
              <w:rPr>
                <w:rFonts w:ascii="Times New Roman" w:hAnsi="Times New Roman" w:cs="Times New Roman"/>
                <w:b/>
                <w:sz w:val="16"/>
                <w:szCs w:val="16"/>
                <w:highlight w:val="yellow"/>
              </w:rPr>
            </w:pPr>
          </w:p>
        </w:tc>
        <w:tc>
          <w:tcPr>
            <w:tcW w:w="965" w:type="dxa"/>
            <w:vAlign w:val="center"/>
          </w:tcPr>
          <w:p w14:paraId="428BDDCC" w14:textId="77777777" w:rsidR="00F02007" w:rsidRPr="00B54968" w:rsidRDefault="00F02007" w:rsidP="003E200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5" w:type="dxa"/>
            <w:vAlign w:val="center"/>
          </w:tcPr>
          <w:p w14:paraId="0AC8BA0C" w14:textId="77777777" w:rsidR="00F02007" w:rsidRPr="00B54968" w:rsidRDefault="00F02007" w:rsidP="003E2009">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c>
          <w:tcPr>
            <w:tcW w:w="966" w:type="dxa"/>
            <w:vAlign w:val="center"/>
          </w:tcPr>
          <w:p w14:paraId="51961727" w14:textId="77777777" w:rsidR="00F02007" w:rsidRPr="00B54968" w:rsidRDefault="00F02007" w:rsidP="003E200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5" w:type="dxa"/>
            <w:vAlign w:val="center"/>
          </w:tcPr>
          <w:p w14:paraId="0603273C" w14:textId="77777777" w:rsidR="00F02007" w:rsidRPr="00B54968" w:rsidRDefault="00F02007" w:rsidP="003E2009">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c>
          <w:tcPr>
            <w:tcW w:w="965" w:type="dxa"/>
            <w:vAlign w:val="center"/>
          </w:tcPr>
          <w:p w14:paraId="4204EA22" w14:textId="77777777" w:rsidR="00F02007" w:rsidRPr="00B54968" w:rsidRDefault="00F02007" w:rsidP="003E200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6" w:type="dxa"/>
            <w:vAlign w:val="center"/>
          </w:tcPr>
          <w:p w14:paraId="5197032D" w14:textId="77777777" w:rsidR="00F02007" w:rsidRPr="00B54968" w:rsidRDefault="00F02007" w:rsidP="003E2009">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c>
          <w:tcPr>
            <w:tcW w:w="965" w:type="dxa"/>
            <w:vAlign w:val="center"/>
          </w:tcPr>
          <w:p w14:paraId="2961B39C" w14:textId="77777777" w:rsidR="00F02007" w:rsidRPr="00B54968" w:rsidRDefault="00F02007" w:rsidP="003E200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6" w:type="dxa"/>
            <w:vAlign w:val="center"/>
          </w:tcPr>
          <w:p w14:paraId="24342E7B" w14:textId="77777777" w:rsidR="00F02007" w:rsidRPr="00B54968" w:rsidRDefault="00F02007" w:rsidP="003E2009">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r>
      <w:tr w:rsidR="00F02007" w:rsidRPr="00B54968" w14:paraId="4F6AFEEF" w14:textId="77777777" w:rsidTr="00F02007">
        <w:tc>
          <w:tcPr>
            <w:tcW w:w="1282" w:type="dxa"/>
            <w:vAlign w:val="center"/>
          </w:tcPr>
          <w:p w14:paraId="5D19A380" w14:textId="77777777" w:rsidR="00F02007" w:rsidRPr="00B54968" w:rsidRDefault="00F02007" w:rsidP="003E2009">
            <w:pPr>
              <w:adjustRightInd w:val="0"/>
              <w:spacing w:line="206" w:lineRule="exact"/>
              <w:ind w:right="223"/>
              <w:rPr>
                <w:rFonts w:ascii="Times New Roman" w:hAnsi="Times New Roman" w:cs="Times New Roman"/>
                <w:color w:val="000000"/>
                <w:spacing w:val="-3"/>
                <w:sz w:val="16"/>
                <w:szCs w:val="16"/>
                <w:vertAlign w:val="superscript"/>
              </w:rPr>
            </w:pPr>
            <w:r w:rsidRPr="00B54968">
              <w:rPr>
                <w:rFonts w:ascii="Times New Roman" w:hAnsi="Times New Roman" w:cs="Times New Roman"/>
                <w:color w:val="000000"/>
                <w:spacing w:val="-2"/>
                <w:sz w:val="16"/>
                <w:szCs w:val="16"/>
              </w:rPr>
              <w:t xml:space="preserve">Rheumatoid </w:t>
            </w:r>
            <w:r w:rsidRPr="00B54968">
              <w:rPr>
                <w:rFonts w:ascii="Times New Roman" w:hAnsi="Times New Roman" w:cs="Times New Roman"/>
                <w:color w:val="000000"/>
                <w:spacing w:val="-3"/>
                <w:sz w:val="16"/>
                <w:szCs w:val="16"/>
              </w:rPr>
              <w:t>arthritis</w:t>
            </w:r>
            <w:r w:rsidRPr="00B54968">
              <w:rPr>
                <w:rFonts w:ascii="Times New Roman" w:hAnsi="Times New Roman" w:cs="Times New Roman"/>
                <w:color w:val="000000"/>
                <w:spacing w:val="-3"/>
                <w:sz w:val="16"/>
                <w:szCs w:val="16"/>
                <w:vertAlign w:val="superscript"/>
              </w:rPr>
              <w:t>1</w:t>
            </w:r>
          </w:p>
        </w:tc>
        <w:tc>
          <w:tcPr>
            <w:tcW w:w="965" w:type="dxa"/>
            <w:vAlign w:val="center"/>
          </w:tcPr>
          <w:p w14:paraId="3BA247A8"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375</w:t>
            </w:r>
          </w:p>
        </w:tc>
        <w:tc>
          <w:tcPr>
            <w:tcW w:w="965" w:type="dxa"/>
            <w:vAlign w:val="center"/>
          </w:tcPr>
          <w:p w14:paraId="5BA3DB63"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1087</w:t>
            </w:r>
          </w:p>
        </w:tc>
        <w:tc>
          <w:tcPr>
            <w:tcW w:w="966" w:type="dxa"/>
            <w:vAlign w:val="center"/>
          </w:tcPr>
          <w:p w14:paraId="38243943"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58.1</w:t>
            </w:r>
          </w:p>
        </w:tc>
        <w:tc>
          <w:tcPr>
            <w:tcW w:w="965" w:type="dxa"/>
            <w:vAlign w:val="center"/>
          </w:tcPr>
          <w:p w14:paraId="60B58014"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58.3</w:t>
            </w:r>
          </w:p>
        </w:tc>
        <w:tc>
          <w:tcPr>
            <w:tcW w:w="965" w:type="dxa"/>
            <w:vAlign w:val="center"/>
          </w:tcPr>
          <w:p w14:paraId="2DFF56B5"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3.2%</w:t>
            </w:r>
          </w:p>
        </w:tc>
        <w:tc>
          <w:tcPr>
            <w:tcW w:w="966" w:type="dxa"/>
            <w:vAlign w:val="center"/>
          </w:tcPr>
          <w:p w14:paraId="37AE369F"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3.9%</w:t>
            </w:r>
          </w:p>
        </w:tc>
        <w:tc>
          <w:tcPr>
            <w:tcW w:w="965" w:type="dxa"/>
            <w:vAlign w:val="center"/>
          </w:tcPr>
          <w:p w14:paraId="31723593"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0.8%</w:t>
            </w:r>
          </w:p>
        </w:tc>
        <w:tc>
          <w:tcPr>
            <w:tcW w:w="966" w:type="dxa"/>
            <w:vAlign w:val="center"/>
          </w:tcPr>
          <w:p w14:paraId="057E0AA5"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0.9%</w:t>
            </w:r>
          </w:p>
        </w:tc>
      </w:tr>
      <w:tr w:rsidR="00F02007" w:rsidRPr="00B54968" w14:paraId="43CD72BB" w14:textId="77777777" w:rsidTr="00F55576">
        <w:trPr>
          <w:trHeight w:val="276"/>
        </w:trPr>
        <w:tc>
          <w:tcPr>
            <w:tcW w:w="1282" w:type="dxa"/>
            <w:vAlign w:val="center"/>
          </w:tcPr>
          <w:p w14:paraId="56C2E9FE" w14:textId="77777777" w:rsidR="00F02007" w:rsidRPr="00B54968" w:rsidRDefault="00F02007" w:rsidP="003E2009">
            <w:pPr>
              <w:rPr>
                <w:rFonts w:ascii="Times New Roman" w:hAnsi="Times New Roman" w:cs="Times New Roman"/>
                <w:b/>
                <w:sz w:val="16"/>
                <w:szCs w:val="16"/>
              </w:rPr>
            </w:pPr>
            <w:r w:rsidRPr="00B54968">
              <w:rPr>
                <w:rFonts w:ascii="Times New Roman" w:hAnsi="Times New Roman" w:cs="Times New Roman"/>
                <w:color w:val="000000"/>
                <w:spacing w:val="-2"/>
                <w:sz w:val="16"/>
                <w:szCs w:val="16"/>
              </w:rPr>
              <w:t>Crohn’s disease</w:t>
            </w:r>
            <w:r w:rsidRPr="00B54968">
              <w:rPr>
                <w:rFonts w:ascii="Times New Roman" w:hAnsi="Times New Roman" w:cs="Times New Roman"/>
                <w:color w:val="000000"/>
                <w:spacing w:val="-2"/>
                <w:sz w:val="16"/>
                <w:szCs w:val="16"/>
                <w:vertAlign w:val="superscript"/>
              </w:rPr>
              <w:t>2</w:t>
            </w:r>
          </w:p>
        </w:tc>
        <w:tc>
          <w:tcPr>
            <w:tcW w:w="965" w:type="dxa"/>
            <w:vAlign w:val="center"/>
          </w:tcPr>
          <w:p w14:paraId="0E97A6F1"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173</w:t>
            </w:r>
          </w:p>
        </w:tc>
        <w:tc>
          <w:tcPr>
            <w:tcW w:w="965" w:type="dxa"/>
            <w:vAlign w:val="center"/>
          </w:tcPr>
          <w:p w14:paraId="6AEC3414"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703</w:t>
            </w:r>
          </w:p>
        </w:tc>
        <w:tc>
          <w:tcPr>
            <w:tcW w:w="966" w:type="dxa"/>
            <w:vAlign w:val="center"/>
          </w:tcPr>
          <w:p w14:paraId="0296DCE1"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54.1</w:t>
            </w:r>
          </w:p>
        </w:tc>
        <w:tc>
          <w:tcPr>
            <w:tcW w:w="965" w:type="dxa"/>
            <w:vAlign w:val="center"/>
          </w:tcPr>
          <w:p w14:paraId="70A44FB8"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54.1</w:t>
            </w:r>
          </w:p>
        </w:tc>
        <w:tc>
          <w:tcPr>
            <w:tcW w:w="965" w:type="dxa"/>
            <w:vAlign w:val="center"/>
          </w:tcPr>
          <w:p w14:paraId="6A933796"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3.5%</w:t>
            </w:r>
          </w:p>
        </w:tc>
        <w:tc>
          <w:tcPr>
            <w:tcW w:w="966" w:type="dxa"/>
            <w:vAlign w:val="center"/>
          </w:tcPr>
          <w:p w14:paraId="2CC85C12"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5.1%</w:t>
            </w:r>
          </w:p>
        </w:tc>
        <w:tc>
          <w:tcPr>
            <w:tcW w:w="965" w:type="dxa"/>
            <w:vAlign w:val="center"/>
          </w:tcPr>
          <w:p w14:paraId="1D80EB91"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vAlign w:val="center"/>
          </w:tcPr>
          <w:p w14:paraId="75D9E906"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1.7%</w:t>
            </w:r>
          </w:p>
        </w:tc>
      </w:tr>
      <w:tr w:rsidR="00F02007" w:rsidRPr="00B54968" w14:paraId="5E107CEC" w14:textId="77777777" w:rsidTr="00F02007">
        <w:trPr>
          <w:trHeight w:val="553"/>
        </w:trPr>
        <w:tc>
          <w:tcPr>
            <w:tcW w:w="1282" w:type="dxa"/>
            <w:vAlign w:val="center"/>
          </w:tcPr>
          <w:p w14:paraId="3BB74AF9" w14:textId="77777777" w:rsidR="00F02007" w:rsidRPr="00B54968" w:rsidRDefault="00ED4907" w:rsidP="003E2009">
            <w:pPr>
              <w:adjustRightInd w:val="0"/>
              <w:spacing w:line="206" w:lineRule="exact"/>
              <w:ind w:right="223"/>
              <w:rPr>
                <w:rFonts w:ascii="Times New Roman" w:hAnsi="Times New Roman" w:cs="Times New Roman"/>
                <w:color w:val="000000"/>
                <w:spacing w:val="-2"/>
                <w:sz w:val="16"/>
                <w:szCs w:val="16"/>
              </w:rPr>
            </w:pPr>
            <w:proofErr w:type="spellStart"/>
            <w:r w:rsidRPr="00B54968">
              <w:rPr>
                <w:rFonts w:ascii="Times New Roman" w:hAnsi="Times New Roman" w:cs="Times New Roman"/>
                <w:color w:val="000000"/>
                <w:spacing w:val="-2"/>
                <w:sz w:val="16"/>
                <w:szCs w:val="16"/>
              </w:rPr>
              <w:t>P</w:t>
            </w:r>
            <w:r w:rsidRPr="00B54968">
              <w:rPr>
                <w:rFonts w:ascii="Times New Roman" w:hAnsi="Times New Roman" w:cs="Times New Roman"/>
                <w:color w:val="000000"/>
                <w:spacing w:val="-2"/>
                <w:sz w:val="16"/>
                <w:szCs w:val="16"/>
                <w:lang w:eastAsia="ko-KR"/>
              </w:rPr>
              <w:t>a</w:t>
            </w:r>
            <w:r w:rsidRPr="00B54968">
              <w:rPr>
                <w:rFonts w:ascii="Times New Roman" w:hAnsi="Times New Roman" w:cs="Times New Roman"/>
                <w:color w:val="000000"/>
                <w:spacing w:val="-2"/>
                <w:sz w:val="16"/>
                <w:szCs w:val="16"/>
              </w:rPr>
              <w:t>ediatric</w:t>
            </w:r>
            <w:proofErr w:type="spellEnd"/>
            <w:r w:rsidRPr="00B54968">
              <w:rPr>
                <w:rFonts w:ascii="Times New Roman" w:hAnsi="Times New Roman" w:cs="Times New Roman"/>
                <w:color w:val="000000"/>
                <w:spacing w:val="-2"/>
                <w:sz w:val="16"/>
                <w:szCs w:val="16"/>
              </w:rPr>
              <w:t xml:space="preserve"> </w:t>
            </w:r>
            <w:r w:rsidR="00F02007" w:rsidRPr="00B54968">
              <w:rPr>
                <w:rFonts w:ascii="Times New Roman" w:hAnsi="Times New Roman" w:cs="Times New Roman"/>
                <w:color w:val="000000"/>
                <w:spacing w:val="-2"/>
                <w:sz w:val="16"/>
                <w:szCs w:val="16"/>
              </w:rPr>
              <w:t>Crohn’s disease</w:t>
            </w:r>
          </w:p>
        </w:tc>
        <w:tc>
          <w:tcPr>
            <w:tcW w:w="965" w:type="dxa"/>
            <w:vAlign w:val="center"/>
          </w:tcPr>
          <w:p w14:paraId="01C40089"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5" w:type="dxa"/>
            <w:vAlign w:val="center"/>
          </w:tcPr>
          <w:p w14:paraId="57554596"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139</w:t>
            </w:r>
          </w:p>
        </w:tc>
        <w:tc>
          <w:tcPr>
            <w:tcW w:w="966" w:type="dxa"/>
            <w:vAlign w:val="center"/>
          </w:tcPr>
          <w:p w14:paraId="7D5B5FB6"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5" w:type="dxa"/>
            <w:vAlign w:val="center"/>
          </w:tcPr>
          <w:p w14:paraId="3573C041"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53.0</w:t>
            </w:r>
          </w:p>
        </w:tc>
        <w:tc>
          <w:tcPr>
            <w:tcW w:w="965" w:type="dxa"/>
            <w:vAlign w:val="center"/>
          </w:tcPr>
          <w:p w14:paraId="34A35043"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6" w:type="dxa"/>
            <w:vAlign w:val="center"/>
          </w:tcPr>
          <w:p w14:paraId="784ADB3A"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4.4%</w:t>
            </w:r>
          </w:p>
        </w:tc>
        <w:tc>
          <w:tcPr>
            <w:tcW w:w="965" w:type="dxa"/>
            <w:vAlign w:val="center"/>
          </w:tcPr>
          <w:p w14:paraId="6AC92572"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6" w:type="dxa"/>
            <w:vAlign w:val="center"/>
          </w:tcPr>
          <w:p w14:paraId="41AE7D7A"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1.5%</w:t>
            </w:r>
          </w:p>
        </w:tc>
      </w:tr>
      <w:tr w:rsidR="00F02007" w:rsidRPr="00B54968" w14:paraId="594D0E44" w14:textId="77777777" w:rsidTr="00F55576">
        <w:trPr>
          <w:trHeight w:val="439"/>
        </w:trPr>
        <w:tc>
          <w:tcPr>
            <w:tcW w:w="1282" w:type="dxa"/>
            <w:vAlign w:val="center"/>
          </w:tcPr>
          <w:p w14:paraId="39954E24" w14:textId="77777777" w:rsidR="00F02007" w:rsidRPr="00B54968" w:rsidRDefault="00F02007" w:rsidP="003E2009">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Ulcerative colitis</w:t>
            </w:r>
          </w:p>
        </w:tc>
        <w:tc>
          <w:tcPr>
            <w:tcW w:w="965" w:type="dxa"/>
            <w:vAlign w:val="center"/>
          </w:tcPr>
          <w:p w14:paraId="2FE37DD7"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242</w:t>
            </w:r>
          </w:p>
        </w:tc>
        <w:tc>
          <w:tcPr>
            <w:tcW w:w="965" w:type="dxa"/>
            <w:vAlign w:val="center"/>
          </w:tcPr>
          <w:p w14:paraId="455F74E0"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482</w:t>
            </w:r>
          </w:p>
        </w:tc>
        <w:tc>
          <w:tcPr>
            <w:tcW w:w="966" w:type="dxa"/>
            <w:vAlign w:val="center"/>
          </w:tcPr>
          <w:p w14:paraId="7A13920F"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30.1</w:t>
            </w:r>
          </w:p>
        </w:tc>
        <w:tc>
          <w:tcPr>
            <w:tcW w:w="965" w:type="dxa"/>
            <w:vAlign w:val="center"/>
          </w:tcPr>
          <w:p w14:paraId="5BD73DBD"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30.8</w:t>
            </w:r>
          </w:p>
        </w:tc>
        <w:tc>
          <w:tcPr>
            <w:tcW w:w="965" w:type="dxa"/>
            <w:vAlign w:val="center"/>
          </w:tcPr>
          <w:p w14:paraId="6B6851E6"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1.2%</w:t>
            </w:r>
          </w:p>
        </w:tc>
        <w:tc>
          <w:tcPr>
            <w:tcW w:w="966" w:type="dxa"/>
            <w:vAlign w:val="center"/>
          </w:tcPr>
          <w:p w14:paraId="1C1AE762"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2.5%</w:t>
            </w:r>
          </w:p>
        </w:tc>
        <w:tc>
          <w:tcPr>
            <w:tcW w:w="965" w:type="dxa"/>
            <w:vAlign w:val="center"/>
          </w:tcPr>
          <w:p w14:paraId="4F2B53C5"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0.4%</w:t>
            </w:r>
          </w:p>
        </w:tc>
        <w:tc>
          <w:tcPr>
            <w:tcW w:w="966" w:type="dxa"/>
            <w:vAlign w:val="center"/>
          </w:tcPr>
          <w:p w14:paraId="4C399D1C"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0.6%</w:t>
            </w:r>
          </w:p>
        </w:tc>
      </w:tr>
      <w:tr w:rsidR="00F02007" w:rsidRPr="00B54968" w14:paraId="49FD2470" w14:textId="77777777" w:rsidTr="00F55576">
        <w:trPr>
          <w:trHeight w:val="439"/>
        </w:trPr>
        <w:tc>
          <w:tcPr>
            <w:tcW w:w="1282" w:type="dxa"/>
            <w:vAlign w:val="center"/>
          </w:tcPr>
          <w:p w14:paraId="7C293166" w14:textId="77777777" w:rsidR="00F02007" w:rsidRPr="00B54968" w:rsidRDefault="00F02007" w:rsidP="003E2009">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Ankylosing spondylitis</w:t>
            </w:r>
          </w:p>
        </w:tc>
        <w:tc>
          <w:tcPr>
            <w:tcW w:w="965" w:type="dxa"/>
            <w:vAlign w:val="center"/>
          </w:tcPr>
          <w:p w14:paraId="53590912"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76</w:t>
            </w:r>
          </w:p>
        </w:tc>
        <w:tc>
          <w:tcPr>
            <w:tcW w:w="965" w:type="dxa"/>
            <w:vAlign w:val="center"/>
          </w:tcPr>
          <w:p w14:paraId="19BDCA7D"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275</w:t>
            </w:r>
          </w:p>
        </w:tc>
        <w:tc>
          <w:tcPr>
            <w:tcW w:w="966" w:type="dxa"/>
            <w:vAlign w:val="center"/>
          </w:tcPr>
          <w:p w14:paraId="210DD3CF"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24.1</w:t>
            </w:r>
          </w:p>
        </w:tc>
        <w:tc>
          <w:tcPr>
            <w:tcW w:w="965" w:type="dxa"/>
            <w:vAlign w:val="center"/>
          </w:tcPr>
          <w:p w14:paraId="2A838118" w14:textId="77777777" w:rsidR="00F02007" w:rsidRPr="00B54968" w:rsidRDefault="00F02007" w:rsidP="003E200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101.9</w:t>
            </w:r>
          </w:p>
        </w:tc>
        <w:tc>
          <w:tcPr>
            <w:tcW w:w="965" w:type="dxa"/>
            <w:vAlign w:val="center"/>
          </w:tcPr>
          <w:p w14:paraId="11FC47D8" w14:textId="77777777" w:rsidR="00F02007" w:rsidRPr="00B54968" w:rsidRDefault="00F02007" w:rsidP="003E2009">
            <w:pPr>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vAlign w:val="center"/>
          </w:tcPr>
          <w:p w14:paraId="165CDFF2" w14:textId="77777777" w:rsidR="00F02007" w:rsidRPr="00B54968" w:rsidRDefault="00F02007" w:rsidP="003E2009">
            <w:pPr>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9.5%</w:t>
            </w:r>
          </w:p>
        </w:tc>
        <w:tc>
          <w:tcPr>
            <w:tcW w:w="965" w:type="dxa"/>
            <w:vAlign w:val="center"/>
          </w:tcPr>
          <w:p w14:paraId="0407FC6B" w14:textId="77777777" w:rsidR="00F02007" w:rsidRPr="00B54968" w:rsidRDefault="00F02007" w:rsidP="003E2009">
            <w:pPr>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vAlign w:val="center"/>
          </w:tcPr>
          <w:p w14:paraId="416B3C82" w14:textId="77777777" w:rsidR="00F02007" w:rsidRPr="00B54968" w:rsidRDefault="00F02007" w:rsidP="003E2009">
            <w:pPr>
              <w:rPr>
                <w:rFonts w:ascii="Times New Roman" w:hAnsi="Times New Roman" w:cs="Times New Roman"/>
                <w:sz w:val="16"/>
                <w:szCs w:val="16"/>
              </w:rPr>
            </w:pPr>
            <w:r w:rsidRPr="00B54968">
              <w:rPr>
                <w:rFonts w:ascii="Times New Roman" w:hAnsi="Times New Roman" w:cs="Times New Roman"/>
                <w:color w:val="000000"/>
                <w:spacing w:val="-3"/>
                <w:sz w:val="16"/>
                <w:szCs w:val="16"/>
              </w:rPr>
              <w:t>3.6%</w:t>
            </w:r>
          </w:p>
        </w:tc>
      </w:tr>
      <w:tr w:rsidR="00F02007" w:rsidRPr="00B54968" w14:paraId="1740ECDA" w14:textId="77777777" w:rsidTr="00F55576">
        <w:trPr>
          <w:trHeight w:val="439"/>
        </w:trPr>
        <w:tc>
          <w:tcPr>
            <w:tcW w:w="1282" w:type="dxa"/>
            <w:tcBorders>
              <w:bottom w:val="single" w:sz="4" w:space="0" w:color="auto"/>
            </w:tcBorders>
            <w:vAlign w:val="center"/>
          </w:tcPr>
          <w:p w14:paraId="0F6BB508" w14:textId="77777777" w:rsidR="00F02007" w:rsidRPr="00B54968" w:rsidRDefault="00F02007" w:rsidP="003E2009">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Psoriatic arthritis</w:t>
            </w:r>
          </w:p>
        </w:tc>
        <w:tc>
          <w:tcPr>
            <w:tcW w:w="965" w:type="dxa"/>
            <w:tcBorders>
              <w:bottom w:val="single" w:sz="4" w:space="0" w:color="auto"/>
            </w:tcBorders>
            <w:vAlign w:val="center"/>
          </w:tcPr>
          <w:p w14:paraId="320CAD4D" w14:textId="77777777" w:rsidR="00F02007" w:rsidRPr="00B54968" w:rsidRDefault="00F02007" w:rsidP="003E200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98</w:t>
            </w:r>
          </w:p>
        </w:tc>
        <w:tc>
          <w:tcPr>
            <w:tcW w:w="965" w:type="dxa"/>
            <w:tcBorders>
              <w:bottom w:val="single" w:sz="4" w:space="0" w:color="auto"/>
            </w:tcBorders>
            <w:vAlign w:val="center"/>
          </w:tcPr>
          <w:p w14:paraId="2B61420F" w14:textId="77777777" w:rsidR="00F02007" w:rsidRPr="00B54968" w:rsidRDefault="00F02007" w:rsidP="003E200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191</w:t>
            </w:r>
          </w:p>
        </w:tc>
        <w:tc>
          <w:tcPr>
            <w:tcW w:w="966" w:type="dxa"/>
            <w:tcBorders>
              <w:bottom w:val="single" w:sz="4" w:space="0" w:color="auto"/>
            </w:tcBorders>
            <w:vAlign w:val="center"/>
          </w:tcPr>
          <w:p w14:paraId="4D30002E" w14:textId="77777777" w:rsidR="00F02007" w:rsidRPr="00B54968" w:rsidRDefault="00F02007" w:rsidP="003E200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18.1</w:t>
            </w:r>
          </w:p>
        </w:tc>
        <w:tc>
          <w:tcPr>
            <w:tcW w:w="965" w:type="dxa"/>
            <w:tcBorders>
              <w:bottom w:val="single" w:sz="4" w:space="0" w:color="auto"/>
            </w:tcBorders>
            <w:vAlign w:val="center"/>
          </w:tcPr>
          <w:p w14:paraId="4583D088" w14:textId="77777777" w:rsidR="00F02007" w:rsidRPr="00B54968" w:rsidRDefault="00F02007" w:rsidP="003E200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39.1</w:t>
            </w:r>
          </w:p>
        </w:tc>
        <w:tc>
          <w:tcPr>
            <w:tcW w:w="965" w:type="dxa"/>
            <w:tcBorders>
              <w:bottom w:val="single" w:sz="4" w:space="0" w:color="auto"/>
            </w:tcBorders>
            <w:vAlign w:val="center"/>
          </w:tcPr>
          <w:p w14:paraId="6CE3D9DB"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tcBorders>
              <w:bottom w:val="single" w:sz="4" w:space="0" w:color="auto"/>
            </w:tcBorders>
            <w:vAlign w:val="center"/>
          </w:tcPr>
          <w:p w14:paraId="7C298856"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6.8%</w:t>
            </w:r>
          </w:p>
        </w:tc>
        <w:tc>
          <w:tcPr>
            <w:tcW w:w="965" w:type="dxa"/>
            <w:tcBorders>
              <w:bottom w:val="single" w:sz="4" w:space="0" w:color="auto"/>
            </w:tcBorders>
            <w:vAlign w:val="center"/>
          </w:tcPr>
          <w:p w14:paraId="60604D17"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tcBorders>
              <w:bottom w:val="single" w:sz="4" w:space="0" w:color="auto"/>
            </w:tcBorders>
            <w:vAlign w:val="center"/>
          </w:tcPr>
          <w:p w14:paraId="697A6350"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2.1%</w:t>
            </w:r>
          </w:p>
        </w:tc>
      </w:tr>
      <w:tr w:rsidR="00F02007" w:rsidRPr="00B54968" w14:paraId="04BD5B47" w14:textId="77777777" w:rsidTr="00F55576">
        <w:trPr>
          <w:trHeight w:val="439"/>
        </w:trPr>
        <w:tc>
          <w:tcPr>
            <w:tcW w:w="1282" w:type="dxa"/>
            <w:tcBorders>
              <w:bottom w:val="single" w:sz="4" w:space="0" w:color="auto"/>
            </w:tcBorders>
            <w:vAlign w:val="center"/>
          </w:tcPr>
          <w:p w14:paraId="30CB132E" w14:textId="77777777" w:rsidR="00F02007" w:rsidRPr="00B54968" w:rsidRDefault="00F02007" w:rsidP="003E2009">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Plaque psoriasis</w:t>
            </w:r>
          </w:p>
        </w:tc>
        <w:tc>
          <w:tcPr>
            <w:tcW w:w="965" w:type="dxa"/>
            <w:tcBorders>
              <w:bottom w:val="single" w:sz="4" w:space="0" w:color="auto"/>
            </w:tcBorders>
            <w:vAlign w:val="center"/>
          </w:tcPr>
          <w:p w14:paraId="79AB9716"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281</w:t>
            </w:r>
          </w:p>
        </w:tc>
        <w:tc>
          <w:tcPr>
            <w:tcW w:w="965" w:type="dxa"/>
            <w:tcBorders>
              <w:bottom w:val="single" w:sz="4" w:space="0" w:color="auto"/>
            </w:tcBorders>
            <w:vAlign w:val="center"/>
          </w:tcPr>
          <w:p w14:paraId="46D01CDB"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1175</w:t>
            </w:r>
          </w:p>
        </w:tc>
        <w:tc>
          <w:tcPr>
            <w:tcW w:w="966" w:type="dxa"/>
            <w:tcBorders>
              <w:bottom w:val="single" w:sz="4" w:space="0" w:color="auto"/>
            </w:tcBorders>
            <w:vAlign w:val="center"/>
          </w:tcPr>
          <w:p w14:paraId="38EFCCC2"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16.1</w:t>
            </w:r>
          </w:p>
        </w:tc>
        <w:tc>
          <w:tcPr>
            <w:tcW w:w="965" w:type="dxa"/>
            <w:tcBorders>
              <w:bottom w:val="single" w:sz="4" w:space="0" w:color="auto"/>
            </w:tcBorders>
            <w:vAlign w:val="center"/>
          </w:tcPr>
          <w:p w14:paraId="628F0817"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50.1</w:t>
            </w:r>
          </w:p>
        </w:tc>
        <w:tc>
          <w:tcPr>
            <w:tcW w:w="965" w:type="dxa"/>
            <w:tcBorders>
              <w:bottom w:val="single" w:sz="4" w:space="0" w:color="auto"/>
            </w:tcBorders>
            <w:vAlign w:val="center"/>
          </w:tcPr>
          <w:p w14:paraId="24363D7D"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0.4%</w:t>
            </w:r>
          </w:p>
        </w:tc>
        <w:tc>
          <w:tcPr>
            <w:tcW w:w="966" w:type="dxa"/>
            <w:tcBorders>
              <w:bottom w:val="single" w:sz="4" w:space="0" w:color="auto"/>
            </w:tcBorders>
            <w:vAlign w:val="center"/>
          </w:tcPr>
          <w:p w14:paraId="4FE1A3CD"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7.7%</w:t>
            </w:r>
          </w:p>
        </w:tc>
        <w:tc>
          <w:tcPr>
            <w:tcW w:w="965" w:type="dxa"/>
            <w:tcBorders>
              <w:bottom w:val="single" w:sz="4" w:space="0" w:color="auto"/>
            </w:tcBorders>
            <w:vAlign w:val="center"/>
          </w:tcPr>
          <w:p w14:paraId="1E55BC94"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tcBorders>
              <w:bottom w:val="single" w:sz="4" w:space="0" w:color="auto"/>
            </w:tcBorders>
            <w:vAlign w:val="center"/>
          </w:tcPr>
          <w:p w14:paraId="5A3029B8" w14:textId="77777777" w:rsidR="00F02007" w:rsidRPr="00B54968" w:rsidRDefault="00F02007" w:rsidP="003E200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3.4%</w:t>
            </w:r>
          </w:p>
        </w:tc>
      </w:tr>
      <w:tr w:rsidR="00F02007" w:rsidRPr="00B54968" w14:paraId="708FF6AB" w14:textId="77777777" w:rsidTr="00F02007">
        <w:tc>
          <w:tcPr>
            <w:tcW w:w="9005" w:type="dxa"/>
            <w:gridSpan w:val="9"/>
            <w:tcBorders>
              <w:top w:val="single" w:sz="4" w:space="0" w:color="auto"/>
              <w:left w:val="nil"/>
              <w:bottom w:val="nil"/>
              <w:right w:val="nil"/>
            </w:tcBorders>
            <w:vAlign w:val="center"/>
          </w:tcPr>
          <w:p w14:paraId="6F6367B1" w14:textId="77777777" w:rsidR="00F02007" w:rsidRPr="00B54968" w:rsidRDefault="00F02007" w:rsidP="003E2009">
            <w:pPr>
              <w:adjustRightInd w:val="0"/>
              <w:spacing w:before="20" w:line="184"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vertAlign w:val="superscript"/>
              </w:rPr>
              <w:t>1</w:t>
            </w:r>
            <w:r w:rsidRPr="00B54968">
              <w:rPr>
                <w:rFonts w:ascii="Times New Roman" w:hAnsi="Times New Roman" w:cs="Times New Roman"/>
                <w:color w:val="000000"/>
                <w:spacing w:val="-2"/>
                <w:sz w:val="16"/>
                <w:szCs w:val="16"/>
              </w:rPr>
              <w:t xml:space="preserve"> Placebo patients received methotrexate while infliximab patients received both infliximab and methotrexate. </w:t>
            </w:r>
          </w:p>
          <w:p w14:paraId="538DD448" w14:textId="77777777" w:rsidR="00F02007" w:rsidRPr="00B54968" w:rsidRDefault="00F02007" w:rsidP="003E2009">
            <w:pPr>
              <w:adjustRightInd w:val="0"/>
              <w:spacing w:before="20" w:line="180" w:lineRule="exact"/>
              <w:ind w:right="-175"/>
              <w:rPr>
                <w:rFonts w:ascii="Times New Roman" w:hAnsi="Times New Roman" w:cs="Times New Roman"/>
                <w:color w:val="000000"/>
                <w:spacing w:val="-2"/>
                <w:sz w:val="16"/>
                <w:szCs w:val="16"/>
              </w:rPr>
            </w:pPr>
            <w:r w:rsidRPr="00B54968">
              <w:rPr>
                <w:rFonts w:ascii="Times New Roman" w:hAnsi="Times New Roman" w:cs="Times New Roman"/>
                <w:color w:val="000000"/>
                <w:spacing w:val="-1"/>
                <w:sz w:val="16"/>
                <w:szCs w:val="16"/>
                <w:vertAlign w:val="superscript"/>
              </w:rPr>
              <w:t>2</w:t>
            </w:r>
            <w:r w:rsidRPr="00B54968">
              <w:rPr>
                <w:rFonts w:ascii="Times New Roman" w:hAnsi="Times New Roman" w:cs="Times New Roman"/>
                <w:color w:val="000000"/>
                <w:spacing w:val="-1"/>
                <w:sz w:val="16"/>
                <w:szCs w:val="16"/>
              </w:rPr>
              <w:t xml:space="preserve"> Placebo patients in the 2 Phase III trials in Crohn’s disease, ACCENT I and ACCENT II, received an initial dose of 5 mg/kg </w:t>
            </w:r>
            <w:r w:rsidRPr="00B54968">
              <w:rPr>
                <w:rFonts w:ascii="Times New Roman" w:hAnsi="Times New Roman" w:cs="Times New Roman"/>
                <w:color w:val="000000"/>
                <w:spacing w:val="-1"/>
                <w:sz w:val="16"/>
                <w:szCs w:val="16"/>
              </w:rPr>
              <w:br/>
            </w:r>
            <w:r w:rsidRPr="00B54968">
              <w:rPr>
                <w:rFonts w:ascii="Times New Roman" w:hAnsi="Times New Roman" w:cs="Times New Roman"/>
                <w:color w:val="000000"/>
                <w:spacing w:val="-2"/>
                <w:sz w:val="16"/>
                <w:szCs w:val="16"/>
              </w:rPr>
              <w:t xml:space="preserve">infliximab at study start and were on placebo in the maintenance phase.  Patients who were </w:t>
            </w:r>
            <w:proofErr w:type="spellStart"/>
            <w:r w:rsidRPr="00B54968">
              <w:rPr>
                <w:rFonts w:ascii="Times New Roman" w:hAnsi="Times New Roman" w:cs="Times New Roman"/>
                <w:color w:val="000000"/>
                <w:spacing w:val="-2"/>
                <w:sz w:val="16"/>
                <w:szCs w:val="16"/>
              </w:rPr>
              <w:t>randomised</w:t>
            </w:r>
            <w:proofErr w:type="spellEnd"/>
            <w:r w:rsidRPr="00B54968">
              <w:rPr>
                <w:rFonts w:ascii="Times New Roman" w:hAnsi="Times New Roman" w:cs="Times New Roman"/>
                <w:color w:val="000000"/>
                <w:spacing w:val="-2"/>
                <w:sz w:val="16"/>
                <w:szCs w:val="16"/>
              </w:rPr>
              <w:t xml:space="preserve"> to the placebo </w:t>
            </w:r>
            <w:r w:rsidRPr="00B54968">
              <w:rPr>
                <w:rFonts w:ascii="Times New Roman" w:hAnsi="Times New Roman" w:cs="Times New Roman"/>
                <w:color w:val="000000"/>
                <w:spacing w:val="-2"/>
                <w:sz w:val="16"/>
                <w:szCs w:val="16"/>
              </w:rPr>
              <w:br/>
              <w:t xml:space="preserve">maintenance group and then later crossed over to infliximab are included in the infliximab group in the ALT analysis. </w:t>
            </w:r>
          </w:p>
          <w:p w14:paraId="0315A60D" w14:textId="77777777" w:rsidR="00F02007" w:rsidRPr="00B54968" w:rsidRDefault="00F02007" w:rsidP="003E2009">
            <w:pPr>
              <w:adjustRightInd w:val="0"/>
              <w:spacing w:before="17" w:line="184"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vertAlign w:val="superscript"/>
              </w:rPr>
              <w:t xml:space="preserve">3 </w:t>
            </w:r>
            <w:r w:rsidRPr="00B54968">
              <w:rPr>
                <w:rFonts w:ascii="Times New Roman" w:hAnsi="Times New Roman" w:cs="Times New Roman"/>
                <w:color w:val="000000"/>
                <w:spacing w:val="-2"/>
                <w:sz w:val="16"/>
                <w:szCs w:val="16"/>
              </w:rPr>
              <w:t xml:space="preserve">Median follow-up is based on patients treated. </w:t>
            </w:r>
          </w:p>
        </w:tc>
      </w:tr>
    </w:tbl>
    <w:p w14:paraId="69F3DF48" w14:textId="5352899A" w:rsidR="0089177D" w:rsidRDefault="0089177D" w:rsidP="003E2009">
      <w:pPr>
        <w:rPr>
          <w:rFonts w:ascii="Times New Roman" w:eastAsia="Batang" w:hAnsi="Times New Roman" w:cs="Times New Roman"/>
          <w:b/>
          <w:bCs/>
          <w:lang w:eastAsia="en-US"/>
        </w:rPr>
      </w:pPr>
    </w:p>
    <w:p w14:paraId="46FC7FCF" w14:textId="01D9B687" w:rsidR="0089177D" w:rsidRPr="00B54968" w:rsidRDefault="0089177D" w:rsidP="003E2009">
      <w:pPr>
        <w:rPr>
          <w:rFonts w:ascii="Times New Roman" w:eastAsia="Batang" w:hAnsi="Times New Roman" w:cs="Times New Roman"/>
          <w:lang w:eastAsia="en-US"/>
        </w:rPr>
      </w:pPr>
      <w:r w:rsidRPr="00B54968">
        <w:rPr>
          <w:rFonts w:ascii="Times New Roman" w:eastAsia="Batang" w:hAnsi="Times New Roman" w:cs="Times New Roman"/>
          <w:lang w:eastAsia="en-US"/>
        </w:rPr>
        <w:t>Table 1</w:t>
      </w:r>
      <w:r>
        <w:rPr>
          <w:rFonts w:ascii="Times New Roman" w:eastAsia="Batang" w:hAnsi="Times New Roman" w:cs="Times New Roman"/>
          <w:lang w:eastAsia="en-US"/>
        </w:rPr>
        <w:t>9</w:t>
      </w:r>
      <w:r w:rsidRPr="00B54968">
        <w:rPr>
          <w:rFonts w:ascii="Times New Roman" w:eastAsia="Batang" w:hAnsi="Times New Roman" w:cs="Times New Roman"/>
          <w:lang w:eastAsia="en-US"/>
        </w:rPr>
        <w:t xml:space="preserve"> and Table </w:t>
      </w:r>
      <w:r>
        <w:rPr>
          <w:rFonts w:ascii="Times New Roman" w:eastAsia="Batang" w:hAnsi="Times New Roman" w:cs="Times New Roman"/>
          <w:lang w:eastAsia="en-US"/>
        </w:rPr>
        <w:t>20</w:t>
      </w:r>
      <w:r w:rsidRPr="00B54968">
        <w:rPr>
          <w:rFonts w:ascii="Times New Roman" w:eastAsia="Batang" w:hAnsi="Times New Roman" w:cs="Times New Roman"/>
          <w:lang w:eastAsia="ko-KR"/>
        </w:rPr>
        <w:t xml:space="preserve"> </w:t>
      </w:r>
      <w:r>
        <w:rPr>
          <w:rFonts w:ascii="Times New Roman" w:eastAsia="Batang" w:hAnsi="Times New Roman" w:cs="Times New Roman"/>
          <w:lang w:eastAsia="ko-KR"/>
        </w:rPr>
        <w:t xml:space="preserve">shows the </w:t>
      </w:r>
      <w:r>
        <w:rPr>
          <w:rFonts w:ascii="Times New Roman" w:eastAsia="Batang" w:hAnsi="Times New Roman" w:cs="Times New Roman"/>
          <w:lang w:eastAsia="en-US"/>
        </w:rPr>
        <w:t>p</w:t>
      </w:r>
      <w:r w:rsidRPr="00B54968" w:rsidDel="00A35424">
        <w:rPr>
          <w:rFonts w:ascii="Times New Roman" w:eastAsia="Batang" w:hAnsi="Times New Roman" w:cs="Times New Roman"/>
          <w:lang w:eastAsia="en-US"/>
        </w:rPr>
        <w:t xml:space="preserve">roportion of patients with elevated ALT and AST in </w:t>
      </w:r>
      <w:r w:rsidR="00281C64">
        <w:rPr>
          <w:rFonts w:ascii="Times New Roman" w:hAnsi="Times New Roman" w:cs="Times New Roman"/>
        </w:rPr>
        <w:t>INFLECTRA</w:t>
      </w:r>
      <w:r w:rsidRPr="00B54968">
        <w:rPr>
          <w:rFonts w:ascii="Times New Roman" w:eastAsia="Malgun Gothic" w:hAnsi="Times New Roman" w:cs="Times New Roman"/>
          <w:vertAlign w:val="superscript"/>
        </w:rPr>
        <w:t>®</w:t>
      </w:r>
      <w:r w:rsidRPr="00B54968" w:rsidDel="00A35424">
        <w:rPr>
          <w:rFonts w:ascii="Times New Roman" w:eastAsia="Batang" w:hAnsi="Times New Roman" w:cs="Times New Roman"/>
          <w:lang w:eastAsia="en-US"/>
        </w:rPr>
        <w:t xml:space="preserve"> Clinical Trials</w:t>
      </w:r>
    </w:p>
    <w:p w14:paraId="5FBFF96B" w14:textId="183C1BCF" w:rsidR="0089177D" w:rsidRPr="00364D52" w:rsidDel="00A35424" w:rsidRDefault="0089177D" w:rsidP="003E2009">
      <w:pPr>
        <w:pStyle w:val="NoSpacing"/>
        <w:spacing w:after="240"/>
        <w:ind w:left="1440" w:hanging="1440"/>
        <w:rPr>
          <w:rFonts w:eastAsia="Batang"/>
          <w:b/>
          <w:bCs/>
          <w:sz w:val="22"/>
        </w:rPr>
      </w:pPr>
      <w:r w:rsidRPr="00364D52" w:rsidDel="00A35424">
        <w:rPr>
          <w:rFonts w:eastAsia="Batang"/>
          <w:b/>
          <w:bCs/>
          <w:sz w:val="22"/>
        </w:rPr>
        <w:t>Table</w:t>
      </w:r>
      <w:r w:rsidRPr="00364D52">
        <w:rPr>
          <w:rFonts w:eastAsia="Batang"/>
          <w:b/>
          <w:bCs/>
          <w:sz w:val="22"/>
        </w:rPr>
        <w:t xml:space="preserve"> </w:t>
      </w:r>
      <w:r>
        <w:rPr>
          <w:rFonts w:eastAsia="Batang"/>
          <w:b/>
          <w:bCs/>
          <w:sz w:val="22"/>
        </w:rPr>
        <w:t>19</w:t>
      </w:r>
      <w:r w:rsidRPr="00364D52" w:rsidDel="00A35424">
        <w:rPr>
          <w:rFonts w:eastAsia="Batang"/>
          <w:b/>
          <w:bCs/>
          <w:sz w:val="22"/>
        </w:rPr>
        <w:t>:</w:t>
      </w:r>
      <w:r>
        <w:rPr>
          <w:rFonts w:eastAsia="Batang" w:hint="eastAsia"/>
          <w:b/>
          <w:bCs/>
          <w:sz w:val="22"/>
          <w:lang w:eastAsia="ko-KR"/>
        </w:rPr>
        <w:tab/>
      </w:r>
      <w:r w:rsidRPr="00364D52" w:rsidDel="00A35424">
        <w:rPr>
          <w:rFonts w:eastAsia="Batang"/>
          <w:b/>
          <w:bCs/>
          <w:sz w:val="22"/>
        </w:rPr>
        <w:t xml:space="preserve">Proportion of </w:t>
      </w:r>
      <w:r w:rsidRPr="00364D52">
        <w:rPr>
          <w:rFonts w:eastAsia="Batang"/>
          <w:b/>
          <w:bCs/>
          <w:sz w:val="22"/>
        </w:rPr>
        <w:t>P</w:t>
      </w:r>
      <w:r w:rsidRPr="00364D52" w:rsidDel="00A35424">
        <w:rPr>
          <w:rFonts w:eastAsia="Batang"/>
          <w:b/>
          <w:bCs/>
          <w:sz w:val="22"/>
        </w:rPr>
        <w:t xml:space="preserve">atients with </w:t>
      </w:r>
      <w:r w:rsidRPr="00364D52">
        <w:rPr>
          <w:rFonts w:eastAsia="Batang"/>
          <w:b/>
          <w:bCs/>
          <w:sz w:val="22"/>
        </w:rPr>
        <w:t>E</w:t>
      </w:r>
      <w:r w:rsidRPr="00364D52" w:rsidDel="00A35424">
        <w:rPr>
          <w:rFonts w:eastAsia="Batang"/>
          <w:b/>
          <w:bCs/>
          <w:sz w:val="22"/>
        </w:rPr>
        <w:t xml:space="preserve">levated ALT in </w:t>
      </w:r>
      <w:r w:rsidR="00281C64">
        <w:rPr>
          <w:rFonts w:eastAsia="Batang"/>
          <w:b/>
          <w:bCs/>
          <w:sz w:val="22"/>
        </w:rPr>
        <w:t>INFLECTRA</w:t>
      </w:r>
      <w:r w:rsidRPr="00BA6D8C">
        <w:rPr>
          <w:rFonts w:eastAsia="Batang"/>
          <w:b/>
          <w:bCs/>
          <w:sz w:val="22"/>
          <w:vertAlign w:val="superscript"/>
        </w:rPr>
        <w:t>®</w:t>
      </w:r>
      <w:r w:rsidRPr="00364D52" w:rsidDel="00A35424">
        <w:rPr>
          <w:rFonts w:eastAsia="Batang"/>
          <w:b/>
          <w:bCs/>
          <w:sz w:val="22"/>
        </w:rPr>
        <w:t xml:space="preserve"> Clinical Trials</w:t>
      </w: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0"/>
        <w:gridCol w:w="685"/>
        <w:gridCol w:w="685"/>
        <w:gridCol w:w="787"/>
        <w:gridCol w:w="721"/>
        <w:gridCol w:w="722"/>
        <w:gridCol w:w="721"/>
        <w:gridCol w:w="682"/>
        <w:gridCol w:w="682"/>
        <w:gridCol w:w="802"/>
        <w:gridCol w:w="721"/>
        <w:gridCol w:w="719"/>
      </w:tblGrid>
      <w:tr w:rsidR="0089177D" w:rsidRPr="00B54968" w:rsidDel="00A35424" w14:paraId="617B0E7A" w14:textId="77777777" w:rsidTr="00051AEE">
        <w:trPr>
          <w:tblHeader/>
        </w:trPr>
        <w:tc>
          <w:tcPr>
            <w:tcW w:w="308" w:type="pct"/>
          </w:tcPr>
          <w:p w14:paraId="62D07A2D"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lang w:eastAsia="en-US"/>
              </w:rPr>
            </w:pPr>
          </w:p>
        </w:tc>
        <w:tc>
          <w:tcPr>
            <w:tcW w:w="4692" w:type="pct"/>
            <w:gridSpan w:val="12"/>
          </w:tcPr>
          <w:p w14:paraId="72EBF74C"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bCs/>
                <w:sz w:val="20"/>
                <w:szCs w:val="20"/>
                <w:u w:val="single"/>
                <w:lang w:eastAsia="en-US"/>
              </w:rPr>
            </w:pPr>
            <w:r w:rsidRPr="00F55576" w:rsidDel="00A35424">
              <w:rPr>
                <w:rFonts w:ascii="Times New Roman" w:eastAsia="Batang" w:hAnsi="Times New Roman" w:cs="Times New Roman"/>
                <w:bCs/>
                <w:sz w:val="20"/>
                <w:szCs w:val="20"/>
                <w:u w:val="single"/>
                <w:lang w:eastAsia="en-US"/>
              </w:rPr>
              <w:t>Proportion of patients with elevated ALT</w:t>
            </w:r>
          </w:p>
        </w:tc>
      </w:tr>
      <w:tr w:rsidR="0089177D" w:rsidRPr="00B54968" w:rsidDel="00A35424" w14:paraId="5F931045" w14:textId="77777777" w:rsidTr="00051AEE">
        <w:trPr>
          <w:tblHeader/>
        </w:trPr>
        <w:tc>
          <w:tcPr>
            <w:tcW w:w="308" w:type="pct"/>
          </w:tcPr>
          <w:p w14:paraId="48E73F81"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lang w:eastAsia="en-US"/>
              </w:rPr>
            </w:pPr>
          </w:p>
        </w:tc>
        <w:tc>
          <w:tcPr>
            <w:tcW w:w="2345" w:type="pct"/>
            <w:gridSpan w:val="6"/>
          </w:tcPr>
          <w:p w14:paraId="6A7C01E4" w14:textId="5503819B" w:rsidR="0089177D" w:rsidRPr="00F55576" w:rsidDel="00A35424" w:rsidRDefault="00281C64" w:rsidP="003E2009">
            <w:pPr>
              <w:autoSpaceDE w:val="0"/>
              <w:autoSpaceDN w:val="0"/>
              <w:adjustRightInd w:val="0"/>
              <w:spacing w:after="0" w:line="240" w:lineRule="auto"/>
              <w:rPr>
                <w:rFonts w:ascii="Times New Roman" w:eastAsia="Batang" w:hAnsi="Times New Roman" w:cs="Times New Roman"/>
                <w:sz w:val="20"/>
                <w:szCs w:val="20"/>
                <w:u w:val="single"/>
                <w:lang w:eastAsia="ko-KR"/>
              </w:rPr>
            </w:pPr>
            <w:r>
              <w:rPr>
                <w:rFonts w:ascii="Times New Roman" w:eastAsia="Batang" w:hAnsi="Times New Roman" w:cs="Times New Roman"/>
                <w:sz w:val="20"/>
                <w:szCs w:val="20"/>
                <w:u w:val="single"/>
                <w:lang w:eastAsia="ko-KR"/>
              </w:rPr>
              <w:t>INFLECTRA</w:t>
            </w:r>
            <w:r w:rsidR="0089177D" w:rsidRPr="00BA6D8C">
              <w:rPr>
                <w:rFonts w:ascii="Times New Roman" w:eastAsia="Batang" w:hAnsi="Times New Roman" w:cs="Times New Roman"/>
                <w:sz w:val="20"/>
                <w:szCs w:val="20"/>
                <w:u w:val="single"/>
                <w:vertAlign w:val="superscript"/>
                <w:lang w:eastAsia="ko-KR"/>
              </w:rPr>
              <w:t>®</w:t>
            </w:r>
            <w:r w:rsidR="0089177D" w:rsidRPr="00F55576">
              <w:rPr>
                <w:rFonts w:ascii="Times New Roman" w:eastAsia="Batang" w:hAnsi="Times New Roman" w:cs="Times New Roman"/>
                <w:sz w:val="20"/>
                <w:szCs w:val="20"/>
                <w:u w:val="single"/>
                <w:lang w:eastAsia="ko-KR"/>
              </w:rPr>
              <w:t xml:space="preserve"> </w:t>
            </w:r>
            <w:r w:rsidR="0089177D" w:rsidRPr="00F55576" w:rsidDel="00A35424">
              <w:rPr>
                <w:rFonts w:ascii="Times New Roman" w:eastAsia="Batang" w:hAnsi="Times New Roman" w:cs="Times New Roman"/>
                <w:sz w:val="20"/>
                <w:szCs w:val="20"/>
                <w:vertAlign w:val="superscript"/>
                <w:lang w:eastAsia="ko-KR"/>
              </w:rPr>
              <w:t>2</w:t>
            </w:r>
          </w:p>
        </w:tc>
        <w:tc>
          <w:tcPr>
            <w:tcW w:w="2347" w:type="pct"/>
            <w:gridSpan w:val="6"/>
          </w:tcPr>
          <w:p w14:paraId="3261735A"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R</w:t>
            </w:r>
            <w:r w:rsidRPr="00F55576">
              <w:rPr>
                <w:rFonts w:ascii="Times New Roman" w:eastAsia="Batang" w:hAnsi="Times New Roman" w:cs="Times New Roman"/>
                <w:sz w:val="20"/>
                <w:szCs w:val="20"/>
                <w:u w:val="single"/>
                <w:lang w:eastAsia="ko-KR"/>
              </w:rPr>
              <w:t>EMICADE</w:t>
            </w:r>
            <w:r w:rsidRPr="00F55576">
              <w:rPr>
                <w:rFonts w:ascii="Times New Roman" w:eastAsia="Times New Roman" w:hAnsi="Times New Roman" w:cs="Times New Roman"/>
                <w:sz w:val="20"/>
                <w:szCs w:val="20"/>
                <w:vertAlign w:val="superscript"/>
                <w:lang w:eastAsia="ko-KR"/>
              </w:rPr>
              <w:t>®</w:t>
            </w:r>
            <w:r w:rsidRPr="00F55576" w:rsidDel="00A35424">
              <w:rPr>
                <w:rFonts w:ascii="Times New Roman" w:eastAsia="Batang" w:hAnsi="Times New Roman" w:cs="Times New Roman"/>
                <w:sz w:val="20"/>
                <w:szCs w:val="20"/>
                <w:vertAlign w:val="superscript"/>
                <w:lang w:eastAsia="ko-KR"/>
              </w:rPr>
              <w:t>3</w:t>
            </w:r>
          </w:p>
        </w:tc>
      </w:tr>
      <w:tr w:rsidR="00F55576" w:rsidRPr="00B54968" w:rsidDel="00A35424" w14:paraId="624AC92D" w14:textId="77777777" w:rsidTr="00BB5E5C">
        <w:tc>
          <w:tcPr>
            <w:tcW w:w="308" w:type="pct"/>
          </w:tcPr>
          <w:p w14:paraId="27E41955"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lang w:eastAsia="en-US"/>
              </w:rPr>
            </w:pPr>
          </w:p>
        </w:tc>
        <w:tc>
          <w:tcPr>
            <w:tcW w:w="1135" w:type="pct"/>
            <w:gridSpan w:val="3"/>
          </w:tcPr>
          <w:p w14:paraId="74ACABCA"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210" w:type="pct"/>
            <w:gridSpan w:val="3"/>
          </w:tcPr>
          <w:p w14:paraId="1F476363"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c>
          <w:tcPr>
            <w:tcW w:w="1131" w:type="pct"/>
            <w:gridSpan w:val="3"/>
          </w:tcPr>
          <w:p w14:paraId="10BCA250"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216" w:type="pct"/>
            <w:gridSpan w:val="3"/>
          </w:tcPr>
          <w:p w14:paraId="2FAB8645"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r>
      <w:tr w:rsidR="00F55576" w:rsidRPr="00B54968" w:rsidDel="00A35424" w14:paraId="1E968B2A" w14:textId="77777777" w:rsidTr="00BB5E5C">
        <w:tc>
          <w:tcPr>
            <w:tcW w:w="308" w:type="pct"/>
          </w:tcPr>
          <w:p w14:paraId="6A14A175"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lang w:eastAsia="en-US"/>
              </w:rPr>
            </w:pPr>
          </w:p>
        </w:tc>
        <w:tc>
          <w:tcPr>
            <w:tcW w:w="391" w:type="pct"/>
            <w:vAlign w:val="center"/>
          </w:tcPr>
          <w:p w14:paraId="3482E4BD"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72" w:type="pct"/>
            <w:vAlign w:val="center"/>
          </w:tcPr>
          <w:p w14:paraId="1C8DFB55"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72" w:type="pct"/>
            <w:vAlign w:val="center"/>
          </w:tcPr>
          <w:p w14:paraId="0DEFA919"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27" w:type="pct"/>
            <w:vAlign w:val="center"/>
          </w:tcPr>
          <w:p w14:paraId="3E36E6EB"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91" w:type="pct"/>
            <w:vAlign w:val="center"/>
          </w:tcPr>
          <w:p w14:paraId="5B45A01C"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92" w:type="pct"/>
            <w:vAlign w:val="center"/>
          </w:tcPr>
          <w:p w14:paraId="191C2ABD"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391" w:type="pct"/>
            <w:vAlign w:val="center"/>
          </w:tcPr>
          <w:p w14:paraId="68A062F5"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70" w:type="pct"/>
            <w:vAlign w:val="center"/>
          </w:tcPr>
          <w:p w14:paraId="6C014A16"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70" w:type="pct"/>
            <w:vAlign w:val="center"/>
          </w:tcPr>
          <w:p w14:paraId="08841C37"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35" w:type="pct"/>
            <w:vAlign w:val="center"/>
          </w:tcPr>
          <w:p w14:paraId="4F3B24F3"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91" w:type="pct"/>
            <w:vAlign w:val="center"/>
          </w:tcPr>
          <w:p w14:paraId="2B05563F"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89" w:type="pct"/>
            <w:vAlign w:val="center"/>
          </w:tcPr>
          <w:p w14:paraId="06CA6BCF"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r>
      <w:tr w:rsidR="00F55576" w:rsidRPr="00B54968" w:rsidDel="00A35424" w14:paraId="7B463655" w14:textId="77777777" w:rsidTr="00BB5E5C">
        <w:trPr>
          <w:trHeight w:val="629"/>
        </w:trPr>
        <w:tc>
          <w:tcPr>
            <w:tcW w:w="308" w:type="pct"/>
            <w:vAlign w:val="center"/>
          </w:tcPr>
          <w:p w14:paraId="10658F1F" w14:textId="12D6206F" w:rsidR="0089177D" w:rsidRPr="00BB5E5C" w:rsidDel="00A35424" w:rsidRDefault="0089177D" w:rsidP="003E2009">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sidDel="00A35424">
              <w:rPr>
                <w:rFonts w:ascii="Times New Roman" w:eastAsia="Batang" w:hAnsi="Times New Roman" w:cs="Times New Roman"/>
                <w:sz w:val="20"/>
                <w:lang w:eastAsia="ko-KR"/>
              </w:rPr>
              <w:lastRenderedPageBreak/>
              <w:t>RA</w:t>
            </w:r>
          </w:p>
        </w:tc>
        <w:tc>
          <w:tcPr>
            <w:tcW w:w="391" w:type="pct"/>
            <w:vAlign w:val="center"/>
          </w:tcPr>
          <w:p w14:paraId="233048F8" w14:textId="77777777" w:rsidR="0089177D" w:rsidRPr="00B54968"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3</w:t>
            </w:r>
          </w:p>
          <w:p w14:paraId="0E6C081F"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(1.0%)</w:t>
            </w:r>
          </w:p>
        </w:tc>
        <w:tc>
          <w:tcPr>
            <w:tcW w:w="372" w:type="pct"/>
            <w:vAlign w:val="center"/>
          </w:tcPr>
          <w:p w14:paraId="61803F50"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372" w:type="pct"/>
            <w:vAlign w:val="center"/>
          </w:tcPr>
          <w:p w14:paraId="1009C6CB"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427" w:type="pct"/>
            <w:vAlign w:val="center"/>
          </w:tcPr>
          <w:p w14:paraId="621C0E58" w14:textId="77777777" w:rsidR="0089177D" w:rsidRPr="00B54968"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123</w:t>
            </w:r>
          </w:p>
          <w:p w14:paraId="695F3370"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(40.7%)</w:t>
            </w:r>
          </w:p>
        </w:tc>
        <w:tc>
          <w:tcPr>
            <w:tcW w:w="391" w:type="pct"/>
            <w:vAlign w:val="center"/>
          </w:tcPr>
          <w:p w14:paraId="044537FE" w14:textId="77777777" w:rsidR="0089177D" w:rsidRPr="00B54968"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19</w:t>
            </w:r>
          </w:p>
          <w:p w14:paraId="6E81B8C1"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(6.3%)</w:t>
            </w:r>
          </w:p>
        </w:tc>
        <w:tc>
          <w:tcPr>
            <w:tcW w:w="392" w:type="pct"/>
            <w:vAlign w:val="center"/>
          </w:tcPr>
          <w:p w14:paraId="0199A7C6" w14:textId="77777777" w:rsidR="0089177D" w:rsidRPr="00B54968"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5</w:t>
            </w:r>
          </w:p>
          <w:p w14:paraId="7EC5FA84"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(1.7%)</w:t>
            </w:r>
          </w:p>
        </w:tc>
        <w:tc>
          <w:tcPr>
            <w:tcW w:w="391" w:type="pct"/>
            <w:vAlign w:val="center"/>
          </w:tcPr>
          <w:p w14:paraId="0C28A4E0" w14:textId="77777777" w:rsidR="0089177D" w:rsidRPr="00B54968"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6</w:t>
            </w:r>
          </w:p>
          <w:p w14:paraId="0E49DB40"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(2.0%)</w:t>
            </w:r>
          </w:p>
        </w:tc>
        <w:tc>
          <w:tcPr>
            <w:tcW w:w="370" w:type="pct"/>
            <w:vAlign w:val="center"/>
          </w:tcPr>
          <w:p w14:paraId="426CF0BB"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370" w:type="pct"/>
            <w:vAlign w:val="center"/>
          </w:tcPr>
          <w:p w14:paraId="685BFE89"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435" w:type="pct"/>
            <w:vAlign w:val="center"/>
          </w:tcPr>
          <w:p w14:paraId="2C40CE59" w14:textId="77777777" w:rsidR="0089177D" w:rsidRPr="00B54968"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133</w:t>
            </w:r>
          </w:p>
          <w:p w14:paraId="4D38FA7B"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(44.3%)</w:t>
            </w:r>
          </w:p>
        </w:tc>
        <w:tc>
          <w:tcPr>
            <w:tcW w:w="391" w:type="pct"/>
            <w:vAlign w:val="center"/>
          </w:tcPr>
          <w:p w14:paraId="1DEE2BD5" w14:textId="77777777" w:rsidR="0089177D" w:rsidRPr="00B54968"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13</w:t>
            </w:r>
          </w:p>
          <w:p w14:paraId="55145A7A"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(4.3%)</w:t>
            </w:r>
          </w:p>
        </w:tc>
        <w:tc>
          <w:tcPr>
            <w:tcW w:w="389" w:type="pct"/>
            <w:vAlign w:val="center"/>
          </w:tcPr>
          <w:p w14:paraId="08DFDAD5" w14:textId="77777777" w:rsidR="0089177D" w:rsidRPr="00B54968"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4</w:t>
            </w:r>
          </w:p>
          <w:p w14:paraId="0EDACF0F"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(1.3%)</w:t>
            </w:r>
          </w:p>
        </w:tc>
      </w:tr>
      <w:tr w:rsidR="00F55576" w:rsidRPr="00B54968" w:rsidDel="00A35424" w14:paraId="35ACD152" w14:textId="77777777" w:rsidTr="00BB5E5C">
        <w:trPr>
          <w:trHeight w:val="629"/>
        </w:trPr>
        <w:tc>
          <w:tcPr>
            <w:tcW w:w="308" w:type="pct"/>
            <w:vAlign w:val="center"/>
          </w:tcPr>
          <w:p w14:paraId="4F9F4A72" w14:textId="77777777" w:rsidR="0089177D" w:rsidRPr="00BB5E5C" w:rsidDel="00A35424" w:rsidRDefault="0089177D" w:rsidP="003E2009">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sidDel="00A35424">
              <w:rPr>
                <w:rFonts w:ascii="Times New Roman" w:eastAsia="Batang" w:hAnsi="Times New Roman" w:cs="Times New Roman"/>
                <w:sz w:val="20"/>
                <w:lang w:eastAsia="ko-KR"/>
              </w:rPr>
              <w:t>AS</w:t>
            </w:r>
          </w:p>
        </w:tc>
        <w:tc>
          <w:tcPr>
            <w:tcW w:w="391" w:type="pct"/>
            <w:vAlign w:val="center"/>
          </w:tcPr>
          <w:p w14:paraId="2CF7E316" w14:textId="77777777" w:rsidR="0089177D" w:rsidRPr="00B54968"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en-US"/>
              </w:rPr>
              <w:t>1</w:t>
            </w:r>
          </w:p>
          <w:p w14:paraId="3CCF9D82"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en-US"/>
              </w:rPr>
            </w:pPr>
            <w:r w:rsidRPr="00F55576" w:rsidDel="00A35424">
              <w:rPr>
                <w:rFonts w:ascii="Times New Roman" w:eastAsia="Batang" w:hAnsi="Times New Roman" w:cs="Times New Roman"/>
                <w:sz w:val="16"/>
                <w:szCs w:val="18"/>
                <w:lang w:eastAsia="en-US"/>
              </w:rPr>
              <w:t>(0.8%)</w:t>
            </w:r>
          </w:p>
        </w:tc>
        <w:tc>
          <w:tcPr>
            <w:tcW w:w="372" w:type="pct"/>
            <w:vAlign w:val="center"/>
          </w:tcPr>
          <w:p w14:paraId="03DA47E4"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372" w:type="pct"/>
            <w:vAlign w:val="center"/>
          </w:tcPr>
          <w:p w14:paraId="6804AA20"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427" w:type="pct"/>
            <w:vAlign w:val="center"/>
          </w:tcPr>
          <w:p w14:paraId="15FF8597"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en-US"/>
              </w:rPr>
            </w:pPr>
            <w:r w:rsidRPr="00B54968" w:rsidDel="00A35424">
              <w:rPr>
                <w:rFonts w:ascii="Times New Roman" w:eastAsia="Batang" w:hAnsi="Times New Roman" w:cs="Times New Roman"/>
                <w:sz w:val="18"/>
                <w:szCs w:val="18"/>
                <w:lang w:eastAsia="en-US"/>
              </w:rPr>
              <w:t xml:space="preserve">62 </w:t>
            </w:r>
            <w:r w:rsidRPr="00F55576" w:rsidDel="00A35424">
              <w:rPr>
                <w:rFonts w:ascii="Times New Roman" w:eastAsia="Batang" w:hAnsi="Times New Roman" w:cs="Times New Roman"/>
                <w:sz w:val="16"/>
                <w:szCs w:val="18"/>
                <w:lang w:eastAsia="en-US"/>
              </w:rPr>
              <w:t>(48.4%)</w:t>
            </w:r>
          </w:p>
        </w:tc>
        <w:tc>
          <w:tcPr>
            <w:tcW w:w="391" w:type="pct"/>
            <w:vAlign w:val="center"/>
          </w:tcPr>
          <w:p w14:paraId="06B49DEB" w14:textId="77777777" w:rsidR="0089177D" w:rsidRPr="00B54968"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12</w:t>
            </w:r>
          </w:p>
          <w:p w14:paraId="5A1AEC5A"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(9.4%)</w:t>
            </w:r>
          </w:p>
        </w:tc>
        <w:tc>
          <w:tcPr>
            <w:tcW w:w="392" w:type="pct"/>
            <w:vAlign w:val="center"/>
          </w:tcPr>
          <w:p w14:paraId="55EA2A6F" w14:textId="77777777" w:rsidR="0089177D" w:rsidRPr="00B54968"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2</w:t>
            </w:r>
          </w:p>
          <w:p w14:paraId="136ADA31"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(1.6%)</w:t>
            </w:r>
          </w:p>
        </w:tc>
        <w:tc>
          <w:tcPr>
            <w:tcW w:w="391" w:type="pct"/>
            <w:vAlign w:val="center"/>
          </w:tcPr>
          <w:p w14:paraId="05413291" w14:textId="77777777" w:rsidR="0089177D" w:rsidRPr="00B54968"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5</w:t>
            </w:r>
          </w:p>
          <w:p w14:paraId="313D90F6"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(4.1%)</w:t>
            </w:r>
          </w:p>
        </w:tc>
        <w:tc>
          <w:tcPr>
            <w:tcW w:w="370" w:type="pct"/>
            <w:vAlign w:val="center"/>
          </w:tcPr>
          <w:p w14:paraId="21EEEE42"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0</w:t>
            </w:r>
          </w:p>
        </w:tc>
        <w:tc>
          <w:tcPr>
            <w:tcW w:w="370" w:type="pct"/>
            <w:vAlign w:val="center"/>
          </w:tcPr>
          <w:p w14:paraId="663718FD"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0</w:t>
            </w:r>
          </w:p>
        </w:tc>
        <w:tc>
          <w:tcPr>
            <w:tcW w:w="435" w:type="pct"/>
            <w:vAlign w:val="center"/>
          </w:tcPr>
          <w:p w14:paraId="6AC698E5" w14:textId="77777777" w:rsidR="0089177D" w:rsidRPr="00B54968"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59</w:t>
            </w:r>
          </w:p>
          <w:p w14:paraId="5FE4741D"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(48.4%)</w:t>
            </w:r>
          </w:p>
        </w:tc>
        <w:tc>
          <w:tcPr>
            <w:tcW w:w="391" w:type="pct"/>
            <w:vAlign w:val="center"/>
          </w:tcPr>
          <w:p w14:paraId="5A475E2A" w14:textId="77777777" w:rsidR="0089177D" w:rsidRPr="00B54968"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12</w:t>
            </w:r>
          </w:p>
          <w:p w14:paraId="7EF46518"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(9.8%)</w:t>
            </w:r>
          </w:p>
        </w:tc>
        <w:tc>
          <w:tcPr>
            <w:tcW w:w="389" w:type="pct"/>
            <w:vAlign w:val="center"/>
          </w:tcPr>
          <w:p w14:paraId="00D742E2" w14:textId="77777777" w:rsidR="0089177D" w:rsidRPr="00B54968"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3</w:t>
            </w:r>
          </w:p>
          <w:p w14:paraId="5D2D80A3"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(2.5%)</w:t>
            </w:r>
          </w:p>
        </w:tc>
      </w:tr>
    </w:tbl>
    <w:p w14:paraId="41E70F81" w14:textId="77777777" w:rsidR="0089177D" w:rsidRPr="00B54968" w:rsidDel="00A35424" w:rsidRDefault="0089177D" w:rsidP="003E2009">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1</w:t>
      </w:r>
      <w:r w:rsidRPr="00B54968" w:rsidDel="00A35424">
        <w:rPr>
          <w:rFonts w:ascii="Times New Roman" w:eastAsia="Batang" w:hAnsi="Times New Roman" w:cs="Times New Roman"/>
          <w:sz w:val="18"/>
          <w:lang w:eastAsia="ko-KR"/>
        </w:rPr>
        <w:t>: CTCAE (Common Terminology Criteria for Adverse Events) grading will be applied to the lowest and highest post-baseline values (which will include all data from scheduled, unscheduled</w:t>
      </w:r>
      <w:r w:rsidRPr="00B54968">
        <w:rPr>
          <w:rFonts w:ascii="Times New Roman" w:eastAsia="Batang" w:hAnsi="Times New Roman" w:cs="Times New Roman"/>
          <w:sz w:val="18"/>
          <w:lang w:eastAsia="ko-KR"/>
        </w:rPr>
        <w:t>,</w:t>
      </w:r>
      <w:r w:rsidRPr="00B54968" w:rsidDel="00A35424">
        <w:rPr>
          <w:rFonts w:ascii="Times New Roman" w:eastAsia="Batang" w:hAnsi="Times New Roman" w:cs="Times New Roman"/>
          <w:sz w:val="18"/>
          <w:lang w:eastAsia="ko-KR"/>
        </w:rPr>
        <w:t xml:space="preserve"> and repeat visits) for all numeric parameters where possible according CTCAE version 4.</w:t>
      </w:r>
    </w:p>
    <w:p w14:paraId="584AA419" w14:textId="77777777" w:rsidR="0089177D" w:rsidRPr="00B54968" w:rsidDel="00A35424" w:rsidRDefault="0089177D" w:rsidP="003E2009">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2</w:t>
      </w:r>
      <w:r w:rsidRPr="00B54968" w:rsidDel="00A35424">
        <w:rPr>
          <w:rFonts w:ascii="Times New Roman" w:eastAsia="Batang" w:hAnsi="Times New Roman" w:cs="Times New Roman"/>
          <w:sz w:val="18"/>
          <w:lang w:eastAsia="ko-KR"/>
        </w:rPr>
        <w:t>: Total patient number in RA</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302, Total patient number in AS</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128</w:t>
      </w:r>
    </w:p>
    <w:p w14:paraId="428643ED" w14:textId="77777777" w:rsidR="0089177D" w:rsidRPr="00B54968" w:rsidDel="00A35424" w:rsidRDefault="0089177D" w:rsidP="003E2009">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3</w:t>
      </w:r>
      <w:r w:rsidRPr="00B54968" w:rsidDel="00A35424">
        <w:rPr>
          <w:rFonts w:ascii="Times New Roman" w:eastAsia="Batang" w:hAnsi="Times New Roman" w:cs="Times New Roman"/>
          <w:sz w:val="18"/>
          <w:lang w:eastAsia="ko-KR"/>
        </w:rPr>
        <w:t>: Total patient number in RA</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300, Total patient number in AS</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122</w:t>
      </w:r>
    </w:p>
    <w:p w14:paraId="0E0A116C" w14:textId="26497706" w:rsidR="005357FD" w:rsidRDefault="005357FD" w:rsidP="003E2009">
      <w:pPr>
        <w:rPr>
          <w:rFonts w:ascii="Times New Roman" w:eastAsia="Batang" w:hAnsi="Times New Roman" w:cs="Times New Roman"/>
          <w:b/>
          <w:bCs/>
          <w:kern w:val="24"/>
          <w:szCs w:val="24"/>
          <w:lang w:eastAsia="en-US"/>
        </w:rPr>
      </w:pPr>
    </w:p>
    <w:p w14:paraId="7EDD0A9A" w14:textId="02900B00" w:rsidR="0089177D" w:rsidRPr="00B54968" w:rsidDel="00A35424" w:rsidRDefault="0089177D" w:rsidP="003E2009">
      <w:pPr>
        <w:pStyle w:val="NoSpacing"/>
        <w:spacing w:after="240"/>
        <w:ind w:left="1440" w:hanging="1440"/>
        <w:rPr>
          <w:rFonts w:eastAsia="Batang"/>
          <w:b/>
          <w:bCs/>
          <w:sz w:val="22"/>
          <w:szCs w:val="22"/>
          <w:lang w:val="x-none" w:eastAsia="x-none"/>
        </w:rPr>
      </w:pPr>
      <w:r w:rsidRPr="00364D52" w:rsidDel="00A35424">
        <w:rPr>
          <w:rFonts w:eastAsia="Batang"/>
          <w:b/>
          <w:bCs/>
          <w:sz w:val="22"/>
        </w:rPr>
        <w:t xml:space="preserve">Table </w:t>
      </w:r>
      <w:r>
        <w:rPr>
          <w:rFonts w:eastAsia="Batang"/>
          <w:b/>
          <w:bCs/>
          <w:sz w:val="22"/>
        </w:rPr>
        <w:t>20</w:t>
      </w:r>
      <w:r w:rsidRPr="00364D52" w:rsidDel="00A35424">
        <w:rPr>
          <w:rFonts w:eastAsia="Batang"/>
          <w:b/>
          <w:bCs/>
          <w:sz w:val="22"/>
        </w:rPr>
        <w:t>:</w:t>
      </w:r>
      <w:r>
        <w:rPr>
          <w:rFonts w:eastAsia="Batang" w:hint="eastAsia"/>
          <w:b/>
          <w:bCs/>
          <w:sz w:val="22"/>
          <w:lang w:eastAsia="ko-KR"/>
        </w:rPr>
        <w:tab/>
      </w:r>
      <w:r w:rsidRPr="00364D52" w:rsidDel="00A35424">
        <w:rPr>
          <w:rFonts w:eastAsia="Batang"/>
          <w:b/>
          <w:bCs/>
          <w:sz w:val="22"/>
        </w:rPr>
        <w:t xml:space="preserve">Proportion of </w:t>
      </w:r>
      <w:r w:rsidRPr="00364D52">
        <w:rPr>
          <w:rFonts w:eastAsia="Batang"/>
          <w:b/>
          <w:bCs/>
          <w:sz w:val="22"/>
        </w:rPr>
        <w:t>P</w:t>
      </w:r>
      <w:r w:rsidRPr="00364D52" w:rsidDel="00A35424">
        <w:rPr>
          <w:rFonts w:eastAsia="Batang"/>
          <w:b/>
          <w:bCs/>
          <w:sz w:val="22"/>
        </w:rPr>
        <w:t xml:space="preserve">atients with </w:t>
      </w:r>
      <w:r w:rsidRPr="00364D52">
        <w:rPr>
          <w:rFonts w:eastAsia="Batang"/>
          <w:b/>
          <w:bCs/>
          <w:sz w:val="22"/>
        </w:rPr>
        <w:t>E</w:t>
      </w:r>
      <w:r w:rsidRPr="00364D52" w:rsidDel="00A35424">
        <w:rPr>
          <w:rFonts w:eastAsia="Batang"/>
          <w:b/>
          <w:bCs/>
          <w:sz w:val="22"/>
        </w:rPr>
        <w:t xml:space="preserve">levated AST in </w:t>
      </w:r>
      <w:r w:rsidR="00281C64">
        <w:rPr>
          <w:rFonts w:eastAsia="Batang"/>
          <w:b/>
          <w:bCs/>
          <w:sz w:val="22"/>
        </w:rPr>
        <w:t>INFLECTRA</w:t>
      </w:r>
      <w:r w:rsidRPr="00BA6D8C">
        <w:rPr>
          <w:rFonts w:eastAsia="Batang"/>
          <w:b/>
          <w:bCs/>
          <w:sz w:val="22"/>
          <w:vertAlign w:val="superscript"/>
        </w:rPr>
        <w:t>®</w:t>
      </w:r>
      <w:r w:rsidRPr="00364D52" w:rsidDel="00A35424">
        <w:rPr>
          <w:rFonts w:eastAsia="Batang"/>
          <w:b/>
          <w:bCs/>
          <w:sz w:val="22"/>
        </w:rPr>
        <w:t xml:space="preserve"> Clinical Trials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23"/>
        <w:gridCol w:w="704"/>
        <w:gridCol w:w="704"/>
        <w:gridCol w:w="762"/>
        <w:gridCol w:w="723"/>
        <w:gridCol w:w="726"/>
        <w:gridCol w:w="723"/>
        <w:gridCol w:w="691"/>
        <w:gridCol w:w="693"/>
        <w:gridCol w:w="791"/>
        <w:gridCol w:w="723"/>
        <w:gridCol w:w="713"/>
      </w:tblGrid>
      <w:tr w:rsidR="0089177D" w:rsidRPr="00B54968" w:rsidDel="00A35424" w14:paraId="439DF7A3" w14:textId="77777777" w:rsidTr="00F55576">
        <w:tc>
          <w:tcPr>
            <w:tcW w:w="306" w:type="pct"/>
          </w:tcPr>
          <w:p w14:paraId="00ECAA77"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20"/>
                <w:szCs w:val="20"/>
                <w:lang w:eastAsia="en-US"/>
              </w:rPr>
            </w:pPr>
          </w:p>
        </w:tc>
        <w:tc>
          <w:tcPr>
            <w:tcW w:w="4694" w:type="pct"/>
            <w:gridSpan w:val="12"/>
          </w:tcPr>
          <w:p w14:paraId="125435BB"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bCs/>
                <w:sz w:val="20"/>
                <w:szCs w:val="20"/>
                <w:u w:val="single"/>
                <w:lang w:eastAsia="en-US"/>
              </w:rPr>
            </w:pPr>
            <w:r w:rsidRPr="00F55576" w:rsidDel="00A35424">
              <w:rPr>
                <w:rFonts w:ascii="Times New Roman" w:eastAsia="Batang" w:hAnsi="Times New Roman" w:cs="Times New Roman"/>
                <w:bCs/>
                <w:sz w:val="20"/>
                <w:szCs w:val="20"/>
                <w:u w:val="single"/>
                <w:lang w:eastAsia="en-US"/>
              </w:rPr>
              <w:t>Proportion of patients with elevated A</w:t>
            </w:r>
            <w:r w:rsidRPr="00F55576" w:rsidDel="00A35424">
              <w:rPr>
                <w:rFonts w:ascii="Times New Roman" w:eastAsia="Batang" w:hAnsi="Times New Roman" w:cs="Times New Roman"/>
                <w:bCs/>
                <w:sz w:val="20"/>
                <w:szCs w:val="20"/>
                <w:u w:val="single"/>
                <w:lang w:eastAsia="ko-KR"/>
              </w:rPr>
              <w:t>S</w:t>
            </w:r>
            <w:r w:rsidRPr="00F55576" w:rsidDel="00A35424">
              <w:rPr>
                <w:rFonts w:ascii="Times New Roman" w:eastAsia="Batang" w:hAnsi="Times New Roman" w:cs="Times New Roman"/>
                <w:bCs/>
                <w:sz w:val="20"/>
                <w:szCs w:val="20"/>
                <w:u w:val="single"/>
                <w:lang w:eastAsia="en-US"/>
              </w:rPr>
              <w:t>T</w:t>
            </w:r>
          </w:p>
        </w:tc>
      </w:tr>
      <w:tr w:rsidR="00F55576" w:rsidRPr="00B54968" w:rsidDel="00A35424" w14:paraId="39D428D7" w14:textId="77777777" w:rsidTr="00BB5E5C">
        <w:tc>
          <w:tcPr>
            <w:tcW w:w="306" w:type="pct"/>
          </w:tcPr>
          <w:p w14:paraId="1E32101B"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20"/>
                <w:szCs w:val="20"/>
                <w:lang w:eastAsia="en-US"/>
              </w:rPr>
            </w:pPr>
          </w:p>
        </w:tc>
        <w:tc>
          <w:tcPr>
            <w:tcW w:w="2349" w:type="pct"/>
            <w:gridSpan w:val="6"/>
          </w:tcPr>
          <w:p w14:paraId="01A09C8D" w14:textId="6B02C3DB" w:rsidR="0089177D" w:rsidRPr="00F55576" w:rsidDel="00A35424" w:rsidRDefault="00281C64" w:rsidP="003E2009">
            <w:pPr>
              <w:autoSpaceDE w:val="0"/>
              <w:autoSpaceDN w:val="0"/>
              <w:adjustRightInd w:val="0"/>
              <w:spacing w:after="0" w:line="240" w:lineRule="auto"/>
              <w:rPr>
                <w:rFonts w:ascii="Times New Roman" w:eastAsia="Batang" w:hAnsi="Times New Roman" w:cs="Times New Roman"/>
                <w:sz w:val="20"/>
                <w:szCs w:val="20"/>
                <w:u w:val="single"/>
                <w:lang w:eastAsia="ko-KR"/>
              </w:rPr>
            </w:pPr>
            <w:r>
              <w:rPr>
                <w:rFonts w:ascii="Times New Roman" w:eastAsia="Batang" w:hAnsi="Times New Roman" w:cs="Times New Roman"/>
                <w:sz w:val="20"/>
                <w:szCs w:val="20"/>
                <w:u w:val="single"/>
                <w:lang w:eastAsia="ko-KR"/>
              </w:rPr>
              <w:t>INFLECTRA</w:t>
            </w:r>
            <w:r w:rsidR="0089177D" w:rsidRPr="00F55576">
              <w:rPr>
                <w:rFonts w:ascii="Times New Roman" w:eastAsia="Batang" w:hAnsi="Times New Roman" w:cs="Times New Roman"/>
                <w:sz w:val="20"/>
                <w:szCs w:val="20"/>
                <w:u w:val="single"/>
                <w:vertAlign w:val="superscript"/>
                <w:lang w:eastAsia="ko-KR"/>
              </w:rPr>
              <w:t>®</w:t>
            </w:r>
            <w:r w:rsidR="0089177D" w:rsidRPr="00F55576">
              <w:rPr>
                <w:rFonts w:ascii="Times New Roman" w:eastAsia="Batang" w:hAnsi="Times New Roman" w:cs="Times New Roman"/>
                <w:sz w:val="20"/>
                <w:szCs w:val="20"/>
                <w:u w:val="single"/>
                <w:lang w:eastAsia="ko-KR"/>
              </w:rPr>
              <w:t xml:space="preserve"> </w:t>
            </w:r>
            <w:r w:rsidR="0089177D" w:rsidRPr="00F55576" w:rsidDel="00A35424">
              <w:rPr>
                <w:rFonts w:ascii="Times New Roman" w:eastAsia="Batang" w:hAnsi="Times New Roman" w:cs="Times New Roman"/>
                <w:sz w:val="20"/>
                <w:szCs w:val="20"/>
                <w:vertAlign w:val="superscript"/>
                <w:lang w:eastAsia="ko-KR"/>
              </w:rPr>
              <w:t>2</w:t>
            </w:r>
          </w:p>
        </w:tc>
        <w:tc>
          <w:tcPr>
            <w:tcW w:w="2345" w:type="pct"/>
            <w:gridSpan w:val="6"/>
          </w:tcPr>
          <w:p w14:paraId="09A27E4E"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R</w:t>
            </w:r>
            <w:r w:rsidRPr="00F55576">
              <w:rPr>
                <w:rFonts w:ascii="Times New Roman" w:eastAsia="Batang" w:hAnsi="Times New Roman" w:cs="Times New Roman"/>
                <w:sz w:val="20"/>
                <w:szCs w:val="20"/>
                <w:u w:val="single"/>
                <w:lang w:eastAsia="ko-KR"/>
              </w:rPr>
              <w:t>EMICADE</w:t>
            </w:r>
            <w:r w:rsidRPr="00F55576">
              <w:rPr>
                <w:rFonts w:ascii="Times New Roman" w:eastAsia="Times New Roman" w:hAnsi="Times New Roman" w:cs="Times New Roman"/>
                <w:sz w:val="20"/>
                <w:szCs w:val="20"/>
                <w:vertAlign w:val="superscript"/>
                <w:lang w:eastAsia="ko-KR"/>
              </w:rPr>
              <w:t>®</w:t>
            </w:r>
            <w:r w:rsidRPr="00F55576" w:rsidDel="00A35424">
              <w:rPr>
                <w:rFonts w:ascii="Times New Roman" w:eastAsia="Batang" w:hAnsi="Times New Roman" w:cs="Times New Roman"/>
                <w:sz w:val="20"/>
                <w:szCs w:val="20"/>
                <w:vertAlign w:val="superscript"/>
                <w:lang w:eastAsia="ko-KR"/>
              </w:rPr>
              <w:t>3</w:t>
            </w:r>
          </w:p>
        </w:tc>
      </w:tr>
      <w:tr w:rsidR="00F55576" w:rsidRPr="00B54968" w:rsidDel="00A35424" w14:paraId="5927E572" w14:textId="77777777" w:rsidTr="00BB5E5C">
        <w:tc>
          <w:tcPr>
            <w:tcW w:w="306" w:type="pct"/>
          </w:tcPr>
          <w:p w14:paraId="1B2F8F6B"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20"/>
                <w:szCs w:val="20"/>
                <w:lang w:eastAsia="en-US"/>
              </w:rPr>
            </w:pPr>
          </w:p>
        </w:tc>
        <w:tc>
          <w:tcPr>
            <w:tcW w:w="1153" w:type="pct"/>
            <w:gridSpan w:val="3"/>
          </w:tcPr>
          <w:p w14:paraId="0A9DCCCC"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196" w:type="pct"/>
            <w:gridSpan w:val="3"/>
          </w:tcPr>
          <w:p w14:paraId="62C6682D"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c>
          <w:tcPr>
            <w:tcW w:w="1140" w:type="pct"/>
            <w:gridSpan w:val="3"/>
          </w:tcPr>
          <w:p w14:paraId="70977DC8"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205" w:type="pct"/>
            <w:gridSpan w:val="3"/>
          </w:tcPr>
          <w:p w14:paraId="7EC15006"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r>
      <w:tr w:rsidR="00F55576" w:rsidRPr="00B54968" w:rsidDel="00A35424" w14:paraId="5C0B4695" w14:textId="77777777" w:rsidTr="00BB5E5C">
        <w:tc>
          <w:tcPr>
            <w:tcW w:w="306" w:type="pct"/>
          </w:tcPr>
          <w:p w14:paraId="6A9A3C93"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lang w:eastAsia="en-US"/>
              </w:rPr>
            </w:pPr>
          </w:p>
        </w:tc>
        <w:tc>
          <w:tcPr>
            <w:tcW w:w="391" w:type="pct"/>
            <w:vAlign w:val="center"/>
          </w:tcPr>
          <w:p w14:paraId="3A12BE67"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81" w:type="pct"/>
            <w:vAlign w:val="center"/>
          </w:tcPr>
          <w:p w14:paraId="7C1F3794"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81" w:type="pct"/>
            <w:vAlign w:val="center"/>
          </w:tcPr>
          <w:p w14:paraId="54A41184"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12" w:type="pct"/>
            <w:vAlign w:val="center"/>
          </w:tcPr>
          <w:p w14:paraId="1538E841" w14:textId="77777777" w:rsidR="00BB5E5C"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w:t>
            </w:r>
          </w:p>
          <w:p w14:paraId="3540CC65" w14:textId="4332C740"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1</w:t>
            </w:r>
          </w:p>
        </w:tc>
        <w:tc>
          <w:tcPr>
            <w:tcW w:w="391" w:type="pct"/>
            <w:vAlign w:val="center"/>
          </w:tcPr>
          <w:p w14:paraId="11EE178F"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93" w:type="pct"/>
            <w:vAlign w:val="center"/>
          </w:tcPr>
          <w:p w14:paraId="760A8CC2"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391" w:type="pct"/>
            <w:vAlign w:val="center"/>
          </w:tcPr>
          <w:p w14:paraId="0DC6D714"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74" w:type="pct"/>
            <w:vAlign w:val="center"/>
          </w:tcPr>
          <w:p w14:paraId="2035E39F"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75" w:type="pct"/>
            <w:vAlign w:val="center"/>
          </w:tcPr>
          <w:p w14:paraId="4E6A1DEE"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28" w:type="pct"/>
            <w:vAlign w:val="center"/>
          </w:tcPr>
          <w:p w14:paraId="2831C742" w14:textId="77777777" w:rsidR="00BB5E5C"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w:t>
            </w:r>
          </w:p>
          <w:p w14:paraId="580B2520" w14:textId="18B5E5AD"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1</w:t>
            </w:r>
          </w:p>
        </w:tc>
        <w:tc>
          <w:tcPr>
            <w:tcW w:w="391" w:type="pct"/>
            <w:vAlign w:val="center"/>
          </w:tcPr>
          <w:p w14:paraId="3E9C2B85"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86" w:type="pct"/>
            <w:vAlign w:val="center"/>
          </w:tcPr>
          <w:p w14:paraId="083E6091" w14:textId="77777777" w:rsidR="0089177D" w:rsidRPr="00B54968" w:rsidDel="00A35424" w:rsidRDefault="0089177D" w:rsidP="003E200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r>
      <w:tr w:rsidR="00F55576" w:rsidRPr="00B54968" w:rsidDel="00A35424" w14:paraId="63125E48" w14:textId="77777777" w:rsidTr="00BB5E5C">
        <w:trPr>
          <w:trHeight w:val="517"/>
        </w:trPr>
        <w:tc>
          <w:tcPr>
            <w:tcW w:w="306" w:type="pct"/>
            <w:vAlign w:val="center"/>
          </w:tcPr>
          <w:p w14:paraId="379FACE7" w14:textId="0E0D88BF" w:rsidR="0089177D" w:rsidRPr="00BB5E5C" w:rsidDel="00A35424" w:rsidRDefault="00F55576" w:rsidP="003E2009">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Pr>
                <w:rFonts w:ascii="Times New Roman" w:eastAsia="Batang" w:hAnsi="Times New Roman" w:cs="Times New Roman" w:hint="eastAsia"/>
                <w:sz w:val="20"/>
                <w:lang w:eastAsia="ko-KR"/>
              </w:rPr>
              <w:t>RA</w:t>
            </w:r>
          </w:p>
        </w:tc>
        <w:tc>
          <w:tcPr>
            <w:tcW w:w="391" w:type="pct"/>
            <w:vAlign w:val="center"/>
          </w:tcPr>
          <w:p w14:paraId="03B8ED8B" w14:textId="77777777" w:rsidR="0089177D" w:rsidRPr="00F55576"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2</w:t>
            </w:r>
          </w:p>
          <w:p w14:paraId="687D95E1"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(0.7%)</w:t>
            </w:r>
          </w:p>
        </w:tc>
        <w:tc>
          <w:tcPr>
            <w:tcW w:w="381" w:type="pct"/>
            <w:vAlign w:val="center"/>
          </w:tcPr>
          <w:p w14:paraId="34EBD545"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381" w:type="pct"/>
            <w:vAlign w:val="center"/>
          </w:tcPr>
          <w:p w14:paraId="56618D8F"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412" w:type="pct"/>
            <w:vAlign w:val="center"/>
          </w:tcPr>
          <w:p w14:paraId="77808A73" w14:textId="77777777" w:rsidR="0089177D" w:rsidRPr="00F55576"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83</w:t>
            </w:r>
          </w:p>
          <w:p w14:paraId="194C6660"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(27.5%)</w:t>
            </w:r>
          </w:p>
        </w:tc>
        <w:tc>
          <w:tcPr>
            <w:tcW w:w="391" w:type="pct"/>
            <w:vAlign w:val="center"/>
          </w:tcPr>
          <w:p w14:paraId="23002973" w14:textId="77777777" w:rsidR="0089177D" w:rsidRPr="00F55576"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6</w:t>
            </w:r>
          </w:p>
          <w:p w14:paraId="5842D992"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(2.0%)</w:t>
            </w:r>
          </w:p>
        </w:tc>
        <w:tc>
          <w:tcPr>
            <w:tcW w:w="393" w:type="pct"/>
            <w:vAlign w:val="center"/>
          </w:tcPr>
          <w:p w14:paraId="17A1AA1B" w14:textId="77777777" w:rsidR="0089177D" w:rsidRPr="00F55576"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3</w:t>
            </w:r>
          </w:p>
          <w:p w14:paraId="30078F26"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(1.0%)</w:t>
            </w:r>
          </w:p>
        </w:tc>
        <w:tc>
          <w:tcPr>
            <w:tcW w:w="391" w:type="pct"/>
            <w:vAlign w:val="center"/>
          </w:tcPr>
          <w:p w14:paraId="2D0B6744" w14:textId="77777777" w:rsidR="0089177D" w:rsidRPr="00F55576"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5</w:t>
            </w:r>
          </w:p>
          <w:p w14:paraId="298579F7"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(1.7%)</w:t>
            </w:r>
          </w:p>
        </w:tc>
        <w:tc>
          <w:tcPr>
            <w:tcW w:w="374" w:type="pct"/>
            <w:vAlign w:val="center"/>
          </w:tcPr>
          <w:p w14:paraId="00A4BF8B"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375" w:type="pct"/>
            <w:vAlign w:val="center"/>
          </w:tcPr>
          <w:p w14:paraId="4B54DD8F"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428" w:type="pct"/>
            <w:vAlign w:val="center"/>
          </w:tcPr>
          <w:p w14:paraId="11C49B48" w14:textId="77777777" w:rsidR="0089177D" w:rsidRPr="00F55576"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84</w:t>
            </w:r>
          </w:p>
          <w:p w14:paraId="3E85E06A"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(28.0%)</w:t>
            </w:r>
          </w:p>
        </w:tc>
        <w:tc>
          <w:tcPr>
            <w:tcW w:w="391" w:type="pct"/>
            <w:vAlign w:val="center"/>
          </w:tcPr>
          <w:p w14:paraId="30FF1262" w14:textId="77777777" w:rsidR="0089177D" w:rsidRPr="00F55576"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7</w:t>
            </w:r>
          </w:p>
          <w:p w14:paraId="44710534"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(2.3%)</w:t>
            </w:r>
          </w:p>
        </w:tc>
        <w:tc>
          <w:tcPr>
            <w:tcW w:w="386" w:type="pct"/>
            <w:vAlign w:val="center"/>
          </w:tcPr>
          <w:p w14:paraId="3EE1804C" w14:textId="77777777" w:rsidR="0089177D" w:rsidRPr="00F55576"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1</w:t>
            </w:r>
          </w:p>
          <w:p w14:paraId="6C03A65E"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(0.3%)</w:t>
            </w:r>
          </w:p>
        </w:tc>
      </w:tr>
      <w:tr w:rsidR="00F55576" w:rsidRPr="00B54968" w:rsidDel="00A35424" w14:paraId="0454DFBD" w14:textId="77777777" w:rsidTr="00BB5E5C">
        <w:trPr>
          <w:trHeight w:val="517"/>
        </w:trPr>
        <w:tc>
          <w:tcPr>
            <w:tcW w:w="306" w:type="pct"/>
            <w:vAlign w:val="center"/>
          </w:tcPr>
          <w:p w14:paraId="52B7CCFE" w14:textId="77777777" w:rsidR="0089177D" w:rsidRPr="00BB5E5C" w:rsidDel="00A35424" w:rsidRDefault="0089177D" w:rsidP="003E2009">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sidDel="00A35424">
              <w:rPr>
                <w:rFonts w:ascii="Times New Roman" w:eastAsia="Batang" w:hAnsi="Times New Roman" w:cs="Times New Roman"/>
                <w:sz w:val="20"/>
                <w:lang w:eastAsia="ko-KR"/>
              </w:rPr>
              <w:t>AS</w:t>
            </w:r>
          </w:p>
        </w:tc>
        <w:tc>
          <w:tcPr>
            <w:tcW w:w="391" w:type="pct"/>
            <w:vAlign w:val="center"/>
          </w:tcPr>
          <w:p w14:paraId="70400822"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381" w:type="pct"/>
            <w:vAlign w:val="center"/>
          </w:tcPr>
          <w:p w14:paraId="6384F4B7"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381" w:type="pct"/>
            <w:vAlign w:val="center"/>
          </w:tcPr>
          <w:p w14:paraId="7EACEDC3"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412" w:type="pct"/>
            <w:vAlign w:val="center"/>
          </w:tcPr>
          <w:p w14:paraId="4B2A5783" w14:textId="77777777" w:rsidR="0089177D" w:rsidRPr="00F55576"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44</w:t>
            </w:r>
          </w:p>
          <w:p w14:paraId="326C183A"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(34.4%)</w:t>
            </w:r>
          </w:p>
        </w:tc>
        <w:tc>
          <w:tcPr>
            <w:tcW w:w="391" w:type="pct"/>
            <w:vAlign w:val="center"/>
          </w:tcPr>
          <w:p w14:paraId="77EA4887" w14:textId="77777777" w:rsidR="0089177D" w:rsidRPr="00F55576"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6</w:t>
            </w:r>
          </w:p>
          <w:p w14:paraId="71ED4C9D"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(4.7%)</w:t>
            </w:r>
          </w:p>
        </w:tc>
        <w:tc>
          <w:tcPr>
            <w:tcW w:w="393" w:type="pct"/>
            <w:vAlign w:val="center"/>
          </w:tcPr>
          <w:p w14:paraId="37A120B1" w14:textId="77777777" w:rsidR="0089177D" w:rsidRPr="00F55576"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2</w:t>
            </w:r>
          </w:p>
          <w:p w14:paraId="3B6FF14E"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(1.6%)</w:t>
            </w:r>
          </w:p>
        </w:tc>
        <w:tc>
          <w:tcPr>
            <w:tcW w:w="391" w:type="pct"/>
            <w:vAlign w:val="center"/>
          </w:tcPr>
          <w:p w14:paraId="5089105B" w14:textId="77777777" w:rsidR="0089177D" w:rsidRPr="00F55576"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1</w:t>
            </w:r>
          </w:p>
          <w:p w14:paraId="354556CA"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(0.8%)</w:t>
            </w:r>
          </w:p>
        </w:tc>
        <w:tc>
          <w:tcPr>
            <w:tcW w:w="374" w:type="pct"/>
            <w:vAlign w:val="center"/>
          </w:tcPr>
          <w:p w14:paraId="401F5428"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375" w:type="pct"/>
            <w:vAlign w:val="center"/>
          </w:tcPr>
          <w:p w14:paraId="0CEC5508"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428" w:type="pct"/>
            <w:vAlign w:val="center"/>
          </w:tcPr>
          <w:p w14:paraId="6186C6DB" w14:textId="77777777" w:rsidR="0089177D" w:rsidRPr="00F55576"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37</w:t>
            </w:r>
          </w:p>
          <w:p w14:paraId="0A87AD2F"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(30.3%)</w:t>
            </w:r>
          </w:p>
        </w:tc>
        <w:tc>
          <w:tcPr>
            <w:tcW w:w="391" w:type="pct"/>
            <w:vAlign w:val="center"/>
          </w:tcPr>
          <w:p w14:paraId="120B8D96" w14:textId="77777777" w:rsidR="0089177D" w:rsidRPr="00F55576"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3</w:t>
            </w:r>
          </w:p>
          <w:p w14:paraId="60437F18"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(2.5%)</w:t>
            </w:r>
          </w:p>
        </w:tc>
        <w:tc>
          <w:tcPr>
            <w:tcW w:w="386" w:type="pct"/>
            <w:vAlign w:val="center"/>
          </w:tcPr>
          <w:p w14:paraId="186FA020" w14:textId="77777777" w:rsidR="0089177D" w:rsidRPr="00F55576"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2</w:t>
            </w:r>
          </w:p>
          <w:p w14:paraId="0D5EAE64" w14:textId="77777777" w:rsidR="0089177D" w:rsidRPr="00F55576" w:rsidDel="00A35424" w:rsidRDefault="0089177D" w:rsidP="003E200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(1.6%)</w:t>
            </w:r>
          </w:p>
        </w:tc>
      </w:tr>
    </w:tbl>
    <w:p w14:paraId="47180BFC" w14:textId="77777777" w:rsidR="0089177D" w:rsidRPr="00B54968" w:rsidDel="00A35424" w:rsidRDefault="0089177D" w:rsidP="003E2009">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1</w:t>
      </w:r>
      <w:r w:rsidRPr="00B54968" w:rsidDel="00A35424">
        <w:rPr>
          <w:rFonts w:ascii="Times New Roman" w:eastAsia="Batang" w:hAnsi="Times New Roman" w:cs="Times New Roman"/>
          <w:sz w:val="18"/>
          <w:lang w:eastAsia="ko-KR"/>
        </w:rPr>
        <w:t>: CTCAE (Common Terminology Criteria for Adverse Events) grading will be applied to the lowest and highest post-baseline values (which will include all data from scheduled, unscheduled</w:t>
      </w:r>
      <w:r w:rsidRPr="00B54968">
        <w:rPr>
          <w:rFonts w:ascii="Times New Roman" w:eastAsia="Batang" w:hAnsi="Times New Roman" w:cs="Times New Roman"/>
          <w:sz w:val="18"/>
          <w:lang w:eastAsia="ko-KR"/>
        </w:rPr>
        <w:t>,</w:t>
      </w:r>
      <w:r w:rsidRPr="00B54968" w:rsidDel="00A35424">
        <w:rPr>
          <w:rFonts w:ascii="Times New Roman" w:eastAsia="Batang" w:hAnsi="Times New Roman" w:cs="Times New Roman"/>
          <w:sz w:val="18"/>
          <w:lang w:eastAsia="ko-KR"/>
        </w:rPr>
        <w:t xml:space="preserve"> and repeat visits) for all numeric parameters where possible according CTCAE version 4.</w:t>
      </w:r>
    </w:p>
    <w:p w14:paraId="0090907A" w14:textId="77777777" w:rsidR="0089177D" w:rsidRPr="00B54968" w:rsidDel="00A35424" w:rsidRDefault="0089177D" w:rsidP="003E2009">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2</w:t>
      </w:r>
      <w:r w:rsidRPr="00B54968" w:rsidDel="00A35424">
        <w:rPr>
          <w:rFonts w:ascii="Times New Roman" w:eastAsia="Batang" w:hAnsi="Times New Roman" w:cs="Times New Roman"/>
          <w:sz w:val="18"/>
          <w:lang w:eastAsia="ko-KR"/>
        </w:rPr>
        <w:t>: Total patient number in RA=302, Total patient number in AS=128</w:t>
      </w:r>
    </w:p>
    <w:p w14:paraId="45034833" w14:textId="77777777" w:rsidR="0089177D" w:rsidRPr="00B54968" w:rsidDel="00A35424" w:rsidRDefault="0089177D" w:rsidP="003E2009">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3</w:t>
      </w:r>
      <w:r w:rsidRPr="00B54968" w:rsidDel="00A35424">
        <w:rPr>
          <w:rFonts w:ascii="Times New Roman" w:eastAsia="Batang" w:hAnsi="Times New Roman" w:cs="Times New Roman"/>
          <w:sz w:val="18"/>
          <w:lang w:eastAsia="ko-KR"/>
        </w:rPr>
        <w:t>: Total patient number in RA=300, Total patient number in AS=122</w:t>
      </w:r>
    </w:p>
    <w:p w14:paraId="29F5A8FE" w14:textId="77777777" w:rsidR="0089177D" w:rsidRPr="00B54968" w:rsidDel="00A35424" w:rsidRDefault="0089177D" w:rsidP="003E2009">
      <w:pPr>
        <w:spacing w:after="0" w:line="240" w:lineRule="auto"/>
        <w:rPr>
          <w:rFonts w:ascii="Times New Roman" w:eastAsia="Batang" w:hAnsi="Times New Roman" w:cs="Times New Roman"/>
          <w:sz w:val="20"/>
          <w:lang w:eastAsia="ko-KR"/>
        </w:rPr>
      </w:pPr>
    </w:p>
    <w:p w14:paraId="5060DCC2" w14:textId="6420A5FD" w:rsidR="0089177D" w:rsidRPr="00B54968" w:rsidRDefault="0089177D" w:rsidP="003E2009">
      <w:pPr>
        <w:pStyle w:val="Default"/>
        <w:rPr>
          <w:rFonts w:ascii="Times New Roman" w:hAnsi="Times New Roman" w:cs="Times New Roman"/>
          <w:sz w:val="22"/>
          <w:szCs w:val="22"/>
          <w:lang w:val="en-AU" w:eastAsia="ko-KR"/>
        </w:rPr>
      </w:pPr>
      <w:r w:rsidRPr="00B54968" w:rsidDel="00A35424">
        <w:rPr>
          <w:rFonts w:ascii="Times New Roman" w:eastAsia="Batang" w:hAnsi="Times New Roman" w:cs="Times New Roman"/>
          <w:sz w:val="22"/>
          <w:lang w:eastAsia="en-US"/>
        </w:rPr>
        <w:t xml:space="preserve">The difference in rates of ALT and AST elevations between </w:t>
      </w:r>
      <w:r w:rsidR="00281C64">
        <w:rPr>
          <w:rFonts w:ascii="Times New Roman" w:eastAsia="Batang" w:hAnsi="Times New Roman" w:cs="Times New Roman"/>
          <w:sz w:val="22"/>
          <w:lang w:eastAsia="en-US"/>
        </w:rPr>
        <w:t>INFLECTRA</w:t>
      </w:r>
      <w:r w:rsidRPr="00B54968">
        <w:rPr>
          <w:rFonts w:ascii="Times New Roman" w:eastAsia="Batang" w:hAnsi="Times New Roman" w:cs="Times New Roman"/>
          <w:sz w:val="22"/>
          <w:vertAlign w:val="superscript"/>
          <w:lang w:eastAsia="en-US"/>
        </w:rPr>
        <w:t>®</w:t>
      </w:r>
      <w:r w:rsidRPr="00B54968">
        <w:rPr>
          <w:rFonts w:ascii="Times New Roman" w:eastAsia="Batang" w:hAnsi="Times New Roman" w:cs="Times New Roman"/>
          <w:sz w:val="22"/>
          <w:lang w:eastAsia="en-US"/>
        </w:rPr>
        <w:t xml:space="preserve"> </w:t>
      </w:r>
      <w:r w:rsidRPr="00B54968" w:rsidDel="00A35424">
        <w:rPr>
          <w:rFonts w:ascii="Times New Roman" w:eastAsia="Batang" w:hAnsi="Times New Roman" w:cs="Times New Roman"/>
          <w:sz w:val="22"/>
          <w:lang w:eastAsia="en-US"/>
        </w:rPr>
        <w:t xml:space="preserve">and </w:t>
      </w:r>
      <w:r w:rsidR="001A691C">
        <w:rPr>
          <w:rFonts w:ascii="Times New Roman" w:eastAsia="Batang" w:hAnsi="Times New Roman" w:cs="Times New Roman"/>
          <w:sz w:val="22"/>
          <w:lang w:eastAsia="en-US"/>
        </w:rPr>
        <w:t>REMICADE</w:t>
      </w:r>
      <w:r w:rsidRPr="00B54968" w:rsidDel="00A35424">
        <w:rPr>
          <w:rFonts w:ascii="Times New Roman" w:eastAsia="Batang" w:hAnsi="Times New Roman" w:cs="Times New Roman"/>
          <w:sz w:val="22"/>
          <w:vertAlign w:val="superscript"/>
          <w:lang w:eastAsia="en-US"/>
        </w:rPr>
        <w:t>®</w:t>
      </w:r>
      <w:r w:rsidRPr="00B54968" w:rsidDel="00A35424">
        <w:rPr>
          <w:rFonts w:ascii="Times New Roman" w:eastAsia="Batang" w:hAnsi="Times New Roman" w:cs="Times New Roman"/>
          <w:sz w:val="22"/>
          <w:lang w:eastAsia="en-US"/>
        </w:rPr>
        <w:t xml:space="preserve"> treatment groups are seen in</w:t>
      </w:r>
      <w:r w:rsidRPr="00B54968">
        <w:rPr>
          <w:rFonts w:ascii="Times New Roman" w:eastAsia="Batang" w:hAnsi="Times New Roman" w:cs="Times New Roman"/>
          <w:sz w:val="22"/>
          <w:lang w:eastAsia="en-US"/>
        </w:rPr>
        <w:t xml:space="preserve"> Table </w:t>
      </w:r>
      <w:r>
        <w:rPr>
          <w:rFonts w:ascii="Times New Roman" w:eastAsia="Batang" w:hAnsi="Times New Roman" w:cs="Times New Roman"/>
          <w:sz w:val="22"/>
          <w:lang w:eastAsia="en-US"/>
        </w:rPr>
        <w:t>19</w:t>
      </w:r>
      <w:r w:rsidRPr="00B54968">
        <w:rPr>
          <w:rFonts w:ascii="Times New Roman" w:eastAsia="Batang" w:hAnsi="Times New Roman" w:cs="Times New Roman"/>
          <w:sz w:val="22"/>
          <w:lang w:eastAsia="en-US"/>
        </w:rPr>
        <w:t xml:space="preserve"> and Table </w:t>
      </w:r>
      <w:r>
        <w:rPr>
          <w:rFonts w:ascii="Times New Roman" w:eastAsia="Batang" w:hAnsi="Times New Roman" w:cs="Times New Roman"/>
          <w:sz w:val="22"/>
          <w:lang w:eastAsia="en-US"/>
        </w:rPr>
        <w:t>20.</w:t>
      </w:r>
    </w:p>
    <w:p w14:paraId="74F12BCD" w14:textId="77777777" w:rsidR="0089177D" w:rsidRPr="00B54968" w:rsidRDefault="0089177D" w:rsidP="003E2009">
      <w:pPr>
        <w:pStyle w:val="Default"/>
        <w:rPr>
          <w:rFonts w:ascii="Times New Roman" w:hAnsi="Times New Roman" w:cs="Times New Roman"/>
          <w:color w:val="auto"/>
          <w:sz w:val="22"/>
          <w:szCs w:val="22"/>
          <w:u w:val="single"/>
        </w:rPr>
      </w:pPr>
    </w:p>
    <w:p w14:paraId="6645AD4F"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DOSAGE AND ADMINISTRATION </w:t>
      </w:r>
    </w:p>
    <w:p w14:paraId="1A16A796" w14:textId="5BD04F73" w:rsidR="00A02600" w:rsidRPr="00B54968" w:rsidRDefault="00281C64"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INFLECTRA</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is for intravenous use in adults across all indications. </w:t>
      </w:r>
      <w:r>
        <w:rPr>
          <w:rFonts w:ascii="Times New Roman" w:hAnsi="Times New Roman" w:cs="Times New Roman"/>
          <w:color w:val="auto"/>
          <w:sz w:val="22"/>
          <w:szCs w:val="22"/>
        </w:rPr>
        <w:t>INFLECTRA</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is approved for intravenous use in children and adolescents (6 to 17 years) for the indication of Crohn’s disease and ulcerative colitis. </w:t>
      </w:r>
    </w:p>
    <w:p w14:paraId="7227F0F1" w14:textId="77777777" w:rsidR="00A02600" w:rsidRPr="00B54968" w:rsidRDefault="00A02600" w:rsidP="003E2009">
      <w:pPr>
        <w:pStyle w:val="Default"/>
        <w:rPr>
          <w:rFonts w:ascii="Times New Roman" w:hAnsi="Times New Roman" w:cs="Times New Roman"/>
          <w:color w:val="auto"/>
          <w:sz w:val="22"/>
          <w:szCs w:val="22"/>
        </w:rPr>
      </w:pPr>
    </w:p>
    <w:p w14:paraId="01534A63" w14:textId="6184DA73" w:rsidR="00A02600" w:rsidRPr="00B54968" w:rsidRDefault="00281C64"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treatment is to be administered under the supervision of </w:t>
      </w:r>
      <w:proofErr w:type="spellStart"/>
      <w:r w:rsidR="00592F33" w:rsidRPr="00B54968">
        <w:rPr>
          <w:rFonts w:ascii="Times New Roman" w:hAnsi="Times New Roman" w:cs="Times New Roman"/>
          <w:color w:val="auto"/>
          <w:sz w:val="22"/>
          <w:szCs w:val="22"/>
        </w:rPr>
        <w:t>specialised</w:t>
      </w:r>
      <w:proofErr w:type="spellEnd"/>
      <w:r w:rsidR="00592F33" w:rsidRPr="00B54968">
        <w:rPr>
          <w:rFonts w:ascii="Times New Roman" w:hAnsi="Times New Roman" w:cs="Times New Roman"/>
          <w:color w:val="auto"/>
          <w:sz w:val="22"/>
          <w:szCs w:val="22"/>
        </w:rPr>
        <w:t xml:space="preserve"> physicians experienced in the diagnosis and treatment of rheumatoid arthritis, ankylosing spondylitis, inflammatory bowel diseases, psoriasis or psoriatic arthritis. </w:t>
      </w:r>
    </w:p>
    <w:p w14:paraId="73595CC0" w14:textId="77777777" w:rsidR="00767DA5" w:rsidRPr="00B54968" w:rsidRDefault="00767DA5" w:rsidP="003E2009">
      <w:pPr>
        <w:pStyle w:val="Default"/>
        <w:rPr>
          <w:rFonts w:ascii="Times New Roman" w:hAnsi="Times New Roman" w:cs="Times New Roman"/>
          <w:color w:val="auto"/>
          <w:sz w:val="22"/>
          <w:szCs w:val="22"/>
        </w:rPr>
      </w:pPr>
    </w:p>
    <w:p w14:paraId="46483912" w14:textId="77777777" w:rsidR="00A02600" w:rsidRPr="00B54968" w:rsidRDefault="005662F7" w:rsidP="003E2009">
      <w:pPr>
        <w:spacing w:line="240" w:lineRule="auto"/>
        <w:rPr>
          <w:rFonts w:ascii="Times New Roman" w:hAnsi="Times New Roman" w:cs="Times New Roman"/>
        </w:rPr>
      </w:pPr>
      <w:r w:rsidRPr="00B54968">
        <w:rPr>
          <w:rFonts w:ascii="Times New Roman" w:hAnsi="Times New Roman" w:cs="Times New Roman"/>
        </w:rPr>
        <w:t xml:space="preserve">For adult and </w:t>
      </w:r>
      <w:proofErr w:type="spellStart"/>
      <w:r w:rsidRPr="00B54968">
        <w:rPr>
          <w:rFonts w:ascii="Times New Roman" w:hAnsi="Times New Roman" w:cs="Times New Roman"/>
        </w:rPr>
        <w:t>paediatric</w:t>
      </w:r>
      <w:proofErr w:type="spellEnd"/>
      <w:r w:rsidRPr="00B54968">
        <w:rPr>
          <w:rFonts w:ascii="Times New Roman" w:hAnsi="Times New Roman" w:cs="Times New Roman"/>
        </w:rPr>
        <w:t xml:space="preserve"> patients, administer the infusion solution over a period of</w:t>
      </w:r>
      <w:r w:rsidRPr="00B54968">
        <w:rPr>
          <w:rFonts w:ascii="Times New Roman" w:hAnsi="Times New Roman" w:cs="Times New Roman"/>
          <w:lang w:eastAsia="ko-KR"/>
        </w:rPr>
        <w:t xml:space="preserve"> </w:t>
      </w:r>
      <w:r w:rsidR="008669BA" w:rsidRPr="00B54968">
        <w:rPr>
          <w:rFonts w:ascii="Times New Roman" w:hAnsi="Times New Roman" w:cs="Times New Roman"/>
        </w:rPr>
        <w:t>not less than 2 hours</w:t>
      </w:r>
      <w:r w:rsidR="00592F33" w:rsidRPr="00B54968">
        <w:rPr>
          <w:rFonts w:ascii="Times New Roman" w:hAnsi="Times New Roman" w:cs="Times New Roman"/>
        </w:rPr>
        <w:t>.</w:t>
      </w:r>
    </w:p>
    <w:p w14:paraId="5BC24E90" w14:textId="40BD484A"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All patients administered </w:t>
      </w:r>
      <w:r w:rsidR="00281C64">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are to be observed for at least one to two hours post infusion for side effects. Medications, an artificial airway and other appropriate materials must be available for the treatment of these effects (see PRECAUTIONS). </w:t>
      </w:r>
    </w:p>
    <w:p w14:paraId="484CE126" w14:textId="77777777" w:rsidR="00767DA5" w:rsidRPr="00B54968" w:rsidRDefault="00767DA5" w:rsidP="003E2009">
      <w:pPr>
        <w:autoSpaceDE w:val="0"/>
        <w:autoSpaceDN w:val="0"/>
        <w:adjustRightInd w:val="0"/>
        <w:spacing w:after="0" w:line="240" w:lineRule="auto"/>
        <w:rPr>
          <w:rFonts w:ascii="Times New Roman" w:hAnsi="Times New Roman" w:cs="Times New Roman"/>
          <w:b/>
          <w:bCs/>
          <w:i/>
          <w:iCs/>
          <w:color w:val="000000"/>
        </w:rPr>
      </w:pPr>
    </w:p>
    <w:p w14:paraId="48664BCA" w14:textId="77777777" w:rsidR="00767DA5" w:rsidRPr="00B54968" w:rsidRDefault="00767DA5" w:rsidP="003E2009">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Shortened Infusions Across Adult Indications</w:t>
      </w:r>
    </w:p>
    <w:p w14:paraId="17766E2F" w14:textId="77777777" w:rsidR="00767DA5" w:rsidRPr="00B54968" w:rsidRDefault="00767DA5"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 carefully selected adult patients who have tolerated at least 3 initial 2-hour infusions of</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infliximab (induction phase) and are receiving maintenance therapy, consideration may be</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given to administering subsequent infusions over a period of not less than 1 hour. If an</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infusion reaction occurs in association with a shortened infusion time, then a slower infusion</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rate should be considered for future infusions if treatment is to be continued.  For doses greater than 6mg/kg, data only support administering an infusion over a period of not less</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than two hours.</w:t>
      </w:r>
    </w:p>
    <w:p w14:paraId="4F71B757" w14:textId="77777777" w:rsidR="00E72E70" w:rsidRPr="00B54968" w:rsidRDefault="00E72E70" w:rsidP="003E2009">
      <w:pPr>
        <w:pStyle w:val="Default"/>
        <w:rPr>
          <w:rFonts w:ascii="Times New Roman" w:hAnsi="Times New Roman" w:cs="Times New Roman"/>
          <w:b/>
          <w:bCs/>
          <w:color w:val="auto"/>
          <w:sz w:val="22"/>
          <w:szCs w:val="22"/>
        </w:rPr>
      </w:pPr>
    </w:p>
    <w:p w14:paraId="589355E7"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Rheumatoid Arthritis in adults </w:t>
      </w:r>
    </w:p>
    <w:p w14:paraId="27535BD5" w14:textId="388B28E8"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not previously treated with </w:t>
      </w:r>
      <w:r w:rsidR="00281C64">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i/>
          <w:iCs/>
          <w:color w:val="auto"/>
          <w:sz w:val="22"/>
          <w:szCs w:val="22"/>
        </w:rPr>
        <w:t xml:space="preserve">: </w:t>
      </w:r>
      <w:r w:rsidRPr="00B54968">
        <w:rPr>
          <w:rFonts w:ascii="Times New Roman" w:hAnsi="Times New Roman" w:cs="Times New Roman"/>
          <w:color w:val="auto"/>
          <w:sz w:val="22"/>
          <w:szCs w:val="22"/>
        </w:rPr>
        <w:t xml:space="preserve">Initially 3 mg/kg intravenous infusion over a 2-hour period is to be followed with additional 3 mg/kg infusion doses at 2 and 6 weeks after the first infusion, then every 8 weeks thereafter. </w:t>
      </w:r>
    </w:p>
    <w:p w14:paraId="6AD16CB6" w14:textId="77777777" w:rsidR="00A02600" w:rsidRPr="00B54968" w:rsidRDefault="00A02600" w:rsidP="003E2009">
      <w:pPr>
        <w:pStyle w:val="Default"/>
        <w:rPr>
          <w:rFonts w:ascii="Times New Roman" w:hAnsi="Times New Roman" w:cs="Times New Roman"/>
          <w:color w:val="auto"/>
          <w:sz w:val="22"/>
          <w:szCs w:val="22"/>
        </w:rPr>
      </w:pPr>
    </w:p>
    <w:p w14:paraId="7F445FB3" w14:textId="4DAD26F2" w:rsidR="00A02600" w:rsidRPr="00B54968" w:rsidRDefault="00281C64"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should be given in combination with methotrexate. </w:t>
      </w:r>
    </w:p>
    <w:p w14:paraId="7D185148" w14:textId="77777777" w:rsidR="00A02600" w:rsidRPr="00B54968" w:rsidRDefault="00A02600" w:rsidP="003E2009">
      <w:pPr>
        <w:pStyle w:val="Default"/>
        <w:rPr>
          <w:rFonts w:ascii="Times New Roman" w:hAnsi="Times New Roman" w:cs="Times New Roman"/>
          <w:color w:val="auto"/>
          <w:sz w:val="22"/>
          <w:szCs w:val="22"/>
        </w:rPr>
      </w:pPr>
    </w:p>
    <w:p w14:paraId="28F32FB8" w14:textId="77777777" w:rsidR="005662F7" w:rsidRPr="00B54968" w:rsidRDefault="00592F33" w:rsidP="003E2009">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t xml:space="preserve">To </w:t>
      </w:r>
      <w:proofErr w:type="spellStart"/>
      <w:r w:rsidRPr="00B54968">
        <w:rPr>
          <w:rFonts w:ascii="Times New Roman" w:hAnsi="Times New Roman" w:cs="Times New Roman"/>
          <w:color w:val="auto"/>
          <w:sz w:val="22"/>
          <w:szCs w:val="22"/>
        </w:rPr>
        <w:t>optimise</w:t>
      </w:r>
      <w:proofErr w:type="spellEnd"/>
      <w:r w:rsidRPr="00B54968">
        <w:rPr>
          <w:rFonts w:ascii="Times New Roman" w:hAnsi="Times New Roman" w:cs="Times New Roman"/>
          <w:color w:val="auto"/>
          <w:sz w:val="22"/>
          <w:szCs w:val="22"/>
        </w:rPr>
        <w:t xml:space="preserve"> clinical response, consideration may be given to adjusting the dose in increments of 1.5 mg/kg up to a maximum of 7.5 mg/kg. </w:t>
      </w:r>
    </w:p>
    <w:p w14:paraId="147A635D" w14:textId="77777777" w:rsidR="005662F7" w:rsidRPr="00B54968" w:rsidRDefault="005662F7" w:rsidP="003E2009">
      <w:pPr>
        <w:pStyle w:val="Default"/>
        <w:rPr>
          <w:rFonts w:ascii="Times New Roman" w:hAnsi="Times New Roman" w:cs="Times New Roman"/>
          <w:color w:val="auto"/>
          <w:sz w:val="22"/>
          <w:szCs w:val="22"/>
          <w:lang w:eastAsia="ko-KR"/>
        </w:rPr>
      </w:pPr>
    </w:p>
    <w:p w14:paraId="36429F22"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Available data suggest that the clinical response is usually achieved within 12 weeks of treatment. If a patient has an inadequate response or loses response after this period, the dose may be adjusted as described above. If adequate response is achieved, patients should be continued on the selected dose or dose frequency. Continued therapy should be carefully reconsidered in patients who show no evidence of therapeutic benefit within the first 12 weeks of treatment or after dose adjustment. </w:t>
      </w:r>
    </w:p>
    <w:p w14:paraId="34DFA59B" w14:textId="77777777" w:rsidR="00A02600" w:rsidRPr="00B54968" w:rsidRDefault="00A02600" w:rsidP="003E2009">
      <w:pPr>
        <w:pStyle w:val="Default"/>
        <w:rPr>
          <w:rFonts w:ascii="Times New Roman" w:hAnsi="Times New Roman" w:cs="Times New Roman"/>
          <w:color w:val="auto"/>
          <w:sz w:val="22"/>
          <w:szCs w:val="22"/>
        </w:rPr>
      </w:pPr>
    </w:p>
    <w:p w14:paraId="02E10560"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Ankylosing Spondylitis </w:t>
      </w:r>
    </w:p>
    <w:p w14:paraId="0D97F418"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 doses at 2 and 6 weeks after the first infusion, then every 6 weeks thereafter. </w:t>
      </w:r>
    </w:p>
    <w:p w14:paraId="197BE363" w14:textId="77777777" w:rsidR="00A02600" w:rsidRPr="00B54968" w:rsidRDefault="00A02600" w:rsidP="003E2009">
      <w:pPr>
        <w:pStyle w:val="Default"/>
        <w:rPr>
          <w:rFonts w:ascii="Times New Roman" w:hAnsi="Times New Roman" w:cs="Times New Roman"/>
          <w:color w:val="auto"/>
          <w:sz w:val="22"/>
          <w:szCs w:val="22"/>
        </w:rPr>
      </w:pPr>
    </w:p>
    <w:p w14:paraId="40CF0CF4"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Psoriatic Arthritis </w:t>
      </w:r>
    </w:p>
    <w:p w14:paraId="6230CB20"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 doses at 2 and 6 weeks after the first infusion, then every 8 weeks thereafter. Efficacy and safety have been demonstrated alone or in combination with methotrexate. </w:t>
      </w:r>
    </w:p>
    <w:p w14:paraId="04ED6657" w14:textId="77777777" w:rsidR="00A02600" w:rsidRPr="00B54968" w:rsidRDefault="00A02600" w:rsidP="003E2009">
      <w:pPr>
        <w:pStyle w:val="Default"/>
        <w:rPr>
          <w:rFonts w:ascii="Times New Roman" w:hAnsi="Times New Roman" w:cs="Times New Roman"/>
          <w:color w:val="auto"/>
          <w:sz w:val="22"/>
          <w:szCs w:val="22"/>
        </w:rPr>
      </w:pPr>
    </w:p>
    <w:p w14:paraId="227BD7AC"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Psoriasis </w:t>
      </w:r>
    </w:p>
    <w:p w14:paraId="040DA094"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infusions doses at 2 and 6 weeks after the first infusion, then every 8 weeks thereafter. </w:t>
      </w:r>
    </w:p>
    <w:p w14:paraId="19D5FEFF" w14:textId="77777777" w:rsidR="00A02600" w:rsidRPr="00B54968" w:rsidRDefault="00A02600" w:rsidP="003E2009">
      <w:pPr>
        <w:pStyle w:val="Default"/>
        <w:rPr>
          <w:rFonts w:ascii="Times New Roman" w:hAnsi="Times New Roman" w:cs="Times New Roman"/>
          <w:color w:val="auto"/>
          <w:sz w:val="22"/>
          <w:szCs w:val="22"/>
        </w:rPr>
      </w:pPr>
    </w:p>
    <w:p w14:paraId="41A43D13"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Crohn’s Disease </w:t>
      </w:r>
    </w:p>
    <w:p w14:paraId="54C7E3D5" w14:textId="77777777" w:rsidR="00A02600" w:rsidRPr="00B54968" w:rsidRDefault="00592F33" w:rsidP="003E2009">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Moderate to severe Crohn’s disease in adults and in children and adolescents (6 to 17 years) </w:t>
      </w:r>
    </w:p>
    <w:p w14:paraId="137C4BBB"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optimal long-term symptom control, 5 mg/kg given as a single intravenous infusion over a 2-hour period as an induction regimen at 0, 2 and 6 weeks followed by a maintenance regimen of 5 mg/kg every 8 weeks thereafter. For patients who have an incomplete response during maintenance treatment, consideration may be given to adjusting the dose up to 10 mg/kg. </w:t>
      </w:r>
    </w:p>
    <w:p w14:paraId="2272073F" w14:textId="77777777" w:rsidR="00767DA5" w:rsidRPr="00B54968" w:rsidRDefault="00767DA5" w:rsidP="003E2009">
      <w:pPr>
        <w:pStyle w:val="Default"/>
        <w:rPr>
          <w:rFonts w:ascii="Times New Roman" w:hAnsi="Times New Roman" w:cs="Times New Roman"/>
          <w:color w:val="auto"/>
          <w:sz w:val="22"/>
          <w:szCs w:val="22"/>
        </w:rPr>
      </w:pPr>
    </w:p>
    <w:p w14:paraId="0B8CCC37" w14:textId="77777777" w:rsidR="00767DA5" w:rsidRPr="00B54968" w:rsidRDefault="00767DA5" w:rsidP="003E2009">
      <w:pPr>
        <w:pStyle w:val="Default"/>
        <w:rPr>
          <w:rFonts w:ascii="Times New Roman" w:hAnsi="Times New Roman" w:cs="Times New Roman"/>
          <w:color w:val="auto"/>
          <w:sz w:val="22"/>
          <w:szCs w:val="22"/>
        </w:rPr>
      </w:pP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Crohn’s disease patients who have had their dose adjusted to greater than 5mg/kg every 8 weeks, may be at greater risk for adverse reactions. Continued therapy with the adjusted dose should be carefully considered in patients who show no evidence of additional therapeutic benefit after dose adjustment.</w:t>
      </w:r>
    </w:p>
    <w:p w14:paraId="338302AB" w14:textId="77777777" w:rsidR="00A02600" w:rsidRPr="00B54968" w:rsidRDefault="00A02600" w:rsidP="003E2009">
      <w:pPr>
        <w:pStyle w:val="Default"/>
        <w:rPr>
          <w:rFonts w:ascii="Times New Roman" w:hAnsi="Times New Roman" w:cs="Times New Roman"/>
          <w:color w:val="auto"/>
          <w:sz w:val="22"/>
          <w:szCs w:val="22"/>
        </w:rPr>
      </w:pPr>
    </w:p>
    <w:p w14:paraId="440A25CC" w14:textId="77777777" w:rsidR="00A02600" w:rsidRPr="00B54968" w:rsidRDefault="00592F33"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Available data do not support further infliximab treatment in children and adolescent patients (6-17 years) not responding within 10 weeks to the initial infusion. </w:t>
      </w:r>
    </w:p>
    <w:p w14:paraId="5458EE7B" w14:textId="77777777" w:rsidR="00A02600" w:rsidRPr="00B54968" w:rsidRDefault="00A02600" w:rsidP="003E2009">
      <w:pPr>
        <w:pStyle w:val="Default"/>
        <w:rPr>
          <w:rFonts w:ascii="Times New Roman" w:hAnsi="Times New Roman" w:cs="Times New Roman"/>
          <w:color w:val="auto"/>
          <w:sz w:val="22"/>
          <w:szCs w:val="22"/>
          <w:u w:val="single"/>
        </w:rPr>
      </w:pPr>
    </w:p>
    <w:p w14:paraId="72C1C9AF" w14:textId="77777777" w:rsidR="00A02600" w:rsidRPr="00051AEE" w:rsidRDefault="00592F33" w:rsidP="003E2009">
      <w:pPr>
        <w:pStyle w:val="Default"/>
        <w:rPr>
          <w:rFonts w:ascii="Times New Roman" w:hAnsi="Times New Roman" w:cs="Times New Roman"/>
          <w:color w:val="auto"/>
          <w:sz w:val="22"/>
          <w:szCs w:val="22"/>
        </w:rPr>
      </w:pPr>
      <w:r w:rsidRPr="00051AEE">
        <w:rPr>
          <w:rFonts w:ascii="Times New Roman" w:hAnsi="Times New Roman" w:cs="Times New Roman"/>
          <w:color w:val="auto"/>
          <w:sz w:val="22"/>
          <w:szCs w:val="22"/>
        </w:rPr>
        <w:t xml:space="preserve">Refractory </w:t>
      </w:r>
      <w:proofErr w:type="spellStart"/>
      <w:r w:rsidRPr="00051AEE">
        <w:rPr>
          <w:rFonts w:ascii="Times New Roman" w:hAnsi="Times New Roman" w:cs="Times New Roman"/>
          <w:color w:val="auto"/>
          <w:sz w:val="22"/>
          <w:szCs w:val="22"/>
        </w:rPr>
        <w:t>Fistulising</w:t>
      </w:r>
      <w:proofErr w:type="spellEnd"/>
      <w:r w:rsidRPr="00051AEE">
        <w:rPr>
          <w:rFonts w:ascii="Times New Roman" w:hAnsi="Times New Roman" w:cs="Times New Roman"/>
          <w:color w:val="auto"/>
          <w:sz w:val="22"/>
          <w:szCs w:val="22"/>
        </w:rPr>
        <w:t xml:space="preserve"> Crohn’s disease </w:t>
      </w:r>
    </w:p>
    <w:p w14:paraId="0F633916" w14:textId="77777777" w:rsidR="00A02600" w:rsidRPr="00B54968" w:rsidRDefault="00592F33" w:rsidP="003E2009">
      <w:pPr>
        <w:spacing w:after="0" w:line="240" w:lineRule="auto"/>
        <w:rPr>
          <w:rFonts w:ascii="Times New Roman" w:hAnsi="Times New Roman" w:cs="Times New Roman"/>
          <w:lang w:eastAsia="ko-KR"/>
        </w:rPr>
      </w:pPr>
      <w:r w:rsidRPr="00B54968">
        <w:rPr>
          <w:rFonts w:ascii="Times New Roman" w:hAnsi="Times New Roman" w:cs="Times New Roman"/>
        </w:rPr>
        <w:t>5 mg/kg given as a single intravenous infusion over a 2 hour period as an induction regimen at 0, 2 and 6 weeks followed by a maintenance regimen of 5 mg/kg every 8 weeks thereafter. If a patient does not respond after the initial 3 dose induction regimen, no additional treatment with infliximab should be given.</w:t>
      </w:r>
    </w:p>
    <w:p w14:paraId="6C91B3DE" w14:textId="77777777" w:rsidR="005662F7" w:rsidRPr="00B54968" w:rsidRDefault="005662F7" w:rsidP="003E2009">
      <w:pPr>
        <w:spacing w:after="0" w:line="240" w:lineRule="auto"/>
        <w:rPr>
          <w:rFonts w:ascii="Times New Roman" w:hAnsi="Times New Roman" w:cs="Times New Roman"/>
          <w:lang w:eastAsia="ko-KR"/>
        </w:rPr>
      </w:pPr>
    </w:p>
    <w:p w14:paraId="2CAE324D"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patients who respond and then lose their response, consideration may be given to treatment with 10 mg/kg. </w:t>
      </w:r>
    </w:p>
    <w:p w14:paraId="31CC881E" w14:textId="77777777" w:rsidR="00A02600" w:rsidRPr="00B54968" w:rsidRDefault="00A02600" w:rsidP="003E2009">
      <w:pPr>
        <w:pStyle w:val="Default"/>
        <w:rPr>
          <w:rFonts w:ascii="Times New Roman" w:hAnsi="Times New Roman" w:cs="Times New Roman"/>
          <w:color w:val="auto"/>
          <w:sz w:val="22"/>
          <w:szCs w:val="22"/>
        </w:rPr>
      </w:pPr>
    </w:p>
    <w:p w14:paraId="0E8EC011"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There are no efficacy and safety data on the use of infliximab for the treatment of refractory </w:t>
      </w:r>
      <w:proofErr w:type="spellStart"/>
      <w:r w:rsidRPr="00B54968">
        <w:rPr>
          <w:rFonts w:ascii="Times New Roman" w:hAnsi="Times New Roman" w:cs="Times New Roman"/>
          <w:color w:val="auto"/>
          <w:sz w:val="22"/>
          <w:szCs w:val="22"/>
        </w:rPr>
        <w:t>fistulising</w:t>
      </w:r>
      <w:proofErr w:type="spellEnd"/>
      <w:r w:rsidRPr="00B54968">
        <w:rPr>
          <w:rFonts w:ascii="Times New Roman" w:hAnsi="Times New Roman" w:cs="Times New Roman"/>
          <w:color w:val="auto"/>
          <w:sz w:val="22"/>
          <w:szCs w:val="22"/>
        </w:rPr>
        <w:t xml:space="preserve"> Crohn’s disease beyond 54 weeks. </w:t>
      </w:r>
    </w:p>
    <w:p w14:paraId="156B0580" w14:textId="77777777" w:rsidR="00A02600" w:rsidRPr="00B54968" w:rsidRDefault="00A02600" w:rsidP="003E2009">
      <w:pPr>
        <w:pStyle w:val="Default"/>
        <w:rPr>
          <w:rFonts w:ascii="Times New Roman" w:hAnsi="Times New Roman" w:cs="Times New Roman"/>
          <w:color w:val="auto"/>
          <w:sz w:val="22"/>
          <w:szCs w:val="22"/>
        </w:rPr>
      </w:pPr>
    </w:p>
    <w:p w14:paraId="45BEB141"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Ulcerative colitis in adults and in children and adolescents (6 to 17 years) </w:t>
      </w:r>
    </w:p>
    <w:p w14:paraId="3FA2D578"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 dose at 2 and 6 weeks after the first infusion, then every 8 weeks thereafter. </w:t>
      </w:r>
    </w:p>
    <w:p w14:paraId="64E421AD" w14:textId="77777777" w:rsidR="00A02600" w:rsidRPr="00B54968" w:rsidRDefault="00A02600" w:rsidP="003E2009">
      <w:pPr>
        <w:pStyle w:val="Default"/>
        <w:rPr>
          <w:rFonts w:ascii="Times New Roman" w:hAnsi="Times New Roman" w:cs="Times New Roman"/>
          <w:color w:val="auto"/>
          <w:sz w:val="22"/>
          <w:szCs w:val="22"/>
        </w:rPr>
      </w:pPr>
    </w:p>
    <w:p w14:paraId="1EECD5D2"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If patients have not responded to the initial three treatment infusion regimen at weeks 0, 2, and 6 weeks, then careful consideration should be given before persisting with further treatment. </w:t>
      </w:r>
    </w:p>
    <w:p w14:paraId="7ED3A94F" w14:textId="77777777" w:rsidR="00A02600" w:rsidRPr="00B54968" w:rsidRDefault="00A02600" w:rsidP="003E2009">
      <w:pPr>
        <w:pStyle w:val="Default"/>
        <w:rPr>
          <w:rFonts w:ascii="Times New Roman" w:hAnsi="Times New Roman" w:cs="Times New Roman"/>
          <w:color w:val="auto"/>
          <w:sz w:val="22"/>
          <w:szCs w:val="22"/>
        </w:rPr>
      </w:pPr>
    </w:p>
    <w:p w14:paraId="19133B9B"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Available data do not support further infliximab treatment in children and adolescent patients (6-17 years) not responding within 8 weeks to the initial infusion. </w:t>
      </w:r>
    </w:p>
    <w:p w14:paraId="11E25F2F" w14:textId="77777777" w:rsidR="00A02600" w:rsidRPr="00B54968" w:rsidRDefault="00A02600" w:rsidP="003E2009">
      <w:pPr>
        <w:pStyle w:val="Default"/>
        <w:rPr>
          <w:rFonts w:ascii="Times New Roman" w:hAnsi="Times New Roman" w:cs="Times New Roman"/>
          <w:color w:val="auto"/>
          <w:sz w:val="22"/>
          <w:szCs w:val="22"/>
        </w:rPr>
      </w:pPr>
    </w:p>
    <w:p w14:paraId="346A588E" w14:textId="77777777" w:rsidR="00A02600" w:rsidRPr="00051AEE" w:rsidRDefault="008202E9" w:rsidP="003E2009">
      <w:pPr>
        <w:pStyle w:val="Default"/>
        <w:rPr>
          <w:rFonts w:ascii="Times New Roman" w:hAnsi="Times New Roman" w:cs="Times New Roman"/>
          <w:color w:val="auto"/>
          <w:sz w:val="22"/>
          <w:szCs w:val="22"/>
        </w:rPr>
      </w:pPr>
      <w:proofErr w:type="spellStart"/>
      <w:r w:rsidRPr="00051AEE">
        <w:rPr>
          <w:rFonts w:ascii="Times New Roman" w:hAnsi="Times New Roman" w:cs="Times New Roman"/>
          <w:color w:val="auto"/>
          <w:sz w:val="22"/>
          <w:szCs w:val="22"/>
        </w:rPr>
        <w:t>Readministration</w:t>
      </w:r>
      <w:proofErr w:type="spellEnd"/>
      <w:r w:rsidRPr="00051AEE">
        <w:rPr>
          <w:rFonts w:ascii="Times New Roman" w:hAnsi="Times New Roman" w:cs="Times New Roman"/>
          <w:color w:val="auto"/>
          <w:sz w:val="22"/>
          <w:szCs w:val="22"/>
        </w:rPr>
        <w:t xml:space="preserve"> for Crohn’s disease, refractory </w:t>
      </w:r>
      <w:proofErr w:type="spellStart"/>
      <w:r w:rsidRPr="00051AEE">
        <w:rPr>
          <w:rFonts w:ascii="Times New Roman" w:hAnsi="Times New Roman" w:cs="Times New Roman"/>
          <w:color w:val="auto"/>
          <w:sz w:val="22"/>
          <w:szCs w:val="22"/>
        </w:rPr>
        <w:t>fistulising</w:t>
      </w:r>
      <w:proofErr w:type="spellEnd"/>
      <w:r w:rsidRPr="00051AEE">
        <w:rPr>
          <w:rFonts w:ascii="Times New Roman" w:hAnsi="Times New Roman" w:cs="Times New Roman"/>
          <w:color w:val="auto"/>
          <w:sz w:val="22"/>
          <w:szCs w:val="22"/>
        </w:rPr>
        <w:t xml:space="preserve"> Crohn’s disease and Rheumatoid Arthritis </w:t>
      </w:r>
    </w:p>
    <w:p w14:paraId="6ED40830" w14:textId="77777777" w:rsidR="00A02600" w:rsidRPr="00B54968" w:rsidRDefault="008202E9" w:rsidP="003E2009">
      <w:pPr>
        <w:pStyle w:val="Default"/>
        <w:rPr>
          <w:rFonts w:ascii="Times New Roman" w:hAnsi="Times New Roman" w:cs="Times New Roman"/>
          <w:color w:val="auto"/>
          <w:sz w:val="22"/>
          <w:szCs w:val="22"/>
        </w:rPr>
      </w:pP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of a liquid formulation of infliximab, which is no longer in use, with a drug-free interval of 2 to 4 years following a previous infusion has been associated with a delayed hypersensitivity reaction in 10 patients with Crohn’s disease (see PRECAUTIONS; ADVERSE EFFECTS). After a drug free interval of 16 weeks to 2 years, the risk of delayed hypersensitivity following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is not known. Therefore, after a drug free interval of 16 weeks,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is not recommended. </w:t>
      </w:r>
    </w:p>
    <w:p w14:paraId="574B1A03" w14:textId="77777777" w:rsidR="00A02600" w:rsidRPr="00B54968" w:rsidRDefault="00A02600" w:rsidP="003E2009">
      <w:pPr>
        <w:pStyle w:val="Default"/>
        <w:rPr>
          <w:rFonts w:ascii="Times New Roman" w:hAnsi="Times New Roman" w:cs="Times New Roman"/>
          <w:color w:val="auto"/>
          <w:sz w:val="22"/>
          <w:szCs w:val="22"/>
        </w:rPr>
      </w:pPr>
    </w:p>
    <w:p w14:paraId="7731D99A" w14:textId="77777777" w:rsidR="00A02600" w:rsidRPr="00051AEE" w:rsidRDefault="008202E9" w:rsidP="003E2009">
      <w:pPr>
        <w:pStyle w:val="Default"/>
        <w:rPr>
          <w:rFonts w:ascii="Times New Roman" w:hAnsi="Times New Roman" w:cs="Times New Roman"/>
          <w:color w:val="auto"/>
          <w:sz w:val="22"/>
          <w:szCs w:val="22"/>
        </w:rPr>
      </w:pPr>
      <w:proofErr w:type="spellStart"/>
      <w:r w:rsidRPr="00051AEE">
        <w:rPr>
          <w:rFonts w:ascii="Times New Roman" w:hAnsi="Times New Roman" w:cs="Times New Roman"/>
          <w:color w:val="auto"/>
          <w:sz w:val="22"/>
          <w:szCs w:val="22"/>
        </w:rPr>
        <w:t>Readministration</w:t>
      </w:r>
      <w:proofErr w:type="spellEnd"/>
      <w:r w:rsidRPr="00051AEE">
        <w:rPr>
          <w:rFonts w:ascii="Times New Roman" w:hAnsi="Times New Roman" w:cs="Times New Roman"/>
          <w:color w:val="auto"/>
          <w:sz w:val="22"/>
          <w:szCs w:val="22"/>
        </w:rPr>
        <w:t xml:space="preserve"> for Ankylosing Spondylitis </w:t>
      </w:r>
    </w:p>
    <w:p w14:paraId="4E75D418"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Data supporting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other than every 6 weeks, are not available at this time (see PRECAUTIONS and ADVERSE EFFECTS). </w:t>
      </w:r>
    </w:p>
    <w:p w14:paraId="19566CF8" w14:textId="77777777" w:rsidR="00A02600" w:rsidRPr="00B54968" w:rsidRDefault="00A02600" w:rsidP="003E2009">
      <w:pPr>
        <w:pStyle w:val="Default"/>
        <w:rPr>
          <w:rFonts w:ascii="Times New Roman" w:hAnsi="Times New Roman" w:cs="Times New Roman"/>
          <w:color w:val="auto"/>
          <w:sz w:val="22"/>
          <w:szCs w:val="22"/>
        </w:rPr>
      </w:pPr>
    </w:p>
    <w:p w14:paraId="239F2E2D" w14:textId="77777777" w:rsidR="00A02600" w:rsidRPr="00051AEE" w:rsidRDefault="008202E9" w:rsidP="003E2009">
      <w:pPr>
        <w:pStyle w:val="Default"/>
        <w:rPr>
          <w:rFonts w:ascii="Times New Roman" w:hAnsi="Times New Roman" w:cs="Times New Roman"/>
          <w:color w:val="auto"/>
          <w:sz w:val="22"/>
          <w:szCs w:val="22"/>
        </w:rPr>
      </w:pPr>
      <w:proofErr w:type="spellStart"/>
      <w:r w:rsidRPr="00051AEE">
        <w:rPr>
          <w:rFonts w:ascii="Times New Roman" w:hAnsi="Times New Roman" w:cs="Times New Roman"/>
          <w:color w:val="auto"/>
          <w:sz w:val="22"/>
          <w:szCs w:val="22"/>
        </w:rPr>
        <w:t>Readministration</w:t>
      </w:r>
      <w:proofErr w:type="spellEnd"/>
      <w:r w:rsidRPr="00051AEE">
        <w:rPr>
          <w:rFonts w:ascii="Times New Roman" w:hAnsi="Times New Roman" w:cs="Times New Roman"/>
          <w:color w:val="auto"/>
          <w:sz w:val="22"/>
          <w:szCs w:val="22"/>
        </w:rPr>
        <w:t xml:space="preserve"> for Psoriatic Arthritis </w:t>
      </w:r>
    </w:p>
    <w:p w14:paraId="2CBB4426"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Data supporting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other than every 8 weeks, are not available at this time (see PRECAUTIONS and ADVERSE EFFECTS). </w:t>
      </w:r>
    </w:p>
    <w:p w14:paraId="27322A71" w14:textId="77777777" w:rsidR="00A02600" w:rsidRPr="00B54968" w:rsidRDefault="00A02600" w:rsidP="003E2009">
      <w:pPr>
        <w:pStyle w:val="Default"/>
        <w:rPr>
          <w:rFonts w:ascii="Times New Roman" w:hAnsi="Times New Roman" w:cs="Times New Roman"/>
          <w:color w:val="auto"/>
          <w:sz w:val="22"/>
          <w:szCs w:val="22"/>
        </w:rPr>
      </w:pPr>
    </w:p>
    <w:p w14:paraId="4A92F336" w14:textId="77777777" w:rsidR="00A02600" w:rsidRPr="00051AEE" w:rsidRDefault="008202E9" w:rsidP="003E2009">
      <w:pPr>
        <w:pStyle w:val="Default"/>
        <w:rPr>
          <w:rFonts w:ascii="Times New Roman" w:hAnsi="Times New Roman" w:cs="Times New Roman"/>
          <w:color w:val="auto"/>
          <w:sz w:val="22"/>
          <w:szCs w:val="22"/>
        </w:rPr>
      </w:pPr>
      <w:proofErr w:type="spellStart"/>
      <w:r w:rsidRPr="00051AEE">
        <w:rPr>
          <w:rFonts w:ascii="Times New Roman" w:hAnsi="Times New Roman" w:cs="Times New Roman"/>
          <w:color w:val="auto"/>
          <w:sz w:val="22"/>
          <w:szCs w:val="22"/>
        </w:rPr>
        <w:t>Readministration</w:t>
      </w:r>
      <w:proofErr w:type="spellEnd"/>
      <w:r w:rsidRPr="00051AEE">
        <w:rPr>
          <w:rFonts w:ascii="Times New Roman" w:hAnsi="Times New Roman" w:cs="Times New Roman"/>
          <w:color w:val="auto"/>
          <w:sz w:val="22"/>
          <w:szCs w:val="22"/>
        </w:rPr>
        <w:t xml:space="preserve"> for Psoriasis </w:t>
      </w:r>
    </w:p>
    <w:p w14:paraId="0289475F"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Experience from intermittent treatment with </w:t>
      </w:r>
      <w:r w:rsidR="000208D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psoriasis after a period of no treatment suggests reduced efficacy and a higher incidence of infusion reactions when compared to the approved dosing guidance (see PRECAUTIONS and ADVERSE EFFECTS). </w:t>
      </w:r>
    </w:p>
    <w:p w14:paraId="6783B870" w14:textId="77777777" w:rsidR="00A02600" w:rsidRPr="00B54968" w:rsidRDefault="00A02600" w:rsidP="003E2009">
      <w:pPr>
        <w:pStyle w:val="Default"/>
        <w:rPr>
          <w:rFonts w:ascii="Times New Roman" w:hAnsi="Times New Roman" w:cs="Times New Roman"/>
          <w:color w:val="auto"/>
          <w:sz w:val="22"/>
          <w:szCs w:val="22"/>
        </w:rPr>
      </w:pPr>
    </w:p>
    <w:p w14:paraId="434791FB" w14:textId="77777777" w:rsidR="00A02600" w:rsidRPr="00051AEE" w:rsidRDefault="008202E9" w:rsidP="003E2009">
      <w:pPr>
        <w:pStyle w:val="Default"/>
        <w:rPr>
          <w:rFonts w:ascii="Times New Roman" w:hAnsi="Times New Roman" w:cs="Times New Roman"/>
          <w:color w:val="auto"/>
          <w:sz w:val="22"/>
          <w:szCs w:val="22"/>
        </w:rPr>
      </w:pPr>
      <w:proofErr w:type="spellStart"/>
      <w:r w:rsidRPr="00051AEE">
        <w:rPr>
          <w:rFonts w:ascii="Times New Roman" w:hAnsi="Times New Roman" w:cs="Times New Roman"/>
          <w:color w:val="auto"/>
          <w:sz w:val="22"/>
          <w:szCs w:val="22"/>
        </w:rPr>
        <w:t>Readministration</w:t>
      </w:r>
      <w:proofErr w:type="spellEnd"/>
      <w:r w:rsidRPr="00051AEE">
        <w:rPr>
          <w:rFonts w:ascii="Times New Roman" w:hAnsi="Times New Roman" w:cs="Times New Roman"/>
          <w:color w:val="auto"/>
          <w:sz w:val="22"/>
          <w:szCs w:val="22"/>
        </w:rPr>
        <w:t xml:space="preserve"> for ulcerative colitis </w:t>
      </w:r>
    </w:p>
    <w:p w14:paraId="2BB82D3E"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Data supporting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other than every 8 weeks, are not available at this time (see PRECAUTIONS and ADVERSE EFFECTS). </w:t>
      </w:r>
    </w:p>
    <w:p w14:paraId="53AC5BF2" w14:textId="77777777" w:rsidR="00A02600" w:rsidRPr="00B54968" w:rsidRDefault="00A02600" w:rsidP="003E2009">
      <w:pPr>
        <w:pStyle w:val="Default"/>
        <w:rPr>
          <w:rFonts w:ascii="Times New Roman" w:hAnsi="Times New Roman" w:cs="Times New Roman"/>
          <w:color w:val="auto"/>
          <w:sz w:val="22"/>
          <w:szCs w:val="22"/>
        </w:rPr>
      </w:pPr>
    </w:p>
    <w:p w14:paraId="16502424" w14:textId="77777777" w:rsidR="00A02600" w:rsidRPr="00051AEE" w:rsidRDefault="008202E9" w:rsidP="003E2009">
      <w:pPr>
        <w:pStyle w:val="Default"/>
        <w:rPr>
          <w:rFonts w:ascii="Times New Roman" w:hAnsi="Times New Roman" w:cs="Times New Roman"/>
          <w:color w:val="auto"/>
          <w:sz w:val="22"/>
          <w:szCs w:val="22"/>
        </w:rPr>
      </w:pPr>
      <w:r w:rsidRPr="00051AEE">
        <w:rPr>
          <w:rFonts w:ascii="Times New Roman" w:hAnsi="Times New Roman" w:cs="Times New Roman"/>
          <w:color w:val="auto"/>
          <w:sz w:val="22"/>
          <w:szCs w:val="22"/>
        </w:rPr>
        <w:t xml:space="preserve">Preparation and Administration </w:t>
      </w:r>
    </w:p>
    <w:p w14:paraId="1B8728A9" w14:textId="7113EB02"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1. No physical biochemical compatibility studies have been conducted to evaluate the </w:t>
      </w:r>
      <w:proofErr w:type="spellStart"/>
      <w:r w:rsidRPr="00B54968">
        <w:rPr>
          <w:rFonts w:ascii="Times New Roman" w:hAnsi="Times New Roman" w:cs="Times New Roman"/>
          <w:color w:val="auto"/>
          <w:sz w:val="22"/>
          <w:szCs w:val="22"/>
        </w:rPr>
        <w:t>coadministration</w:t>
      </w:r>
      <w:proofErr w:type="spellEnd"/>
      <w:r w:rsidRPr="00B54968">
        <w:rPr>
          <w:rFonts w:ascii="Times New Roman" w:hAnsi="Times New Roman" w:cs="Times New Roman"/>
          <w:color w:val="auto"/>
          <w:sz w:val="22"/>
          <w:szCs w:val="22"/>
        </w:rPr>
        <w:t xml:space="preserve"> of </w:t>
      </w:r>
      <w:r w:rsidR="00281C64">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with other agents. </w:t>
      </w:r>
      <w:r w:rsidR="00281C64">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should not be infused concomitantly in the same intravenous line with other agents. </w:t>
      </w:r>
    </w:p>
    <w:p w14:paraId="2B2F9BFC" w14:textId="77777777" w:rsidR="00A02600" w:rsidRPr="00B54968" w:rsidRDefault="00A02600" w:rsidP="003E2009">
      <w:pPr>
        <w:pStyle w:val="Default"/>
        <w:rPr>
          <w:rFonts w:ascii="Times New Roman" w:hAnsi="Times New Roman" w:cs="Times New Roman"/>
          <w:color w:val="auto"/>
          <w:sz w:val="22"/>
          <w:szCs w:val="22"/>
        </w:rPr>
      </w:pPr>
    </w:p>
    <w:p w14:paraId="5C7FDC0D" w14:textId="39502824"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2. Calculate the dose and the required number of </w:t>
      </w:r>
      <w:r w:rsidR="00281C64">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vials. </w:t>
      </w:r>
      <w:r w:rsidR="00767DA5" w:rsidRPr="00B54968">
        <w:rPr>
          <w:rFonts w:ascii="Times New Roman" w:hAnsi="Times New Roman" w:cs="Times New Roman"/>
          <w:color w:val="auto"/>
          <w:sz w:val="22"/>
          <w:szCs w:val="22"/>
        </w:rPr>
        <w:t>Under aseptic conditions r</w:t>
      </w:r>
      <w:r w:rsidRPr="00B54968">
        <w:rPr>
          <w:rFonts w:ascii="Times New Roman" w:hAnsi="Times New Roman" w:cs="Times New Roman"/>
          <w:color w:val="auto"/>
          <w:sz w:val="22"/>
          <w:szCs w:val="22"/>
        </w:rPr>
        <w:t xml:space="preserve">econstitute each vial with 10 mL of preservative-free sterile Water for Injections, using a syringe equipped with a 21-gauge or smaller needle. Upon reconstitution, each mL of reconstituted solution contains 10 mg of infliximab. Remove flip-top from the vial and wipe the top with a 70% alcohol swab. Insert the syringe into the vial through the </w:t>
      </w:r>
      <w:proofErr w:type="spellStart"/>
      <w:r w:rsidRPr="00B54968">
        <w:rPr>
          <w:rFonts w:ascii="Times New Roman" w:hAnsi="Times New Roman" w:cs="Times New Roman"/>
          <w:color w:val="auto"/>
          <w:sz w:val="22"/>
          <w:szCs w:val="22"/>
        </w:rPr>
        <w:t>centre</w:t>
      </w:r>
      <w:proofErr w:type="spellEnd"/>
      <w:r w:rsidRPr="00B54968">
        <w:rPr>
          <w:rFonts w:ascii="Times New Roman" w:hAnsi="Times New Roman" w:cs="Times New Roman"/>
          <w:color w:val="auto"/>
          <w:sz w:val="22"/>
          <w:szCs w:val="22"/>
        </w:rPr>
        <w:t xml:space="preserve"> of the rubber stopper and direct the stream of sterile Water for Injections to the glass wall of the vial. Foaming during reconstitution is not unusual. Avoid prolonged or vigorous agitation. DO NOT SHAKE THE VIAL. Swirl gently until the </w:t>
      </w:r>
      <w:proofErr w:type="spellStart"/>
      <w:r w:rsidRPr="00B54968">
        <w:rPr>
          <w:rFonts w:ascii="Times New Roman" w:hAnsi="Times New Roman" w:cs="Times New Roman"/>
          <w:color w:val="auto"/>
          <w:sz w:val="22"/>
          <w:szCs w:val="22"/>
        </w:rPr>
        <w:t>lyophilised</w:t>
      </w:r>
      <w:proofErr w:type="spellEnd"/>
      <w:r w:rsidRPr="00B54968">
        <w:rPr>
          <w:rFonts w:ascii="Times New Roman" w:hAnsi="Times New Roman" w:cs="Times New Roman"/>
          <w:color w:val="auto"/>
          <w:sz w:val="22"/>
          <w:szCs w:val="22"/>
        </w:rPr>
        <w:t xml:space="preserve"> cake is completely dissolved. Allow the reconstituted solution to stand for 5 minutes. Because </w:t>
      </w:r>
      <w:r w:rsidR="00281C64">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00715359"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is a protein, the solution may develop a few fine translucent particles that do not affect its potency. The solution should be colourless to light yellow and opalescent. After reconstitution, the vials should be used immediately. </w:t>
      </w:r>
    </w:p>
    <w:p w14:paraId="3029BFD5" w14:textId="77777777" w:rsidR="00A02600" w:rsidRPr="00B54968" w:rsidRDefault="00A02600" w:rsidP="003E2009">
      <w:pPr>
        <w:pStyle w:val="Default"/>
        <w:rPr>
          <w:rFonts w:ascii="Times New Roman" w:hAnsi="Times New Roman" w:cs="Times New Roman"/>
          <w:color w:val="auto"/>
          <w:sz w:val="22"/>
          <w:szCs w:val="22"/>
        </w:rPr>
      </w:pPr>
    </w:p>
    <w:p w14:paraId="4CB11170" w14:textId="747F9D10"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3. Further dilute the </w:t>
      </w:r>
      <w:r w:rsidR="00281C64">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 xml:space="preserve">® </w:t>
      </w:r>
      <w:r w:rsidRPr="00B54968">
        <w:rPr>
          <w:rFonts w:ascii="Times New Roman" w:hAnsi="Times New Roman" w:cs="Times New Roman"/>
          <w:color w:val="auto"/>
          <w:sz w:val="22"/>
          <w:szCs w:val="22"/>
        </w:rPr>
        <w:t xml:space="preserve">dose to a final volume of 250 mL with 0.9% sodium chloride solution for infusion, in either a 250 mL glass infusion bottle or infusion bag. Withdraw and discard a volume of 0.9% sodium chloride solution for infusion equal to the volume of the reconstituted </w:t>
      </w:r>
      <w:r w:rsidR="00281C64">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008A5C96"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dose; then, slowly add the </w:t>
      </w:r>
      <w:r w:rsidR="00281C64">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to the bottle or bag of infusion solution. Gently mix. Depending on the number of </w:t>
      </w:r>
      <w:r w:rsidR="00281C64">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vials used, the final concentration may range from 0.4 mg/mL to 4 mg/</w:t>
      </w:r>
      <w:proofErr w:type="spellStart"/>
      <w:r w:rsidRPr="00B54968">
        <w:rPr>
          <w:rFonts w:ascii="Times New Roman" w:hAnsi="Times New Roman" w:cs="Times New Roman"/>
          <w:color w:val="auto"/>
          <w:sz w:val="22"/>
          <w:szCs w:val="22"/>
        </w:rPr>
        <w:t>mL.</w:t>
      </w:r>
      <w:proofErr w:type="spellEnd"/>
      <w:r w:rsidRPr="00B54968">
        <w:rPr>
          <w:rFonts w:ascii="Times New Roman" w:hAnsi="Times New Roman" w:cs="Times New Roman"/>
          <w:color w:val="auto"/>
          <w:sz w:val="22"/>
          <w:szCs w:val="22"/>
        </w:rPr>
        <w:t xml:space="preserve"> </w:t>
      </w:r>
    </w:p>
    <w:p w14:paraId="3FF6E555" w14:textId="77777777" w:rsidR="00A02600" w:rsidRPr="00B54968" w:rsidRDefault="00A02600" w:rsidP="003E2009">
      <w:pPr>
        <w:pStyle w:val="Default"/>
        <w:rPr>
          <w:rFonts w:ascii="Times New Roman" w:hAnsi="Times New Roman" w:cs="Times New Roman"/>
          <w:color w:val="auto"/>
          <w:sz w:val="22"/>
          <w:szCs w:val="22"/>
        </w:rPr>
      </w:pPr>
    </w:p>
    <w:p w14:paraId="7DC8BA14"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4. The solution for infusion must be administered over a period of not less than the infusion time recommended for the specific indication. Use only an infusion set with an in-line, sterile, </w:t>
      </w:r>
      <w:proofErr w:type="spellStart"/>
      <w:r w:rsidRPr="00B54968">
        <w:rPr>
          <w:rFonts w:ascii="Times New Roman" w:hAnsi="Times New Roman" w:cs="Times New Roman"/>
          <w:color w:val="auto"/>
          <w:sz w:val="22"/>
          <w:szCs w:val="22"/>
        </w:rPr>
        <w:t>nonpyrogenic</w:t>
      </w:r>
      <w:proofErr w:type="spellEnd"/>
      <w:r w:rsidRPr="00B54968">
        <w:rPr>
          <w:rFonts w:ascii="Times New Roman" w:hAnsi="Times New Roman" w:cs="Times New Roman"/>
          <w:color w:val="auto"/>
          <w:sz w:val="22"/>
          <w:szCs w:val="22"/>
        </w:rPr>
        <w:t xml:space="preserve">, low protein-binding filter (pore size 1.2 </w:t>
      </w:r>
      <w:proofErr w:type="spellStart"/>
      <w:r w:rsidRPr="00B54968">
        <w:rPr>
          <w:rFonts w:ascii="Times New Roman" w:hAnsi="Times New Roman" w:cs="Times New Roman"/>
          <w:color w:val="auto"/>
          <w:sz w:val="22"/>
          <w:szCs w:val="22"/>
        </w:rPr>
        <w:t>μm</w:t>
      </w:r>
      <w:proofErr w:type="spellEnd"/>
      <w:r w:rsidRPr="00B54968">
        <w:rPr>
          <w:rFonts w:ascii="Times New Roman" w:hAnsi="Times New Roman" w:cs="Times New Roman"/>
          <w:color w:val="auto"/>
          <w:sz w:val="22"/>
          <w:szCs w:val="22"/>
        </w:rPr>
        <w:t xml:space="preserve"> or less). </w:t>
      </w:r>
    </w:p>
    <w:p w14:paraId="1897870E" w14:textId="77777777" w:rsidR="00A02600" w:rsidRPr="00B54968" w:rsidRDefault="00A02600" w:rsidP="003E2009">
      <w:pPr>
        <w:pStyle w:val="Default"/>
        <w:rPr>
          <w:rFonts w:ascii="Times New Roman" w:hAnsi="Times New Roman" w:cs="Times New Roman"/>
          <w:color w:val="auto"/>
          <w:sz w:val="22"/>
          <w:szCs w:val="22"/>
        </w:rPr>
      </w:pPr>
    </w:p>
    <w:p w14:paraId="0824EC3F" w14:textId="5EB96606"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w:t>
      </w:r>
      <w:r w:rsidR="00281C64">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infusion solution diluted in 0.9% sodium chloride is biochemically stable for 24 hours when stored between 2°C </w:t>
      </w:r>
      <w:r w:rsidR="007262A2" w:rsidRPr="00B54968">
        <w:rPr>
          <w:rFonts w:ascii="Times New Roman" w:hAnsi="Times New Roman" w:cs="Times New Roman"/>
          <w:color w:val="auto"/>
          <w:sz w:val="22"/>
          <w:szCs w:val="22"/>
        </w:rPr>
        <w:t>and 30</w:t>
      </w:r>
      <w:r w:rsidRPr="00B54968">
        <w:rPr>
          <w:rFonts w:ascii="Times New Roman" w:hAnsi="Times New Roman" w:cs="Times New Roman"/>
          <w:color w:val="auto"/>
          <w:sz w:val="22"/>
          <w:szCs w:val="22"/>
        </w:rPr>
        <w:t xml:space="preserve">°C. However, since no preservative is present, it is recommended the infusion begin within 3 hours after preparation and the solution not be stored for reuse. To reduce microbiological hazard, use as soon as practicable after reconstitution. If storage is necessary hold at 2 to 8°C for no more than 24 hours. This product is for single use only and any unused portion of the solution should be discarded. </w:t>
      </w:r>
    </w:p>
    <w:p w14:paraId="0B87DD4B" w14:textId="77777777" w:rsidR="00A02600" w:rsidRPr="00B54968" w:rsidRDefault="00A02600" w:rsidP="003E2009">
      <w:pPr>
        <w:pStyle w:val="Default"/>
        <w:rPr>
          <w:rFonts w:ascii="Times New Roman" w:hAnsi="Times New Roman" w:cs="Times New Roman"/>
          <w:color w:val="auto"/>
          <w:sz w:val="22"/>
          <w:szCs w:val="22"/>
        </w:rPr>
      </w:pPr>
    </w:p>
    <w:p w14:paraId="764146C2"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6. Parenteral drug products should be inspected visually for particulate matter or </w:t>
      </w:r>
      <w:proofErr w:type="spellStart"/>
      <w:r w:rsidRPr="00B54968">
        <w:rPr>
          <w:rFonts w:ascii="Times New Roman" w:hAnsi="Times New Roman" w:cs="Times New Roman"/>
          <w:color w:val="auto"/>
          <w:sz w:val="22"/>
          <w:szCs w:val="22"/>
        </w:rPr>
        <w:t>discolouration</w:t>
      </w:r>
      <w:proofErr w:type="spellEnd"/>
      <w:r w:rsidRPr="00B54968">
        <w:rPr>
          <w:rFonts w:ascii="Times New Roman" w:hAnsi="Times New Roman" w:cs="Times New Roman"/>
          <w:color w:val="auto"/>
          <w:sz w:val="22"/>
          <w:szCs w:val="22"/>
        </w:rPr>
        <w:t xml:space="preserve"> prior to administration. If opaque particles, </w:t>
      </w:r>
      <w:proofErr w:type="spellStart"/>
      <w:r w:rsidRPr="00B54968">
        <w:rPr>
          <w:rFonts w:ascii="Times New Roman" w:hAnsi="Times New Roman" w:cs="Times New Roman"/>
          <w:color w:val="auto"/>
          <w:sz w:val="22"/>
          <w:szCs w:val="22"/>
        </w:rPr>
        <w:t>discolouration</w:t>
      </w:r>
      <w:proofErr w:type="spellEnd"/>
      <w:r w:rsidRPr="00B54968">
        <w:rPr>
          <w:rFonts w:ascii="Times New Roman" w:hAnsi="Times New Roman" w:cs="Times New Roman"/>
          <w:color w:val="auto"/>
          <w:sz w:val="22"/>
          <w:szCs w:val="22"/>
        </w:rPr>
        <w:t xml:space="preserve"> or other foreign particulates are observed, the solution should not be used. </w:t>
      </w:r>
    </w:p>
    <w:p w14:paraId="41446960" w14:textId="77777777" w:rsidR="00A02600" w:rsidRPr="00B54968" w:rsidRDefault="00A02600" w:rsidP="003E2009">
      <w:pPr>
        <w:pStyle w:val="Default"/>
        <w:rPr>
          <w:rFonts w:ascii="Times New Roman" w:hAnsi="Times New Roman" w:cs="Times New Roman"/>
          <w:color w:val="auto"/>
          <w:sz w:val="22"/>
          <w:szCs w:val="22"/>
        </w:rPr>
      </w:pPr>
    </w:p>
    <w:p w14:paraId="788B6D1A"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OVERDOSAGE </w:t>
      </w:r>
    </w:p>
    <w:p w14:paraId="17E5677F"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Single doses up to 20 mg/kg have been administered to patients without direct toxic effects. In case of </w:t>
      </w:r>
      <w:proofErr w:type="spellStart"/>
      <w:r w:rsidRPr="00B54968">
        <w:rPr>
          <w:rFonts w:ascii="Times New Roman" w:hAnsi="Times New Roman" w:cs="Times New Roman"/>
          <w:color w:val="auto"/>
          <w:sz w:val="22"/>
          <w:szCs w:val="22"/>
        </w:rPr>
        <w:t>overdosage</w:t>
      </w:r>
      <w:proofErr w:type="spellEnd"/>
      <w:r w:rsidRPr="00B54968">
        <w:rPr>
          <w:rFonts w:ascii="Times New Roman" w:hAnsi="Times New Roman" w:cs="Times New Roman"/>
          <w:color w:val="auto"/>
          <w:sz w:val="22"/>
          <w:szCs w:val="22"/>
        </w:rPr>
        <w:t xml:space="preserve">, it is recommended that patients be monitored for any signs and symptoms of adverse reactions or effects, and appropriate symptomatic treatment be instituted immediately. Contact the Poisons Information Centre on 13 11 26 for advice on management of overdose. </w:t>
      </w:r>
    </w:p>
    <w:p w14:paraId="56C04016" w14:textId="77777777" w:rsidR="00A02600" w:rsidRPr="00B54968" w:rsidRDefault="00A02600" w:rsidP="003E2009">
      <w:pPr>
        <w:pStyle w:val="Default"/>
        <w:rPr>
          <w:rFonts w:ascii="Times New Roman" w:hAnsi="Times New Roman" w:cs="Times New Roman"/>
          <w:color w:val="auto"/>
          <w:sz w:val="22"/>
          <w:szCs w:val="22"/>
        </w:rPr>
      </w:pPr>
    </w:p>
    <w:p w14:paraId="28677ABD"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PRESENTATION AND STORAGE CONDITIONS </w:t>
      </w:r>
    </w:p>
    <w:p w14:paraId="24DC69F9" w14:textId="098BCDB9" w:rsidR="00A02600" w:rsidRPr="00B54968" w:rsidRDefault="00281C64"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INFLECTRA</w:t>
      </w:r>
      <w:r w:rsidR="00715359" w:rsidRPr="00B54968">
        <w:rPr>
          <w:rFonts w:ascii="Times New Roman" w:hAnsi="Times New Roman" w:cs="Times New Roman"/>
          <w:color w:val="auto"/>
          <w:sz w:val="22"/>
          <w:szCs w:val="22"/>
          <w:vertAlign w:val="superscript"/>
        </w:rPr>
        <w:t>®</w:t>
      </w:r>
      <w:r w:rsidR="008202E9" w:rsidRPr="00B54968">
        <w:rPr>
          <w:rFonts w:ascii="Times New Roman" w:hAnsi="Times New Roman" w:cs="Times New Roman"/>
          <w:color w:val="auto"/>
          <w:sz w:val="22"/>
          <w:szCs w:val="22"/>
        </w:rPr>
        <w:t xml:space="preserve"> 100 mg is supplied as a </w:t>
      </w:r>
      <w:proofErr w:type="spellStart"/>
      <w:r w:rsidR="008202E9" w:rsidRPr="00B54968">
        <w:rPr>
          <w:rFonts w:ascii="Times New Roman" w:hAnsi="Times New Roman" w:cs="Times New Roman"/>
          <w:color w:val="auto"/>
          <w:sz w:val="22"/>
          <w:szCs w:val="22"/>
        </w:rPr>
        <w:t>lyophilised</w:t>
      </w:r>
      <w:proofErr w:type="spellEnd"/>
      <w:r w:rsidR="008202E9" w:rsidRPr="00B54968">
        <w:rPr>
          <w:rFonts w:ascii="Times New Roman" w:hAnsi="Times New Roman" w:cs="Times New Roman"/>
          <w:color w:val="auto"/>
          <w:sz w:val="22"/>
          <w:szCs w:val="22"/>
        </w:rPr>
        <w:t xml:space="preserve"> powder in individually</w:t>
      </w:r>
      <w:r w:rsidR="008C0B45" w:rsidRPr="00B54968">
        <w:rPr>
          <w:rFonts w:ascii="Times New Roman" w:hAnsi="Times New Roman" w:cs="Times New Roman"/>
          <w:color w:val="auto"/>
          <w:sz w:val="22"/>
          <w:szCs w:val="22"/>
        </w:rPr>
        <w:t xml:space="preserve"> </w:t>
      </w:r>
      <w:r w:rsidR="008202E9" w:rsidRPr="00B54968">
        <w:rPr>
          <w:rFonts w:ascii="Times New Roman" w:hAnsi="Times New Roman" w:cs="Times New Roman"/>
          <w:color w:val="auto"/>
          <w:sz w:val="22"/>
          <w:szCs w:val="22"/>
        </w:rPr>
        <w:t xml:space="preserve">boxed single-use glass vials with rubber stoppers and </w:t>
      </w:r>
      <w:proofErr w:type="spellStart"/>
      <w:r w:rsidR="008202E9" w:rsidRPr="00B54968">
        <w:rPr>
          <w:rFonts w:ascii="Times New Roman" w:hAnsi="Times New Roman" w:cs="Times New Roman"/>
          <w:color w:val="auto"/>
          <w:sz w:val="22"/>
          <w:szCs w:val="22"/>
        </w:rPr>
        <w:t>aluminium</w:t>
      </w:r>
      <w:proofErr w:type="spellEnd"/>
      <w:r w:rsidR="008202E9" w:rsidRPr="00B54968">
        <w:rPr>
          <w:rFonts w:ascii="Times New Roman" w:hAnsi="Times New Roman" w:cs="Times New Roman"/>
          <w:color w:val="auto"/>
          <w:sz w:val="22"/>
          <w:szCs w:val="22"/>
        </w:rPr>
        <w:t xml:space="preserve"> crimps protected by plastic caps. </w:t>
      </w:r>
    </w:p>
    <w:p w14:paraId="36DA299C"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Store at 2</w:t>
      </w:r>
      <w:r w:rsidRPr="00B54968">
        <w:rPr>
          <w:rFonts w:ascii="Times New Roman" w:hAnsi="Times New Roman" w:cs="Times New Roman"/>
          <w:color w:val="auto"/>
          <w:sz w:val="22"/>
          <w:szCs w:val="22"/>
          <w:vertAlign w:val="superscript"/>
        </w:rPr>
        <w:t>o</w:t>
      </w:r>
      <w:r w:rsidRPr="00B54968">
        <w:rPr>
          <w:rFonts w:ascii="Times New Roman" w:hAnsi="Times New Roman" w:cs="Times New Roman"/>
          <w:color w:val="auto"/>
          <w:sz w:val="22"/>
          <w:szCs w:val="22"/>
        </w:rPr>
        <w:t xml:space="preserve"> to 8</w:t>
      </w:r>
      <w:r w:rsidRPr="00B54968">
        <w:rPr>
          <w:rFonts w:ascii="Times New Roman" w:hAnsi="Times New Roman" w:cs="Times New Roman"/>
          <w:color w:val="auto"/>
          <w:sz w:val="22"/>
          <w:szCs w:val="22"/>
          <w:vertAlign w:val="superscript"/>
        </w:rPr>
        <w:t>o</w:t>
      </w:r>
      <w:r w:rsidRPr="00B54968">
        <w:rPr>
          <w:rFonts w:ascii="Times New Roman" w:hAnsi="Times New Roman" w:cs="Times New Roman"/>
          <w:color w:val="auto"/>
          <w:sz w:val="22"/>
          <w:szCs w:val="22"/>
        </w:rPr>
        <w:t xml:space="preserve"> Celsius. Refrigerate</w:t>
      </w:r>
      <w:r w:rsidR="000370DD" w:rsidRPr="00B54968">
        <w:rPr>
          <w:rFonts w:ascii="Times New Roman" w:hAnsi="Times New Roman" w:cs="Times New Roman"/>
          <w:color w:val="auto"/>
          <w:sz w:val="22"/>
          <w:szCs w:val="22"/>
        </w:rPr>
        <w:t xml:space="preserve"> do not freeze</w:t>
      </w:r>
      <w:r w:rsidRPr="00B54968">
        <w:rPr>
          <w:rFonts w:ascii="Times New Roman" w:hAnsi="Times New Roman" w:cs="Times New Roman"/>
          <w:color w:val="auto"/>
          <w:sz w:val="22"/>
          <w:szCs w:val="22"/>
        </w:rPr>
        <w:t xml:space="preserve">. </w:t>
      </w:r>
    </w:p>
    <w:p w14:paraId="0A16E9E6" w14:textId="5DAAE2DB" w:rsidR="00E46F75" w:rsidRDefault="00E46F75" w:rsidP="003E2009">
      <w:pPr>
        <w:rPr>
          <w:rFonts w:ascii="Times New Roman" w:hAnsi="Times New Roman" w:cs="Times New Roman"/>
          <w:b/>
          <w:bCs/>
        </w:rPr>
      </w:pPr>
    </w:p>
    <w:p w14:paraId="0D21DC8C" w14:textId="2D0DEBAC"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NAME AND ADDRESS OF THE SPONSOR </w:t>
      </w:r>
    </w:p>
    <w:p w14:paraId="67169217" w14:textId="77777777" w:rsidR="00A02600" w:rsidRPr="00B54968" w:rsidRDefault="000370DD" w:rsidP="003E2009">
      <w:pPr>
        <w:spacing w:after="0"/>
        <w:rPr>
          <w:rFonts w:ascii="Times New Roman" w:hAnsi="Times New Roman" w:cs="Times New Roman"/>
        </w:rPr>
      </w:pPr>
      <w:r w:rsidRPr="00B54968">
        <w:rPr>
          <w:rFonts w:ascii="Times New Roman" w:hAnsi="Times New Roman" w:cs="Times New Roman"/>
        </w:rPr>
        <w:t>Pharmbio Pty Ltd</w:t>
      </w:r>
    </w:p>
    <w:p w14:paraId="67EF7523" w14:textId="77777777" w:rsidR="00A02600" w:rsidRPr="00B54968" w:rsidRDefault="00D33BE3" w:rsidP="003E2009">
      <w:pPr>
        <w:spacing w:after="0"/>
        <w:rPr>
          <w:rFonts w:ascii="Times New Roman" w:hAnsi="Times New Roman" w:cs="Times New Roman"/>
        </w:rPr>
      </w:pPr>
      <w:r w:rsidRPr="00B54968">
        <w:rPr>
          <w:rFonts w:ascii="Times New Roman" w:hAnsi="Times New Roman" w:cs="Times New Roman"/>
        </w:rPr>
        <w:t xml:space="preserve">23 </w:t>
      </w:r>
      <w:proofErr w:type="spellStart"/>
      <w:r w:rsidRPr="00B54968">
        <w:rPr>
          <w:rFonts w:ascii="Times New Roman" w:hAnsi="Times New Roman" w:cs="Times New Roman"/>
        </w:rPr>
        <w:t>Blackwall</w:t>
      </w:r>
      <w:proofErr w:type="spellEnd"/>
      <w:r w:rsidRPr="00B54968">
        <w:rPr>
          <w:rFonts w:ascii="Times New Roman" w:hAnsi="Times New Roman" w:cs="Times New Roman"/>
        </w:rPr>
        <w:t xml:space="preserve"> Rd</w:t>
      </w:r>
    </w:p>
    <w:p w14:paraId="686DB86C" w14:textId="77777777" w:rsidR="00A02600" w:rsidRPr="00B54968" w:rsidRDefault="00D33BE3" w:rsidP="003E2009">
      <w:pPr>
        <w:spacing w:after="0"/>
        <w:rPr>
          <w:rFonts w:ascii="Times New Roman" w:hAnsi="Times New Roman" w:cs="Times New Roman"/>
        </w:rPr>
      </w:pPr>
      <w:r w:rsidRPr="00B54968">
        <w:rPr>
          <w:rFonts w:ascii="Times New Roman" w:hAnsi="Times New Roman" w:cs="Times New Roman"/>
        </w:rPr>
        <w:t>Woy Woy</w:t>
      </w:r>
    </w:p>
    <w:p w14:paraId="5448F8F9" w14:textId="77777777" w:rsidR="00A02600" w:rsidRPr="00B54968" w:rsidRDefault="00D33BE3" w:rsidP="003E2009">
      <w:pPr>
        <w:spacing w:after="0"/>
        <w:rPr>
          <w:rFonts w:ascii="Times New Roman" w:hAnsi="Times New Roman" w:cs="Times New Roman"/>
        </w:rPr>
      </w:pPr>
      <w:r w:rsidRPr="00B54968">
        <w:rPr>
          <w:rFonts w:ascii="Times New Roman" w:hAnsi="Times New Roman" w:cs="Times New Roman"/>
        </w:rPr>
        <w:t>NSW 2256</w:t>
      </w:r>
    </w:p>
    <w:p w14:paraId="07233EEB" w14:textId="77777777" w:rsidR="00A02600" w:rsidRPr="00B54968" w:rsidRDefault="00A02600" w:rsidP="003E2009">
      <w:pPr>
        <w:pStyle w:val="Default"/>
        <w:rPr>
          <w:rFonts w:ascii="Times New Roman" w:hAnsi="Times New Roman" w:cs="Times New Roman"/>
          <w:color w:val="auto"/>
          <w:sz w:val="22"/>
          <w:szCs w:val="22"/>
          <w:lang w:eastAsia="ko-KR"/>
        </w:rPr>
      </w:pPr>
    </w:p>
    <w:p w14:paraId="6E3169A7"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POISON SCHEDULE </w:t>
      </w:r>
    </w:p>
    <w:p w14:paraId="78AF12EB"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S4 - Prescription Only Medicine </w:t>
      </w:r>
    </w:p>
    <w:p w14:paraId="6F75A6E5" w14:textId="77777777" w:rsidR="00A02600" w:rsidRPr="00B54968" w:rsidRDefault="00A02600" w:rsidP="003E2009">
      <w:pPr>
        <w:pStyle w:val="Default"/>
        <w:rPr>
          <w:rFonts w:ascii="Times New Roman" w:hAnsi="Times New Roman" w:cs="Times New Roman"/>
          <w:color w:val="auto"/>
          <w:sz w:val="22"/>
          <w:szCs w:val="22"/>
        </w:rPr>
      </w:pPr>
    </w:p>
    <w:p w14:paraId="0F90A431" w14:textId="77777777" w:rsidR="00A02600" w:rsidRPr="00B54968" w:rsidRDefault="008202E9" w:rsidP="003E200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DATE OF FIRST INCLUSION IN THE AUSTRALIAN REGISTER OF THERAPEUTIC GOODS (THE ARTG) </w:t>
      </w:r>
    </w:p>
    <w:p w14:paraId="3AF7AF29" w14:textId="535FE801" w:rsidR="00A02600" w:rsidRPr="00B54968" w:rsidRDefault="00281C64" w:rsidP="003E20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19 August 2015</w:t>
      </w:r>
      <w:bookmarkStart w:id="4" w:name="_GoBack"/>
      <w:bookmarkEnd w:id="4"/>
    </w:p>
    <w:sectPr w:rsidR="00A02600" w:rsidRPr="00B54968" w:rsidSect="00061E8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B7B53" w14:textId="77777777" w:rsidR="003E2009" w:rsidRDefault="003E2009" w:rsidP="0000486F">
      <w:pPr>
        <w:spacing w:after="0" w:line="240" w:lineRule="auto"/>
      </w:pPr>
      <w:r>
        <w:separator/>
      </w:r>
    </w:p>
  </w:endnote>
  <w:endnote w:type="continuationSeparator" w:id="0">
    <w:p w14:paraId="00CEC82D" w14:textId="77777777" w:rsidR="003E2009" w:rsidRDefault="003E2009" w:rsidP="0000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01622718"/>
      <w:docPartObj>
        <w:docPartGallery w:val="Page Numbers (Bottom of Page)"/>
        <w:docPartUnique/>
      </w:docPartObj>
    </w:sdtPr>
    <w:sdtContent>
      <w:sdt>
        <w:sdtPr>
          <w:rPr>
            <w:rFonts w:ascii="Times New Roman" w:hAnsi="Times New Roman" w:cs="Times New Roman"/>
          </w:rPr>
          <w:id w:val="98381352"/>
          <w:docPartObj>
            <w:docPartGallery w:val="Page Numbers (Top of Page)"/>
            <w:docPartUnique/>
          </w:docPartObj>
        </w:sdtPr>
        <w:sdtContent>
          <w:p w14:paraId="0C4FE262" w14:textId="08BC0F72" w:rsidR="003E2009" w:rsidRPr="0051526C" w:rsidRDefault="003E2009" w:rsidP="00EB4D29">
            <w:pPr>
              <w:pStyle w:val="Footer"/>
              <w:jc w:val="center"/>
              <w:rPr>
                <w:rFonts w:ascii="Times New Roman" w:hAnsi="Times New Roman" w:cs="Times New Roman"/>
              </w:rPr>
            </w:pPr>
            <w:r w:rsidRPr="0051526C">
              <w:rPr>
                <w:rFonts w:ascii="Times New Roman" w:hAnsi="Times New Roman" w:cs="Times New Roman"/>
              </w:rPr>
              <w:t xml:space="preserve">Page </w:t>
            </w:r>
            <w:r w:rsidRPr="0051526C">
              <w:rPr>
                <w:rFonts w:ascii="Times New Roman" w:hAnsi="Times New Roman" w:cs="Times New Roman"/>
                <w:b/>
                <w:bCs/>
                <w:sz w:val="24"/>
                <w:szCs w:val="24"/>
              </w:rPr>
              <w:fldChar w:fldCharType="begin"/>
            </w:r>
            <w:r w:rsidRPr="0051526C">
              <w:rPr>
                <w:rFonts w:ascii="Times New Roman" w:hAnsi="Times New Roman" w:cs="Times New Roman"/>
                <w:b/>
                <w:bCs/>
              </w:rPr>
              <w:instrText xml:space="preserve"> PAGE </w:instrText>
            </w:r>
            <w:r w:rsidRPr="0051526C">
              <w:rPr>
                <w:rFonts w:ascii="Times New Roman" w:hAnsi="Times New Roman" w:cs="Times New Roman"/>
                <w:b/>
                <w:bCs/>
                <w:sz w:val="24"/>
                <w:szCs w:val="24"/>
              </w:rPr>
              <w:fldChar w:fldCharType="separate"/>
            </w:r>
            <w:r w:rsidR="00051AEE">
              <w:rPr>
                <w:rFonts w:ascii="Times New Roman" w:hAnsi="Times New Roman" w:cs="Times New Roman"/>
                <w:b/>
                <w:bCs/>
                <w:noProof/>
              </w:rPr>
              <w:t>46</w:t>
            </w:r>
            <w:r w:rsidRPr="0051526C">
              <w:rPr>
                <w:rFonts w:ascii="Times New Roman" w:hAnsi="Times New Roman" w:cs="Times New Roman"/>
                <w:b/>
                <w:bCs/>
                <w:sz w:val="24"/>
                <w:szCs w:val="24"/>
              </w:rPr>
              <w:fldChar w:fldCharType="end"/>
            </w:r>
            <w:r w:rsidRPr="0051526C">
              <w:rPr>
                <w:rFonts w:ascii="Times New Roman" w:hAnsi="Times New Roman" w:cs="Times New Roman"/>
              </w:rPr>
              <w:t xml:space="preserve"> of </w:t>
            </w:r>
            <w:r w:rsidRPr="0051526C">
              <w:rPr>
                <w:rFonts w:ascii="Times New Roman" w:hAnsi="Times New Roman" w:cs="Times New Roman"/>
                <w:b/>
                <w:bCs/>
                <w:sz w:val="24"/>
                <w:szCs w:val="24"/>
              </w:rPr>
              <w:fldChar w:fldCharType="begin"/>
            </w:r>
            <w:r w:rsidRPr="0051526C">
              <w:rPr>
                <w:rFonts w:ascii="Times New Roman" w:hAnsi="Times New Roman" w:cs="Times New Roman"/>
                <w:b/>
                <w:bCs/>
              </w:rPr>
              <w:instrText xml:space="preserve"> NUMPAGES  </w:instrText>
            </w:r>
            <w:r w:rsidRPr="0051526C">
              <w:rPr>
                <w:rFonts w:ascii="Times New Roman" w:hAnsi="Times New Roman" w:cs="Times New Roman"/>
                <w:b/>
                <w:bCs/>
                <w:sz w:val="24"/>
                <w:szCs w:val="24"/>
              </w:rPr>
              <w:fldChar w:fldCharType="separate"/>
            </w:r>
            <w:r w:rsidR="00051AEE">
              <w:rPr>
                <w:rFonts w:ascii="Times New Roman" w:hAnsi="Times New Roman" w:cs="Times New Roman"/>
                <w:b/>
                <w:bCs/>
                <w:noProof/>
              </w:rPr>
              <w:t>46</w:t>
            </w:r>
            <w:r w:rsidRPr="0051526C">
              <w:rPr>
                <w:rFonts w:ascii="Times New Roman" w:hAnsi="Times New Roman" w:cs="Times New Roman"/>
                <w:b/>
                <w:bCs/>
                <w:sz w:val="24"/>
                <w:szCs w:val="24"/>
              </w:rPr>
              <w:fldChar w:fldCharType="end"/>
            </w:r>
          </w:p>
        </w:sdtContent>
      </w:sdt>
    </w:sdtContent>
  </w:sdt>
  <w:p w14:paraId="6FAC828C" w14:textId="305AB37D" w:rsidR="003E2009" w:rsidRPr="0051526C" w:rsidRDefault="003E2009">
    <w:pPr>
      <w:pStyle w:val="Footer"/>
      <w:rPr>
        <w:rFonts w:ascii="Times New Roman" w:hAnsi="Times New Roman" w:cs="Times New Roman"/>
      </w:rPr>
    </w:pPr>
    <w:r w:rsidRPr="0051526C">
      <w:rPr>
        <w:rFonts w:ascii="Times New Roman" w:hAnsi="Times New Roman" w:cs="Times New Roman"/>
      </w:rPr>
      <w:t xml:space="preserve">Version </w:t>
    </w:r>
    <w:r>
      <w:rPr>
        <w:rFonts w:ascii="Times New Roman" w:hAnsi="Times New Roman" w:cs="Times New Roman"/>
        <w:lang w:eastAsia="ko-KR"/>
      </w:rPr>
      <w:t>1:03/08/2015</w:t>
    </w:r>
    <w:r w:rsidRPr="0051526C">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6A89F" w14:textId="77777777" w:rsidR="003E2009" w:rsidRDefault="003E2009" w:rsidP="0000486F">
      <w:pPr>
        <w:spacing w:after="0" w:line="240" w:lineRule="auto"/>
      </w:pPr>
      <w:r>
        <w:separator/>
      </w:r>
    </w:p>
  </w:footnote>
  <w:footnote w:type="continuationSeparator" w:id="0">
    <w:p w14:paraId="23F69624" w14:textId="77777777" w:rsidR="003E2009" w:rsidRDefault="003E2009" w:rsidP="0000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E702E" w14:textId="4A24361E" w:rsidR="003E2009" w:rsidRPr="0051526C" w:rsidRDefault="003E2009" w:rsidP="0000486F">
    <w:pPr>
      <w:pStyle w:val="Header"/>
      <w:pBdr>
        <w:bottom w:val="single" w:sz="4" w:space="1" w:color="auto"/>
      </w:pBdr>
      <w:rPr>
        <w:rFonts w:ascii="Times New Roman" w:hAnsi="Times New Roman" w:cs="Times New Roman"/>
      </w:rPr>
    </w:pPr>
    <w:r w:rsidRPr="0051526C">
      <w:rPr>
        <w:rFonts w:ascii="Times New Roman" w:hAnsi="Times New Roman" w:cs="Times New Roman"/>
      </w:rPr>
      <w:t xml:space="preserve">PRODUCT INFORMATION </w:t>
    </w:r>
    <w:r w:rsidRPr="0051526C">
      <w:rPr>
        <w:rFonts w:ascii="Times New Roman" w:hAnsi="Times New Roman" w:cs="Times New Roman"/>
      </w:rPr>
      <w:tab/>
    </w:r>
    <w:r w:rsidRPr="0051526C">
      <w:rPr>
        <w:rFonts w:ascii="Times New Roman" w:hAnsi="Times New Roman" w:cs="Times New Roman"/>
      </w:rPr>
      <w:tab/>
    </w:r>
  </w:p>
  <w:p w14:paraId="21E25347" w14:textId="2CFB0168" w:rsidR="003E2009" w:rsidRPr="0051526C" w:rsidRDefault="003E2009" w:rsidP="0000486F">
    <w:pPr>
      <w:pStyle w:val="Header"/>
      <w:pBdr>
        <w:bottom w:val="single" w:sz="4" w:space="1" w:color="auto"/>
      </w:pBdr>
      <w:rPr>
        <w:rFonts w:ascii="Times New Roman" w:hAnsi="Times New Roman" w:cs="Times New Roman"/>
      </w:rPr>
    </w:pPr>
    <w:r w:rsidRPr="0051526C">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831"/>
    <w:multiLevelType w:val="hybridMultilevel"/>
    <w:tmpl w:val="DBFC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31BAC"/>
    <w:multiLevelType w:val="hybridMultilevel"/>
    <w:tmpl w:val="7CAC60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918CE"/>
    <w:multiLevelType w:val="hybridMultilevel"/>
    <w:tmpl w:val="D7241514"/>
    <w:lvl w:ilvl="0" w:tplc="174C152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B2441F8"/>
    <w:multiLevelType w:val="hybridMultilevel"/>
    <w:tmpl w:val="776A8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2A248F"/>
    <w:multiLevelType w:val="multilevel"/>
    <w:tmpl w:val="BECAE418"/>
    <w:name w:val="WWH"/>
    <w:lvl w:ilvl="0">
      <w:start w:val="1"/>
      <w:numFmt w:val="none"/>
      <w:pStyle w:val="Heading1"/>
      <w:suff w:val="nothing"/>
      <w:lvlText w:val=""/>
      <w:lvlJc w:val="left"/>
      <w:pPr>
        <w:tabs>
          <w:tab w:val="num" w:pos="0"/>
        </w:tabs>
        <w:ind w:left="0" w:firstLine="0"/>
      </w:pPr>
      <w:rPr>
        <w:rFonts w:ascii="Arial" w:hAnsi="Arial" w:cs="Arial"/>
        <w:b/>
        <w:i w:val="0"/>
        <w:caps w:val="0"/>
        <w:smallCaps w:val="0"/>
        <w:strike w:val="0"/>
        <w:dstrike w:val="0"/>
        <w:sz w:val="24"/>
        <w:u w:val="none"/>
        <w:effect w:val="none"/>
        <w:vertAlign w:val="baseline"/>
      </w:rPr>
    </w:lvl>
    <w:lvl w:ilvl="1">
      <w:start w:val="1"/>
      <w:numFmt w:val="none"/>
      <w:pStyle w:val="Heading2"/>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2">
      <w:start w:val="1"/>
      <w:numFmt w:val="none"/>
      <w:pStyle w:val="Heading3"/>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3">
      <w:start w:val="1"/>
      <w:numFmt w:val="none"/>
      <w:pStyle w:val="Heading4"/>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4">
      <w:start w:val="1"/>
      <w:numFmt w:val="none"/>
      <w:pStyle w:val="Heading5"/>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5">
      <w:start w:val="1"/>
      <w:numFmt w:val="none"/>
      <w:pStyle w:val="Heading6"/>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6">
      <w:start w:val="1"/>
      <w:numFmt w:val="none"/>
      <w:pStyle w:val="Heading7"/>
      <w:suff w:val="nothing"/>
      <w:lvlText w:val=""/>
      <w:lvlJc w:val="left"/>
      <w:pPr>
        <w:tabs>
          <w:tab w:val="num" w:pos="0"/>
        </w:tabs>
        <w:ind w:left="0" w:firstLine="0"/>
      </w:pPr>
      <w:rPr>
        <w:rFonts w:ascii="Arial" w:hAnsi="Arial" w:cs="Arial"/>
        <w:b w:val="0"/>
        <w:i/>
        <w:caps w:val="0"/>
        <w:strike w:val="0"/>
        <w:dstrike w:val="0"/>
        <w:sz w:val="22"/>
        <w:u w:val="none"/>
        <w:effect w:val="none"/>
        <w:vertAlign w:val="baseline"/>
      </w:rPr>
    </w:lvl>
    <w:lvl w:ilvl="7">
      <w:start w:val="1"/>
      <w:numFmt w:val="none"/>
      <w:pStyle w:val="Heading8"/>
      <w:suff w:val="nothing"/>
      <w:lvlText w:val=""/>
      <w:lvlJc w:val="left"/>
      <w:pPr>
        <w:tabs>
          <w:tab w:val="num" w:pos="0"/>
        </w:tabs>
        <w:ind w:left="0" w:firstLine="0"/>
      </w:pPr>
      <w:rPr>
        <w:rFonts w:ascii="Arial" w:hAnsi="Arial" w:cs="Arial"/>
        <w:b w:val="0"/>
        <w:i/>
        <w:caps w:val="0"/>
        <w:strike w:val="0"/>
        <w:dstrike w:val="0"/>
        <w:sz w:val="22"/>
        <w:u w:val="none"/>
        <w:effect w:val="none"/>
        <w:vertAlign w:val="baseline"/>
      </w:rPr>
    </w:lvl>
    <w:lvl w:ilvl="8">
      <w:start w:val="1"/>
      <w:numFmt w:val="none"/>
      <w:pStyle w:val="Heading9"/>
      <w:suff w:val="nothing"/>
      <w:lvlText w:val=""/>
      <w:lvlJc w:val="left"/>
      <w:pPr>
        <w:tabs>
          <w:tab w:val="num" w:pos="0"/>
        </w:tabs>
        <w:ind w:left="0" w:firstLine="0"/>
      </w:pPr>
      <w:rPr>
        <w:rFonts w:ascii="Arial" w:hAnsi="Arial" w:cs="Arial"/>
        <w:b w:val="0"/>
        <w:i/>
        <w:caps w:val="0"/>
        <w:strike w:val="0"/>
        <w:dstrike w:val="0"/>
        <w:sz w:val="22"/>
        <w:u w:val="none"/>
        <w:effect w:val="none"/>
        <w:vertAlign w:val="baseline"/>
      </w:rPr>
    </w:lvl>
  </w:abstractNum>
  <w:abstractNum w:abstractNumId="5" w15:restartNumberingAfterBreak="0">
    <w:nsid w:val="4D5B657F"/>
    <w:multiLevelType w:val="hybridMultilevel"/>
    <w:tmpl w:val="C3F42122"/>
    <w:lvl w:ilvl="0" w:tplc="8BA6F5A2">
      <w:start w:val="1"/>
      <w:numFmt w:val="bullet"/>
      <w:pStyle w:val="ListBulleted"/>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3E8296B"/>
    <w:multiLevelType w:val="multilevel"/>
    <w:tmpl w:val="B0123674"/>
    <w:lvl w:ilvl="0">
      <w:start w:val="1"/>
      <w:numFmt w:val="decimal"/>
      <w:lvlText w:val="%1"/>
      <w:lvlJc w:val="left"/>
      <w:pPr>
        <w:ind w:left="705" w:hanging="705"/>
      </w:pPr>
      <w:rPr>
        <w:rFonts w:cs="Times New Roman" w:hint="default"/>
        <w:vertAlign w:val="superscrip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9880795"/>
    <w:multiLevelType w:val="hybridMultilevel"/>
    <w:tmpl w:val="C930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42E99"/>
    <w:multiLevelType w:val="hybridMultilevel"/>
    <w:tmpl w:val="B5842B96"/>
    <w:lvl w:ilvl="0" w:tplc="8676F1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B7F61"/>
    <w:multiLevelType w:val="hybridMultilevel"/>
    <w:tmpl w:val="C6E27D9E"/>
    <w:lvl w:ilvl="0" w:tplc="727EEB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5"/>
  </w:num>
  <w:num w:numId="6">
    <w:abstractNumId w:val="0"/>
  </w:num>
  <w:num w:numId="7">
    <w:abstractNumId w:val="7"/>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20"/>
    <w:rsid w:val="0000044A"/>
    <w:rsid w:val="00000A53"/>
    <w:rsid w:val="00001857"/>
    <w:rsid w:val="0000486F"/>
    <w:rsid w:val="00010951"/>
    <w:rsid w:val="0001136D"/>
    <w:rsid w:val="00011755"/>
    <w:rsid w:val="00011F31"/>
    <w:rsid w:val="00012534"/>
    <w:rsid w:val="00012A49"/>
    <w:rsid w:val="00012FF9"/>
    <w:rsid w:val="0001548F"/>
    <w:rsid w:val="000208DA"/>
    <w:rsid w:val="000338F8"/>
    <w:rsid w:val="0003418E"/>
    <w:rsid w:val="000370DD"/>
    <w:rsid w:val="000404D3"/>
    <w:rsid w:val="00043E5B"/>
    <w:rsid w:val="000445C0"/>
    <w:rsid w:val="00045650"/>
    <w:rsid w:val="0004787B"/>
    <w:rsid w:val="00047DC8"/>
    <w:rsid w:val="000514B5"/>
    <w:rsid w:val="00051AEE"/>
    <w:rsid w:val="000523CA"/>
    <w:rsid w:val="00052A07"/>
    <w:rsid w:val="00054029"/>
    <w:rsid w:val="0005734E"/>
    <w:rsid w:val="00061E80"/>
    <w:rsid w:val="00063C73"/>
    <w:rsid w:val="00064586"/>
    <w:rsid w:val="00066BB7"/>
    <w:rsid w:val="0007435D"/>
    <w:rsid w:val="00077063"/>
    <w:rsid w:val="00080C50"/>
    <w:rsid w:val="00081D9B"/>
    <w:rsid w:val="000834CD"/>
    <w:rsid w:val="00094AFD"/>
    <w:rsid w:val="00094BE0"/>
    <w:rsid w:val="00094E13"/>
    <w:rsid w:val="00096F0B"/>
    <w:rsid w:val="0009703D"/>
    <w:rsid w:val="00097FD5"/>
    <w:rsid w:val="000A56CA"/>
    <w:rsid w:val="000B3736"/>
    <w:rsid w:val="000B49CE"/>
    <w:rsid w:val="000B5F58"/>
    <w:rsid w:val="000B683D"/>
    <w:rsid w:val="000C0479"/>
    <w:rsid w:val="000C5FD7"/>
    <w:rsid w:val="000D1B18"/>
    <w:rsid w:val="000D1C21"/>
    <w:rsid w:val="000D3425"/>
    <w:rsid w:val="000E35F2"/>
    <w:rsid w:val="000E79C9"/>
    <w:rsid w:val="000E7DBC"/>
    <w:rsid w:val="000F1063"/>
    <w:rsid w:val="000F43AE"/>
    <w:rsid w:val="000F4CDE"/>
    <w:rsid w:val="000F6A09"/>
    <w:rsid w:val="000F772F"/>
    <w:rsid w:val="00100610"/>
    <w:rsid w:val="00101AD4"/>
    <w:rsid w:val="00103339"/>
    <w:rsid w:val="001033EB"/>
    <w:rsid w:val="00105393"/>
    <w:rsid w:val="001118DE"/>
    <w:rsid w:val="0011546D"/>
    <w:rsid w:val="0011669A"/>
    <w:rsid w:val="0012357A"/>
    <w:rsid w:val="00123753"/>
    <w:rsid w:val="00125BF8"/>
    <w:rsid w:val="00126A14"/>
    <w:rsid w:val="00132759"/>
    <w:rsid w:val="00132D3E"/>
    <w:rsid w:val="00136332"/>
    <w:rsid w:val="00140783"/>
    <w:rsid w:val="00140815"/>
    <w:rsid w:val="00140D1E"/>
    <w:rsid w:val="00140E06"/>
    <w:rsid w:val="0014339E"/>
    <w:rsid w:val="0014372B"/>
    <w:rsid w:val="0014395C"/>
    <w:rsid w:val="00144115"/>
    <w:rsid w:val="00144C61"/>
    <w:rsid w:val="00150E4C"/>
    <w:rsid w:val="0015282D"/>
    <w:rsid w:val="00153BCC"/>
    <w:rsid w:val="0015409B"/>
    <w:rsid w:val="00157508"/>
    <w:rsid w:val="001615F7"/>
    <w:rsid w:val="00164DC4"/>
    <w:rsid w:val="001674C9"/>
    <w:rsid w:val="001779A0"/>
    <w:rsid w:val="00184DF3"/>
    <w:rsid w:val="001A0A11"/>
    <w:rsid w:val="001A144E"/>
    <w:rsid w:val="001A2248"/>
    <w:rsid w:val="001A3435"/>
    <w:rsid w:val="001A50CB"/>
    <w:rsid w:val="001A6783"/>
    <w:rsid w:val="001A691C"/>
    <w:rsid w:val="001B323E"/>
    <w:rsid w:val="001B3490"/>
    <w:rsid w:val="001B36EE"/>
    <w:rsid w:val="001B7B8C"/>
    <w:rsid w:val="001C0EEB"/>
    <w:rsid w:val="001C201B"/>
    <w:rsid w:val="001C2B08"/>
    <w:rsid w:val="001C375E"/>
    <w:rsid w:val="001C69EF"/>
    <w:rsid w:val="001D74A2"/>
    <w:rsid w:val="001E30C4"/>
    <w:rsid w:val="001E3F2E"/>
    <w:rsid w:val="001F0EDE"/>
    <w:rsid w:val="001F4297"/>
    <w:rsid w:val="001F4C51"/>
    <w:rsid w:val="001F4E7B"/>
    <w:rsid w:val="001F50E0"/>
    <w:rsid w:val="002076EC"/>
    <w:rsid w:val="00212870"/>
    <w:rsid w:val="00212BEA"/>
    <w:rsid w:val="0021508F"/>
    <w:rsid w:val="00215E1E"/>
    <w:rsid w:val="002228E0"/>
    <w:rsid w:val="00224434"/>
    <w:rsid w:val="00225020"/>
    <w:rsid w:val="002272F6"/>
    <w:rsid w:val="00227ECD"/>
    <w:rsid w:val="00230643"/>
    <w:rsid w:val="00237706"/>
    <w:rsid w:val="00241C5F"/>
    <w:rsid w:val="002437B5"/>
    <w:rsid w:val="0024452E"/>
    <w:rsid w:val="00244BCC"/>
    <w:rsid w:val="002451AE"/>
    <w:rsid w:val="00263A0E"/>
    <w:rsid w:val="00265003"/>
    <w:rsid w:val="0026622B"/>
    <w:rsid w:val="00274323"/>
    <w:rsid w:val="00277ADB"/>
    <w:rsid w:val="00277B8F"/>
    <w:rsid w:val="00281C64"/>
    <w:rsid w:val="0028217B"/>
    <w:rsid w:val="0028340B"/>
    <w:rsid w:val="00283F59"/>
    <w:rsid w:val="0028592F"/>
    <w:rsid w:val="002878EE"/>
    <w:rsid w:val="002970A9"/>
    <w:rsid w:val="00297D68"/>
    <w:rsid w:val="002A0640"/>
    <w:rsid w:val="002A068B"/>
    <w:rsid w:val="002A10D6"/>
    <w:rsid w:val="002A125D"/>
    <w:rsid w:val="002A2C7B"/>
    <w:rsid w:val="002A438B"/>
    <w:rsid w:val="002A4C4C"/>
    <w:rsid w:val="002A70FB"/>
    <w:rsid w:val="002B0C47"/>
    <w:rsid w:val="002B5B5F"/>
    <w:rsid w:val="002B63A9"/>
    <w:rsid w:val="002C1578"/>
    <w:rsid w:val="002C4E1B"/>
    <w:rsid w:val="002C7C74"/>
    <w:rsid w:val="002D2491"/>
    <w:rsid w:val="002D2CB0"/>
    <w:rsid w:val="002D402B"/>
    <w:rsid w:val="002D430F"/>
    <w:rsid w:val="002D5B50"/>
    <w:rsid w:val="002E0F83"/>
    <w:rsid w:val="002E5035"/>
    <w:rsid w:val="002F039B"/>
    <w:rsid w:val="002F1D44"/>
    <w:rsid w:val="002F2443"/>
    <w:rsid w:val="002F7924"/>
    <w:rsid w:val="002F7FE3"/>
    <w:rsid w:val="0030205D"/>
    <w:rsid w:val="00303335"/>
    <w:rsid w:val="00303D08"/>
    <w:rsid w:val="0030590D"/>
    <w:rsid w:val="00307072"/>
    <w:rsid w:val="00311648"/>
    <w:rsid w:val="0031174E"/>
    <w:rsid w:val="00314B7B"/>
    <w:rsid w:val="00314FEB"/>
    <w:rsid w:val="00321DC6"/>
    <w:rsid w:val="00330800"/>
    <w:rsid w:val="00334483"/>
    <w:rsid w:val="003354E0"/>
    <w:rsid w:val="003366B6"/>
    <w:rsid w:val="00336B3E"/>
    <w:rsid w:val="00342E27"/>
    <w:rsid w:val="003521B5"/>
    <w:rsid w:val="003533B6"/>
    <w:rsid w:val="00360130"/>
    <w:rsid w:val="00360666"/>
    <w:rsid w:val="00362719"/>
    <w:rsid w:val="003630AF"/>
    <w:rsid w:val="00363161"/>
    <w:rsid w:val="003641FA"/>
    <w:rsid w:val="00364D52"/>
    <w:rsid w:val="00366E63"/>
    <w:rsid w:val="00367BBA"/>
    <w:rsid w:val="003715EC"/>
    <w:rsid w:val="00373FF6"/>
    <w:rsid w:val="00375BC4"/>
    <w:rsid w:val="003765EC"/>
    <w:rsid w:val="00382BB4"/>
    <w:rsid w:val="00393063"/>
    <w:rsid w:val="0039383F"/>
    <w:rsid w:val="0039387D"/>
    <w:rsid w:val="0039519D"/>
    <w:rsid w:val="003A3236"/>
    <w:rsid w:val="003A6EBB"/>
    <w:rsid w:val="003B0BA9"/>
    <w:rsid w:val="003B385F"/>
    <w:rsid w:val="003B3E31"/>
    <w:rsid w:val="003C166C"/>
    <w:rsid w:val="003C41B9"/>
    <w:rsid w:val="003C58CC"/>
    <w:rsid w:val="003C7FF2"/>
    <w:rsid w:val="003D072E"/>
    <w:rsid w:val="003D2034"/>
    <w:rsid w:val="003D273A"/>
    <w:rsid w:val="003D33CD"/>
    <w:rsid w:val="003E1360"/>
    <w:rsid w:val="003E2009"/>
    <w:rsid w:val="003E20CA"/>
    <w:rsid w:val="003E34F8"/>
    <w:rsid w:val="003E7639"/>
    <w:rsid w:val="003F26D8"/>
    <w:rsid w:val="003F3DA9"/>
    <w:rsid w:val="003F4600"/>
    <w:rsid w:val="003F46BA"/>
    <w:rsid w:val="003F4A97"/>
    <w:rsid w:val="00402796"/>
    <w:rsid w:val="0041013D"/>
    <w:rsid w:val="00411D13"/>
    <w:rsid w:val="00412F0E"/>
    <w:rsid w:val="0041631B"/>
    <w:rsid w:val="00422896"/>
    <w:rsid w:val="004246A3"/>
    <w:rsid w:val="00425E40"/>
    <w:rsid w:val="00430723"/>
    <w:rsid w:val="004322D1"/>
    <w:rsid w:val="00432329"/>
    <w:rsid w:val="0043289C"/>
    <w:rsid w:val="00433181"/>
    <w:rsid w:val="00435DA7"/>
    <w:rsid w:val="00440125"/>
    <w:rsid w:val="0044223C"/>
    <w:rsid w:val="00442446"/>
    <w:rsid w:val="004464C9"/>
    <w:rsid w:val="00454C11"/>
    <w:rsid w:val="004573EE"/>
    <w:rsid w:val="0046629A"/>
    <w:rsid w:val="00466695"/>
    <w:rsid w:val="004701D8"/>
    <w:rsid w:val="004712FD"/>
    <w:rsid w:val="00471C30"/>
    <w:rsid w:val="00473D19"/>
    <w:rsid w:val="00486755"/>
    <w:rsid w:val="00487ABD"/>
    <w:rsid w:val="0049095D"/>
    <w:rsid w:val="00492EDF"/>
    <w:rsid w:val="00497413"/>
    <w:rsid w:val="004A180A"/>
    <w:rsid w:val="004A2863"/>
    <w:rsid w:val="004A294F"/>
    <w:rsid w:val="004A5334"/>
    <w:rsid w:val="004B0228"/>
    <w:rsid w:val="004B7CA3"/>
    <w:rsid w:val="004C1F38"/>
    <w:rsid w:val="004C2078"/>
    <w:rsid w:val="004C49AE"/>
    <w:rsid w:val="004C4F2B"/>
    <w:rsid w:val="004C6EEA"/>
    <w:rsid w:val="004C735B"/>
    <w:rsid w:val="004D0F1D"/>
    <w:rsid w:val="004D6254"/>
    <w:rsid w:val="004D7042"/>
    <w:rsid w:val="004E146E"/>
    <w:rsid w:val="004E20A4"/>
    <w:rsid w:val="004E22AD"/>
    <w:rsid w:val="004E2386"/>
    <w:rsid w:val="004E23A0"/>
    <w:rsid w:val="004E50AB"/>
    <w:rsid w:val="004E6453"/>
    <w:rsid w:val="004E6CD0"/>
    <w:rsid w:val="004E6D22"/>
    <w:rsid w:val="004F014F"/>
    <w:rsid w:val="004F32D3"/>
    <w:rsid w:val="004F665A"/>
    <w:rsid w:val="004F771E"/>
    <w:rsid w:val="00504D6B"/>
    <w:rsid w:val="00505C77"/>
    <w:rsid w:val="00506057"/>
    <w:rsid w:val="00510948"/>
    <w:rsid w:val="00510DD9"/>
    <w:rsid w:val="005125EC"/>
    <w:rsid w:val="00513C1D"/>
    <w:rsid w:val="00514C4E"/>
    <w:rsid w:val="0051526C"/>
    <w:rsid w:val="00517A35"/>
    <w:rsid w:val="00521145"/>
    <w:rsid w:val="00522FE8"/>
    <w:rsid w:val="00524F69"/>
    <w:rsid w:val="00533AAA"/>
    <w:rsid w:val="005357FD"/>
    <w:rsid w:val="00551C25"/>
    <w:rsid w:val="00554962"/>
    <w:rsid w:val="00556463"/>
    <w:rsid w:val="0055729C"/>
    <w:rsid w:val="0055762B"/>
    <w:rsid w:val="005636E7"/>
    <w:rsid w:val="005660D7"/>
    <w:rsid w:val="005662F7"/>
    <w:rsid w:val="00567F42"/>
    <w:rsid w:val="00575FAF"/>
    <w:rsid w:val="005843D9"/>
    <w:rsid w:val="0059087F"/>
    <w:rsid w:val="00590ED6"/>
    <w:rsid w:val="00592F33"/>
    <w:rsid w:val="005943BC"/>
    <w:rsid w:val="00594484"/>
    <w:rsid w:val="00596630"/>
    <w:rsid w:val="005967C8"/>
    <w:rsid w:val="005A0087"/>
    <w:rsid w:val="005A0890"/>
    <w:rsid w:val="005A2EA8"/>
    <w:rsid w:val="005A426A"/>
    <w:rsid w:val="005A664D"/>
    <w:rsid w:val="005A6DE3"/>
    <w:rsid w:val="005B0DCB"/>
    <w:rsid w:val="005B5089"/>
    <w:rsid w:val="005B7B97"/>
    <w:rsid w:val="005B7D20"/>
    <w:rsid w:val="005C2474"/>
    <w:rsid w:val="005C390A"/>
    <w:rsid w:val="005C5790"/>
    <w:rsid w:val="005C63B8"/>
    <w:rsid w:val="005C75F7"/>
    <w:rsid w:val="005D6087"/>
    <w:rsid w:val="005E182F"/>
    <w:rsid w:val="005E5E35"/>
    <w:rsid w:val="005E5F3C"/>
    <w:rsid w:val="005F1748"/>
    <w:rsid w:val="005F759E"/>
    <w:rsid w:val="005F7650"/>
    <w:rsid w:val="00600629"/>
    <w:rsid w:val="00604C0E"/>
    <w:rsid w:val="00612014"/>
    <w:rsid w:val="006121CB"/>
    <w:rsid w:val="00616DB7"/>
    <w:rsid w:val="00626631"/>
    <w:rsid w:val="006271D2"/>
    <w:rsid w:val="00631718"/>
    <w:rsid w:val="006321E9"/>
    <w:rsid w:val="00632E23"/>
    <w:rsid w:val="00634B7C"/>
    <w:rsid w:val="00634ED3"/>
    <w:rsid w:val="00647D7D"/>
    <w:rsid w:val="00647E31"/>
    <w:rsid w:val="00650578"/>
    <w:rsid w:val="00651B53"/>
    <w:rsid w:val="00652375"/>
    <w:rsid w:val="00652BF9"/>
    <w:rsid w:val="006572B9"/>
    <w:rsid w:val="0066091C"/>
    <w:rsid w:val="00660A6E"/>
    <w:rsid w:val="00660FF9"/>
    <w:rsid w:val="00661830"/>
    <w:rsid w:val="00675FCB"/>
    <w:rsid w:val="00676428"/>
    <w:rsid w:val="006803CA"/>
    <w:rsid w:val="00680720"/>
    <w:rsid w:val="006823C7"/>
    <w:rsid w:val="00683F96"/>
    <w:rsid w:val="0068637B"/>
    <w:rsid w:val="00692168"/>
    <w:rsid w:val="00693CCB"/>
    <w:rsid w:val="00695A6F"/>
    <w:rsid w:val="00696BE2"/>
    <w:rsid w:val="00696C6D"/>
    <w:rsid w:val="006A29C0"/>
    <w:rsid w:val="006A69CD"/>
    <w:rsid w:val="006B145F"/>
    <w:rsid w:val="006B5946"/>
    <w:rsid w:val="006B7033"/>
    <w:rsid w:val="006C0817"/>
    <w:rsid w:val="006C21F2"/>
    <w:rsid w:val="006C3621"/>
    <w:rsid w:val="006C5E91"/>
    <w:rsid w:val="006D0951"/>
    <w:rsid w:val="006E252C"/>
    <w:rsid w:val="006E380C"/>
    <w:rsid w:val="006E5892"/>
    <w:rsid w:val="006F0475"/>
    <w:rsid w:val="006F41F2"/>
    <w:rsid w:val="006F430D"/>
    <w:rsid w:val="006F730C"/>
    <w:rsid w:val="006F7584"/>
    <w:rsid w:val="007069AA"/>
    <w:rsid w:val="007104BF"/>
    <w:rsid w:val="00711284"/>
    <w:rsid w:val="00714BF4"/>
    <w:rsid w:val="00715359"/>
    <w:rsid w:val="0071628C"/>
    <w:rsid w:val="00717051"/>
    <w:rsid w:val="00720300"/>
    <w:rsid w:val="00721AB4"/>
    <w:rsid w:val="00722D6E"/>
    <w:rsid w:val="00722E5E"/>
    <w:rsid w:val="00723B71"/>
    <w:rsid w:val="00725598"/>
    <w:rsid w:val="007262A2"/>
    <w:rsid w:val="007314A6"/>
    <w:rsid w:val="00733D63"/>
    <w:rsid w:val="00734CC0"/>
    <w:rsid w:val="007360AC"/>
    <w:rsid w:val="00741553"/>
    <w:rsid w:val="00742976"/>
    <w:rsid w:val="007444A9"/>
    <w:rsid w:val="007540C8"/>
    <w:rsid w:val="007600B6"/>
    <w:rsid w:val="00763B6F"/>
    <w:rsid w:val="00765070"/>
    <w:rsid w:val="0076761C"/>
    <w:rsid w:val="00767DA5"/>
    <w:rsid w:val="0077741E"/>
    <w:rsid w:val="0078524C"/>
    <w:rsid w:val="00786ED5"/>
    <w:rsid w:val="0078754A"/>
    <w:rsid w:val="0078789A"/>
    <w:rsid w:val="00794743"/>
    <w:rsid w:val="007957A5"/>
    <w:rsid w:val="00797B6D"/>
    <w:rsid w:val="007A24E5"/>
    <w:rsid w:val="007A2724"/>
    <w:rsid w:val="007A4701"/>
    <w:rsid w:val="007B19C0"/>
    <w:rsid w:val="007B2632"/>
    <w:rsid w:val="007B4B0C"/>
    <w:rsid w:val="007B5C3A"/>
    <w:rsid w:val="007B7F0F"/>
    <w:rsid w:val="007C0267"/>
    <w:rsid w:val="007C0DBF"/>
    <w:rsid w:val="007C3510"/>
    <w:rsid w:val="007C6C03"/>
    <w:rsid w:val="007D51F2"/>
    <w:rsid w:val="007E089B"/>
    <w:rsid w:val="007E2517"/>
    <w:rsid w:val="007E3D3E"/>
    <w:rsid w:val="007E426D"/>
    <w:rsid w:val="007E7F95"/>
    <w:rsid w:val="007F0AF4"/>
    <w:rsid w:val="00801758"/>
    <w:rsid w:val="00802A17"/>
    <w:rsid w:val="00802D7D"/>
    <w:rsid w:val="00805850"/>
    <w:rsid w:val="00811D27"/>
    <w:rsid w:val="008137CA"/>
    <w:rsid w:val="0081446D"/>
    <w:rsid w:val="00815D6A"/>
    <w:rsid w:val="00816ADC"/>
    <w:rsid w:val="008202E9"/>
    <w:rsid w:val="00824DF7"/>
    <w:rsid w:val="008267D3"/>
    <w:rsid w:val="00831E60"/>
    <w:rsid w:val="008463B7"/>
    <w:rsid w:val="0085488E"/>
    <w:rsid w:val="008568AC"/>
    <w:rsid w:val="00856FC3"/>
    <w:rsid w:val="00863486"/>
    <w:rsid w:val="00866787"/>
    <w:rsid w:val="008669BA"/>
    <w:rsid w:val="00866C7A"/>
    <w:rsid w:val="00875BB2"/>
    <w:rsid w:val="0088264F"/>
    <w:rsid w:val="00883DFC"/>
    <w:rsid w:val="0089177D"/>
    <w:rsid w:val="00894B47"/>
    <w:rsid w:val="008A219B"/>
    <w:rsid w:val="008A3A36"/>
    <w:rsid w:val="008A5C96"/>
    <w:rsid w:val="008A6484"/>
    <w:rsid w:val="008B3E38"/>
    <w:rsid w:val="008B7E53"/>
    <w:rsid w:val="008C0B45"/>
    <w:rsid w:val="008C0D54"/>
    <w:rsid w:val="008C39C1"/>
    <w:rsid w:val="008C4BB6"/>
    <w:rsid w:val="008C553B"/>
    <w:rsid w:val="008C77DD"/>
    <w:rsid w:val="008D1B53"/>
    <w:rsid w:val="008D4412"/>
    <w:rsid w:val="008E15B7"/>
    <w:rsid w:val="008E1F44"/>
    <w:rsid w:val="008E24C9"/>
    <w:rsid w:val="008E72DB"/>
    <w:rsid w:val="008F0745"/>
    <w:rsid w:val="008F3B5E"/>
    <w:rsid w:val="008F4B03"/>
    <w:rsid w:val="008F7A55"/>
    <w:rsid w:val="00903325"/>
    <w:rsid w:val="00904309"/>
    <w:rsid w:val="00905AE0"/>
    <w:rsid w:val="009107BD"/>
    <w:rsid w:val="009129E5"/>
    <w:rsid w:val="00926296"/>
    <w:rsid w:val="00930C39"/>
    <w:rsid w:val="009379CA"/>
    <w:rsid w:val="009412C0"/>
    <w:rsid w:val="009414ED"/>
    <w:rsid w:val="00941F48"/>
    <w:rsid w:val="00942BFB"/>
    <w:rsid w:val="00947260"/>
    <w:rsid w:val="00952558"/>
    <w:rsid w:val="0095632C"/>
    <w:rsid w:val="009577D9"/>
    <w:rsid w:val="009621AB"/>
    <w:rsid w:val="00964F93"/>
    <w:rsid w:val="00965440"/>
    <w:rsid w:val="00966920"/>
    <w:rsid w:val="00970E1D"/>
    <w:rsid w:val="009717F5"/>
    <w:rsid w:val="00972CFF"/>
    <w:rsid w:val="00972E0D"/>
    <w:rsid w:val="00976966"/>
    <w:rsid w:val="00977F33"/>
    <w:rsid w:val="0098014D"/>
    <w:rsid w:val="009803C9"/>
    <w:rsid w:val="00981EBC"/>
    <w:rsid w:val="0098498F"/>
    <w:rsid w:val="00985237"/>
    <w:rsid w:val="009864CE"/>
    <w:rsid w:val="00990707"/>
    <w:rsid w:val="00994311"/>
    <w:rsid w:val="00995AD5"/>
    <w:rsid w:val="009B05B6"/>
    <w:rsid w:val="009B4F5A"/>
    <w:rsid w:val="009C0F3A"/>
    <w:rsid w:val="009C3118"/>
    <w:rsid w:val="009C46EE"/>
    <w:rsid w:val="009C54CC"/>
    <w:rsid w:val="009C6D97"/>
    <w:rsid w:val="009D2F73"/>
    <w:rsid w:val="009D5DB4"/>
    <w:rsid w:val="009D61A7"/>
    <w:rsid w:val="009E4581"/>
    <w:rsid w:val="009E4E83"/>
    <w:rsid w:val="009E7E6C"/>
    <w:rsid w:val="009F0B6A"/>
    <w:rsid w:val="009F0F9D"/>
    <w:rsid w:val="009F36E8"/>
    <w:rsid w:val="009F5402"/>
    <w:rsid w:val="009F7572"/>
    <w:rsid w:val="00A02003"/>
    <w:rsid w:val="00A02600"/>
    <w:rsid w:val="00A106D3"/>
    <w:rsid w:val="00A129D7"/>
    <w:rsid w:val="00A13B75"/>
    <w:rsid w:val="00A13C01"/>
    <w:rsid w:val="00A157C6"/>
    <w:rsid w:val="00A15DE1"/>
    <w:rsid w:val="00A1764D"/>
    <w:rsid w:val="00A21564"/>
    <w:rsid w:val="00A2327F"/>
    <w:rsid w:val="00A310DB"/>
    <w:rsid w:val="00A315C1"/>
    <w:rsid w:val="00A33A56"/>
    <w:rsid w:val="00A33C92"/>
    <w:rsid w:val="00A344CA"/>
    <w:rsid w:val="00A36489"/>
    <w:rsid w:val="00A36AE7"/>
    <w:rsid w:val="00A4197D"/>
    <w:rsid w:val="00A43203"/>
    <w:rsid w:val="00A44B2D"/>
    <w:rsid w:val="00A477AC"/>
    <w:rsid w:val="00A50753"/>
    <w:rsid w:val="00A515D1"/>
    <w:rsid w:val="00A55183"/>
    <w:rsid w:val="00A56349"/>
    <w:rsid w:val="00A56DFD"/>
    <w:rsid w:val="00A724CB"/>
    <w:rsid w:val="00A76563"/>
    <w:rsid w:val="00A811B0"/>
    <w:rsid w:val="00A83D30"/>
    <w:rsid w:val="00A85C53"/>
    <w:rsid w:val="00A86DCC"/>
    <w:rsid w:val="00A94DC9"/>
    <w:rsid w:val="00A96F41"/>
    <w:rsid w:val="00A97F2E"/>
    <w:rsid w:val="00AA308D"/>
    <w:rsid w:val="00AA30B7"/>
    <w:rsid w:val="00AA4E73"/>
    <w:rsid w:val="00AA779C"/>
    <w:rsid w:val="00AA7ADD"/>
    <w:rsid w:val="00AB1CDC"/>
    <w:rsid w:val="00AB3A06"/>
    <w:rsid w:val="00AC2984"/>
    <w:rsid w:val="00AC5D87"/>
    <w:rsid w:val="00AC77CF"/>
    <w:rsid w:val="00AD36B4"/>
    <w:rsid w:val="00AD43A1"/>
    <w:rsid w:val="00AD576A"/>
    <w:rsid w:val="00AD7215"/>
    <w:rsid w:val="00AF158A"/>
    <w:rsid w:val="00AF1D43"/>
    <w:rsid w:val="00AF27EB"/>
    <w:rsid w:val="00AF2BBA"/>
    <w:rsid w:val="00AF2E60"/>
    <w:rsid w:val="00AF605C"/>
    <w:rsid w:val="00AF7016"/>
    <w:rsid w:val="00B0129D"/>
    <w:rsid w:val="00B027AE"/>
    <w:rsid w:val="00B059C3"/>
    <w:rsid w:val="00B13E89"/>
    <w:rsid w:val="00B1668B"/>
    <w:rsid w:val="00B22D0B"/>
    <w:rsid w:val="00B23765"/>
    <w:rsid w:val="00B25648"/>
    <w:rsid w:val="00B25992"/>
    <w:rsid w:val="00B26B6C"/>
    <w:rsid w:val="00B26CE6"/>
    <w:rsid w:val="00B308F7"/>
    <w:rsid w:val="00B33019"/>
    <w:rsid w:val="00B36D65"/>
    <w:rsid w:val="00B415B4"/>
    <w:rsid w:val="00B42860"/>
    <w:rsid w:val="00B461C9"/>
    <w:rsid w:val="00B51C5E"/>
    <w:rsid w:val="00B54968"/>
    <w:rsid w:val="00B5792B"/>
    <w:rsid w:val="00B60A69"/>
    <w:rsid w:val="00B623D6"/>
    <w:rsid w:val="00B65CA5"/>
    <w:rsid w:val="00B67F62"/>
    <w:rsid w:val="00B7614D"/>
    <w:rsid w:val="00B76B58"/>
    <w:rsid w:val="00B83BF2"/>
    <w:rsid w:val="00B845D3"/>
    <w:rsid w:val="00B927B3"/>
    <w:rsid w:val="00B93746"/>
    <w:rsid w:val="00BA2211"/>
    <w:rsid w:val="00BA69C3"/>
    <w:rsid w:val="00BA6D8C"/>
    <w:rsid w:val="00BB1FE4"/>
    <w:rsid w:val="00BB337F"/>
    <w:rsid w:val="00BB3581"/>
    <w:rsid w:val="00BB4DD9"/>
    <w:rsid w:val="00BB544D"/>
    <w:rsid w:val="00BB5E5C"/>
    <w:rsid w:val="00BC2556"/>
    <w:rsid w:val="00BC5179"/>
    <w:rsid w:val="00BD1E29"/>
    <w:rsid w:val="00BD2F2D"/>
    <w:rsid w:val="00BD33AB"/>
    <w:rsid w:val="00BE1497"/>
    <w:rsid w:val="00BE19A8"/>
    <w:rsid w:val="00BE19D3"/>
    <w:rsid w:val="00BE2898"/>
    <w:rsid w:val="00BE5AAF"/>
    <w:rsid w:val="00BE5B9E"/>
    <w:rsid w:val="00BE6CD5"/>
    <w:rsid w:val="00BE7CA5"/>
    <w:rsid w:val="00BF0F29"/>
    <w:rsid w:val="00BF25DB"/>
    <w:rsid w:val="00BF489B"/>
    <w:rsid w:val="00C003DB"/>
    <w:rsid w:val="00C05263"/>
    <w:rsid w:val="00C06890"/>
    <w:rsid w:val="00C077F9"/>
    <w:rsid w:val="00C13CCD"/>
    <w:rsid w:val="00C16E81"/>
    <w:rsid w:val="00C212DB"/>
    <w:rsid w:val="00C34FA1"/>
    <w:rsid w:val="00C364F9"/>
    <w:rsid w:val="00C375A9"/>
    <w:rsid w:val="00C3775E"/>
    <w:rsid w:val="00C413E3"/>
    <w:rsid w:val="00C446DC"/>
    <w:rsid w:val="00C51315"/>
    <w:rsid w:val="00C56FB3"/>
    <w:rsid w:val="00C626CD"/>
    <w:rsid w:val="00C63597"/>
    <w:rsid w:val="00C65FCA"/>
    <w:rsid w:val="00C70894"/>
    <w:rsid w:val="00C72951"/>
    <w:rsid w:val="00C734C1"/>
    <w:rsid w:val="00C747F9"/>
    <w:rsid w:val="00C751CB"/>
    <w:rsid w:val="00C81832"/>
    <w:rsid w:val="00C82C11"/>
    <w:rsid w:val="00C84B0A"/>
    <w:rsid w:val="00C85CBC"/>
    <w:rsid w:val="00C85DDA"/>
    <w:rsid w:val="00C86861"/>
    <w:rsid w:val="00C90487"/>
    <w:rsid w:val="00C92EBD"/>
    <w:rsid w:val="00C94B25"/>
    <w:rsid w:val="00C95118"/>
    <w:rsid w:val="00C97EF2"/>
    <w:rsid w:val="00CA0167"/>
    <w:rsid w:val="00CA139F"/>
    <w:rsid w:val="00CA1A39"/>
    <w:rsid w:val="00CA2293"/>
    <w:rsid w:val="00CA5FA1"/>
    <w:rsid w:val="00CA7059"/>
    <w:rsid w:val="00CB032B"/>
    <w:rsid w:val="00CB24B3"/>
    <w:rsid w:val="00CB3FA1"/>
    <w:rsid w:val="00CB4030"/>
    <w:rsid w:val="00CB4465"/>
    <w:rsid w:val="00CB46DB"/>
    <w:rsid w:val="00CB62BE"/>
    <w:rsid w:val="00CB69FF"/>
    <w:rsid w:val="00CB741E"/>
    <w:rsid w:val="00CC1112"/>
    <w:rsid w:val="00CC2A35"/>
    <w:rsid w:val="00CC4008"/>
    <w:rsid w:val="00CC410F"/>
    <w:rsid w:val="00CC4307"/>
    <w:rsid w:val="00CC6078"/>
    <w:rsid w:val="00CC741E"/>
    <w:rsid w:val="00CD1365"/>
    <w:rsid w:val="00CD13BC"/>
    <w:rsid w:val="00CD2A30"/>
    <w:rsid w:val="00CD4491"/>
    <w:rsid w:val="00CD64D2"/>
    <w:rsid w:val="00CD6A5A"/>
    <w:rsid w:val="00CE0CD5"/>
    <w:rsid w:val="00CE10AD"/>
    <w:rsid w:val="00CE5190"/>
    <w:rsid w:val="00CF1B03"/>
    <w:rsid w:val="00CF277F"/>
    <w:rsid w:val="00CF29C4"/>
    <w:rsid w:val="00CF2B8A"/>
    <w:rsid w:val="00CF5489"/>
    <w:rsid w:val="00CF5DFE"/>
    <w:rsid w:val="00D06B5F"/>
    <w:rsid w:val="00D072CC"/>
    <w:rsid w:val="00D15B5E"/>
    <w:rsid w:val="00D206AA"/>
    <w:rsid w:val="00D223AD"/>
    <w:rsid w:val="00D256D1"/>
    <w:rsid w:val="00D30C09"/>
    <w:rsid w:val="00D320FA"/>
    <w:rsid w:val="00D32C7E"/>
    <w:rsid w:val="00D33BE3"/>
    <w:rsid w:val="00D349F1"/>
    <w:rsid w:val="00D3521D"/>
    <w:rsid w:val="00D426BC"/>
    <w:rsid w:val="00D551D0"/>
    <w:rsid w:val="00D557A7"/>
    <w:rsid w:val="00D57B9B"/>
    <w:rsid w:val="00D6286F"/>
    <w:rsid w:val="00D63716"/>
    <w:rsid w:val="00D644F2"/>
    <w:rsid w:val="00D66663"/>
    <w:rsid w:val="00D70186"/>
    <w:rsid w:val="00D72DE9"/>
    <w:rsid w:val="00D72F0C"/>
    <w:rsid w:val="00D73355"/>
    <w:rsid w:val="00D77681"/>
    <w:rsid w:val="00D80101"/>
    <w:rsid w:val="00D92374"/>
    <w:rsid w:val="00D93865"/>
    <w:rsid w:val="00D938F6"/>
    <w:rsid w:val="00D93FA5"/>
    <w:rsid w:val="00D9787F"/>
    <w:rsid w:val="00DA0649"/>
    <w:rsid w:val="00DA246E"/>
    <w:rsid w:val="00DA3CED"/>
    <w:rsid w:val="00DA61CF"/>
    <w:rsid w:val="00DB1064"/>
    <w:rsid w:val="00DB427D"/>
    <w:rsid w:val="00DB46F3"/>
    <w:rsid w:val="00DB6513"/>
    <w:rsid w:val="00DB7126"/>
    <w:rsid w:val="00DC3002"/>
    <w:rsid w:val="00DC3948"/>
    <w:rsid w:val="00DC68CC"/>
    <w:rsid w:val="00DC7CB6"/>
    <w:rsid w:val="00DD0F2E"/>
    <w:rsid w:val="00DE1196"/>
    <w:rsid w:val="00DE2630"/>
    <w:rsid w:val="00DE74B6"/>
    <w:rsid w:val="00DE788C"/>
    <w:rsid w:val="00DF1748"/>
    <w:rsid w:val="00DF2AEA"/>
    <w:rsid w:val="00E0499D"/>
    <w:rsid w:val="00E06258"/>
    <w:rsid w:val="00E07569"/>
    <w:rsid w:val="00E10FAA"/>
    <w:rsid w:val="00E12D22"/>
    <w:rsid w:val="00E13F7E"/>
    <w:rsid w:val="00E146D5"/>
    <w:rsid w:val="00E161AF"/>
    <w:rsid w:val="00E1763E"/>
    <w:rsid w:val="00E27364"/>
    <w:rsid w:val="00E36DEA"/>
    <w:rsid w:val="00E37CD8"/>
    <w:rsid w:val="00E41583"/>
    <w:rsid w:val="00E41717"/>
    <w:rsid w:val="00E42579"/>
    <w:rsid w:val="00E4493B"/>
    <w:rsid w:val="00E44C05"/>
    <w:rsid w:val="00E46F75"/>
    <w:rsid w:val="00E53921"/>
    <w:rsid w:val="00E54324"/>
    <w:rsid w:val="00E54FCB"/>
    <w:rsid w:val="00E5645E"/>
    <w:rsid w:val="00E572D3"/>
    <w:rsid w:val="00E6158C"/>
    <w:rsid w:val="00E72AAC"/>
    <w:rsid w:val="00E72E70"/>
    <w:rsid w:val="00E731D1"/>
    <w:rsid w:val="00E73BA7"/>
    <w:rsid w:val="00E744D4"/>
    <w:rsid w:val="00E745F6"/>
    <w:rsid w:val="00E74D90"/>
    <w:rsid w:val="00E752FF"/>
    <w:rsid w:val="00E817FC"/>
    <w:rsid w:val="00E8624B"/>
    <w:rsid w:val="00E87BA6"/>
    <w:rsid w:val="00E90088"/>
    <w:rsid w:val="00E91588"/>
    <w:rsid w:val="00E92755"/>
    <w:rsid w:val="00E93CE5"/>
    <w:rsid w:val="00E95372"/>
    <w:rsid w:val="00E97451"/>
    <w:rsid w:val="00EA064A"/>
    <w:rsid w:val="00EA1316"/>
    <w:rsid w:val="00EA6B9F"/>
    <w:rsid w:val="00EB4977"/>
    <w:rsid w:val="00EB4D29"/>
    <w:rsid w:val="00EC142B"/>
    <w:rsid w:val="00EC55B7"/>
    <w:rsid w:val="00EC6D27"/>
    <w:rsid w:val="00EC7932"/>
    <w:rsid w:val="00EC7A14"/>
    <w:rsid w:val="00ED4907"/>
    <w:rsid w:val="00ED5AE2"/>
    <w:rsid w:val="00ED5D96"/>
    <w:rsid w:val="00EE1F42"/>
    <w:rsid w:val="00EE35B3"/>
    <w:rsid w:val="00EE6ADF"/>
    <w:rsid w:val="00EF7AA6"/>
    <w:rsid w:val="00F02007"/>
    <w:rsid w:val="00F03831"/>
    <w:rsid w:val="00F05D20"/>
    <w:rsid w:val="00F072CA"/>
    <w:rsid w:val="00F116B2"/>
    <w:rsid w:val="00F12749"/>
    <w:rsid w:val="00F1446F"/>
    <w:rsid w:val="00F25488"/>
    <w:rsid w:val="00F33903"/>
    <w:rsid w:val="00F35599"/>
    <w:rsid w:val="00F35FEA"/>
    <w:rsid w:val="00F36035"/>
    <w:rsid w:val="00F40823"/>
    <w:rsid w:val="00F433DE"/>
    <w:rsid w:val="00F43D4A"/>
    <w:rsid w:val="00F44224"/>
    <w:rsid w:val="00F479AC"/>
    <w:rsid w:val="00F51AAD"/>
    <w:rsid w:val="00F52711"/>
    <w:rsid w:val="00F52E2B"/>
    <w:rsid w:val="00F55576"/>
    <w:rsid w:val="00F635F3"/>
    <w:rsid w:val="00F63ECB"/>
    <w:rsid w:val="00F6473A"/>
    <w:rsid w:val="00F74F86"/>
    <w:rsid w:val="00F801BD"/>
    <w:rsid w:val="00F832F3"/>
    <w:rsid w:val="00F85815"/>
    <w:rsid w:val="00F85F6D"/>
    <w:rsid w:val="00F901B4"/>
    <w:rsid w:val="00F905CC"/>
    <w:rsid w:val="00F90C13"/>
    <w:rsid w:val="00F912D5"/>
    <w:rsid w:val="00F93704"/>
    <w:rsid w:val="00F93EFE"/>
    <w:rsid w:val="00F9531A"/>
    <w:rsid w:val="00F9542D"/>
    <w:rsid w:val="00F956CA"/>
    <w:rsid w:val="00F97665"/>
    <w:rsid w:val="00FA6426"/>
    <w:rsid w:val="00FA7DF9"/>
    <w:rsid w:val="00FB36AE"/>
    <w:rsid w:val="00FC1958"/>
    <w:rsid w:val="00FC34F1"/>
    <w:rsid w:val="00FD2508"/>
    <w:rsid w:val="00FD7486"/>
    <w:rsid w:val="00FD7920"/>
    <w:rsid w:val="00FE1615"/>
    <w:rsid w:val="00FE18BE"/>
    <w:rsid w:val="00FE2658"/>
    <w:rsid w:val="00FE2958"/>
    <w:rsid w:val="00FE4A47"/>
    <w:rsid w:val="00FE5B26"/>
    <w:rsid w:val="00FF79F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6AD356"/>
  <w15:docId w15:val="{43A7787A-D40A-47CB-BDCF-DF86E1EF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Paragraph"/>
    <w:link w:val="Heading1Char"/>
    <w:qFormat/>
    <w:rsid w:val="00F40823"/>
    <w:pPr>
      <w:keepNext/>
      <w:keepLines/>
      <w:numPr>
        <w:numId w:val="2"/>
      </w:numPr>
      <w:tabs>
        <w:tab w:val="left" w:pos="480"/>
      </w:tabs>
      <w:spacing w:after="240" w:line="240" w:lineRule="auto"/>
      <w:outlineLvl w:val="0"/>
    </w:pPr>
    <w:rPr>
      <w:rFonts w:ascii="Arial" w:eastAsia="Times New Roman" w:hAnsi="Arial" w:cs="Arial"/>
      <w:b/>
      <w:bCs/>
      <w:kern w:val="32"/>
      <w:sz w:val="24"/>
      <w:szCs w:val="28"/>
      <w:lang w:eastAsia="en-US"/>
    </w:rPr>
  </w:style>
  <w:style w:type="paragraph" w:styleId="Heading2">
    <w:name w:val="heading 2"/>
    <w:next w:val="Paragraph"/>
    <w:link w:val="Heading2Char"/>
    <w:semiHidden/>
    <w:unhideWhenUsed/>
    <w:qFormat/>
    <w:rsid w:val="00F40823"/>
    <w:pPr>
      <w:keepNext/>
      <w:keepLines/>
      <w:numPr>
        <w:ilvl w:val="1"/>
        <w:numId w:val="2"/>
      </w:numPr>
      <w:tabs>
        <w:tab w:val="left" w:pos="720"/>
      </w:tabs>
      <w:spacing w:before="120" w:after="0" w:line="240" w:lineRule="auto"/>
      <w:outlineLvl w:val="1"/>
    </w:pPr>
    <w:rPr>
      <w:rFonts w:ascii="Arial" w:eastAsia="Times New Roman" w:hAnsi="Arial" w:cs="Arial"/>
      <w:b/>
      <w:bCs/>
      <w:iCs/>
      <w:sz w:val="24"/>
      <w:szCs w:val="26"/>
      <w:lang w:eastAsia="en-US"/>
    </w:rPr>
  </w:style>
  <w:style w:type="paragraph" w:styleId="Heading3">
    <w:name w:val="heading 3"/>
    <w:next w:val="Paragraph"/>
    <w:link w:val="Heading3Char"/>
    <w:semiHidden/>
    <w:unhideWhenUsed/>
    <w:qFormat/>
    <w:rsid w:val="00F40823"/>
    <w:pPr>
      <w:keepNext/>
      <w:keepLines/>
      <w:numPr>
        <w:ilvl w:val="2"/>
        <w:numId w:val="2"/>
      </w:numPr>
      <w:tabs>
        <w:tab w:val="left" w:pos="960"/>
      </w:tabs>
      <w:spacing w:after="240" w:line="240" w:lineRule="auto"/>
      <w:outlineLvl w:val="2"/>
    </w:pPr>
    <w:rPr>
      <w:rFonts w:ascii="Arial" w:eastAsia="Times New Roman" w:hAnsi="Arial" w:cs="Arial"/>
      <w:b/>
      <w:bCs/>
      <w:sz w:val="24"/>
      <w:szCs w:val="24"/>
      <w:lang w:eastAsia="en-US"/>
    </w:rPr>
  </w:style>
  <w:style w:type="paragraph" w:styleId="Heading4">
    <w:name w:val="heading 4"/>
    <w:next w:val="Paragraph"/>
    <w:link w:val="Heading4Char"/>
    <w:semiHidden/>
    <w:unhideWhenUsed/>
    <w:qFormat/>
    <w:rsid w:val="00F40823"/>
    <w:pPr>
      <w:keepNext/>
      <w:keepLines/>
      <w:numPr>
        <w:ilvl w:val="3"/>
        <w:numId w:val="2"/>
      </w:numPr>
      <w:tabs>
        <w:tab w:val="left" w:pos="1200"/>
      </w:tabs>
      <w:spacing w:after="240" w:line="240" w:lineRule="auto"/>
      <w:outlineLvl w:val="3"/>
    </w:pPr>
    <w:rPr>
      <w:rFonts w:ascii="Arial" w:eastAsia="Times New Roman" w:hAnsi="Arial" w:cs="Times New Roman"/>
      <w:b/>
      <w:bCs/>
      <w:sz w:val="24"/>
      <w:lang w:eastAsia="en-US"/>
    </w:rPr>
  </w:style>
  <w:style w:type="paragraph" w:styleId="Heading5">
    <w:name w:val="heading 5"/>
    <w:next w:val="Paragraph"/>
    <w:link w:val="Heading5Char"/>
    <w:semiHidden/>
    <w:unhideWhenUsed/>
    <w:qFormat/>
    <w:rsid w:val="00F40823"/>
    <w:pPr>
      <w:keepNext/>
      <w:keepLines/>
      <w:numPr>
        <w:ilvl w:val="4"/>
        <w:numId w:val="2"/>
      </w:numPr>
      <w:spacing w:after="240" w:line="240" w:lineRule="auto"/>
      <w:outlineLvl w:val="4"/>
    </w:pPr>
    <w:rPr>
      <w:rFonts w:ascii="Arial" w:eastAsia="Times New Roman" w:hAnsi="Arial" w:cs="Arial"/>
      <w:b/>
      <w:bCs/>
      <w:iCs/>
      <w:sz w:val="24"/>
      <w:lang w:eastAsia="en-US"/>
    </w:rPr>
  </w:style>
  <w:style w:type="paragraph" w:styleId="Heading6">
    <w:name w:val="heading 6"/>
    <w:next w:val="Paragraph"/>
    <w:link w:val="Heading6Char"/>
    <w:semiHidden/>
    <w:unhideWhenUsed/>
    <w:qFormat/>
    <w:rsid w:val="00F40823"/>
    <w:pPr>
      <w:keepNext/>
      <w:keepLines/>
      <w:numPr>
        <w:ilvl w:val="5"/>
        <w:numId w:val="2"/>
      </w:numPr>
      <w:spacing w:after="240" w:line="240" w:lineRule="auto"/>
      <w:outlineLvl w:val="5"/>
    </w:pPr>
    <w:rPr>
      <w:rFonts w:ascii="Arial" w:eastAsia="Times New Roman" w:hAnsi="Arial" w:cs="Arial"/>
      <w:b/>
      <w:bCs/>
      <w:sz w:val="24"/>
      <w:lang w:eastAsia="en-US"/>
    </w:rPr>
  </w:style>
  <w:style w:type="paragraph" w:styleId="Heading7">
    <w:name w:val="heading 7"/>
    <w:next w:val="Paragraph"/>
    <w:link w:val="Heading7Char"/>
    <w:semiHidden/>
    <w:unhideWhenUsed/>
    <w:qFormat/>
    <w:rsid w:val="00F40823"/>
    <w:pPr>
      <w:keepNext/>
      <w:keepLines/>
      <w:numPr>
        <w:ilvl w:val="6"/>
        <w:numId w:val="2"/>
      </w:numPr>
      <w:spacing w:after="240" w:line="240" w:lineRule="auto"/>
      <w:outlineLvl w:val="6"/>
    </w:pPr>
    <w:rPr>
      <w:rFonts w:ascii="Arial" w:eastAsia="Times New Roman" w:hAnsi="Arial" w:cs="Arial"/>
      <w:i/>
      <w:szCs w:val="24"/>
      <w:lang w:eastAsia="en-US"/>
    </w:rPr>
  </w:style>
  <w:style w:type="paragraph" w:styleId="Heading8">
    <w:name w:val="heading 8"/>
    <w:next w:val="Paragraph"/>
    <w:link w:val="Heading8Char"/>
    <w:semiHidden/>
    <w:unhideWhenUsed/>
    <w:qFormat/>
    <w:rsid w:val="00F40823"/>
    <w:pPr>
      <w:keepNext/>
      <w:keepLines/>
      <w:numPr>
        <w:ilvl w:val="7"/>
        <w:numId w:val="2"/>
      </w:numPr>
      <w:spacing w:after="240" w:line="240" w:lineRule="auto"/>
      <w:outlineLvl w:val="7"/>
    </w:pPr>
    <w:rPr>
      <w:rFonts w:ascii="Arial" w:eastAsia="Times New Roman" w:hAnsi="Arial" w:cs="Arial"/>
      <w:i/>
      <w:iCs/>
      <w:szCs w:val="24"/>
      <w:lang w:eastAsia="en-US"/>
    </w:rPr>
  </w:style>
  <w:style w:type="paragraph" w:styleId="Heading9">
    <w:name w:val="heading 9"/>
    <w:next w:val="Paragraph"/>
    <w:link w:val="Heading9Char"/>
    <w:semiHidden/>
    <w:unhideWhenUsed/>
    <w:qFormat/>
    <w:rsid w:val="00F40823"/>
    <w:pPr>
      <w:keepNext/>
      <w:keepLines/>
      <w:numPr>
        <w:ilvl w:val="8"/>
        <w:numId w:val="2"/>
      </w:numPr>
      <w:spacing w:after="240" w:line="240" w:lineRule="auto"/>
      <w:outlineLvl w:val="8"/>
    </w:pPr>
    <w:rPr>
      <w:rFonts w:ascii="Arial" w:eastAsia="Times New Roman" w:hAnsi="Arial" w:cs="Arial"/>
      <w:i/>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7413"/>
  </w:style>
  <w:style w:type="paragraph" w:customStyle="1" w:styleId="Default">
    <w:name w:val="Default"/>
    <w:rsid w:val="0049741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17A35"/>
    <w:pPr>
      <w:ind w:left="720"/>
      <w:contextualSpacing/>
    </w:pPr>
  </w:style>
  <w:style w:type="paragraph" w:styleId="Header">
    <w:name w:val="header"/>
    <w:basedOn w:val="Normal"/>
    <w:link w:val="HeaderChar"/>
    <w:uiPriority w:val="99"/>
    <w:unhideWhenUsed/>
    <w:rsid w:val="00004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86F"/>
  </w:style>
  <w:style w:type="paragraph" w:styleId="Footer">
    <w:name w:val="footer"/>
    <w:basedOn w:val="Normal"/>
    <w:link w:val="FooterChar"/>
    <w:uiPriority w:val="99"/>
    <w:unhideWhenUsed/>
    <w:rsid w:val="00004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86F"/>
  </w:style>
  <w:style w:type="paragraph" w:styleId="BalloonText">
    <w:name w:val="Balloon Text"/>
    <w:basedOn w:val="Normal"/>
    <w:link w:val="BalloonTextChar"/>
    <w:uiPriority w:val="99"/>
    <w:semiHidden/>
    <w:unhideWhenUsed/>
    <w:rsid w:val="0000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86F"/>
    <w:rPr>
      <w:rFonts w:ascii="Tahoma" w:hAnsi="Tahoma" w:cs="Tahoma"/>
      <w:sz w:val="16"/>
      <w:szCs w:val="16"/>
    </w:rPr>
  </w:style>
  <w:style w:type="character" w:styleId="CommentReference">
    <w:name w:val="annotation reference"/>
    <w:basedOn w:val="DefaultParagraphFont"/>
    <w:uiPriority w:val="99"/>
    <w:semiHidden/>
    <w:unhideWhenUsed/>
    <w:rsid w:val="00094AFD"/>
    <w:rPr>
      <w:sz w:val="16"/>
      <w:szCs w:val="16"/>
    </w:rPr>
  </w:style>
  <w:style w:type="paragraph" w:styleId="CommentText">
    <w:name w:val="annotation text"/>
    <w:basedOn w:val="Normal"/>
    <w:link w:val="CommentTextChar"/>
    <w:uiPriority w:val="99"/>
    <w:semiHidden/>
    <w:unhideWhenUsed/>
    <w:rsid w:val="00094AFD"/>
    <w:pPr>
      <w:spacing w:line="240" w:lineRule="auto"/>
    </w:pPr>
    <w:rPr>
      <w:sz w:val="20"/>
      <w:szCs w:val="20"/>
    </w:rPr>
  </w:style>
  <w:style w:type="character" w:customStyle="1" w:styleId="CommentTextChar">
    <w:name w:val="Comment Text Char"/>
    <w:basedOn w:val="DefaultParagraphFont"/>
    <w:link w:val="CommentText"/>
    <w:uiPriority w:val="99"/>
    <w:semiHidden/>
    <w:rsid w:val="00094AFD"/>
    <w:rPr>
      <w:sz w:val="20"/>
      <w:szCs w:val="20"/>
    </w:rPr>
  </w:style>
  <w:style w:type="paragraph" w:styleId="CommentSubject">
    <w:name w:val="annotation subject"/>
    <w:basedOn w:val="CommentText"/>
    <w:next w:val="CommentText"/>
    <w:link w:val="CommentSubjectChar"/>
    <w:uiPriority w:val="99"/>
    <w:semiHidden/>
    <w:unhideWhenUsed/>
    <w:rsid w:val="00094AFD"/>
    <w:rPr>
      <w:b/>
      <w:bCs/>
    </w:rPr>
  </w:style>
  <w:style w:type="character" w:customStyle="1" w:styleId="CommentSubjectChar">
    <w:name w:val="Comment Subject Char"/>
    <w:basedOn w:val="CommentTextChar"/>
    <w:link w:val="CommentSubject"/>
    <w:uiPriority w:val="99"/>
    <w:semiHidden/>
    <w:rsid w:val="00094AFD"/>
    <w:rPr>
      <w:b/>
      <w:bCs/>
      <w:sz w:val="20"/>
      <w:szCs w:val="20"/>
    </w:rPr>
  </w:style>
  <w:style w:type="table" w:styleId="TableGrid">
    <w:name w:val="Table Grid"/>
    <w:basedOn w:val="TableNormal"/>
    <w:uiPriority w:val="59"/>
    <w:rsid w:val="00BE2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uiPriority w:val="59"/>
    <w:rsid w:val="004701D8"/>
    <w:pPr>
      <w:spacing w:after="0" w:line="240" w:lineRule="auto"/>
    </w:pPr>
    <w:rPr>
      <w:rFonts w:eastAsia="Batang"/>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70A9"/>
    <w:pPr>
      <w:spacing w:after="0" w:line="240" w:lineRule="auto"/>
    </w:pPr>
  </w:style>
  <w:style w:type="character" w:customStyle="1" w:styleId="Heading1Char">
    <w:name w:val="Heading 1 Char"/>
    <w:basedOn w:val="DefaultParagraphFont"/>
    <w:link w:val="Heading1"/>
    <w:rsid w:val="00F40823"/>
    <w:rPr>
      <w:rFonts w:ascii="Arial" w:eastAsia="Times New Roman" w:hAnsi="Arial" w:cs="Arial"/>
      <w:b/>
      <w:bCs/>
      <w:kern w:val="32"/>
      <w:sz w:val="24"/>
      <w:szCs w:val="28"/>
      <w:lang w:val="en-US" w:eastAsia="en-US"/>
    </w:rPr>
  </w:style>
  <w:style w:type="character" w:customStyle="1" w:styleId="Heading2Char">
    <w:name w:val="Heading 2 Char"/>
    <w:basedOn w:val="DefaultParagraphFont"/>
    <w:link w:val="Heading2"/>
    <w:semiHidden/>
    <w:rsid w:val="00F40823"/>
    <w:rPr>
      <w:rFonts w:ascii="Arial" w:eastAsia="Times New Roman" w:hAnsi="Arial" w:cs="Arial"/>
      <w:b/>
      <w:bCs/>
      <w:iCs/>
      <w:sz w:val="24"/>
      <w:szCs w:val="26"/>
      <w:lang w:val="en-US" w:eastAsia="en-US"/>
    </w:rPr>
  </w:style>
  <w:style w:type="character" w:customStyle="1" w:styleId="Heading3Char">
    <w:name w:val="Heading 3 Char"/>
    <w:basedOn w:val="DefaultParagraphFont"/>
    <w:link w:val="Heading3"/>
    <w:semiHidden/>
    <w:rsid w:val="00F40823"/>
    <w:rPr>
      <w:rFonts w:ascii="Arial" w:eastAsia="Times New Roman" w:hAnsi="Arial" w:cs="Arial"/>
      <w:b/>
      <w:bCs/>
      <w:sz w:val="24"/>
      <w:szCs w:val="24"/>
      <w:lang w:val="en-US" w:eastAsia="en-US"/>
    </w:rPr>
  </w:style>
  <w:style w:type="character" w:customStyle="1" w:styleId="Heading4Char">
    <w:name w:val="Heading 4 Char"/>
    <w:basedOn w:val="DefaultParagraphFont"/>
    <w:link w:val="Heading4"/>
    <w:semiHidden/>
    <w:rsid w:val="00F40823"/>
    <w:rPr>
      <w:rFonts w:ascii="Arial" w:eastAsia="Times New Roman" w:hAnsi="Arial" w:cs="Times New Roman"/>
      <w:b/>
      <w:bCs/>
      <w:sz w:val="24"/>
      <w:lang w:val="en-US" w:eastAsia="en-US"/>
    </w:rPr>
  </w:style>
  <w:style w:type="character" w:customStyle="1" w:styleId="Heading5Char">
    <w:name w:val="Heading 5 Char"/>
    <w:basedOn w:val="DefaultParagraphFont"/>
    <w:link w:val="Heading5"/>
    <w:semiHidden/>
    <w:rsid w:val="00F40823"/>
    <w:rPr>
      <w:rFonts w:ascii="Arial" w:eastAsia="Times New Roman" w:hAnsi="Arial" w:cs="Arial"/>
      <w:b/>
      <w:bCs/>
      <w:iCs/>
      <w:sz w:val="24"/>
      <w:lang w:val="en-US" w:eastAsia="en-US"/>
    </w:rPr>
  </w:style>
  <w:style w:type="character" w:customStyle="1" w:styleId="Heading6Char">
    <w:name w:val="Heading 6 Char"/>
    <w:basedOn w:val="DefaultParagraphFont"/>
    <w:link w:val="Heading6"/>
    <w:semiHidden/>
    <w:rsid w:val="00F40823"/>
    <w:rPr>
      <w:rFonts w:ascii="Arial" w:eastAsia="Times New Roman" w:hAnsi="Arial" w:cs="Arial"/>
      <w:b/>
      <w:bCs/>
      <w:sz w:val="24"/>
      <w:lang w:val="en-US" w:eastAsia="en-US"/>
    </w:rPr>
  </w:style>
  <w:style w:type="character" w:customStyle="1" w:styleId="Heading7Char">
    <w:name w:val="Heading 7 Char"/>
    <w:basedOn w:val="DefaultParagraphFont"/>
    <w:link w:val="Heading7"/>
    <w:semiHidden/>
    <w:rsid w:val="00F40823"/>
    <w:rPr>
      <w:rFonts w:ascii="Arial" w:eastAsia="Times New Roman" w:hAnsi="Arial" w:cs="Arial"/>
      <w:i/>
      <w:szCs w:val="24"/>
      <w:lang w:val="en-US" w:eastAsia="en-US"/>
    </w:rPr>
  </w:style>
  <w:style w:type="character" w:customStyle="1" w:styleId="Heading8Char">
    <w:name w:val="Heading 8 Char"/>
    <w:basedOn w:val="DefaultParagraphFont"/>
    <w:link w:val="Heading8"/>
    <w:semiHidden/>
    <w:rsid w:val="00F40823"/>
    <w:rPr>
      <w:rFonts w:ascii="Arial" w:eastAsia="Times New Roman" w:hAnsi="Arial" w:cs="Arial"/>
      <w:i/>
      <w:iCs/>
      <w:szCs w:val="24"/>
      <w:lang w:val="en-US" w:eastAsia="en-US"/>
    </w:rPr>
  </w:style>
  <w:style w:type="character" w:customStyle="1" w:styleId="Heading9Char">
    <w:name w:val="Heading 9 Char"/>
    <w:basedOn w:val="DefaultParagraphFont"/>
    <w:link w:val="Heading9"/>
    <w:semiHidden/>
    <w:rsid w:val="00F40823"/>
    <w:rPr>
      <w:rFonts w:ascii="Arial" w:eastAsia="Times New Roman" w:hAnsi="Arial" w:cs="Arial"/>
      <w:i/>
      <w:szCs w:val="24"/>
      <w:lang w:val="en-US" w:eastAsia="en-US"/>
    </w:rPr>
  </w:style>
  <w:style w:type="paragraph" w:customStyle="1" w:styleId="Paragraph">
    <w:name w:val="Paragraph"/>
    <w:link w:val="ParagraphChar"/>
    <w:rsid w:val="00F40823"/>
    <w:pPr>
      <w:spacing w:after="240" w:line="240" w:lineRule="auto"/>
    </w:pPr>
    <w:rPr>
      <w:rFonts w:ascii="Times New Roman" w:eastAsia="Times New Roman" w:hAnsi="Times New Roman" w:cs="Times New Roman"/>
      <w:sz w:val="24"/>
      <w:szCs w:val="24"/>
      <w:lang w:eastAsia="en-US"/>
    </w:rPr>
  </w:style>
  <w:style w:type="character" w:customStyle="1" w:styleId="ParagraphChar">
    <w:name w:val="Paragraph Char"/>
    <w:link w:val="Paragraph"/>
    <w:locked/>
    <w:rsid w:val="00F40823"/>
    <w:rPr>
      <w:rFonts w:ascii="Times New Roman" w:eastAsia="Times New Roman" w:hAnsi="Times New Roman" w:cs="Times New Roman"/>
      <w:sz w:val="24"/>
      <w:szCs w:val="24"/>
      <w:lang w:val="en-US" w:eastAsia="en-US"/>
    </w:rPr>
  </w:style>
  <w:style w:type="character" w:styleId="FootnoteReference">
    <w:name w:val="footnote reference"/>
    <w:semiHidden/>
    <w:unhideWhenUsed/>
    <w:rsid w:val="00F40823"/>
    <w:rPr>
      <w:vertAlign w:val="superscript"/>
    </w:rPr>
  </w:style>
  <w:style w:type="character" w:styleId="PlaceholderText">
    <w:name w:val="Placeholder Text"/>
    <w:basedOn w:val="DefaultParagraphFont"/>
    <w:uiPriority w:val="99"/>
    <w:semiHidden/>
    <w:rsid w:val="00BB1FE4"/>
    <w:rPr>
      <w:color w:val="808080"/>
    </w:rPr>
  </w:style>
  <w:style w:type="table" w:customStyle="1" w:styleId="1">
    <w:name w:val="표 구분선1"/>
    <w:basedOn w:val="TableNormal"/>
    <w:next w:val="TableGrid"/>
    <w:uiPriority w:val="59"/>
    <w:rsid w:val="00F02007"/>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12,Caption 12pt+,12pt,Caption 12pt,12+"/>
    <w:basedOn w:val="BodyText"/>
    <w:next w:val="BodyText"/>
    <w:link w:val="CaptionChar"/>
    <w:autoRedefine/>
    <w:qFormat/>
    <w:rsid w:val="009B4F5A"/>
    <w:pPr>
      <w:keepNext/>
      <w:spacing w:line="240" w:lineRule="auto"/>
      <w:ind w:left="1134" w:hanging="1134"/>
      <w:jc w:val="both"/>
    </w:pPr>
    <w:rPr>
      <w:rFonts w:ascii="Times New Roman" w:eastAsia="Malgun Gothic" w:hAnsi="Times New Roman" w:cs="Times New Roman"/>
      <w:b/>
      <w:bCs/>
      <w:lang w:val="en-GB" w:eastAsia="ko-KR"/>
    </w:rPr>
  </w:style>
  <w:style w:type="character" w:customStyle="1" w:styleId="CaptionChar">
    <w:name w:val="Caption Char"/>
    <w:aliases w:val="12 Char,Caption 12pt+ Char,12pt Char,Caption 12pt Char,12+ Char"/>
    <w:link w:val="Caption"/>
    <w:rsid w:val="009B4F5A"/>
    <w:rPr>
      <w:rFonts w:ascii="Times New Roman" w:eastAsia="Malgun Gothic" w:hAnsi="Times New Roman" w:cs="Times New Roman"/>
      <w:b/>
      <w:bCs/>
      <w:lang w:val="en-GB" w:eastAsia="ko-KR"/>
    </w:rPr>
  </w:style>
  <w:style w:type="paragraph" w:styleId="BodyText">
    <w:name w:val="Body Text"/>
    <w:basedOn w:val="Normal"/>
    <w:link w:val="BodyTextChar"/>
    <w:uiPriority w:val="99"/>
    <w:semiHidden/>
    <w:unhideWhenUsed/>
    <w:rsid w:val="004F014F"/>
    <w:pPr>
      <w:spacing w:after="120"/>
    </w:pPr>
  </w:style>
  <w:style w:type="character" w:customStyle="1" w:styleId="BodyTextChar">
    <w:name w:val="Body Text Char"/>
    <w:basedOn w:val="DefaultParagraphFont"/>
    <w:link w:val="BodyText"/>
    <w:uiPriority w:val="99"/>
    <w:semiHidden/>
    <w:rsid w:val="004F014F"/>
  </w:style>
  <w:style w:type="paragraph" w:styleId="NoSpacing">
    <w:name w:val="No Spacing"/>
    <w:uiPriority w:val="1"/>
    <w:qFormat/>
    <w:rsid w:val="00AF1D43"/>
    <w:pPr>
      <w:spacing w:after="0" w:line="240" w:lineRule="auto"/>
    </w:pPr>
    <w:rPr>
      <w:rFonts w:ascii="Times New Roman" w:eastAsia="Times New Roman" w:hAnsi="Times New Roman" w:cs="Times New Roman"/>
      <w:kern w:val="24"/>
      <w:sz w:val="24"/>
      <w:szCs w:val="24"/>
      <w:lang w:eastAsia="en-US"/>
    </w:rPr>
  </w:style>
  <w:style w:type="paragraph" w:customStyle="1" w:styleId="TableColumnHeading10pt">
    <w:name w:val="Table Column Heading 10 pt"/>
    <w:basedOn w:val="Normal"/>
    <w:rsid w:val="00CB032B"/>
    <w:pPr>
      <w:keepNext/>
      <w:tabs>
        <w:tab w:val="left" w:pos="1985"/>
      </w:tabs>
      <w:spacing w:before="60" w:after="60" w:line="240" w:lineRule="auto"/>
      <w:jc w:val="center"/>
    </w:pPr>
    <w:rPr>
      <w:rFonts w:ascii="Times New Roman" w:eastAsia="Times New Roman" w:hAnsi="Times New Roman" w:cs="Times New Roman"/>
      <w:b/>
      <w:sz w:val="20"/>
      <w:szCs w:val="20"/>
      <w:lang w:val="en-GB" w:eastAsia="en-US"/>
    </w:rPr>
  </w:style>
  <w:style w:type="paragraph" w:customStyle="1" w:styleId="TableDataCentered10pt">
    <w:name w:val="Table Data Centered 10 pt"/>
    <w:basedOn w:val="Normal"/>
    <w:rsid w:val="00CB032B"/>
    <w:pPr>
      <w:spacing w:before="20" w:after="20" w:line="240" w:lineRule="auto"/>
      <w:jc w:val="center"/>
    </w:pPr>
    <w:rPr>
      <w:rFonts w:ascii="Times New Roman" w:eastAsia="Times New Roman" w:hAnsi="Times New Roman" w:cs="Times New Roman"/>
      <w:sz w:val="20"/>
      <w:szCs w:val="20"/>
      <w:lang w:val="en-GB" w:eastAsia="en-US"/>
    </w:rPr>
  </w:style>
  <w:style w:type="paragraph" w:customStyle="1" w:styleId="TableFootnote10pt">
    <w:name w:val="Table Footnote 10 pt"/>
    <w:basedOn w:val="Normal"/>
    <w:next w:val="BodyText"/>
    <w:rsid w:val="00CB032B"/>
    <w:pPr>
      <w:tabs>
        <w:tab w:val="left" w:pos="284"/>
      </w:tabs>
      <w:spacing w:after="0" w:line="240" w:lineRule="auto"/>
    </w:pPr>
    <w:rPr>
      <w:rFonts w:ascii="Times New Roman" w:eastAsia="Times New Roman" w:hAnsi="Times New Roman" w:cs="Times New Roman"/>
      <w:sz w:val="20"/>
      <w:szCs w:val="20"/>
      <w:lang w:val="en-GB" w:eastAsia="en-US"/>
    </w:rPr>
  </w:style>
  <w:style w:type="paragraph" w:customStyle="1" w:styleId="TableRowHeading10pt">
    <w:name w:val="Table Row Heading 10 pt"/>
    <w:basedOn w:val="Normal"/>
    <w:link w:val="TableRowHeading10ptChar"/>
    <w:rsid w:val="00CB032B"/>
    <w:pPr>
      <w:tabs>
        <w:tab w:val="right" w:pos="405"/>
      </w:tabs>
      <w:spacing w:before="20" w:after="20" w:line="240" w:lineRule="auto"/>
    </w:pPr>
    <w:rPr>
      <w:rFonts w:ascii="Times New Roman" w:eastAsia="Times New Roman" w:hAnsi="Times New Roman" w:cs="Times New Roman"/>
      <w:sz w:val="20"/>
      <w:szCs w:val="20"/>
      <w:lang w:val="en-GB" w:eastAsia="en-US"/>
    </w:rPr>
  </w:style>
  <w:style w:type="paragraph" w:customStyle="1" w:styleId="TableCellHeading10pt">
    <w:name w:val="Table Cell Heading 10pt"/>
    <w:basedOn w:val="Normal"/>
    <w:link w:val="TableCellHeading10ptChar"/>
    <w:rsid w:val="00CB032B"/>
    <w:pPr>
      <w:keepNext/>
      <w:spacing w:before="40" w:after="40" w:line="240" w:lineRule="auto"/>
      <w:jc w:val="center"/>
    </w:pPr>
    <w:rPr>
      <w:rFonts w:ascii="Times New Roman" w:eastAsia="SimSun" w:hAnsi="Times New Roman" w:cs="Times New Roman"/>
      <w:b/>
      <w:kern w:val="20"/>
      <w:sz w:val="20"/>
      <w:szCs w:val="24"/>
      <w:lang w:eastAsia="en-US"/>
    </w:rPr>
  </w:style>
  <w:style w:type="paragraph" w:customStyle="1" w:styleId="TableCellText10pt">
    <w:name w:val="Table Cell Text 10pt"/>
    <w:basedOn w:val="Normal"/>
    <w:link w:val="TableCellText10ptChar"/>
    <w:rsid w:val="00CB032B"/>
    <w:pPr>
      <w:keepNext/>
      <w:spacing w:before="40" w:after="40" w:line="240" w:lineRule="auto"/>
    </w:pPr>
    <w:rPr>
      <w:rFonts w:ascii="Times New Roman" w:eastAsia="SimSun" w:hAnsi="Times New Roman" w:cs="Times New Roman"/>
      <w:kern w:val="24"/>
      <w:sz w:val="20"/>
      <w:szCs w:val="24"/>
      <w:lang w:eastAsia="en-US"/>
    </w:rPr>
  </w:style>
  <w:style w:type="character" w:customStyle="1" w:styleId="TableCellText10ptChar">
    <w:name w:val="Table Cell Text 10pt Char"/>
    <w:link w:val="TableCellText10pt"/>
    <w:rsid w:val="00CB032B"/>
    <w:rPr>
      <w:rFonts w:ascii="Times New Roman" w:eastAsia="SimSun" w:hAnsi="Times New Roman" w:cs="Times New Roman"/>
      <w:kern w:val="24"/>
      <w:sz w:val="20"/>
      <w:szCs w:val="24"/>
      <w:lang w:val="en-US" w:eastAsia="en-US"/>
    </w:rPr>
  </w:style>
  <w:style w:type="character" w:customStyle="1" w:styleId="TableCellHeading10ptChar">
    <w:name w:val="Table Cell Heading 10pt Char"/>
    <w:link w:val="TableCellHeading10pt"/>
    <w:rsid w:val="00CB032B"/>
    <w:rPr>
      <w:rFonts w:ascii="Times New Roman" w:eastAsia="SimSun" w:hAnsi="Times New Roman" w:cs="Times New Roman"/>
      <w:b/>
      <w:kern w:val="20"/>
      <w:sz w:val="20"/>
      <w:szCs w:val="24"/>
      <w:lang w:val="en-US" w:eastAsia="en-US"/>
    </w:rPr>
  </w:style>
  <w:style w:type="character" w:customStyle="1" w:styleId="TableRowHeading10ptChar">
    <w:name w:val="Table Row Heading 10 pt Char"/>
    <w:link w:val="TableRowHeading10pt"/>
    <w:rsid w:val="00CB032B"/>
    <w:rPr>
      <w:rFonts w:ascii="Times New Roman" w:eastAsia="Times New Roman" w:hAnsi="Times New Roman" w:cs="Times New Roman"/>
      <w:sz w:val="20"/>
      <w:szCs w:val="20"/>
      <w:lang w:val="en-GB" w:eastAsia="en-US"/>
    </w:rPr>
  </w:style>
  <w:style w:type="paragraph" w:customStyle="1" w:styleId="DocumentText">
    <w:name w:val="Document Text"/>
    <w:basedOn w:val="Normal"/>
    <w:link w:val="DocumentTextChar"/>
    <w:qFormat/>
    <w:rsid w:val="00BD33AB"/>
    <w:pPr>
      <w:spacing w:after="240" w:line="300" w:lineRule="auto"/>
    </w:pPr>
    <w:rPr>
      <w:rFonts w:ascii="Times New Roman" w:eastAsia="SimSun" w:hAnsi="Times New Roman" w:cs="Times New Roman"/>
      <w:kern w:val="24"/>
      <w:sz w:val="24"/>
      <w:szCs w:val="24"/>
      <w:lang w:eastAsia="en-US"/>
    </w:rPr>
  </w:style>
  <w:style w:type="character" w:customStyle="1" w:styleId="DocumentTextChar">
    <w:name w:val="Document Text Char"/>
    <w:link w:val="DocumentText"/>
    <w:rsid w:val="00BD33AB"/>
    <w:rPr>
      <w:rFonts w:ascii="Times New Roman" w:eastAsia="SimSun" w:hAnsi="Times New Roman" w:cs="Times New Roman"/>
      <w:kern w:val="24"/>
      <w:sz w:val="24"/>
      <w:szCs w:val="24"/>
      <w:lang w:val="en-US" w:eastAsia="en-US"/>
    </w:rPr>
  </w:style>
  <w:style w:type="paragraph" w:customStyle="1" w:styleId="ListBulleted">
    <w:name w:val="List Bulleted"/>
    <w:basedOn w:val="DocumentText"/>
    <w:rsid w:val="00BD33AB"/>
    <w:pPr>
      <w:keepLines/>
      <w:numPr>
        <w:numId w:val="5"/>
      </w:numPr>
      <w:adjustRightInd w:val="0"/>
      <w:spacing w:before="120" w:after="120" w:line="240" w:lineRule="auto"/>
      <w:ind w:left="648"/>
      <w:jc w:val="both"/>
    </w:pPr>
    <w:rPr>
      <w:rFonts w:eastAsia="Times New Roman"/>
    </w:rPr>
  </w:style>
  <w:style w:type="paragraph" w:customStyle="1" w:styleId="TableFootnote">
    <w:name w:val="Table Footnote"/>
    <w:basedOn w:val="DocumentText"/>
    <w:next w:val="DocumentText"/>
    <w:rsid w:val="00C3775E"/>
    <w:pPr>
      <w:keepNext/>
      <w:keepLines/>
      <w:spacing w:before="40" w:after="0" w:line="240" w:lineRule="auto"/>
      <w:ind w:left="360" w:hanging="360"/>
    </w:pPr>
    <w:rPr>
      <w:kern w:val="20"/>
      <w:sz w:val="20"/>
      <w:szCs w:val="20"/>
      <w:lang w:val="x-none" w:eastAsia="x-none"/>
    </w:rPr>
  </w:style>
  <w:style w:type="paragraph" w:customStyle="1" w:styleId="TableDataRight10pt">
    <w:name w:val="Table Data Right 10 pt"/>
    <w:basedOn w:val="Normal"/>
    <w:rsid w:val="00510DD9"/>
    <w:pPr>
      <w:spacing w:before="20" w:after="20" w:line="240" w:lineRule="auto"/>
      <w:jc w:val="right"/>
    </w:pPr>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76667">
      <w:bodyDiv w:val="1"/>
      <w:marLeft w:val="0"/>
      <w:marRight w:val="0"/>
      <w:marTop w:val="0"/>
      <w:marBottom w:val="0"/>
      <w:divBdr>
        <w:top w:val="none" w:sz="0" w:space="0" w:color="auto"/>
        <w:left w:val="none" w:sz="0" w:space="0" w:color="auto"/>
        <w:bottom w:val="none" w:sz="0" w:space="0" w:color="auto"/>
        <w:right w:val="none" w:sz="0" w:space="0" w:color="auto"/>
      </w:divBdr>
    </w:div>
    <w:div w:id="433399057">
      <w:bodyDiv w:val="1"/>
      <w:marLeft w:val="0"/>
      <w:marRight w:val="0"/>
      <w:marTop w:val="0"/>
      <w:marBottom w:val="0"/>
      <w:divBdr>
        <w:top w:val="none" w:sz="0" w:space="0" w:color="auto"/>
        <w:left w:val="none" w:sz="0" w:space="0" w:color="auto"/>
        <w:bottom w:val="none" w:sz="0" w:space="0" w:color="auto"/>
        <w:right w:val="none" w:sz="0" w:space="0" w:color="auto"/>
      </w:divBdr>
    </w:div>
    <w:div w:id="436410749">
      <w:bodyDiv w:val="1"/>
      <w:marLeft w:val="0"/>
      <w:marRight w:val="0"/>
      <w:marTop w:val="0"/>
      <w:marBottom w:val="0"/>
      <w:divBdr>
        <w:top w:val="none" w:sz="0" w:space="0" w:color="auto"/>
        <w:left w:val="none" w:sz="0" w:space="0" w:color="auto"/>
        <w:bottom w:val="none" w:sz="0" w:space="0" w:color="auto"/>
        <w:right w:val="none" w:sz="0" w:space="0" w:color="auto"/>
      </w:divBdr>
    </w:div>
    <w:div w:id="920529646">
      <w:bodyDiv w:val="1"/>
      <w:marLeft w:val="0"/>
      <w:marRight w:val="0"/>
      <w:marTop w:val="0"/>
      <w:marBottom w:val="0"/>
      <w:divBdr>
        <w:top w:val="none" w:sz="0" w:space="0" w:color="auto"/>
        <w:left w:val="none" w:sz="0" w:space="0" w:color="auto"/>
        <w:bottom w:val="none" w:sz="0" w:space="0" w:color="auto"/>
        <w:right w:val="none" w:sz="0" w:space="0" w:color="auto"/>
      </w:divBdr>
    </w:div>
    <w:div w:id="1006438296">
      <w:bodyDiv w:val="1"/>
      <w:marLeft w:val="0"/>
      <w:marRight w:val="0"/>
      <w:marTop w:val="0"/>
      <w:marBottom w:val="0"/>
      <w:divBdr>
        <w:top w:val="none" w:sz="0" w:space="0" w:color="auto"/>
        <w:left w:val="none" w:sz="0" w:space="0" w:color="auto"/>
        <w:bottom w:val="none" w:sz="0" w:space="0" w:color="auto"/>
        <w:right w:val="none" w:sz="0" w:space="0" w:color="auto"/>
      </w:divBdr>
    </w:div>
    <w:div w:id="1443453946">
      <w:bodyDiv w:val="1"/>
      <w:marLeft w:val="0"/>
      <w:marRight w:val="0"/>
      <w:marTop w:val="0"/>
      <w:marBottom w:val="0"/>
      <w:divBdr>
        <w:top w:val="none" w:sz="0" w:space="0" w:color="auto"/>
        <w:left w:val="none" w:sz="0" w:space="0" w:color="auto"/>
        <w:bottom w:val="none" w:sz="0" w:space="0" w:color="auto"/>
        <w:right w:val="none" w:sz="0" w:space="0" w:color="auto"/>
      </w:divBdr>
    </w:div>
    <w:div w:id="1508906656">
      <w:bodyDiv w:val="1"/>
      <w:marLeft w:val="0"/>
      <w:marRight w:val="0"/>
      <w:marTop w:val="0"/>
      <w:marBottom w:val="0"/>
      <w:divBdr>
        <w:top w:val="none" w:sz="0" w:space="0" w:color="auto"/>
        <w:left w:val="none" w:sz="0" w:space="0" w:color="auto"/>
        <w:bottom w:val="none" w:sz="0" w:space="0" w:color="auto"/>
        <w:right w:val="none" w:sz="0" w:space="0" w:color="auto"/>
      </w:divBdr>
    </w:div>
    <w:div w:id="1522821345">
      <w:bodyDiv w:val="1"/>
      <w:marLeft w:val="0"/>
      <w:marRight w:val="0"/>
      <w:marTop w:val="0"/>
      <w:marBottom w:val="0"/>
      <w:divBdr>
        <w:top w:val="none" w:sz="0" w:space="0" w:color="auto"/>
        <w:left w:val="none" w:sz="0" w:space="0" w:color="auto"/>
        <w:bottom w:val="none" w:sz="0" w:space="0" w:color="auto"/>
        <w:right w:val="none" w:sz="0" w:space="0" w:color="auto"/>
      </w:divBdr>
    </w:div>
    <w:div w:id="1561480569">
      <w:bodyDiv w:val="1"/>
      <w:marLeft w:val="0"/>
      <w:marRight w:val="0"/>
      <w:marTop w:val="0"/>
      <w:marBottom w:val="0"/>
      <w:divBdr>
        <w:top w:val="none" w:sz="0" w:space="0" w:color="auto"/>
        <w:left w:val="none" w:sz="0" w:space="0" w:color="auto"/>
        <w:bottom w:val="none" w:sz="0" w:space="0" w:color="auto"/>
        <w:right w:val="none" w:sz="0" w:space="0" w:color="auto"/>
      </w:divBdr>
    </w:div>
    <w:div w:id="1571619214">
      <w:bodyDiv w:val="1"/>
      <w:marLeft w:val="0"/>
      <w:marRight w:val="0"/>
      <w:marTop w:val="0"/>
      <w:marBottom w:val="0"/>
      <w:divBdr>
        <w:top w:val="none" w:sz="0" w:space="0" w:color="auto"/>
        <w:left w:val="none" w:sz="0" w:space="0" w:color="auto"/>
        <w:bottom w:val="none" w:sz="0" w:space="0" w:color="auto"/>
        <w:right w:val="none" w:sz="0" w:space="0" w:color="auto"/>
      </w:divBdr>
    </w:div>
    <w:div w:id="181883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07A17-A238-4616-AD03-9457C7AC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46</Pages>
  <Words>22161</Words>
  <Characters>124548</Characters>
  <Application>Microsoft Office Word</Application>
  <DocSecurity>0</DocSecurity>
  <Lines>3892</Lines>
  <Paragraphs>2405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Attachment: Product Information Infliximab (rmc) (Inflectra)</vt:lpstr>
      <vt:lpstr/>
    </vt:vector>
  </TitlesOfParts>
  <Company/>
  <LinksUpToDate>false</LinksUpToDate>
  <CharactersWithSpaces>144304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Infliximab (rmc) (Inflectra)</dc:title>
  <dc:subject>prescription medicines</dc:subject>
  <dc:creator/>
  <cp:lastPrinted>2015-09-16T03:36:00Z</cp:lastPrinted>
  <dcterms:created xsi:type="dcterms:W3CDTF">2020-07-02T01:23:00Z</dcterms:created>
  <dcterms:modified xsi:type="dcterms:W3CDTF">2020-07-06T03:26:00Z</dcterms:modified>
</cp:coreProperties>
</file>