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46DF55" w14:textId="77777777" w:rsidR="004A10AE" w:rsidRPr="00326DA2" w:rsidRDefault="004A10AE" w:rsidP="007947DB">
      <w:pPr>
        <w:spacing w:line="240" w:lineRule="auto"/>
        <w:rPr>
          <w:rFonts w:ascii="Times New Roman" w:hAnsi="Times New Roman" w:cs="Times New Roman"/>
          <w:sz w:val="40"/>
          <w:szCs w:val="24"/>
        </w:rPr>
      </w:pPr>
      <w:r w:rsidRPr="00326DA2">
        <w:rPr>
          <w:rFonts w:ascii="Times New Roman" w:hAnsi="Times New Roman" w:cs="Times New Roman"/>
          <w:b/>
          <w:bCs/>
          <w:sz w:val="40"/>
          <w:szCs w:val="24"/>
        </w:rPr>
        <w:t>PRODUCT INFORMATION</w:t>
      </w:r>
    </w:p>
    <w:p w14:paraId="3CF2A9FA" w14:textId="6F83E040" w:rsidR="004A10AE" w:rsidRPr="0025669D" w:rsidRDefault="004A10AE" w:rsidP="007947DB">
      <w:pPr>
        <w:spacing w:line="240" w:lineRule="auto"/>
        <w:jc w:val="left"/>
        <w:rPr>
          <w:rFonts w:ascii="Times New Roman" w:eastAsia="Malgun Gothic" w:hAnsi="Times New Roman" w:cs="Times New Roman"/>
          <w:sz w:val="32"/>
          <w:szCs w:val="32"/>
        </w:rPr>
      </w:pPr>
      <w:r>
        <w:rPr>
          <w:rFonts w:ascii="Times New Roman" w:eastAsia="Malgun Gothic" w:hAnsi="Times New Roman" w:cs="Times New Roman"/>
          <w:b/>
          <w:bCs/>
          <w:sz w:val="32"/>
          <w:szCs w:val="32"/>
        </w:rPr>
        <w:t>RENFLEXIS</w:t>
      </w:r>
      <w:r w:rsidR="00CD025F" w:rsidRPr="00CD025F">
        <w:rPr>
          <w:rFonts w:ascii="Times New Roman" w:eastAsia="Malgun Gothic" w:hAnsi="Times New Roman" w:cs="Times New Roman"/>
          <w:b/>
          <w:bCs/>
          <w:sz w:val="32"/>
          <w:szCs w:val="32"/>
          <w:vertAlign w:val="superscript"/>
        </w:rPr>
        <w:t>®</w:t>
      </w:r>
      <w:r w:rsidRPr="0025669D">
        <w:rPr>
          <w:rFonts w:ascii="Times New Roman" w:eastAsia="Malgun Gothic" w:hAnsi="Times New Roman" w:cs="Times New Roman"/>
          <w:b/>
          <w:bCs/>
          <w:sz w:val="32"/>
          <w:szCs w:val="32"/>
        </w:rPr>
        <w:t xml:space="preserve"> Infliximab </w:t>
      </w:r>
    </w:p>
    <w:p w14:paraId="446FBD74" w14:textId="77777777" w:rsidR="004A10AE" w:rsidRPr="0025669D" w:rsidRDefault="004A10AE" w:rsidP="007947DB">
      <w:pPr>
        <w:pStyle w:val="Heading1"/>
        <w:spacing w:before="240" w:after="240" w:line="240" w:lineRule="auto"/>
        <w:ind w:left="425" w:hanging="425"/>
        <w:rPr>
          <w:rFonts w:eastAsia="Malgun Gothic"/>
          <w:sz w:val="28"/>
          <w:lang w:eastAsia="ko-KR"/>
        </w:rPr>
      </w:pPr>
      <w:r w:rsidRPr="0025669D">
        <w:rPr>
          <w:rFonts w:eastAsia="Malgun Gothic"/>
          <w:sz w:val="28"/>
          <w:lang w:eastAsia="ko-KR"/>
        </w:rPr>
        <w:t>NAME OF THE MEDICINE</w:t>
      </w:r>
      <w:bookmarkStart w:id="0" w:name="_GoBack"/>
      <w:bookmarkEnd w:id="0"/>
    </w:p>
    <w:p w14:paraId="0DC3D89F" w14:textId="569B274B" w:rsidR="004A10AE" w:rsidRDefault="004A10AE" w:rsidP="007947DB">
      <w:pPr>
        <w:spacing w:line="240" w:lineRule="auto"/>
        <w:jc w:val="left"/>
        <w:rPr>
          <w:rFonts w:ascii="Times New Roman" w:eastAsia="Malgun Gothic" w:hAnsi="Times New Roman" w:cs="Times New Roman"/>
          <w:sz w:val="24"/>
          <w:szCs w:val="24"/>
        </w:rPr>
      </w:pPr>
      <w:r>
        <w:rPr>
          <w:rFonts w:ascii="Times New Roman" w:eastAsia="Malgun Gothic" w:hAnsi="Times New Roman" w:cs="Times New Roman"/>
          <w:sz w:val="24"/>
          <w:szCs w:val="24"/>
        </w:rPr>
        <w:t>RENFLEXIS</w:t>
      </w:r>
      <w:r w:rsidR="00CD025F" w:rsidRPr="00CD025F">
        <w:rPr>
          <w:rFonts w:ascii="Times New Roman" w:eastAsia="Malgun Gothic" w:hAnsi="Times New Roman" w:cs="Times New Roman"/>
          <w:sz w:val="24"/>
          <w:szCs w:val="24"/>
          <w:vertAlign w:val="superscript"/>
        </w:rPr>
        <w:t>®</w:t>
      </w:r>
      <w:r w:rsidRPr="0025669D">
        <w:rPr>
          <w:rFonts w:ascii="Times New Roman" w:eastAsia="Malgun Gothic" w:hAnsi="Times New Roman" w:cs="Times New Roman"/>
          <w:sz w:val="24"/>
          <w:szCs w:val="24"/>
        </w:rPr>
        <w:t xml:space="preserve"> (Infliximab) Powder for Injection</w:t>
      </w:r>
    </w:p>
    <w:p w14:paraId="2D59F832" w14:textId="77777777" w:rsidR="004A10AE" w:rsidRDefault="004A10AE" w:rsidP="007947DB">
      <w:pPr>
        <w:spacing w:line="240" w:lineRule="auto"/>
        <w:jc w:val="left"/>
        <w:rPr>
          <w:rFonts w:ascii="Times New Roman" w:eastAsia="Malgun Gothic" w:hAnsi="Times New Roman" w:cs="Times New Roman"/>
          <w:sz w:val="24"/>
          <w:szCs w:val="24"/>
        </w:rPr>
      </w:pPr>
      <w:r>
        <w:rPr>
          <w:rFonts w:ascii="Times New Roman" w:eastAsia="Malgun Gothic" w:hAnsi="Times New Roman" w:cs="Times New Roman" w:hint="eastAsia"/>
          <w:sz w:val="24"/>
          <w:szCs w:val="24"/>
        </w:rPr>
        <w:t xml:space="preserve">CAS number: </w:t>
      </w:r>
      <w:r w:rsidRPr="00010118">
        <w:rPr>
          <w:rFonts w:ascii="Times New Roman" w:eastAsia="Malgun Gothic" w:hAnsi="Times New Roman" w:cs="Times New Roman"/>
          <w:sz w:val="24"/>
          <w:szCs w:val="24"/>
          <w:lang w:val="en-GB"/>
        </w:rPr>
        <w:t>170277-31-3</w:t>
      </w:r>
      <w:r>
        <w:rPr>
          <w:rFonts w:ascii="Times New Roman" w:eastAsia="Malgun Gothic" w:hAnsi="Times New Roman" w:cs="Times New Roman" w:hint="eastAsia"/>
          <w:sz w:val="24"/>
          <w:szCs w:val="24"/>
        </w:rPr>
        <w:t xml:space="preserve"> </w:t>
      </w:r>
    </w:p>
    <w:p w14:paraId="7F247539" w14:textId="77777777" w:rsidR="0029392F" w:rsidRPr="0025669D" w:rsidRDefault="0029392F" w:rsidP="007947DB">
      <w:pPr>
        <w:spacing w:line="240" w:lineRule="auto"/>
        <w:jc w:val="left"/>
        <w:rPr>
          <w:rFonts w:ascii="Times New Roman" w:eastAsia="Malgun Gothic" w:hAnsi="Times New Roman" w:cs="Times New Roman"/>
          <w:sz w:val="24"/>
          <w:szCs w:val="24"/>
        </w:rPr>
      </w:pPr>
    </w:p>
    <w:p w14:paraId="6F9364FC" w14:textId="77777777" w:rsidR="004A10AE" w:rsidRPr="00D464CB" w:rsidRDefault="004A10AE" w:rsidP="007947DB">
      <w:pPr>
        <w:pStyle w:val="Heading1"/>
        <w:spacing w:before="240" w:after="240" w:line="240" w:lineRule="auto"/>
        <w:ind w:left="425" w:hanging="425"/>
        <w:rPr>
          <w:rFonts w:eastAsia="Malgun Gothic"/>
          <w:sz w:val="28"/>
          <w:lang w:val="en-US"/>
        </w:rPr>
      </w:pPr>
      <w:r w:rsidRPr="0025669D">
        <w:rPr>
          <w:rFonts w:eastAsia="Malgun Gothic"/>
          <w:sz w:val="28"/>
          <w:lang w:eastAsia="ko-KR"/>
        </w:rPr>
        <w:t>DESCRIPTION</w:t>
      </w:r>
    </w:p>
    <w:p w14:paraId="39F1AF2F" w14:textId="313EF548" w:rsidR="001056E5" w:rsidRDefault="001056E5" w:rsidP="001056E5">
      <w:pPr>
        <w:spacing w:line="240" w:lineRule="auto"/>
        <w:jc w:val="left"/>
        <w:rPr>
          <w:rFonts w:ascii="Times New Roman" w:eastAsia="Malgun Gothic" w:hAnsi="Times New Roman" w:cs="Times New Roman"/>
          <w:sz w:val="24"/>
          <w:szCs w:val="24"/>
          <w:lang w:val="en-GB"/>
        </w:rPr>
      </w:pPr>
      <w:r>
        <w:rPr>
          <w:rFonts w:ascii="Times New Roman" w:eastAsia="Malgun Gothic" w:hAnsi="Times New Roman" w:cs="Times New Roman"/>
          <w:sz w:val="24"/>
          <w:szCs w:val="24"/>
        </w:rPr>
        <w:t>RENFLEXIS</w:t>
      </w:r>
      <w:r>
        <w:rPr>
          <w:rFonts w:ascii="Times New Roman" w:eastAsia="Malgun Gothic" w:hAnsi="Times New Roman" w:cs="Times New Roman" w:hint="eastAsia"/>
          <w:sz w:val="24"/>
          <w:szCs w:val="24"/>
        </w:rPr>
        <w:t xml:space="preserve"> (infliximab)</w:t>
      </w:r>
      <w:r w:rsidRPr="004163DA">
        <w:rPr>
          <w:rFonts w:ascii="Times New Roman" w:eastAsia="Malgun Gothic" w:hAnsi="Times New Roman" w:cs="Times New Roman"/>
          <w:sz w:val="24"/>
          <w:szCs w:val="24"/>
          <w:lang w:val="en-GB"/>
        </w:rPr>
        <w:t xml:space="preserve"> is a biosimilar</w:t>
      </w:r>
      <w:r>
        <w:rPr>
          <w:rFonts w:ascii="Times New Roman" w:eastAsia="Malgun Gothic" w:hAnsi="Times New Roman" w:cs="Times New Roman"/>
          <w:sz w:val="24"/>
          <w:szCs w:val="24"/>
          <w:lang w:val="en-GB"/>
        </w:rPr>
        <w:t xml:space="preserve"> medicine to </w:t>
      </w:r>
      <w:proofErr w:type="spellStart"/>
      <w:r>
        <w:rPr>
          <w:rFonts w:ascii="Times New Roman" w:eastAsia="Malgun Gothic" w:hAnsi="Times New Roman" w:cs="Times New Roman" w:hint="eastAsia"/>
          <w:sz w:val="24"/>
          <w:szCs w:val="24"/>
          <w:lang w:val="en-GB"/>
        </w:rPr>
        <w:t>Remicade</w:t>
      </w:r>
      <w:proofErr w:type="spellEnd"/>
      <w:r w:rsidRPr="004163DA">
        <w:rPr>
          <w:rFonts w:ascii="Times New Roman" w:eastAsia="Malgun Gothic" w:hAnsi="Times New Roman" w:cs="Times New Roman"/>
          <w:sz w:val="24"/>
          <w:szCs w:val="24"/>
          <w:vertAlign w:val="superscript"/>
          <w:lang w:val="en-GB"/>
        </w:rPr>
        <w:t>®</w:t>
      </w:r>
      <w:r>
        <w:rPr>
          <w:rFonts w:ascii="Times New Roman" w:eastAsia="Malgun Gothic" w:hAnsi="Times New Roman" w:cs="Times New Roman" w:hint="eastAsia"/>
          <w:sz w:val="24"/>
          <w:szCs w:val="24"/>
          <w:lang w:val="en-GB"/>
        </w:rPr>
        <w:t xml:space="preserve"> (infliximab)</w:t>
      </w:r>
      <w:r w:rsidRPr="004163DA">
        <w:rPr>
          <w:rFonts w:ascii="Times New Roman" w:eastAsia="Malgun Gothic" w:hAnsi="Times New Roman" w:cs="Times New Roman"/>
          <w:sz w:val="24"/>
          <w:szCs w:val="24"/>
          <w:lang w:val="en-GB"/>
        </w:rPr>
        <w:t xml:space="preserve">. The </w:t>
      </w:r>
      <w:r>
        <w:rPr>
          <w:rFonts w:ascii="Times New Roman" w:eastAsia="Malgun Gothic" w:hAnsi="Times New Roman" w:cs="Times New Roman" w:hint="eastAsia"/>
          <w:sz w:val="24"/>
          <w:szCs w:val="24"/>
          <w:lang w:val="en-GB"/>
        </w:rPr>
        <w:t xml:space="preserve">comparability of RENFLEXIS with </w:t>
      </w:r>
      <w:proofErr w:type="spellStart"/>
      <w:r>
        <w:rPr>
          <w:rFonts w:ascii="Times New Roman" w:eastAsia="Malgun Gothic" w:hAnsi="Times New Roman" w:cs="Times New Roman" w:hint="eastAsia"/>
          <w:sz w:val="24"/>
          <w:szCs w:val="24"/>
          <w:lang w:val="en-GB"/>
        </w:rPr>
        <w:t>Remicade</w:t>
      </w:r>
      <w:proofErr w:type="spellEnd"/>
      <w:r w:rsidRPr="004163DA">
        <w:rPr>
          <w:rFonts w:ascii="Times New Roman" w:eastAsia="Malgun Gothic" w:hAnsi="Times New Roman" w:cs="Times New Roman"/>
          <w:sz w:val="24"/>
          <w:szCs w:val="24"/>
          <w:vertAlign w:val="superscript"/>
          <w:lang w:val="en-GB"/>
        </w:rPr>
        <w:t>®</w:t>
      </w:r>
      <w:r>
        <w:rPr>
          <w:rFonts w:ascii="Times New Roman" w:eastAsia="Malgun Gothic" w:hAnsi="Times New Roman" w:cs="Times New Roman" w:hint="eastAsia"/>
          <w:sz w:val="24"/>
          <w:szCs w:val="24"/>
          <w:lang w:val="en-GB"/>
        </w:rPr>
        <w:t xml:space="preserve"> has been demonstrated with regard to physicochemical characteristics and efficacy and safety outcomes [see PHARMACOLOGY</w:t>
      </w:r>
      <w:r w:rsidR="00E71459">
        <w:rPr>
          <w:rFonts w:ascii="Times New Roman" w:eastAsia="Malgun Gothic" w:hAnsi="Times New Roman" w:cs="Times New Roman" w:hint="eastAsia"/>
          <w:sz w:val="24"/>
          <w:szCs w:val="24"/>
          <w:lang w:val="en-GB"/>
        </w:rPr>
        <w:t xml:space="preserve">, </w:t>
      </w:r>
      <w:r>
        <w:rPr>
          <w:rFonts w:ascii="Times New Roman" w:eastAsia="Malgun Gothic" w:hAnsi="Times New Roman" w:cs="Times New Roman" w:hint="eastAsia"/>
          <w:sz w:val="24"/>
          <w:szCs w:val="24"/>
          <w:lang w:val="en-GB"/>
        </w:rPr>
        <w:t>CLINICAL TRIALS</w:t>
      </w:r>
      <w:r w:rsidR="00E71459">
        <w:rPr>
          <w:rFonts w:ascii="Times New Roman" w:eastAsia="Malgun Gothic" w:hAnsi="Times New Roman" w:cs="Times New Roman" w:hint="eastAsia"/>
          <w:sz w:val="24"/>
          <w:szCs w:val="24"/>
          <w:lang w:val="en-GB"/>
        </w:rPr>
        <w:t xml:space="preserve"> and ADVERSE EFFECTS</w:t>
      </w:r>
      <w:r>
        <w:rPr>
          <w:rFonts w:ascii="Times New Roman" w:eastAsia="Malgun Gothic" w:hAnsi="Times New Roman" w:cs="Times New Roman" w:hint="eastAsia"/>
          <w:sz w:val="24"/>
          <w:szCs w:val="24"/>
          <w:lang w:val="en-GB"/>
        </w:rPr>
        <w:t xml:space="preserve">]. The </w:t>
      </w:r>
      <w:r w:rsidRPr="004163DA">
        <w:rPr>
          <w:rFonts w:ascii="Times New Roman" w:eastAsia="Malgun Gothic" w:hAnsi="Times New Roman" w:cs="Times New Roman"/>
          <w:sz w:val="24"/>
          <w:szCs w:val="24"/>
          <w:lang w:val="en-GB"/>
        </w:rPr>
        <w:t xml:space="preserve">evidence for comparability supports the use of </w:t>
      </w:r>
      <w:r>
        <w:rPr>
          <w:rFonts w:ascii="Times New Roman" w:eastAsia="Malgun Gothic" w:hAnsi="Times New Roman" w:cs="Times New Roman"/>
          <w:sz w:val="24"/>
          <w:szCs w:val="24"/>
        </w:rPr>
        <w:t>RENFLEXIS</w:t>
      </w:r>
      <w:r w:rsidRPr="004163DA">
        <w:rPr>
          <w:rFonts w:ascii="Times New Roman" w:eastAsia="Malgun Gothic" w:hAnsi="Times New Roman" w:cs="Times New Roman"/>
          <w:sz w:val="24"/>
          <w:szCs w:val="24"/>
          <w:lang w:val="en-GB"/>
        </w:rPr>
        <w:t xml:space="preserve"> </w:t>
      </w:r>
      <w:r>
        <w:rPr>
          <w:rFonts w:ascii="Times New Roman" w:eastAsia="Malgun Gothic" w:hAnsi="Times New Roman" w:cs="Times New Roman"/>
          <w:sz w:val="24"/>
          <w:szCs w:val="24"/>
          <w:lang w:val="en-GB"/>
        </w:rPr>
        <w:t>for the listed indication</w:t>
      </w:r>
      <w:r w:rsidRPr="004163DA">
        <w:rPr>
          <w:rFonts w:ascii="Times New Roman" w:eastAsia="Malgun Gothic" w:hAnsi="Times New Roman" w:cs="Times New Roman"/>
          <w:sz w:val="24"/>
          <w:szCs w:val="24"/>
          <w:lang w:val="en-GB"/>
        </w:rPr>
        <w:t>s</w:t>
      </w:r>
      <w:r>
        <w:rPr>
          <w:rFonts w:ascii="Times New Roman" w:eastAsia="Malgun Gothic" w:hAnsi="Times New Roman" w:cs="Times New Roman" w:hint="eastAsia"/>
          <w:sz w:val="24"/>
          <w:szCs w:val="24"/>
          <w:lang w:val="en-GB"/>
        </w:rPr>
        <w:t>.</w:t>
      </w:r>
    </w:p>
    <w:p w14:paraId="04961B0D" w14:textId="77777777" w:rsidR="004A10AE" w:rsidRDefault="004A10AE" w:rsidP="007947DB">
      <w:pPr>
        <w:spacing w:line="240" w:lineRule="auto"/>
        <w:jc w:val="left"/>
        <w:rPr>
          <w:rFonts w:ascii="Times New Roman" w:eastAsia="Malgun Gothic" w:hAnsi="Times New Roman" w:cs="Times New Roman"/>
          <w:sz w:val="24"/>
          <w:szCs w:val="24"/>
          <w:lang w:val="en-GB"/>
        </w:rPr>
      </w:pPr>
      <w:r w:rsidRPr="0025669D">
        <w:rPr>
          <w:rFonts w:ascii="Times New Roman" w:eastAsia="Malgun Gothic" w:hAnsi="Times New Roman" w:cs="Times New Roman"/>
          <w:sz w:val="24"/>
          <w:szCs w:val="24"/>
        </w:rPr>
        <w:t xml:space="preserve">Each vial of </w:t>
      </w:r>
      <w:r>
        <w:rPr>
          <w:rFonts w:ascii="Times New Roman" w:eastAsia="Malgun Gothic" w:hAnsi="Times New Roman" w:cs="Times New Roman"/>
          <w:sz w:val="24"/>
          <w:szCs w:val="24"/>
        </w:rPr>
        <w:t>RENFLEXIS</w:t>
      </w:r>
      <w:r w:rsidRPr="0025669D">
        <w:rPr>
          <w:rFonts w:ascii="Times New Roman" w:eastAsia="Malgun Gothic" w:hAnsi="Times New Roman" w:cs="Times New Roman"/>
          <w:sz w:val="24"/>
          <w:szCs w:val="24"/>
        </w:rPr>
        <w:t xml:space="preserve"> contains infliximab 100 mg. </w:t>
      </w:r>
      <w:r>
        <w:rPr>
          <w:rFonts w:ascii="Times New Roman" w:eastAsia="Malgun Gothic" w:hAnsi="Times New Roman" w:cs="Times New Roman"/>
          <w:sz w:val="24"/>
          <w:szCs w:val="24"/>
          <w:lang w:val="en-GB"/>
        </w:rPr>
        <w:t>RENFLEXIS</w:t>
      </w:r>
      <w:r w:rsidRPr="0025669D">
        <w:rPr>
          <w:rFonts w:ascii="Times New Roman" w:eastAsia="Malgun Gothic" w:hAnsi="Times New Roman" w:cs="Times New Roman"/>
          <w:sz w:val="24"/>
          <w:szCs w:val="24"/>
          <w:lang w:val="en-GB"/>
        </w:rPr>
        <w:t xml:space="preserve"> Powder for Injection is to be reconstituted with sterile Water for Injections and further diluted in 0.9% sodium chloride solution for infusion. After reconstitution, each vial of </w:t>
      </w:r>
      <w:r>
        <w:rPr>
          <w:rFonts w:ascii="Times New Roman" w:eastAsia="Malgun Gothic" w:hAnsi="Times New Roman" w:cs="Times New Roman"/>
          <w:sz w:val="24"/>
          <w:szCs w:val="24"/>
          <w:lang w:val="en-GB"/>
        </w:rPr>
        <w:t>RENFLEXIS</w:t>
      </w:r>
      <w:r w:rsidRPr="0025669D">
        <w:rPr>
          <w:rFonts w:ascii="Times New Roman" w:eastAsia="Malgun Gothic" w:hAnsi="Times New Roman" w:cs="Times New Roman"/>
          <w:sz w:val="24"/>
          <w:szCs w:val="24"/>
          <w:lang w:val="en-GB"/>
        </w:rPr>
        <w:t xml:space="preserve"> contains infliximab 100 mg/10 </w:t>
      </w:r>
      <w:proofErr w:type="spellStart"/>
      <w:r w:rsidRPr="0025669D">
        <w:rPr>
          <w:rFonts w:ascii="Times New Roman" w:eastAsia="Malgun Gothic" w:hAnsi="Times New Roman" w:cs="Times New Roman"/>
          <w:sz w:val="24"/>
          <w:szCs w:val="24"/>
          <w:lang w:val="en-GB"/>
        </w:rPr>
        <w:t>mL.</w:t>
      </w:r>
      <w:proofErr w:type="spellEnd"/>
      <w:r w:rsidRPr="0025669D">
        <w:rPr>
          <w:rFonts w:ascii="Times New Roman" w:eastAsia="Malgun Gothic" w:hAnsi="Times New Roman" w:cs="Times New Roman"/>
          <w:sz w:val="24"/>
          <w:szCs w:val="24"/>
          <w:lang w:val="en-GB"/>
        </w:rPr>
        <w:t xml:space="preserve"> </w:t>
      </w:r>
      <w:r>
        <w:rPr>
          <w:rFonts w:ascii="Times New Roman" w:eastAsia="Malgun Gothic" w:hAnsi="Times New Roman" w:cs="Times New Roman"/>
          <w:sz w:val="24"/>
          <w:szCs w:val="24"/>
          <w:lang w:val="en-GB"/>
        </w:rPr>
        <w:t>RENFLEXIS also contains</w:t>
      </w:r>
      <w:r w:rsidRPr="0025669D">
        <w:rPr>
          <w:rFonts w:ascii="Times New Roman" w:eastAsia="Malgun Gothic" w:hAnsi="Times New Roman" w:cs="Times New Roman"/>
          <w:sz w:val="24"/>
          <w:szCs w:val="24"/>
          <w:lang w:val="en-GB"/>
        </w:rPr>
        <w:t xml:space="preserve"> sucrose, </w:t>
      </w:r>
      <w:proofErr w:type="spellStart"/>
      <w:r w:rsidRPr="0025669D">
        <w:rPr>
          <w:rFonts w:ascii="Times New Roman" w:eastAsia="Malgun Gothic" w:hAnsi="Times New Roman" w:cs="Times New Roman"/>
          <w:sz w:val="24"/>
          <w:szCs w:val="24"/>
          <w:lang w:val="en-GB"/>
        </w:rPr>
        <w:t>polysorbate</w:t>
      </w:r>
      <w:proofErr w:type="spellEnd"/>
      <w:r w:rsidRPr="0025669D">
        <w:rPr>
          <w:rFonts w:ascii="Times New Roman" w:eastAsia="Malgun Gothic" w:hAnsi="Times New Roman" w:cs="Times New Roman"/>
          <w:sz w:val="24"/>
          <w:szCs w:val="24"/>
          <w:lang w:val="en-GB"/>
        </w:rPr>
        <w:t xml:space="preserve"> 80, monobasic sodium phosphate monohydrate and dibasic sodium phosphate </w:t>
      </w:r>
      <w:r>
        <w:rPr>
          <w:rFonts w:ascii="Times New Roman" w:eastAsia="Malgun Gothic" w:hAnsi="Times New Roman" w:cs="Times New Roman"/>
          <w:sz w:val="24"/>
          <w:szCs w:val="24"/>
          <w:lang w:val="en-GB"/>
        </w:rPr>
        <w:t>(</w:t>
      </w:r>
      <w:proofErr w:type="spellStart"/>
      <w:r w:rsidRPr="0025669D">
        <w:rPr>
          <w:rFonts w:ascii="Times New Roman" w:eastAsia="Malgun Gothic" w:hAnsi="Times New Roman" w:cs="Times New Roman"/>
          <w:sz w:val="24"/>
          <w:szCs w:val="24"/>
          <w:lang w:val="en-GB"/>
        </w:rPr>
        <w:t>heptahydrate</w:t>
      </w:r>
      <w:proofErr w:type="spellEnd"/>
      <w:r>
        <w:rPr>
          <w:rFonts w:ascii="Times New Roman" w:eastAsia="Malgun Gothic" w:hAnsi="Times New Roman" w:cs="Times New Roman"/>
          <w:sz w:val="24"/>
          <w:szCs w:val="24"/>
          <w:lang w:val="en-GB"/>
        </w:rPr>
        <w:t>)</w:t>
      </w:r>
      <w:r w:rsidRPr="0025669D">
        <w:rPr>
          <w:rFonts w:ascii="Times New Roman" w:eastAsia="Malgun Gothic" w:hAnsi="Times New Roman" w:cs="Times New Roman"/>
          <w:sz w:val="24"/>
          <w:szCs w:val="24"/>
          <w:lang w:val="en-GB"/>
        </w:rPr>
        <w:t>.</w:t>
      </w:r>
    </w:p>
    <w:p w14:paraId="0FB36E6F" w14:textId="77777777" w:rsidR="004163DA" w:rsidRPr="0025669D" w:rsidRDefault="004163DA" w:rsidP="007947DB">
      <w:pPr>
        <w:spacing w:line="240" w:lineRule="auto"/>
        <w:jc w:val="left"/>
        <w:rPr>
          <w:rFonts w:ascii="Times New Roman" w:eastAsia="Malgun Gothic" w:hAnsi="Times New Roman" w:cs="Times New Roman"/>
          <w:sz w:val="24"/>
          <w:szCs w:val="24"/>
          <w:lang w:val="en-GB"/>
        </w:rPr>
      </w:pPr>
    </w:p>
    <w:p w14:paraId="0D986CCF" w14:textId="77777777" w:rsidR="004A10AE" w:rsidRPr="0025669D" w:rsidRDefault="004A10AE" w:rsidP="007947DB">
      <w:pPr>
        <w:pStyle w:val="Heading1"/>
        <w:spacing w:after="240" w:line="240" w:lineRule="auto"/>
        <w:ind w:left="425" w:hanging="425"/>
        <w:rPr>
          <w:rFonts w:eastAsia="Malgun Gothic"/>
          <w:sz w:val="28"/>
          <w:lang w:eastAsia="ko-KR"/>
        </w:rPr>
      </w:pPr>
      <w:r w:rsidRPr="0025669D">
        <w:rPr>
          <w:rFonts w:eastAsia="Malgun Gothic"/>
          <w:sz w:val="28"/>
          <w:lang w:eastAsia="ko-KR"/>
        </w:rPr>
        <w:t>PHARMACOLOGY</w:t>
      </w:r>
    </w:p>
    <w:p w14:paraId="2B9305AF" w14:textId="77777777" w:rsidR="004A10AE" w:rsidRPr="00BB4D64" w:rsidRDefault="004A10AE" w:rsidP="007947DB">
      <w:pPr>
        <w:pStyle w:val="Heading2"/>
        <w:tabs>
          <w:tab w:val="num" w:pos="1418"/>
        </w:tabs>
        <w:spacing w:before="0" w:after="0"/>
        <w:ind w:left="1702" w:hangingChars="709" w:hanging="1702"/>
        <w:rPr>
          <w:rFonts w:eastAsia="Malgun Gothic" w:cs="Times New Roman"/>
          <w:szCs w:val="24"/>
          <w:u w:val="single"/>
          <w:lang w:eastAsia="ko-KR"/>
        </w:rPr>
      </w:pPr>
      <w:r w:rsidRPr="00BB4D64">
        <w:rPr>
          <w:rFonts w:eastAsia="Malgun Gothic" w:cs="Times New Roman" w:hint="eastAsia"/>
          <w:szCs w:val="24"/>
          <w:u w:val="single"/>
          <w:lang w:eastAsia="ko-KR"/>
        </w:rPr>
        <w:t xml:space="preserve">Mechanism of </w:t>
      </w:r>
      <w:r w:rsidRPr="00BB4D64">
        <w:rPr>
          <w:rFonts w:eastAsia="Malgun Gothic" w:cs="Times New Roman"/>
          <w:szCs w:val="24"/>
          <w:u w:val="single"/>
          <w:lang w:eastAsia="ko-KR"/>
        </w:rPr>
        <w:t>Actions</w:t>
      </w:r>
    </w:p>
    <w:p w14:paraId="424DE52A" w14:textId="77777777" w:rsidR="004A10AE" w:rsidRPr="00BB4D64" w:rsidRDefault="004A10AE" w:rsidP="007947DB">
      <w:pPr>
        <w:spacing w:line="240" w:lineRule="auto"/>
        <w:jc w:val="left"/>
        <w:rPr>
          <w:rFonts w:ascii="Times New Roman" w:eastAsia="Malgun Gothic" w:hAnsi="Times New Roman" w:cs="Times New Roman"/>
          <w:sz w:val="24"/>
          <w:szCs w:val="24"/>
        </w:rPr>
      </w:pPr>
      <w:r w:rsidRPr="00BB4D64">
        <w:rPr>
          <w:rFonts w:ascii="Times New Roman" w:eastAsia="Malgun Gothic" w:hAnsi="Times New Roman" w:cs="Times New Roman"/>
          <w:sz w:val="24"/>
          <w:szCs w:val="24"/>
        </w:rPr>
        <w:t xml:space="preserve">Infliximab is a chimeric human-murine monoclonal antibody that binds to human </w:t>
      </w:r>
      <w:proofErr w:type="spellStart"/>
      <w:r w:rsidRPr="00BB4D64">
        <w:rPr>
          <w:rFonts w:ascii="Times New Roman" w:eastAsia="Malgun Gothic" w:hAnsi="Times New Roman" w:cs="Times New Roman"/>
          <w:sz w:val="24"/>
          <w:szCs w:val="24"/>
        </w:rPr>
        <w:t>tumour</w:t>
      </w:r>
      <w:proofErr w:type="spellEnd"/>
      <w:r w:rsidRPr="00BB4D64">
        <w:rPr>
          <w:rFonts w:ascii="Times New Roman" w:eastAsia="Malgun Gothic" w:hAnsi="Times New Roman" w:cs="Times New Roman"/>
          <w:sz w:val="24"/>
          <w:szCs w:val="24"/>
        </w:rPr>
        <w:t xml:space="preserve"> necrosis factor alpha (TNFα). TNFα is a pro-inflammatory and </w:t>
      </w:r>
      <w:proofErr w:type="spellStart"/>
      <w:r w:rsidRPr="00BB4D64">
        <w:rPr>
          <w:rFonts w:ascii="Times New Roman" w:eastAsia="Malgun Gothic" w:hAnsi="Times New Roman" w:cs="Times New Roman"/>
          <w:sz w:val="24"/>
          <w:szCs w:val="24"/>
        </w:rPr>
        <w:t>immunoregulatory</w:t>
      </w:r>
      <w:proofErr w:type="spellEnd"/>
      <w:r w:rsidRPr="00BB4D64">
        <w:rPr>
          <w:rFonts w:ascii="Times New Roman" w:eastAsia="Malgun Gothic" w:hAnsi="Times New Roman" w:cs="Times New Roman"/>
          <w:sz w:val="24"/>
          <w:szCs w:val="24"/>
        </w:rPr>
        <w:t xml:space="preserve"> cytokine that, when overexpressed, mediates chronic inflammation in diseases such as Crohn’s disease and rheumatoid arthritis. Cellular responses to TNFα include:</w:t>
      </w:r>
    </w:p>
    <w:p w14:paraId="415D46E3" w14:textId="77777777" w:rsidR="004A10AE" w:rsidRPr="00BB4D64" w:rsidRDefault="004A10AE" w:rsidP="007947DB">
      <w:pPr>
        <w:pStyle w:val="ListParagraph"/>
        <w:numPr>
          <w:ilvl w:val="0"/>
          <w:numId w:val="19"/>
        </w:numPr>
        <w:spacing w:line="240" w:lineRule="auto"/>
        <w:ind w:leftChars="0"/>
        <w:jc w:val="left"/>
        <w:rPr>
          <w:rFonts w:ascii="Times New Roman" w:eastAsia="Malgun Gothic" w:hAnsi="Times New Roman" w:cs="Times New Roman"/>
          <w:sz w:val="24"/>
          <w:szCs w:val="24"/>
        </w:rPr>
      </w:pPr>
      <w:r w:rsidRPr="00BB4D64">
        <w:rPr>
          <w:rFonts w:ascii="Times New Roman" w:eastAsia="Malgun Gothic" w:hAnsi="Times New Roman" w:cs="Times New Roman"/>
          <w:sz w:val="24"/>
          <w:szCs w:val="24"/>
        </w:rPr>
        <w:t>up-regulation of other pro-inflammatory cytokines such as interleukin (IL) 1 and IL</w:t>
      </w:r>
      <w:r>
        <w:rPr>
          <w:rFonts w:ascii="Times New Roman" w:eastAsia="Malgun Gothic" w:hAnsi="Times New Roman" w:cs="Times New Roman" w:hint="eastAsia"/>
          <w:sz w:val="24"/>
          <w:szCs w:val="24"/>
        </w:rPr>
        <w:noBreakHyphen/>
      </w:r>
      <w:r w:rsidRPr="00BB4D64">
        <w:rPr>
          <w:rFonts w:ascii="Times New Roman" w:eastAsia="Malgun Gothic" w:hAnsi="Times New Roman" w:cs="Times New Roman"/>
          <w:sz w:val="24"/>
          <w:szCs w:val="24"/>
        </w:rPr>
        <w:t xml:space="preserve">12 </w:t>
      </w:r>
    </w:p>
    <w:p w14:paraId="32754902" w14:textId="77777777" w:rsidR="004A10AE" w:rsidRPr="00BB4D64" w:rsidRDefault="004A10AE" w:rsidP="007947DB">
      <w:pPr>
        <w:pStyle w:val="ListParagraph"/>
        <w:numPr>
          <w:ilvl w:val="0"/>
          <w:numId w:val="19"/>
        </w:numPr>
        <w:spacing w:line="240" w:lineRule="auto"/>
        <w:ind w:leftChars="0"/>
        <w:jc w:val="left"/>
        <w:rPr>
          <w:rFonts w:ascii="Times New Roman" w:eastAsia="Malgun Gothic" w:hAnsi="Times New Roman" w:cs="Times New Roman"/>
          <w:sz w:val="24"/>
          <w:szCs w:val="24"/>
        </w:rPr>
      </w:pPr>
      <w:r w:rsidRPr="00BB4D64">
        <w:rPr>
          <w:rFonts w:ascii="Times New Roman" w:eastAsia="Malgun Gothic" w:hAnsi="Times New Roman" w:cs="Times New Roman"/>
          <w:sz w:val="24"/>
          <w:szCs w:val="24"/>
        </w:rPr>
        <w:t xml:space="preserve">up-regulation of chemokines such as IL-8 </w:t>
      </w:r>
    </w:p>
    <w:p w14:paraId="587EA3B2" w14:textId="77777777" w:rsidR="004A10AE" w:rsidRPr="00BB4D64" w:rsidRDefault="004A10AE" w:rsidP="007947DB">
      <w:pPr>
        <w:pStyle w:val="ListParagraph"/>
        <w:numPr>
          <w:ilvl w:val="0"/>
          <w:numId w:val="19"/>
        </w:numPr>
        <w:spacing w:line="240" w:lineRule="auto"/>
        <w:ind w:leftChars="0"/>
        <w:jc w:val="left"/>
        <w:rPr>
          <w:rFonts w:ascii="Times New Roman" w:eastAsia="Malgun Gothic" w:hAnsi="Times New Roman" w:cs="Times New Roman"/>
          <w:sz w:val="24"/>
          <w:szCs w:val="24"/>
        </w:rPr>
      </w:pPr>
      <w:r w:rsidRPr="00BB4D64">
        <w:rPr>
          <w:rFonts w:ascii="Times New Roman" w:eastAsia="Malgun Gothic" w:hAnsi="Times New Roman" w:cs="Times New Roman"/>
          <w:sz w:val="24"/>
          <w:szCs w:val="24"/>
        </w:rPr>
        <w:t xml:space="preserve">priming and activation of neutrophils </w:t>
      </w:r>
    </w:p>
    <w:p w14:paraId="0D5AD8EE" w14:textId="77777777" w:rsidR="004A10AE" w:rsidRPr="00BB4D64" w:rsidRDefault="004A10AE" w:rsidP="007947DB">
      <w:pPr>
        <w:pStyle w:val="ListParagraph"/>
        <w:numPr>
          <w:ilvl w:val="0"/>
          <w:numId w:val="19"/>
        </w:numPr>
        <w:spacing w:line="240" w:lineRule="auto"/>
        <w:ind w:leftChars="0"/>
        <w:jc w:val="left"/>
        <w:rPr>
          <w:rFonts w:ascii="Times New Roman" w:eastAsia="Malgun Gothic" w:hAnsi="Times New Roman" w:cs="Times New Roman"/>
          <w:sz w:val="24"/>
          <w:szCs w:val="24"/>
        </w:rPr>
      </w:pPr>
      <w:r w:rsidRPr="00BB4D64">
        <w:rPr>
          <w:rFonts w:ascii="Times New Roman" w:eastAsia="Malgun Gothic" w:hAnsi="Times New Roman" w:cs="Times New Roman"/>
          <w:sz w:val="24"/>
          <w:szCs w:val="24"/>
        </w:rPr>
        <w:t xml:space="preserve">up-regulation of adhesion molecules and tissue factor by endothelial cells </w:t>
      </w:r>
    </w:p>
    <w:p w14:paraId="7140E033" w14:textId="77777777" w:rsidR="004A10AE" w:rsidRPr="00BB4D64" w:rsidRDefault="004A10AE" w:rsidP="007947DB">
      <w:pPr>
        <w:pStyle w:val="ListParagraph"/>
        <w:numPr>
          <w:ilvl w:val="0"/>
          <w:numId w:val="19"/>
        </w:numPr>
        <w:spacing w:line="240" w:lineRule="auto"/>
        <w:ind w:leftChars="0"/>
        <w:jc w:val="left"/>
      </w:pPr>
      <w:proofErr w:type="gramStart"/>
      <w:r w:rsidRPr="00BB4D64">
        <w:rPr>
          <w:rFonts w:ascii="Times New Roman" w:eastAsia="Malgun Gothic" w:hAnsi="Times New Roman" w:cs="Times New Roman"/>
          <w:sz w:val="24"/>
          <w:szCs w:val="24"/>
        </w:rPr>
        <w:t>induction</w:t>
      </w:r>
      <w:proofErr w:type="gramEnd"/>
      <w:r w:rsidRPr="00BB4D64">
        <w:rPr>
          <w:rFonts w:ascii="Times New Roman" w:eastAsia="Malgun Gothic" w:hAnsi="Times New Roman" w:cs="Times New Roman"/>
          <w:sz w:val="24"/>
          <w:szCs w:val="24"/>
        </w:rPr>
        <w:t xml:space="preserve"> of proliferation and increased synthesis of IL-6 and metalloproteinases by fibroblasts. </w:t>
      </w:r>
    </w:p>
    <w:p w14:paraId="60E5F824" w14:textId="62877C1F" w:rsidR="004A10AE" w:rsidRPr="0025669D" w:rsidRDefault="004A10AE" w:rsidP="007947DB">
      <w:pPr>
        <w:spacing w:line="240" w:lineRule="auto"/>
        <w:jc w:val="left"/>
        <w:rPr>
          <w:rFonts w:ascii="Times New Roman" w:eastAsia="Malgun Gothic" w:hAnsi="Times New Roman" w:cs="Times New Roman"/>
          <w:sz w:val="24"/>
          <w:szCs w:val="24"/>
        </w:rPr>
      </w:pPr>
      <w:r w:rsidRPr="0025669D">
        <w:rPr>
          <w:rFonts w:ascii="Times New Roman" w:eastAsia="Malgun Gothic" w:hAnsi="Times New Roman" w:cs="Times New Roman"/>
          <w:sz w:val="24"/>
          <w:szCs w:val="24"/>
        </w:rPr>
        <w:lastRenderedPageBreak/>
        <w:t>Infliximab is a chimeric IgG</w:t>
      </w:r>
      <w:r w:rsidRPr="00BB4D64">
        <w:rPr>
          <w:rFonts w:ascii="Times New Roman" w:eastAsia="Malgun Gothic" w:hAnsi="Times New Roman" w:cs="Times New Roman"/>
          <w:sz w:val="24"/>
          <w:szCs w:val="24"/>
        </w:rPr>
        <w:t>1</w:t>
      </w:r>
      <w:r w:rsidRPr="0025669D">
        <w:rPr>
          <w:rFonts w:ascii="Times New Roman" w:eastAsia="Malgun Gothic" w:hAnsi="Times New Roman" w:cs="Times New Roman"/>
          <w:sz w:val="24"/>
          <w:szCs w:val="24"/>
        </w:rPr>
        <w:t xml:space="preserve"> monoclonal antibody composed of human constant and murine variable regions, having an approximate molecular weight of 149,100 </w:t>
      </w:r>
      <w:proofErr w:type="spellStart"/>
      <w:r w:rsidRPr="0025669D">
        <w:rPr>
          <w:rFonts w:ascii="Times New Roman" w:eastAsia="Malgun Gothic" w:hAnsi="Times New Roman" w:cs="Times New Roman"/>
          <w:sz w:val="24"/>
          <w:szCs w:val="24"/>
        </w:rPr>
        <w:t>daltons</w:t>
      </w:r>
      <w:proofErr w:type="spellEnd"/>
      <w:r w:rsidRPr="0025669D">
        <w:rPr>
          <w:rFonts w:ascii="Times New Roman" w:eastAsia="Malgun Gothic" w:hAnsi="Times New Roman" w:cs="Times New Roman"/>
          <w:sz w:val="24"/>
          <w:szCs w:val="24"/>
        </w:rPr>
        <w:t xml:space="preserve">. </w:t>
      </w:r>
      <w:r w:rsidR="00E53430">
        <w:rPr>
          <w:rFonts w:ascii="Times New Roman" w:eastAsia="Malgun Gothic" w:hAnsi="Times New Roman" w:cs="Times New Roman" w:hint="eastAsia"/>
          <w:sz w:val="24"/>
          <w:szCs w:val="24"/>
        </w:rPr>
        <w:t>RENFLEXIS</w:t>
      </w:r>
      <w:r w:rsidRPr="0025669D">
        <w:rPr>
          <w:rFonts w:ascii="Times New Roman" w:eastAsia="Malgun Gothic" w:hAnsi="Times New Roman" w:cs="Times New Roman"/>
          <w:sz w:val="24"/>
          <w:szCs w:val="24"/>
        </w:rPr>
        <w:t xml:space="preserve"> is produced by recombinant cell line culture and it is purified by a series of steps that includes measures to inactivate and remove viruses. </w:t>
      </w:r>
    </w:p>
    <w:p w14:paraId="716D6168" w14:textId="77777777" w:rsidR="004A10AE" w:rsidRPr="0025669D" w:rsidRDefault="004A10AE" w:rsidP="007947DB">
      <w:pPr>
        <w:spacing w:line="240" w:lineRule="auto"/>
        <w:jc w:val="left"/>
        <w:rPr>
          <w:rFonts w:ascii="Times New Roman" w:eastAsia="Malgun Gothic" w:hAnsi="Times New Roman" w:cs="Times New Roman"/>
          <w:sz w:val="24"/>
          <w:szCs w:val="24"/>
        </w:rPr>
      </w:pPr>
      <w:r w:rsidRPr="0025669D">
        <w:rPr>
          <w:rFonts w:ascii="Times New Roman" w:eastAsia="Malgun Gothic" w:hAnsi="Times New Roman" w:cs="Times New Roman"/>
          <w:sz w:val="24"/>
          <w:szCs w:val="24"/>
        </w:rPr>
        <w:t xml:space="preserve">Infliximab </w:t>
      </w:r>
      <w:proofErr w:type="spellStart"/>
      <w:r w:rsidRPr="0025669D">
        <w:rPr>
          <w:rFonts w:ascii="Times New Roman" w:eastAsia="Malgun Gothic" w:hAnsi="Times New Roman" w:cs="Times New Roman"/>
          <w:sz w:val="24"/>
          <w:szCs w:val="24"/>
        </w:rPr>
        <w:t>neutralises</w:t>
      </w:r>
      <w:proofErr w:type="spellEnd"/>
      <w:r w:rsidRPr="0025669D">
        <w:rPr>
          <w:rFonts w:ascii="Times New Roman" w:eastAsia="Malgun Gothic" w:hAnsi="Times New Roman" w:cs="Times New Roman"/>
          <w:sz w:val="24"/>
          <w:szCs w:val="24"/>
        </w:rPr>
        <w:t xml:space="preserve"> the biological activity of </w:t>
      </w:r>
      <w:r>
        <w:rPr>
          <w:rFonts w:ascii="Times New Roman" w:eastAsia="Malgun Gothic" w:hAnsi="Times New Roman" w:cs="Times New Roman"/>
          <w:sz w:val="24"/>
          <w:szCs w:val="24"/>
        </w:rPr>
        <w:t xml:space="preserve">TNFα </w:t>
      </w:r>
      <w:r w:rsidRPr="0025669D">
        <w:rPr>
          <w:rFonts w:ascii="Times New Roman" w:eastAsia="Malgun Gothic" w:hAnsi="Times New Roman" w:cs="Times New Roman"/>
          <w:sz w:val="24"/>
          <w:szCs w:val="24"/>
        </w:rPr>
        <w:t xml:space="preserve">by binding with high affinity to the soluble and transmembrane forms of </w:t>
      </w:r>
      <w:r>
        <w:rPr>
          <w:rFonts w:ascii="Times New Roman" w:eastAsia="Malgun Gothic" w:hAnsi="Times New Roman" w:cs="Times New Roman"/>
          <w:sz w:val="24"/>
          <w:szCs w:val="24"/>
        </w:rPr>
        <w:t xml:space="preserve">TNFα </w:t>
      </w:r>
      <w:r w:rsidRPr="0025669D">
        <w:rPr>
          <w:rFonts w:ascii="Times New Roman" w:eastAsia="Malgun Gothic" w:hAnsi="Times New Roman" w:cs="Times New Roman"/>
          <w:sz w:val="24"/>
          <w:szCs w:val="24"/>
        </w:rPr>
        <w:t xml:space="preserve">and inhibits binding of </w:t>
      </w:r>
      <w:r>
        <w:rPr>
          <w:rFonts w:ascii="Times New Roman" w:eastAsia="Malgun Gothic" w:hAnsi="Times New Roman" w:cs="Times New Roman"/>
          <w:sz w:val="24"/>
          <w:szCs w:val="24"/>
        </w:rPr>
        <w:t xml:space="preserve">TNFα </w:t>
      </w:r>
      <w:r w:rsidRPr="0025669D">
        <w:rPr>
          <w:rFonts w:ascii="Times New Roman" w:eastAsia="Malgun Gothic" w:hAnsi="Times New Roman" w:cs="Times New Roman"/>
          <w:sz w:val="24"/>
          <w:szCs w:val="24"/>
        </w:rPr>
        <w:t xml:space="preserve">with its receptors. Infliximab does not </w:t>
      </w:r>
      <w:proofErr w:type="spellStart"/>
      <w:r w:rsidRPr="0025669D">
        <w:rPr>
          <w:rFonts w:ascii="Times New Roman" w:eastAsia="Malgun Gothic" w:hAnsi="Times New Roman" w:cs="Times New Roman"/>
          <w:sz w:val="24"/>
          <w:szCs w:val="24"/>
        </w:rPr>
        <w:t>neutralise</w:t>
      </w:r>
      <w:proofErr w:type="spellEnd"/>
      <w:r w:rsidRPr="0025669D">
        <w:rPr>
          <w:rFonts w:ascii="Times New Roman" w:eastAsia="Malgun Gothic" w:hAnsi="Times New Roman" w:cs="Times New Roman"/>
          <w:sz w:val="24"/>
          <w:szCs w:val="24"/>
        </w:rPr>
        <w:t xml:space="preserve"> TNFβ (</w:t>
      </w:r>
      <w:proofErr w:type="spellStart"/>
      <w:r w:rsidRPr="0025669D">
        <w:rPr>
          <w:rFonts w:ascii="Times New Roman" w:eastAsia="Malgun Gothic" w:hAnsi="Times New Roman" w:cs="Times New Roman"/>
          <w:sz w:val="24"/>
          <w:szCs w:val="24"/>
        </w:rPr>
        <w:t>lymphotoxin</w:t>
      </w:r>
      <w:proofErr w:type="spellEnd"/>
      <w:r w:rsidRPr="0025669D">
        <w:rPr>
          <w:rFonts w:ascii="Times New Roman" w:eastAsia="Malgun Gothic" w:hAnsi="Times New Roman" w:cs="Times New Roman"/>
          <w:sz w:val="24"/>
          <w:szCs w:val="24"/>
        </w:rPr>
        <w:t xml:space="preserve"> α), a related cytokine that </w:t>
      </w:r>
      <w:proofErr w:type="spellStart"/>
      <w:r w:rsidRPr="0025669D">
        <w:rPr>
          <w:rFonts w:ascii="Times New Roman" w:eastAsia="Malgun Gothic" w:hAnsi="Times New Roman" w:cs="Times New Roman"/>
          <w:sz w:val="24"/>
          <w:szCs w:val="24"/>
        </w:rPr>
        <w:t>utilises</w:t>
      </w:r>
      <w:proofErr w:type="spellEnd"/>
      <w:r w:rsidRPr="0025669D">
        <w:rPr>
          <w:rFonts w:ascii="Times New Roman" w:eastAsia="Malgun Gothic" w:hAnsi="Times New Roman" w:cs="Times New Roman"/>
          <w:sz w:val="24"/>
          <w:szCs w:val="24"/>
        </w:rPr>
        <w:t xml:space="preserve"> the same receptors as </w:t>
      </w:r>
      <w:r>
        <w:rPr>
          <w:rFonts w:ascii="Times New Roman" w:eastAsia="Malgun Gothic" w:hAnsi="Times New Roman" w:cs="Times New Roman"/>
          <w:sz w:val="24"/>
          <w:szCs w:val="24"/>
        </w:rPr>
        <w:t>TNF</w:t>
      </w:r>
      <w:r w:rsidRPr="0025669D">
        <w:rPr>
          <w:rFonts w:ascii="Times New Roman" w:eastAsia="Malgun Gothic" w:hAnsi="Times New Roman" w:cs="Times New Roman"/>
          <w:sz w:val="24"/>
          <w:szCs w:val="24"/>
        </w:rPr>
        <w:t xml:space="preserve">α. Biological activities attributed to </w:t>
      </w:r>
      <w:r>
        <w:rPr>
          <w:rFonts w:ascii="Times New Roman" w:eastAsia="Malgun Gothic" w:hAnsi="Times New Roman" w:cs="Times New Roman"/>
          <w:sz w:val="24"/>
          <w:szCs w:val="24"/>
        </w:rPr>
        <w:t xml:space="preserve">TNFα </w:t>
      </w:r>
      <w:r w:rsidRPr="0025669D">
        <w:rPr>
          <w:rFonts w:ascii="Times New Roman" w:eastAsia="Malgun Gothic" w:hAnsi="Times New Roman" w:cs="Times New Roman"/>
          <w:sz w:val="24"/>
          <w:szCs w:val="24"/>
        </w:rPr>
        <w:t xml:space="preserve">include: induction of pro-inflammatory cytokines such as IL-1 and IL-6, enhancement of leukocyte migration by increasing endothelial layer permeability and expression of adhesion molecules by endothelial cells and leukocytes, activation of neutrophil and eosinophil functional activity and induction of acute phase and other liver proteins. Cells expressing transmembrane </w:t>
      </w:r>
      <w:r>
        <w:rPr>
          <w:rFonts w:ascii="Times New Roman" w:eastAsia="Malgun Gothic" w:hAnsi="Times New Roman" w:cs="Times New Roman"/>
          <w:sz w:val="24"/>
          <w:szCs w:val="24"/>
        </w:rPr>
        <w:t xml:space="preserve">TNFα </w:t>
      </w:r>
      <w:r w:rsidRPr="0025669D">
        <w:rPr>
          <w:rFonts w:ascii="Times New Roman" w:eastAsia="Malgun Gothic" w:hAnsi="Times New Roman" w:cs="Times New Roman"/>
          <w:sz w:val="24"/>
          <w:szCs w:val="24"/>
        </w:rPr>
        <w:t xml:space="preserve">bound by infliximab can be lysed </w:t>
      </w:r>
      <w:r w:rsidRPr="00BB4D64">
        <w:rPr>
          <w:rFonts w:ascii="Times New Roman" w:eastAsia="Malgun Gothic" w:hAnsi="Times New Roman" w:cs="Times New Roman"/>
          <w:sz w:val="24"/>
          <w:szCs w:val="24"/>
        </w:rPr>
        <w:t xml:space="preserve">in vitro by complement or effector cells. Infliximab inhibits the functional activity of TNFα in a wide variety of in vitro bioassays </w:t>
      </w:r>
      <w:proofErr w:type="spellStart"/>
      <w:r w:rsidRPr="00BB4D64">
        <w:rPr>
          <w:rFonts w:ascii="Times New Roman" w:eastAsia="Malgun Gothic" w:hAnsi="Times New Roman" w:cs="Times New Roman"/>
          <w:sz w:val="24"/>
          <w:szCs w:val="24"/>
        </w:rPr>
        <w:t>utilising</w:t>
      </w:r>
      <w:proofErr w:type="spellEnd"/>
      <w:r w:rsidRPr="00BB4D64">
        <w:rPr>
          <w:rFonts w:ascii="Times New Roman" w:eastAsia="Malgun Gothic" w:hAnsi="Times New Roman" w:cs="Times New Roman"/>
          <w:sz w:val="24"/>
          <w:szCs w:val="24"/>
        </w:rPr>
        <w:t xml:space="preserve"> human fibroblasts, endothelial cells, neutrophils, B and T lymphocytes and epithelial cells.</w:t>
      </w:r>
    </w:p>
    <w:p w14:paraId="0C3EB4F1" w14:textId="77777777" w:rsidR="004A10AE" w:rsidRPr="0035249D" w:rsidRDefault="004A10AE" w:rsidP="007947DB">
      <w:pPr>
        <w:pStyle w:val="Heading2"/>
        <w:tabs>
          <w:tab w:val="num" w:pos="1418"/>
        </w:tabs>
        <w:spacing w:before="0" w:after="0"/>
        <w:ind w:left="1702" w:hangingChars="709" w:hanging="1702"/>
        <w:rPr>
          <w:rFonts w:eastAsia="Malgun Gothic" w:cs="Times New Roman"/>
          <w:szCs w:val="24"/>
          <w:u w:val="single"/>
          <w:lang w:eastAsia="ko-KR"/>
        </w:rPr>
      </w:pPr>
      <w:r w:rsidRPr="0035249D">
        <w:rPr>
          <w:rFonts w:eastAsia="Malgun Gothic" w:cs="Times New Roman"/>
          <w:szCs w:val="24"/>
          <w:u w:val="single"/>
          <w:lang w:eastAsia="ko-KR"/>
        </w:rPr>
        <w:t>Pharmacodynamics</w:t>
      </w:r>
    </w:p>
    <w:p w14:paraId="5CB03314" w14:textId="77777777" w:rsidR="004A10AE" w:rsidRPr="0025669D" w:rsidRDefault="004A10AE" w:rsidP="007947DB">
      <w:pPr>
        <w:spacing w:after="0" w:line="240" w:lineRule="auto"/>
        <w:jc w:val="left"/>
        <w:rPr>
          <w:rFonts w:ascii="Times New Roman" w:eastAsia="Malgun Gothic" w:hAnsi="Times New Roman" w:cs="Times New Roman"/>
          <w:sz w:val="24"/>
          <w:szCs w:val="24"/>
        </w:rPr>
      </w:pPr>
      <w:r w:rsidRPr="0025669D">
        <w:rPr>
          <w:rFonts w:ascii="Times New Roman" w:eastAsia="Malgun Gothic" w:hAnsi="Times New Roman" w:cs="Times New Roman"/>
          <w:sz w:val="24"/>
          <w:szCs w:val="24"/>
        </w:rPr>
        <w:t xml:space="preserve">Elevated concentrations of </w:t>
      </w:r>
      <w:r>
        <w:rPr>
          <w:rFonts w:ascii="Times New Roman" w:eastAsia="Malgun Gothic" w:hAnsi="Times New Roman" w:cs="Times New Roman"/>
          <w:sz w:val="24"/>
          <w:szCs w:val="24"/>
        </w:rPr>
        <w:t xml:space="preserve">TNFα </w:t>
      </w:r>
      <w:r w:rsidRPr="0025669D">
        <w:rPr>
          <w:rFonts w:ascii="Times New Roman" w:eastAsia="Malgun Gothic" w:hAnsi="Times New Roman" w:cs="Times New Roman"/>
          <w:sz w:val="24"/>
          <w:szCs w:val="24"/>
        </w:rPr>
        <w:t>have been found in the s</w:t>
      </w:r>
      <w:r w:rsidRPr="0025669D">
        <w:rPr>
          <w:rFonts w:ascii="Times New Roman" w:eastAsia="Malgun Gothic" w:hAnsi="Times New Roman" w:cs="Times New Roman"/>
          <w:bCs/>
          <w:iCs/>
          <w:sz w:val="24"/>
          <w:szCs w:val="24"/>
        </w:rPr>
        <w:t>era and stools of adult Crohn’s</w:t>
      </w:r>
      <w:r w:rsidRPr="0025669D">
        <w:rPr>
          <w:rFonts w:ascii="Times New Roman" w:eastAsia="Malgun Gothic" w:hAnsi="Times New Roman" w:cs="Times New Roman"/>
          <w:b/>
          <w:bCs/>
          <w:iCs/>
          <w:sz w:val="24"/>
          <w:szCs w:val="24"/>
        </w:rPr>
        <w:t xml:space="preserve"> </w:t>
      </w:r>
      <w:r w:rsidRPr="0025669D">
        <w:rPr>
          <w:rFonts w:ascii="Times New Roman" w:eastAsia="Malgun Gothic" w:hAnsi="Times New Roman" w:cs="Times New Roman"/>
          <w:sz w:val="24"/>
          <w:szCs w:val="24"/>
        </w:rPr>
        <w:t xml:space="preserve">disease patients and in the joints of rheumatoid arthritis patients and correlate with elevated disease activity. Increased concentrations of </w:t>
      </w:r>
      <w:r>
        <w:rPr>
          <w:rFonts w:ascii="Times New Roman" w:eastAsia="Malgun Gothic" w:hAnsi="Times New Roman" w:cs="Times New Roman"/>
          <w:sz w:val="24"/>
          <w:szCs w:val="24"/>
        </w:rPr>
        <w:t xml:space="preserve">TNFα </w:t>
      </w:r>
      <w:r w:rsidRPr="0025669D">
        <w:rPr>
          <w:rFonts w:ascii="Times New Roman" w:eastAsia="Malgun Gothic" w:hAnsi="Times New Roman" w:cs="Times New Roman"/>
          <w:sz w:val="24"/>
          <w:szCs w:val="24"/>
        </w:rPr>
        <w:t xml:space="preserve">have also been found in joint fluid/tissue and in psoriatic skin lesions in patients with psoriatic arthritis. In psoriatic arthritis, treatment with infliximab resulted in a reduction in the number of T-cells and blood vessels in the synovium and psoriatic skin as well as a reduction of macrophages in the synovium. In patients with Crohn's disease, treatment with infliximab reduced infiltration of inflammatory cells and </w:t>
      </w:r>
      <w:r>
        <w:rPr>
          <w:rFonts w:ascii="Times New Roman" w:eastAsia="Malgun Gothic" w:hAnsi="Times New Roman" w:cs="Times New Roman"/>
          <w:sz w:val="24"/>
          <w:szCs w:val="24"/>
        </w:rPr>
        <w:t xml:space="preserve">TNFα </w:t>
      </w:r>
      <w:r w:rsidRPr="0025669D">
        <w:rPr>
          <w:rFonts w:ascii="Times New Roman" w:eastAsia="Malgun Gothic" w:hAnsi="Times New Roman" w:cs="Times New Roman"/>
          <w:sz w:val="24"/>
          <w:szCs w:val="24"/>
        </w:rPr>
        <w:t xml:space="preserve">production in inflamed areas of the intestine; it also reduced the proportion of mononuclear cells from the lamina </w:t>
      </w:r>
      <w:proofErr w:type="spellStart"/>
      <w:r w:rsidRPr="0025669D">
        <w:rPr>
          <w:rFonts w:ascii="Times New Roman" w:eastAsia="Malgun Gothic" w:hAnsi="Times New Roman" w:cs="Times New Roman"/>
          <w:sz w:val="24"/>
          <w:szCs w:val="24"/>
        </w:rPr>
        <w:t>propria</w:t>
      </w:r>
      <w:proofErr w:type="spellEnd"/>
      <w:r w:rsidRPr="0025669D">
        <w:rPr>
          <w:rFonts w:ascii="Times New Roman" w:eastAsia="Malgun Gothic" w:hAnsi="Times New Roman" w:cs="Times New Roman"/>
          <w:sz w:val="24"/>
          <w:szCs w:val="24"/>
        </w:rPr>
        <w:t xml:space="preserve"> able to express </w:t>
      </w:r>
      <w:r>
        <w:rPr>
          <w:rFonts w:ascii="Times New Roman" w:eastAsia="Malgun Gothic" w:hAnsi="Times New Roman" w:cs="Times New Roman"/>
          <w:sz w:val="24"/>
          <w:szCs w:val="24"/>
        </w:rPr>
        <w:t xml:space="preserve">TNFα </w:t>
      </w:r>
      <w:r w:rsidRPr="0025669D">
        <w:rPr>
          <w:rFonts w:ascii="Times New Roman" w:eastAsia="Malgun Gothic" w:hAnsi="Times New Roman" w:cs="Times New Roman"/>
          <w:sz w:val="24"/>
          <w:szCs w:val="24"/>
        </w:rPr>
        <w:t xml:space="preserve">and interferon γ. In patients with rheumatoid arthritis, treatment with infliximab reduced infiltration of inflammatory cells into inflamed areas of the joint as well as expression of molecules mediating cellular adhesion, </w:t>
      </w:r>
      <w:proofErr w:type="spellStart"/>
      <w:r w:rsidRPr="0025669D">
        <w:rPr>
          <w:rFonts w:ascii="Times New Roman" w:eastAsia="Malgun Gothic" w:hAnsi="Times New Roman" w:cs="Times New Roman"/>
          <w:sz w:val="24"/>
          <w:szCs w:val="24"/>
        </w:rPr>
        <w:t>chemoattraction</w:t>
      </w:r>
      <w:proofErr w:type="spellEnd"/>
      <w:r w:rsidRPr="0025669D">
        <w:rPr>
          <w:rFonts w:ascii="Times New Roman" w:eastAsia="Malgun Gothic" w:hAnsi="Times New Roman" w:cs="Times New Roman"/>
          <w:sz w:val="24"/>
          <w:szCs w:val="24"/>
        </w:rPr>
        <w:t xml:space="preserve"> and tissue degradation. After treatment with infliximab, patients with rheumatoid arthritis or Crohn's disease exhibited decreased levels of serum IL-6 and C-reactive protein (CRP) compared to their baseline values. In patients with rheumatoid arthritis, peripheral blood lymphocytes further showed no significant decrease in number or in proliferative responses to </w:t>
      </w:r>
      <w:r w:rsidRPr="0025669D">
        <w:rPr>
          <w:rFonts w:ascii="Times New Roman" w:eastAsia="Malgun Gothic" w:hAnsi="Times New Roman" w:cs="Times New Roman"/>
          <w:i/>
          <w:sz w:val="24"/>
          <w:szCs w:val="24"/>
        </w:rPr>
        <w:t xml:space="preserve">in vitro </w:t>
      </w:r>
      <w:proofErr w:type="spellStart"/>
      <w:r w:rsidRPr="0025669D">
        <w:rPr>
          <w:rFonts w:ascii="Times New Roman" w:eastAsia="Malgun Gothic" w:hAnsi="Times New Roman" w:cs="Times New Roman"/>
          <w:sz w:val="24"/>
          <w:szCs w:val="24"/>
        </w:rPr>
        <w:t>mitogenic</w:t>
      </w:r>
      <w:proofErr w:type="spellEnd"/>
      <w:r w:rsidRPr="0025669D">
        <w:rPr>
          <w:rFonts w:ascii="Times New Roman" w:eastAsia="Malgun Gothic" w:hAnsi="Times New Roman" w:cs="Times New Roman"/>
          <w:sz w:val="24"/>
          <w:szCs w:val="24"/>
        </w:rPr>
        <w:t xml:space="preserve"> stimulation when compared to untreated patients’ cells. In psoriasis patients, treatment with infliximab resulted in decreases in epidermal inflammation and normalization of keratinocyte differentiation in psoriatic plaques. </w:t>
      </w:r>
    </w:p>
    <w:p w14:paraId="6EA46293" w14:textId="77777777" w:rsidR="004A10AE" w:rsidRPr="0025669D" w:rsidRDefault="004A10AE" w:rsidP="007947DB">
      <w:pPr>
        <w:pStyle w:val="Heading2"/>
        <w:spacing w:after="0"/>
        <w:rPr>
          <w:rFonts w:eastAsia="Malgun Gothic" w:cs="Times New Roman"/>
          <w:i/>
          <w:szCs w:val="24"/>
          <w:vertAlign w:val="superscript"/>
          <w:lang w:eastAsia="ko-KR"/>
        </w:rPr>
      </w:pPr>
      <w:r w:rsidRPr="0025669D">
        <w:rPr>
          <w:rFonts w:eastAsia="Malgun Gothic" w:cs="Times New Roman"/>
          <w:i/>
          <w:szCs w:val="24"/>
        </w:rPr>
        <w:t xml:space="preserve">Comparability of </w:t>
      </w:r>
      <w:r>
        <w:rPr>
          <w:rFonts w:eastAsia="Malgun Gothic" w:cs="Times New Roman"/>
          <w:i/>
          <w:szCs w:val="24"/>
        </w:rPr>
        <w:t>RENFLEXIS</w:t>
      </w:r>
      <w:r w:rsidRPr="0025669D">
        <w:rPr>
          <w:rFonts w:eastAsia="Malgun Gothic" w:cs="Times New Roman"/>
          <w:i/>
          <w:szCs w:val="24"/>
        </w:rPr>
        <w:t xml:space="preserve"> with </w:t>
      </w:r>
      <w:proofErr w:type="spellStart"/>
      <w:r w:rsidRPr="0025669D">
        <w:rPr>
          <w:rFonts w:eastAsia="Malgun Gothic" w:cs="Times New Roman"/>
          <w:i/>
          <w:szCs w:val="24"/>
        </w:rPr>
        <w:t>Remicade</w:t>
      </w:r>
      <w:proofErr w:type="spellEnd"/>
      <w:r w:rsidRPr="0025669D">
        <w:rPr>
          <w:rFonts w:eastAsia="Malgun Gothic" w:cs="Times New Roman"/>
          <w:i/>
          <w:szCs w:val="24"/>
          <w:vertAlign w:val="superscript"/>
        </w:rPr>
        <w:t>®</w:t>
      </w:r>
    </w:p>
    <w:p w14:paraId="33669937" w14:textId="77777777" w:rsidR="004A10AE" w:rsidRPr="0025669D" w:rsidRDefault="004A10AE" w:rsidP="007947DB">
      <w:pPr>
        <w:spacing w:after="0" w:line="240" w:lineRule="auto"/>
        <w:jc w:val="left"/>
        <w:rPr>
          <w:rFonts w:ascii="Times New Roman" w:hAnsi="Times New Roman" w:cs="Times New Roman"/>
          <w:sz w:val="24"/>
          <w:szCs w:val="24"/>
        </w:rPr>
      </w:pPr>
      <w:r>
        <w:rPr>
          <w:rFonts w:ascii="Times New Roman" w:hAnsi="Times New Roman" w:cs="Times New Roman" w:hint="eastAsia"/>
          <w:sz w:val="24"/>
          <w:szCs w:val="24"/>
        </w:rPr>
        <w:t>The c</w:t>
      </w:r>
      <w:r w:rsidRPr="0025669D">
        <w:rPr>
          <w:rFonts w:ascii="Times New Roman" w:hAnsi="Times New Roman" w:cs="Times New Roman"/>
          <w:sz w:val="24"/>
          <w:szCs w:val="24"/>
        </w:rPr>
        <w:t>omparability assessment</w:t>
      </w:r>
      <w:r>
        <w:rPr>
          <w:rFonts w:ascii="Times New Roman" w:hAnsi="Times New Roman" w:cs="Times New Roman" w:hint="eastAsia"/>
          <w:sz w:val="24"/>
          <w:szCs w:val="24"/>
        </w:rPr>
        <w:t>s</w:t>
      </w:r>
      <w:r w:rsidRPr="0025669D">
        <w:rPr>
          <w:rFonts w:ascii="Times New Roman" w:hAnsi="Times New Roman" w:cs="Times New Roman"/>
          <w:sz w:val="24"/>
          <w:szCs w:val="24"/>
        </w:rPr>
        <w:t xml:space="preserve"> of </w:t>
      </w:r>
      <w:proofErr w:type="spellStart"/>
      <w:r w:rsidRPr="0025669D">
        <w:rPr>
          <w:rFonts w:ascii="Times New Roman" w:hAnsi="Times New Roman" w:cs="Times New Roman"/>
          <w:sz w:val="24"/>
          <w:szCs w:val="24"/>
        </w:rPr>
        <w:t>pharmacodynamic</w:t>
      </w:r>
      <w:proofErr w:type="spellEnd"/>
      <w:r w:rsidRPr="0025669D">
        <w:rPr>
          <w:rFonts w:ascii="Times New Roman" w:hAnsi="Times New Roman" w:cs="Times New Roman"/>
          <w:sz w:val="24"/>
          <w:szCs w:val="24"/>
        </w:rPr>
        <w:t xml:space="preserve"> </w:t>
      </w:r>
      <w:r w:rsidRPr="0025669D">
        <w:rPr>
          <w:rFonts w:ascii="Times New Roman" w:hAnsi="Times New Roman" w:cs="Times New Roman"/>
          <w:i/>
          <w:iCs/>
          <w:sz w:val="24"/>
          <w:szCs w:val="24"/>
        </w:rPr>
        <w:t xml:space="preserve">in vitro </w:t>
      </w:r>
      <w:r w:rsidRPr="0025669D">
        <w:rPr>
          <w:rFonts w:ascii="Times New Roman" w:hAnsi="Times New Roman" w:cs="Times New Roman"/>
          <w:sz w:val="24"/>
          <w:szCs w:val="24"/>
        </w:rPr>
        <w:t>studies including binding</w:t>
      </w:r>
      <w:r>
        <w:rPr>
          <w:rFonts w:ascii="Times New Roman" w:hAnsi="Times New Roman" w:cs="Times New Roman" w:hint="eastAsia"/>
          <w:sz w:val="24"/>
          <w:szCs w:val="24"/>
        </w:rPr>
        <w:t xml:space="preserve">- </w:t>
      </w:r>
      <w:r w:rsidRPr="0025669D">
        <w:rPr>
          <w:rFonts w:ascii="Times New Roman" w:hAnsi="Times New Roman" w:cs="Times New Roman"/>
          <w:sz w:val="24"/>
          <w:szCs w:val="24"/>
        </w:rPr>
        <w:t>and cell</w:t>
      </w:r>
      <w:r>
        <w:rPr>
          <w:rFonts w:ascii="Times New Roman" w:hAnsi="Times New Roman" w:cs="Times New Roman" w:hint="eastAsia"/>
          <w:sz w:val="24"/>
          <w:szCs w:val="24"/>
        </w:rPr>
        <w:t>-</w:t>
      </w:r>
      <w:r w:rsidRPr="0025669D">
        <w:rPr>
          <w:rFonts w:ascii="Times New Roman" w:hAnsi="Times New Roman" w:cs="Times New Roman"/>
          <w:sz w:val="24"/>
          <w:szCs w:val="24"/>
        </w:rPr>
        <w:t xml:space="preserve"> based assays, as well as an </w:t>
      </w:r>
      <w:r w:rsidRPr="0025669D">
        <w:rPr>
          <w:rFonts w:ascii="Times New Roman" w:hAnsi="Times New Roman" w:cs="Times New Roman"/>
          <w:i/>
          <w:iCs/>
          <w:sz w:val="24"/>
          <w:szCs w:val="24"/>
        </w:rPr>
        <w:t xml:space="preserve">in vivo </w:t>
      </w:r>
      <w:r w:rsidRPr="0025669D">
        <w:rPr>
          <w:rFonts w:ascii="Times New Roman" w:hAnsi="Times New Roman" w:cs="Times New Roman"/>
          <w:sz w:val="24"/>
          <w:szCs w:val="24"/>
        </w:rPr>
        <w:t xml:space="preserve">efficacy study </w:t>
      </w:r>
      <w:r>
        <w:rPr>
          <w:rFonts w:ascii="Times New Roman" w:hAnsi="Times New Roman" w:cs="Times New Roman" w:hint="eastAsia"/>
          <w:sz w:val="24"/>
          <w:szCs w:val="24"/>
        </w:rPr>
        <w:t>using a</w:t>
      </w:r>
      <w:r w:rsidRPr="0025669D">
        <w:rPr>
          <w:rFonts w:ascii="Times New Roman" w:hAnsi="Times New Roman" w:cs="Times New Roman"/>
          <w:sz w:val="24"/>
          <w:szCs w:val="24"/>
        </w:rPr>
        <w:t xml:space="preserve"> Tg197 </w:t>
      </w:r>
      <w:r>
        <w:rPr>
          <w:rFonts w:ascii="Times New Roman" w:hAnsi="Times New Roman" w:cs="Times New Roman" w:hint="eastAsia"/>
          <w:sz w:val="24"/>
          <w:szCs w:val="24"/>
        </w:rPr>
        <w:t xml:space="preserve">transgenic </w:t>
      </w:r>
      <w:r w:rsidRPr="0025669D">
        <w:rPr>
          <w:rFonts w:ascii="Times New Roman" w:hAnsi="Times New Roman" w:cs="Times New Roman"/>
          <w:sz w:val="24"/>
          <w:szCs w:val="24"/>
        </w:rPr>
        <w:t>m</w:t>
      </w:r>
      <w:r>
        <w:rPr>
          <w:rFonts w:ascii="Times New Roman" w:hAnsi="Times New Roman" w:cs="Times New Roman" w:hint="eastAsia"/>
          <w:sz w:val="24"/>
          <w:szCs w:val="24"/>
        </w:rPr>
        <w:t>ouse model of arthritis</w:t>
      </w:r>
      <w:r w:rsidRPr="0025669D">
        <w:rPr>
          <w:rFonts w:ascii="Times New Roman" w:hAnsi="Times New Roman" w:cs="Times New Roman"/>
          <w:sz w:val="24"/>
          <w:szCs w:val="24"/>
        </w:rPr>
        <w:t xml:space="preserve"> </w:t>
      </w:r>
      <w:r>
        <w:rPr>
          <w:rFonts w:ascii="Times New Roman" w:hAnsi="Times New Roman" w:cs="Times New Roman" w:hint="eastAsia"/>
          <w:sz w:val="24"/>
          <w:szCs w:val="24"/>
        </w:rPr>
        <w:t>have been performed and demonstrated</w:t>
      </w:r>
      <w:r w:rsidRPr="0025669D">
        <w:rPr>
          <w:rFonts w:ascii="Times New Roman" w:hAnsi="Times New Roman" w:cs="Times New Roman"/>
          <w:sz w:val="24"/>
          <w:szCs w:val="24"/>
        </w:rPr>
        <w:t xml:space="preserve"> </w:t>
      </w:r>
      <w:r>
        <w:rPr>
          <w:rFonts w:ascii="Times New Roman" w:hAnsi="Times New Roman" w:cs="Times New Roman" w:hint="eastAsia"/>
          <w:sz w:val="24"/>
          <w:szCs w:val="24"/>
        </w:rPr>
        <w:t xml:space="preserve">the </w:t>
      </w:r>
      <w:r w:rsidRPr="0025669D">
        <w:rPr>
          <w:rFonts w:ascii="Times New Roman" w:hAnsi="Times New Roman" w:cs="Times New Roman"/>
          <w:sz w:val="24"/>
          <w:szCs w:val="24"/>
        </w:rPr>
        <w:t xml:space="preserve">similar/equivalent pharmacological activity </w:t>
      </w:r>
      <w:r>
        <w:rPr>
          <w:rFonts w:ascii="Times New Roman" w:hAnsi="Times New Roman" w:cs="Times New Roman" w:hint="eastAsia"/>
          <w:sz w:val="24"/>
          <w:szCs w:val="24"/>
        </w:rPr>
        <w:t>between</w:t>
      </w:r>
      <w:r w:rsidRPr="0025669D">
        <w:rPr>
          <w:rFonts w:ascii="Times New Roman" w:hAnsi="Times New Roman" w:cs="Times New Roman"/>
          <w:sz w:val="24"/>
          <w:szCs w:val="24"/>
        </w:rPr>
        <w:t xml:space="preserve"> </w:t>
      </w:r>
      <w:r>
        <w:rPr>
          <w:rFonts w:ascii="Times New Roman" w:hAnsi="Times New Roman" w:cs="Times New Roman"/>
          <w:sz w:val="24"/>
          <w:szCs w:val="24"/>
        </w:rPr>
        <w:t>RENFLEXIS</w:t>
      </w:r>
      <w:r w:rsidRPr="0025669D">
        <w:rPr>
          <w:rFonts w:ascii="Times New Roman" w:hAnsi="Times New Roman" w:cs="Times New Roman"/>
          <w:sz w:val="24"/>
          <w:szCs w:val="24"/>
        </w:rPr>
        <w:t xml:space="preserve"> </w:t>
      </w:r>
      <w:r>
        <w:rPr>
          <w:rFonts w:ascii="Times New Roman" w:hAnsi="Times New Roman" w:cs="Times New Roman" w:hint="eastAsia"/>
          <w:sz w:val="24"/>
          <w:szCs w:val="24"/>
        </w:rPr>
        <w:t>and</w:t>
      </w:r>
      <w:r w:rsidRPr="0025669D">
        <w:rPr>
          <w:rFonts w:ascii="Times New Roman" w:hAnsi="Times New Roman" w:cs="Times New Roman"/>
          <w:sz w:val="24"/>
          <w:szCs w:val="24"/>
        </w:rPr>
        <w:t xml:space="preserve"> </w:t>
      </w:r>
      <w:proofErr w:type="spellStart"/>
      <w:r w:rsidRPr="0025669D">
        <w:rPr>
          <w:rFonts w:ascii="Times New Roman" w:hAnsi="Times New Roman" w:cs="Times New Roman"/>
          <w:sz w:val="24"/>
          <w:szCs w:val="24"/>
        </w:rPr>
        <w:t>Remicade</w:t>
      </w:r>
      <w:proofErr w:type="spellEnd"/>
      <w:r w:rsidRPr="0025669D">
        <w:rPr>
          <w:rFonts w:ascii="Times New Roman" w:hAnsi="Times New Roman" w:cs="Times New Roman"/>
          <w:sz w:val="24"/>
          <w:szCs w:val="24"/>
          <w:vertAlign w:val="superscript"/>
        </w:rPr>
        <w:t>®</w:t>
      </w:r>
      <w:r w:rsidRPr="0025669D">
        <w:rPr>
          <w:rFonts w:ascii="Times New Roman" w:hAnsi="Times New Roman" w:cs="Times New Roman"/>
          <w:sz w:val="24"/>
          <w:szCs w:val="24"/>
        </w:rPr>
        <w:t>.</w:t>
      </w:r>
    </w:p>
    <w:p w14:paraId="0210978B" w14:textId="77777777" w:rsidR="004A10AE" w:rsidRPr="0025669D" w:rsidRDefault="004A10AE" w:rsidP="007947DB">
      <w:pPr>
        <w:spacing w:line="240" w:lineRule="auto"/>
        <w:jc w:val="left"/>
        <w:rPr>
          <w:rFonts w:ascii="Times New Roman" w:eastAsia="Malgun Gothic" w:hAnsi="Times New Roman" w:cs="Times New Roman"/>
          <w:sz w:val="24"/>
          <w:szCs w:val="24"/>
          <w:lang w:val="en-GB"/>
        </w:rPr>
      </w:pPr>
      <w:r w:rsidRPr="0025669D">
        <w:rPr>
          <w:rFonts w:ascii="Times New Roman" w:eastAsia="Malgun Gothic" w:hAnsi="Times New Roman" w:cs="Times New Roman"/>
          <w:sz w:val="24"/>
          <w:szCs w:val="24"/>
          <w:lang w:val="en-GB"/>
        </w:rPr>
        <w:t xml:space="preserve">The </w:t>
      </w:r>
      <w:r w:rsidRPr="0025669D">
        <w:rPr>
          <w:rFonts w:ascii="Times New Roman" w:eastAsia="Malgun Gothic" w:hAnsi="Times New Roman" w:cs="Times New Roman"/>
          <w:i/>
          <w:sz w:val="24"/>
          <w:szCs w:val="24"/>
          <w:lang w:val="en-GB"/>
        </w:rPr>
        <w:t xml:space="preserve">in vitro </w:t>
      </w:r>
      <w:r w:rsidRPr="0025669D">
        <w:rPr>
          <w:rFonts w:ascii="Times New Roman" w:eastAsia="Malgun Gothic" w:hAnsi="Times New Roman" w:cs="Times New Roman"/>
          <w:sz w:val="24"/>
          <w:szCs w:val="24"/>
          <w:lang w:val="en-GB"/>
        </w:rPr>
        <w:t>assays including</w:t>
      </w:r>
      <w:r>
        <w:rPr>
          <w:rFonts w:ascii="Times New Roman" w:eastAsia="Malgun Gothic" w:hAnsi="Times New Roman" w:cs="Times New Roman"/>
          <w:sz w:val="24"/>
          <w:szCs w:val="24"/>
          <w:lang w:val="en-GB"/>
        </w:rPr>
        <w:t xml:space="preserve"> binding assays on TNF</w:t>
      </w:r>
      <w:r w:rsidRPr="0025669D">
        <w:rPr>
          <w:rFonts w:ascii="Times New Roman" w:eastAsia="Malgun Gothic" w:hAnsi="Times New Roman" w:cs="Times New Roman"/>
          <w:sz w:val="24"/>
          <w:szCs w:val="24"/>
          <w:lang w:val="en-GB"/>
        </w:rPr>
        <w:t>α, C1q and Fc receptors (</w:t>
      </w:r>
      <w:proofErr w:type="spellStart"/>
      <w:r w:rsidRPr="0025669D">
        <w:rPr>
          <w:rFonts w:ascii="Times New Roman" w:eastAsia="Malgun Gothic" w:hAnsi="Times New Roman" w:cs="Times New Roman"/>
          <w:sz w:val="24"/>
          <w:szCs w:val="24"/>
          <w:lang w:val="en-GB"/>
        </w:rPr>
        <w:t>FcγRIa</w:t>
      </w:r>
      <w:proofErr w:type="spellEnd"/>
      <w:r w:rsidRPr="0025669D">
        <w:rPr>
          <w:rFonts w:ascii="Times New Roman" w:eastAsia="Malgun Gothic" w:hAnsi="Times New Roman" w:cs="Times New Roman"/>
          <w:sz w:val="24"/>
          <w:szCs w:val="24"/>
          <w:lang w:val="en-GB"/>
        </w:rPr>
        <w:t xml:space="preserve">, </w:t>
      </w:r>
      <w:proofErr w:type="spellStart"/>
      <w:r w:rsidRPr="0025669D">
        <w:rPr>
          <w:rFonts w:ascii="Times New Roman" w:eastAsia="Malgun Gothic" w:hAnsi="Times New Roman" w:cs="Times New Roman"/>
          <w:sz w:val="24"/>
          <w:szCs w:val="24"/>
          <w:lang w:val="en-GB"/>
        </w:rPr>
        <w:t>FcγRIIa</w:t>
      </w:r>
      <w:proofErr w:type="spellEnd"/>
      <w:r w:rsidRPr="0025669D">
        <w:rPr>
          <w:rFonts w:ascii="Times New Roman" w:eastAsia="Malgun Gothic" w:hAnsi="Times New Roman" w:cs="Times New Roman"/>
          <w:sz w:val="24"/>
          <w:szCs w:val="24"/>
          <w:lang w:val="en-GB"/>
        </w:rPr>
        <w:t xml:space="preserve">, </w:t>
      </w:r>
      <w:proofErr w:type="spellStart"/>
      <w:r w:rsidRPr="0025669D">
        <w:rPr>
          <w:rFonts w:ascii="Times New Roman" w:eastAsia="Malgun Gothic" w:hAnsi="Times New Roman" w:cs="Times New Roman"/>
          <w:sz w:val="24"/>
          <w:szCs w:val="24"/>
          <w:lang w:val="en-GB"/>
        </w:rPr>
        <w:t>FcγRIIb</w:t>
      </w:r>
      <w:proofErr w:type="spellEnd"/>
      <w:r w:rsidRPr="0025669D">
        <w:rPr>
          <w:rFonts w:ascii="Times New Roman" w:eastAsia="Malgun Gothic" w:hAnsi="Times New Roman" w:cs="Times New Roman"/>
          <w:sz w:val="24"/>
          <w:szCs w:val="24"/>
          <w:lang w:val="en-GB"/>
        </w:rPr>
        <w:t xml:space="preserve">, </w:t>
      </w:r>
      <w:proofErr w:type="spellStart"/>
      <w:r w:rsidRPr="0025669D">
        <w:rPr>
          <w:rFonts w:ascii="Times New Roman" w:eastAsia="Malgun Gothic" w:hAnsi="Times New Roman" w:cs="Times New Roman"/>
          <w:sz w:val="24"/>
          <w:szCs w:val="24"/>
          <w:lang w:val="en-GB"/>
        </w:rPr>
        <w:t>FcγRIIIa</w:t>
      </w:r>
      <w:proofErr w:type="spellEnd"/>
      <w:r w:rsidRPr="0025669D">
        <w:rPr>
          <w:rFonts w:ascii="Times New Roman" w:eastAsia="Malgun Gothic" w:hAnsi="Times New Roman" w:cs="Times New Roman"/>
          <w:sz w:val="24"/>
          <w:szCs w:val="24"/>
          <w:lang w:val="en-GB"/>
        </w:rPr>
        <w:t xml:space="preserve"> and </w:t>
      </w:r>
      <w:proofErr w:type="spellStart"/>
      <w:r w:rsidRPr="0025669D">
        <w:rPr>
          <w:rFonts w:ascii="Times New Roman" w:eastAsia="Malgun Gothic" w:hAnsi="Times New Roman" w:cs="Times New Roman"/>
          <w:sz w:val="24"/>
          <w:szCs w:val="24"/>
          <w:lang w:val="en-GB"/>
        </w:rPr>
        <w:t>FcRn</w:t>
      </w:r>
      <w:proofErr w:type="spellEnd"/>
      <w:r w:rsidRPr="0025669D">
        <w:rPr>
          <w:rFonts w:ascii="Times New Roman" w:eastAsia="Malgun Gothic" w:hAnsi="Times New Roman" w:cs="Times New Roman"/>
          <w:sz w:val="24"/>
          <w:szCs w:val="24"/>
          <w:lang w:val="en-GB"/>
        </w:rPr>
        <w:t>), a potency assay using 293-NF-κB-Luc cell line</w:t>
      </w:r>
      <w:r>
        <w:rPr>
          <w:rFonts w:ascii="Times New Roman" w:eastAsia="Malgun Gothic" w:hAnsi="Times New Roman" w:cs="Times New Roman" w:hint="eastAsia"/>
          <w:sz w:val="24"/>
          <w:szCs w:val="24"/>
          <w:lang w:val="en-GB"/>
        </w:rPr>
        <w:t>,</w:t>
      </w:r>
      <w:r w:rsidRPr="0025669D">
        <w:rPr>
          <w:rFonts w:ascii="Times New Roman" w:eastAsia="Malgun Gothic" w:hAnsi="Times New Roman" w:cs="Times New Roman"/>
          <w:sz w:val="24"/>
          <w:szCs w:val="24"/>
          <w:lang w:val="en-GB"/>
        </w:rPr>
        <w:t xml:space="preserve"> and other cell-based assays </w:t>
      </w:r>
      <w:r>
        <w:rPr>
          <w:rFonts w:ascii="Times New Roman" w:eastAsia="Malgun Gothic" w:hAnsi="Times New Roman" w:cs="Times New Roman" w:hint="eastAsia"/>
          <w:sz w:val="24"/>
          <w:szCs w:val="24"/>
          <w:lang w:val="en-GB"/>
        </w:rPr>
        <w:t xml:space="preserve">such as </w:t>
      </w:r>
      <w:r w:rsidRPr="0025669D">
        <w:rPr>
          <w:rFonts w:ascii="Times New Roman" w:eastAsia="Malgun Gothic" w:hAnsi="Times New Roman" w:cs="Times New Roman"/>
          <w:sz w:val="24"/>
          <w:szCs w:val="24"/>
          <w:lang w:val="en-GB"/>
        </w:rPr>
        <w:t xml:space="preserve">apoptosis, </w:t>
      </w:r>
      <w:r w:rsidRPr="0025669D">
        <w:rPr>
          <w:rFonts w:ascii="Times New Roman" w:eastAsia="Malgun Gothic" w:hAnsi="Times New Roman" w:cs="Times New Roman"/>
          <w:sz w:val="24"/>
          <w:szCs w:val="24"/>
        </w:rPr>
        <w:t>Antibody Dependent Cell-mediated Cytotoxicity (ADCC) and Complement Dependent Cytotoxicity (CDC) assays</w:t>
      </w:r>
      <w:r>
        <w:rPr>
          <w:rFonts w:ascii="Times New Roman" w:eastAsia="Malgun Gothic" w:hAnsi="Times New Roman" w:cs="Times New Roman" w:hint="eastAsia"/>
          <w:sz w:val="24"/>
          <w:szCs w:val="24"/>
        </w:rPr>
        <w:t xml:space="preserve"> </w:t>
      </w:r>
      <w:r w:rsidRPr="0025669D">
        <w:rPr>
          <w:rFonts w:ascii="Times New Roman" w:eastAsia="Malgun Gothic" w:hAnsi="Times New Roman" w:cs="Times New Roman"/>
          <w:sz w:val="24"/>
          <w:szCs w:val="24"/>
          <w:lang w:val="en-GB"/>
        </w:rPr>
        <w:t xml:space="preserve">were closely associated </w:t>
      </w:r>
      <w:r w:rsidRPr="0025669D">
        <w:rPr>
          <w:rFonts w:ascii="Times New Roman" w:eastAsia="Malgun Gothic" w:hAnsi="Times New Roman" w:cs="Times New Roman"/>
          <w:sz w:val="24"/>
          <w:szCs w:val="24"/>
          <w:lang w:val="en-GB"/>
        </w:rPr>
        <w:lastRenderedPageBreak/>
        <w:t xml:space="preserve">with the mode of action of infliximab. Similar/comparable activities of </w:t>
      </w:r>
      <w:r>
        <w:rPr>
          <w:rFonts w:ascii="Times New Roman" w:eastAsia="Malgun Gothic" w:hAnsi="Times New Roman" w:cs="Times New Roman"/>
          <w:sz w:val="24"/>
          <w:szCs w:val="24"/>
          <w:lang w:val="en-GB"/>
        </w:rPr>
        <w:t>RENFLEXIS</w:t>
      </w:r>
      <w:r w:rsidRPr="0025669D">
        <w:rPr>
          <w:rFonts w:ascii="Times New Roman" w:eastAsia="Malgun Gothic" w:hAnsi="Times New Roman" w:cs="Times New Roman"/>
          <w:sz w:val="24"/>
          <w:szCs w:val="24"/>
          <w:lang w:val="en-GB"/>
        </w:rPr>
        <w:t xml:space="preserve"> and </w:t>
      </w:r>
      <w:proofErr w:type="spellStart"/>
      <w:r w:rsidRPr="0025669D">
        <w:rPr>
          <w:rFonts w:ascii="Times New Roman" w:eastAsia="Malgun Gothic" w:hAnsi="Times New Roman" w:cs="Times New Roman"/>
          <w:sz w:val="24"/>
          <w:szCs w:val="24"/>
          <w:lang w:val="en-GB"/>
        </w:rPr>
        <w:t>Remicade</w:t>
      </w:r>
      <w:proofErr w:type="spellEnd"/>
      <w:r w:rsidRPr="0025669D">
        <w:rPr>
          <w:rFonts w:ascii="Times New Roman" w:eastAsia="Malgun Gothic" w:hAnsi="Times New Roman" w:cs="Times New Roman"/>
          <w:sz w:val="24"/>
          <w:szCs w:val="24"/>
          <w:vertAlign w:val="superscript"/>
          <w:lang w:val="en-GB"/>
        </w:rPr>
        <w:t>®</w:t>
      </w:r>
      <w:r w:rsidRPr="0025669D">
        <w:rPr>
          <w:rFonts w:ascii="Times New Roman" w:eastAsia="Malgun Gothic" w:hAnsi="Times New Roman" w:cs="Times New Roman"/>
          <w:sz w:val="24"/>
          <w:szCs w:val="24"/>
          <w:lang w:val="en-GB"/>
        </w:rPr>
        <w:t xml:space="preserve"> </w:t>
      </w:r>
      <w:proofErr w:type="gramStart"/>
      <w:r w:rsidRPr="0025669D">
        <w:rPr>
          <w:rFonts w:ascii="Times New Roman" w:eastAsia="Malgun Gothic" w:hAnsi="Times New Roman" w:cs="Times New Roman"/>
          <w:sz w:val="24"/>
          <w:szCs w:val="24"/>
          <w:lang w:val="en-GB"/>
        </w:rPr>
        <w:t>were</w:t>
      </w:r>
      <w:proofErr w:type="gramEnd"/>
      <w:r w:rsidRPr="0025669D">
        <w:rPr>
          <w:rFonts w:ascii="Times New Roman" w:eastAsia="Malgun Gothic" w:hAnsi="Times New Roman" w:cs="Times New Roman"/>
          <w:sz w:val="24"/>
          <w:szCs w:val="24"/>
          <w:lang w:val="en-GB"/>
        </w:rPr>
        <w:t xml:space="preserve"> demonstrated in these </w:t>
      </w:r>
      <w:r w:rsidRPr="0025669D">
        <w:rPr>
          <w:rFonts w:ascii="Times New Roman" w:eastAsia="Malgun Gothic" w:hAnsi="Times New Roman" w:cs="Times New Roman"/>
          <w:i/>
          <w:sz w:val="24"/>
          <w:szCs w:val="24"/>
          <w:lang w:val="en-GB"/>
        </w:rPr>
        <w:t>in vitro</w:t>
      </w:r>
      <w:r w:rsidRPr="0025669D">
        <w:rPr>
          <w:rFonts w:ascii="Times New Roman" w:eastAsia="Malgun Gothic" w:hAnsi="Times New Roman" w:cs="Times New Roman"/>
          <w:sz w:val="24"/>
          <w:szCs w:val="24"/>
          <w:lang w:val="en-GB"/>
        </w:rPr>
        <w:t xml:space="preserve"> studies.</w:t>
      </w:r>
    </w:p>
    <w:p w14:paraId="26A3BC8E" w14:textId="77777777" w:rsidR="00501F29" w:rsidRDefault="00501F29">
      <w:pPr>
        <w:widowControl/>
        <w:wordWrap/>
        <w:autoSpaceDE/>
        <w:autoSpaceDN/>
        <w:rPr>
          <w:rFonts w:ascii="Times New Roman" w:eastAsia="Malgun Gothic" w:hAnsi="Times New Roman" w:cs="Times New Roman"/>
          <w:sz w:val="24"/>
          <w:szCs w:val="24"/>
          <w:lang w:val="en-GB"/>
        </w:rPr>
      </w:pPr>
      <w:r>
        <w:rPr>
          <w:rFonts w:ascii="Times New Roman" w:eastAsia="Malgun Gothic" w:hAnsi="Times New Roman" w:cs="Times New Roman"/>
          <w:sz w:val="24"/>
          <w:szCs w:val="24"/>
          <w:lang w:val="en-GB"/>
        </w:rPr>
        <w:br w:type="page"/>
      </w:r>
    </w:p>
    <w:p w14:paraId="51926AB0" w14:textId="6321E6E5" w:rsidR="004A10AE" w:rsidRPr="0025669D" w:rsidRDefault="004A10AE" w:rsidP="007947DB">
      <w:pPr>
        <w:spacing w:after="0" w:line="240" w:lineRule="auto"/>
        <w:jc w:val="left"/>
        <w:rPr>
          <w:rFonts w:ascii="Times New Roman" w:eastAsia="Malgun Gothic" w:hAnsi="Times New Roman" w:cs="Times New Roman"/>
          <w:sz w:val="24"/>
          <w:szCs w:val="24"/>
          <w:lang w:val="en-GB"/>
        </w:rPr>
      </w:pPr>
      <w:r w:rsidRPr="0025669D">
        <w:rPr>
          <w:rFonts w:ascii="Times New Roman" w:eastAsia="Malgun Gothic" w:hAnsi="Times New Roman" w:cs="Times New Roman"/>
          <w:sz w:val="24"/>
          <w:szCs w:val="24"/>
          <w:lang w:val="en-GB"/>
        </w:rPr>
        <w:lastRenderedPageBreak/>
        <w:t xml:space="preserve">An </w:t>
      </w:r>
      <w:r w:rsidRPr="0025669D">
        <w:rPr>
          <w:rFonts w:ascii="Times New Roman" w:eastAsia="Malgun Gothic" w:hAnsi="Times New Roman" w:cs="Times New Roman"/>
          <w:i/>
          <w:sz w:val="24"/>
          <w:szCs w:val="24"/>
          <w:lang w:val="en-GB"/>
        </w:rPr>
        <w:t>in vivo</w:t>
      </w:r>
      <w:r w:rsidRPr="0025669D">
        <w:rPr>
          <w:rFonts w:ascii="Times New Roman" w:eastAsia="Malgun Gothic" w:hAnsi="Times New Roman" w:cs="Times New Roman"/>
          <w:sz w:val="24"/>
          <w:szCs w:val="24"/>
          <w:lang w:val="en-GB"/>
        </w:rPr>
        <w:t xml:space="preserve"> study </w:t>
      </w:r>
      <w:r>
        <w:rPr>
          <w:rFonts w:ascii="Times New Roman" w:eastAsia="Malgun Gothic" w:hAnsi="Times New Roman" w:cs="Times New Roman" w:hint="eastAsia"/>
          <w:sz w:val="24"/>
          <w:szCs w:val="24"/>
          <w:lang w:val="en-GB"/>
        </w:rPr>
        <w:t>using</w:t>
      </w:r>
      <w:r w:rsidRPr="0025669D">
        <w:rPr>
          <w:rFonts w:ascii="Times New Roman" w:eastAsia="Malgun Gothic" w:hAnsi="Times New Roman" w:cs="Times New Roman"/>
          <w:sz w:val="24"/>
          <w:szCs w:val="24"/>
          <w:lang w:val="en-GB"/>
        </w:rPr>
        <w:t xml:space="preserve"> a Tg197 transgenic mouse model of arthritis was performed to assess </w:t>
      </w:r>
      <w:r>
        <w:rPr>
          <w:rFonts w:ascii="Times New Roman" w:eastAsia="Malgun Gothic" w:hAnsi="Times New Roman" w:cs="Times New Roman" w:hint="eastAsia"/>
          <w:sz w:val="24"/>
          <w:szCs w:val="24"/>
          <w:lang w:val="en-GB"/>
        </w:rPr>
        <w:t xml:space="preserve">drug </w:t>
      </w:r>
      <w:r w:rsidRPr="0025669D">
        <w:rPr>
          <w:rFonts w:ascii="Times New Roman" w:eastAsia="Malgun Gothic" w:hAnsi="Times New Roman" w:cs="Times New Roman"/>
          <w:sz w:val="24"/>
          <w:szCs w:val="24"/>
          <w:lang w:val="en-GB"/>
        </w:rPr>
        <w:t xml:space="preserve">efficacy in animals. The </w:t>
      </w:r>
      <w:r w:rsidRPr="0025669D">
        <w:rPr>
          <w:rFonts w:ascii="Times New Roman" w:eastAsia="Malgun Gothic" w:hAnsi="Times New Roman" w:cs="Times New Roman"/>
          <w:i/>
          <w:sz w:val="24"/>
          <w:szCs w:val="24"/>
          <w:lang w:val="en-GB"/>
        </w:rPr>
        <w:t>in vivo</w:t>
      </w:r>
      <w:r w:rsidRPr="0025669D">
        <w:rPr>
          <w:rFonts w:ascii="Times New Roman" w:eastAsia="Malgun Gothic" w:hAnsi="Times New Roman" w:cs="Times New Roman"/>
          <w:sz w:val="24"/>
          <w:szCs w:val="24"/>
          <w:lang w:val="en-GB"/>
        </w:rPr>
        <w:t xml:space="preserve"> study results showed a similar inhibition level of arthritic and histopathology scores between </w:t>
      </w:r>
      <w:r>
        <w:rPr>
          <w:rFonts w:ascii="Times New Roman" w:eastAsia="Malgun Gothic" w:hAnsi="Times New Roman" w:cs="Times New Roman"/>
          <w:sz w:val="24"/>
          <w:szCs w:val="24"/>
          <w:lang w:val="en-GB"/>
        </w:rPr>
        <w:t>RENFLEXIS</w:t>
      </w:r>
      <w:r w:rsidRPr="0025669D">
        <w:rPr>
          <w:rFonts w:ascii="Times New Roman" w:eastAsia="Malgun Gothic" w:hAnsi="Times New Roman" w:cs="Times New Roman"/>
          <w:sz w:val="24"/>
          <w:szCs w:val="24"/>
          <w:lang w:val="en-GB"/>
        </w:rPr>
        <w:t xml:space="preserve">, EU </w:t>
      </w:r>
      <w:proofErr w:type="spellStart"/>
      <w:r w:rsidRPr="0025669D">
        <w:rPr>
          <w:rFonts w:ascii="Times New Roman" w:eastAsia="Malgun Gothic" w:hAnsi="Times New Roman" w:cs="Times New Roman"/>
          <w:sz w:val="24"/>
          <w:szCs w:val="24"/>
          <w:lang w:val="en-GB"/>
        </w:rPr>
        <w:t>Remicade</w:t>
      </w:r>
      <w:proofErr w:type="spellEnd"/>
      <w:r w:rsidRPr="0025669D">
        <w:rPr>
          <w:rFonts w:ascii="Times New Roman" w:eastAsia="Malgun Gothic" w:hAnsi="Times New Roman" w:cs="Times New Roman"/>
          <w:sz w:val="24"/>
          <w:szCs w:val="24"/>
          <w:vertAlign w:val="superscript"/>
          <w:lang w:val="en-GB"/>
        </w:rPr>
        <w:t>®</w:t>
      </w:r>
      <w:r w:rsidRPr="0025669D">
        <w:rPr>
          <w:rFonts w:ascii="Times New Roman" w:eastAsia="Malgun Gothic" w:hAnsi="Times New Roman" w:cs="Times New Roman"/>
          <w:sz w:val="24"/>
          <w:szCs w:val="24"/>
          <w:lang w:val="en-GB"/>
        </w:rPr>
        <w:t xml:space="preserve"> and US </w:t>
      </w:r>
      <w:proofErr w:type="spellStart"/>
      <w:r w:rsidRPr="0025669D">
        <w:rPr>
          <w:rFonts w:ascii="Times New Roman" w:eastAsia="Malgun Gothic" w:hAnsi="Times New Roman" w:cs="Times New Roman"/>
          <w:sz w:val="24"/>
          <w:szCs w:val="24"/>
          <w:lang w:val="en-GB"/>
        </w:rPr>
        <w:t>Remicade</w:t>
      </w:r>
      <w:proofErr w:type="spellEnd"/>
      <w:r w:rsidRPr="0025669D">
        <w:rPr>
          <w:rFonts w:ascii="Times New Roman" w:eastAsia="Malgun Gothic" w:hAnsi="Times New Roman" w:cs="Times New Roman"/>
          <w:sz w:val="24"/>
          <w:szCs w:val="24"/>
          <w:vertAlign w:val="superscript"/>
          <w:lang w:val="en-GB"/>
        </w:rPr>
        <w:t>®</w:t>
      </w:r>
      <w:r w:rsidRPr="0025669D">
        <w:rPr>
          <w:rFonts w:ascii="Times New Roman" w:eastAsia="Malgun Gothic" w:hAnsi="Times New Roman" w:cs="Times New Roman"/>
          <w:sz w:val="24"/>
          <w:szCs w:val="24"/>
          <w:lang w:val="en-GB"/>
        </w:rPr>
        <w:t xml:space="preserve">, which </w:t>
      </w:r>
      <w:r w:rsidR="00E3587C" w:rsidRPr="00E3587C">
        <w:rPr>
          <w:rFonts w:ascii="Times New Roman" w:eastAsia="Malgun Gothic" w:hAnsi="Times New Roman" w:cs="Times New Roman"/>
          <w:sz w:val="24"/>
          <w:szCs w:val="24"/>
          <w:lang w:val="en-GB"/>
        </w:rPr>
        <w:t xml:space="preserve">indicated comparable anti-inflammatory activity under </w:t>
      </w:r>
      <w:r w:rsidR="00E3587C" w:rsidRPr="00874645">
        <w:rPr>
          <w:rFonts w:ascii="Times New Roman" w:eastAsia="Malgun Gothic" w:hAnsi="Times New Roman" w:cs="Times New Roman"/>
          <w:i/>
          <w:sz w:val="24"/>
          <w:szCs w:val="24"/>
          <w:lang w:val="en-GB"/>
        </w:rPr>
        <w:t>in vivo</w:t>
      </w:r>
      <w:r w:rsidR="00E3587C" w:rsidRPr="00E3587C">
        <w:rPr>
          <w:rFonts w:ascii="Times New Roman" w:eastAsia="Malgun Gothic" w:hAnsi="Times New Roman" w:cs="Times New Roman"/>
          <w:sz w:val="24"/>
          <w:szCs w:val="24"/>
          <w:lang w:val="en-GB"/>
        </w:rPr>
        <w:t xml:space="preserve"> conditions</w:t>
      </w:r>
      <w:r w:rsidRPr="0025669D">
        <w:rPr>
          <w:rFonts w:ascii="Times New Roman" w:eastAsia="Malgun Gothic" w:hAnsi="Times New Roman" w:cs="Times New Roman"/>
          <w:sz w:val="24"/>
          <w:szCs w:val="24"/>
          <w:lang w:val="en-GB"/>
        </w:rPr>
        <w:t xml:space="preserve">. </w:t>
      </w:r>
    </w:p>
    <w:p w14:paraId="7913CECF" w14:textId="77777777" w:rsidR="004A10AE" w:rsidRPr="0035249D" w:rsidRDefault="004A10AE" w:rsidP="007947DB">
      <w:pPr>
        <w:keepNext/>
        <w:widowControl/>
        <w:tabs>
          <w:tab w:val="num" w:pos="1418"/>
        </w:tabs>
        <w:wordWrap/>
        <w:autoSpaceDE/>
        <w:autoSpaceDN/>
        <w:spacing w:before="240" w:after="0" w:line="240" w:lineRule="auto"/>
        <w:ind w:left="1702" w:hangingChars="709" w:hanging="1702"/>
        <w:jc w:val="left"/>
        <w:outlineLvl w:val="1"/>
        <w:rPr>
          <w:rFonts w:ascii="Times New Roman" w:eastAsia="Malgun Gothic" w:hAnsi="Times New Roman" w:cs="Times New Roman"/>
          <w:b/>
          <w:bCs/>
          <w:iCs/>
          <w:kern w:val="0"/>
          <w:sz w:val="24"/>
          <w:szCs w:val="24"/>
          <w:u w:val="single"/>
          <w:lang w:val="en-GB"/>
        </w:rPr>
      </w:pPr>
      <w:r w:rsidRPr="0035249D">
        <w:rPr>
          <w:rFonts w:ascii="Times New Roman" w:eastAsia="Malgun Gothic" w:hAnsi="Times New Roman" w:cs="Times New Roman"/>
          <w:b/>
          <w:bCs/>
          <w:iCs/>
          <w:kern w:val="0"/>
          <w:sz w:val="24"/>
          <w:szCs w:val="24"/>
          <w:u w:val="single"/>
          <w:lang w:val="en-GB"/>
        </w:rPr>
        <w:t>Pharmacokinetics</w:t>
      </w:r>
    </w:p>
    <w:p w14:paraId="07F1C91F" w14:textId="77777777" w:rsidR="004A10AE" w:rsidRPr="0025669D" w:rsidRDefault="004A10AE" w:rsidP="007947DB">
      <w:pPr>
        <w:spacing w:line="240" w:lineRule="auto"/>
        <w:jc w:val="left"/>
        <w:rPr>
          <w:rFonts w:ascii="Times New Roman" w:eastAsia="Malgun Gothic" w:hAnsi="Times New Roman" w:cs="Times New Roman"/>
          <w:sz w:val="24"/>
          <w:szCs w:val="24"/>
        </w:rPr>
      </w:pPr>
      <w:r w:rsidRPr="0025669D">
        <w:rPr>
          <w:rFonts w:ascii="Times New Roman" w:eastAsia="Malgun Gothic" w:hAnsi="Times New Roman" w:cs="Times New Roman"/>
          <w:sz w:val="24"/>
          <w:szCs w:val="24"/>
        </w:rPr>
        <w:t>In clinical trials in rheumatoid arthritis and Crohn’s disease patients, single dose intravenous infusions of 1, 3, 5, 10 or 20 mg/kg of infliximab yielded dose proportional increases in the maximum serum concentration (</w:t>
      </w:r>
      <w:proofErr w:type="spellStart"/>
      <w:r w:rsidRPr="0025669D">
        <w:rPr>
          <w:rFonts w:ascii="Times New Roman" w:eastAsia="Malgun Gothic" w:hAnsi="Times New Roman" w:cs="Times New Roman"/>
          <w:sz w:val="24"/>
          <w:szCs w:val="24"/>
        </w:rPr>
        <w:t>C</w:t>
      </w:r>
      <w:r w:rsidRPr="0037770B">
        <w:rPr>
          <w:rFonts w:ascii="Times New Roman" w:eastAsia="Malgun Gothic" w:hAnsi="Times New Roman" w:cs="Times New Roman"/>
          <w:sz w:val="24"/>
          <w:szCs w:val="24"/>
          <w:vertAlign w:val="subscript"/>
        </w:rPr>
        <w:t>max</w:t>
      </w:r>
      <w:proofErr w:type="spellEnd"/>
      <w:r w:rsidRPr="0025669D">
        <w:rPr>
          <w:rFonts w:ascii="Times New Roman" w:eastAsia="Malgun Gothic" w:hAnsi="Times New Roman" w:cs="Times New Roman"/>
          <w:sz w:val="24"/>
          <w:szCs w:val="24"/>
        </w:rPr>
        <w:t xml:space="preserve">) and area under the concentration-time curve (AUC). The volume of distribution at steady state (median </w:t>
      </w:r>
      <w:proofErr w:type="spellStart"/>
      <w:r w:rsidRPr="0025669D">
        <w:rPr>
          <w:rFonts w:ascii="Times New Roman" w:eastAsia="Malgun Gothic" w:hAnsi="Times New Roman" w:cs="Times New Roman"/>
          <w:sz w:val="24"/>
          <w:szCs w:val="24"/>
        </w:rPr>
        <w:t>V</w:t>
      </w:r>
      <w:r w:rsidRPr="0037770B">
        <w:rPr>
          <w:rFonts w:ascii="Times New Roman" w:eastAsia="Malgun Gothic" w:hAnsi="Times New Roman" w:cs="Times New Roman" w:hint="eastAsia"/>
          <w:sz w:val="24"/>
          <w:szCs w:val="24"/>
          <w:vertAlign w:val="subscript"/>
        </w:rPr>
        <w:t>ss</w:t>
      </w:r>
      <w:proofErr w:type="spellEnd"/>
      <w:r w:rsidRPr="0025669D">
        <w:rPr>
          <w:rFonts w:ascii="Times New Roman" w:eastAsia="Malgun Gothic" w:hAnsi="Times New Roman" w:cs="Times New Roman"/>
          <w:sz w:val="24"/>
          <w:szCs w:val="24"/>
        </w:rPr>
        <w:t xml:space="preserve"> of 3.0 to 4.1 </w:t>
      </w:r>
      <w:proofErr w:type="spellStart"/>
      <w:r w:rsidRPr="0025669D">
        <w:rPr>
          <w:rFonts w:ascii="Times New Roman" w:eastAsia="Malgun Gothic" w:hAnsi="Times New Roman" w:cs="Times New Roman"/>
          <w:sz w:val="24"/>
          <w:szCs w:val="24"/>
        </w:rPr>
        <w:t>litres</w:t>
      </w:r>
      <w:proofErr w:type="spellEnd"/>
      <w:r w:rsidRPr="0025669D">
        <w:rPr>
          <w:rFonts w:ascii="Times New Roman" w:eastAsia="Malgun Gothic" w:hAnsi="Times New Roman" w:cs="Times New Roman"/>
          <w:sz w:val="24"/>
          <w:szCs w:val="24"/>
        </w:rPr>
        <w:t xml:space="preserve">) was not dependent on the administered dose and indicated that infliximab is predominantly distributed within the vascular compartment. The elimination pathways for infliximab have not been </w:t>
      </w:r>
      <w:proofErr w:type="spellStart"/>
      <w:r w:rsidRPr="0025669D">
        <w:rPr>
          <w:rFonts w:ascii="Times New Roman" w:eastAsia="Malgun Gothic" w:hAnsi="Times New Roman" w:cs="Times New Roman"/>
          <w:sz w:val="24"/>
          <w:szCs w:val="24"/>
        </w:rPr>
        <w:t>characterised</w:t>
      </w:r>
      <w:proofErr w:type="spellEnd"/>
      <w:r w:rsidRPr="0025669D">
        <w:rPr>
          <w:rFonts w:ascii="Times New Roman" w:eastAsia="Malgun Gothic" w:hAnsi="Times New Roman" w:cs="Times New Roman"/>
          <w:sz w:val="24"/>
          <w:szCs w:val="24"/>
        </w:rPr>
        <w:t xml:space="preserve">. No major differences in clearance or volume of distribution were observed in patient subgroups defined by age, weight or hepatic or renal function. </w:t>
      </w:r>
      <w:proofErr w:type="spellStart"/>
      <w:r w:rsidRPr="0025669D">
        <w:rPr>
          <w:rFonts w:ascii="Times New Roman" w:eastAsia="Malgun Gothic" w:hAnsi="Times New Roman" w:cs="Times New Roman"/>
          <w:sz w:val="24"/>
          <w:szCs w:val="24"/>
        </w:rPr>
        <w:t>Paediatric</w:t>
      </w:r>
      <w:proofErr w:type="spellEnd"/>
      <w:r w:rsidRPr="0025669D">
        <w:rPr>
          <w:rFonts w:ascii="Times New Roman" w:eastAsia="Malgun Gothic" w:hAnsi="Times New Roman" w:cs="Times New Roman"/>
          <w:sz w:val="24"/>
          <w:szCs w:val="24"/>
        </w:rPr>
        <w:t xml:space="preserve"> Crohn’s patients in the 5 mg/kg and 10 mg/kg treatment groups had slightly higher serum concentrations after the initial infusion and slightly lower serum concentrations at later time periods (4 to 12 weeks) compared to adult Crohn’s patients. No notable differences in single dose pharmacokinetic parameters and terminal half-life were observed between </w:t>
      </w:r>
      <w:proofErr w:type="spellStart"/>
      <w:r w:rsidRPr="0025669D">
        <w:rPr>
          <w:rFonts w:ascii="Times New Roman" w:eastAsia="Malgun Gothic" w:hAnsi="Times New Roman" w:cs="Times New Roman"/>
          <w:sz w:val="24"/>
          <w:szCs w:val="24"/>
        </w:rPr>
        <w:t>paediatric</w:t>
      </w:r>
      <w:proofErr w:type="spellEnd"/>
      <w:r w:rsidRPr="0025669D">
        <w:rPr>
          <w:rFonts w:ascii="Times New Roman" w:eastAsia="Malgun Gothic" w:hAnsi="Times New Roman" w:cs="Times New Roman"/>
          <w:sz w:val="24"/>
          <w:szCs w:val="24"/>
        </w:rPr>
        <w:t xml:space="preserve"> and adult Crohn’s disease patients. The relatively small number of patients evaluated makes further detailed comparison difficult. </w:t>
      </w:r>
    </w:p>
    <w:p w14:paraId="61BD6FB8" w14:textId="77777777" w:rsidR="004A10AE" w:rsidRPr="0025669D" w:rsidRDefault="004A10AE" w:rsidP="007947DB">
      <w:pPr>
        <w:spacing w:line="240" w:lineRule="auto"/>
        <w:jc w:val="left"/>
        <w:rPr>
          <w:rFonts w:ascii="Times New Roman" w:eastAsia="Malgun Gothic" w:hAnsi="Times New Roman" w:cs="Times New Roman"/>
          <w:sz w:val="24"/>
          <w:szCs w:val="24"/>
        </w:rPr>
      </w:pPr>
      <w:r w:rsidRPr="0025669D">
        <w:rPr>
          <w:rFonts w:ascii="Times New Roman" w:eastAsia="Malgun Gothic" w:hAnsi="Times New Roman" w:cs="Times New Roman"/>
          <w:sz w:val="24"/>
          <w:szCs w:val="24"/>
        </w:rPr>
        <w:t xml:space="preserve">Infliximab pharmacokinetic characteristics (including peak and trough concentrations and terminal half-life) were similar in </w:t>
      </w:r>
      <w:proofErr w:type="spellStart"/>
      <w:r w:rsidRPr="0025669D">
        <w:rPr>
          <w:rFonts w:ascii="Times New Roman" w:eastAsia="Malgun Gothic" w:hAnsi="Times New Roman" w:cs="Times New Roman"/>
          <w:sz w:val="24"/>
          <w:szCs w:val="24"/>
        </w:rPr>
        <w:t>paediatric</w:t>
      </w:r>
      <w:proofErr w:type="spellEnd"/>
      <w:r w:rsidRPr="0025669D">
        <w:rPr>
          <w:rFonts w:ascii="Times New Roman" w:eastAsia="Malgun Gothic" w:hAnsi="Times New Roman" w:cs="Times New Roman"/>
          <w:sz w:val="24"/>
          <w:szCs w:val="24"/>
        </w:rPr>
        <w:t xml:space="preserve"> (aged 6 to 17 years old) and adult patients with Crohn's disease or ulcerative colitis following the administration of 5 mg/kg infliximab. </w:t>
      </w:r>
    </w:p>
    <w:p w14:paraId="3B73CE4B" w14:textId="77777777" w:rsidR="004A10AE" w:rsidRPr="0025669D" w:rsidRDefault="004A10AE" w:rsidP="007947DB">
      <w:pPr>
        <w:spacing w:line="240" w:lineRule="auto"/>
        <w:jc w:val="left"/>
        <w:rPr>
          <w:rFonts w:ascii="Times New Roman" w:eastAsia="Malgun Gothic" w:hAnsi="Times New Roman" w:cs="Times New Roman"/>
          <w:sz w:val="24"/>
          <w:szCs w:val="24"/>
        </w:rPr>
      </w:pPr>
      <w:r w:rsidRPr="0025669D">
        <w:rPr>
          <w:rFonts w:ascii="Times New Roman" w:eastAsia="Malgun Gothic" w:hAnsi="Times New Roman" w:cs="Times New Roman"/>
          <w:sz w:val="24"/>
          <w:szCs w:val="24"/>
        </w:rPr>
        <w:t xml:space="preserve">At single doses of 3 and 10 mg/kg in rheumatoid arthritis patients and 5 mg/kg in Crohn’s disease patients, the median </w:t>
      </w:r>
      <w:proofErr w:type="spellStart"/>
      <w:r w:rsidRPr="0025669D">
        <w:rPr>
          <w:rFonts w:ascii="Times New Roman" w:eastAsia="Malgun Gothic" w:hAnsi="Times New Roman" w:cs="Times New Roman"/>
          <w:sz w:val="24"/>
          <w:szCs w:val="24"/>
        </w:rPr>
        <w:t>C</w:t>
      </w:r>
      <w:r w:rsidRPr="0025669D">
        <w:rPr>
          <w:rFonts w:ascii="Times New Roman" w:eastAsia="Malgun Gothic" w:hAnsi="Times New Roman" w:cs="Times New Roman"/>
          <w:sz w:val="24"/>
          <w:szCs w:val="24"/>
          <w:vertAlign w:val="subscript"/>
        </w:rPr>
        <w:t>max</w:t>
      </w:r>
      <w:proofErr w:type="spellEnd"/>
      <w:r w:rsidRPr="0025669D">
        <w:rPr>
          <w:rFonts w:ascii="Times New Roman" w:eastAsia="Malgun Gothic" w:hAnsi="Times New Roman" w:cs="Times New Roman"/>
          <w:sz w:val="24"/>
          <w:szCs w:val="24"/>
        </w:rPr>
        <w:t xml:space="preserve"> values were 77 and 277 </w:t>
      </w:r>
      <w:proofErr w:type="spellStart"/>
      <w:r w:rsidRPr="0025669D">
        <w:rPr>
          <w:rFonts w:ascii="Times New Roman" w:eastAsia="Malgun Gothic" w:hAnsi="Times New Roman" w:cs="Times New Roman"/>
          <w:sz w:val="24"/>
          <w:szCs w:val="24"/>
        </w:rPr>
        <w:t>μg</w:t>
      </w:r>
      <w:proofErr w:type="spellEnd"/>
      <w:r w:rsidRPr="0025669D">
        <w:rPr>
          <w:rFonts w:ascii="Times New Roman" w:eastAsia="Malgun Gothic" w:hAnsi="Times New Roman" w:cs="Times New Roman"/>
          <w:sz w:val="24"/>
          <w:szCs w:val="24"/>
        </w:rPr>
        <w:t xml:space="preserve">/mL and </w:t>
      </w:r>
      <w:proofErr w:type="gramStart"/>
      <w:r w:rsidRPr="0025669D">
        <w:rPr>
          <w:rFonts w:ascii="Times New Roman" w:eastAsia="Malgun Gothic" w:hAnsi="Times New Roman" w:cs="Times New Roman"/>
          <w:sz w:val="24"/>
          <w:szCs w:val="24"/>
        </w:rPr>
        <w:t xml:space="preserve">118 </w:t>
      </w:r>
      <w:proofErr w:type="spellStart"/>
      <w:r w:rsidRPr="0025669D">
        <w:rPr>
          <w:rFonts w:ascii="Times New Roman" w:eastAsia="Malgun Gothic" w:hAnsi="Times New Roman" w:cs="Times New Roman"/>
          <w:sz w:val="24"/>
          <w:szCs w:val="24"/>
        </w:rPr>
        <w:t>μg</w:t>
      </w:r>
      <w:proofErr w:type="spellEnd"/>
      <w:r w:rsidRPr="0025669D">
        <w:rPr>
          <w:rFonts w:ascii="Times New Roman" w:eastAsia="Malgun Gothic" w:hAnsi="Times New Roman" w:cs="Times New Roman"/>
          <w:sz w:val="24"/>
          <w:szCs w:val="24"/>
        </w:rPr>
        <w:t>/mL respectively</w:t>
      </w:r>
      <w:proofErr w:type="gramEnd"/>
      <w:r w:rsidRPr="0025669D">
        <w:rPr>
          <w:rFonts w:ascii="Times New Roman" w:eastAsia="Malgun Gothic" w:hAnsi="Times New Roman" w:cs="Times New Roman"/>
          <w:sz w:val="24"/>
          <w:szCs w:val="24"/>
        </w:rPr>
        <w:t xml:space="preserve">. The median terminal half-life at these doses ranged from 8 to 9.5 days. In most patients, infliximab could be detected in the serum for at least 8 weeks after a single infusion. Following the 3-dose regimen a slight accumulation of infliximab was observed in the serum after the second dose and no further clinically relevant accumulation thereafter. The proportion of patients who had undetectable infliximab concentrations at 8 weeks, after a maintenance infusion, was approximately 20%. </w:t>
      </w:r>
    </w:p>
    <w:p w14:paraId="64BDF507" w14:textId="77777777" w:rsidR="004A10AE" w:rsidRPr="0025669D" w:rsidRDefault="004A10AE" w:rsidP="007947DB">
      <w:pPr>
        <w:spacing w:line="240" w:lineRule="auto"/>
        <w:jc w:val="left"/>
        <w:rPr>
          <w:rFonts w:ascii="Times New Roman" w:eastAsia="Malgun Gothic" w:hAnsi="Times New Roman" w:cs="Times New Roman"/>
          <w:sz w:val="24"/>
          <w:szCs w:val="24"/>
        </w:rPr>
      </w:pPr>
      <w:r w:rsidRPr="0025669D">
        <w:rPr>
          <w:rFonts w:ascii="Times New Roman" w:eastAsia="Malgun Gothic" w:hAnsi="Times New Roman" w:cs="Times New Roman"/>
          <w:sz w:val="24"/>
          <w:szCs w:val="24"/>
        </w:rPr>
        <w:t>Limited pharmacokinetic studies of infliximab in psoriasis appear to show no significant differences to the pharmacokinetics in other indications.</w:t>
      </w:r>
    </w:p>
    <w:p w14:paraId="666DE8F4" w14:textId="77777777" w:rsidR="004A10AE" w:rsidRPr="0025669D" w:rsidRDefault="004A10AE" w:rsidP="007947DB">
      <w:pPr>
        <w:pStyle w:val="Heading2"/>
        <w:tabs>
          <w:tab w:val="num" w:pos="1418"/>
        </w:tabs>
        <w:spacing w:after="0"/>
        <w:ind w:left="1702" w:hangingChars="709" w:hanging="1702"/>
        <w:rPr>
          <w:rFonts w:cs="Times New Roman"/>
          <w:b w:val="0"/>
          <w:bCs w:val="0"/>
          <w:iCs w:val="0"/>
          <w:kern w:val="2"/>
          <w:szCs w:val="24"/>
          <w:lang w:val="en-US" w:eastAsia="ko-KR"/>
        </w:rPr>
      </w:pPr>
      <w:r w:rsidRPr="0025669D">
        <w:rPr>
          <w:rFonts w:eastAsia="Malgun Gothic" w:cs="Times New Roman"/>
          <w:i/>
          <w:szCs w:val="24"/>
          <w:lang w:eastAsia="ko-KR"/>
        </w:rPr>
        <w:t xml:space="preserve">Comparability of </w:t>
      </w:r>
      <w:r>
        <w:rPr>
          <w:rFonts w:eastAsia="Malgun Gothic" w:cs="Times New Roman"/>
          <w:i/>
          <w:szCs w:val="24"/>
          <w:lang w:eastAsia="ko-KR"/>
        </w:rPr>
        <w:t>RENFLEXIS</w:t>
      </w:r>
      <w:r w:rsidRPr="0025669D">
        <w:rPr>
          <w:rFonts w:eastAsia="Malgun Gothic" w:cs="Times New Roman"/>
          <w:i/>
          <w:szCs w:val="24"/>
          <w:lang w:eastAsia="ko-KR"/>
        </w:rPr>
        <w:t xml:space="preserve"> with </w:t>
      </w:r>
      <w:proofErr w:type="spellStart"/>
      <w:r w:rsidRPr="0025669D">
        <w:rPr>
          <w:rFonts w:eastAsia="Malgun Gothic" w:cs="Times New Roman"/>
          <w:i/>
          <w:szCs w:val="24"/>
          <w:lang w:eastAsia="ko-KR"/>
        </w:rPr>
        <w:t>Remicade</w:t>
      </w:r>
      <w:proofErr w:type="spellEnd"/>
      <w:r w:rsidRPr="0025669D">
        <w:rPr>
          <w:rFonts w:eastAsia="Malgun Gothic" w:cs="Times New Roman"/>
          <w:i/>
          <w:szCs w:val="24"/>
          <w:vertAlign w:val="superscript"/>
          <w:lang w:eastAsia="ko-KR"/>
        </w:rPr>
        <w:t>®</w:t>
      </w:r>
    </w:p>
    <w:p w14:paraId="218EC98F" w14:textId="20CF0114" w:rsidR="004A10AE" w:rsidRPr="0025669D" w:rsidRDefault="001056E5" w:rsidP="007947DB">
      <w:pPr>
        <w:spacing w:after="0" w:line="240" w:lineRule="auto"/>
        <w:jc w:val="left"/>
        <w:rPr>
          <w:rFonts w:ascii="Times New Roman" w:hAnsi="Times New Roman" w:cs="Times New Roman"/>
          <w:sz w:val="24"/>
          <w:szCs w:val="24"/>
        </w:rPr>
      </w:pPr>
      <w:r>
        <w:rPr>
          <w:rFonts w:ascii="Times New Roman" w:hAnsi="Times New Roman" w:cs="Times New Roman" w:hint="eastAsia"/>
          <w:sz w:val="24"/>
          <w:szCs w:val="24"/>
        </w:rPr>
        <w:t>The p</w:t>
      </w:r>
      <w:r w:rsidR="004A10AE">
        <w:rPr>
          <w:rFonts w:ascii="Times New Roman" w:hAnsi="Times New Roman" w:cs="Times New Roman" w:hint="eastAsia"/>
          <w:sz w:val="24"/>
          <w:szCs w:val="24"/>
        </w:rPr>
        <w:t xml:space="preserve">harmacokinetic </w:t>
      </w:r>
      <w:r>
        <w:rPr>
          <w:rFonts w:ascii="Times New Roman" w:hAnsi="Times New Roman" w:cs="Times New Roman" w:hint="eastAsia"/>
          <w:sz w:val="24"/>
          <w:szCs w:val="24"/>
        </w:rPr>
        <w:t>profiles</w:t>
      </w:r>
      <w:r w:rsidRPr="0025669D">
        <w:rPr>
          <w:rFonts w:ascii="Times New Roman" w:hAnsi="Times New Roman" w:cs="Times New Roman"/>
          <w:sz w:val="24"/>
          <w:szCs w:val="24"/>
        </w:rPr>
        <w:t xml:space="preserve"> </w:t>
      </w:r>
      <w:r w:rsidR="004A10AE" w:rsidRPr="0025669D">
        <w:rPr>
          <w:rFonts w:ascii="Times New Roman" w:hAnsi="Times New Roman" w:cs="Times New Roman"/>
          <w:sz w:val="24"/>
          <w:szCs w:val="24"/>
        </w:rPr>
        <w:t xml:space="preserve">of </w:t>
      </w:r>
      <w:r w:rsidR="004A10AE">
        <w:rPr>
          <w:rFonts w:ascii="Times New Roman" w:hAnsi="Times New Roman" w:cs="Times New Roman"/>
          <w:sz w:val="24"/>
          <w:szCs w:val="24"/>
        </w:rPr>
        <w:t>RENFLEXIS</w:t>
      </w:r>
      <w:r w:rsidR="004A10AE" w:rsidRPr="0025669D">
        <w:rPr>
          <w:rFonts w:ascii="Times New Roman" w:hAnsi="Times New Roman" w:cs="Times New Roman"/>
          <w:sz w:val="24"/>
          <w:szCs w:val="24"/>
        </w:rPr>
        <w:t xml:space="preserve"> and </w:t>
      </w:r>
      <w:proofErr w:type="spellStart"/>
      <w:r w:rsidR="004A10AE" w:rsidRPr="0025669D">
        <w:rPr>
          <w:rFonts w:ascii="Times New Roman" w:hAnsi="Times New Roman" w:cs="Times New Roman"/>
          <w:sz w:val="24"/>
          <w:szCs w:val="24"/>
        </w:rPr>
        <w:t>Remicade</w:t>
      </w:r>
      <w:proofErr w:type="spellEnd"/>
      <w:r w:rsidR="004A10AE" w:rsidRPr="0025669D">
        <w:rPr>
          <w:rFonts w:ascii="Times New Roman" w:hAnsi="Times New Roman" w:cs="Times New Roman"/>
          <w:sz w:val="24"/>
          <w:szCs w:val="24"/>
          <w:vertAlign w:val="superscript"/>
        </w:rPr>
        <w:t>®</w:t>
      </w:r>
      <w:r w:rsidR="004A10AE" w:rsidRPr="0025669D">
        <w:rPr>
          <w:rFonts w:ascii="Times New Roman" w:hAnsi="Times New Roman" w:cs="Times New Roman"/>
          <w:sz w:val="24"/>
          <w:szCs w:val="24"/>
        </w:rPr>
        <w:t xml:space="preserve"> </w:t>
      </w:r>
      <w:r>
        <w:rPr>
          <w:rFonts w:ascii="Times New Roman" w:hAnsi="Times New Roman" w:cs="Times New Roman" w:hint="eastAsia"/>
          <w:sz w:val="24"/>
          <w:szCs w:val="24"/>
        </w:rPr>
        <w:t>were comparable</w:t>
      </w:r>
      <w:r w:rsidR="004A10AE" w:rsidRPr="0025669D">
        <w:rPr>
          <w:rFonts w:ascii="Times New Roman" w:hAnsi="Times New Roman" w:cs="Times New Roman"/>
          <w:sz w:val="24"/>
          <w:szCs w:val="24"/>
        </w:rPr>
        <w:t xml:space="preserve"> in</w:t>
      </w:r>
      <w:r w:rsidR="004A10AE">
        <w:rPr>
          <w:rFonts w:ascii="Times New Roman" w:hAnsi="Times New Roman" w:cs="Times New Roman" w:hint="eastAsia"/>
          <w:sz w:val="24"/>
          <w:szCs w:val="24"/>
        </w:rPr>
        <w:t xml:space="preserve"> </w:t>
      </w:r>
      <w:r w:rsidR="004A10AE" w:rsidRPr="0025669D">
        <w:rPr>
          <w:rFonts w:ascii="Times New Roman" w:hAnsi="Times New Roman" w:cs="Times New Roman"/>
          <w:sz w:val="24"/>
          <w:szCs w:val="24"/>
        </w:rPr>
        <w:t xml:space="preserve">a </w:t>
      </w:r>
      <w:proofErr w:type="spellStart"/>
      <w:r w:rsidR="004A10AE" w:rsidRPr="0025669D">
        <w:rPr>
          <w:rFonts w:ascii="Times New Roman" w:hAnsi="Times New Roman" w:cs="Times New Roman"/>
          <w:sz w:val="24"/>
          <w:szCs w:val="24"/>
        </w:rPr>
        <w:t>randomised</w:t>
      </w:r>
      <w:proofErr w:type="spellEnd"/>
      <w:r w:rsidR="004A10AE" w:rsidRPr="0025669D">
        <w:rPr>
          <w:rFonts w:ascii="Times New Roman" w:hAnsi="Times New Roman" w:cs="Times New Roman"/>
          <w:sz w:val="24"/>
          <w:szCs w:val="24"/>
        </w:rPr>
        <w:t xml:space="preserve">, single-blind, </w:t>
      </w:r>
      <w:proofErr w:type="gramStart"/>
      <w:r w:rsidR="004A10AE" w:rsidRPr="0025669D">
        <w:rPr>
          <w:rFonts w:ascii="Times New Roman" w:hAnsi="Times New Roman" w:cs="Times New Roman"/>
          <w:sz w:val="24"/>
          <w:szCs w:val="24"/>
        </w:rPr>
        <w:t>parallel</w:t>
      </w:r>
      <w:proofErr w:type="gramEnd"/>
      <w:r w:rsidR="004A10AE" w:rsidRPr="0025669D">
        <w:rPr>
          <w:rFonts w:ascii="Times New Roman" w:hAnsi="Times New Roman" w:cs="Times New Roman"/>
          <w:sz w:val="24"/>
          <w:szCs w:val="24"/>
        </w:rPr>
        <w:t xml:space="preserve"> group </w:t>
      </w:r>
      <w:r w:rsidR="004A10AE">
        <w:rPr>
          <w:rFonts w:ascii="Times New Roman" w:hAnsi="Times New Roman" w:cs="Times New Roman" w:hint="eastAsia"/>
          <w:sz w:val="24"/>
          <w:szCs w:val="24"/>
        </w:rPr>
        <w:t>Phase 1 study in</w:t>
      </w:r>
      <w:r w:rsidR="004A10AE" w:rsidRPr="0025669D">
        <w:rPr>
          <w:rFonts w:ascii="Times New Roman" w:hAnsi="Times New Roman" w:cs="Times New Roman"/>
          <w:sz w:val="24"/>
          <w:szCs w:val="24"/>
        </w:rPr>
        <w:t xml:space="preserve"> healthy </w:t>
      </w:r>
      <w:r w:rsidR="004A10AE">
        <w:rPr>
          <w:rFonts w:ascii="Times New Roman" w:hAnsi="Times New Roman" w:cs="Times New Roman" w:hint="eastAsia"/>
          <w:sz w:val="24"/>
          <w:szCs w:val="24"/>
        </w:rPr>
        <w:t>subjects</w:t>
      </w:r>
      <w:r w:rsidR="004A10AE" w:rsidRPr="0025669D">
        <w:rPr>
          <w:rFonts w:ascii="Times New Roman" w:hAnsi="Times New Roman" w:cs="Times New Roman"/>
          <w:sz w:val="24"/>
          <w:szCs w:val="24"/>
        </w:rPr>
        <w:t xml:space="preserve"> following a single IV administration (5mg/kg) (Study SB2-G11-NHV). </w:t>
      </w:r>
    </w:p>
    <w:p w14:paraId="2A033996" w14:textId="77777777" w:rsidR="00B91023" w:rsidRDefault="004A10AE" w:rsidP="007947DB">
      <w:pPr>
        <w:spacing w:line="240" w:lineRule="auto"/>
        <w:jc w:val="left"/>
        <w:rPr>
          <w:rFonts w:ascii="Times New Roman" w:hAnsi="Times New Roman" w:cs="Times New Roman"/>
          <w:sz w:val="24"/>
          <w:szCs w:val="24"/>
        </w:rPr>
      </w:pPr>
      <w:r w:rsidRPr="00FC15F4">
        <w:rPr>
          <w:rFonts w:ascii="Times New Roman" w:hAnsi="Times New Roman" w:cs="Times New Roman"/>
          <w:sz w:val="24"/>
          <w:szCs w:val="24"/>
        </w:rPr>
        <w:t xml:space="preserve">The PK parameters, </w:t>
      </w:r>
      <w:proofErr w:type="spellStart"/>
      <w:r w:rsidRPr="00FC15F4">
        <w:rPr>
          <w:rFonts w:ascii="Times New Roman" w:hAnsi="Times New Roman" w:cs="Times New Roman"/>
          <w:sz w:val="24"/>
          <w:szCs w:val="24"/>
        </w:rPr>
        <w:t>AUC</w:t>
      </w:r>
      <w:r w:rsidRPr="00FC15F4">
        <w:rPr>
          <w:rFonts w:ascii="Times New Roman" w:hAnsi="Times New Roman" w:cs="Times New Roman"/>
          <w:sz w:val="24"/>
          <w:szCs w:val="24"/>
          <w:vertAlign w:val="subscript"/>
        </w:rPr>
        <w:t>inf</w:t>
      </w:r>
      <w:proofErr w:type="spellEnd"/>
      <w:r w:rsidRPr="00FC15F4">
        <w:rPr>
          <w:rFonts w:ascii="Times New Roman" w:hAnsi="Times New Roman" w:cs="Times New Roman"/>
          <w:sz w:val="24"/>
          <w:szCs w:val="24"/>
        </w:rPr>
        <w:t xml:space="preserve">, </w:t>
      </w:r>
      <w:proofErr w:type="spellStart"/>
      <w:r w:rsidRPr="00FC15F4">
        <w:rPr>
          <w:rFonts w:ascii="Times New Roman" w:hAnsi="Times New Roman" w:cs="Times New Roman"/>
          <w:sz w:val="24"/>
          <w:szCs w:val="24"/>
        </w:rPr>
        <w:t>AUC</w:t>
      </w:r>
      <w:r w:rsidRPr="00FC15F4">
        <w:rPr>
          <w:rFonts w:ascii="Times New Roman" w:hAnsi="Times New Roman" w:cs="Times New Roman"/>
          <w:sz w:val="24"/>
          <w:szCs w:val="24"/>
          <w:vertAlign w:val="subscript"/>
        </w:rPr>
        <w:t>last</w:t>
      </w:r>
      <w:proofErr w:type="spellEnd"/>
      <w:r w:rsidRPr="00FC15F4">
        <w:rPr>
          <w:rFonts w:ascii="Times New Roman" w:hAnsi="Times New Roman" w:cs="Times New Roman"/>
          <w:sz w:val="24"/>
          <w:szCs w:val="24"/>
        </w:rPr>
        <w:t xml:space="preserve"> and </w:t>
      </w:r>
      <w:proofErr w:type="spellStart"/>
      <w:r w:rsidRPr="00FC15F4">
        <w:rPr>
          <w:rFonts w:ascii="Times New Roman" w:hAnsi="Times New Roman" w:cs="Times New Roman"/>
          <w:sz w:val="24"/>
          <w:szCs w:val="24"/>
        </w:rPr>
        <w:t>C</w:t>
      </w:r>
      <w:r w:rsidRPr="00FC15F4">
        <w:rPr>
          <w:rFonts w:ascii="Times New Roman" w:hAnsi="Times New Roman" w:cs="Times New Roman"/>
          <w:sz w:val="24"/>
          <w:szCs w:val="24"/>
          <w:vertAlign w:val="subscript"/>
        </w:rPr>
        <w:t>max</w:t>
      </w:r>
      <w:proofErr w:type="spellEnd"/>
      <w:r w:rsidRPr="00FC15F4">
        <w:rPr>
          <w:rFonts w:ascii="Times New Roman" w:hAnsi="Times New Roman" w:cs="Times New Roman"/>
          <w:sz w:val="24"/>
          <w:szCs w:val="24"/>
          <w:vertAlign w:val="subscript"/>
        </w:rPr>
        <w:t xml:space="preserve">, </w:t>
      </w:r>
      <w:r w:rsidRPr="00FC15F4">
        <w:rPr>
          <w:rFonts w:ascii="Times New Roman" w:hAnsi="Times New Roman" w:cs="Times New Roman"/>
          <w:sz w:val="24"/>
          <w:szCs w:val="24"/>
        </w:rPr>
        <w:t xml:space="preserve">were compared between </w:t>
      </w:r>
      <w:r>
        <w:rPr>
          <w:rFonts w:ascii="Times New Roman" w:hAnsi="Times New Roman" w:cs="Times New Roman"/>
          <w:sz w:val="24"/>
          <w:szCs w:val="24"/>
        </w:rPr>
        <w:t>RENFLEXIS</w:t>
      </w:r>
      <w:r w:rsidRPr="00FC15F4">
        <w:rPr>
          <w:rFonts w:ascii="Times New Roman" w:hAnsi="Times New Roman" w:cs="Times New Roman"/>
          <w:sz w:val="24"/>
          <w:szCs w:val="24"/>
        </w:rPr>
        <w:t xml:space="preserve"> and </w:t>
      </w:r>
      <w:proofErr w:type="spellStart"/>
      <w:r w:rsidRPr="00FC15F4">
        <w:rPr>
          <w:rFonts w:ascii="Times New Roman" w:hAnsi="Times New Roman" w:cs="Times New Roman"/>
          <w:sz w:val="24"/>
          <w:szCs w:val="24"/>
        </w:rPr>
        <w:t>Remicade</w:t>
      </w:r>
      <w:proofErr w:type="spellEnd"/>
      <w:r w:rsidRPr="00FC15F4">
        <w:rPr>
          <w:rFonts w:ascii="Times New Roman" w:hAnsi="Times New Roman" w:cs="Times New Roman"/>
          <w:sz w:val="24"/>
          <w:szCs w:val="24"/>
          <w:vertAlign w:val="superscript"/>
        </w:rPr>
        <w:t>®</w:t>
      </w:r>
      <w:r w:rsidRPr="00FC15F4">
        <w:rPr>
          <w:rFonts w:ascii="Times New Roman" w:hAnsi="Times New Roman" w:cs="Times New Roman"/>
          <w:sz w:val="24"/>
          <w:szCs w:val="24"/>
        </w:rPr>
        <w:t xml:space="preserve">. </w:t>
      </w:r>
    </w:p>
    <w:p w14:paraId="7DD74285" w14:textId="7981EDC2" w:rsidR="004A10AE" w:rsidRDefault="004A10AE" w:rsidP="00B91023">
      <w:pPr>
        <w:spacing w:line="240" w:lineRule="auto"/>
        <w:jc w:val="left"/>
        <w:rPr>
          <w:rFonts w:ascii="Times New Roman" w:hAnsi="Times New Roman" w:cs="Times New Roman"/>
          <w:sz w:val="24"/>
          <w:szCs w:val="24"/>
        </w:rPr>
      </w:pPr>
      <w:r w:rsidRPr="00FC15F4">
        <w:rPr>
          <w:rFonts w:ascii="Times New Roman" w:hAnsi="Times New Roman" w:cs="Times New Roman"/>
          <w:sz w:val="24"/>
          <w:szCs w:val="24"/>
        </w:rPr>
        <w:t>The</w:t>
      </w:r>
      <w:r w:rsidR="00B91023" w:rsidRPr="00B91023">
        <w:rPr>
          <w:rFonts w:ascii="Times New Roman" w:hAnsi="Times New Roman" w:cs="Times New Roman"/>
          <w:sz w:val="24"/>
          <w:szCs w:val="24"/>
        </w:rPr>
        <w:t xml:space="preserve"> summary of the pharmacokinetic profiles of </w:t>
      </w:r>
      <w:r w:rsidR="00B91023">
        <w:rPr>
          <w:rFonts w:ascii="Times New Roman" w:hAnsi="Times New Roman" w:cs="Times New Roman"/>
          <w:sz w:val="24"/>
          <w:szCs w:val="24"/>
        </w:rPr>
        <w:t>RENFLEXIS</w:t>
      </w:r>
      <w:r w:rsidR="00B91023">
        <w:rPr>
          <w:rFonts w:ascii="Times New Roman" w:hAnsi="Times New Roman" w:cs="Times New Roman" w:hint="eastAsia"/>
          <w:sz w:val="24"/>
          <w:szCs w:val="24"/>
        </w:rPr>
        <w:t xml:space="preserve"> </w:t>
      </w:r>
      <w:r w:rsidR="00B91023" w:rsidRPr="00B91023">
        <w:rPr>
          <w:rFonts w:ascii="Times New Roman" w:hAnsi="Times New Roman" w:cs="Times New Roman"/>
          <w:sz w:val="24"/>
          <w:szCs w:val="24"/>
        </w:rPr>
        <w:t xml:space="preserve">and </w:t>
      </w:r>
      <w:proofErr w:type="spellStart"/>
      <w:r w:rsidR="00B91023" w:rsidRPr="00FC15F4">
        <w:rPr>
          <w:rFonts w:ascii="Times New Roman" w:hAnsi="Times New Roman" w:cs="Times New Roman"/>
          <w:sz w:val="24"/>
          <w:szCs w:val="24"/>
        </w:rPr>
        <w:t>Remicade</w:t>
      </w:r>
      <w:proofErr w:type="spellEnd"/>
      <w:r w:rsidR="00B91023" w:rsidRPr="00FC15F4">
        <w:rPr>
          <w:rFonts w:ascii="Times New Roman" w:hAnsi="Times New Roman" w:cs="Times New Roman"/>
          <w:sz w:val="24"/>
          <w:szCs w:val="24"/>
          <w:vertAlign w:val="superscript"/>
        </w:rPr>
        <w:t>®</w:t>
      </w:r>
      <w:r w:rsidR="00B91023" w:rsidRPr="00B91023">
        <w:rPr>
          <w:rFonts w:ascii="Times New Roman" w:hAnsi="Times New Roman" w:cs="Times New Roman"/>
          <w:sz w:val="24"/>
          <w:szCs w:val="24"/>
        </w:rPr>
        <w:t xml:space="preserve"> in healthy volunteers are listed in</w:t>
      </w:r>
      <w:r w:rsidR="00B91023">
        <w:rPr>
          <w:rFonts w:ascii="Times New Roman" w:hAnsi="Times New Roman" w:cs="Times New Roman" w:hint="eastAsia"/>
          <w:sz w:val="24"/>
          <w:szCs w:val="24"/>
        </w:rPr>
        <w:t xml:space="preserve"> </w:t>
      </w:r>
      <w:r w:rsidRPr="00FC15F4">
        <w:rPr>
          <w:rFonts w:ascii="Times New Roman" w:hAnsi="Times New Roman" w:cs="Times New Roman"/>
          <w:sz w:val="24"/>
          <w:szCs w:val="24"/>
        </w:rPr>
        <w:fldChar w:fldCharType="begin"/>
      </w:r>
      <w:r w:rsidRPr="00FC15F4">
        <w:rPr>
          <w:rFonts w:ascii="Times New Roman" w:hAnsi="Times New Roman" w:cs="Times New Roman"/>
          <w:sz w:val="24"/>
          <w:szCs w:val="24"/>
        </w:rPr>
        <w:instrText xml:space="preserve"> REF _Ref423967341 \h  \* MERGEFORMAT </w:instrText>
      </w:r>
      <w:r w:rsidRPr="00FC15F4">
        <w:rPr>
          <w:rFonts w:ascii="Times New Roman" w:hAnsi="Times New Roman" w:cs="Times New Roman"/>
          <w:sz w:val="24"/>
          <w:szCs w:val="24"/>
        </w:rPr>
      </w:r>
      <w:r w:rsidRPr="00FC15F4">
        <w:rPr>
          <w:rFonts w:ascii="Times New Roman" w:hAnsi="Times New Roman" w:cs="Times New Roman"/>
          <w:sz w:val="24"/>
          <w:szCs w:val="24"/>
        </w:rPr>
        <w:fldChar w:fldCharType="separate"/>
      </w:r>
      <w:r w:rsidR="005A6BF4" w:rsidRPr="005A6BF4">
        <w:rPr>
          <w:rFonts w:ascii="Times New Roman" w:eastAsia="Malgun Gothic" w:hAnsi="Times New Roman" w:cs="Times New Roman"/>
          <w:sz w:val="24"/>
          <w:szCs w:val="24"/>
          <w:lang w:val="en-GB" w:eastAsia="en-US"/>
        </w:rPr>
        <w:t>Table</w:t>
      </w:r>
      <w:r w:rsidR="005A6BF4" w:rsidRPr="005A6BF4">
        <w:rPr>
          <w:rFonts w:ascii="Times New Roman" w:eastAsia="Malgun Gothic" w:hAnsi="Times New Roman" w:cs="Times New Roman"/>
          <w:sz w:val="24"/>
          <w:szCs w:val="24"/>
          <w:lang w:val="en-GB"/>
        </w:rPr>
        <w:t xml:space="preserve"> </w:t>
      </w:r>
      <w:r w:rsidR="005A6BF4" w:rsidRPr="005A6BF4">
        <w:rPr>
          <w:rFonts w:ascii="Times New Roman" w:eastAsia="Malgun Gothic" w:hAnsi="Times New Roman" w:cs="Times New Roman"/>
          <w:sz w:val="24"/>
          <w:szCs w:val="24"/>
          <w:lang w:val="en-GB" w:eastAsia="en-US"/>
        </w:rPr>
        <w:t>1</w:t>
      </w:r>
      <w:r w:rsidRPr="00FC15F4">
        <w:rPr>
          <w:rFonts w:ascii="Times New Roman" w:hAnsi="Times New Roman" w:cs="Times New Roman"/>
          <w:sz w:val="24"/>
          <w:szCs w:val="24"/>
        </w:rPr>
        <w:fldChar w:fldCharType="end"/>
      </w:r>
      <w:r w:rsidRPr="00FC15F4">
        <w:rPr>
          <w:rFonts w:ascii="Times New Roman" w:hAnsi="Times New Roman" w:cs="Times New Roman"/>
          <w:sz w:val="24"/>
          <w:szCs w:val="24"/>
        </w:rPr>
        <w:t xml:space="preserve">. </w:t>
      </w:r>
    </w:p>
    <w:p w14:paraId="48153AAE" w14:textId="71790232" w:rsidR="003B022B" w:rsidRDefault="003B022B">
      <w:pPr>
        <w:widowControl/>
        <w:wordWrap/>
        <w:autoSpaceDE/>
        <w:autoSpaceDN/>
        <w:rPr>
          <w:rFonts w:ascii="Times New Roman" w:hAnsi="Times New Roman" w:cs="Times New Roman"/>
          <w:sz w:val="24"/>
          <w:szCs w:val="24"/>
        </w:rPr>
      </w:pPr>
      <w:r>
        <w:rPr>
          <w:rFonts w:ascii="Times New Roman" w:hAnsi="Times New Roman" w:cs="Times New Roman"/>
          <w:sz w:val="24"/>
          <w:szCs w:val="24"/>
        </w:rPr>
        <w:lastRenderedPageBreak/>
        <w:br w:type="page"/>
      </w:r>
    </w:p>
    <w:p w14:paraId="50984E87" w14:textId="500DB97A" w:rsidR="004A10AE" w:rsidRPr="00FC15F4" w:rsidRDefault="004A10AE" w:rsidP="007947DB">
      <w:pPr>
        <w:pStyle w:val="Caption"/>
        <w:keepNext/>
        <w:spacing w:after="0" w:line="240" w:lineRule="auto"/>
        <w:ind w:left="880" w:hangingChars="400" w:hanging="880"/>
        <w:rPr>
          <w:rFonts w:ascii="Times New Roman" w:hAnsi="Times New Roman" w:cs="Times New Roman"/>
          <w:sz w:val="22"/>
          <w:szCs w:val="22"/>
        </w:rPr>
      </w:pPr>
      <w:bookmarkStart w:id="1" w:name="_Ref423967341"/>
      <w:proofErr w:type="gramStart"/>
      <w:r w:rsidRPr="00FC15F4">
        <w:rPr>
          <w:rFonts w:ascii="Times New Roman" w:hAnsi="Times New Roman" w:cs="Times New Roman"/>
          <w:sz w:val="22"/>
          <w:szCs w:val="22"/>
        </w:rPr>
        <w:lastRenderedPageBreak/>
        <w:t xml:space="preserve">Table </w:t>
      </w:r>
      <w:r w:rsidRPr="00FC15F4">
        <w:rPr>
          <w:rFonts w:ascii="Times New Roman" w:hAnsi="Times New Roman" w:cs="Times New Roman"/>
          <w:sz w:val="22"/>
          <w:szCs w:val="22"/>
        </w:rPr>
        <w:fldChar w:fldCharType="begin"/>
      </w:r>
      <w:r w:rsidRPr="00FC15F4">
        <w:rPr>
          <w:rFonts w:ascii="Times New Roman" w:hAnsi="Times New Roman" w:cs="Times New Roman"/>
          <w:sz w:val="22"/>
          <w:szCs w:val="22"/>
        </w:rPr>
        <w:instrText xml:space="preserve"> SEQ Table \* ARABIC </w:instrText>
      </w:r>
      <w:r w:rsidRPr="00FC15F4">
        <w:rPr>
          <w:rFonts w:ascii="Times New Roman" w:hAnsi="Times New Roman" w:cs="Times New Roman"/>
          <w:sz w:val="22"/>
          <w:szCs w:val="22"/>
        </w:rPr>
        <w:fldChar w:fldCharType="separate"/>
      </w:r>
      <w:r w:rsidR="005A6BF4">
        <w:rPr>
          <w:rFonts w:ascii="Times New Roman" w:hAnsi="Times New Roman" w:cs="Times New Roman"/>
          <w:noProof/>
          <w:sz w:val="22"/>
          <w:szCs w:val="22"/>
        </w:rPr>
        <w:t>1</w:t>
      </w:r>
      <w:r w:rsidRPr="00FC15F4">
        <w:rPr>
          <w:rFonts w:ascii="Times New Roman" w:hAnsi="Times New Roman" w:cs="Times New Roman"/>
          <w:sz w:val="22"/>
          <w:szCs w:val="22"/>
        </w:rPr>
        <w:fldChar w:fldCharType="end"/>
      </w:r>
      <w:bookmarkEnd w:id="1"/>
      <w:r w:rsidRPr="00FC15F4">
        <w:rPr>
          <w:rFonts w:ascii="Times New Roman" w:hAnsi="Times New Roman" w:cs="Times New Roman"/>
          <w:sz w:val="22"/>
          <w:szCs w:val="22"/>
        </w:rPr>
        <w:t>.</w:t>
      </w:r>
      <w:proofErr w:type="gramEnd"/>
      <w:r w:rsidRPr="00FC15F4">
        <w:rPr>
          <w:rFonts w:ascii="Times New Roman" w:hAnsi="Times New Roman" w:cs="Times New Roman"/>
          <w:sz w:val="22"/>
          <w:szCs w:val="22"/>
        </w:rPr>
        <w:t xml:space="preserve"> Statistical comparison of PK parameters (</w:t>
      </w:r>
      <w:r>
        <w:rPr>
          <w:rFonts w:ascii="Times New Roman" w:hAnsi="Times New Roman" w:cs="Times New Roman"/>
          <w:sz w:val="22"/>
          <w:szCs w:val="22"/>
        </w:rPr>
        <w:t>RENFLEXIS</w:t>
      </w:r>
      <w:r w:rsidRPr="00FC15F4">
        <w:rPr>
          <w:rFonts w:ascii="Times New Roman" w:hAnsi="Times New Roman" w:cs="Times New Roman"/>
          <w:sz w:val="22"/>
          <w:szCs w:val="22"/>
        </w:rPr>
        <w:t xml:space="preserve"> vs. EU </w:t>
      </w:r>
      <w:proofErr w:type="spellStart"/>
      <w:r w:rsidRPr="00FC15F4">
        <w:rPr>
          <w:rFonts w:ascii="Times New Roman" w:hAnsi="Times New Roman" w:cs="Times New Roman"/>
          <w:sz w:val="22"/>
          <w:szCs w:val="22"/>
        </w:rPr>
        <w:t>Remicade</w:t>
      </w:r>
      <w:proofErr w:type="spellEnd"/>
      <w:r w:rsidRPr="001056E5">
        <w:rPr>
          <w:rFonts w:ascii="Times New Roman" w:hAnsi="Times New Roman" w:cs="Times New Roman"/>
          <w:sz w:val="22"/>
          <w:szCs w:val="22"/>
          <w:vertAlign w:val="superscript"/>
        </w:rPr>
        <w:t>®</w:t>
      </w:r>
      <w:r w:rsidRPr="00FC15F4">
        <w:rPr>
          <w:rFonts w:ascii="Times New Roman" w:hAnsi="Times New Roman" w:cs="Times New Roman"/>
          <w:sz w:val="22"/>
          <w:szCs w:val="22"/>
        </w:rPr>
        <w:t>) (Study SB2-G11-NHV)</w:t>
      </w:r>
    </w:p>
    <w:tbl>
      <w:tblPr>
        <w:tblStyle w:val="TableGrid"/>
        <w:tblW w:w="5000" w:type="pct"/>
        <w:tblLook w:val="04A0" w:firstRow="1" w:lastRow="0" w:firstColumn="1" w:lastColumn="0" w:noHBand="0" w:noVBand="1"/>
      </w:tblPr>
      <w:tblGrid>
        <w:gridCol w:w="1552"/>
        <w:gridCol w:w="1552"/>
        <w:gridCol w:w="737"/>
        <w:gridCol w:w="738"/>
        <w:gridCol w:w="1555"/>
        <w:gridCol w:w="1555"/>
        <w:gridCol w:w="1553"/>
      </w:tblGrid>
      <w:tr w:rsidR="004A10AE" w:rsidRPr="0025669D" w14:paraId="3C0E0E8D" w14:textId="77777777" w:rsidTr="005A4B0D">
        <w:tc>
          <w:tcPr>
            <w:tcW w:w="840" w:type="pct"/>
            <w:vAlign w:val="center"/>
          </w:tcPr>
          <w:p w14:paraId="7E097FA2" w14:textId="77777777" w:rsidR="004A10AE" w:rsidRPr="0025669D" w:rsidRDefault="004A10AE" w:rsidP="007947DB">
            <w:pPr>
              <w:wordWrap/>
              <w:adjustRightInd w:val="0"/>
              <w:jc w:val="left"/>
              <w:rPr>
                <w:rFonts w:ascii="Times New Roman" w:eastAsia="Malgun Gothic" w:hAnsi="Times New Roman" w:cs="Times New Roman"/>
                <w:b/>
                <w:color w:val="000000"/>
                <w:kern w:val="0"/>
                <w:sz w:val="22"/>
              </w:rPr>
            </w:pPr>
            <w:r w:rsidRPr="0025669D">
              <w:rPr>
                <w:rFonts w:ascii="Times New Roman" w:eastAsia="Malgun Gothic" w:hAnsi="Times New Roman" w:cs="Times New Roman"/>
                <w:b/>
                <w:color w:val="000000"/>
                <w:kern w:val="0"/>
                <w:sz w:val="22"/>
              </w:rPr>
              <w:t>PK Parameter</w:t>
            </w:r>
          </w:p>
        </w:tc>
        <w:tc>
          <w:tcPr>
            <w:tcW w:w="840" w:type="pct"/>
            <w:vAlign w:val="center"/>
          </w:tcPr>
          <w:p w14:paraId="4D726DF3" w14:textId="77777777" w:rsidR="004A10AE" w:rsidRPr="0025669D" w:rsidRDefault="004A10AE" w:rsidP="007947DB">
            <w:pPr>
              <w:wordWrap/>
              <w:adjustRightInd w:val="0"/>
              <w:jc w:val="left"/>
              <w:rPr>
                <w:rFonts w:ascii="Times New Roman" w:eastAsia="Malgun Gothic" w:hAnsi="Times New Roman" w:cs="Times New Roman"/>
                <w:b/>
                <w:color w:val="000000"/>
                <w:kern w:val="0"/>
                <w:sz w:val="22"/>
              </w:rPr>
            </w:pPr>
            <w:r w:rsidRPr="0025669D">
              <w:rPr>
                <w:rFonts w:ascii="Times New Roman" w:eastAsia="Malgun Gothic" w:hAnsi="Times New Roman" w:cs="Times New Roman"/>
                <w:b/>
                <w:color w:val="000000"/>
                <w:kern w:val="0"/>
                <w:sz w:val="22"/>
              </w:rPr>
              <w:t>Treatment</w:t>
            </w:r>
          </w:p>
        </w:tc>
        <w:tc>
          <w:tcPr>
            <w:tcW w:w="399" w:type="pct"/>
            <w:vAlign w:val="center"/>
          </w:tcPr>
          <w:p w14:paraId="39F0E61C" w14:textId="77777777" w:rsidR="004A10AE" w:rsidRPr="0025669D" w:rsidRDefault="004A10AE" w:rsidP="007947DB">
            <w:pPr>
              <w:wordWrap/>
              <w:adjustRightInd w:val="0"/>
              <w:jc w:val="center"/>
              <w:rPr>
                <w:rFonts w:ascii="Times New Roman" w:eastAsia="Malgun Gothic" w:hAnsi="Times New Roman" w:cs="Times New Roman"/>
                <w:b/>
                <w:color w:val="000000"/>
                <w:kern w:val="0"/>
                <w:sz w:val="22"/>
              </w:rPr>
            </w:pPr>
            <w:r w:rsidRPr="0025669D">
              <w:rPr>
                <w:rFonts w:ascii="Times New Roman" w:eastAsia="Malgun Gothic" w:hAnsi="Times New Roman" w:cs="Times New Roman"/>
                <w:b/>
                <w:color w:val="000000"/>
                <w:kern w:val="0"/>
                <w:sz w:val="22"/>
              </w:rPr>
              <w:t>N</w:t>
            </w:r>
          </w:p>
        </w:tc>
        <w:tc>
          <w:tcPr>
            <w:tcW w:w="399" w:type="pct"/>
            <w:vAlign w:val="center"/>
          </w:tcPr>
          <w:p w14:paraId="69B88A0D" w14:textId="77777777" w:rsidR="004A10AE" w:rsidRPr="0025669D" w:rsidRDefault="004A10AE" w:rsidP="007947DB">
            <w:pPr>
              <w:wordWrap/>
              <w:adjustRightInd w:val="0"/>
              <w:jc w:val="center"/>
              <w:rPr>
                <w:rFonts w:ascii="Times New Roman" w:eastAsia="Malgun Gothic" w:hAnsi="Times New Roman" w:cs="Times New Roman"/>
                <w:b/>
                <w:color w:val="000000"/>
                <w:kern w:val="0"/>
                <w:sz w:val="22"/>
              </w:rPr>
            </w:pPr>
            <w:r w:rsidRPr="0025669D">
              <w:rPr>
                <w:rFonts w:ascii="Times New Roman" w:eastAsia="Malgun Gothic" w:hAnsi="Times New Roman" w:cs="Times New Roman"/>
                <w:b/>
                <w:color w:val="000000"/>
                <w:kern w:val="0"/>
                <w:sz w:val="22"/>
              </w:rPr>
              <w:t>n</w:t>
            </w:r>
          </w:p>
        </w:tc>
        <w:tc>
          <w:tcPr>
            <w:tcW w:w="841" w:type="pct"/>
            <w:vAlign w:val="center"/>
          </w:tcPr>
          <w:p w14:paraId="6794F24E" w14:textId="77777777" w:rsidR="004A10AE" w:rsidRPr="0025669D" w:rsidRDefault="004A10AE" w:rsidP="007947DB">
            <w:pPr>
              <w:wordWrap/>
              <w:adjustRightInd w:val="0"/>
              <w:jc w:val="center"/>
              <w:rPr>
                <w:rFonts w:ascii="Times New Roman" w:eastAsia="Malgun Gothic" w:hAnsi="Times New Roman" w:cs="Times New Roman"/>
                <w:b/>
                <w:color w:val="000000"/>
                <w:kern w:val="0"/>
                <w:sz w:val="22"/>
              </w:rPr>
            </w:pPr>
            <w:r w:rsidRPr="0025669D">
              <w:rPr>
                <w:rFonts w:ascii="Times New Roman" w:eastAsia="Malgun Gothic" w:hAnsi="Times New Roman" w:cs="Times New Roman"/>
                <w:b/>
                <w:color w:val="000000"/>
                <w:kern w:val="0"/>
                <w:sz w:val="22"/>
              </w:rPr>
              <w:t xml:space="preserve">Geometric </w:t>
            </w:r>
            <w:proofErr w:type="spellStart"/>
            <w:r w:rsidRPr="0025669D">
              <w:rPr>
                <w:rFonts w:ascii="Times New Roman" w:eastAsia="Malgun Gothic" w:hAnsi="Times New Roman" w:cs="Times New Roman"/>
                <w:b/>
                <w:color w:val="000000"/>
                <w:kern w:val="0"/>
                <w:sz w:val="22"/>
              </w:rPr>
              <w:t>LSMean</w:t>
            </w:r>
            <w:proofErr w:type="spellEnd"/>
          </w:p>
        </w:tc>
        <w:tc>
          <w:tcPr>
            <w:tcW w:w="841" w:type="pct"/>
            <w:vAlign w:val="center"/>
          </w:tcPr>
          <w:p w14:paraId="58209584" w14:textId="77777777" w:rsidR="004A10AE" w:rsidRPr="0025669D" w:rsidRDefault="004A10AE" w:rsidP="007947DB">
            <w:pPr>
              <w:wordWrap/>
              <w:adjustRightInd w:val="0"/>
              <w:jc w:val="center"/>
              <w:rPr>
                <w:rFonts w:ascii="Times New Roman" w:eastAsia="Malgun Gothic" w:hAnsi="Times New Roman" w:cs="Times New Roman"/>
                <w:b/>
                <w:color w:val="000000"/>
                <w:kern w:val="0"/>
                <w:sz w:val="22"/>
              </w:rPr>
            </w:pPr>
            <w:proofErr w:type="spellStart"/>
            <w:r w:rsidRPr="0025669D">
              <w:rPr>
                <w:rFonts w:ascii="Times New Roman" w:eastAsia="Malgun Gothic" w:hAnsi="Times New Roman" w:cs="Times New Roman"/>
                <w:b/>
                <w:color w:val="000000"/>
                <w:kern w:val="0"/>
                <w:sz w:val="22"/>
              </w:rPr>
              <w:t>LSMean</w:t>
            </w:r>
            <w:proofErr w:type="spellEnd"/>
            <w:r w:rsidRPr="0025669D">
              <w:rPr>
                <w:rFonts w:ascii="Times New Roman" w:eastAsia="Malgun Gothic" w:hAnsi="Times New Roman" w:cs="Times New Roman"/>
                <w:b/>
                <w:color w:val="000000"/>
                <w:kern w:val="0"/>
                <w:sz w:val="22"/>
              </w:rPr>
              <w:t xml:space="preserve"> Ratio</w:t>
            </w:r>
          </w:p>
        </w:tc>
        <w:tc>
          <w:tcPr>
            <w:tcW w:w="840" w:type="pct"/>
            <w:vAlign w:val="center"/>
          </w:tcPr>
          <w:p w14:paraId="7514DA77" w14:textId="77777777" w:rsidR="004A10AE" w:rsidRPr="0025669D" w:rsidRDefault="004A10AE" w:rsidP="007947DB">
            <w:pPr>
              <w:wordWrap/>
              <w:adjustRightInd w:val="0"/>
              <w:jc w:val="center"/>
              <w:rPr>
                <w:rFonts w:ascii="Times New Roman" w:eastAsia="Malgun Gothic" w:hAnsi="Times New Roman" w:cs="Times New Roman"/>
                <w:b/>
                <w:color w:val="000000"/>
                <w:kern w:val="0"/>
                <w:sz w:val="22"/>
              </w:rPr>
            </w:pPr>
            <w:r w:rsidRPr="0025669D">
              <w:rPr>
                <w:rFonts w:ascii="Times New Roman" w:eastAsia="Malgun Gothic" w:hAnsi="Times New Roman" w:cs="Times New Roman"/>
                <w:b/>
                <w:color w:val="000000"/>
                <w:kern w:val="0"/>
                <w:sz w:val="22"/>
              </w:rPr>
              <w:t>90% CI of Ratio</w:t>
            </w:r>
          </w:p>
        </w:tc>
      </w:tr>
      <w:tr w:rsidR="004A10AE" w:rsidRPr="0025669D" w14:paraId="0D15A650" w14:textId="77777777" w:rsidTr="005A4B0D">
        <w:tc>
          <w:tcPr>
            <w:tcW w:w="840" w:type="pct"/>
            <w:vMerge w:val="restart"/>
            <w:vAlign w:val="center"/>
          </w:tcPr>
          <w:p w14:paraId="025112B7" w14:textId="77777777" w:rsidR="004A10AE" w:rsidRPr="00003699" w:rsidRDefault="004A10AE" w:rsidP="007947DB">
            <w:pPr>
              <w:pStyle w:val="Default"/>
              <w:rPr>
                <w:rFonts w:eastAsia="Malgun Gothic"/>
                <w:sz w:val="22"/>
                <w:szCs w:val="22"/>
                <w:lang w:val="pt-BR"/>
              </w:rPr>
            </w:pPr>
            <w:r w:rsidRPr="00003699">
              <w:rPr>
                <w:rFonts w:eastAsia="Malgun Gothic"/>
                <w:sz w:val="22"/>
                <w:szCs w:val="22"/>
                <w:lang w:val="pt-BR"/>
              </w:rPr>
              <w:t>AUC</w:t>
            </w:r>
            <w:r w:rsidRPr="00003699">
              <w:rPr>
                <w:rFonts w:eastAsia="Malgun Gothic"/>
                <w:sz w:val="22"/>
                <w:szCs w:val="22"/>
                <w:vertAlign w:val="subscript"/>
                <w:lang w:val="pt-BR"/>
              </w:rPr>
              <w:t xml:space="preserve">inf </w:t>
            </w:r>
            <w:r w:rsidRPr="00003699">
              <w:rPr>
                <w:rFonts w:eastAsia="Malgun Gothic"/>
                <w:sz w:val="22"/>
                <w:szCs w:val="22"/>
                <w:lang w:val="pt-BR"/>
              </w:rPr>
              <w:t>(</w:t>
            </w:r>
            <w:r w:rsidRPr="0025669D">
              <w:rPr>
                <w:rFonts w:eastAsia="Malgun Gothic"/>
                <w:sz w:val="22"/>
                <w:szCs w:val="22"/>
              </w:rPr>
              <w:t>μ</w:t>
            </w:r>
            <w:r w:rsidRPr="00003699">
              <w:rPr>
                <w:rFonts w:eastAsia="Malgun Gothic"/>
                <w:sz w:val="22"/>
                <w:szCs w:val="22"/>
                <w:lang w:val="pt-BR"/>
              </w:rPr>
              <w:t>g·h/mL)</w:t>
            </w:r>
          </w:p>
        </w:tc>
        <w:tc>
          <w:tcPr>
            <w:tcW w:w="840" w:type="pct"/>
            <w:vAlign w:val="center"/>
          </w:tcPr>
          <w:p w14:paraId="7B47A1A3" w14:textId="77777777" w:rsidR="004A10AE" w:rsidRPr="0025669D" w:rsidRDefault="004A10AE" w:rsidP="007947DB">
            <w:pPr>
              <w:wordWrap/>
              <w:adjustRightInd w:val="0"/>
              <w:jc w:val="left"/>
              <w:rPr>
                <w:rFonts w:ascii="Times New Roman" w:eastAsia="Malgun Gothic" w:hAnsi="Times New Roman" w:cs="Times New Roman"/>
                <w:color w:val="000000"/>
                <w:kern w:val="0"/>
                <w:sz w:val="22"/>
              </w:rPr>
            </w:pPr>
            <w:r>
              <w:rPr>
                <w:rFonts w:ascii="Times New Roman" w:eastAsia="Malgun Gothic" w:hAnsi="Times New Roman" w:cs="Times New Roman"/>
                <w:color w:val="000000"/>
                <w:kern w:val="0"/>
                <w:sz w:val="22"/>
              </w:rPr>
              <w:t>RENFLEXIS</w:t>
            </w:r>
          </w:p>
        </w:tc>
        <w:tc>
          <w:tcPr>
            <w:tcW w:w="399" w:type="pct"/>
            <w:vAlign w:val="center"/>
          </w:tcPr>
          <w:p w14:paraId="0610DC0A" w14:textId="77777777" w:rsidR="004A10AE" w:rsidRPr="0025669D" w:rsidRDefault="004A10AE" w:rsidP="007947DB">
            <w:pPr>
              <w:wordWrap/>
              <w:adjustRightInd w:val="0"/>
              <w:jc w:val="center"/>
              <w:rPr>
                <w:rFonts w:ascii="Times New Roman" w:eastAsia="Malgun Gothic" w:hAnsi="Times New Roman" w:cs="Times New Roman"/>
                <w:color w:val="000000"/>
                <w:kern w:val="0"/>
                <w:sz w:val="22"/>
              </w:rPr>
            </w:pPr>
            <w:r w:rsidRPr="0025669D">
              <w:rPr>
                <w:rFonts w:ascii="Times New Roman" w:eastAsia="Malgun Gothic" w:hAnsi="Times New Roman" w:cs="Times New Roman"/>
                <w:color w:val="000000"/>
                <w:kern w:val="0"/>
                <w:sz w:val="22"/>
              </w:rPr>
              <w:t>51</w:t>
            </w:r>
          </w:p>
        </w:tc>
        <w:tc>
          <w:tcPr>
            <w:tcW w:w="399" w:type="pct"/>
            <w:vAlign w:val="center"/>
          </w:tcPr>
          <w:p w14:paraId="4FD60C60" w14:textId="77777777" w:rsidR="004A10AE" w:rsidRPr="0025669D" w:rsidRDefault="004A10AE" w:rsidP="007947DB">
            <w:pPr>
              <w:wordWrap/>
              <w:adjustRightInd w:val="0"/>
              <w:jc w:val="center"/>
              <w:rPr>
                <w:rFonts w:ascii="Times New Roman" w:eastAsia="Malgun Gothic" w:hAnsi="Times New Roman" w:cs="Times New Roman"/>
                <w:color w:val="000000"/>
                <w:kern w:val="0"/>
                <w:sz w:val="22"/>
              </w:rPr>
            </w:pPr>
            <w:r w:rsidRPr="0025669D">
              <w:rPr>
                <w:rFonts w:ascii="Times New Roman" w:eastAsia="Malgun Gothic" w:hAnsi="Times New Roman" w:cs="Times New Roman"/>
                <w:color w:val="000000"/>
                <w:kern w:val="0"/>
                <w:sz w:val="22"/>
              </w:rPr>
              <w:t>51</w:t>
            </w:r>
          </w:p>
        </w:tc>
        <w:tc>
          <w:tcPr>
            <w:tcW w:w="841" w:type="pct"/>
            <w:vAlign w:val="center"/>
          </w:tcPr>
          <w:p w14:paraId="61A5A72C" w14:textId="77777777" w:rsidR="004A10AE" w:rsidRPr="0025669D" w:rsidRDefault="004A10AE" w:rsidP="007947DB">
            <w:pPr>
              <w:pStyle w:val="Default"/>
              <w:jc w:val="center"/>
              <w:rPr>
                <w:rFonts w:eastAsia="Malgun Gothic"/>
                <w:sz w:val="22"/>
                <w:szCs w:val="22"/>
              </w:rPr>
            </w:pPr>
            <w:r w:rsidRPr="0025669D">
              <w:rPr>
                <w:rFonts w:eastAsia="Malgun Gothic"/>
                <w:sz w:val="22"/>
                <w:szCs w:val="22"/>
              </w:rPr>
              <w:t>37162.228</w:t>
            </w:r>
          </w:p>
        </w:tc>
        <w:tc>
          <w:tcPr>
            <w:tcW w:w="841" w:type="pct"/>
            <w:vMerge w:val="restart"/>
            <w:vAlign w:val="center"/>
          </w:tcPr>
          <w:p w14:paraId="2B0B3D32" w14:textId="77777777" w:rsidR="004A10AE" w:rsidRPr="0025669D" w:rsidRDefault="004A10AE" w:rsidP="007947DB">
            <w:pPr>
              <w:pStyle w:val="Default"/>
              <w:jc w:val="center"/>
              <w:rPr>
                <w:rFonts w:eastAsia="Malgun Gothic"/>
                <w:sz w:val="22"/>
                <w:szCs w:val="22"/>
              </w:rPr>
            </w:pPr>
            <w:r w:rsidRPr="0025669D">
              <w:rPr>
                <w:rFonts w:eastAsia="Malgun Gothic"/>
                <w:sz w:val="22"/>
                <w:szCs w:val="22"/>
              </w:rPr>
              <w:t>0.986</w:t>
            </w:r>
          </w:p>
        </w:tc>
        <w:tc>
          <w:tcPr>
            <w:tcW w:w="840" w:type="pct"/>
            <w:vMerge w:val="restart"/>
            <w:vAlign w:val="center"/>
          </w:tcPr>
          <w:p w14:paraId="69376474" w14:textId="77777777" w:rsidR="004A10AE" w:rsidRPr="0025669D" w:rsidRDefault="004A10AE" w:rsidP="007947DB">
            <w:pPr>
              <w:pStyle w:val="Default"/>
              <w:jc w:val="center"/>
              <w:rPr>
                <w:rFonts w:eastAsia="Malgun Gothic"/>
                <w:sz w:val="22"/>
                <w:szCs w:val="22"/>
              </w:rPr>
            </w:pPr>
            <w:r w:rsidRPr="0025669D">
              <w:rPr>
                <w:rFonts w:eastAsia="Malgun Gothic"/>
                <w:sz w:val="22"/>
                <w:szCs w:val="22"/>
              </w:rPr>
              <w:t>0.897 - 1.083</w:t>
            </w:r>
          </w:p>
        </w:tc>
      </w:tr>
      <w:tr w:rsidR="004A10AE" w:rsidRPr="0025669D" w14:paraId="297C9909" w14:textId="77777777" w:rsidTr="005A4B0D">
        <w:tc>
          <w:tcPr>
            <w:tcW w:w="840" w:type="pct"/>
            <w:vMerge/>
            <w:vAlign w:val="center"/>
          </w:tcPr>
          <w:p w14:paraId="1299FB52" w14:textId="77777777" w:rsidR="004A10AE" w:rsidRPr="0025669D" w:rsidRDefault="004A10AE" w:rsidP="007947DB">
            <w:pPr>
              <w:wordWrap/>
              <w:adjustRightInd w:val="0"/>
              <w:jc w:val="left"/>
              <w:rPr>
                <w:rFonts w:ascii="Times New Roman" w:eastAsia="Malgun Gothic" w:hAnsi="Times New Roman" w:cs="Times New Roman"/>
                <w:color w:val="000000"/>
                <w:kern w:val="0"/>
                <w:sz w:val="22"/>
              </w:rPr>
            </w:pPr>
          </w:p>
        </w:tc>
        <w:tc>
          <w:tcPr>
            <w:tcW w:w="840" w:type="pct"/>
            <w:vAlign w:val="center"/>
          </w:tcPr>
          <w:p w14:paraId="384B2B5E" w14:textId="77777777" w:rsidR="004A10AE" w:rsidRPr="0025669D" w:rsidRDefault="004A10AE" w:rsidP="007947DB">
            <w:pPr>
              <w:wordWrap/>
              <w:adjustRightInd w:val="0"/>
              <w:jc w:val="left"/>
              <w:rPr>
                <w:rFonts w:ascii="Times New Roman" w:eastAsia="Malgun Gothic" w:hAnsi="Times New Roman" w:cs="Times New Roman"/>
                <w:color w:val="000000"/>
                <w:kern w:val="0"/>
                <w:sz w:val="22"/>
              </w:rPr>
            </w:pPr>
            <w:r w:rsidRPr="0025669D">
              <w:rPr>
                <w:rFonts w:ascii="Times New Roman" w:eastAsia="Malgun Gothic" w:hAnsi="Times New Roman" w:cs="Times New Roman"/>
                <w:color w:val="000000"/>
                <w:kern w:val="0"/>
                <w:sz w:val="22"/>
              </w:rPr>
              <w:t xml:space="preserve">EU </w:t>
            </w:r>
            <w:proofErr w:type="spellStart"/>
            <w:r w:rsidRPr="0025669D">
              <w:rPr>
                <w:rFonts w:ascii="Times New Roman" w:eastAsia="Malgun Gothic" w:hAnsi="Times New Roman" w:cs="Times New Roman"/>
                <w:color w:val="000000"/>
                <w:kern w:val="0"/>
                <w:sz w:val="22"/>
              </w:rPr>
              <w:t>Remicade</w:t>
            </w:r>
            <w:proofErr w:type="spellEnd"/>
            <w:r w:rsidRPr="0025669D">
              <w:rPr>
                <w:rFonts w:ascii="Times New Roman" w:eastAsia="Malgun Gothic" w:hAnsi="Times New Roman" w:cs="Times New Roman"/>
                <w:color w:val="000000"/>
                <w:kern w:val="0"/>
                <w:sz w:val="22"/>
                <w:vertAlign w:val="superscript"/>
              </w:rPr>
              <w:t>®</w:t>
            </w:r>
          </w:p>
        </w:tc>
        <w:tc>
          <w:tcPr>
            <w:tcW w:w="399" w:type="pct"/>
            <w:vAlign w:val="center"/>
          </w:tcPr>
          <w:p w14:paraId="36CB7FEE" w14:textId="77777777" w:rsidR="004A10AE" w:rsidRPr="0025669D" w:rsidRDefault="004A10AE" w:rsidP="007947DB">
            <w:pPr>
              <w:wordWrap/>
              <w:adjustRightInd w:val="0"/>
              <w:jc w:val="center"/>
              <w:rPr>
                <w:rFonts w:ascii="Times New Roman" w:eastAsia="Malgun Gothic" w:hAnsi="Times New Roman" w:cs="Times New Roman"/>
                <w:color w:val="000000"/>
                <w:kern w:val="0"/>
                <w:sz w:val="22"/>
              </w:rPr>
            </w:pPr>
            <w:r w:rsidRPr="0025669D">
              <w:rPr>
                <w:rFonts w:ascii="Times New Roman" w:eastAsia="Malgun Gothic" w:hAnsi="Times New Roman" w:cs="Times New Roman"/>
                <w:color w:val="000000"/>
                <w:kern w:val="0"/>
                <w:sz w:val="22"/>
              </w:rPr>
              <w:t>53</w:t>
            </w:r>
          </w:p>
        </w:tc>
        <w:tc>
          <w:tcPr>
            <w:tcW w:w="399" w:type="pct"/>
            <w:vAlign w:val="center"/>
          </w:tcPr>
          <w:p w14:paraId="37F78B94" w14:textId="77777777" w:rsidR="004A10AE" w:rsidRPr="0025669D" w:rsidRDefault="004A10AE" w:rsidP="007947DB">
            <w:pPr>
              <w:wordWrap/>
              <w:adjustRightInd w:val="0"/>
              <w:jc w:val="center"/>
              <w:rPr>
                <w:rFonts w:ascii="Times New Roman" w:eastAsia="Malgun Gothic" w:hAnsi="Times New Roman" w:cs="Times New Roman"/>
                <w:color w:val="000000"/>
                <w:kern w:val="0"/>
                <w:sz w:val="22"/>
              </w:rPr>
            </w:pPr>
            <w:r w:rsidRPr="0025669D">
              <w:rPr>
                <w:rFonts w:ascii="Times New Roman" w:eastAsia="Malgun Gothic" w:hAnsi="Times New Roman" w:cs="Times New Roman"/>
                <w:color w:val="000000"/>
                <w:kern w:val="0"/>
                <w:sz w:val="22"/>
              </w:rPr>
              <w:t>53</w:t>
            </w:r>
          </w:p>
        </w:tc>
        <w:tc>
          <w:tcPr>
            <w:tcW w:w="841" w:type="pct"/>
            <w:vAlign w:val="center"/>
          </w:tcPr>
          <w:p w14:paraId="2EB2767F" w14:textId="77777777" w:rsidR="004A10AE" w:rsidRPr="0025669D" w:rsidRDefault="004A10AE" w:rsidP="007947DB">
            <w:pPr>
              <w:pStyle w:val="Default"/>
              <w:jc w:val="center"/>
              <w:rPr>
                <w:rFonts w:eastAsia="Malgun Gothic"/>
                <w:sz w:val="22"/>
                <w:szCs w:val="22"/>
              </w:rPr>
            </w:pPr>
            <w:r w:rsidRPr="0025669D">
              <w:rPr>
                <w:rFonts w:eastAsia="Malgun Gothic"/>
                <w:sz w:val="22"/>
                <w:szCs w:val="22"/>
              </w:rPr>
              <w:t>37704.901</w:t>
            </w:r>
          </w:p>
        </w:tc>
        <w:tc>
          <w:tcPr>
            <w:tcW w:w="841" w:type="pct"/>
            <w:vMerge/>
            <w:vAlign w:val="center"/>
          </w:tcPr>
          <w:p w14:paraId="0F78B5CA" w14:textId="77777777" w:rsidR="004A10AE" w:rsidRPr="0025669D" w:rsidRDefault="004A10AE" w:rsidP="007947DB">
            <w:pPr>
              <w:wordWrap/>
              <w:adjustRightInd w:val="0"/>
              <w:jc w:val="center"/>
              <w:rPr>
                <w:rFonts w:ascii="Times New Roman" w:eastAsia="Malgun Gothic" w:hAnsi="Times New Roman" w:cs="Times New Roman"/>
                <w:color w:val="000000"/>
                <w:kern w:val="0"/>
                <w:sz w:val="22"/>
              </w:rPr>
            </w:pPr>
          </w:p>
        </w:tc>
        <w:tc>
          <w:tcPr>
            <w:tcW w:w="840" w:type="pct"/>
            <w:vMerge/>
            <w:vAlign w:val="center"/>
          </w:tcPr>
          <w:p w14:paraId="24E2BD15" w14:textId="77777777" w:rsidR="004A10AE" w:rsidRPr="0025669D" w:rsidRDefault="004A10AE" w:rsidP="007947DB">
            <w:pPr>
              <w:wordWrap/>
              <w:adjustRightInd w:val="0"/>
              <w:jc w:val="center"/>
              <w:rPr>
                <w:rFonts w:ascii="Times New Roman" w:eastAsia="Malgun Gothic" w:hAnsi="Times New Roman" w:cs="Times New Roman"/>
                <w:color w:val="000000"/>
                <w:kern w:val="0"/>
                <w:sz w:val="22"/>
              </w:rPr>
            </w:pPr>
          </w:p>
        </w:tc>
      </w:tr>
      <w:tr w:rsidR="004A10AE" w:rsidRPr="0025669D" w14:paraId="328D0D8B" w14:textId="77777777" w:rsidTr="005A4B0D">
        <w:tc>
          <w:tcPr>
            <w:tcW w:w="840" w:type="pct"/>
            <w:vMerge w:val="restart"/>
            <w:vAlign w:val="center"/>
          </w:tcPr>
          <w:p w14:paraId="2C07AFE9" w14:textId="77777777" w:rsidR="004A10AE" w:rsidRPr="00003699" w:rsidRDefault="004A10AE" w:rsidP="007947DB">
            <w:pPr>
              <w:pStyle w:val="Default"/>
              <w:rPr>
                <w:rFonts w:eastAsia="Malgun Gothic"/>
                <w:sz w:val="22"/>
                <w:szCs w:val="22"/>
                <w:lang w:val="pt-BR"/>
              </w:rPr>
            </w:pPr>
            <w:r w:rsidRPr="00003699">
              <w:rPr>
                <w:rFonts w:eastAsia="Malgun Gothic"/>
                <w:sz w:val="22"/>
                <w:szCs w:val="22"/>
                <w:lang w:val="pt-BR"/>
              </w:rPr>
              <w:t>AUC</w:t>
            </w:r>
            <w:r w:rsidRPr="00003699">
              <w:rPr>
                <w:rFonts w:eastAsia="Malgun Gothic"/>
                <w:sz w:val="22"/>
                <w:szCs w:val="22"/>
                <w:vertAlign w:val="subscript"/>
                <w:lang w:val="pt-BR"/>
              </w:rPr>
              <w:t xml:space="preserve">last </w:t>
            </w:r>
            <w:r w:rsidRPr="00003699">
              <w:rPr>
                <w:rFonts w:eastAsia="Malgun Gothic"/>
                <w:sz w:val="22"/>
                <w:szCs w:val="22"/>
                <w:lang w:val="pt-BR"/>
              </w:rPr>
              <w:t>(</w:t>
            </w:r>
            <w:r w:rsidRPr="0025669D">
              <w:rPr>
                <w:rFonts w:eastAsia="Malgun Gothic"/>
                <w:sz w:val="22"/>
                <w:szCs w:val="22"/>
              </w:rPr>
              <w:t>μ</w:t>
            </w:r>
            <w:r w:rsidRPr="00003699">
              <w:rPr>
                <w:rFonts w:eastAsia="Malgun Gothic"/>
                <w:sz w:val="22"/>
                <w:szCs w:val="22"/>
                <w:lang w:val="pt-BR"/>
              </w:rPr>
              <w:t>g·h/mL)</w:t>
            </w:r>
          </w:p>
        </w:tc>
        <w:tc>
          <w:tcPr>
            <w:tcW w:w="840" w:type="pct"/>
            <w:vAlign w:val="center"/>
          </w:tcPr>
          <w:p w14:paraId="3DF4359E" w14:textId="77777777" w:rsidR="004A10AE" w:rsidRPr="0025669D" w:rsidRDefault="004A10AE" w:rsidP="007947DB">
            <w:pPr>
              <w:wordWrap/>
              <w:adjustRightInd w:val="0"/>
              <w:jc w:val="left"/>
              <w:rPr>
                <w:rFonts w:ascii="Times New Roman" w:eastAsia="Malgun Gothic" w:hAnsi="Times New Roman" w:cs="Times New Roman"/>
                <w:color w:val="000000"/>
                <w:kern w:val="0"/>
                <w:sz w:val="22"/>
              </w:rPr>
            </w:pPr>
            <w:r>
              <w:rPr>
                <w:rFonts w:ascii="Times New Roman" w:eastAsia="Malgun Gothic" w:hAnsi="Times New Roman" w:cs="Times New Roman"/>
                <w:color w:val="000000"/>
                <w:kern w:val="0"/>
                <w:sz w:val="22"/>
              </w:rPr>
              <w:t>RENFLEXIS</w:t>
            </w:r>
          </w:p>
        </w:tc>
        <w:tc>
          <w:tcPr>
            <w:tcW w:w="399" w:type="pct"/>
            <w:vAlign w:val="center"/>
          </w:tcPr>
          <w:p w14:paraId="5CB9BC2C" w14:textId="77777777" w:rsidR="004A10AE" w:rsidRPr="0025669D" w:rsidRDefault="004A10AE" w:rsidP="007947DB">
            <w:pPr>
              <w:wordWrap/>
              <w:adjustRightInd w:val="0"/>
              <w:jc w:val="center"/>
              <w:rPr>
                <w:rFonts w:ascii="Times New Roman" w:eastAsia="Malgun Gothic" w:hAnsi="Times New Roman" w:cs="Times New Roman"/>
                <w:color w:val="000000"/>
                <w:kern w:val="0"/>
                <w:sz w:val="22"/>
              </w:rPr>
            </w:pPr>
            <w:r w:rsidRPr="0025669D">
              <w:rPr>
                <w:rFonts w:ascii="Times New Roman" w:eastAsia="Malgun Gothic" w:hAnsi="Times New Roman" w:cs="Times New Roman"/>
                <w:color w:val="000000"/>
                <w:kern w:val="0"/>
                <w:sz w:val="22"/>
              </w:rPr>
              <w:t>51</w:t>
            </w:r>
          </w:p>
        </w:tc>
        <w:tc>
          <w:tcPr>
            <w:tcW w:w="399" w:type="pct"/>
            <w:vAlign w:val="center"/>
          </w:tcPr>
          <w:p w14:paraId="5C74D2A7" w14:textId="77777777" w:rsidR="004A10AE" w:rsidRPr="0025669D" w:rsidRDefault="004A10AE" w:rsidP="007947DB">
            <w:pPr>
              <w:wordWrap/>
              <w:adjustRightInd w:val="0"/>
              <w:jc w:val="center"/>
              <w:rPr>
                <w:rFonts w:ascii="Times New Roman" w:eastAsia="Malgun Gothic" w:hAnsi="Times New Roman" w:cs="Times New Roman"/>
                <w:color w:val="000000"/>
                <w:kern w:val="0"/>
                <w:sz w:val="22"/>
              </w:rPr>
            </w:pPr>
            <w:r w:rsidRPr="0025669D">
              <w:rPr>
                <w:rFonts w:ascii="Times New Roman" w:eastAsia="Malgun Gothic" w:hAnsi="Times New Roman" w:cs="Times New Roman"/>
                <w:color w:val="000000"/>
                <w:kern w:val="0"/>
                <w:sz w:val="22"/>
              </w:rPr>
              <w:t>51</w:t>
            </w:r>
          </w:p>
        </w:tc>
        <w:tc>
          <w:tcPr>
            <w:tcW w:w="841" w:type="pct"/>
            <w:vAlign w:val="center"/>
          </w:tcPr>
          <w:p w14:paraId="08C23560" w14:textId="77777777" w:rsidR="004A10AE" w:rsidRPr="0025669D" w:rsidRDefault="004A10AE" w:rsidP="007947DB">
            <w:pPr>
              <w:pStyle w:val="Default"/>
              <w:jc w:val="center"/>
              <w:rPr>
                <w:rFonts w:eastAsia="Malgun Gothic"/>
                <w:sz w:val="22"/>
                <w:szCs w:val="22"/>
              </w:rPr>
            </w:pPr>
            <w:r w:rsidRPr="0025669D">
              <w:rPr>
                <w:rFonts w:eastAsia="Malgun Gothic"/>
                <w:sz w:val="22"/>
                <w:szCs w:val="22"/>
              </w:rPr>
              <w:t>35701.831</w:t>
            </w:r>
          </w:p>
        </w:tc>
        <w:tc>
          <w:tcPr>
            <w:tcW w:w="841" w:type="pct"/>
            <w:vMerge w:val="restart"/>
            <w:vAlign w:val="center"/>
          </w:tcPr>
          <w:p w14:paraId="1D865C26" w14:textId="77777777" w:rsidR="004A10AE" w:rsidRPr="0025669D" w:rsidRDefault="004A10AE" w:rsidP="007947DB">
            <w:pPr>
              <w:pStyle w:val="Default"/>
              <w:jc w:val="center"/>
              <w:rPr>
                <w:rFonts w:eastAsia="Malgun Gothic"/>
                <w:sz w:val="22"/>
                <w:szCs w:val="22"/>
              </w:rPr>
            </w:pPr>
            <w:r w:rsidRPr="0025669D">
              <w:rPr>
                <w:rFonts w:eastAsia="Malgun Gothic"/>
                <w:sz w:val="22"/>
                <w:szCs w:val="22"/>
              </w:rPr>
              <w:t>0.994</w:t>
            </w:r>
          </w:p>
        </w:tc>
        <w:tc>
          <w:tcPr>
            <w:tcW w:w="840" w:type="pct"/>
            <w:vMerge w:val="restart"/>
            <w:vAlign w:val="center"/>
          </w:tcPr>
          <w:p w14:paraId="4689E117" w14:textId="77777777" w:rsidR="004A10AE" w:rsidRPr="0025669D" w:rsidRDefault="004A10AE" w:rsidP="007947DB">
            <w:pPr>
              <w:pStyle w:val="Default"/>
              <w:jc w:val="center"/>
              <w:rPr>
                <w:rFonts w:eastAsia="Malgun Gothic"/>
                <w:sz w:val="22"/>
                <w:szCs w:val="22"/>
              </w:rPr>
            </w:pPr>
            <w:r w:rsidRPr="0025669D">
              <w:rPr>
                <w:rFonts w:eastAsia="Malgun Gothic"/>
                <w:sz w:val="22"/>
                <w:szCs w:val="22"/>
              </w:rPr>
              <w:t>0.915 - 1.079</w:t>
            </w:r>
          </w:p>
        </w:tc>
      </w:tr>
      <w:tr w:rsidR="004A10AE" w:rsidRPr="0025669D" w14:paraId="7DEDCD24" w14:textId="77777777" w:rsidTr="005A4B0D">
        <w:tc>
          <w:tcPr>
            <w:tcW w:w="840" w:type="pct"/>
            <w:vMerge/>
            <w:vAlign w:val="center"/>
          </w:tcPr>
          <w:p w14:paraId="684D4D55" w14:textId="77777777" w:rsidR="004A10AE" w:rsidRPr="0025669D" w:rsidRDefault="004A10AE" w:rsidP="007947DB">
            <w:pPr>
              <w:wordWrap/>
              <w:adjustRightInd w:val="0"/>
              <w:jc w:val="left"/>
              <w:rPr>
                <w:rFonts w:ascii="Times New Roman" w:eastAsia="Malgun Gothic" w:hAnsi="Times New Roman" w:cs="Times New Roman"/>
                <w:color w:val="000000"/>
                <w:kern w:val="0"/>
                <w:sz w:val="22"/>
              </w:rPr>
            </w:pPr>
          </w:p>
        </w:tc>
        <w:tc>
          <w:tcPr>
            <w:tcW w:w="840" w:type="pct"/>
            <w:vAlign w:val="center"/>
          </w:tcPr>
          <w:p w14:paraId="789CACC9" w14:textId="77777777" w:rsidR="004A10AE" w:rsidRPr="0025669D" w:rsidRDefault="004A10AE" w:rsidP="007947DB">
            <w:pPr>
              <w:wordWrap/>
              <w:adjustRightInd w:val="0"/>
              <w:jc w:val="left"/>
              <w:rPr>
                <w:rFonts w:ascii="Times New Roman" w:eastAsia="Malgun Gothic" w:hAnsi="Times New Roman" w:cs="Times New Roman"/>
                <w:color w:val="000000"/>
                <w:kern w:val="0"/>
                <w:sz w:val="22"/>
              </w:rPr>
            </w:pPr>
            <w:r w:rsidRPr="0025669D">
              <w:rPr>
                <w:rFonts w:ascii="Times New Roman" w:eastAsia="Malgun Gothic" w:hAnsi="Times New Roman" w:cs="Times New Roman"/>
                <w:color w:val="000000"/>
                <w:kern w:val="0"/>
                <w:sz w:val="22"/>
              </w:rPr>
              <w:t xml:space="preserve">EU </w:t>
            </w:r>
            <w:proofErr w:type="spellStart"/>
            <w:r w:rsidRPr="0025669D">
              <w:rPr>
                <w:rFonts w:ascii="Times New Roman" w:eastAsia="Malgun Gothic" w:hAnsi="Times New Roman" w:cs="Times New Roman"/>
                <w:color w:val="000000"/>
                <w:kern w:val="0"/>
                <w:sz w:val="22"/>
              </w:rPr>
              <w:t>Remicade</w:t>
            </w:r>
            <w:proofErr w:type="spellEnd"/>
            <w:r w:rsidRPr="0025669D">
              <w:rPr>
                <w:rFonts w:ascii="Times New Roman" w:eastAsia="Malgun Gothic" w:hAnsi="Times New Roman" w:cs="Times New Roman"/>
                <w:color w:val="000000"/>
                <w:kern w:val="0"/>
                <w:sz w:val="22"/>
                <w:vertAlign w:val="superscript"/>
              </w:rPr>
              <w:t>®</w:t>
            </w:r>
          </w:p>
        </w:tc>
        <w:tc>
          <w:tcPr>
            <w:tcW w:w="399" w:type="pct"/>
            <w:vAlign w:val="center"/>
          </w:tcPr>
          <w:p w14:paraId="2D9DA557" w14:textId="77777777" w:rsidR="004A10AE" w:rsidRPr="0025669D" w:rsidRDefault="004A10AE" w:rsidP="007947DB">
            <w:pPr>
              <w:wordWrap/>
              <w:adjustRightInd w:val="0"/>
              <w:jc w:val="center"/>
              <w:rPr>
                <w:rFonts w:ascii="Times New Roman" w:eastAsia="Malgun Gothic" w:hAnsi="Times New Roman" w:cs="Times New Roman"/>
                <w:color w:val="000000"/>
                <w:kern w:val="0"/>
                <w:sz w:val="22"/>
              </w:rPr>
            </w:pPr>
            <w:r w:rsidRPr="0025669D">
              <w:rPr>
                <w:rFonts w:ascii="Times New Roman" w:eastAsia="Malgun Gothic" w:hAnsi="Times New Roman" w:cs="Times New Roman"/>
                <w:color w:val="000000"/>
                <w:kern w:val="0"/>
                <w:sz w:val="22"/>
              </w:rPr>
              <w:t>53</w:t>
            </w:r>
          </w:p>
        </w:tc>
        <w:tc>
          <w:tcPr>
            <w:tcW w:w="399" w:type="pct"/>
            <w:vAlign w:val="center"/>
          </w:tcPr>
          <w:p w14:paraId="13DCB9EC" w14:textId="77777777" w:rsidR="004A10AE" w:rsidRPr="0025669D" w:rsidRDefault="004A10AE" w:rsidP="007947DB">
            <w:pPr>
              <w:wordWrap/>
              <w:adjustRightInd w:val="0"/>
              <w:jc w:val="center"/>
              <w:rPr>
                <w:rFonts w:ascii="Times New Roman" w:eastAsia="Malgun Gothic" w:hAnsi="Times New Roman" w:cs="Times New Roman"/>
                <w:color w:val="000000"/>
                <w:kern w:val="0"/>
                <w:sz w:val="22"/>
              </w:rPr>
            </w:pPr>
            <w:r w:rsidRPr="0025669D">
              <w:rPr>
                <w:rFonts w:ascii="Times New Roman" w:eastAsia="Malgun Gothic" w:hAnsi="Times New Roman" w:cs="Times New Roman"/>
                <w:color w:val="000000"/>
                <w:kern w:val="0"/>
                <w:sz w:val="22"/>
              </w:rPr>
              <w:t>53</w:t>
            </w:r>
          </w:p>
        </w:tc>
        <w:tc>
          <w:tcPr>
            <w:tcW w:w="841" w:type="pct"/>
            <w:vAlign w:val="center"/>
          </w:tcPr>
          <w:p w14:paraId="15D558DF" w14:textId="77777777" w:rsidR="004A10AE" w:rsidRPr="0025669D" w:rsidRDefault="004A10AE" w:rsidP="007947DB">
            <w:pPr>
              <w:pStyle w:val="Default"/>
              <w:jc w:val="center"/>
              <w:rPr>
                <w:rFonts w:eastAsia="Malgun Gothic"/>
                <w:sz w:val="22"/>
                <w:szCs w:val="22"/>
              </w:rPr>
            </w:pPr>
            <w:r w:rsidRPr="0025669D">
              <w:rPr>
                <w:rFonts w:eastAsia="Malgun Gothic"/>
                <w:sz w:val="22"/>
                <w:szCs w:val="22"/>
              </w:rPr>
              <w:t>35929.929</w:t>
            </w:r>
          </w:p>
        </w:tc>
        <w:tc>
          <w:tcPr>
            <w:tcW w:w="841" w:type="pct"/>
            <w:vMerge/>
            <w:vAlign w:val="center"/>
          </w:tcPr>
          <w:p w14:paraId="34BF1717" w14:textId="77777777" w:rsidR="004A10AE" w:rsidRPr="0025669D" w:rsidRDefault="004A10AE" w:rsidP="007947DB">
            <w:pPr>
              <w:wordWrap/>
              <w:adjustRightInd w:val="0"/>
              <w:jc w:val="center"/>
              <w:rPr>
                <w:rFonts w:ascii="Times New Roman" w:eastAsia="Malgun Gothic" w:hAnsi="Times New Roman" w:cs="Times New Roman"/>
                <w:color w:val="000000"/>
                <w:kern w:val="0"/>
                <w:sz w:val="22"/>
              </w:rPr>
            </w:pPr>
          </w:p>
        </w:tc>
        <w:tc>
          <w:tcPr>
            <w:tcW w:w="840" w:type="pct"/>
            <w:vMerge/>
            <w:vAlign w:val="center"/>
          </w:tcPr>
          <w:p w14:paraId="21E58A0D" w14:textId="77777777" w:rsidR="004A10AE" w:rsidRPr="0025669D" w:rsidRDefault="004A10AE" w:rsidP="007947DB">
            <w:pPr>
              <w:wordWrap/>
              <w:adjustRightInd w:val="0"/>
              <w:jc w:val="center"/>
              <w:rPr>
                <w:rFonts w:ascii="Times New Roman" w:eastAsia="Malgun Gothic" w:hAnsi="Times New Roman" w:cs="Times New Roman"/>
                <w:color w:val="000000"/>
                <w:kern w:val="0"/>
                <w:sz w:val="22"/>
              </w:rPr>
            </w:pPr>
          </w:p>
        </w:tc>
      </w:tr>
      <w:tr w:rsidR="004A10AE" w:rsidRPr="0025669D" w14:paraId="343314F5" w14:textId="77777777" w:rsidTr="005A4B0D">
        <w:tc>
          <w:tcPr>
            <w:tcW w:w="840" w:type="pct"/>
            <w:vMerge w:val="restart"/>
            <w:vAlign w:val="center"/>
          </w:tcPr>
          <w:p w14:paraId="26E3D5AA" w14:textId="77777777" w:rsidR="004A10AE" w:rsidRPr="0025669D" w:rsidRDefault="004A10AE" w:rsidP="007947DB">
            <w:pPr>
              <w:pStyle w:val="Default"/>
              <w:rPr>
                <w:rFonts w:eastAsia="Malgun Gothic"/>
                <w:sz w:val="22"/>
                <w:szCs w:val="22"/>
              </w:rPr>
            </w:pPr>
            <w:proofErr w:type="spellStart"/>
            <w:r w:rsidRPr="0025669D">
              <w:rPr>
                <w:rFonts w:eastAsia="Malgun Gothic"/>
                <w:sz w:val="22"/>
                <w:szCs w:val="22"/>
              </w:rPr>
              <w:t>C</w:t>
            </w:r>
            <w:r w:rsidRPr="0025669D">
              <w:rPr>
                <w:rFonts w:eastAsia="Malgun Gothic"/>
                <w:sz w:val="22"/>
                <w:szCs w:val="22"/>
                <w:vertAlign w:val="subscript"/>
              </w:rPr>
              <w:t>max</w:t>
            </w:r>
            <w:proofErr w:type="spellEnd"/>
          </w:p>
          <w:p w14:paraId="0D88B0B4" w14:textId="77777777" w:rsidR="004A10AE" w:rsidRPr="0025669D" w:rsidRDefault="004A10AE" w:rsidP="007947DB">
            <w:pPr>
              <w:pStyle w:val="Default"/>
              <w:rPr>
                <w:rFonts w:eastAsia="Malgun Gothic"/>
                <w:sz w:val="22"/>
                <w:szCs w:val="22"/>
              </w:rPr>
            </w:pPr>
            <w:r w:rsidRPr="0025669D">
              <w:rPr>
                <w:rFonts w:eastAsia="Malgun Gothic"/>
                <w:sz w:val="22"/>
                <w:szCs w:val="22"/>
              </w:rPr>
              <w:t>(</w:t>
            </w:r>
            <w:proofErr w:type="spellStart"/>
            <w:r w:rsidRPr="0025669D">
              <w:rPr>
                <w:rFonts w:eastAsia="Malgun Gothic"/>
                <w:sz w:val="22"/>
                <w:szCs w:val="22"/>
              </w:rPr>
              <w:t>μg</w:t>
            </w:r>
            <w:proofErr w:type="spellEnd"/>
            <w:r w:rsidRPr="0025669D">
              <w:rPr>
                <w:rFonts w:eastAsia="Malgun Gothic"/>
                <w:sz w:val="22"/>
                <w:szCs w:val="22"/>
              </w:rPr>
              <w:t>/mL)</w:t>
            </w:r>
          </w:p>
        </w:tc>
        <w:tc>
          <w:tcPr>
            <w:tcW w:w="840" w:type="pct"/>
            <w:vAlign w:val="center"/>
          </w:tcPr>
          <w:p w14:paraId="4FEFA9FA" w14:textId="77777777" w:rsidR="004A10AE" w:rsidRPr="0025669D" w:rsidRDefault="004A10AE" w:rsidP="007947DB">
            <w:pPr>
              <w:wordWrap/>
              <w:adjustRightInd w:val="0"/>
              <w:jc w:val="left"/>
              <w:rPr>
                <w:rFonts w:ascii="Times New Roman" w:eastAsia="Malgun Gothic" w:hAnsi="Times New Roman" w:cs="Times New Roman"/>
                <w:color w:val="000000"/>
                <w:kern w:val="0"/>
                <w:sz w:val="22"/>
              </w:rPr>
            </w:pPr>
            <w:r>
              <w:rPr>
                <w:rFonts w:ascii="Times New Roman" w:eastAsia="Malgun Gothic" w:hAnsi="Times New Roman" w:cs="Times New Roman"/>
                <w:color w:val="000000"/>
                <w:kern w:val="0"/>
                <w:sz w:val="22"/>
              </w:rPr>
              <w:t>RENFLEXIS</w:t>
            </w:r>
          </w:p>
        </w:tc>
        <w:tc>
          <w:tcPr>
            <w:tcW w:w="399" w:type="pct"/>
            <w:vAlign w:val="center"/>
          </w:tcPr>
          <w:p w14:paraId="3858CBB0" w14:textId="77777777" w:rsidR="004A10AE" w:rsidRPr="0025669D" w:rsidRDefault="004A10AE" w:rsidP="007947DB">
            <w:pPr>
              <w:wordWrap/>
              <w:adjustRightInd w:val="0"/>
              <w:jc w:val="center"/>
              <w:rPr>
                <w:rFonts w:ascii="Times New Roman" w:eastAsia="Malgun Gothic" w:hAnsi="Times New Roman" w:cs="Times New Roman"/>
                <w:color w:val="000000"/>
                <w:kern w:val="0"/>
                <w:sz w:val="22"/>
              </w:rPr>
            </w:pPr>
            <w:r w:rsidRPr="0025669D">
              <w:rPr>
                <w:rFonts w:ascii="Times New Roman" w:eastAsia="Malgun Gothic" w:hAnsi="Times New Roman" w:cs="Times New Roman"/>
                <w:color w:val="000000"/>
                <w:kern w:val="0"/>
                <w:sz w:val="22"/>
              </w:rPr>
              <w:t>51</w:t>
            </w:r>
          </w:p>
        </w:tc>
        <w:tc>
          <w:tcPr>
            <w:tcW w:w="399" w:type="pct"/>
            <w:vAlign w:val="center"/>
          </w:tcPr>
          <w:p w14:paraId="418B000B" w14:textId="77777777" w:rsidR="004A10AE" w:rsidRPr="0025669D" w:rsidRDefault="004A10AE" w:rsidP="007947DB">
            <w:pPr>
              <w:wordWrap/>
              <w:adjustRightInd w:val="0"/>
              <w:jc w:val="center"/>
              <w:rPr>
                <w:rFonts w:ascii="Times New Roman" w:eastAsia="Malgun Gothic" w:hAnsi="Times New Roman" w:cs="Times New Roman"/>
                <w:color w:val="000000"/>
                <w:kern w:val="0"/>
                <w:sz w:val="22"/>
              </w:rPr>
            </w:pPr>
            <w:r w:rsidRPr="0025669D">
              <w:rPr>
                <w:rFonts w:ascii="Times New Roman" w:eastAsia="Malgun Gothic" w:hAnsi="Times New Roman" w:cs="Times New Roman"/>
                <w:color w:val="000000"/>
                <w:kern w:val="0"/>
                <w:sz w:val="22"/>
              </w:rPr>
              <w:t>51</w:t>
            </w:r>
          </w:p>
        </w:tc>
        <w:tc>
          <w:tcPr>
            <w:tcW w:w="841" w:type="pct"/>
            <w:vAlign w:val="center"/>
          </w:tcPr>
          <w:p w14:paraId="0C8D8F6C" w14:textId="77777777" w:rsidR="004A10AE" w:rsidRPr="0025669D" w:rsidRDefault="004A10AE" w:rsidP="007947DB">
            <w:pPr>
              <w:pStyle w:val="Default"/>
              <w:jc w:val="center"/>
              <w:rPr>
                <w:rFonts w:eastAsia="Malgun Gothic"/>
                <w:sz w:val="22"/>
                <w:szCs w:val="22"/>
              </w:rPr>
            </w:pPr>
            <w:r w:rsidRPr="0025669D">
              <w:rPr>
                <w:rFonts w:eastAsia="Malgun Gothic"/>
                <w:sz w:val="22"/>
                <w:szCs w:val="22"/>
              </w:rPr>
              <w:t>125.923</w:t>
            </w:r>
          </w:p>
        </w:tc>
        <w:tc>
          <w:tcPr>
            <w:tcW w:w="841" w:type="pct"/>
            <w:vMerge w:val="restart"/>
            <w:vAlign w:val="center"/>
          </w:tcPr>
          <w:p w14:paraId="2DC3EB84" w14:textId="77777777" w:rsidR="004A10AE" w:rsidRPr="0025669D" w:rsidRDefault="004A10AE" w:rsidP="007947DB">
            <w:pPr>
              <w:wordWrap/>
              <w:adjustRightInd w:val="0"/>
              <w:jc w:val="center"/>
              <w:rPr>
                <w:rFonts w:ascii="Times New Roman" w:eastAsia="Malgun Gothic" w:hAnsi="Times New Roman" w:cs="Times New Roman"/>
                <w:color w:val="000000"/>
                <w:kern w:val="0"/>
                <w:sz w:val="22"/>
              </w:rPr>
            </w:pPr>
            <w:r w:rsidRPr="0025669D">
              <w:rPr>
                <w:rFonts w:ascii="Times New Roman" w:eastAsia="Malgun Gothic" w:hAnsi="Times New Roman" w:cs="Times New Roman"/>
                <w:color w:val="000000"/>
                <w:kern w:val="0"/>
                <w:sz w:val="22"/>
              </w:rPr>
              <w:t>1.007</w:t>
            </w:r>
          </w:p>
        </w:tc>
        <w:tc>
          <w:tcPr>
            <w:tcW w:w="840" w:type="pct"/>
            <w:vMerge w:val="restart"/>
            <w:vAlign w:val="center"/>
          </w:tcPr>
          <w:p w14:paraId="502EF328" w14:textId="77777777" w:rsidR="004A10AE" w:rsidRPr="0025669D" w:rsidRDefault="004A10AE" w:rsidP="007947DB">
            <w:pPr>
              <w:pStyle w:val="Default"/>
              <w:jc w:val="center"/>
              <w:rPr>
                <w:rFonts w:eastAsia="Malgun Gothic"/>
                <w:sz w:val="22"/>
                <w:szCs w:val="22"/>
              </w:rPr>
            </w:pPr>
            <w:r w:rsidRPr="0025669D">
              <w:rPr>
                <w:rFonts w:eastAsia="Malgun Gothic"/>
                <w:sz w:val="22"/>
                <w:szCs w:val="22"/>
              </w:rPr>
              <w:t>0.964 - 1.052</w:t>
            </w:r>
          </w:p>
        </w:tc>
      </w:tr>
      <w:tr w:rsidR="004A10AE" w:rsidRPr="0025669D" w14:paraId="19E0B8A5" w14:textId="77777777" w:rsidTr="005A4B0D">
        <w:tc>
          <w:tcPr>
            <w:tcW w:w="840" w:type="pct"/>
            <w:vMerge/>
            <w:vAlign w:val="center"/>
          </w:tcPr>
          <w:p w14:paraId="26B7C329" w14:textId="77777777" w:rsidR="004A10AE" w:rsidRPr="0025669D" w:rsidRDefault="004A10AE" w:rsidP="007947DB">
            <w:pPr>
              <w:wordWrap/>
              <w:adjustRightInd w:val="0"/>
              <w:jc w:val="left"/>
              <w:rPr>
                <w:rFonts w:ascii="Times New Roman" w:eastAsia="Malgun Gothic" w:hAnsi="Times New Roman" w:cs="Times New Roman"/>
                <w:color w:val="000000"/>
                <w:kern w:val="0"/>
                <w:sz w:val="22"/>
              </w:rPr>
            </w:pPr>
          </w:p>
        </w:tc>
        <w:tc>
          <w:tcPr>
            <w:tcW w:w="840" w:type="pct"/>
            <w:vAlign w:val="center"/>
          </w:tcPr>
          <w:p w14:paraId="72C6D2A9" w14:textId="77777777" w:rsidR="004A10AE" w:rsidRPr="0025669D" w:rsidRDefault="004A10AE" w:rsidP="007947DB">
            <w:pPr>
              <w:wordWrap/>
              <w:adjustRightInd w:val="0"/>
              <w:jc w:val="left"/>
              <w:rPr>
                <w:rFonts w:ascii="Times New Roman" w:eastAsia="Malgun Gothic" w:hAnsi="Times New Roman" w:cs="Times New Roman"/>
                <w:color w:val="000000"/>
                <w:kern w:val="0"/>
                <w:sz w:val="22"/>
              </w:rPr>
            </w:pPr>
            <w:r w:rsidRPr="0025669D">
              <w:rPr>
                <w:rFonts w:ascii="Times New Roman" w:eastAsia="Malgun Gothic" w:hAnsi="Times New Roman" w:cs="Times New Roman"/>
                <w:color w:val="000000"/>
                <w:kern w:val="0"/>
                <w:sz w:val="22"/>
              </w:rPr>
              <w:t xml:space="preserve">EU </w:t>
            </w:r>
            <w:proofErr w:type="spellStart"/>
            <w:r w:rsidRPr="0025669D">
              <w:rPr>
                <w:rFonts w:ascii="Times New Roman" w:eastAsia="Malgun Gothic" w:hAnsi="Times New Roman" w:cs="Times New Roman"/>
                <w:color w:val="000000"/>
                <w:kern w:val="0"/>
                <w:sz w:val="22"/>
              </w:rPr>
              <w:t>Remicade</w:t>
            </w:r>
            <w:proofErr w:type="spellEnd"/>
            <w:r w:rsidRPr="0025669D">
              <w:rPr>
                <w:rFonts w:ascii="Times New Roman" w:eastAsia="Malgun Gothic" w:hAnsi="Times New Roman" w:cs="Times New Roman"/>
                <w:color w:val="000000"/>
                <w:kern w:val="0"/>
                <w:sz w:val="22"/>
                <w:vertAlign w:val="superscript"/>
              </w:rPr>
              <w:t>®</w:t>
            </w:r>
          </w:p>
        </w:tc>
        <w:tc>
          <w:tcPr>
            <w:tcW w:w="399" w:type="pct"/>
            <w:vAlign w:val="center"/>
          </w:tcPr>
          <w:p w14:paraId="508C8445" w14:textId="77777777" w:rsidR="004A10AE" w:rsidRPr="0025669D" w:rsidRDefault="004A10AE" w:rsidP="007947DB">
            <w:pPr>
              <w:wordWrap/>
              <w:adjustRightInd w:val="0"/>
              <w:jc w:val="center"/>
              <w:rPr>
                <w:rFonts w:ascii="Times New Roman" w:eastAsia="Malgun Gothic" w:hAnsi="Times New Roman" w:cs="Times New Roman"/>
                <w:color w:val="000000"/>
                <w:kern w:val="0"/>
                <w:sz w:val="22"/>
              </w:rPr>
            </w:pPr>
            <w:r w:rsidRPr="0025669D">
              <w:rPr>
                <w:rFonts w:ascii="Times New Roman" w:eastAsia="Malgun Gothic" w:hAnsi="Times New Roman" w:cs="Times New Roman"/>
                <w:color w:val="000000"/>
                <w:kern w:val="0"/>
                <w:sz w:val="22"/>
              </w:rPr>
              <w:t>53</w:t>
            </w:r>
          </w:p>
        </w:tc>
        <w:tc>
          <w:tcPr>
            <w:tcW w:w="399" w:type="pct"/>
            <w:vAlign w:val="center"/>
          </w:tcPr>
          <w:p w14:paraId="39BB340B" w14:textId="77777777" w:rsidR="004A10AE" w:rsidRPr="0025669D" w:rsidRDefault="004A10AE" w:rsidP="007947DB">
            <w:pPr>
              <w:wordWrap/>
              <w:adjustRightInd w:val="0"/>
              <w:jc w:val="center"/>
              <w:rPr>
                <w:rFonts w:ascii="Times New Roman" w:eastAsia="Malgun Gothic" w:hAnsi="Times New Roman" w:cs="Times New Roman"/>
                <w:color w:val="000000"/>
                <w:kern w:val="0"/>
                <w:sz w:val="22"/>
              </w:rPr>
            </w:pPr>
            <w:r w:rsidRPr="0025669D">
              <w:rPr>
                <w:rFonts w:ascii="Times New Roman" w:eastAsia="Malgun Gothic" w:hAnsi="Times New Roman" w:cs="Times New Roman"/>
                <w:color w:val="000000"/>
                <w:kern w:val="0"/>
                <w:sz w:val="22"/>
              </w:rPr>
              <w:t>53</w:t>
            </w:r>
          </w:p>
        </w:tc>
        <w:tc>
          <w:tcPr>
            <w:tcW w:w="841" w:type="pct"/>
            <w:vAlign w:val="center"/>
          </w:tcPr>
          <w:p w14:paraId="5DC84FD4" w14:textId="77777777" w:rsidR="004A10AE" w:rsidRPr="0025669D" w:rsidRDefault="004A10AE" w:rsidP="007947DB">
            <w:pPr>
              <w:pStyle w:val="Default"/>
              <w:jc w:val="center"/>
              <w:rPr>
                <w:rFonts w:eastAsia="Malgun Gothic"/>
                <w:sz w:val="22"/>
                <w:szCs w:val="22"/>
              </w:rPr>
            </w:pPr>
            <w:r w:rsidRPr="0025669D">
              <w:rPr>
                <w:rFonts w:eastAsia="Malgun Gothic"/>
                <w:sz w:val="22"/>
                <w:szCs w:val="22"/>
              </w:rPr>
              <w:t>125.053</w:t>
            </w:r>
          </w:p>
        </w:tc>
        <w:tc>
          <w:tcPr>
            <w:tcW w:w="841" w:type="pct"/>
            <w:vMerge/>
            <w:vAlign w:val="center"/>
          </w:tcPr>
          <w:p w14:paraId="68AB5CF1" w14:textId="77777777" w:rsidR="004A10AE" w:rsidRPr="0025669D" w:rsidRDefault="004A10AE" w:rsidP="007947DB">
            <w:pPr>
              <w:wordWrap/>
              <w:adjustRightInd w:val="0"/>
              <w:jc w:val="left"/>
              <w:rPr>
                <w:rFonts w:ascii="Times New Roman" w:eastAsia="Malgun Gothic" w:hAnsi="Times New Roman" w:cs="Times New Roman"/>
                <w:color w:val="000000"/>
                <w:kern w:val="0"/>
                <w:sz w:val="22"/>
              </w:rPr>
            </w:pPr>
          </w:p>
        </w:tc>
        <w:tc>
          <w:tcPr>
            <w:tcW w:w="840" w:type="pct"/>
            <w:vMerge/>
            <w:vAlign w:val="center"/>
          </w:tcPr>
          <w:p w14:paraId="11197D18" w14:textId="77777777" w:rsidR="004A10AE" w:rsidRPr="0025669D" w:rsidRDefault="004A10AE" w:rsidP="007947DB">
            <w:pPr>
              <w:wordWrap/>
              <w:adjustRightInd w:val="0"/>
              <w:jc w:val="left"/>
              <w:rPr>
                <w:rFonts w:ascii="Times New Roman" w:eastAsia="Malgun Gothic" w:hAnsi="Times New Roman" w:cs="Times New Roman"/>
                <w:color w:val="000000"/>
                <w:kern w:val="0"/>
                <w:sz w:val="22"/>
              </w:rPr>
            </w:pPr>
          </w:p>
        </w:tc>
      </w:tr>
    </w:tbl>
    <w:p w14:paraId="5D184AE3" w14:textId="77777777" w:rsidR="004A10AE" w:rsidRPr="00AB4141" w:rsidRDefault="004A10AE" w:rsidP="007947DB">
      <w:pPr>
        <w:wordWrap/>
        <w:adjustRightInd w:val="0"/>
        <w:spacing w:after="0" w:line="240" w:lineRule="auto"/>
        <w:jc w:val="left"/>
        <w:rPr>
          <w:rFonts w:ascii="Times New Roman" w:eastAsia="Malgun Gothic" w:hAnsi="Times New Roman" w:cs="Times New Roman"/>
          <w:kern w:val="0"/>
          <w:szCs w:val="20"/>
        </w:rPr>
      </w:pPr>
      <w:proofErr w:type="spellStart"/>
      <w:r w:rsidRPr="00AB4141">
        <w:rPr>
          <w:rFonts w:ascii="Times New Roman" w:eastAsia="Malgun Gothic" w:hAnsi="Times New Roman" w:cs="Times New Roman"/>
          <w:kern w:val="0"/>
          <w:szCs w:val="20"/>
        </w:rPr>
        <w:t>AUC</w:t>
      </w:r>
      <w:r w:rsidRPr="00AB4141">
        <w:rPr>
          <w:rFonts w:ascii="Times New Roman" w:eastAsia="Malgun Gothic" w:hAnsi="Times New Roman" w:cs="Times New Roman"/>
          <w:kern w:val="0"/>
          <w:szCs w:val="20"/>
          <w:vertAlign w:val="subscript"/>
        </w:rPr>
        <w:t>last</w:t>
      </w:r>
      <w:proofErr w:type="spellEnd"/>
      <w:r w:rsidRPr="00AB4141">
        <w:rPr>
          <w:rFonts w:ascii="Times New Roman" w:eastAsia="Malgun Gothic" w:hAnsi="Times New Roman" w:cs="Times New Roman"/>
          <w:kern w:val="0"/>
          <w:szCs w:val="20"/>
        </w:rPr>
        <w:t xml:space="preserve">: area under the concentration-time curve from time zero to the last quantifiable concentration; </w:t>
      </w:r>
      <w:proofErr w:type="spellStart"/>
      <w:r w:rsidRPr="00AB4141">
        <w:rPr>
          <w:rFonts w:ascii="Times New Roman" w:eastAsia="Malgun Gothic" w:hAnsi="Times New Roman" w:cs="Times New Roman"/>
          <w:kern w:val="0"/>
          <w:szCs w:val="20"/>
        </w:rPr>
        <w:t>AUC</w:t>
      </w:r>
      <w:r w:rsidRPr="00AB4141">
        <w:rPr>
          <w:rFonts w:ascii="Times New Roman" w:eastAsia="Malgun Gothic" w:hAnsi="Times New Roman" w:cs="Times New Roman"/>
          <w:kern w:val="0"/>
          <w:szCs w:val="20"/>
          <w:vertAlign w:val="subscript"/>
        </w:rPr>
        <w:t>inf</w:t>
      </w:r>
      <w:proofErr w:type="spellEnd"/>
      <w:r w:rsidRPr="00AB4141">
        <w:rPr>
          <w:rFonts w:ascii="Times New Roman" w:eastAsia="Malgun Gothic" w:hAnsi="Times New Roman" w:cs="Times New Roman"/>
          <w:kern w:val="0"/>
          <w:szCs w:val="20"/>
        </w:rPr>
        <w:t xml:space="preserve">: area under the concentration-time curve from time zero to infinity; CI: confidence interval; </w:t>
      </w:r>
      <w:proofErr w:type="spellStart"/>
      <w:r w:rsidRPr="00AB4141">
        <w:rPr>
          <w:rFonts w:ascii="Times New Roman" w:eastAsia="Malgun Gothic" w:hAnsi="Times New Roman" w:cs="Times New Roman"/>
          <w:kern w:val="0"/>
          <w:szCs w:val="20"/>
        </w:rPr>
        <w:t>C</w:t>
      </w:r>
      <w:r w:rsidRPr="00AB4141">
        <w:rPr>
          <w:rFonts w:ascii="Times New Roman" w:eastAsia="Malgun Gothic" w:hAnsi="Times New Roman" w:cs="Times New Roman"/>
          <w:kern w:val="0"/>
          <w:szCs w:val="20"/>
          <w:vertAlign w:val="subscript"/>
        </w:rPr>
        <w:t>max</w:t>
      </w:r>
      <w:proofErr w:type="spellEnd"/>
      <w:r w:rsidRPr="00AB4141">
        <w:rPr>
          <w:rFonts w:ascii="Times New Roman" w:eastAsia="Malgun Gothic" w:hAnsi="Times New Roman" w:cs="Times New Roman"/>
          <w:kern w:val="0"/>
          <w:szCs w:val="20"/>
        </w:rPr>
        <w:t xml:space="preserve">: maximum concentration; </w:t>
      </w:r>
      <w:proofErr w:type="spellStart"/>
      <w:r w:rsidRPr="00AB4141">
        <w:rPr>
          <w:rFonts w:ascii="Times New Roman" w:eastAsia="Malgun Gothic" w:hAnsi="Times New Roman" w:cs="Times New Roman"/>
          <w:kern w:val="0"/>
          <w:szCs w:val="20"/>
        </w:rPr>
        <w:t>LSMeans</w:t>
      </w:r>
      <w:proofErr w:type="spellEnd"/>
      <w:r w:rsidRPr="00AB4141">
        <w:rPr>
          <w:rFonts w:ascii="Times New Roman" w:eastAsia="Malgun Gothic" w:hAnsi="Times New Roman" w:cs="Times New Roman"/>
          <w:kern w:val="0"/>
          <w:szCs w:val="20"/>
        </w:rPr>
        <w:t>: least squares means</w:t>
      </w:r>
      <w:r w:rsidRPr="00AB4141">
        <w:rPr>
          <w:rFonts w:ascii="Times New Roman" w:eastAsia="Malgun Gothic" w:hAnsi="Times New Roman" w:cs="Times New Roman" w:hint="eastAsia"/>
          <w:kern w:val="0"/>
          <w:szCs w:val="20"/>
        </w:rPr>
        <w:t xml:space="preserve">; </w:t>
      </w:r>
      <w:r>
        <w:rPr>
          <w:rFonts w:ascii="Times New Roman" w:eastAsia="Malgun Gothic" w:hAnsi="Times New Roman" w:cs="Times New Roman"/>
          <w:kern w:val="0"/>
          <w:szCs w:val="20"/>
        </w:rPr>
        <w:t>N</w:t>
      </w:r>
      <w:r>
        <w:rPr>
          <w:rFonts w:ascii="Times New Roman" w:eastAsia="Malgun Gothic" w:hAnsi="Times New Roman" w:cs="Times New Roman" w:hint="eastAsia"/>
          <w:kern w:val="0"/>
          <w:szCs w:val="20"/>
        </w:rPr>
        <w:t>:</w:t>
      </w:r>
      <w:r w:rsidRPr="00AB4141">
        <w:rPr>
          <w:rFonts w:ascii="Times New Roman" w:eastAsia="Malgun Gothic" w:hAnsi="Times New Roman" w:cs="Times New Roman"/>
          <w:kern w:val="0"/>
          <w:szCs w:val="20"/>
        </w:rPr>
        <w:t xml:space="preserve"> number of subjects in PK population;</w:t>
      </w:r>
    </w:p>
    <w:p w14:paraId="07FDC21B" w14:textId="02B19AFD" w:rsidR="004A10AE" w:rsidRPr="00AB4141" w:rsidRDefault="004A10AE" w:rsidP="007947DB">
      <w:pPr>
        <w:wordWrap/>
        <w:adjustRightInd w:val="0"/>
        <w:spacing w:after="0" w:line="240" w:lineRule="auto"/>
        <w:jc w:val="left"/>
        <w:rPr>
          <w:rFonts w:ascii="Times New Roman" w:eastAsia="Malgun Gothic" w:hAnsi="Times New Roman" w:cs="Times New Roman"/>
          <w:kern w:val="0"/>
          <w:szCs w:val="20"/>
        </w:rPr>
      </w:pPr>
      <w:proofErr w:type="gramStart"/>
      <w:r>
        <w:rPr>
          <w:rFonts w:ascii="Times New Roman" w:eastAsia="Malgun Gothic" w:hAnsi="Times New Roman" w:cs="Times New Roman"/>
          <w:kern w:val="0"/>
          <w:szCs w:val="20"/>
        </w:rPr>
        <w:t>n</w:t>
      </w:r>
      <w:proofErr w:type="gramEnd"/>
      <w:r>
        <w:rPr>
          <w:rFonts w:ascii="Times New Roman" w:eastAsia="Malgun Gothic" w:hAnsi="Times New Roman" w:cs="Times New Roman" w:hint="eastAsia"/>
          <w:kern w:val="0"/>
          <w:szCs w:val="20"/>
        </w:rPr>
        <w:t>:</w:t>
      </w:r>
      <w:r w:rsidRPr="00AB4141">
        <w:rPr>
          <w:rFonts w:ascii="Times New Roman" w:eastAsia="Malgun Gothic" w:hAnsi="Times New Roman" w:cs="Times New Roman"/>
          <w:kern w:val="0"/>
          <w:szCs w:val="20"/>
        </w:rPr>
        <w:t xml:space="preserve"> number of subjects who contributed to analysis</w:t>
      </w:r>
      <w:r w:rsidRPr="00AB4141">
        <w:rPr>
          <w:rFonts w:ascii="Times New Roman" w:eastAsia="Malgun Gothic" w:hAnsi="Times New Roman" w:cs="Times New Roman" w:hint="eastAsia"/>
          <w:kern w:val="0"/>
          <w:szCs w:val="20"/>
        </w:rPr>
        <w:t>.</w:t>
      </w:r>
    </w:p>
    <w:p w14:paraId="2D0C3EE8" w14:textId="77777777" w:rsidR="004A10AE" w:rsidRPr="00AB4141" w:rsidRDefault="004A10AE" w:rsidP="007947DB">
      <w:pPr>
        <w:wordWrap/>
        <w:adjustRightInd w:val="0"/>
        <w:spacing w:after="0" w:line="240" w:lineRule="auto"/>
        <w:jc w:val="left"/>
        <w:rPr>
          <w:rFonts w:ascii="Times New Roman" w:eastAsia="Malgun Gothic" w:hAnsi="Times New Roman" w:cs="Times New Roman"/>
          <w:color w:val="000000"/>
          <w:kern w:val="0"/>
          <w:sz w:val="18"/>
          <w:szCs w:val="18"/>
        </w:rPr>
      </w:pPr>
    </w:p>
    <w:p w14:paraId="49D60D7E" w14:textId="77777777" w:rsidR="004A10AE" w:rsidRDefault="004A10AE" w:rsidP="007947DB">
      <w:pPr>
        <w:wordWrap/>
        <w:adjustRightInd w:val="0"/>
        <w:spacing w:after="0" w:line="240" w:lineRule="auto"/>
        <w:jc w:val="left"/>
        <w:rPr>
          <w:rFonts w:ascii="Times New Roman" w:eastAsia="Malgun Gothic" w:hAnsi="Times New Roman" w:cs="Times New Roman"/>
          <w:color w:val="000000"/>
          <w:kern w:val="0"/>
          <w:sz w:val="24"/>
          <w:szCs w:val="24"/>
        </w:rPr>
      </w:pPr>
      <w:r>
        <w:rPr>
          <w:rFonts w:ascii="Times New Roman" w:eastAsia="Malgun Gothic" w:hAnsi="Times New Roman" w:cs="Times New Roman" w:hint="eastAsia"/>
          <w:color w:val="000000"/>
          <w:kern w:val="0"/>
          <w:sz w:val="24"/>
          <w:szCs w:val="24"/>
        </w:rPr>
        <w:t>In addition</w:t>
      </w:r>
      <w:r w:rsidRPr="0025669D">
        <w:rPr>
          <w:rFonts w:ascii="Times New Roman" w:eastAsia="Malgun Gothic" w:hAnsi="Times New Roman" w:cs="Times New Roman"/>
          <w:color w:val="000000"/>
          <w:kern w:val="0"/>
          <w:sz w:val="24"/>
          <w:szCs w:val="24"/>
        </w:rPr>
        <w:t xml:space="preserve">, </w:t>
      </w:r>
      <w:r>
        <w:rPr>
          <w:rFonts w:ascii="Times New Roman" w:eastAsia="Malgun Gothic" w:hAnsi="Times New Roman" w:cs="Times New Roman" w:hint="eastAsia"/>
          <w:color w:val="000000"/>
          <w:kern w:val="0"/>
          <w:sz w:val="24"/>
          <w:szCs w:val="24"/>
        </w:rPr>
        <w:t xml:space="preserve">to provide supportive evidence of PK similarity between RENFLEXIS and EU </w:t>
      </w:r>
      <w:proofErr w:type="spellStart"/>
      <w:r>
        <w:rPr>
          <w:rFonts w:ascii="Times New Roman" w:eastAsia="Malgun Gothic" w:hAnsi="Times New Roman" w:cs="Times New Roman" w:hint="eastAsia"/>
          <w:color w:val="000000"/>
          <w:kern w:val="0"/>
          <w:sz w:val="24"/>
          <w:szCs w:val="24"/>
        </w:rPr>
        <w:t>Remicade</w:t>
      </w:r>
      <w:proofErr w:type="spellEnd"/>
      <w:r w:rsidRPr="00E719DA">
        <w:rPr>
          <w:rFonts w:ascii="Times New Roman" w:eastAsia="Malgun Gothic" w:hAnsi="Times New Roman" w:cs="Times New Roman"/>
          <w:color w:val="000000"/>
          <w:kern w:val="0"/>
          <w:sz w:val="24"/>
          <w:szCs w:val="24"/>
          <w:vertAlign w:val="superscript"/>
        </w:rPr>
        <w:t>®</w:t>
      </w:r>
      <w:r>
        <w:rPr>
          <w:rFonts w:ascii="Times New Roman" w:eastAsia="Malgun Gothic" w:hAnsi="Times New Roman" w:cs="Times New Roman" w:hint="eastAsia"/>
          <w:color w:val="000000"/>
          <w:kern w:val="0"/>
          <w:sz w:val="24"/>
          <w:szCs w:val="24"/>
        </w:rPr>
        <w:t xml:space="preserve"> in patients,</w:t>
      </w:r>
      <w:r w:rsidRPr="0025669D">
        <w:rPr>
          <w:rFonts w:ascii="Times New Roman" w:eastAsia="Malgun Gothic" w:hAnsi="Times New Roman" w:cs="Times New Roman"/>
          <w:color w:val="000000"/>
          <w:kern w:val="0"/>
          <w:sz w:val="24"/>
          <w:szCs w:val="24"/>
        </w:rPr>
        <w:t xml:space="preserve"> </w:t>
      </w:r>
      <w:r>
        <w:rPr>
          <w:rFonts w:ascii="Times New Roman" w:eastAsia="Malgun Gothic" w:hAnsi="Times New Roman" w:cs="Times New Roman" w:hint="eastAsia"/>
          <w:color w:val="000000"/>
          <w:kern w:val="0"/>
          <w:sz w:val="24"/>
          <w:szCs w:val="24"/>
        </w:rPr>
        <w:t xml:space="preserve">steady-state </w:t>
      </w:r>
      <w:r w:rsidRPr="0025669D">
        <w:rPr>
          <w:rFonts w:ascii="Times New Roman" w:eastAsia="Malgun Gothic" w:hAnsi="Times New Roman" w:cs="Times New Roman"/>
          <w:color w:val="000000"/>
          <w:kern w:val="0"/>
          <w:sz w:val="24"/>
          <w:szCs w:val="24"/>
        </w:rPr>
        <w:t xml:space="preserve">pharmacokinetic profiles </w:t>
      </w:r>
      <w:r>
        <w:rPr>
          <w:rFonts w:ascii="Times New Roman" w:eastAsia="Malgun Gothic" w:hAnsi="Times New Roman" w:cs="Times New Roman" w:hint="eastAsia"/>
          <w:color w:val="000000"/>
          <w:kern w:val="0"/>
          <w:sz w:val="24"/>
          <w:szCs w:val="24"/>
        </w:rPr>
        <w:t xml:space="preserve">were evaluated in a </w:t>
      </w:r>
      <w:r w:rsidRPr="0025669D">
        <w:rPr>
          <w:rFonts w:ascii="Times New Roman" w:eastAsia="Malgun Gothic" w:hAnsi="Times New Roman" w:cs="Times New Roman"/>
          <w:color w:val="000000"/>
          <w:kern w:val="0"/>
          <w:sz w:val="24"/>
          <w:szCs w:val="24"/>
        </w:rPr>
        <w:t>subset of RA patients</w:t>
      </w:r>
      <w:r>
        <w:rPr>
          <w:rFonts w:ascii="Times New Roman" w:eastAsia="Malgun Gothic" w:hAnsi="Times New Roman" w:cs="Times New Roman" w:hint="eastAsia"/>
          <w:color w:val="000000"/>
          <w:kern w:val="0"/>
          <w:sz w:val="24"/>
          <w:szCs w:val="24"/>
        </w:rPr>
        <w:t xml:space="preserve"> receiving either 3</w:t>
      </w:r>
      <w:r>
        <w:rPr>
          <w:rFonts w:ascii="Times New Roman" w:eastAsia="Malgun Gothic" w:hAnsi="Times New Roman" w:cs="Times New Roman"/>
          <w:color w:val="000000"/>
          <w:kern w:val="0"/>
          <w:sz w:val="24"/>
          <w:szCs w:val="24"/>
        </w:rPr>
        <w:t xml:space="preserve"> </w:t>
      </w:r>
      <w:r>
        <w:rPr>
          <w:rFonts w:ascii="Times New Roman" w:eastAsia="Malgun Gothic" w:hAnsi="Times New Roman" w:cs="Times New Roman" w:hint="eastAsia"/>
          <w:color w:val="000000"/>
          <w:kern w:val="0"/>
          <w:sz w:val="24"/>
          <w:szCs w:val="24"/>
        </w:rPr>
        <w:t>mg/kg RENFLEXIS (n=165) or 3</w:t>
      </w:r>
      <w:r>
        <w:rPr>
          <w:rFonts w:ascii="Times New Roman" w:eastAsia="Malgun Gothic" w:hAnsi="Times New Roman" w:cs="Times New Roman"/>
          <w:color w:val="000000"/>
          <w:kern w:val="0"/>
          <w:sz w:val="24"/>
          <w:szCs w:val="24"/>
        </w:rPr>
        <w:t xml:space="preserve"> </w:t>
      </w:r>
      <w:r>
        <w:rPr>
          <w:rFonts w:ascii="Times New Roman" w:eastAsia="Malgun Gothic" w:hAnsi="Times New Roman" w:cs="Times New Roman" w:hint="eastAsia"/>
          <w:color w:val="000000"/>
          <w:kern w:val="0"/>
          <w:sz w:val="24"/>
          <w:szCs w:val="24"/>
        </w:rPr>
        <w:t xml:space="preserve">mg/kg </w:t>
      </w:r>
      <w:r w:rsidRPr="0025669D">
        <w:rPr>
          <w:rFonts w:ascii="Times New Roman" w:eastAsia="Malgun Gothic" w:hAnsi="Times New Roman" w:cs="Times New Roman"/>
          <w:color w:val="000000"/>
          <w:kern w:val="0"/>
          <w:sz w:val="24"/>
          <w:szCs w:val="24"/>
        </w:rPr>
        <w:t xml:space="preserve">EU </w:t>
      </w:r>
      <w:proofErr w:type="spellStart"/>
      <w:r w:rsidRPr="0025669D">
        <w:rPr>
          <w:rFonts w:ascii="Times New Roman" w:eastAsia="Malgun Gothic" w:hAnsi="Times New Roman" w:cs="Times New Roman"/>
          <w:color w:val="000000"/>
          <w:kern w:val="0"/>
          <w:sz w:val="24"/>
          <w:szCs w:val="24"/>
        </w:rPr>
        <w:t>Remicade</w:t>
      </w:r>
      <w:proofErr w:type="spellEnd"/>
      <w:r w:rsidRPr="0025669D">
        <w:rPr>
          <w:rFonts w:ascii="Times New Roman" w:eastAsia="Malgun Gothic" w:hAnsi="Times New Roman" w:cs="Times New Roman"/>
          <w:color w:val="000000"/>
          <w:kern w:val="0"/>
          <w:sz w:val="24"/>
          <w:szCs w:val="24"/>
          <w:vertAlign w:val="superscript"/>
        </w:rPr>
        <w:t>®</w:t>
      </w:r>
      <w:r>
        <w:rPr>
          <w:rFonts w:ascii="Times New Roman" w:eastAsia="Malgun Gothic" w:hAnsi="Times New Roman" w:cs="Times New Roman" w:hint="eastAsia"/>
          <w:color w:val="000000"/>
          <w:kern w:val="0"/>
          <w:sz w:val="24"/>
          <w:szCs w:val="24"/>
          <w:vertAlign w:val="superscript"/>
        </w:rPr>
        <w:t xml:space="preserve"> </w:t>
      </w:r>
      <w:r>
        <w:rPr>
          <w:rFonts w:ascii="Times New Roman" w:eastAsia="Malgun Gothic" w:hAnsi="Times New Roman" w:cs="Times New Roman" w:hint="eastAsia"/>
          <w:color w:val="000000"/>
          <w:kern w:val="0"/>
          <w:sz w:val="24"/>
          <w:szCs w:val="24"/>
        </w:rPr>
        <w:t xml:space="preserve">(n=160) </w:t>
      </w:r>
      <w:r w:rsidRPr="0025669D">
        <w:rPr>
          <w:rFonts w:ascii="Times New Roman" w:eastAsia="Malgun Gothic" w:hAnsi="Times New Roman" w:cs="Times New Roman"/>
          <w:color w:val="000000"/>
          <w:kern w:val="0"/>
          <w:sz w:val="24"/>
          <w:szCs w:val="24"/>
        </w:rPr>
        <w:t xml:space="preserve">in a </w:t>
      </w:r>
      <w:proofErr w:type="spellStart"/>
      <w:r w:rsidRPr="0025669D">
        <w:rPr>
          <w:rFonts w:ascii="Times New Roman" w:eastAsia="Malgun Gothic" w:hAnsi="Times New Roman" w:cs="Times New Roman"/>
          <w:color w:val="000000"/>
          <w:kern w:val="0"/>
          <w:sz w:val="24"/>
          <w:szCs w:val="24"/>
        </w:rPr>
        <w:t>randomi</w:t>
      </w:r>
      <w:r>
        <w:rPr>
          <w:rFonts w:ascii="Times New Roman" w:eastAsia="Malgun Gothic" w:hAnsi="Times New Roman" w:cs="Times New Roman" w:hint="eastAsia"/>
          <w:color w:val="000000"/>
          <w:kern w:val="0"/>
          <w:sz w:val="24"/>
          <w:szCs w:val="24"/>
        </w:rPr>
        <w:t>s</w:t>
      </w:r>
      <w:r w:rsidRPr="0025669D">
        <w:rPr>
          <w:rFonts w:ascii="Times New Roman" w:eastAsia="Malgun Gothic" w:hAnsi="Times New Roman" w:cs="Times New Roman"/>
          <w:color w:val="000000"/>
          <w:kern w:val="0"/>
          <w:sz w:val="24"/>
          <w:szCs w:val="24"/>
        </w:rPr>
        <w:t>ed</w:t>
      </w:r>
      <w:proofErr w:type="spellEnd"/>
      <w:r w:rsidRPr="0025669D">
        <w:rPr>
          <w:rFonts w:ascii="Times New Roman" w:eastAsia="Malgun Gothic" w:hAnsi="Times New Roman" w:cs="Times New Roman"/>
          <w:color w:val="000000"/>
          <w:kern w:val="0"/>
          <w:sz w:val="24"/>
          <w:szCs w:val="24"/>
        </w:rPr>
        <w:t xml:space="preserve">, double-blind, parallel group clinical </w:t>
      </w:r>
      <w:r>
        <w:rPr>
          <w:rFonts w:ascii="Times New Roman" w:eastAsia="Malgun Gothic" w:hAnsi="Times New Roman" w:cs="Times New Roman"/>
          <w:color w:val="000000"/>
          <w:kern w:val="0"/>
          <w:sz w:val="24"/>
          <w:szCs w:val="24"/>
        </w:rPr>
        <w:t>Phase 3</w:t>
      </w:r>
      <w:r w:rsidRPr="0025669D">
        <w:rPr>
          <w:rFonts w:ascii="Times New Roman" w:eastAsia="Malgun Gothic" w:hAnsi="Times New Roman" w:cs="Times New Roman"/>
          <w:color w:val="000000"/>
          <w:kern w:val="0"/>
          <w:sz w:val="24"/>
          <w:szCs w:val="24"/>
        </w:rPr>
        <w:t xml:space="preserve"> study (</w:t>
      </w:r>
      <w:r w:rsidRPr="0025669D">
        <w:rPr>
          <w:rFonts w:ascii="Times New Roman" w:eastAsia="Malgun Gothic" w:hAnsi="Times New Roman" w:cs="Times New Roman"/>
          <w:bCs/>
          <w:color w:val="000000"/>
          <w:kern w:val="0"/>
          <w:sz w:val="24"/>
          <w:szCs w:val="24"/>
        </w:rPr>
        <w:t>Study SB2-G31-RA)</w:t>
      </w:r>
      <w:r>
        <w:rPr>
          <w:rFonts w:ascii="Times New Roman" w:eastAsia="Malgun Gothic" w:hAnsi="Times New Roman" w:cs="Times New Roman" w:hint="eastAsia"/>
          <w:color w:val="000000"/>
          <w:kern w:val="0"/>
          <w:sz w:val="24"/>
          <w:szCs w:val="24"/>
        </w:rPr>
        <w:t xml:space="preserve">. The levels of </w:t>
      </w:r>
      <w:proofErr w:type="spellStart"/>
      <w:r w:rsidRPr="0025669D">
        <w:rPr>
          <w:rFonts w:ascii="Times New Roman" w:eastAsia="Malgun Gothic" w:hAnsi="Times New Roman" w:cs="Times New Roman"/>
          <w:color w:val="000000"/>
          <w:kern w:val="0"/>
          <w:sz w:val="24"/>
          <w:szCs w:val="24"/>
        </w:rPr>
        <w:t>C</w:t>
      </w:r>
      <w:r w:rsidRPr="0025669D">
        <w:rPr>
          <w:rFonts w:ascii="Times New Roman" w:eastAsia="Malgun Gothic" w:hAnsi="Times New Roman" w:cs="Times New Roman"/>
          <w:color w:val="000000"/>
          <w:kern w:val="0"/>
          <w:sz w:val="24"/>
          <w:szCs w:val="24"/>
          <w:vertAlign w:val="subscript"/>
        </w:rPr>
        <w:t>trough</w:t>
      </w:r>
      <w:proofErr w:type="spellEnd"/>
      <w:r>
        <w:rPr>
          <w:rFonts w:ascii="Times New Roman" w:eastAsia="Malgun Gothic" w:hAnsi="Times New Roman" w:cs="Times New Roman" w:hint="eastAsia"/>
          <w:color w:val="000000"/>
          <w:kern w:val="0"/>
          <w:sz w:val="24"/>
          <w:szCs w:val="24"/>
          <w:vertAlign w:val="subscript"/>
        </w:rPr>
        <w:t xml:space="preserve"> </w:t>
      </w:r>
      <w:r>
        <w:rPr>
          <w:rFonts w:ascii="Times New Roman" w:eastAsia="Malgun Gothic" w:hAnsi="Times New Roman" w:cs="Times New Roman" w:hint="eastAsia"/>
          <w:color w:val="000000"/>
          <w:kern w:val="0"/>
          <w:sz w:val="24"/>
          <w:szCs w:val="24"/>
        </w:rPr>
        <w:t xml:space="preserve">from week 2 to Week 30 were comparable between RENFLEXIS and EU </w:t>
      </w:r>
      <w:proofErr w:type="spellStart"/>
      <w:r>
        <w:rPr>
          <w:rFonts w:ascii="Times New Roman" w:eastAsia="Malgun Gothic" w:hAnsi="Times New Roman" w:cs="Times New Roman" w:hint="eastAsia"/>
          <w:color w:val="000000"/>
          <w:kern w:val="0"/>
          <w:sz w:val="24"/>
          <w:szCs w:val="24"/>
        </w:rPr>
        <w:t>Re</w:t>
      </w:r>
      <w:r w:rsidRPr="0025669D">
        <w:rPr>
          <w:rFonts w:ascii="Times New Roman" w:eastAsia="Malgun Gothic" w:hAnsi="Times New Roman" w:cs="Times New Roman"/>
          <w:color w:val="000000"/>
          <w:kern w:val="0"/>
          <w:sz w:val="24"/>
          <w:szCs w:val="24"/>
        </w:rPr>
        <w:t>micad</w:t>
      </w:r>
      <w:r>
        <w:rPr>
          <w:rFonts w:ascii="Times New Roman" w:eastAsia="Malgun Gothic" w:hAnsi="Times New Roman" w:cs="Times New Roman" w:hint="eastAsia"/>
          <w:color w:val="000000"/>
          <w:kern w:val="0"/>
          <w:sz w:val="24"/>
          <w:szCs w:val="24"/>
        </w:rPr>
        <w:t>e</w:t>
      </w:r>
      <w:proofErr w:type="spellEnd"/>
      <w:r w:rsidRPr="009A4B58">
        <w:rPr>
          <w:rFonts w:ascii="Times New Roman" w:eastAsia="Malgun Gothic" w:hAnsi="Times New Roman" w:cs="Times New Roman"/>
          <w:color w:val="000000"/>
          <w:kern w:val="0"/>
          <w:sz w:val="24"/>
          <w:szCs w:val="24"/>
          <w:vertAlign w:val="superscript"/>
        </w:rPr>
        <w:t>®</w:t>
      </w:r>
      <w:r>
        <w:rPr>
          <w:rFonts w:ascii="Times New Roman" w:hAnsi="Times New Roman" w:cs="Times New Roman" w:hint="eastAsia"/>
          <w:sz w:val="24"/>
          <w:szCs w:val="24"/>
        </w:rPr>
        <w:t xml:space="preserve">, </w:t>
      </w:r>
      <w:r w:rsidRPr="003A501B">
        <w:rPr>
          <w:rFonts w:ascii="Times New Roman" w:eastAsia="Malgun Gothic" w:hAnsi="Times New Roman" w:cs="Times New Roman"/>
          <w:color w:val="000000"/>
          <w:kern w:val="0"/>
          <w:sz w:val="24"/>
          <w:szCs w:val="24"/>
        </w:rPr>
        <w:t xml:space="preserve">ranging from </w:t>
      </w:r>
      <w:r w:rsidRPr="003A501B">
        <w:rPr>
          <w:rFonts w:ascii="Times New Roman" w:eastAsia="Malgun Gothic" w:hAnsi="Times New Roman" w:cs="Times New Roman" w:hint="eastAsia"/>
          <w:color w:val="000000"/>
          <w:kern w:val="0"/>
          <w:sz w:val="24"/>
          <w:szCs w:val="24"/>
        </w:rPr>
        <w:t>1.915</w:t>
      </w:r>
      <w:r w:rsidRPr="003A501B">
        <w:rPr>
          <w:rFonts w:ascii="Times New Roman" w:eastAsia="Malgun Gothic" w:hAnsi="Times New Roman" w:cs="Times New Roman"/>
          <w:color w:val="000000"/>
          <w:kern w:val="0"/>
          <w:sz w:val="24"/>
          <w:szCs w:val="24"/>
        </w:rPr>
        <w:t xml:space="preserve"> to </w:t>
      </w:r>
      <w:proofErr w:type="gramStart"/>
      <w:r w:rsidRPr="003A501B">
        <w:rPr>
          <w:rFonts w:ascii="Times New Roman" w:eastAsia="Malgun Gothic" w:hAnsi="Times New Roman" w:cs="Times New Roman" w:hint="eastAsia"/>
          <w:color w:val="000000"/>
          <w:kern w:val="0"/>
          <w:sz w:val="24"/>
          <w:szCs w:val="24"/>
        </w:rPr>
        <w:t>17.965</w:t>
      </w:r>
      <w:r>
        <w:rPr>
          <w:rFonts w:ascii="Times New Roman" w:eastAsia="Malgun Gothic" w:hAnsi="Times New Roman" w:cs="Times New Roman"/>
          <w:color w:val="000000"/>
          <w:kern w:val="0"/>
          <w:sz w:val="24"/>
          <w:szCs w:val="24"/>
        </w:rPr>
        <w:t xml:space="preserve"> </w:t>
      </w:r>
      <w:proofErr w:type="spellStart"/>
      <w:r>
        <w:rPr>
          <w:rFonts w:ascii="Times New Roman" w:eastAsia="Malgun Gothic" w:hAnsi="Times New Roman" w:cs="Times New Roman"/>
          <w:color w:val="000000"/>
          <w:kern w:val="0"/>
          <w:sz w:val="24"/>
          <w:szCs w:val="24"/>
        </w:rPr>
        <w:t>μg</w:t>
      </w:r>
      <w:proofErr w:type="spellEnd"/>
      <w:r>
        <w:rPr>
          <w:rFonts w:ascii="Times New Roman" w:eastAsia="Malgun Gothic" w:hAnsi="Times New Roman" w:cs="Times New Roman"/>
          <w:color w:val="000000"/>
          <w:kern w:val="0"/>
          <w:sz w:val="24"/>
          <w:szCs w:val="24"/>
        </w:rPr>
        <w:t>/</w:t>
      </w:r>
      <w:r>
        <w:rPr>
          <w:rFonts w:ascii="Times New Roman" w:eastAsia="Malgun Gothic" w:hAnsi="Times New Roman" w:cs="Times New Roman" w:hint="eastAsia"/>
          <w:color w:val="000000"/>
          <w:kern w:val="0"/>
          <w:sz w:val="24"/>
          <w:szCs w:val="24"/>
        </w:rPr>
        <w:t>mL for RENFLEXIS</w:t>
      </w:r>
      <w:proofErr w:type="gramEnd"/>
      <w:r>
        <w:rPr>
          <w:rFonts w:ascii="Times New Roman" w:eastAsia="Malgun Gothic" w:hAnsi="Times New Roman" w:cs="Times New Roman"/>
          <w:color w:val="000000"/>
          <w:kern w:val="0"/>
          <w:sz w:val="24"/>
          <w:szCs w:val="24"/>
        </w:rPr>
        <w:t xml:space="preserve"> and</w:t>
      </w:r>
      <w:r>
        <w:rPr>
          <w:rFonts w:ascii="Times New Roman" w:eastAsia="Malgun Gothic" w:hAnsi="Times New Roman" w:cs="Times New Roman" w:hint="eastAsia"/>
          <w:color w:val="000000"/>
          <w:kern w:val="0"/>
          <w:sz w:val="24"/>
          <w:szCs w:val="24"/>
        </w:rPr>
        <w:t xml:space="preserve"> </w:t>
      </w:r>
      <w:r w:rsidRPr="003A501B">
        <w:rPr>
          <w:rFonts w:ascii="Times New Roman" w:eastAsia="Malgun Gothic" w:hAnsi="Times New Roman" w:cs="Times New Roman"/>
          <w:color w:val="000000"/>
          <w:kern w:val="0"/>
          <w:sz w:val="24"/>
          <w:szCs w:val="24"/>
        </w:rPr>
        <w:t>2.</w:t>
      </w:r>
      <w:r w:rsidRPr="003A501B">
        <w:rPr>
          <w:rFonts w:ascii="Times New Roman" w:eastAsia="Malgun Gothic" w:hAnsi="Times New Roman" w:cs="Times New Roman" w:hint="eastAsia"/>
          <w:color w:val="000000"/>
          <w:kern w:val="0"/>
          <w:sz w:val="24"/>
          <w:szCs w:val="24"/>
        </w:rPr>
        <w:t>224</w:t>
      </w:r>
      <w:r w:rsidRPr="003A501B">
        <w:rPr>
          <w:rFonts w:ascii="Times New Roman" w:eastAsia="Malgun Gothic" w:hAnsi="Times New Roman" w:cs="Times New Roman"/>
          <w:color w:val="000000"/>
          <w:kern w:val="0"/>
          <w:sz w:val="24"/>
          <w:szCs w:val="24"/>
        </w:rPr>
        <w:t xml:space="preserve"> to </w:t>
      </w:r>
      <w:r w:rsidRPr="003A501B">
        <w:rPr>
          <w:rFonts w:ascii="Times New Roman" w:eastAsia="Malgun Gothic" w:hAnsi="Times New Roman" w:cs="Times New Roman" w:hint="eastAsia"/>
          <w:color w:val="000000"/>
          <w:kern w:val="0"/>
          <w:sz w:val="24"/>
          <w:szCs w:val="24"/>
        </w:rPr>
        <w:t xml:space="preserve">16.954 </w:t>
      </w:r>
      <w:proofErr w:type="spellStart"/>
      <w:r>
        <w:rPr>
          <w:rFonts w:ascii="Times New Roman" w:eastAsia="Malgun Gothic" w:hAnsi="Times New Roman" w:cs="Times New Roman"/>
          <w:color w:val="000000"/>
          <w:kern w:val="0"/>
          <w:sz w:val="24"/>
          <w:szCs w:val="24"/>
        </w:rPr>
        <w:t>μg</w:t>
      </w:r>
      <w:proofErr w:type="spellEnd"/>
      <w:r>
        <w:rPr>
          <w:rFonts w:ascii="Times New Roman" w:eastAsia="Malgun Gothic" w:hAnsi="Times New Roman" w:cs="Times New Roman"/>
          <w:color w:val="000000"/>
          <w:kern w:val="0"/>
          <w:sz w:val="24"/>
          <w:szCs w:val="24"/>
        </w:rPr>
        <w:t xml:space="preserve">/mL </w:t>
      </w:r>
      <w:r>
        <w:rPr>
          <w:rFonts w:ascii="Times New Roman" w:eastAsia="Malgun Gothic" w:hAnsi="Times New Roman" w:cs="Times New Roman" w:hint="eastAsia"/>
          <w:color w:val="000000"/>
          <w:kern w:val="0"/>
          <w:sz w:val="24"/>
          <w:szCs w:val="24"/>
        </w:rPr>
        <w:t xml:space="preserve">for EU </w:t>
      </w:r>
      <w:proofErr w:type="spellStart"/>
      <w:r>
        <w:rPr>
          <w:rFonts w:ascii="Times New Roman" w:eastAsia="Malgun Gothic" w:hAnsi="Times New Roman" w:cs="Times New Roman" w:hint="eastAsia"/>
          <w:color w:val="000000"/>
          <w:kern w:val="0"/>
          <w:sz w:val="24"/>
          <w:szCs w:val="24"/>
        </w:rPr>
        <w:t>Re</w:t>
      </w:r>
      <w:r w:rsidRPr="0025669D">
        <w:rPr>
          <w:rFonts w:ascii="Times New Roman" w:eastAsia="Malgun Gothic" w:hAnsi="Times New Roman" w:cs="Times New Roman"/>
          <w:color w:val="000000"/>
          <w:kern w:val="0"/>
          <w:sz w:val="24"/>
          <w:szCs w:val="24"/>
        </w:rPr>
        <w:t>micad</w:t>
      </w:r>
      <w:r>
        <w:rPr>
          <w:rFonts w:ascii="Times New Roman" w:eastAsia="Malgun Gothic" w:hAnsi="Times New Roman" w:cs="Times New Roman" w:hint="eastAsia"/>
          <w:color w:val="000000"/>
          <w:kern w:val="0"/>
          <w:sz w:val="24"/>
          <w:szCs w:val="24"/>
        </w:rPr>
        <w:t>e</w:t>
      </w:r>
      <w:proofErr w:type="spellEnd"/>
      <w:r w:rsidRPr="009A4B58">
        <w:rPr>
          <w:rFonts w:ascii="Times New Roman" w:eastAsia="Malgun Gothic" w:hAnsi="Times New Roman" w:cs="Times New Roman"/>
          <w:color w:val="000000"/>
          <w:kern w:val="0"/>
          <w:sz w:val="24"/>
          <w:szCs w:val="24"/>
          <w:vertAlign w:val="superscript"/>
        </w:rPr>
        <w:t>®</w:t>
      </w:r>
      <w:r w:rsidRPr="003A501B">
        <w:rPr>
          <w:rFonts w:ascii="Times New Roman" w:eastAsia="Malgun Gothic" w:hAnsi="Times New Roman" w:cs="Times New Roman"/>
          <w:color w:val="000000"/>
          <w:kern w:val="0"/>
          <w:sz w:val="24"/>
          <w:szCs w:val="24"/>
        </w:rPr>
        <w:t>.</w:t>
      </w:r>
    </w:p>
    <w:p w14:paraId="4BC7EF51" w14:textId="77777777" w:rsidR="0029392F" w:rsidRPr="0025669D" w:rsidRDefault="0029392F" w:rsidP="007947DB">
      <w:pPr>
        <w:wordWrap/>
        <w:adjustRightInd w:val="0"/>
        <w:spacing w:after="0" w:line="240" w:lineRule="auto"/>
        <w:jc w:val="left"/>
        <w:rPr>
          <w:rFonts w:ascii="Times New Roman" w:eastAsia="Malgun Gothic" w:hAnsi="Times New Roman" w:cs="Times New Roman"/>
          <w:color w:val="000000"/>
          <w:kern w:val="0"/>
          <w:sz w:val="24"/>
          <w:szCs w:val="24"/>
        </w:rPr>
      </w:pPr>
    </w:p>
    <w:p w14:paraId="33D071FE" w14:textId="77777777" w:rsidR="004A10AE" w:rsidRDefault="004A10AE" w:rsidP="007947DB">
      <w:pPr>
        <w:pStyle w:val="Heading1"/>
        <w:spacing w:before="240" w:after="240" w:line="240" w:lineRule="auto"/>
        <w:ind w:left="425" w:hanging="425"/>
        <w:rPr>
          <w:rFonts w:eastAsia="Malgun Gothic"/>
          <w:sz w:val="28"/>
          <w:lang w:eastAsia="ko-KR"/>
        </w:rPr>
      </w:pPr>
      <w:r w:rsidRPr="0025669D">
        <w:rPr>
          <w:rFonts w:eastAsia="Malgun Gothic"/>
          <w:sz w:val="28"/>
          <w:lang w:eastAsia="ko-KR"/>
        </w:rPr>
        <w:t>CLINICAL TRIALS</w:t>
      </w:r>
    </w:p>
    <w:p w14:paraId="5BC63A5E" w14:textId="11A584B8" w:rsidR="00FE5E1B" w:rsidRPr="00FE5E1B" w:rsidRDefault="00FE5E1B" w:rsidP="00FE5E1B">
      <w:pPr>
        <w:pStyle w:val="Heading2"/>
        <w:tabs>
          <w:tab w:val="num" w:pos="1418"/>
        </w:tabs>
        <w:spacing w:after="0"/>
        <w:ind w:left="1702" w:hangingChars="709" w:hanging="1702"/>
        <w:rPr>
          <w:rFonts w:eastAsia="Malgun Gothic" w:cs="Times New Roman"/>
          <w:szCs w:val="24"/>
          <w:lang w:eastAsia="ko-KR"/>
        </w:rPr>
      </w:pPr>
      <w:r w:rsidRPr="00FE5E1B">
        <w:rPr>
          <w:rFonts w:eastAsia="Malgun Gothic" w:cs="Times New Roman" w:hint="eastAsia"/>
          <w:szCs w:val="24"/>
          <w:lang w:eastAsia="ko-KR"/>
        </w:rPr>
        <w:t xml:space="preserve">Clinical Trials with </w:t>
      </w:r>
      <w:proofErr w:type="spellStart"/>
      <w:r w:rsidRPr="00FE5E1B">
        <w:rPr>
          <w:rFonts w:eastAsia="Malgun Gothic" w:cs="Times New Roman" w:hint="eastAsia"/>
          <w:szCs w:val="24"/>
          <w:lang w:eastAsia="ko-KR"/>
        </w:rPr>
        <w:t>Re</w:t>
      </w:r>
      <w:r w:rsidRPr="00FE5E1B">
        <w:rPr>
          <w:rFonts w:eastAsia="Malgun Gothic" w:cs="Times New Roman"/>
          <w:szCs w:val="24"/>
          <w:lang w:eastAsia="ko-KR"/>
        </w:rPr>
        <w:t>micad</w:t>
      </w:r>
      <w:r w:rsidRPr="00FE5E1B">
        <w:rPr>
          <w:rFonts w:eastAsia="Malgun Gothic" w:cs="Times New Roman" w:hint="eastAsia"/>
          <w:szCs w:val="24"/>
          <w:lang w:eastAsia="ko-KR"/>
        </w:rPr>
        <w:t>e</w:t>
      </w:r>
      <w:proofErr w:type="spellEnd"/>
      <w:r w:rsidRPr="00FE5E1B">
        <w:rPr>
          <w:rFonts w:eastAsia="Malgun Gothic" w:cs="Times New Roman"/>
          <w:szCs w:val="24"/>
          <w:vertAlign w:val="superscript"/>
          <w:lang w:eastAsia="ko-KR"/>
        </w:rPr>
        <w:t>®</w:t>
      </w:r>
    </w:p>
    <w:p w14:paraId="5EB1E13B" w14:textId="25554459" w:rsidR="004A10AE" w:rsidRPr="0035249D" w:rsidRDefault="004A10AE" w:rsidP="007947DB">
      <w:pPr>
        <w:pStyle w:val="Heading2"/>
        <w:tabs>
          <w:tab w:val="num" w:pos="1418"/>
        </w:tabs>
        <w:spacing w:after="0"/>
        <w:ind w:left="1702" w:hangingChars="709" w:hanging="1702"/>
        <w:rPr>
          <w:rFonts w:eastAsia="Malgun Gothic" w:cs="Times New Roman"/>
          <w:szCs w:val="24"/>
          <w:lang w:eastAsia="ko-KR"/>
        </w:rPr>
      </w:pPr>
      <w:r w:rsidRPr="0035249D">
        <w:rPr>
          <w:rFonts w:eastAsia="Malgun Gothic" w:cs="Times New Roman"/>
          <w:szCs w:val="24"/>
          <w:lang w:eastAsia="ko-KR"/>
        </w:rPr>
        <w:t xml:space="preserve">• Adult Rheumatoid Arthritis </w:t>
      </w:r>
    </w:p>
    <w:p w14:paraId="691A8AF8" w14:textId="77777777" w:rsidR="004A10AE" w:rsidRDefault="004A10AE" w:rsidP="007947DB">
      <w:pPr>
        <w:spacing w:line="240" w:lineRule="auto"/>
        <w:jc w:val="left"/>
        <w:rPr>
          <w:rFonts w:ascii="Times New Roman" w:eastAsia="Malgun Gothic" w:hAnsi="Times New Roman" w:cs="Times New Roman"/>
          <w:sz w:val="24"/>
          <w:szCs w:val="24"/>
        </w:rPr>
      </w:pPr>
      <w:r w:rsidRPr="0025669D">
        <w:rPr>
          <w:rFonts w:ascii="Times New Roman" w:eastAsia="Malgun Gothic" w:hAnsi="Times New Roman" w:cs="Times New Roman"/>
          <w:sz w:val="24"/>
          <w:szCs w:val="24"/>
        </w:rPr>
        <w:t xml:space="preserve">The safety and efficacy of </w:t>
      </w:r>
      <w:r>
        <w:rPr>
          <w:rFonts w:ascii="Times New Roman" w:eastAsia="Malgun Gothic" w:hAnsi="Times New Roman" w:cs="Times New Roman" w:hint="eastAsia"/>
          <w:sz w:val="24"/>
          <w:szCs w:val="24"/>
        </w:rPr>
        <w:t>i</w:t>
      </w:r>
      <w:r w:rsidRPr="0025669D">
        <w:rPr>
          <w:rFonts w:ascii="Times New Roman" w:eastAsia="Malgun Gothic" w:hAnsi="Times New Roman" w:cs="Times New Roman"/>
          <w:sz w:val="24"/>
          <w:szCs w:val="24"/>
        </w:rPr>
        <w:t xml:space="preserve">nfliximab were assessed in two </w:t>
      </w:r>
      <w:proofErr w:type="spellStart"/>
      <w:r w:rsidRPr="0025669D">
        <w:rPr>
          <w:rFonts w:ascii="Times New Roman" w:eastAsia="Malgun Gothic" w:hAnsi="Times New Roman" w:cs="Times New Roman"/>
          <w:sz w:val="24"/>
          <w:szCs w:val="24"/>
        </w:rPr>
        <w:t>multicentre</w:t>
      </w:r>
      <w:proofErr w:type="spellEnd"/>
      <w:r w:rsidRPr="0025669D">
        <w:rPr>
          <w:rFonts w:ascii="Times New Roman" w:eastAsia="Malgun Gothic" w:hAnsi="Times New Roman" w:cs="Times New Roman"/>
          <w:sz w:val="24"/>
          <w:szCs w:val="24"/>
        </w:rPr>
        <w:t xml:space="preserve">, </w:t>
      </w:r>
      <w:proofErr w:type="spellStart"/>
      <w:r w:rsidRPr="0025669D">
        <w:rPr>
          <w:rFonts w:ascii="Times New Roman" w:eastAsia="Malgun Gothic" w:hAnsi="Times New Roman" w:cs="Times New Roman"/>
          <w:sz w:val="24"/>
          <w:szCs w:val="24"/>
        </w:rPr>
        <w:t>randomised</w:t>
      </w:r>
      <w:proofErr w:type="spellEnd"/>
      <w:r w:rsidRPr="0025669D">
        <w:rPr>
          <w:rFonts w:ascii="Times New Roman" w:eastAsia="Malgun Gothic" w:hAnsi="Times New Roman" w:cs="Times New Roman"/>
          <w:sz w:val="24"/>
          <w:szCs w:val="24"/>
        </w:rPr>
        <w:t xml:space="preserve">, double-blind, pivotal trials: ATTRACT (Anti-TNF Trial in Rheumatoid Arthritis with Concomitant Therapy) and ASPIRE (Active-controlled Study of Patients Receiving </w:t>
      </w:r>
      <w:r>
        <w:rPr>
          <w:rFonts w:ascii="Times New Roman" w:eastAsia="Malgun Gothic" w:hAnsi="Times New Roman" w:cs="Times New Roman" w:hint="eastAsia"/>
          <w:sz w:val="24"/>
          <w:szCs w:val="24"/>
        </w:rPr>
        <w:t>i</w:t>
      </w:r>
      <w:r w:rsidRPr="0025669D">
        <w:rPr>
          <w:rFonts w:ascii="Times New Roman" w:eastAsia="Malgun Gothic" w:hAnsi="Times New Roman" w:cs="Times New Roman"/>
          <w:sz w:val="24"/>
          <w:szCs w:val="24"/>
        </w:rPr>
        <w:t xml:space="preserve">nfliximab for the Treatment of Rheumatoid Arthritis of Early Onset). Concurrent use of stable doses of folic acid, oral corticosteroids (≤ 10 mg/day) and/or non-steroidal anti-inflammatory drugs was permitted. </w:t>
      </w:r>
    </w:p>
    <w:p w14:paraId="7E913BF5" w14:textId="77777777" w:rsidR="004A10AE" w:rsidRPr="0025669D" w:rsidRDefault="004A10AE" w:rsidP="007947DB">
      <w:pPr>
        <w:spacing w:line="240" w:lineRule="auto"/>
        <w:jc w:val="left"/>
        <w:rPr>
          <w:rFonts w:ascii="Times New Roman" w:eastAsia="Malgun Gothic" w:hAnsi="Times New Roman" w:cs="Times New Roman"/>
          <w:sz w:val="24"/>
          <w:szCs w:val="24"/>
        </w:rPr>
      </w:pPr>
      <w:r w:rsidRPr="0025669D">
        <w:rPr>
          <w:rFonts w:ascii="Times New Roman" w:eastAsia="Malgun Gothic" w:hAnsi="Times New Roman" w:cs="Times New Roman"/>
          <w:sz w:val="24"/>
          <w:szCs w:val="24"/>
        </w:rPr>
        <w:t xml:space="preserve">The primary endpoints were the reduction of signs and symptoms as assessed by the American College of Rheumatology (ACR) criteria (ACR20 for ATTRACT, landmark ACR-N at week 54 for ASPIRE), the prevention of structural damage and the improvement in physical function. A reduction in signs and symptoms was defined to be at least a 20% improvement (ACR20) in both tender and swollen joint counts and in 3 of the following 5 criteria: evaluator’s global assessment, patient’s global assessment, functional/disability measure, visual analogue pain scale and erythrocyte sedimentation rate or CRP. ACR-N uses the same criteria as the ACR20, calculated by taking the lowest percentage improvement in swollen joint count, tender joint count, and the median of the remaining 5 components of the ACR response. Structural joint damage (erosions and joint space narrowing) in both hands and feet was measured by the change from baseline in the total van der </w:t>
      </w:r>
      <w:proofErr w:type="spellStart"/>
      <w:r w:rsidRPr="0025669D">
        <w:rPr>
          <w:rFonts w:ascii="Times New Roman" w:eastAsia="Malgun Gothic" w:hAnsi="Times New Roman" w:cs="Times New Roman"/>
          <w:sz w:val="24"/>
          <w:szCs w:val="24"/>
        </w:rPr>
        <w:t>Heijde</w:t>
      </w:r>
      <w:proofErr w:type="spellEnd"/>
      <w:r w:rsidRPr="0025669D">
        <w:rPr>
          <w:rFonts w:ascii="Times New Roman" w:eastAsia="Malgun Gothic" w:hAnsi="Times New Roman" w:cs="Times New Roman"/>
          <w:sz w:val="24"/>
          <w:szCs w:val="24"/>
        </w:rPr>
        <w:t xml:space="preserve">-modified </w:t>
      </w:r>
      <w:r w:rsidRPr="0025669D">
        <w:rPr>
          <w:rFonts w:ascii="Times New Roman" w:eastAsia="Malgun Gothic" w:hAnsi="Times New Roman" w:cs="Times New Roman"/>
          <w:sz w:val="24"/>
          <w:szCs w:val="24"/>
        </w:rPr>
        <w:lastRenderedPageBreak/>
        <w:t xml:space="preserve">Sharp score (0-440). The Health Assessment Questionnaire (HAQ; scale 0-3) was used to measure patients' average change from baseline scores over time, through week 54, in physical function. </w:t>
      </w:r>
    </w:p>
    <w:p w14:paraId="24B610A1" w14:textId="77777777" w:rsidR="004A10AE" w:rsidRPr="0025669D" w:rsidRDefault="004A10AE" w:rsidP="007947DB">
      <w:pPr>
        <w:spacing w:line="240" w:lineRule="auto"/>
        <w:jc w:val="left"/>
        <w:rPr>
          <w:rFonts w:ascii="Times New Roman" w:eastAsia="Malgun Gothic" w:hAnsi="Times New Roman" w:cs="Times New Roman"/>
          <w:sz w:val="24"/>
          <w:szCs w:val="24"/>
        </w:rPr>
      </w:pPr>
      <w:r w:rsidRPr="0025669D">
        <w:rPr>
          <w:rFonts w:ascii="Times New Roman" w:eastAsia="Malgun Gothic" w:hAnsi="Times New Roman" w:cs="Times New Roman"/>
          <w:sz w:val="24"/>
          <w:szCs w:val="24"/>
        </w:rPr>
        <w:t>The ATTRACT trial evaluated responses at 30 weeks (reduction in signs and symptoms), 54 weeks (the prevention of structural damage) and 102 weeks (the improvement in physical function) in a placebo-controlled study of 428 adult patients with active rheumatoid arthritis despite treatment with methotrexate. Approximately 50% of patients were in functional Class III. Patients received placebo, 3 mg/kg or 10 mg/kg infliximab at weeks 0, 2 and 6 and then every 4 or 8 weeks thereafter. All patients were on stable methotrexate doses (median 15</w:t>
      </w:r>
      <w:r>
        <w:rPr>
          <w:rFonts w:ascii="Times New Roman" w:eastAsia="Malgun Gothic" w:hAnsi="Times New Roman" w:cs="Times New Roman"/>
          <w:sz w:val="24"/>
          <w:szCs w:val="24"/>
        </w:rPr>
        <w:t> </w:t>
      </w:r>
      <w:r w:rsidRPr="0025669D">
        <w:rPr>
          <w:rFonts w:ascii="Times New Roman" w:eastAsia="Malgun Gothic" w:hAnsi="Times New Roman" w:cs="Times New Roman"/>
          <w:sz w:val="24"/>
          <w:szCs w:val="24"/>
        </w:rPr>
        <w:t xml:space="preserve">mg/week) for 6 months prior to enrolment and were to remain on stable doses throughout the study. </w:t>
      </w:r>
    </w:p>
    <w:p w14:paraId="77A8B63E" w14:textId="232EB8B7" w:rsidR="004A10AE" w:rsidRPr="0025669D" w:rsidRDefault="004A10AE" w:rsidP="007947DB">
      <w:pPr>
        <w:spacing w:line="240" w:lineRule="auto"/>
        <w:jc w:val="left"/>
        <w:rPr>
          <w:rFonts w:ascii="Times New Roman" w:eastAsia="Malgun Gothic" w:hAnsi="Times New Roman" w:cs="Times New Roman"/>
          <w:sz w:val="24"/>
          <w:szCs w:val="24"/>
        </w:rPr>
      </w:pPr>
      <w:r w:rsidRPr="0025669D">
        <w:rPr>
          <w:rFonts w:ascii="Times New Roman" w:eastAsia="Malgun Gothic" w:hAnsi="Times New Roman" w:cs="Times New Roman"/>
          <w:sz w:val="24"/>
          <w:szCs w:val="24"/>
        </w:rPr>
        <w:t xml:space="preserve">Results from week 54 (ACR20, total van der </w:t>
      </w:r>
      <w:proofErr w:type="spellStart"/>
      <w:r w:rsidRPr="0025669D">
        <w:rPr>
          <w:rFonts w:ascii="Times New Roman" w:eastAsia="Malgun Gothic" w:hAnsi="Times New Roman" w:cs="Times New Roman"/>
          <w:sz w:val="24"/>
          <w:szCs w:val="24"/>
        </w:rPr>
        <w:t>Heijde</w:t>
      </w:r>
      <w:proofErr w:type="spellEnd"/>
      <w:r w:rsidRPr="0025669D">
        <w:rPr>
          <w:rFonts w:ascii="Times New Roman" w:eastAsia="Malgun Gothic" w:hAnsi="Times New Roman" w:cs="Times New Roman"/>
          <w:sz w:val="24"/>
          <w:szCs w:val="24"/>
        </w:rPr>
        <w:t xml:space="preserve">-modified Sharp score and HAQ are shown in </w:t>
      </w:r>
      <w:r w:rsidRPr="00FC15F4">
        <w:rPr>
          <w:rFonts w:ascii="Times New Roman" w:eastAsia="Malgun Gothic" w:hAnsi="Times New Roman" w:cs="Times New Roman"/>
          <w:sz w:val="24"/>
          <w:szCs w:val="24"/>
        </w:rPr>
        <w:fldChar w:fldCharType="begin"/>
      </w:r>
      <w:r w:rsidRPr="00FC15F4">
        <w:rPr>
          <w:rFonts w:ascii="Times New Roman" w:eastAsia="Malgun Gothic" w:hAnsi="Times New Roman" w:cs="Times New Roman"/>
          <w:sz w:val="24"/>
          <w:szCs w:val="24"/>
        </w:rPr>
        <w:instrText xml:space="preserve"> REF _Ref423967598 \h </w:instrText>
      </w:r>
      <w:r>
        <w:rPr>
          <w:rFonts w:ascii="Times New Roman" w:eastAsia="Malgun Gothic" w:hAnsi="Times New Roman" w:cs="Times New Roman"/>
          <w:sz w:val="24"/>
          <w:szCs w:val="24"/>
        </w:rPr>
        <w:instrText xml:space="preserve"> \* MERGEFORMAT </w:instrText>
      </w:r>
      <w:r w:rsidRPr="00FC15F4">
        <w:rPr>
          <w:rFonts w:ascii="Times New Roman" w:eastAsia="Malgun Gothic" w:hAnsi="Times New Roman" w:cs="Times New Roman"/>
          <w:sz w:val="24"/>
          <w:szCs w:val="24"/>
        </w:rPr>
      </w:r>
      <w:r w:rsidRPr="00FC15F4">
        <w:rPr>
          <w:rFonts w:ascii="Times New Roman" w:eastAsia="Malgun Gothic" w:hAnsi="Times New Roman" w:cs="Times New Roman"/>
          <w:sz w:val="24"/>
          <w:szCs w:val="24"/>
        </w:rPr>
        <w:fldChar w:fldCharType="separate"/>
      </w:r>
      <w:r w:rsidR="005A6BF4" w:rsidRPr="005A6BF4">
        <w:rPr>
          <w:rFonts w:ascii="Times New Roman" w:hAnsi="Times New Roman" w:cs="Times New Roman"/>
          <w:sz w:val="24"/>
          <w:szCs w:val="24"/>
        </w:rPr>
        <w:t xml:space="preserve">Table </w:t>
      </w:r>
      <w:r w:rsidR="005A6BF4" w:rsidRPr="005A6BF4">
        <w:rPr>
          <w:rFonts w:ascii="Times New Roman" w:hAnsi="Times New Roman" w:cs="Times New Roman"/>
          <w:noProof/>
          <w:sz w:val="24"/>
          <w:szCs w:val="24"/>
        </w:rPr>
        <w:t>2</w:t>
      </w:r>
      <w:r w:rsidRPr="00FC15F4">
        <w:rPr>
          <w:rFonts w:ascii="Times New Roman" w:eastAsia="Malgun Gothic" w:hAnsi="Times New Roman" w:cs="Times New Roman"/>
          <w:sz w:val="24"/>
          <w:szCs w:val="24"/>
        </w:rPr>
        <w:fldChar w:fldCharType="end"/>
      </w:r>
      <w:r w:rsidRPr="0025669D">
        <w:rPr>
          <w:rFonts w:ascii="Times New Roman" w:eastAsia="Malgun Gothic" w:hAnsi="Times New Roman" w:cs="Times New Roman"/>
          <w:sz w:val="24"/>
          <w:szCs w:val="24"/>
        </w:rPr>
        <w:t>. Higher degrees of clinical response (ACR20, ACR50 and ACR70) were observed with infliximab versus methotrexate alone at 30 and 54 weeks compared with methotrexate alone (</w:t>
      </w:r>
      <w:r w:rsidRPr="00FC15F4">
        <w:rPr>
          <w:rFonts w:ascii="Times New Roman" w:eastAsia="Malgun Gothic" w:hAnsi="Times New Roman" w:cs="Times New Roman"/>
          <w:sz w:val="24"/>
          <w:szCs w:val="24"/>
        </w:rPr>
        <w:fldChar w:fldCharType="begin"/>
      </w:r>
      <w:r w:rsidRPr="00FC15F4">
        <w:rPr>
          <w:rFonts w:ascii="Times New Roman" w:eastAsia="Malgun Gothic" w:hAnsi="Times New Roman" w:cs="Times New Roman"/>
          <w:sz w:val="24"/>
          <w:szCs w:val="24"/>
        </w:rPr>
        <w:instrText xml:space="preserve"> REF _Ref423967598 \h </w:instrText>
      </w:r>
      <w:r>
        <w:rPr>
          <w:rFonts w:ascii="Times New Roman" w:eastAsia="Malgun Gothic" w:hAnsi="Times New Roman" w:cs="Times New Roman"/>
          <w:sz w:val="24"/>
          <w:szCs w:val="24"/>
        </w:rPr>
        <w:instrText xml:space="preserve"> \* MERGEFORMAT </w:instrText>
      </w:r>
      <w:r w:rsidRPr="00FC15F4">
        <w:rPr>
          <w:rFonts w:ascii="Times New Roman" w:eastAsia="Malgun Gothic" w:hAnsi="Times New Roman" w:cs="Times New Roman"/>
          <w:sz w:val="24"/>
          <w:szCs w:val="24"/>
        </w:rPr>
      </w:r>
      <w:r w:rsidRPr="00FC15F4">
        <w:rPr>
          <w:rFonts w:ascii="Times New Roman" w:eastAsia="Malgun Gothic" w:hAnsi="Times New Roman" w:cs="Times New Roman"/>
          <w:sz w:val="24"/>
          <w:szCs w:val="24"/>
        </w:rPr>
        <w:fldChar w:fldCharType="separate"/>
      </w:r>
      <w:r w:rsidR="005A6BF4" w:rsidRPr="005A6BF4">
        <w:rPr>
          <w:rFonts w:ascii="Times New Roman" w:hAnsi="Times New Roman" w:cs="Times New Roman"/>
          <w:sz w:val="24"/>
          <w:szCs w:val="24"/>
        </w:rPr>
        <w:t xml:space="preserve">Table </w:t>
      </w:r>
      <w:r w:rsidR="005A6BF4" w:rsidRPr="005A6BF4">
        <w:rPr>
          <w:rFonts w:ascii="Times New Roman" w:hAnsi="Times New Roman" w:cs="Times New Roman"/>
          <w:noProof/>
          <w:sz w:val="24"/>
          <w:szCs w:val="24"/>
        </w:rPr>
        <w:t>2</w:t>
      </w:r>
      <w:r w:rsidRPr="00FC15F4">
        <w:rPr>
          <w:rFonts w:ascii="Times New Roman" w:eastAsia="Malgun Gothic" w:hAnsi="Times New Roman" w:cs="Times New Roman"/>
          <w:sz w:val="24"/>
          <w:szCs w:val="24"/>
        </w:rPr>
        <w:fldChar w:fldCharType="end"/>
      </w:r>
      <w:r w:rsidRPr="0025669D">
        <w:rPr>
          <w:rFonts w:ascii="Times New Roman" w:eastAsia="Malgun Gothic" w:hAnsi="Times New Roman" w:cs="Times New Roman"/>
          <w:sz w:val="24"/>
          <w:szCs w:val="24"/>
        </w:rPr>
        <w:t xml:space="preserve">). </w:t>
      </w:r>
    </w:p>
    <w:p w14:paraId="1E646CD9" w14:textId="1F75170D" w:rsidR="004A10AE" w:rsidRPr="0025669D" w:rsidRDefault="004A10AE" w:rsidP="007947DB">
      <w:pPr>
        <w:spacing w:line="240" w:lineRule="auto"/>
        <w:jc w:val="left"/>
        <w:rPr>
          <w:rFonts w:ascii="Times New Roman" w:eastAsia="Malgun Gothic" w:hAnsi="Times New Roman" w:cs="Times New Roman"/>
          <w:sz w:val="24"/>
          <w:szCs w:val="24"/>
        </w:rPr>
      </w:pPr>
      <w:r w:rsidRPr="0025669D">
        <w:rPr>
          <w:rFonts w:ascii="Times New Roman" w:eastAsia="Malgun Gothic" w:hAnsi="Times New Roman" w:cs="Times New Roman"/>
          <w:sz w:val="24"/>
          <w:szCs w:val="24"/>
        </w:rPr>
        <w:t>A reduction in the rate of the progression of structural joint damage (erosions and joint space narrowing) was observed in all infliximab groups at 54 weeks (</w:t>
      </w:r>
      <w:r w:rsidRPr="00FC15F4">
        <w:rPr>
          <w:rFonts w:ascii="Times New Roman" w:eastAsia="Malgun Gothic" w:hAnsi="Times New Roman" w:cs="Times New Roman"/>
          <w:sz w:val="24"/>
          <w:szCs w:val="24"/>
        </w:rPr>
        <w:fldChar w:fldCharType="begin"/>
      </w:r>
      <w:r w:rsidRPr="00FC15F4">
        <w:rPr>
          <w:rFonts w:ascii="Times New Roman" w:eastAsia="Malgun Gothic" w:hAnsi="Times New Roman" w:cs="Times New Roman"/>
          <w:sz w:val="24"/>
          <w:szCs w:val="24"/>
        </w:rPr>
        <w:instrText xml:space="preserve"> REF _Ref423967598 \h </w:instrText>
      </w:r>
      <w:r>
        <w:rPr>
          <w:rFonts w:ascii="Times New Roman" w:eastAsia="Malgun Gothic" w:hAnsi="Times New Roman" w:cs="Times New Roman"/>
          <w:sz w:val="24"/>
          <w:szCs w:val="24"/>
        </w:rPr>
        <w:instrText xml:space="preserve"> \* MERGEFORMAT </w:instrText>
      </w:r>
      <w:r w:rsidRPr="00FC15F4">
        <w:rPr>
          <w:rFonts w:ascii="Times New Roman" w:eastAsia="Malgun Gothic" w:hAnsi="Times New Roman" w:cs="Times New Roman"/>
          <w:sz w:val="24"/>
          <w:szCs w:val="24"/>
        </w:rPr>
      </w:r>
      <w:r w:rsidRPr="00FC15F4">
        <w:rPr>
          <w:rFonts w:ascii="Times New Roman" w:eastAsia="Malgun Gothic" w:hAnsi="Times New Roman" w:cs="Times New Roman"/>
          <w:sz w:val="24"/>
          <w:szCs w:val="24"/>
        </w:rPr>
        <w:fldChar w:fldCharType="separate"/>
      </w:r>
      <w:r w:rsidR="005A6BF4" w:rsidRPr="005A6BF4">
        <w:rPr>
          <w:rFonts w:ascii="Times New Roman" w:hAnsi="Times New Roman" w:cs="Times New Roman"/>
          <w:sz w:val="24"/>
          <w:szCs w:val="24"/>
        </w:rPr>
        <w:t xml:space="preserve">Table </w:t>
      </w:r>
      <w:r w:rsidR="005A6BF4" w:rsidRPr="005A6BF4">
        <w:rPr>
          <w:rFonts w:ascii="Times New Roman" w:hAnsi="Times New Roman" w:cs="Times New Roman"/>
          <w:noProof/>
          <w:sz w:val="24"/>
          <w:szCs w:val="24"/>
        </w:rPr>
        <w:t>2</w:t>
      </w:r>
      <w:r w:rsidRPr="00FC15F4">
        <w:rPr>
          <w:rFonts w:ascii="Times New Roman" w:eastAsia="Malgun Gothic" w:hAnsi="Times New Roman" w:cs="Times New Roman"/>
          <w:sz w:val="24"/>
          <w:szCs w:val="24"/>
        </w:rPr>
        <w:fldChar w:fldCharType="end"/>
      </w:r>
      <w:r w:rsidRPr="00FC15F4">
        <w:rPr>
          <w:rFonts w:ascii="Times New Roman" w:eastAsia="Malgun Gothic" w:hAnsi="Times New Roman" w:cs="Times New Roman"/>
          <w:sz w:val="24"/>
          <w:szCs w:val="24"/>
        </w:rPr>
        <w:t>)</w:t>
      </w:r>
      <w:r w:rsidRPr="0025669D">
        <w:rPr>
          <w:rFonts w:ascii="Times New Roman" w:eastAsia="Malgun Gothic" w:hAnsi="Times New Roman" w:cs="Times New Roman"/>
          <w:sz w:val="24"/>
          <w:szCs w:val="24"/>
        </w:rPr>
        <w:t xml:space="preserve">. </w:t>
      </w:r>
    </w:p>
    <w:p w14:paraId="0DB09222" w14:textId="77777777" w:rsidR="004A10AE" w:rsidRPr="0025669D" w:rsidRDefault="004A10AE" w:rsidP="007947DB">
      <w:pPr>
        <w:spacing w:line="240" w:lineRule="auto"/>
        <w:jc w:val="left"/>
        <w:rPr>
          <w:rFonts w:ascii="Times New Roman" w:eastAsia="Malgun Gothic" w:hAnsi="Times New Roman" w:cs="Times New Roman"/>
          <w:sz w:val="24"/>
          <w:szCs w:val="24"/>
        </w:rPr>
      </w:pPr>
      <w:r w:rsidRPr="0025669D">
        <w:rPr>
          <w:rFonts w:ascii="Times New Roman" w:eastAsia="Malgun Gothic" w:hAnsi="Times New Roman" w:cs="Times New Roman"/>
          <w:sz w:val="24"/>
          <w:szCs w:val="24"/>
        </w:rPr>
        <w:t xml:space="preserve">The effects observed at 54 weeks were maintained through 102 weeks. Due to a number of treatment withdrawals, the magnitude of the effect difference between infliximab and the methotrexate alone group </w:t>
      </w:r>
      <w:proofErr w:type="spellStart"/>
      <w:r w:rsidRPr="0025669D">
        <w:rPr>
          <w:rFonts w:ascii="Times New Roman" w:eastAsia="Malgun Gothic" w:hAnsi="Times New Roman" w:cs="Times New Roman"/>
          <w:sz w:val="24"/>
          <w:szCs w:val="24"/>
        </w:rPr>
        <w:t>can not</w:t>
      </w:r>
      <w:proofErr w:type="spellEnd"/>
      <w:r w:rsidRPr="0025669D">
        <w:rPr>
          <w:rFonts w:ascii="Times New Roman" w:eastAsia="Malgun Gothic" w:hAnsi="Times New Roman" w:cs="Times New Roman"/>
          <w:sz w:val="24"/>
          <w:szCs w:val="24"/>
        </w:rPr>
        <w:t xml:space="preserve"> be defined.</w:t>
      </w:r>
    </w:p>
    <w:p w14:paraId="273EE9D9" w14:textId="5C3396F3" w:rsidR="004A10AE" w:rsidRPr="00FC15F4" w:rsidRDefault="004A10AE" w:rsidP="007947DB">
      <w:pPr>
        <w:pStyle w:val="Caption"/>
        <w:keepNext/>
        <w:spacing w:after="0" w:line="240" w:lineRule="auto"/>
        <w:ind w:left="880" w:hangingChars="400" w:hanging="880"/>
        <w:rPr>
          <w:rFonts w:ascii="Times New Roman" w:hAnsi="Times New Roman" w:cs="Times New Roman"/>
          <w:sz w:val="22"/>
          <w:szCs w:val="22"/>
        </w:rPr>
      </w:pPr>
      <w:bookmarkStart w:id="2" w:name="_Ref423967598"/>
      <w:proofErr w:type="gramStart"/>
      <w:r w:rsidRPr="00FC15F4">
        <w:rPr>
          <w:rFonts w:ascii="Times New Roman" w:hAnsi="Times New Roman" w:cs="Times New Roman"/>
          <w:sz w:val="22"/>
          <w:szCs w:val="22"/>
        </w:rPr>
        <w:t xml:space="preserve">Table </w:t>
      </w:r>
      <w:r w:rsidRPr="00FC15F4">
        <w:rPr>
          <w:rFonts w:ascii="Times New Roman" w:hAnsi="Times New Roman" w:cs="Times New Roman"/>
          <w:sz w:val="22"/>
          <w:szCs w:val="22"/>
        </w:rPr>
        <w:fldChar w:fldCharType="begin"/>
      </w:r>
      <w:r w:rsidRPr="00FC15F4">
        <w:rPr>
          <w:rFonts w:ascii="Times New Roman" w:hAnsi="Times New Roman" w:cs="Times New Roman"/>
          <w:sz w:val="22"/>
          <w:szCs w:val="22"/>
        </w:rPr>
        <w:instrText xml:space="preserve"> SEQ Table \* ARABIC </w:instrText>
      </w:r>
      <w:r w:rsidRPr="00FC15F4">
        <w:rPr>
          <w:rFonts w:ascii="Times New Roman" w:hAnsi="Times New Roman" w:cs="Times New Roman"/>
          <w:sz w:val="22"/>
          <w:szCs w:val="22"/>
        </w:rPr>
        <w:fldChar w:fldCharType="separate"/>
      </w:r>
      <w:r w:rsidR="005A6BF4">
        <w:rPr>
          <w:rFonts w:ascii="Times New Roman" w:hAnsi="Times New Roman" w:cs="Times New Roman"/>
          <w:noProof/>
          <w:sz w:val="22"/>
          <w:szCs w:val="22"/>
        </w:rPr>
        <w:t>2</w:t>
      </w:r>
      <w:r w:rsidRPr="00FC15F4">
        <w:rPr>
          <w:rFonts w:ascii="Times New Roman" w:hAnsi="Times New Roman" w:cs="Times New Roman"/>
          <w:sz w:val="22"/>
          <w:szCs w:val="22"/>
        </w:rPr>
        <w:fldChar w:fldCharType="end"/>
      </w:r>
      <w:bookmarkEnd w:id="2"/>
      <w:r w:rsidRPr="00FC15F4">
        <w:rPr>
          <w:rFonts w:ascii="Times New Roman" w:hAnsi="Times New Roman" w:cs="Times New Roman"/>
          <w:sz w:val="22"/>
          <w:szCs w:val="22"/>
        </w:rPr>
        <w:t>.</w:t>
      </w:r>
      <w:proofErr w:type="gramEnd"/>
      <w:r w:rsidRPr="00FC15F4">
        <w:rPr>
          <w:rFonts w:ascii="Times New Roman" w:hAnsi="Times New Roman" w:cs="Times New Roman"/>
          <w:sz w:val="22"/>
          <w:szCs w:val="22"/>
        </w:rPr>
        <w:t xml:space="preserve"> </w:t>
      </w:r>
      <w:r w:rsidRPr="007947DB">
        <w:rPr>
          <w:rFonts w:ascii="Times New Roman" w:hAnsi="Times New Roman" w:cs="Times New Roman"/>
          <w:sz w:val="22"/>
          <w:szCs w:val="22"/>
        </w:rPr>
        <w:t>Effects on ACR20, Structural Joint Damage and Physical Function at week 54, ATTRACT</w:t>
      </w:r>
    </w:p>
    <w:tbl>
      <w:tblPr>
        <w:tblW w:w="5000" w:type="pct"/>
        <w:tblBorders>
          <w:top w:val="single" w:sz="4" w:space="0" w:color="auto"/>
          <w:bottom w:val="single" w:sz="4" w:space="0" w:color="auto"/>
        </w:tblBorders>
        <w:tblCellMar>
          <w:left w:w="0" w:type="dxa"/>
          <w:right w:w="0" w:type="dxa"/>
        </w:tblCellMar>
        <w:tblLook w:val="0000" w:firstRow="0" w:lastRow="0" w:firstColumn="0" w:lastColumn="0" w:noHBand="0" w:noVBand="0"/>
      </w:tblPr>
      <w:tblGrid>
        <w:gridCol w:w="3111"/>
        <w:gridCol w:w="995"/>
        <w:gridCol w:w="933"/>
        <w:gridCol w:w="933"/>
        <w:gridCol w:w="933"/>
        <w:gridCol w:w="933"/>
        <w:gridCol w:w="1188"/>
      </w:tblGrid>
      <w:tr w:rsidR="004A10AE" w:rsidRPr="0025669D" w14:paraId="4D0AD5A5" w14:textId="77777777" w:rsidTr="005A4B0D">
        <w:trPr>
          <w:cantSplit/>
          <w:trHeight w:val="360"/>
        </w:trPr>
        <w:tc>
          <w:tcPr>
            <w:tcW w:w="1723" w:type="pct"/>
            <w:tcBorders>
              <w:top w:val="single" w:sz="12" w:space="0" w:color="auto"/>
              <w:bottom w:val="nil"/>
            </w:tcBorders>
            <w:vAlign w:val="center"/>
          </w:tcPr>
          <w:p w14:paraId="339DE10E" w14:textId="77777777" w:rsidR="004A10AE" w:rsidRPr="0025669D" w:rsidRDefault="004A10AE" w:rsidP="007947DB">
            <w:pPr>
              <w:spacing w:after="0" w:line="240" w:lineRule="auto"/>
              <w:jc w:val="left"/>
              <w:rPr>
                <w:rFonts w:ascii="Times New Roman" w:eastAsia="Malgun Gothic" w:hAnsi="Times New Roman" w:cs="Times New Roman"/>
                <w:sz w:val="22"/>
                <w:lang w:val="en-AU"/>
              </w:rPr>
            </w:pPr>
          </w:p>
        </w:tc>
        <w:tc>
          <w:tcPr>
            <w:tcW w:w="551" w:type="pct"/>
            <w:tcBorders>
              <w:top w:val="single" w:sz="12" w:space="0" w:color="auto"/>
              <w:bottom w:val="nil"/>
            </w:tcBorders>
            <w:vAlign w:val="center"/>
          </w:tcPr>
          <w:p w14:paraId="4ACFAAE8" w14:textId="77777777" w:rsidR="004A10AE" w:rsidRPr="0025669D" w:rsidRDefault="004A10AE" w:rsidP="007947DB">
            <w:pPr>
              <w:spacing w:after="0" w:line="240" w:lineRule="auto"/>
              <w:jc w:val="left"/>
              <w:rPr>
                <w:rFonts w:ascii="Times New Roman" w:eastAsia="Malgun Gothic" w:hAnsi="Times New Roman" w:cs="Times New Roman"/>
                <w:sz w:val="22"/>
                <w:lang w:val="en-AU"/>
              </w:rPr>
            </w:pPr>
            <w:proofErr w:type="spellStart"/>
            <w:r w:rsidRPr="0025669D">
              <w:rPr>
                <w:rFonts w:ascii="Times New Roman" w:eastAsia="Malgun Gothic" w:hAnsi="Times New Roman" w:cs="Times New Roman"/>
                <w:sz w:val="22"/>
                <w:lang w:val="en-AU"/>
              </w:rPr>
              <w:t>Control</w:t>
            </w:r>
            <w:r w:rsidRPr="0025669D">
              <w:rPr>
                <w:rFonts w:ascii="Times New Roman" w:eastAsia="Malgun Gothic" w:hAnsi="Times New Roman" w:cs="Times New Roman"/>
                <w:sz w:val="22"/>
                <w:vertAlign w:val="superscript"/>
                <w:lang w:val="en-AU"/>
              </w:rPr>
              <w:t>a</w:t>
            </w:r>
            <w:proofErr w:type="spellEnd"/>
          </w:p>
        </w:tc>
        <w:tc>
          <w:tcPr>
            <w:tcW w:w="2067" w:type="pct"/>
            <w:gridSpan w:val="4"/>
            <w:tcBorders>
              <w:top w:val="single" w:sz="12" w:space="0" w:color="auto"/>
              <w:bottom w:val="nil"/>
            </w:tcBorders>
            <w:vAlign w:val="center"/>
          </w:tcPr>
          <w:p w14:paraId="1BDC5170" w14:textId="77777777" w:rsidR="004A10AE" w:rsidRPr="0025669D" w:rsidRDefault="004A10AE" w:rsidP="007947DB">
            <w:pPr>
              <w:spacing w:after="0" w:line="240" w:lineRule="auto"/>
              <w:jc w:val="center"/>
              <w:rPr>
                <w:rFonts w:ascii="Times New Roman" w:eastAsia="Malgun Gothic" w:hAnsi="Times New Roman" w:cs="Times New Roman"/>
                <w:sz w:val="22"/>
                <w:lang w:val="en-AU"/>
              </w:rPr>
            </w:pPr>
            <w:proofErr w:type="spellStart"/>
            <w:r w:rsidRPr="0025669D">
              <w:rPr>
                <w:rFonts w:ascii="Times New Roman" w:eastAsia="Malgun Gothic" w:hAnsi="Times New Roman" w:cs="Times New Roman"/>
                <w:sz w:val="22"/>
                <w:lang w:val="en-AU"/>
              </w:rPr>
              <w:t>infliximab</w:t>
            </w:r>
            <w:r w:rsidRPr="0025669D">
              <w:rPr>
                <w:rFonts w:ascii="Times New Roman" w:eastAsia="Malgun Gothic" w:hAnsi="Times New Roman" w:cs="Times New Roman"/>
                <w:sz w:val="22"/>
                <w:vertAlign w:val="superscript"/>
                <w:lang w:val="en-AU"/>
              </w:rPr>
              <w:t>b</w:t>
            </w:r>
            <w:proofErr w:type="spellEnd"/>
          </w:p>
        </w:tc>
        <w:tc>
          <w:tcPr>
            <w:tcW w:w="658" w:type="pct"/>
            <w:tcBorders>
              <w:top w:val="single" w:sz="12" w:space="0" w:color="auto"/>
              <w:bottom w:val="nil"/>
            </w:tcBorders>
            <w:vAlign w:val="center"/>
          </w:tcPr>
          <w:p w14:paraId="6E2CF047" w14:textId="77777777" w:rsidR="004A10AE" w:rsidRPr="0025669D" w:rsidRDefault="004A10AE" w:rsidP="007947DB">
            <w:pPr>
              <w:spacing w:after="0" w:line="240" w:lineRule="auto"/>
              <w:jc w:val="left"/>
              <w:rPr>
                <w:rFonts w:ascii="Times New Roman" w:eastAsia="Malgun Gothic" w:hAnsi="Times New Roman" w:cs="Times New Roman"/>
                <w:sz w:val="22"/>
                <w:lang w:val="en-AU"/>
              </w:rPr>
            </w:pPr>
          </w:p>
        </w:tc>
      </w:tr>
      <w:tr w:rsidR="004A10AE" w:rsidRPr="0025669D" w14:paraId="030C83A5" w14:textId="77777777" w:rsidTr="005A4B0D">
        <w:trPr>
          <w:trHeight w:val="360"/>
        </w:trPr>
        <w:tc>
          <w:tcPr>
            <w:tcW w:w="1723" w:type="pct"/>
            <w:tcBorders>
              <w:top w:val="nil"/>
              <w:bottom w:val="nil"/>
            </w:tcBorders>
            <w:vAlign w:val="bottom"/>
          </w:tcPr>
          <w:p w14:paraId="33B2EC8A" w14:textId="77777777" w:rsidR="004A10AE" w:rsidRPr="0025669D" w:rsidRDefault="004A10AE" w:rsidP="007947DB">
            <w:pPr>
              <w:spacing w:after="0" w:line="240" w:lineRule="auto"/>
              <w:jc w:val="left"/>
              <w:rPr>
                <w:rFonts w:ascii="Times New Roman" w:eastAsia="Malgun Gothic" w:hAnsi="Times New Roman" w:cs="Times New Roman"/>
                <w:sz w:val="22"/>
                <w:lang w:val="en-AU"/>
              </w:rPr>
            </w:pPr>
          </w:p>
        </w:tc>
        <w:tc>
          <w:tcPr>
            <w:tcW w:w="551" w:type="pct"/>
            <w:tcBorders>
              <w:top w:val="nil"/>
              <w:bottom w:val="nil"/>
            </w:tcBorders>
            <w:vAlign w:val="bottom"/>
          </w:tcPr>
          <w:p w14:paraId="72293C8D" w14:textId="77777777" w:rsidR="004A10AE" w:rsidRPr="0025669D" w:rsidRDefault="004A10AE" w:rsidP="007947DB">
            <w:pPr>
              <w:spacing w:after="0" w:line="240" w:lineRule="auto"/>
              <w:jc w:val="left"/>
              <w:rPr>
                <w:rFonts w:ascii="Times New Roman" w:eastAsia="Malgun Gothic" w:hAnsi="Times New Roman" w:cs="Times New Roman"/>
                <w:sz w:val="22"/>
                <w:lang w:val="en-AU"/>
              </w:rPr>
            </w:pPr>
          </w:p>
        </w:tc>
        <w:tc>
          <w:tcPr>
            <w:tcW w:w="517" w:type="pct"/>
            <w:tcBorders>
              <w:top w:val="single" w:sz="2" w:space="0" w:color="auto"/>
              <w:bottom w:val="nil"/>
            </w:tcBorders>
            <w:vAlign w:val="center"/>
          </w:tcPr>
          <w:p w14:paraId="3304E5EF" w14:textId="77777777" w:rsidR="004A10AE" w:rsidRPr="0025669D" w:rsidRDefault="004A10AE" w:rsidP="007947DB">
            <w:pPr>
              <w:spacing w:after="0" w:line="240" w:lineRule="auto"/>
              <w:jc w:val="center"/>
              <w:rPr>
                <w:rFonts w:ascii="Times New Roman" w:eastAsia="Malgun Gothic" w:hAnsi="Times New Roman" w:cs="Times New Roman"/>
                <w:sz w:val="22"/>
                <w:lang w:val="en-AU"/>
              </w:rPr>
            </w:pPr>
            <w:r w:rsidRPr="0025669D">
              <w:rPr>
                <w:rFonts w:ascii="Times New Roman" w:eastAsia="Malgun Gothic" w:hAnsi="Times New Roman" w:cs="Times New Roman"/>
                <w:sz w:val="22"/>
                <w:lang w:val="en-AU"/>
              </w:rPr>
              <w:t xml:space="preserve">3 mg/kg </w:t>
            </w:r>
            <w:r w:rsidRPr="0025669D">
              <w:rPr>
                <w:rFonts w:ascii="Times New Roman" w:eastAsia="Malgun Gothic" w:hAnsi="Times New Roman" w:cs="Times New Roman"/>
                <w:sz w:val="22"/>
                <w:lang w:val="en-AU"/>
              </w:rPr>
              <w:br/>
              <w:t xml:space="preserve">q 8 </w:t>
            </w:r>
            <w:proofErr w:type="spellStart"/>
            <w:r w:rsidRPr="0025669D">
              <w:rPr>
                <w:rFonts w:ascii="Times New Roman" w:eastAsia="Malgun Gothic" w:hAnsi="Times New Roman" w:cs="Times New Roman"/>
                <w:sz w:val="22"/>
                <w:lang w:val="en-AU"/>
              </w:rPr>
              <w:t>wks</w:t>
            </w:r>
            <w:proofErr w:type="spellEnd"/>
          </w:p>
        </w:tc>
        <w:tc>
          <w:tcPr>
            <w:tcW w:w="517" w:type="pct"/>
            <w:tcBorders>
              <w:top w:val="single" w:sz="2" w:space="0" w:color="auto"/>
              <w:bottom w:val="nil"/>
            </w:tcBorders>
            <w:vAlign w:val="center"/>
          </w:tcPr>
          <w:p w14:paraId="5DF5CD47" w14:textId="77777777" w:rsidR="004A10AE" w:rsidRPr="0025669D" w:rsidRDefault="004A10AE" w:rsidP="007947DB">
            <w:pPr>
              <w:spacing w:after="0" w:line="240" w:lineRule="auto"/>
              <w:jc w:val="center"/>
              <w:rPr>
                <w:rFonts w:ascii="Times New Roman" w:eastAsia="Malgun Gothic" w:hAnsi="Times New Roman" w:cs="Times New Roman"/>
                <w:sz w:val="22"/>
                <w:lang w:val="en-AU"/>
              </w:rPr>
            </w:pPr>
            <w:r w:rsidRPr="0025669D">
              <w:rPr>
                <w:rFonts w:ascii="Times New Roman" w:eastAsia="Malgun Gothic" w:hAnsi="Times New Roman" w:cs="Times New Roman"/>
                <w:sz w:val="22"/>
                <w:lang w:val="en-AU"/>
              </w:rPr>
              <w:t xml:space="preserve">3 mg/kg </w:t>
            </w:r>
            <w:r w:rsidRPr="0025669D">
              <w:rPr>
                <w:rFonts w:ascii="Times New Roman" w:eastAsia="Malgun Gothic" w:hAnsi="Times New Roman" w:cs="Times New Roman"/>
                <w:sz w:val="22"/>
                <w:lang w:val="en-AU"/>
              </w:rPr>
              <w:br/>
              <w:t xml:space="preserve">q 4 </w:t>
            </w:r>
            <w:proofErr w:type="spellStart"/>
            <w:r w:rsidRPr="0025669D">
              <w:rPr>
                <w:rFonts w:ascii="Times New Roman" w:eastAsia="Malgun Gothic" w:hAnsi="Times New Roman" w:cs="Times New Roman"/>
                <w:sz w:val="22"/>
                <w:lang w:val="en-AU"/>
              </w:rPr>
              <w:t>wks</w:t>
            </w:r>
            <w:proofErr w:type="spellEnd"/>
          </w:p>
        </w:tc>
        <w:tc>
          <w:tcPr>
            <w:tcW w:w="517" w:type="pct"/>
            <w:tcBorders>
              <w:top w:val="single" w:sz="2" w:space="0" w:color="auto"/>
              <w:bottom w:val="nil"/>
            </w:tcBorders>
            <w:vAlign w:val="center"/>
          </w:tcPr>
          <w:p w14:paraId="39D0F343" w14:textId="77777777" w:rsidR="004A10AE" w:rsidRPr="0025669D" w:rsidRDefault="004A10AE" w:rsidP="007947DB">
            <w:pPr>
              <w:spacing w:after="0" w:line="240" w:lineRule="auto"/>
              <w:jc w:val="center"/>
              <w:rPr>
                <w:rFonts w:ascii="Times New Roman" w:eastAsia="Malgun Gothic" w:hAnsi="Times New Roman" w:cs="Times New Roman"/>
                <w:sz w:val="22"/>
                <w:lang w:val="en-AU"/>
              </w:rPr>
            </w:pPr>
            <w:r w:rsidRPr="0025669D">
              <w:rPr>
                <w:rFonts w:ascii="Times New Roman" w:eastAsia="Malgun Gothic" w:hAnsi="Times New Roman" w:cs="Times New Roman"/>
                <w:sz w:val="22"/>
                <w:lang w:val="en-AU"/>
              </w:rPr>
              <w:t xml:space="preserve">10 mg/kg </w:t>
            </w:r>
            <w:r w:rsidRPr="0025669D">
              <w:rPr>
                <w:rFonts w:ascii="Times New Roman" w:eastAsia="Malgun Gothic" w:hAnsi="Times New Roman" w:cs="Times New Roman"/>
                <w:sz w:val="22"/>
                <w:lang w:val="en-AU"/>
              </w:rPr>
              <w:br/>
              <w:t xml:space="preserve">q 8 </w:t>
            </w:r>
            <w:proofErr w:type="spellStart"/>
            <w:r w:rsidRPr="0025669D">
              <w:rPr>
                <w:rFonts w:ascii="Times New Roman" w:eastAsia="Malgun Gothic" w:hAnsi="Times New Roman" w:cs="Times New Roman"/>
                <w:sz w:val="22"/>
                <w:lang w:val="en-AU"/>
              </w:rPr>
              <w:t>wks</w:t>
            </w:r>
            <w:proofErr w:type="spellEnd"/>
          </w:p>
        </w:tc>
        <w:tc>
          <w:tcPr>
            <w:tcW w:w="517" w:type="pct"/>
            <w:tcBorders>
              <w:top w:val="single" w:sz="2" w:space="0" w:color="auto"/>
              <w:bottom w:val="nil"/>
            </w:tcBorders>
            <w:vAlign w:val="center"/>
          </w:tcPr>
          <w:p w14:paraId="20111C58" w14:textId="77777777" w:rsidR="004A10AE" w:rsidRPr="0025669D" w:rsidRDefault="004A10AE" w:rsidP="007947DB">
            <w:pPr>
              <w:spacing w:after="0" w:line="240" w:lineRule="auto"/>
              <w:jc w:val="center"/>
              <w:rPr>
                <w:rFonts w:ascii="Times New Roman" w:eastAsia="Malgun Gothic" w:hAnsi="Times New Roman" w:cs="Times New Roman"/>
                <w:sz w:val="22"/>
                <w:lang w:val="en-AU"/>
              </w:rPr>
            </w:pPr>
            <w:r w:rsidRPr="0025669D">
              <w:rPr>
                <w:rFonts w:ascii="Times New Roman" w:eastAsia="Malgun Gothic" w:hAnsi="Times New Roman" w:cs="Times New Roman"/>
                <w:sz w:val="22"/>
                <w:lang w:val="en-AU"/>
              </w:rPr>
              <w:t xml:space="preserve">10 mg/kg </w:t>
            </w:r>
            <w:r w:rsidRPr="0025669D">
              <w:rPr>
                <w:rFonts w:ascii="Times New Roman" w:eastAsia="Malgun Gothic" w:hAnsi="Times New Roman" w:cs="Times New Roman"/>
                <w:sz w:val="22"/>
                <w:lang w:val="en-AU"/>
              </w:rPr>
              <w:br/>
              <w:t xml:space="preserve">q 4 </w:t>
            </w:r>
            <w:proofErr w:type="spellStart"/>
            <w:r w:rsidRPr="0025669D">
              <w:rPr>
                <w:rFonts w:ascii="Times New Roman" w:eastAsia="Malgun Gothic" w:hAnsi="Times New Roman" w:cs="Times New Roman"/>
                <w:sz w:val="22"/>
                <w:lang w:val="en-AU"/>
              </w:rPr>
              <w:t>wks</w:t>
            </w:r>
            <w:proofErr w:type="spellEnd"/>
          </w:p>
        </w:tc>
        <w:tc>
          <w:tcPr>
            <w:tcW w:w="658" w:type="pct"/>
            <w:tcBorders>
              <w:top w:val="nil"/>
              <w:bottom w:val="nil"/>
            </w:tcBorders>
            <w:vAlign w:val="center"/>
          </w:tcPr>
          <w:p w14:paraId="4B792EFD" w14:textId="77777777" w:rsidR="004A10AE" w:rsidRPr="0025669D" w:rsidRDefault="004A10AE" w:rsidP="007947DB">
            <w:pPr>
              <w:spacing w:after="0" w:line="240" w:lineRule="auto"/>
              <w:jc w:val="center"/>
              <w:rPr>
                <w:rFonts w:ascii="Times New Roman" w:eastAsia="Malgun Gothic" w:hAnsi="Times New Roman" w:cs="Times New Roman"/>
                <w:sz w:val="22"/>
                <w:lang w:val="en-AU"/>
              </w:rPr>
            </w:pPr>
            <w:r w:rsidRPr="0025669D">
              <w:rPr>
                <w:rFonts w:ascii="Times New Roman" w:eastAsia="Malgun Gothic" w:hAnsi="Times New Roman" w:cs="Times New Roman"/>
                <w:sz w:val="22"/>
                <w:lang w:val="en-AU"/>
              </w:rPr>
              <w:t xml:space="preserve">All </w:t>
            </w:r>
            <w:proofErr w:type="spellStart"/>
            <w:r w:rsidRPr="0025669D">
              <w:rPr>
                <w:rFonts w:ascii="Times New Roman" w:eastAsia="Malgun Gothic" w:hAnsi="Times New Roman" w:cs="Times New Roman"/>
                <w:sz w:val="22"/>
                <w:lang w:val="en-AU"/>
              </w:rPr>
              <w:t>infliximab</w:t>
            </w:r>
            <w:r w:rsidRPr="0025669D">
              <w:rPr>
                <w:rFonts w:ascii="Times New Roman" w:eastAsia="Malgun Gothic" w:hAnsi="Times New Roman" w:cs="Times New Roman"/>
                <w:sz w:val="22"/>
                <w:vertAlign w:val="superscript"/>
                <w:lang w:val="en-AU"/>
              </w:rPr>
              <w:t>b</w:t>
            </w:r>
            <w:proofErr w:type="spellEnd"/>
          </w:p>
        </w:tc>
      </w:tr>
      <w:tr w:rsidR="004A10AE" w:rsidRPr="0025669D" w14:paraId="75F7A598" w14:textId="77777777" w:rsidTr="005A4B0D">
        <w:trPr>
          <w:trHeight w:val="360"/>
        </w:trPr>
        <w:tc>
          <w:tcPr>
            <w:tcW w:w="1723" w:type="pct"/>
            <w:tcBorders>
              <w:top w:val="single" w:sz="4" w:space="0" w:color="auto"/>
              <w:bottom w:val="nil"/>
            </w:tcBorders>
            <w:vAlign w:val="center"/>
          </w:tcPr>
          <w:p w14:paraId="1222FB5B" w14:textId="77777777" w:rsidR="004A10AE" w:rsidRPr="0025669D" w:rsidRDefault="004A10AE" w:rsidP="007947DB">
            <w:pPr>
              <w:pStyle w:val="NoSpacing"/>
              <w:jc w:val="left"/>
              <w:rPr>
                <w:rFonts w:ascii="Times New Roman" w:hAnsi="Times New Roman" w:cs="Times New Roman"/>
                <w:sz w:val="22"/>
                <w:lang w:val="en-AU"/>
              </w:rPr>
            </w:pPr>
            <w:r w:rsidRPr="0025669D">
              <w:rPr>
                <w:rFonts w:ascii="Times New Roman" w:hAnsi="Times New Roman" w:cs="Times New Roman"/>
                <w:sz w:val="22"/>
                <w:lang w:val="en-AU"/>
              </w:rPr>
              <w:t>Patients with ACR20 response/</w:t>
            </w:r>
          </w:p>
          <w:p w14:paraId="63117E31" w14:textId="77777777" w:rsidR="004A10AE" w:rsidRPr="0025669D" w:rsidRDefault="004A10AE" w:rsidP="007947DB">
            <w:pPr>
              <w:pStyle w:val="NoSpacing"/>
              <w:jc w:val="left"/>
              <w:rPr>
                <w:rFonts w:ascii="Times New Roman" w:hAnsi="Times New Roman" w:cs="Times New Roman"/>
                <w:sz w:val="22"/>
                <w:lang w:val="en-AU"/>
              </w:rPr>
            </w:pPr>
            <w:r w:rsidRPr="0025669D">
              <w:rPr>
                <w:rFonts w:ascii="Times New Roman" w:hAnsi="Times New Roman" w:cs="Times New Roman"/>
                <w:sz w:val="22"/>
                <w:lang w:val="en-AU"/>
              </w:rPr>
              <w:t>Patients evaluated (%)</w:t>
            </w:r>
            <w:r w:rsidRPr="0025669D">
              <w:rPr>
                <w:rFonts w:ascii="Times New Roman" w:hAnsi="Times New Roman" w:cs="Times New Roman"/>
                <w:sz w:val="22"/>
                <w:vertAlign w:val="superscript"/>
                <w:lang w:val="en-AU"/>
              </w:rPr>
              <w:t>c</w:t>
            </w:r>
          </w:p>
        </w:tc>
        <w:tc>
          <w:tcPr>
            <w:tcW w:w="551" w:type="pct"/>
            <w:tcBorders>
              <w:top w:val="single" w:sz="4" w:space="0" w:color="auto"/>
              <w:bottom w:val="nil"/>
            </w:tcBorders>
            <w:vAlign w:val="center"/>
          </w:tcPr>
          <w:p w14:paraId="31230E1F" w14:textId="77777777" w:rsidR="004A10AE" w:rsidRPr="0025669D" w:rsidRDefault="004A10AE" w:rsidP="007947DB">
            <w:pPr>
              <w:spacing w:after="0" w:line="240" w:lineRule="auto"/>
              <w:jc w:val="center"/>
              <w:rPr>
                <w:rFonts w:ascii="Times New Roman" w:eastAsia="Malgun Gothic" w:hAnsi="Times New Roman" w:cs="Times New Roman"/>
                <w:sz w:val="22"/>
                <w:lang w:val="en-AU"/>
              </w:rPr>
            </w:pPr>
            <w:r w:rsidRPr="0025669D">
              <w:rPr>
                <w:rFonts w:ascii="Times New Roman" w:eastAsia="Malgun Gothic" w:hAnsi="Times New Roman" w:cs="Times New Roman"/>
                <w:sz w:val="22"/>
                <w:lang w:val="en-AU"/>
              </w:rPr>
              <w:t>15/88 (17%)</w:t>
            </w:r>
          </w:p>
        </w:tc>
        <w:tc>
          <w:tcPr>
            <w:tcW w:w="517" w:type="pct"/>
            <w:tcBorders>
              <w:top w:val="single" w:sz="4" w:space="0" w:color="auto"/>
              <w:bottom w:val="nil"/>
            </w:tcBorders>
            <w:vAlign w:val="center"/>
          </w:tcPr>
          <w:p w14:paraId="28E17974" w14:textId="77777777" w:rsidR="004A10AE" w:rsidRPr="0025669D" w:rsidRDefault="004A10AE" w:rsidP="007947DB">
            <w:pPr>
              <w:spacing w:after="0" w:line="240" w:lineRule="auto"/>
              <w:jc w:val="center"/>
              <w:rPr>
                <w:rFonts w:ascii="Times New Roman" w:eastAsia="Malgun Gothic" w:hAnsi="Times New Roman" w:cs="Times New Roman"/>
                <w:sz w:val="22"/>
                <w:lang w:val="en-AU"/>
              </w:rPr>
            </w:pPr>
            <w:r w:rsidRPr="0025669D">
              <w:rPr>
                <w:rFonts w:ascii="Times New Roman" w:eastAsia="Malgun Gothic" w:hAnsi="Times New Roman" w:cs="Times New Roman"/>
                <w:sz w:val="22"/>
                <w:lang w:val="en-AU"/>
              </w:rPr>
              <w:t>36/86 (42%)</w:t>
            </w:r>
          </w:p>
        </w:tc>
        <w:tc>
          <w:tcPr>
            <w:tcW w:w="517" w:type="pct"/>
            <w:tcBorders>
              <w:top w:val="single" w:sz="4" w:space="0" w:color="auto"/>
              <w:bottom w:val="nil"/>
            </w:tcBorders>
            <w:vAlign w:val="center"/>
          </w:tcPr>
          <w:p w14:paraId="6CFD27D6" w14:textId="77777777" w:rsidR="004A10AE" w:rsidRPr="0025669D" w:rsidRDefault="004A10AE" w:rsidP="007947DB">
            <w:pPr>
              <w:spacing w:after="0" w:line="240" w:lineRule="auto"/>
              <w:jc w:val="center"/>
              <w:rPr>
                <w:rFonts w:ascii="Times New Roman" w:eastAsia="Malgun Gothic" w:hAnsi="Times New Roman" w:cs="Times New Roman"/>
                <w:sz w:val="22"/>
                <w:lang w:val="en-AU"/>
              </w:rPr>
            </w:pPr>
            <w:r w:rsidRPr="0025669D">
              <w:rPr>
                <w:rFonts w:ascii="Times New Roman" w:eastAsia="Malgun Gothic" w:hAnsi="Times New Roman" w:cs="Times New Roman"/>
                <w:sz w:val="22"/>
                <w:lang w:val="en-AU"/>
              </w:rPr>
              <w:t>41/86 (48%)</w:t>
            </w:r>
          </w:p>
        </w:tc>
        <w:tc>
          <w:tcPr>
            <w:tcW w:w="517" w:type="pct"/>
            <w:tcBorders>
              <w:top w:val="single" w:sz="4" w:space="0" w:color="auto"/>
              <w:bottom w:val="nil"/>
            </w:tcBorders>
            <w:vAlign w:val="center"/>
          </w:tcPr>
          <w:p w14:paraId="46EE2EA2" w14:textId="77777777" w:rsidR="004A10AE" w:rsidRPr="0025669D" w:rsidRDefault="004A10AE" w:rsidP="007947DB">
            <w:pPr>
              <w:spacing w:after="0" w:line="240" w:lineRule="auto"/>
              <w:jc w:val="center"/>
              <w:rPr>
                <w:rFonts w:ascii="Times New Roman" w:eastAsia="Malgun Gothic" w:hAnsi="Times New Roman" w:cs="Times New Roman"/>
                <w:sz w:val="22"/>
                <w:lang w:val="en-AU"/>
              </w:rPr>
            </w:pPr>
            <w:r w:rsidRPr="0025669D">
              <w:rPr>
                <w:rFonts w:ascii="Times New Roman" w:eastAsia="Malgun Gothic" w:hAnsi="Times New Roman" w:cs="Times New Roman"/>
                <w:sz w:val="22"/>
                <w:lang w:val="en-AU"/>
              </w:rPr>
              <w:t>51/87 (59%)</w:t>
            </w:r>
          </w:p>
        </w:tc>
        <w:tc>
          <w:tcPr>
            <w:tcW w:w="517" w:type="pct"/>
            <w:tcBorders>
              <w:top w:val="single" w:sz="4" w:space="0" w:color="auto"/>
              <w:bottom w:val="nil"/>
            </w:tcBorders>
            <w:vAlign w:val="center"/>
          </w:tcPr>
          <w:p w14:paraId="3A7FDA4A" w14:textId="77777777" w:rsidR="004A10AE" w:rsidRPr="0025669D" w:rsidRDefault="004A10AE" w:rsidP="007947DB">
            <w:pPr>
              <w:spacing w:after="0" w:line="240" w:lineRule="auto"/>
              <w:jc w:val="center"/>
              <w:rPr>
                <w:rFonts w:ascii="Times New Roman" w:eastAsia="Malgun Gothic" w:hAnsi="Times New Roman" w:cs="Times New Roman"/>
                <w:sz w:val="22"/>
                <w:lang w:val="en-AU"/>
              </w:rPr>
            </w:pPr>
            <w:r w:rsidRPr="0025669D">
              <w:rPr>
                <w:rFonts w:ascii="Times New Roman" w:eastAsia="Malgun Gothic" w:hAnsi="Times New Roman" w:cs="Times New Roman"/>
                <w:sz w:val="22"/>
                <w:lang w:val="en-AU"/>
              </w:rPr>
              <w:t>48/81 (59%)</w:t>
            </w:r>
          </w:p>
        </w:tc>
        <w:tc>
          <w:tcPr>
            <w:tcW w:w="658" w:type="pct"/>
            <w:tcBorders>
              <w:top w:val="single" w:sz="4" w:space="0" w:color="auto"/>
              <w:bottom w:val="nil"/>
            </w:tcBorders>
            <w:vAlign w:val="center"/>
          </w:tcPr>
          <w:p w14:paraId="55E60FC4" w14:textId="77777777" w:rsidR="004A10AE" w:rsidRPr="0025669D" w:rsidRDefault="004A10AE" w:rsidP="007947DB">
            <w:pPr>
              <w:spacing w:after="0" w:line="240" w:lineRule="auto"/>
              <w:jc w:val="center"/>
              <w:rPr>
                <w:rFonts w:ascii="Times New Roman" w:eastAsia="Malgun Gothic" w:hAnsi="Times New Roman" w:cs="Times New Roman"/>
                <w:sz w:val="22"/>
                <w:lang w:val="en-AU"/>
              </w:rPr>
            </w:pPr>
            <w:r w:rsidRPr="0025669D">
              <w:rPr>
                <w:rFonts w:ascii="Times New Roman" w:eastAsia="Malgun Gothic" w:hAnsi="Times New Roman" w:cs="Times New Roman"/>
                <w:sz w:val="22"/>
                <w:lang w:val="en-AU"/>
              </w:rPr>
              <w:t>176/340 (52%)</w:t>
            </w:r>
          </w:p>
        </w:tc>
      </w:tr>
      <w:tr w:rsidR="004A10AE" w:rsidRPr="0025669D" w14:paraId="0D950CBB" w14:textId="77777777" w:rsidTr="005A4B0D">
        <w:trPr>
          <w:trHeight w:val="400"/>
        </w:trPr>
        <w:tc>
          <w:tcPr>
            <w:tcW w:w="1723" w:type="pct"/>
            <w:tcBorders>
              <w:top w:val="nil"/>
              <w:bottom w:val="nil"/>
            </w:tcBorders>
            <w:vAlign w:val="center"/>
          </w:tcPr>
          <w:p w14:paraId="3898BECA" w14:textId="77777777" w:rsidR="004A10AE" w:rsidRPr="0025669D" w:rsidRDefault="004A10AE" w:rsidP="007947DB">
            <w:pPr>
              <w:spacing w:after="0" w:line="240" w:lineRule="auto"/>
              <w:jc w:val="left"/>
              <w:rPr>
                <w:rFonts w:ascii="Times New Roman" w:eastAsia="Malgun Gothic" w:hAnsi="Times New Roman" w:cs="Times New Roman"/>
                <w:sz w:val="22"/>
                <w:lang w:val="en-AU"/>
              </w:rPr>
            </w:pPr>
            <w:r w:rsidRPr="0025669D">
              <w:rPr>
                <w:rFonts w:ascii="Times New Roman" w:eastAsia="Malgun Gothic" w:hAnsi="Times New Roman" w:cs="Times New Roman"/>
                <w:sz w:val="22"/>
                <w:lang w:val="en-AU"/>
              </w:rPr>
              <w:t>Total score</w:t>
            </w:r>
            <w:r w:rsidRPr="0025669D">
              <w:rPr>
                <w:rFonts w:ascii="Times New Roman" w:eastAsia="Malgun Gothic" w:hAnsi="Times New Roman" w:cs="Times New Roman"/>
                <w:sz w:val="22"/>
                <w:vertAlign w:val="superscript"/>
                <w:lang w:val="en-AU"/>
              </w:rPr>
              <w:t>d</w:t>
            </w:r>
            <w:r w:rsidRPr="0025669D">
              <w:rPr>
                <w:rFonts w:ascii="Times New Roman" w:eastAsia="Malgun Gothic" w:hAnsi="Times New Roman" w:cs="Times New Roman"/>
                <w:sz w:val="22"/>
                <w:lang w:val="en-AU"/>
              </w:rPr>
              <w:t xml:space="preserve"> (van der </w:t>
            </w:r>
            <w:proofErr w:type="spellStart"/>
            <w:r w:rsidRPr="0025669D">
              <w:rPr>
                <w:rFonts w:ascii="Times New Roman" w:eastAsia="Malgun Gothic" w:hAnsi="Times New Roman" w:cs="Times New Roman"/>
                <w:sz w:val="22"/>
                <w:lang w:val="en-AU"/>
              </w:rPr>
              <w:t>Heijde</w:t>
            </w:r>
            <w:proofErr w:type="spellEnd"/>
            <w:r w:rsidRPr="0025669D">
              <w:rPr>
                <w:rFonts w:ascii="Times New Roman" w:eastAsia="Malgun Gothic" w:hAnsi="Times New Roman" w:cs="Times New Roman"/>
                <w:sz w:val="22"/>
                <w:lang w:val="en-AU"/>
              </w:rPr>
              <w:t>-modified Sharp score)</w:t>
            </w:r>
          </w:p>
        </w:tc>
        <w:tc>
          <w:tcPr>
            <w:tcW w:w="551" w:type="pct"/>
            <w:tcBorders>
              <w:top w:val="nil"/>
              <w:bottom w:val="nil"/>
            </w:tcBorders>
            <w:vAlign w:val="center"/>
          </w:tcPr>
          <w:p w14:paraId="56DC2DEA" w14:textId="77777777" w:rsidR="004A10AE" w:rsidRPr="0025669D" w:rsidRDefault="004A10AE" w:rsidP="007947DB">
            <w:pPr>
              <w:spacing w:after="0" w:line="240" w:lineRule="auto"/>
              <w:jc w:val="center"/>
              <w:rPr>
                <w:rFonts w:ascii="Times New Roman" w:eastAsia="Malgun Gothic" w:hAnsi="Times New Roman" w:cs="Times New Roman"/>
                <w:sz w:val="22"/>
                <w:lang w:val="en-AU"/>
              </w:rPr>
            </w:pPr>
          </w:p>
        </w:tc>
        <w:tc>
          <w:tcPr>
            <w:tcW w:w="517" w:type="pct"/>
            <w:tcBorders>
              <w:top w:val="nil"/>
              <w:bottom w:val="nil"/>
            </w:tcBorders>
            <w:vAlign w:val="center"/>
          </w:tcPr>
          <w:p w14:paraId="57DA3E60" w14:textId="77777777" w:rsidR="004A10AE" w:rsidRPr="0025669D" w:rsidRDefault="004A10AE" w:rsidP="007947DB">
            <w:pPr>
              <w:spacing w:after="0" w:line="240" w:lineRule="auto"/>
              <w:jc w:val="center"/>
              <w:rPr>
                <w:rFonts w:ascii="Times New Roman" w:eastAsia="Malgun Gothic" w:hAnsi="Times New Roman" w:cs="Times New Roman"/>
                <w:sz w:val="22"/>
                <w:lang w:val="en-AU"/>
              </w:rPr>
            </w:pPr>
          </w:p>
        </w:tc>
        <w:tc>
          <w:tcPr>
            <w:tcW w:w="517" w:type="pct"/>
            <w:tcBorders>
              <w:top w:val="nil"/>
              <w:bottom w:val="nil"/>
            </w:tcBorders>
            <w:vAlign w:val="center"/>
          </w:tcPr>
          <w:p w14:paraId="6A97D6F1" w14:textId="77777777" w:rsidR="004A10AE" w:rsidRPr="0025669D" w:rsidRDefault="004A10AE" w:rsidP="007947DB">
            <w:pPr>
              <w:spacing w:after="0" w:line="240" w:lineRule="auto"/>
              <w:jc w:val="center"/>
              <w:rPr>
                <w:rFonts w:ascii="Times New Roman" w:eastAsia="Malgun Gothic" w:hAnsi="Times New Roman" w:cs="Times New Roman"/>
                <w:sz w:val="22"/>
                <w:lang w:val="en-AU"/>
              </w:rPr>
            </w:pPr>
          </w:p>
        </w:tc>
        <w:tc>
          <w:tcPr>
            <w:tcW w:w="517" w:type="pct"/>
            <w:tcBorders>
              <w:top w:val="nil"/>
              <w:bottom w:val="nil"/>
            </w:tcBorders>
            <w:vAlign w:val="center"/>
          </w:tcPr>
          <w:p w14:paraId="5E1DD53C" w14:textId="77777777" w:rsidR="004A10AE" w:rsidRPr="0025669D" w:rsidRDefault="004A10AE" w:rsidP="007947DB">
            <w:pPr>
              <w:spacing w:after="0" w:line="240" w:lineRule="auto"/>
              <w:jc w:val="center"/>
              <w:rPr>
                <w:rFonts w:ascii="Times New Roman" w:eastAsia="Malgun Gothic" w:hAnsi="Times New Roman" w:cs="Times New Roman"/>
                <w:sz w:val="22"/>
                <w:lang w:val="en-AU"/>
              </w:rPr>
            </w:pPr>
          </w:p>
        </w:tc>
        <w:tc>
          <w:tcPr>
            <w:tcW w:w="517" w:type="pct"/>
            <w:tcBorders>
              <w:top w:val="nil"/>
              <w:bottom w:val="nil"/>
            </w:tcBorders>
            <w:vAlign w:val="center"/>
          </w:tcPr>
          <w:p w14:paraId="398A380A" w14:textId="77777777" w:rsidR="004A10AE" w:rsidRPr="0025669D" w:rsidRDefault="004A10AE" w:rsidP="007947DB">
            <w:pPr>
              <w:spacing w:after="0" w:line="240" w:lineRule="auto"/>
              <w:jc w:val="center"/>
              <w:rPr>
                <w:rFonts w:ascii="Times New Roman" w:eastAsia="Malgun Gothic" w:hAnsi="Times New Roman" w:cs="Times New Roman"/>
                <w:sz w:val="22"/>
                <w:lang w:val="en-AU"/>
              </w:rPr>
            </w:pPr>
          </w:p>
        </w:tc>
        <w:tc>
          <w:tcPr>
            <w:tcW w:w="658" w:type="pct"/>
            <w:tcBorders>
              <w:top w:val="nil"/>
              <w:bottom w:val="nil"/>
            </w:tcBorders>
            <w:vAlign w:val="center"/>
          </w:tcPr>
          <w:p w14:paraId="069497ED" w14:textId="77777777" w:rsidR="004A10AE" w:rsidRPr="0025669D" w:rsidRDefault="004A10AE" w:rsidP="007947DB">
            <w:pPr>
              <w:spacing w:after="0" w:line="240" w:lineRule="auto"/>
              <w:jc w:val="center"/>
              <w:rPr>
                <w:rFonts w:ascii="Times New Roman" w:eastAsia="Malgun Gothic" w:hAnsi="Times New Roman" w:cs="Times New Roman"/>
                <w:sz w:val="22"/>
                <w:lang w:val="en-AU"/>
              </w:rPr>
            </w:pPr>
          </w:p>
        </w:tc>
      </w:tr>
      <w:tr w:rsidR="004A10AE" w:rsidRPr="0025669D" w14:paraId="164476A5" w14:textId="77777777" w:rsidTr="005A4B0D">
        <w:trPr>
          <w:trHeight w:val="400"/>
        </w:trPr>
        <w:tc>
          <w:tcPr>
            <w:tcW w:w="1723" w:type="pct"/>
            <w:tcBorders>
              <w:top w:val="nil"/>
              <w:bottom w:val="nil"/>
            </w:tcBorders>
            <w:vAlign w:val="center"/>
          </w:tcPr>
          <w:p w14:paraId="2A162D2A" w14:textId="77777777" w:rsidR="004A10AE" w:rsidRPr="0025669D" w:rsidRDefault="004A10AE" w:rsidP="007947DB">
            <w:pPr>
              <w:spacing w:after="0" w:line="240" w:lineRule="auto"/>
              <w:jc w:val="left"/>
              <w:rPr>
                <w:rFonts w:ascii="Times New Roman" w:eastAsia="Malgun Gothic" w:hAnsi="Times New Roman" w:cs="Times New Roman"/>
                <w:sz w:val="22"/>
                <w:lang w:val="en-AU"/>
              </w:rPr>
            </w:pPr>
            <w:r w:rsidRPr="0025669D">
              <w:rPr>
                <w:rFonts w:ascii="Times New Roman" w:eastAsia="Malgun Gothic" w:hAnsi="Times New Roman" w:cs="Times New Roman"/>
                <w:sz w:val="22"/>
                <w:lang w:val="en-AU"/>
              </w:rPr>
              <w:t xml:space="preserve">Change from baseline (Mean </w:t>
            </w:r>
            <w:r w:rsidRPr="0025669D">
              <w:rPr>
                <w:rFonts w:ascii="Times New Roman" w:eastAsia="Malgun Gothic" w:hAnsi="Times New Roman" w:cs="Times New Roman"/>
                <w:sz w:val="22"/>
                <w:lang w:val="en-AU"/>
              </w:rPr>
              <w:sym w:font="Symbol" w:char="F0B1"/>
            </w:r>
            <w:r w:rsidRPr="0025669D">
              <w:rPr>
                <w:rFonts w:ascii="Times New Roman" w:eastAsia="Malgun Gothic" w:hAnsi="Times New Roman" w:cs="Times New Roman"/>
                <w:sz w:val="22"/>
                <w:lang w:val="en-AU"/>
              </w:rPr>
              <w:t xml:space="preserve"> </w:t>
            </w:r>
            <w:proofErr w:type="spellStart"/>
            <w:r w:rsidRPr="0025669D">
              <w:rPr>
                <w:rFonts w:ascii="Times New Roman" w:eastAsia="Malgun Gothic" w:hAnsi="Times New Roman" w:cs="Times New Roman"/>
                <w:sz w:val="22"/>
                <w:lang w:val="en-AU"/>
              </w:rPr>
              <w:t>SD</w:t>
            </w:r>
            <w:r w:rsidRPr="0025669D">
              <w:rPr>
                <w:rFonts w:ascii="Times New Roman" w:eastAsia="Malgun Gothic" w:hAnsi="Times New Roman" w:cs="Times New Roman"/>
                <w:sz w:val="22"/>
                <w:vertAlign w:val="superscript"/>
                <w:lang w:val="en-AU"/>
              </w:rPr>
              <w:t>c</w:t>
            </w:r>
            <w:proofErr w:type="spellEnd"/>
            <w:r w:rsidRPr="0025669D">
              <w:rPr>
                <w:rFonts w:ascii="Times New Roman" w:eastAsia="Malgun Gothic" w:hAnsi="Times New Roman" w:cs="Times New Roman"/>
                <w:sz w:val="22"/>
                <w:vertAlign w:val="superscript"/>
                <w:lang w:val="en-AU"/>
              </w:rPr>
              <w:t xml:space="preserve"> </w:t>
            </w:r>
            <w:r w:rsidRPr="0025669D">
              <w:rPr>
                <w:rFonts w:ascii="Times New Roman" w:eastAsia="Malgun Gothic" w:hAnsi="Times New Roman" w:cs="Times New Roman"/>
                <w:sz w:val="22"/>
                <w:lang w:val="en-AU"/>
              </w:rPr>
              <w:t>)</w:t>
            </w:r>
          </w:p>
        </w:tc>
        <w:tc>
          <w:tcPr>
            <w:tcW w:w="551" w:type="pct"/>
            <w:tcBorders>
              <w:top w:val="nil"/>
              <w:bottom w:val="nil"/>
            </w:tcBorders>
            <w:vAlign w:val="center"/>
          </w:tcPr>
          <w:p w14:paraId="2FCF65D2" w14:textId="77777777" w:rsidR="004A10AE" w:rsidRPr="0025669D" w:rsidRDefault="004A10AE" w:rsidP="007947DB">
            <w:pPr>
              <w:spacing w:after="0" w:line="240" w:lineRule="auto"/>
              <w:jc w:val="center"/>
              <w:rPr>
                <w:rFonts w:ascii="Times New Roman" w:eastAsia="Malgun Gothic" w:hAnsi="Times New Roman" w:cs="Times New Roman"/>
                <w:sz w:val="22"/>
                <w:lang w:val="fr-FR"/>
              </w:rPr>
            </w:pPr>
            <w:r w:rsidRPr="0025669D">
              <w:rPr>
                <w:rFonts w:ascii="Times New Roman" w:eastAsia="Malgun Gothic" w:hAnsi="Times New Roman" w:cs="Times New Roman"/>
                <w:sz w:val="22"/>
                <w:lang w:val="fr-FR"/>
              </w:rPr>
              <w:t>7.0 ± 10.3</w:t>
            </w:r>
          </w:p>
        </w:tc>
        <w:tc>
          <w:tcPr>
            <w:tcW w:w="517" w:type="pct"/>
            <w:tcBorders>
              <w:top w:val="nil"/>
              <w:bottom w:val="nil"/>
            </w:tcBorders>
            <w:vAlign w:val="center"/>
          </w:tcPr>
          <w:p w14:paraId="428200A8" w14:textId="77777777" w:rsidR="004A10AE" w:rsidRPr="0025669D" w:rsidRDefault="004A10AE" w:rsidP="007947DB">
            <w:pPr>
              <w:spacing w:after="0" w:line="240" w:lineRule="auto"/>
              <w:jc w:val="center"/>
              <w:rPr>
                <w:rFonts w:ascii="Times New Roman" w:eastAsia="Malgun Gothic" w:hAnsi="Times New Roman" w:cs="Times New Roman"/>
                <w:sz w:val="22"/>
                <w:lang w:val="fr-FR"/>
              </w:rPr>
            </w:pPr>
            <w:r w:rsidRPr="0025669D">
              <w:rPr>
                <w:rFonts w:ascii="Times New Roman" w:eastAsia="Malgun Gothic" w:hAnsi="Times New Roman" w:cs="Times New Roman"/>
                <w:sz w:val="22"/>
                <w:lang w:val="fr-FR"/>
              </w:rPr>
              <w:t>1.3 ± 6.0</w:t>
            </w:r>
          </w:p>
        </w:tc>
        <w:tc>
          <w:tcPr>
            <w:tcW w:w="517" w:type="pct"/>
            <w:tcBorders>
              <w:top w:val="nil"/>
              <w:bottom w:val="nil"/>
            </w:tcBorders>
            <w:vAlign w:val="center"/>
          </w:tcPr>
          <w:p w14:paraId="105FFEEE" w14:textId="77777777" w:rsidR="004A10AE" w:rsidRPr="0025669D" w:rsidRDefault="004A10AE" w:rsidP="007947DB">
            <w:pPr>
              <w:spacing w:after="0" w:line="240" w:lineRule="auto"/>
              <w:jc w:val="center"/>
              <w:rPr>
                <w:rFonts w:ascii="Times New Roman" w:eastAsia="Malgun Gothic" w:hAnsi="Times New Roman" w:cs="Times New Roman"/>
                <w:sz w:val="22"/>
                <w:lang w:val="fr-FR"/>
              </w:rPr>
            </w:pPr>
            <w:r w:rsidRPr="0025669D">
              <w:rPr>
                <w:rFonts w:ascii="Times New Roman" w:eastAsia="Malgun Gothic" w:hAnsi="Times New Roman" w:cs="Times New Roman"/>
                <w:sz w:val="22"/>
                <w:lang w:val="fr-FR"/>
              </w:rPr>
              <w:t>1.6 ± 8.5</w:t>
            </w:r>
          </w:p>
        </w:tc>
        <w:tc>
          <w:tcPr>
            <w:tcW w:w="517" w:type="pct"/>
            <w:tcBorders>
              <w:top w:val="nil"/>
              <w:bottom w:val="nil"/>
            </w:tcBorders>
            <w:vAlign w:val="center"/>
          </w:tcPr>
          <w:p w14:paraId="4DC3B864" w14:textId="77777777" w:rsidR="004A10AE" w:rsidRPr="0025669D" w:rsidRDefault="004A10AE" w:rsidP="007947DB">
            <w:pPr>
              <w:spacing w:after="0" w:line="240" w:lineRule="auto"/>
              <w:jc w:val="center"/>
              <w:rPr>
                <w:rFonts w:ascii="Times New Roman" w:eastAsia="Malgun Gothic" w:hAnsi="Times New Roman" w:cs="Times New Roman"/>
                <w:sz w:val="22"/>
                <w:lang w:val="fr-FR"/>
              </w:rPr>
            </w:pPr>
            <w:r w:rsidRPr="0025669D">
              <w:rPr>
                <w:rFonts w:ascii="Times New Roman" w:eastAsia="Malgun Gothic" w:hAnsi="Times New Roman" w:cs="Times New Roman"/>
                <w:sz w:val="22"/>
                <w:lang w:val="fr-FR"/>
              </w:rPr>
              <w:t>0.2 ± 3.6</w:t>
            </w:r>
          </w:p>
        </w:tc>
        <w:tc>
          <w:tcPr>
            <w:tcW w:w="517" w:type="pct"/>
            <w:tcBorders>
              <w:top w:val="nil"/>
              <w:bottom w:val="nil"/>
            </w:tcBorders>
            <w:vAlign w:val="center"/>
          </w:tcPr>
          <w:p w14:paraId="6885BC8D" w14:textId="77777777" w:rsidR="004A10AE" w:rsidRPr="0025669D" w:rsidRDefault="004A10AE" w:rsidP="007947DB">
            <w:pPr>
              <w:spacing w:after="0" w:line="240" w:lineRule="auto"/>
              <w:jc w:val="center"/>
              <w:rPr>
                <w:rFonts w:ascii="Times New Roman" w:eastAsia="Malgun Gothic" w:hAnsi="Times New Roman" w:cs="Times New Roman"/>
                <w:sz w:val="22"/>
                <w:lang w:val="fr-FR"/>
              </w:rPr>
            </w:pPr>
            <w:r w:rsidRPr="0025669D">
              <w:rPr>
                <w:rFonts w:ascii="Times New Roman" w:eastAsia="Malgun Gothic" w:hAnsi="Times New Roman" w:cs="Times New Roman"/>
                <w:sz w:val="22"/>
                <w:lang w:val="fr-FR"/>
              </w:rPr>
              <w:t>-0.7 ± 3.8</w:t>
            </w:r>
          </w:p>
        </w:tc>
        <w:tc>
          <w:tcPr>
            <w:tcW w:w="658" w:type="pct"/>
            <w:tcBorders>
              <w:top w:val="nil"/>
              <w:bottom w:val="nil"/>
            </w:tcBorders>
            <w:vAlign w:val="center"/>
          </w:tcPr>
          <w:p w14:paraId="6D9F6076" w14:textId="77777777" w:rsidR="004A10AE" w:rsidRPr="0025669D" w:rsidRDefault="004A10AE" w:rsidP="007947DB">
            <w:pPr>
              <w:spacing w:after="0" w:line="240" w:lineRule="auto"/>
              <w:jc w:val="center"/>
              <w:rPr>
                <w:rFonts w:ascii="Times New Roman" w:eastAsia="Malgun Gothic" w:hAnsi="Times New Roman" w:cs="Times New Roman"/>
                <w:sz w:val="22"/>
                <w:lang w:val="fr-FR"/>
              </w:rPr>
            </w:pPr>
            <w:r w:rsidRPr="0025669D">
              <w:rPr>
                <w:rFonts w:ascii="Times New Roman" w:eastAsia="Malgun Gothic" w:hAnsi="Times New Roman" w:cs="Times New Roman"/>
                <w:sz w:val="22"/>
                <w:lang w:val="fr-FR"/>
              </w:rPr>
              <w:t>0.6 ± 5.9</w:t>
            </w:r>
          </w:p>
        </w:tc>
      </w:tr>
      <w:tr w:rsidR="004A10AE" w:rsidRPr="0025669D" w14:paraId="0593B216" w14:textId="77777777" w:rsidTr="005A4B0D">
        <w:trPr>
          <w:trHeight w:val="600"/>
        </w:trPr>
        <w:tc>
          <w:tcPr>
            <w:tcW w:w="1723" w:type="pct"/>
            <w:tcBorders>
              <w:top w:val="nil"/>
              <w:bottom w:val="nil"/>
            </w:tcBorders>
            <w:vAlign w:val="center"/>
          </w:tcPr>
          <w:p w14:paraId="5B886172" w14:textId="77777777" w:rsidR="004A10AE" w:rsidRPr="0025669D" w:rsidRDefault="004A10AE" w:rsidP="007947DB">
            <w:pPr>
              <w:pStyle w:val="NoSpacing"/>
              <w:jc w:val="left"/>
              <w:rPr>
                <w:rFonts w:ascii="Times New Roman" w:hAnsi="Times New Roman" w:cs="Times New Roman"/>
                <w:sz w:val="22"/>
                <w:lang w:val="fr-FR"/>
              </w:rPr>
            </w:pPr>
            <w:proofErr w:type="spellStart"/>
            <w:r w:rsidRPr="0025669D">
              <w:rPr>
                <w:rFonts w:ascii="Times New Roman" w:hAnsi="Times New Roman" w:cs="Times New Roman"/>
                <w:sz w:val="22"/>
                <w:lang w:val="fr-FR"/>
              </w:rPr>
              <w:t>Median</w:t>
            </w:r>
            <w:r w:rsidRPr="0025669D">
              <w:rPr>
                <w:rFonts w:ascii="Times New Roman" w:hAnsi="Times New Roman" w:cs="Times New Roman"/>
                <w:sz w:val="22"/>
                <w:vertAlign w:val="superscript"/>
                <w:lang w:val="fr-FR"/>
              </w:rPr>
              <w:t>c</w:t>
            </w:r>
            <w:proofErr w:type="spellEnd"/>
          </w:p>
          <w:p w14:paraId="1A0F3386" w14:textId="77777777" w:rsidR="004A10AE" w:rsidRPr="0025669D" w:rsidRDefault="004A10AE" w:rsidP="007947DB">
            <w:pPr>
              <w:pStyle w:val="NoSpacing"/>
              <w:jc w:val="left"/>
              <w:rPr>
                <w:rFonts w:ascii="Times New Roman" w:hAnsi="Times New Roman" w:cs="Times New Roman"/>
                <w:sz w:val="22"/>
                <w:lang w:val="fr-FR"/>
              </w:rPr>
            </w:pPr>
            <w:r w:rsidRPr="0025669D">
              <w:rPr>
                <w:rFonts w:ascii="Times New Roman" w:hAnsi="Times New Roman" w:cs="Times New Roman"/>
                <w:sz w:val="22"/>
                <w:lang w:val="fr-FR"/>
              </w:rPr>
              <w:t>(Interquartile range)</w:t>
            </w:r>
          </w:p>
        </w:tc>
        <w:tc>
          <w:tcPr>
            <w:tcW w:w="551" w:type="pct"/>
            <w:tcBorders>
              <w:top w:val="nil"/>
              <w:bottom w:val="nil"/>
            </w:tcBorders>
            <w:vAlign w:val="center"/>
          </w:tcPr>
          <w:p w14:paraId="54385EBD" w14:textId="77777777" w:rsidR="004A10AE" w:rsidRPr="0025669D" w:rsidRDefault="004A10AE" w:rsidP="007947DB">
            <w:pPr>
              <w:pStyle w:val="NoSpacing"/>
              <w:jc w:val="center"/>
              <w:rPr>
                <w:rFonts w:ascii="Times New Roman" w:hAnsi="Times New Roman" w:cs="Times New Roman"/>
                <w:sz w:val="22"/>
                <w:lang w:val="en-AU"/>
              </w:rPr>
            </w:pPr>
            <w:r w:rsidRPr="0025669D">
              <w:rPr>
                <w:rFonts w:ascii="Times New Roman" w:hAnsi="Times New Roman" w:cs="Times New Roman"/>
                <w:sz w:val="22"/>
                <w:lang w:val="en-AU"/>
              </w:rPr>
              <w:t>4.0</w:t>
            </w:r>
          </w:p>
          <w:p w14:paraId="1197684E" w14:textId="77777777" w:rsidR="004A10AE" w:rsidRPr="0025669D" w:rsidRDefault="004A10AE" w:rsidP="007947DB">
            <w:pPr>
              <w:pStyle w:val="NoSpacing"/>
              <w:jc w:val="center"/>
              <w:rPr>
                <w:rFonts w:ascii="Times New Roman" w:hAnsi="Times New Roman" w:cs="Times New Roman"/>
                <w:sz w:val="22"/>
                <w:lang w:val="en-AU"/>
              </w:rPr>
            </w:pPr>
            <w:r w:rsidRPr="0025669D">
              <w:rPr>
                <w:rFonts w:ascii="Times New Roman" w:hAnsi="Times New Roman" w:cs="Times New Roman"/>
                <w:sz w:val="22"/>
                <w:lang w:val="en-AU"/>
              </w:rPr>
              <w:t>(0.5,9.7)</w:t>
            </w:r>
          </w:p>
        </w:tc>
        <w:tc>
          <w:tcPr>
            <w:tcW w:w="517" w:type="pct"/>
            <w:tcBorders>
              <w:top w:val="nil"/>
              <w:bottom w:val="nil"/>
            </w:tcBorders>
            <w:vAlign w:val="center"/>
          </w:tcPr>
          <w:p w14:paraId="78894489" w14:textId="77777777" w:rsidR="004A10AE" w:rsidRPr="0025669D" w:rsidRDefault="004A10AE" w:rsidP="007947DB">
            <w:pPr>
              <w:pStyle w:val="NoSpacing"/>
              <w:jc w:val="center"/>
              <w:rPr>
                <w:rFonts w:ascii="Times New Roman" w:hAnsi="Times New Roman" w:cs="Times New Roman"/>
                <w:sz w:val="22"/>
                <w:lang w:val="en-AU"/>
              </w:rPr>
            </w:pPr>
            <w:r w:rsidRPr="0025669D">
              <w:rPr>
                <w:rFonts w:ascii="Times New Roman" w:hAnsi="Times New Roman" w:cs="Times New Roman"/>
                <w:sz w:val="22"/>
                <w:lang w:val="en-AU"/>
              </w:rPr>
              <w:t>0.5</w:t>
            </w:r>
          </w:p>
          <w:p w14:paraId="4517318F" w14:textId="77777777" w:rsidR="004A10AE" w:rsidRPr="0025669D" w:rsidRDefault="004A10AE" w:rsidP="007947DB">
            <w:pPr>
              <w:pStyle w:val="NoSpacing"/>
              <w:jc w:val="center"/>
              <w:rPr>
                <w:rFonts w:ascii="Times New Roman" w:hAnsi="Times New Roman" w:cs="Times New Roman"/>
                <w:sz w:val="22"/>
                <w:lang w:val="en-AU"/>
              </w:rPr>
            </w:pPr>
            <w:r w:rsidRPr="0025669D">
              <w:rPr>
                <w:rFonts w:ascii="Times New Roman" w:hAnsi="Times New Roman" w:cs="Times New Roman"/>
                <w:sz w:val="22"/>
                <w:lang w:val="en-AU"/>
              </w:rPr>
              <w:t>(-1.5,3.0)</w:t>
            </w:r>
          </w:p>
        </w:tc>
        <w:tc>
          <w:tcPr>
            <w:tcW w:w="517" w:type="pct"/>
            <w:tcBorders>
              <w:top w:val="nil"/>
              <w:bottom w:val="nil"/>
            </w:tcBorders>
            <w:vAlign w:val="center"/>
          </w:tcPr>
          <w:p w14:paraId="25D5031B" w14:textId="77777777" w:rsidR="004A10AE" w:rsidRPr="0025669D" w:rsidRDefault="004A10AE" w:rsidP="007947DB">
            <w:pPr>
              <w:pStyle w:val="NoSpacing"/>
              <w:jc w:val="center"/>
              <w:rPr>
                <w:rFonts w:ascii="Times New Roman" w:hAnsi="Times New Roman" w:cs="Times New Roman"/>
                <w:sz w:val="22"/>
                <w:lang w:val="en-AU"/>
              </w:rPr>
            </w:pPr>
            <w:r w:rsidRPr="0025669D">
              <w:rPr>
                <w:rFonts w:ascii="Times New Roman" w:hAnsi="Times New Roman" w:cs="Times New Roman"/>
                <w:sz w:val="22"/>
                <w:lang w:val="en-AU"/>
              </w:rPr>
              <w:t>0.1</w:t>
            </w:r>
          </w:p>
          <w:p w14:paraId="77E4F993" w14:textId="77777777" w:rsidR="004A10AE" w:rsidRPr="0025669D" w:rsidRDefault="004A10AE" w:rsidP="007947DB">
            <w:pPr>
              <w:pStyle w:val="NoSpacing"/>
              <w:jc w:val="center"/>
              <w:rPr>
                <w:rFonts w:ascii="Times New Roman" w:hAnsi="Times New Roman" w:cs="Times New Roman"/>
                <w:sz w:val="22"/>
                <w:lang w:val="en-AU"/>
              </w:rPr>
            </w:pPr>
            <w:r w:rsidRPr="0025669D">
              <w:rPr>
                <w:rFonts w:ascii="Times New Roman" w:hAnsi="Times New Roman" w:cs="Times New Roman"/>
                <w:sz w:val="22"/>
                <w:lang w:val="en-AU"/>
              </w:rPr>
              <w:t>(-2.5,3.0)</w:t>
            </w:r>
          </w:p>
        </w:tc>
        <w:tc>
          <w:tcPr>
            <w:tcW w:w="517" w:type="pct"/>
            <w:tcBorders>
              <w:top w:val="nil"/>
              <w:bottom w:val="nil"/>
            </w:tcBorders>
            <w:vAlign w:val="center"/>
          </w:tcPr>
          <w:p w14:paraId="26476348" w14:textId="77777777" w:rsidR="004A10AE" w:rsidRPr="0025669D" w:rsidRDefault="004A10AE" w:rsidP="007947DB">
            <w:pPr>
              <w:pStyle w:val="NoSpacing"/>
              <w:jc w:val="center"/>
              <w:rPr>
                <w:rFonts w:ascii="Times New Roman" w:hAnsi="Times New Roman" w:cs="Times New Roman"/>
                <w:sz w:val="22"/>
                <w:lang w:val="en-AU"/>
              </w:rPr>
            </w:pPr>
            <w:r w:rsidRPr="0025669D">
              <w:rPr>
                <w:rFonts w:ascii="Times New Roman" w:hAnsi="Times New Roman" w:cs="Times New Roman"/>
                <w:sz w:val="22"/>
                <w:lang w:val="en-AU"/>
              </w:rPr>
              <w:t>0.5</w:t>
            </w:r>
          </w:p>
          <w:p w14:paraId="1BB883C5" w14:textId="77777777" w:rsidR="004A10AE" w:rsidRPr="0025669D" w:rsidRDefault="004A10AE" w:rsidP="007947DB">
            <w:pPr>
              <w:pStyle w:val="NoSpacing"/>
              <w:jc w:val="center"/>
              <w:rPr>
                <w:rFonts w:ascii="Times New Roman" w:hAnsi="Times New Roman" w:cs="Times New Roman"/>
                <w:sz w:val="22"/>
                <w:lang w:val="en-AU"/>
              </w:rPr>
            </w:pPr>
            <w:r w:rsidRPr="0025669D">
              <w:rPr>
                <w:rFonts w:ascii="Times New Roman" w:hAnsi="Times New Roman" w:cs="Times New Roman"/>
                <w:sz w:val="22"/>
                <w:lang w:val="en-AU"/>
              </w:rPr>
              <w:t>(-1.5,2.0)</w:t>
            </w:r>
          </w:p>
        </w:tc>
        <w:tc>
          <w:tcPr>
            <w:tcW w:w="517" w:type="pct"/>
            <w:tcBorders>
              <w:top w:val="nil"/>
              <w:bottom w:val="nil"/>
            </w:tcBorders>
            <w:vAlign w:val="center"/>
          </w:tcPr>
          <w:p w14:paraId="10A3E267" w14:textId="77777777" w:rsidR="004A10AE" w:rsidRPr="0025669D" w:rsidRDefault="004A10AE" w:rsidP="007947DB">
            <w:pPr>
              <w:pStyle w:val="NoSpacing"/>
              <w:jc w:val="center"/>
              <w:rPr>
                <w:rFonts w:ascii="Times New Roman" w:hAnsi="Times New Roman" w:cs="Times New Roman"/>
                <w:sz w:val="22"/>
                <w:lang w:val="en-AU"/>
              </w:rPr>
            </w:pPr>
            <w:r w:rsidRPr="0025669D">
              <w:rPr>
                <w:rFonts w:ascii="Times New Roman" w:hAnsi="Times New Roman" w:cs="Times New Roman"/>
                <w:sz w:val="22"/>
                <w:lang w:val="en-AU"/>
              </w:rPr>
              <w:t>-0.5</w:t>
            </w:r>
          </w:p>
          <w:p w14:paraId="7A3147FB" w14:textId="77777777" w:rsidR="004A10AE" w:rsidRPr="0025669D" w:rsidRDefault="004A10AE" w:rsidP="007947DB">
            <w:pPr>
              <w:pStyle w:val="NoSpacing"/>
              <w:jc w:val="center"/>
              <w:rPr>
                <w:rFonts w:ascii="Times New Roman" w:hAnsi="Times New Roman" w:cs="Times New Roman"/>
                <w:sz w:val="22"/>
                <w:lang w:val="en-AU"/>
              </w:rPr>
            </w:pPr>
            <w:r w:rsidRPr="0025669D">
              <w:rPr>
                <w:rFonts w:ascii="Times New Roman" w:hAnsi="Times New Roman" w:cs="Times New Roman"/>
                <w:sz w:val="22"/>
                <w:lang w:val="en-AU"/>
              </w:rPr>
              <w:t>(-3.0,1.5)</w:t>
            </w:r>
          </w:p>
        </w:tc>
        <w:tc>
          <w:tcPr>
            <w:tcW w:w="658" w:type="pct"/>
            <w:tcBorders>
              <w:top w:val="nil"/>
              <w:bottom w:val="nil"/>
            </w:tcBorders>
            <w:vAlign w:val="center"/>
          </w:tcPr>
          <w:p w14:paraId="4FA35BB9" w14:textId="77777777" w:rsidR="004A10AE" w:rsidRPr="0025669D" w:rsidRDefault="004A10AE" w:rsidP="007947DB">
            <w:pPr>
              <w:pStyle w:val="NoSpacing"/>
              <w:jc w:val="center"/>
              <w:rPr>
                <w:rFonts w:ascii="Times New Roman" w:hAnsi="Times New Roman" w:cs="Times New Roman"/>
                <w:sz w:val="22"/>
                <w:lang w:val="en-AU"/>
              </w:rPr>
            </w:pPr>
            <w:r w:rsidRPr="0025669D">
              <w:rPr>
                <w:rFonts w:ascii="Times New Roman" w:hAnsi="Times New Roman" w:cs="Times New Roman"/>
                <w:sz w:val="22"/>
                <w:lang w:val="en-AU"/>
              </w:rPr>
              <w:t>0.0</w:t>
            </w:r>
          </w:p>
          <w:p w14:paraId="4902A57E" w14:textId="77777777" w:rsidR="004A10AE" w:rsidRPr="0025669D" w:rsidRDefault="004A10AE" w:rsidP="007947DB">
            <w:pPr>
              <w:pStyle w:val="NoSpacing"/>
              <w:jc w:val="center"/>
              <w:rPr>
                <w:rFonts w:ascii="Times New Roman" w:hAnsi="Times New Roman" w:cs="Times New Roman"/>
                <w:sz w:val="22"/>
                <w:lang w:val="en-AU"/>
              </w:rPr>
            </w:pPr>
            <w:r w:rsidRPr="0025669D">
              <w:rPr>
                <w:rFonts w:ascii="Times New Roman" w:hAnsi="Times New Roman" w:cs="Times New Roman"/>
                <w:sz w:val="22"/>
                <w:lang w:val="en-AU"/>
              </w:rPr>
              <w:t>(-1.8,2.0)</w:t>
            </w:r>
          </w:p>
        </w:tc>
      </w:tr>
      <w:tr w:rsidR="004A10AE" w:rsidRPr="0025669D" w14:paraId="01A15268" w14:textId="77777777" w:rsidTr="005A4B0D">
        <w:trPr>
          <w:trHeight w:val="600"/>
        </w:trPr>
        <w:tc>
          <w:tcPr>
            <w:tcW w:w="1723" w:type="pct"/>
            <w:tcBorders>
              <w:top w:val="nil"/>
              <w:bottom w:val="nil"/>
            </w:tcBorders>
            <w:vAlign w:val="center"/>
          </w:tcPr>
          <w:p w14:paraId="0E23AB45" w14:textId="77777777" w:rsidR="004A10AE" w:rsidRPr="0025669D" w:rsidRDefault="004A10AE" w:rsidP="007947DB">
            <w:pPr>
              <w:spacing w:after="0" w:line="240" w:lineRule="auto"/>
              <w:jc w:val="left"/>
              <w:rPr>
                <w:rFonts w:ascii="Times New Roman" w:eastAsia="Malgun Gothic" w:hAnsi="Times New Roman" w:cs="Times New Roman"/>
                <w:sz w:val="22"/>
                <w:lang w:val="en-AU"/>
              </w:rPr>
            </w:pPr>
            <w:r w:rsidRPr="0025669D">
              <w:rPr>
                <w:rFonts w:ascii="Times New Roman" w:eastAsia="Malgun Gothic" w:hAnsi="Times New Roman" w:cs="Times New Roman"/>
                <w:sz w:val="22"/>
                <w:lang w:val="en-AU"/>
              </w:rPr>
              <w:t>Patients with no deterioration/patients evaluated (%)</w:t>
            </w:r>
            <w:r w:rsidRPr="0025669D">
              <w:rPr>
                <w:rFonts w:ascii="Times New Roman" w:eastAsia="Malgun Gothic" w:hAnsi="Times New Roman" w:cs="Times New Roman"/>
                <w:sz w:val="22"/>
                <w:vertAlign w:val="superscript"/>
                <w:lang w:val="en-AU"/>
              </w:rPr>
              <w:t>c</w:t>
            </w:r>
          </w:p>
        </w:tc>
        <w:tc>
          <w:tcPr>
            <w:tcW w:w="551" w:type="pct"/>
            <w:tcBorders>
              <w:top w:val="nil"/>
              <w:bottom w:val="nil"/>
            </w:tcBorders>
            <w:vAlign w:val="center"/>
          </w:tcPr>
          <w:p w14:paraId="096E2F2A" w14:textId="77777777" w:rsidR="004A10AE" w:rsidRPr="0025669D" w:rsidRDefault="004A10AE" w:rsidP="007947DB">
            <w:pPr>
              <w:spacing w:after="0" w:line="240" w:lineRule="auto"/>
              <w:jc w:val="center"/>
              <w:rPr>
                <w:rFonts w:ascii="Times New Roman" w:eastAsia="Malgun Gothic" w:hAnsi="Times New Roman" w:cs="Times New Roman"/>
                <w:sz w:val="22"/>
                <w:lang w:val="en-AU"/>
              </w:rPr>
            </w:pPr>
            <w:r w:rsidRPr="0025669D">
              <w:rPr>
                <w:rFonts w:ascii="Times New Roman" w:eastAsia="Malgun Gothic" w:hAnsi="Times New Roman" w:cs="Times New Roman"/>
                <w:sz w:val="22"/>
                <w:lang w:val="en-AU"/>
              </w:rPr>
              <w:t>13/64 (20%)</w:t>
            </w:r>
          </w:p>
        </w:tc>
        <w:tc>
          <w:tcPr>
            <w:tcW w:w="517" w:type="pct"/>
            <w:tcBorders>
              <w:top w:val="nil"/>
              <w:bottom w:val="nil"/>
            </w:tcBorders>
            <w:vAlign w:val="center"/>
          </w:tcPr>
          <w:p w14:paraId="63142177" w14:textId="77777777" w:rsidR="004A10AE" w:rsidRPr="0025669D" w:rsidRDefault="004A10AE" w:rsidP="007947DB">
            <w:pPr>
              <w:spacing w:after="0" w:line="240" w:lineRule="auto"/>
              <w:jc w:val="center"/>
              <w:rPr>
                <w:rFonts w:ascii="Times New Roman" w:eastAsia="Malgun Gothic" w:hAnsi="Times New Roman" w:cs="Times New Roman"/>
                <w:sz w:val="22"/>
                <w:lang w:val="en-AU"/>
              </w:rPr>
            </w:pPr>
            <w:r w:rsidRPr="0025669D">
              <w:rPr>
                <w:rFonts w:ascii="Times New Roman" w:eastAsia="Malgun Gothic" w:hAnsi="Times New Roman" w:cs="Times New Roman"/>
                <w:sz w:val="22"/>
                <w:lang w:val="en-AU"/>
              </w:rPr>
              <w:t>34/71 (48%)</w:t>
            </w:r>
          </w:p>
        </w:tc>
        <w:tc>
          <w:tcPr>
            <w:tcW w:w="517" w:type="pct"/>
            <w:tcBorders>
              <w:top w:val="nil"/>
              <w:bottom w:val="nil"/>
            </w:tcBorders>
            <w:vAlign w:val="center"/>
          </w:tcPr>
          <w:p w14:paraId="1654CFD0" w14:textId="77777777" w:rsidR="004A10AE" w:rsidRPr="0025669D" w:rsidRDefault="004A10AE" w:rsidP="007947DB">
            <w:pPr>
              <w:spacing w:after="0" w:line="240" w:lineRule="auto"/>
              <w:jc w:val="center"/>
              <w:rPr>
                <w:rFonts w:ascii="Times New Roman" w:eastAsia="Malgun Gothic" w:hAnsi="Times New Roman" w:cs="Times New Roman"/>
                <w:sz w:val="22"/>
                <w:lang w:val="en-AU"/>
              </w:rPr>
            </w:pPr>
            <w:r w:rsidRPr="0025669D">
              <w:rPr>
                <w:rFonts w:ascii="Times New Roman" w:eastAsia="Malgun Gothic" w:hAnsi="Times New Roman" w:cs="Times New Roman"/>
                <w:sz w:val="22"/>
                <w:lang w:val="en-AU"/>
              </w:rPr>
              <w:t>35/71 (49%)</w:t>
            </w:r>
          </w:p>
        </w:tc>
        <w:tc>
          <w:tcPr>
            <w:tcW w:w="517" w:type="pct"/>
            <w:tcBorders>
              <w:top w:val="nil"/>
              <w:bottom w:val="nil"/>
            </w:tcBorders>
            <w:vAlign w:val="center"/>
          </w:tcPr>
          <w:p w14:paraId="4EB52286" w14:textId="77777777" w:rsidR="004A10AE" w:rsidRPr="0025669D" w:rsidRDefault="004A10AE" w:rsidP="007947DB">
            <w:pPr>
              <w:spacing w:after="0" w:line="240" w:lineRule="auto"/>
              <w:jc w:val="center"/>
              <w:rPr>
                <w:rFonts w:ascii="Times New Roman" w:eastAsia="Malgun Gothic" w:hAnsi="Times New Roman" w:cs="Times New Roman"/>
                <w:sz w:val="22"/>
                <w:lang w:val="en-AU"/>
              </w:rPr>
            </w:pPr>
            <w:r w:rsidRPr="0025669D">
              <w:rPr>
                <w:rFonts w:ascii="Times New Roman" w:eastAsia="Malgun Gothic" w:hAnsi="Times New Roman" w:cs="Times New Roman"/>
                <w:sz w:val="22"/>
                <w:lang w:val="en-AU"/>
              </w:rPr>
              <w:t>37/77 (48%)</w:t>
            </w:r>
          </w:p>
        </w:tc>
        <w:tc>
          <w:tcPr>
            <w:tcW w:w="517" w:type="pct"/>
            <w:tcBorders>
              <w:top w:val="nil"/>
              <w:bottom w:val="nil"/>
            </w:tcBorders>
            <w:vAlign w:val="center"/>
          </w:tcPr>
          <w:p w14:paraId="15FA3EDB" w14:textId="77777777" w:rsidR="004A10AE" w:rsidRPr="0025669D" w:rsidRDefault="004A10AE" w:rsidP="007947DB">
            <w:pPr>
              <w:spacing w:after="0" w:line="240" w:lineRule="auto"/>
              <w:jc w:val="center"/>
              <w:rPr>
                <w:rFonts w:ascii="Times New Roman" w:eastAsia="Malgun Gothic" w:hAnsi="Times New Roman" w:cs="Times New Roman"/>
                <w:sz w:val="22"/>
                <w:lang w:val="en-AU"/>
              </w:rPr>
            </w:pPr>
            <w:r w:rsidRPr="0025669D">
              <w:rPr>
                <w:rFonts w:ascii="Times New Roman" w:eastAsia="Malgun Gothic" w:hAnsi="Times New Roman" w:cs="Times New Roman"/>
                <w:sz w:val="22"/>
                <w:lang w:val="en-AU"/>
              </w:rPr>
              <w:t>44/66 (67%)</w:t>
            </w:r>
          </w:p>
        </w:tc>
        <w:tc>
          <w:tcPr>
            <w:tcW w:w="658" w:type="pct"/>
            <w:tcBorders>
              <w:top w:val="nil"/>
              <w:bottom w:val="nil"/>
            </w:tcBorders>
            <w:vAlign w:val="center"/>
          </w:tcPr>
          <w:p w14:paraId="3C4A18AC" w14:textId="77777777" w:rsidR="004A10AE" w:rsidRPr="0025669D" w:rsidRDefault="004A10AE" w:rsidP="007947DB">
            <w:pPr>
              <w:spacing w:after="0" w:line="240" w:lineRule="auto"/>
              <w:jc w:val="center"/>
              <w:rPr>
                <w:rFonts w:ascii="Times New Roman" w:eastAsia="Malgun Gothic" w:hAnsi="Times New Roman" w:cs="Times New Roman"/>
                <w:sz w:val="22"/>
                <w:lang w:val="en-AU"/>
              </w:rPr>
            </w:pPr>
            <w:r w:rsidRPr="0025669D">
              <w:rPr>
                <w:rFonts w:ascii="Times New Roman" w:eastAsia="Malgun Gothic" w:hAnsi="Times New Roman" w:cs="Times New Roman"/>
                <w:sz w:val="22"/>
                <w:lang w:val="en-AU"/>
              </w:rPr>
              <w:t>150/285 (53%)</w:t>
            </w:r>
          </w:p>
        </w:tc>
      </w:tr>
      <w:tr w:rsidR="004A10AE" w:rsidRPr="0025669D" w14:paraId="40DAF86B" w14:textId="77777777" w:rsidTr="005A4B0D">
        <w:trPr>
          <w:trHeight w:val="411"/>
        </w:trPr>
        <w:tc>
          <w:tcPr>
            <w:tcW w:w="1723" w:type="pct"/>
            <w:tcBorders>
              <w:top w:val="nil"/>
              <w:bottom w:val="nil"/>
            </w:tcBorders>
            <w:vAlign w:val="center"/>
          </w:tcPr>
          <w:p w14:paraId="24E3240B" w14:textId="77777777" w:rsidR="004A10AE" w:rsidRPr="0025669D" w:rsidRDefault="004A10AE" w:rsidP="007947DB">
            <w:pPr>
              <w:spacing w:after="0" w:line="240" w:lineRule="auto"/>
              <w:jc w:val="left"/>
              <w:rPr>
                <w:rFonts w:ascii="Times New Roman" w:eastAsia="Malgun Gothic" w:hAnsi="Times New Roman" w:cs="Times New Roman"/>
                <w:sz w:val="22"/>
                <w:lang w:val="en-AU"/>
              </w:rPr>
            </w:pPr>
            <w:r w:rsidRPr="0025669D">
              <w:rPr>
                <w:rFonts w:ascii="Times New Roman" w:eastAsia="Malgun Gothic" w:hAnsi="Times New Roman" w:cs="Times New Roman"/>
                <w:sz w:val="22"/>
                <w:lang w:val="en-AU"/>
              </w:rPr>
              <w:t xml:space="preserve">HAQ change from baseline over </w:t>
            </w:r>
            <w:proofErr w:type="spellStart"/>
            <w:r w:rsidRPr="0025669D">
              <w:rPr>
                <w:rFonts w:ascii="Times New Roman" w:eastAsia="Malgun Gothic" w:hAnsi="Times New Roman" w:cs="Times New Roman"/>
                <w:sz w:val="22"/>
                <w:lang w:val="en-AU"/>
              </w:rPr>
              <w:t>time</w:t>
            </w:r>
            <w:r w:rsidRPr="0025669D">
              <w:rPr>
                <w:rFonts w:ascii="Times New Roman" w:eastAsia="Malgun Gothic" w:hAnsi="Times New Roman" w:cs="Times New Roman"/>
                <w:sz w:val="22"/>
                <w:vertAlign w:val="superscript"/>
                <w:lang w:val="en-AU"/>
              </w:rPr>
              <w:t>e</w:t>
            </w:r>
            <w:proofErr w:type="spellEnd"/>
            <w:r w:rsidRPr="0025669D">
              <w:rPr>
                <w:rFonts w:ascii="Times New Roman" w:eastAsia="Malgun Gothic" w:hAnsi="Times New Roman" w:cs="Times New Roman"/>
                <w:sz w:val="22"/>
                <w:lang w:val="en-AU"/>
              </w:rPr>
              <w:t xml:space="preserve"> (patients evaluated)</w:t>
            </w:r>
          </w:p>
        </w:tc>
        <w:tc>
          <w:tcPr>
            <w:tcW w:w="551" w:type="pct"/>
            <w:tcBorders>
              <w:top w:val="nil"/>
              <w:bottom w:val="nil"/>
            </w:tcBorders>
            <w:vAlign w:val="center"/>
          </w:tcPr>
          <w:p w14:paraId="38EA7FAE" w14:textId="77777777" w:rsidR="004A10AE" w:rsidRPr="0025669D" w:rsidRDefault="004A10AE" w:rsidP="007947DB">
            <w:pPr>
              <w:spacing w:after="0" w:line="240" w:lineRule="auto"/>
              <w:jc w:val="center"/>
              <w:rPr>
                <w:rFonts w:ascii="Times New Roman" w:eastAsia="Malgun Gothic" w:hAnsi="Times New Roman" w:cs="Times New Roman"/>
                <w:sz w:val="22"/>
                <w:lang w:val="en-AU"/>
              </w:rPr>
            </w:pPr>
            <w:r w:rsidRPr="0025669D">
              <w:rPr>
                <w:rFonts w:ascii="Times New Roman" w:eastAsia="Malgun Gothic" w:hAnsi="Times New Roman" w:cs="Times New Roman"/>
                <w:sz w:val="22"/>
                <w:lang w:val="en-AU"/>
              </w:rPr>
              <w:t>87</w:t>
            </w:r>
          </w:p>
        </w:tc>
        <w:tc>
          <w:tcPr>
            <w:tcW w:w="517" w:type="pct"/>
            <w:tcBorders>
              <w:top w:val="nil"/>
              <w:bottom w:val="nil"/>
            </w:tcBorders>
            <w:vAlign w:val="center"/>
          </w:tcPr>
          <w:p w14:paraId="173118B5" w14:textId="77777777" w:rsidR="004A10AE" w:rsidRPr="0025669D" w:rsidRDefault="004A10AE" w:rsidP="007947DB">
            <w:pPr>
              <w:spacing w:after="0" w:line="240" w:lineRule="auto"/>
              <w:jc w:val="center"/>
              <w:rPr>
                <w:rFonts w:ascii="Times New Roman" w:eastAsia="Malgun Gothic" w:hAnsi="Times New Roman" w:cs="Times New Roman"/>
                <w:sz w:val="22"/>
                <w:lang w:val="en-AU"/>
              </w:rPr>
            </w:pPr>
            <w:r w:rsidRPr="0025669D">
              <w:rPr>
                <w:rFonts w:ascii="Times New Roman" w:eastAsia="Malgun Gothic" w:hAnsi="Times New Roman" w:cs="Times New Roman"/>
                <w:sz w:val="22"/>
                <w:lang w:val="en-AU"/>
              </w:rPr>
              <w:t>86</w:t>
            </w:r>
          </w:p>
        </w:tc>
        <w:tc>
          <w:tcPr>
            <w:tcW w:w="517" w:type="pct"/>
            <w:tcBorders>
              <w:top w:val="nil"/>
              <w:bottom w:val="nil"/>
            </w:tcBorders>
            <w:vAlign w:val="center"/>
          </w:tcPr>
          <w:p w14:paraId="518D957E" w14:textId="77777777" w:rsidR="004A10AE" w:rsidRPr="0025669D" w:rsidRDefault="004A10AE" w:rsidP="007947DB">
            <w:pPr>
              <w:spacing w:after="0" w:line="240" w:lineRule="auto"/>
              <w:jc w:val="center"/>
              <w:rPr>
                <w:rFonts w:ascii="Times New Roman" w:eastAsia="Malgun Gothic" w:hAnsi="Times New Roman" w:cs="Times New Roman"/>
                <w:sz w:val="22"/>
                <w:lang w:val="en-AU"/>
              </w:rPr>
            </w:pPr>
            <w:r w:rsidRPr="0025669D">
              <w:rPr>
                <w:rFonts w:ascii="Times New Roman" w:eastAsia="Malgun Gothic" w:hAnsi="Times New Roman" w:cs="Times New Roman"/>
                <w:sz w:val="22"/>
                <w:lang w:val="en-AU"/>
              </w:rPr>
              <w:t>85</w:t>
            </w:r>
          </w:p>
        </w:tc>
        <w:tc>
          <w:tcPr>
            <w:tcW w:w="517" w:type="pct"/>
            <w:tcBorders>
              <w:top w:val="nil"/>
              <w:bottom w:val="nil"/>
            </w:tcBorders>
            <w:vAlign w:val="center"/>
          </w:tcPr>
          <w:p w14:paraId="3FACF663" w14:textId="77777777" w:rsidR="004A10AE" w:rsidRPr="0025669D" w:rsidRDefault="004A10AE" w:rsidP="007947DB">
            <w:pPr>
              <w:spacing w:after="0" w:line="240" w:lineRule="auto"/>
              <w:jc w:val="center"/>
              <w:rPr>
                <w:rFonts w:ascii="Times New Roman" w:eastAsia="Malgun Gothic" w:hAnsi="Times New Roman" w:cs="Times New Roman"/>
                <w:sz w:val="22"/>
                <w:lang w:val="en-AU"/>
              </w:rPr>
            </w:pPr>
            <w:r w:rsidRPr="0025669D">
              <w:rPr>
                <w:rFonts w:ascii="Times New Roman" w:eastAsia="Malgun Gothic" w:hAnsi="Times New Roman" w:cs="Times New Roman"/>
                <w:sz w:val="22"/>
                <w:lang w:val="en-AU"/>
              </w:rPr>
              <w:t>87</w:t>
            </w:r>
          </w:p>
        </w:tc>
        <w:tc>
          <w:tcPr>
            <w:tcW w:w="517" w:type="pct"/>
            <w:tcBorders>
              <w:top w:val="nil"/>
              <w:bottom w:val="nil"/>
            </w:tcBorders>
            <w:vAlign w:val="center"/>
          </w:tcPr>
          <w:p w14:paraId="69751837" w14:textId="77777777" w:rsidR="004A10AE" w:rsidRPr="0025669D" w:rsidRDefault="004A10AE" w:rsidP="007947DB">
            <w:pPr>
              <w:spacing w:after="0" w:line="240" w:lineRule="auto"/>
              <w:jc w:val="center"/>
              <w:rPr>
                <w:rFonts w:ascii="Times New Roman" w:eastAsia="Malgun Gothic" w:hAnsi="Times New Roman" w:cs="Times New Roman"/>
                <w:sz w:val="22"/>
                <w:lang w:val="en-AU"/>
              </w:rPr>
            </w:pPr>
            <w:r w:rsidRPr="0025669D">
              <w:rPr>
                <w:rFonts w:ascii="Times New Roman" w:eastAsia="Malgun Gothic" w:hAnsi="Times New Roman" w:cs="Times New Roman"/>
                <w:sz w:val="22"/>
                <w:lang w:val="en-AU"/>
              </w:rPr>
              <w:t>81</w:t>
            </w:r>
          </w:p>
        </w:tc>
        <w:tc>
          <w:tcPr>
            <w:tcW w:w="658" w:type="pct"/>
            <w:tcBorders>
              <w:top w:val="nil"/>
              <w:bottom w:val="nil"/>
            </w:tcBorders>
            <w:vAlign w:val="center"/>
          </w:tcPr>
          <w:p w14:paraId="4C2EF788" w14:textId="77777777" w:rsidR="004A10AE" w:rsidRPr="0025669D" w:rsidRDefault="004A10AE" w:rsidP="007947DB">
            <w:pPr>
              <w:spacing w:after="0" w:line="240" w:lineRule="auto"/>
              <w:jc w:val="center"/>
              <w:rPr>
                <w:rFonts w:ascii="Times New Roman" w:eastAsia="Malgun Gothic" w:hAnsi="Times New Roman" w:cs="Times New Roman"/>
                <w:sz w:val="22"/>
                <w:lang w:val="en-AU"/>
              </w:rPr>
            </w:pPr>
            <w:r w:rsidRPr="0025669D">
              <w:rPr>
                <w:rFonts w:ascii="Times New Roman" w:eastAsia="Malgun Gothic" w:hAnsi="Times New Roman" w:cs="Times New Roman"/>
                <w:sz w:val="22"/>
                <w:lang w:val="en-AU"/>
              </w:rPr>
              <w:t>339</w:t>
            </w:r>
          </w:p>
        </w:tc>
      </w:tr>
      <w:tr w:rsidR="004A10AE" w:rsidRPr="0025669D" w14:paraId="76F1D241" w14:textId="77777777" w:rsidTr="005A4B0D">
        <w:trPr>
          <w:trHeight w:val="411"/>
        </w:trPr>
        <w:tc>
          <w:tcPr>
            <w:tcW w:w="1723" w:type="pct"/>
            <w:tcBorders>
              <w:top w:val="nil"/>
              <w:bottom w:val="single" w:sz="4" w:space="0" w:color="auto"/>
            </w:tcBorders>
            <w:vAlign w:val="center"/>
          </w:tcPr>
          <w:p w14:paraId="2B78FCCF" w14:textId="77777777" w:rsidR="004A10AE" w:rsidRPr="0025669D" w:rsidRDefault="004A10AE" w:rsidP="007947DB">
            <w:pPr>
              <w:spacing w:after="0" w:line="240" w:lineRule="auto"/>
              <w:jc w:val="left"/>
              <w:rPr>
                <w:rFonts w:ascii="Times New Roman" w:eastAsia="Malgun Gothic" w:hAnsi="Times New Roman" w:cs="Times New Roman"/>
                <w:sz w:val="22"/>
                <w:lang w:val="en-AU"/>
              </w:rPr>
            </w:pPr>
            <w:r w:rsidRPr="0025669D">
              <w:rPr>
                <w:rFonts w:ascii="Times New Roman" w:eastAsia="Malgun Gothic" w:hAnsi="Times New Roman" w:cs="Times New Roman"/>
                <w:sz w:val="22"/>
                <w:lang w:val="en-AU"/>
              </w:rPr>
              <w:t xml:space="preserve">Mean </w:t>
            </w:r>
            <w:r w:rsidRPr="0025669D">
              <w:rPr>
                <w:rFonts w:ascii="Times New Roman" w:eastAsia="Malgun Gothic" w:hAnsi="Times New Roman" w:cs="Times New Roman"/>
                <w:sz w:val="22"/>
                <w:lang w:val="en-AU"/>
              </w:rPr>
              <w:sym w:font="Symbol" w:char="F0B1"/>
            </w:r>
            <w:r w:rsidRPr="0025669D">
              <w:rPr>
                <w:rFonts w:ascii="Times New Roman" w:eastAsia="Malgun Gothic" w:hAnsi="Times New Roman" w:cs="Times New Roman"/>
                <w:sz w:val="22"/>
                <w:lang w:val="en-AU"/>
              </w:rPr>
              <w:t xml:space="preserve"> </w:t>
            </w:r>
            <w:proofErr w:type="spellStart"/>
            <w:r w:rsidRPr="0025669D">
              <w:rPr>
                <w:rFonts w:ascii="Times New Roman" w:eastAsia="Malgun Gothic" w:hAnsi="Times New Roman" w:cs="Times New Roman"/>
                <w:sz w:val="22"/>
                <w:lang w:val="en-AU"/>
              </w:rPr>
              <w:t>SD</w:t>
            </w:r>
            <w:r w:rsidRPr="0025669D">
              <w:rPr>
                <w:rFonts w:ascii="Times New Roman" w:eastAsia="Malgun Gothic" w:hAnsi="Times New Roman" w:cs="Times New Roman"/>
                <w:sz w:val="22"/>
                <w:vertAlign w:val="superscript"/>
                <w:lang w:val="en-AU"/>
              </w:rPr>
              <w:t>c</w:t>
            </w:r>
            <w:proofErr w:type="spellEnd"/>
          </w:p>
        </w:tc>
        <w:tc>
          <w:tcPr>
            <w:tcW w:w="551" w:type="pct"/>
            <w:tcBorders>
              <w:top w:val="nil"/>
              <w:bottom w:val="single" w:sz="4" w:space="0" w:color="auto"/>
            </w:tcBorders>
            <w:vAlign w:val="center"/>
          </w:tcPr>
          <w:p w14:paraId="5B87662B" w14:textId="77777777" w:rsidR="004A10AE" w:rsidRPr="0025669D" w:rsidRDefault="004A10AE" w:rsidP="007947DB">
            <w:pPr>
              <w:spacing w:after="0" w:line="240" w:lineRule="auto"/>
              <w:jc w:val="center"/>
              <w:rPr>
                <w:rFonts w:ascii="Times New Roman" w:eastAsia="Malgun Gothic" w:hAnsi="Times New Roman" w:cs="Times New Roman"/>
                <w:sz w:val="22"/>
                <w:lang w:val="en-AU"/>
              </w:rPr>
            </w:pPr>
            <w:r w:rsidRPr="0025669D">
              <w:rPr>
                <w:rFonts w:ascii="Times New Roman" w:eastAsia="Malgun Gothic" w:hAnsi="Times New Roman" w:cs="Times New Roman"/>
                <w:sz w:val="22"/>
                <w:lang w:val="en-AU"/>
              </w:rPr>
              <w:t>0.2 ± 0.3</w:t>
            </w:r>
          </w:p>
        </w:tc>
        <w:tc>
          <w:tcPr>
            <w:tcW w:w="517" w:type="pct"/>
            <w:tcBorders>
              <w:top w:val="nil"/>
              <w:bottom w:val="single" w:sz="4" w:space="0" w:color="auto"/>
            </w:tcBorders>
            <w:vAlign w:val="center"/>
          </w:tcPr>
          <w:p w14:paraId="746758B5" w14:textId="77777777" w:rsidR="004A10AE" w:rsidRPr="0025669D" w:rsidRDefault="004A10AE" w:rsidP="007947DB">
            <w:pPr>
              <w:spacing w:after="0" w:line="240" w:lineRule="auto"/>
              <w:jc w:val="center"/>
              <w:rPr>
                <w:rFonts w:ascii="Times New Roman" w:eastAsia="Malgun Gothic" w:hAnsi="Times New Roman" w:cs="Times New Roman"/>
                <w:sz w:val="22"/>
                <w:lang w:val="en-AU"/>
              </w:rPr>
            </w:pPr>
            <w:r w:rsidRPr="0025669D">
              <w:rPr>
                <w:rFonts w:ascii="Times New Roman" w:eastAsia="Malgun Gothic" w:hAnsi="Times New Roman" w:cs="Times New Roman"/>
                <w:sz w:val="22"/>
                <w:lang w:val="en-AU"/>
              </w:rPr>
              <w:t>0.4 ± 0.3</w:t>
            </w:r>
          </w:p>
        </w:tc>
        <w:tc>
          <w:tcPr>
            <w:tcW w:w="517" w:type="pct"/>
            <w:tcBorders>
              <w:top w:val="nil"/>
              <w:bottom w:val="single" w:sz="4" w:space="0" w:color="auto"/>
            </w:tcBorders>
            <w:vAlign w:val="center"/>
          </w:tcPr>
          <w:p w14:paraId="3BC316D5" w14:textId="77777777" w:rsidR="004A10AE" w:rsidRPr="0025669D" w:rsidRDefault="004A10AE" w:rsidP="007947DB">
            <w:pPr>
              <w:spacing w:after="0" w:line="240" w:lineRule="auto"/>
              <w:jc w:val="center"/>
              <w:rPr>
                <w:rFonts w:ascii="Times New Roman" w:eastAsia="Malgun Gothic" w:hAnsi="Times New Roman" w:cs="Times New Roman"/>
                <w:sz w:val="22"/>
                <w:lang w:val="en-AU"/>
              </w:rPr>
            </w:pPr>
            <w:r w:rsidRPr="0025669D">
              <w:rPr>
                <w:rFonts w:ascii="Times New Roman" w:eastAsia="Malgun Gothic" w:hAnsi="Times New Roman" w:cs="Times New Roman"/>
                <w:sz w:val="22"/>
                <w:lang w:val="en-AU"/>
              </w:rPr>
              <w:t>0.5 ± 0.4</w:t>
            </w:r>
          </w:p>
        </w:tc>
        <w:tc>
          <w:tcPr>
            <w:tcW w:w="517" w:type="pct"/>
            <w:tcBorders>
              <w:top w:val="nil"/>
              <w:bottom w:val="single" w:sz="4" w:space="0" w:color="auto"/>
            </w:tcBorders>
            <w:vAlign w:val="center"/>
          </w:tcPr>
          <w:p w14:paraId="464FC59E" w14:textId="77777777" w:rsidR="004A10AE" w:rsidRPr="0025669D" w:rsidRDefault="004A10AE" w:rsidP="007947DB">
            <w:pPr>
              <w:spacing w:after="0" w:line="240" w:lineRule="auto"/>
              <w:jc w:val="center"/>
              <w:rPr>
                <w:rFonts w:ascii="Times New Roman" w:eastAsia="Malgun Gothic" w:hAnsi="Times New Roman" w:cs="Times New Roman"/>
                <w:sz w:val="22"/>
                <w:lang w:val="en-AU"/>
              </w:rPr>
            </w:pPr>
            <w:r w:rsidRPr="0025669D">
              <w:rPr>
                <w:rFonts w:ascii="Times New Roman" w:eastAsia="Malgun Gothic" w:hAnsi="Times New Roman" w:cs="Times New Roman"/>
                <w:sz w:val="22"/>
                <w:lang w:val="en-AU"/>
              </w:rPr>
              <w:t>0.5 ± 0.5</w:t>
            </w:r>
          </w:p>
        </w:tc>
        <w:tc>
          <w:tcPr>
            <w:tcW w:w="517" w:type="pct"/>
            <w:tcBorders>
              <w:top w:val="nil"/>
              <w:bottom w:val="single" w:sz="4" w:space="0" w:color="auto"/>
            </w:tcBorders>
            <w:vAlign w:val="center"/>
          </w:tcPr>
          <w:p w14:paraId="7D5D08E0" w14:textId="77777777" w:rsidR="004A10AE" w:rsidRPr="0025669D" w:rsidRDefault="004A10AE" w:rsidP="007947DB">
            <w:pPr>
              <w:spacing w:after="0" w:line="240" w:lineRule="auto"/>
              <w:jc w:val="center"/>
              <w:rPr>
                <w:rFonts w:ascii="Times New Roman" w:eastAsia="Malgun Gothic" w:hAnsi="Times New Roman" w:cs="Times New Roman"/>
                <w:sz w:val="22"/>
                <w:lang w:val="en-AU"/>
              </w:rPr>
            </w:pPr>
            <w:r w:rsidRPr="0025669D">
              <w:rPr>
                <w:rFonts w:ascii="Times New Roman" w:eastAsia="Malgun Gothic" w:hAnsi="Times New Roman" w:cs="Times New Roman"/>
                <w:sz w:val="22"/>
                <w:lang w:val="en-AU"/>
              </w:rPr>
              <w:t>0.4 ± 0.4</w:t>
            </w:r>
          </w:p>
        </w:tc>
        <w:tc>
          <w:tcPr>
            <w:tcW w:w="658" w:type="pct"/>
            <w:tcBorders>
              <w:top w:val="nil"/>
              <w:bottom w:val="single" w:sz="4" w:space="0" w:color="auto"/>
            </w:tcBorders>
            <w:vAlign w:val="center"/>
          </w:tcPr>
          <w:p w14:paraId="752A6857" w14:textId="77777777" w:rsidR="004A10AE" w:rsidRPr="0025669D" w:rsidRDefault="004A10AE" w:rsidP="007947DB">
            <w:pPr>
              <w:spacing w:after="0" w:line="240" w:lineRule="auto"/>
              <w:jc w:val="center"/>
              <w:rPr>
                <w:rFonts w:ascii="Times New Roman" w:eastAsia="Malgun Gothic" w:hAnsi="Times New Roman" w:cs="Times New Roman"/>
                <w:sz w:val="22"/>
                <w:lang w:val="en-AU"/>
              </w:rPr>
            </w:pPr>
            <w:r w:rsidRPr="0025669D">
              <w:rPr>
                <w:rFonts w:ascii="Times New Roman" w:eastAsia="Malgun Gothic" w:hAnsi="Times New Roman" w:cs="Times New Roman"/>
                <w:sz w:val="22"/>
                <w:lang w:val="en-AU"/>
              </w:rPr>
              <w:t>0.4 ± 0.4</w:t>
            </w:r>
          </w:p>
        </w:tc>
      </w:tr>
      <w:tr w:rsidR="004A10AE" w:rsidRPr="0025669D" w14:paraId="69F750A9" w14:textId="77777777" w:rsidTr="005A4B0D">
        <w:trPr>
          <w:cantSplit/>
          <w:trHeight w:val="360"/>
        </w:trPr>
        <w:tc>
          <w:tcPr>
            <w:tcW w:w="5000" w:type="pct"/>
            <w:gridSpan w:val="7"/>
            <w:tcBorders>
              <w:top w:val="nil"/>
              <w:bottom w:val="nil"/>
            </w:tcBorders>
            <w:vAlign w:val="center"/>
          </w:tcPr>
          <w:p w14:paraId="361C032C" w14:textId="77777777" w:rsidR="004A10AE" w:rsidRPr="0025669D" w:rsidRDefault="004A10AE" w:rsidP="007947DB">
            <w:pPr>
              <w:pStyle w:val="NoSpacing"/>
              <w:jc w:val="left"/>
              <w:rPr>
                <w:rFonts w:ascii="Times New Roman" w:eastAsia="Malgun Gothic" w:hAnsi="Times New Roman" w:cs="Times New Roman"/>
                <w:szCs w:val="20"/>
                <w:lang w:val="en-AU"/>
              </w:rPr>
            </w:pPr>
            <w:proofErr w:type="gramStart"/>
            <w:r w:rsidRPr="0025669D">
              <w:rPr>
                <w:rFonts w:ascii="Times New Roman" w:eastAsia="Malgun Gothic" w:hAnsi="Times New Roman" w:cs="Times New Roman"/>
                <w:szCs w:val="20"/>
                <w:lang w:val="en-AU"/>
              </w:rPr>
              <w:lastRenderedPageBreak/>
              <w:t>a</w:t>
            </w:r>
            <w:proofErr w:type="gramEnd"/>
            <w:r w:rsidRPr="0025669D">
              <w:rPr>
                <w:rFonts w:ascii="Times New Roman" w:eastAsia="Malgun Gothic" w:hAnsi="Times New Roman" w:cs="Times New Roman"/>
                <w:szCs w:val="20"/>
                <w:lang w:val="en-AU"/>
              </w:rPr>
              <w:t>: control = All patients had active RA despite treatment with stable methotrexate doses for 6 months prior to enrolment and were to remain on stable doses throughout the study. Concurrent use of stable doses of oral corticosteroids (</w:t>
            </w:r>
            <w:r w:rsidRPr="0025669D">
              <w:rPr>
                <w:rFonts w:ascii="Times New Roman" w:eastAsia="Malgun Gothic" w:hAnsi="Times New Roman" w:cs="Times New Roman"/>
                <w:szCs w:val="20"/>
                <w:lang w:val="en-AU"/>
              </w:rPr>
              <w:sym w:font="Symbol" w:char="F0A3"/>
            </w:r>
            <w:r w:rsidRPr="0025669D">
              <w:rPr>
                <w:rFonts w:ascii="Times New Roman" w:eastAsia="Malgun Gothic" w:hAnsi="Times New Roman" w:cs="Times New Roman"/>
                <w:szCs w:val="20"/>
                <w:lang w:val="en-AU"/>
              </w:rPr>
              <w:t> 10 mg/day) and/or non-steroidal anti-inflammatory drugs was permitted, and folate supplementation was given.</w:t>
            </w:r>
          </w:p>
          <w:p w14:paraId="6BB276B0" w14:textId="77777777" w:rsidR="004A10AE" w:rsidRPr="0025669D" w:rsidRDefault="004A10AE" w:rsidP="007947DB">
            <w:pPr>
              <w:pStyle w:val="NoSpacing"/>
              <w:jc w:val="left"/>
              <w:rPr>
                <w:rFonts w:ascii="Times New Roman" w:eastAsia="Malgun Gothic" w:hAnsi="Times New Roman" w:cs="Times New Roman"/>
                <w:szCs w:val="20"/>
                <w:lang w:val="en-AU"/>
              </w:rPr>
            </w:pPr>
            <w:r w:rsidRPr="0025669D">
              <w:rPr>
                <w:rFonts w:ascii="Times New Roman" w:eastAsia="Malgun Gothic" w:hAnsi="Times New Roman" w:cs="Times New Roman"/>
                <w:szCs w:val="20"/>
                <w:lang w:val="en-AU"/>
              </w:rPr>
              <w:t>b: all infliximab doses given in combination with methotrexate and folate with some on corticosteroids and/or non-steroidal anti-inflammatory drugs</w:t>
            </w:r>
          </w:p>
          <w:p w14:paraId="3880379F" w14:textId="77777777" w:rsidR="004A10AE" w:rsidRPr="0025669D" w:rsidRDefault="004A10AE" w:rsidP="007947DB">
            <w:pPr>
              <w:pStyle w:val="NoSpacing"/>
              <w:jc w:val="left"/>
              <w:rPr>
                <w:rFonts w:ascii="Times New Roman" w:eastAsia="Malgun Gothic" w:hAnsi="Times New Roman" w:cs="Times New Roman"/>
                <w:szCs w:val="20"/>
                <w:lang w:val="en-AU"/>
              </w:rPr>
            </w:pPr>
            <w:r w:rsidRPr="0025669D">
              <w:rPr>
                <w:rFonts w:ascii="Times New Roman" w:eastAsia="Malgun Gothic" w:hAnsi="Times New Roman" w:cs="Times New Roman"/>
                <w:szCs w:val="20"/>
                <w:lang w:val="en-AU"/>
              </w:rPr>
              <w:t>c: p &lt; 0.001, for each infliximab treatment group vs. control</w:t>
            </w:r>
          </w:p>
          <w:p w14:paraId="29E2A801" w14:textId="77777777" w:rsidR="004A10AE" w:rsidRPr="0025669D" w:rsidRDefault="004A10AE" w:rsidP="007947DB">
            <w:pPr>
              <w:pStyle w:val="NoSpacing"/>
              <w:jc w:val="left"/>
              <w:rPr>
                <w:rFonts w:ascii="Times New Roman" w:eastAsia="Malgun Gothic" w:hAnsi="Times New Roman" w:cs="Times New Roman"/>
                <w:szCs w:val="20"/>
                <w:lang w:val="en-AU"/>
              </w:rPr>
            </w:pPr>
            <w:proofErr w:type="gramStart"/>
            <w:r w:rsidRPr="0025669D">
              <w:rPr>
                <w:rFonts w:ascii="Times New Roman" w:eastAsia="Malgun Gothic" w:hAnsi="Times New Roman" w:cs="Times New Roman"/>
                <w:szCs w:val="20"/>
                <w:lang w:val="en-AU"/>
              </w:rPr>
              <w:t>d</w:t>
            </w:r>
            <w:proofErr w:type="gramEnd"/>
            <w:r w:rsidRPr="0025669D">
              <w:rPr>
                <w:rFonts w:ascii="Times New Roman" w:eastAsia="Malgun Gothic" w:hAnsi="Times New Roman" w:cs="Times New Roman"/>
                <w:szCs w:val="20"/>
                <w:lang w:val="en-AU"/>
              </w:rPr>
              <w:t>: greater values indicate more joint damage.</w:t>
            </w:r>
          </w:p>
          <w:p w14:paraId="7753EEA6" w14:textId="77777777" w:rsidR="004A10AE" w:rsidRPr="0025669D" w:rsidRDefault="004A10AE" w:rsidP="007947DB">
            <w:pPr>
              <w:pStyle w:val="NoSpacing"/>
              <w:jc w:val="left"/>
              <w:rPr>
                <w:rFonts w:ascii="Times New Roman" w:eastAsia="Malgun Gothic" w:hAnsi="Times New Roman" w:cs="Times New Roman"/>
                <w:szCs w:val="20"/>
                <w:vertAlign w:val="superscript"/>
                <w:lang w:val="en-AU"/>
              </w:rPr>
            </w:pPr>
            <w:proofErr w:type="gramStart"/>
            <w:r w:rsidRPr="0025669D">
              <w:rPr>
                <w:rFonts w:ascii="Times New Roman" w:eastAsia="Malgun Gothic" w:hAnsi="Times New Roman" w:cs="Times New Roman"/>
                <w:szCs w:val="20"/>
                <w:lang w:val="en-AU"/>
              </w:rPr>
              <w:t>e</w:t>
            </w:r>
            <w:proofErr w:type="gramEnd"/>
            <w:r w:rsidRPr="0025669D">
              <w:rPr>
                <w:rFonts w:ascii="Times New Roman" w:eastAsia="Malgun Gothic" w:hAnsi="Times New Roman" w:cs="Times New Roman"/>
                <w:szCs w:val="20"/>
                <w:lang w:val="en-AU"/>
              </w:rPr>
              <w:t>: HAQ = Health Assessment Questionnaire; greater values indicate less disability.</w:t>
            </w:r>
          </w:p>
        </w:tc>
      </w:tr>
    </w:tbl>
    <w:p w14:paraId="2F34AF08" w14:textId="77777777" w:rsidR="00C97549" w:rsidRDefault="00C97549" w:rsidP="007947DB">
      <w:pPr>
        <w:spacing w:line="240" w:lineRule="auto"/>
        <w:jc w:val="left"/>
        <w:rPr>
          <w:rFonts w:ascii="Times New Roman" w:eastAsia="Malgun Gothic" w:hAnsi="Times New Roman" w:cs="Times New Roman"/>
          <w:sz w:val="22"/>
        </w:rPr>
      </w:pPr>
    </w:p>
    <w:p w14:paraId="1F720F58" w14:textId="54D350CF" w:rsidR="004A10AE" w:rsidRPr="0025669D" w:rsidRDefault="004A10AE" w:rsidP="00C97549">
      <w:pPr>
        <w:spacing w:line="240" w:lineRule="auto"/>
        <w:jc w:val="left"/>
        <w:rPr>
          <w:rFonts w:ascii="Times New Roman" w:eastAsia="Malgun Gothic" w:hAnsi="Times New Roman" w:cs="Times New Roman"/>
          <w:sz w:val="24"/>
          <w:szCs w:val="24"/>
        </w:rPr>
      </w:pPr>
      <w:r w:rsidRPr="0025669D">
        <w:rPr>
          <w:rFonts w:ascii="Times New Roman" w:eastAsia="Malgun Gothic" w:hAnsi="Times New Roman" w:cs="Times New Roman"/>
          <w:sz w:val="24"/>
          <w:szCs w:val="24"/>
        </w:rPr>
        <w:t xml:space="preserve">The ASPIRE trial evaluated responses at 54 weeks in 1004 methotrexate naive patients with early (≤3 years disease duration) active rheumatoid arthritis. Patients </w:t>
      </w:r>
      <w:proofErr w:type="spellStart"/>
      <w:r w:rsidRPr="0025669D">
        <w:rPr>
          <w:rFonts w:ascii="Times New Roman" w:eastAsia="Malgun Gothic" w:hAnsi="Times New Roman" w:cs="Times New Roman"/>
          <w:sz w:val="24"/>
          <w:szCs w:val="24"/>
        </w:rPr>
        <w:t>randomised</w:t>
      </w:r>
      <w:proofErr w:type="spellEnd"/>
      <w:r w:rsidRPr="0025669D">
        <w:rPr>
          <w:rFonts w:ascii="Times New Roman" w:eastAsia="Malgun Gothic" w:hAnsi="Times New Roman" w:cs="Times New Roman"/>
          <w:sz w:val="24"/>
          <w:szCs w:val="24"/>
        </w:rPr>
        <w:t xml:space="preserve"> had a median age of 51 years with </w:t>
      </w:r>
      <w:proofErr w:type="gramStart"/>
      <w:r w:rsidRPr="0025669D">
        <w:rPr>
          <w:rFonts w:ascii="Times New Roman" w:eastAsia="Malgun Gothic" w:hAnsi="Times New Roman" w:cs="Times New Roman"/>
          <w:sz w:val="24"/>
          <w:szCs w:val="24"/>
        </w:rPr>
        <w:t>a median</w:t>
      </w:r>
      <w:proofErr w:type="gramEnd"/>
      <w:r w:rsidRPr="0025669D">
        <w:rPr>
          <w:rFonts w:ascii="Times New Roman" w:eastAsia="Malgun Gothic" w:hAnsi="Times New Roman" w:cs="Times New Roman"/>
          <w:sz w:val="24"/>
          <w:szCs w:val="24"/>
        </w:rPr>
        <w:t xml:space="preserve"> disease duration of 0.6 years, and median swollen and tender joint count of 19 and 31, respectively. All patients received methotrexate (</w:t>
      </w:r>
      <w:proofErr w:type="spellStart"/>
      <w:r w:rsidRPr="0025669D">
        <w:rPr>
          <w:rFonts w:ascii="Times New Roman" w:eastAsia="Malgun Gothic" w:hAnsi="Times New Roman" w:cs="Times New Roman"/>
          <w:sz w:val="24"/>
          <w:szCs w:val="24"/>
        </w:rPr>
        <w:t>optimised</w:t>
      </w:r>
      <w:proofErr w:type="spellEnd"/>
      <w:r w:rsidRPr="0025669D">
        <w:rPr>
          <w:rFonts w:ascii="Times New Roman" w:eastAsia="Malgun Gothic" w:hAnsi="Times New Roman" w:cs="Times New Roman"/>
          <w:sz w:val="24"/>
          <w:szCs w:val="24"/>
        </w:rPr>
        <w:t xml:space="preserve"> to 20 mg/</w:t>
      </w:r>
      <w:proofErr w:type="spellStart"/>
      <w:r w:rsidRPr="0025669D">
        <w:rPr>
          <w:rFonts w:ascii="Times New Roman" w:eastAsia="Malgun Gothic" w:hAnsi="Times New Roman" w:cs="Times New Roman"/>
          <w:sz w:val="24"/>
          <w:szCs w:val="24"/>
        </w:rPr>
        <w:t>wk</w:t>
      </w:r>
      <w:proofErr w:type="spellEnd"/>
      <w:r w:rsidRPr="0025669D">
        <w:rPr>
          <w:rFonts w:ascii="Times New Roman" w:eastAsia="Malgun Gothic" w:hAnsi="Times New Roman" w:cs="Times New Roman"/>
          <w:sz w:val="24"/>
          <w:szCs w:val="24"/>
        </w:rPr>
        <w:t xml:space="preserve"> by week 8) and either placebo, 3 mg/kg or 6 mg/kg infliximab at weeks 0, 2, and 6 and every 8 weeks thereafter. Results from week 54 are shown in </w:t>
      </w:r>
      <w:r w:rsidRPr="00363C91">
        <w:rPr>
          <w:rFonts w:ascii="Times New Roman" w:eastAsia="Malgun Gothic" w:hAnsi="Times New Roman" w:cs="Times New Roman"/>
          <w:sz w:val="24"/>
          <w:szCs w:val="24"/>
        </w:rPr>
        <w:fldChar w:fldCharType="begin"/>
      </w:r>
      <w:r w:rsidRPr="00363C91">
        <w:rPr>
          <w:rFonts w:ascii="Times New Roman" w:eastAsia="Malgun Gothic" w:hAnsi="Times New Roman" w:cs="Times New Roman"/>
          <w:sz w:val="24"/>
          <w:szCs w:val="24"/>
        </w:rPr>
        <w:instrText xml:space="preserve"> REF _Ref423967725 \h </w:instrText>
      </w:r>
      <w:r>
        <w:rPr>
          <w:rFonts w:ascii="Times New Roman" w:eastAsia="Malgun Gothic" w:hAnsi="Times New Roman" w:cs="Times New Roman"/>
          <w:sz w:val="24"/>
          <w:szCs w:val="24"/>
        </w:rPr>
        <w:instrText xml:space="preserve"> \* MERGEFORMAT </w:instrText>
      </w:r>
      <w:r w:rsidRPr="00363C91">
        <w:rPr>
          <w:rFonts w:ascii="Times New Roman" w:eastAsia="Malgun Gothic" w:hAnsi="Times New Roman" w:cs="Times New Roman"/>
          <w:sz w:val="24"/>
          <w:szCs w:val="24"/>
        </w:rPr>
      </w:r>
      <w:r w:rsidRPr="00363C91">
        <w:rPr>
          <w:rFonts w:ascii="Times New Roman" w:eastAsia="Malgun Gothic" w:hAnsi="Times New Roman" w:cs="Times New Roman"/>
          <w:sz w:val="24"/>
          <w:szCs w:val="24"/>
        </w:rPr>
        <w:fldChar w:fldCharType="separate"/>
      </w:r>
      <w:r w:rsidR="005A6BF4" w:rsidRPr="005A6BF4">
        <w:rPr>
          <w:rFonts w:ascii="Times New Roman" w:eastAsia="Malgun Gothic" w:hAnsi="Times New Roman" w:cs="Times New Roman"/>
          <w:sz w:val="24"/>
          <w:szCs w:val="24"/>
        </w:rPr>
        <w:t>Table 3</w:t>
      </w:r>
      <w:r w:rsidRPr="00363C91">
        <w:rPr>
          <w:rFonts w:ascii="Times New Roman" w:eastAsia="Malgun Gothic" w:hAnsi="Times New Roman" w:cs="Times New Roman"/>
          <w:sz w:val="24"/>
          <w:szCs w:val="24"/>
        </w:rPr>
        <w:fldChar w:fldCharType="end"/>
      </w:r>
      <w:r w:rsidRPr="0025669D">
        <w:rPr>
          <w:rFonts w:ascii="Times New Roman" w:eastAsia="Malgun Gothic" w:hAnsi="Times New Roman" w:cs="Times New Roman"/>
          <w:sz w:val="24"/>
          <w:szCs w:val="24"/>
        </w:rPr>
        <w:t xml:space="preserve">. </w:t>
      </w:r>
    </w:p>
    <w:p w14:paraId="75C37636" w14:textId="77777777" w:rsidR="004A10AE" w:rsidRPr="0025669D" w:rsidRDefault="004A10AE" w:rsidP="007947DB">
      <w:pPr>
        <w:spacing w:line="240" w:lineRule="auto"/>
        <w:jc w:val="left"/>
        <w:rPr>
          <w:rFonts w:ascii="Times New Roman" w:eastAsia="Malgun Gothic" w:hAnsi="Times New Roman" w:cs="Times New Roman"/>
          <w:sz w:val="24"/>
          <w:szCs w:val="24"/>
        </w:rPr>
      </w:pPr>
      <w:r w:rsidRPr="0025669D">
        <w:rPr>
          <w:rFonts w:ascii="Times New Roman" w:eastAsia="Malgun Gothic" w:hAnsi="Times New Roman" w:cs="Times New Roman"/>
          <w:sz w:val="24"/>
          <w:szCs w:val="24"/>
        </w:rPr>
        <w:t xml:space="preserve">In this trial, infusions were to be administered over 2 hours for the first 3 infusions. The duration of subsequent infusions could be shortened to not less than 40 minutes in patients who did not experience serious infusion reactions. Sixty-six per cent of the patients received at least one shortened infusion of 90 minutes or less and 44% received at least one shortened infusion of 60 minutes or less. </w:t>
      </w:r>
    </w:p>
    <w:p w14:paraId="669AEE40" w14:textId="77777777" w:rsidR="004A10AE" w:rsidRPr="0025669D" w:rsidRDefault="004A10AE" w:rsidP="007947DB">
      <w:pPr>
        <w:spacing w:line="240" w:lineRule="auto"/>
        <w:jc w:val="left"/>
        <w:rPr>
          <w:rFonts w:ascii="Times New Roman" w:eastAsia="Malgun Gothic" w:hAnsi="Times New Roman" w:cs="Times New Roman"/>
          <w:sz w:val="24"/>
          <w:szCs w:val="24"/>
        </w:rPr>
      </w:pPr>
      <w:r w:rsidRPr="0025669D">
        <w:rPr>
          <w:rFonts w:ascii="Times New Roman" w:eastAsia="Malgun Gothic" w:hAnsi="Times New Roman" w:cs="Times New Roman"/>
          <w:sz w:val="24"/>
          <w:szCs w:val="24"/>
        </w:rPr>
        <w:t xml:space="preserve">After 54 weeks of treatment, both doses of infliximab + methotrexate resulted in statistically significantly greater improvement in signs and symptoms compared to methotrexate alone as measured by the proportion of patients achieving ACR20, 50 and 70 responses. </w:t>
      </w:r>
    </w:p>
    <w:p w14:paraId="60B2F805" w14:textId="77777777" w:rsidR="004A10AE" w:rsidRPr="0025669D" w:rsidRDefault="004A10AE" w:rsidP="007947DB">
      <w:pPr>
        <w:spacing w:line="240" w:lineRule="auto"/>
        <w:jc w:val="left"/>
        <w:rPr>
          <w:rFonts w:ascii="Times New Roman" w:eastAsia="Malgun Gothic" w:hAnsi="Times New Roman" w:cs="Times New Roman"/>
          <w:sz w:val="24"/>
          <w:szCs w:val="24"/>
        </w:rPr>
      </w:pPr>
      <w:r w:rsidRPr="0025669D">
        <w:rPr>
          <w:rFonts w:ascii="Times New Roman" w:eastAsia="Malgun Gothic" w:hAnsi="Times New Roman" w:cs="Times New Roman"/>
          <w:sz w:val="24"/>
          <w:szCs w:val="24"/>
        </w:rPr>
        <w:t xml:space="preserve">In </w:t>
      </w:r>
      <w:proofErr w:type="gramStart"/>
      <w:r w:rsidRPr="0025669D">
        <w:rPr>
          <w:rFonts w:ascii="Times New Roman" w:eastAsia="Malgun Gothic" w:hAnsi="Times New Roman" w:cs="Times New Roman"/>
          <w:sz w:val="24"/>
          <w:szCs w:val="24"/>
        </w:rPr>
        <w:t>ASPIRE,</w:t>
      </w:r>
      <w:proofErr w:type="gramEnd"/>
      <w:r w:rsidRPr="0025669D">
        <w:rPr>
          <w:rFonts w:ascii="Times New Roman" w:eastAsia="Malgun Gothic" w:hAnsi="Times New Roman" w:cs="Times New Roman"/>
          <w:sz w:val="24"/>
          <w:szCs w:val="24"/>
        </w:rPr>
        <w:t xml:space="preserve"> more than 90% of patients had at least two evaluable x-rays. Reduction in the rate of progression of structural damage was observed at weeks 30 and 54 in the infliximab + methotrexate groups compared to methotrexate alone.</w:t>
      </w:r>
    </w:p>
    <w:p w14:paraId="4CE1D1CD" w14:textId="554B783C" w:rsidR="004A10AE" w:rsidRPr="0013796B" w:rsidRDefault="004A10AE" w:rsidP="007947DB">
      <w:pPr>
        <w:pStyle w:val="Caption"/>
        <w:keepNext/>
        <w:spacing w:after="0" w:line="240" w:lineRule="auto"/>
        <w:rPr>
          <w:rFonts w:ascii="Times New Roman" w:hAnsi="Times New Roman" w:cs="Times New Roman"/>
          <w:sz w:val="22"/>
          <w:szCs w:val="22"/>
        </w:rPr>
      </w:pPr>
      <w:bookmarkStart w:id="3" w:name="_Ref423967725"/>
      <w:proofErr w:type="gramStart"/>
      <w:r w:rsidRPr="0013796B">
        <w:rPr>
          <w:rFonts w:ascii="Times New Roman" w:hAnsi="Times New Roman" w:cs="Times New Roman"/>
          <w:sz w:val="22"/>
          <w:szCs w:val="22"/>
        </w:rPr>
        <w:t xml:space="preserve">Table </w:t>
      </w:r>
      <w:r w:rsidRPr="0013796B">
        <w:rPr>
          <w:rFonts w:ascii="Times New Roman" w:hAnsi="Times New Roman" w:cs="Times New Roman"/>
          <w:sz w:val="22"/>
          <w:szCs w:val="22"/>
        </w:rPr>
        <w:fldChar w:fldCharType="begin"/>
      </w:r>
      <w:r w:rsidRPr="0013796B">
        <w:rPr>
          <w:rFonts w:ascii="Times New Roman" w:hAnsi="Times New Roman" w:cs="Times New Roman"/>
          <w:sz w:val="22"/>
          <w:szCs w:val="22"/>
        </w:rPr>
        <w:instrText xml:space="preserve"> SEQ Table \* ARABIC </w:instrText>
      </w:r>
      <w:r w:rsidRPr="0013796B">
        <w:rPr>
          <w:rFonts w:ascii="Times New Roman" w:hAnsi="Times New Roman" w:cs="Times New Roman"/>
          <w:sz w:val="22"/>
          <w:szCs w:val="22"/>
        </w:rPr>
        <w:fldChar w:fldCharType="separate"/>
      </w:r>
      <w:r w:rsidR="005A6BF4">
        <w:rPr>
          <w:rFonts w:ascii="Times New Roman" w:hAnsi="Times New Roman" w:cs="Times New Roman"/>
          <w:noProof/>
          <w:sz w:val="22"/>
          <w:szCs w:val="22"/>
        </w:rPr>
        <w:t>3</w:t>
      </w:r>
      <w:r w:rsidRPr="0013796B">
        <w:rPr>
          <w:rFonts w:ascii="Times New Roman" w:hAnsi="Times New Roman" w:cs="Times New Roman"/>
          <w:sz w:val="22"/>
          <w:szCs w:val="22"/>
        </w:rPr>
        <w:fldChar w:fldCharType="end"/>
      </w:r>
      <w:bookmarkEnd w:id="3"/>
      <w:r w:rsidRPr="0013796B">
        <w:rPr>
          <w:rFonts w:ascii="Times New Roman" w:hAnsi="Times New Roman" w:cs="Times New Roman"/>
          <w:sz w:val="22"/>
          <w:szCs w:val="22"/>
        </w:rPr>
        <w:t>.</w:t>
      </w:r>
      <w:proofErr w:type="gramEnd"/>
      <w:r w:rsidRPr="0013796B">
        <w:rPr>
          <w:rFonts w:ascii="Times New Roman" w:hAnsi="Times New Roman" w:cs="Times New Roman"/>
          <w:sz w:val="22"/>
          <w:szCs w:val="22"/>
        </w:rPr>
        <w:t xml:space="preserve"> </w:t>
      </w:r>
      <w:r w:rsidRPr="007947DB">
        <w:rPr>
          <w:rFonts w:ascii="Times New Roman" w:hAnsi="Times New Roman" w:cs="Times New Roman"/>
          <w:sz w:val="22"/>
          <w:szCs w:val="22"/>
        </w:rPr>
        <w:t xml:space="preserve">Effects on </w:t>
      </w:r>
      <w:proofErr w:type="spellStart"/>
      <w:r w:rsidRPr="007947DB">
        <w:rPr>
          <w:rFonts w:ascii="Times New Roman" w:hAnsi="Times New Roman" w:cs="Times New Roman"/>
          <w:sz w:val="22"/>
          <w:szCs w:val="22"/>
        </w:rPr>
        <w:t>ACRn</w:t>
      </w:r>
      <w:proofErr w:type="spellEnd"/>
      <w:r w:rsidRPr="007947DB">
        <w:rPr>
          <w:rFonts w:ascii="Times New Roman" w:hAnsi="Times New Roman" w:cs="Times New Roman"/>
          <w:sz w:val="22"/>
          <w:szCs w:val="22"/>
        </w:rPr>
        <w:t>, Structural Joint Damage and Physical Function at week 54, ASPIRE</w:t>
      </w:r>
    </w:p>
    <w:tbl>
      <w:tblPr>
        <w:tblW w:w="9045" w:type="dxa"/>
        <w:jc w:val="center"/>
        <w:tblLayout w:type="fixed"/>
        <w:tblCellMar>
          <w:left w:w="0" w:type="dxa"/>
          <w:right w:w="0" w:type="dxa"/>
        </w:tblCellMar>
        <w:tblLook w:val="0000" w:firstRow="0" w:lastRow="0" w:firstColumn="0" w:lastColumn="0" w:noHBand="0" w:noVBand="0"/>
      </w:tblPr>
      <w:tblGrid>
        <w:gridCol w:w="3531"/>
        <w:gridCol w:w="1559"/>
        <w:gridCol w:w="1276"/>
        <w:gridCol w:w="1276"/>
        <w:gridCol w:w="1403"/>
      </w:tblGrid>
      <w:tr w:rsidR="004A10AE" w:rsidRPr="0025669D" w14:paraId="1799DA3B" w14:textId="77777777" w:rsidTr="005A4B0D">
        <w:trPr>
          <w:cantSplit/>
          <w:trHeight w:val="320"/>
          <w:jc w:val="center"/>
        </w:trPr>
        <w:tc>
          <w:tcPr>
            <w:tcW w:w="3531" w:type="dxa"/>
            <w:tcBorders>
              <w:top w:val="single" w:sz="12" w:space="0" w:color="auto"/>
              <w:left w:val="nil"/>
              <w:right w:val="nil"/>
            </w:tcBorders>
            <w:vAlign w:val="bottom"/>
          </w:tcPr>
          <w:p w14:paraId="0E3A743A" w14:textId="77777777" w:rsidR="004A10AE" w:rsidRPr="0025669D" w:rsidRDefault="004A10AE" w:rsidP="007947DB">
            <w:pPr>
              <w:spacing w:after="0" w:line="240" w:lineRule="auto"/>
              <w:jc w:val="left"/>
              <w:rPr>
                <w:rFonts w:ascii="Times New Roman" w:eastAsia="Malgun Gothic" w:hAnsi="Times New Roman" w:cs="Times New Roman"/>
                <w:sz w:val="22"/>
                <w:lang w:val="en-GB"/>
              </w:rPr>
            </w:pPr>
          </w:p>
        </w:tc>
        <w:tc>
          <w:tcPr>
            <w:tcW w:w="1559" w:type="dxa"/>
            <w:tcBorders>
              <w:top w:val="single" w:sz="12" w:space="0" w:color="auto"/>
              <w:left w:val="nil"/>
              <w:right w:val="nil"/>
            </w:tcBorders>
            <w:vAlign w:val="center"/>
          </w:tcPr>
          <w:p w14:paraId="738984DF" w14:textId="77777777" w:rsidR="004A10AE" w:rsidRPr="0025669D" w:rsidRDefault="004A10AE" w:rsidP="007947DB">
            <w:pPr>
              <w:spacing w:after="0" w:line="240" w:lineRule="auto"/>
              <w:jc w:val="center"/>
              <w:rPr>
                <w:rFonts w:ascii="Times New Roman" w:eastAsia="Malgun Gothic" w:hAnsi="Times New Roman" w:cs="Times New Roman"/>
                <w:sz w:val="22"/>
                <w:lang w:val="en-GB"/>
              </w:rPr>
            </w:pPr>
            <w:r w:rsidRPr="0025669D">
              <w:rPr>
                <w:rFonts w:ascii="Times New Roman" w:eastAsia="Malgun Gothic" w:hAnsi="Times New Roman" w:cs="Times New Roman"/>
                <w:sz w:val="22"/>
                <w:lang w:val="en-GB"/>
              </w:rPr>
              <w:t>Placebo + MTX</w:t>
            </w:r>
          </w:p>
        </w:tc>
        <w:tc>
          <w:tcPr>
            <w:tcW w:w="3955" w:type="dxa"/>
            <w:gridSpan w:val="3"/>
            <w:tcBorders>
              <w:top w:val="single" w:sz="12" w:space="0" w:color="auto"/>
              <w:left w:val="nil"/>
              <w:right w:val="nil"/>
            </w:tcBorders>
            <w:vAlign w:val="center"/>
          </w:tcPr>
          <w:p w14:paraId="7DBB5ADD" w14:textId="77777777" w:rsidR="004A10AE" w:rsidRPr="0025669D" w:rsidRDefault="004A10AE" w:rsidP="007947DB">
            <w:pPr>
              <w:spacing w:after="0" w:line="240" w:lineRule="auto"/>
              <w:ind w:firstLineChars="200" w:firstLine="440"/>
              <w:jc w:val="center"/>
              <w:rPr>
                <w:rFonts w:ascii="Times New Roman" w:eastAsia="Malgun Gothic" w:hAnsi="Times New Roman" w:cs="Times New Roman"/>
                <w:sz w:val="22"/>
                <w:lang w:val="en-GB"/>
              </w:rPr>
            </w:pPr>
            <w:r w:rsidRPr="0025669D">
              <w:rPr>
                <w:rFonts w:ascii="Times New Roman" w:eastAsia="Malgun Gothic" w:hAnsi="Times New Roman" w:cs="Times New Roman"/>
                <w:sz w:val="22"/>
                <w:lang w:val="en-GB"/>
              </w:rPr>
              <w:t>Infliximab + MTX</w:t>
            </w:r>
          </w:p>
        </w:tc>
      </w:tr>
      <w:tr w:rsidR="004A10AE" w:rsidRPr="0025669D" w14:paraId="291ECB71" w14:textId="77777777" w:rsidTr="005A4B0D">
        <w:trPr>
          <w:cantSplit/>
          <w:trHeight w:val="320"/>
          <w:jc w:val="center"/>
        </w:trPr>
        <w:tc>
          <w:tcPr>
            <w:tcW w:w="3531" w:type="dxa"/>
            <w:tcBorders>
              <w:top w:val="nil"/>
              <w:left w:val="nil"/>
              <w:bottom w:val="single" w:sz="4" w:space="0" w:color="auto"/>
              <w:right w:val="nil"/>
            </w:tcBorders>
            <w:vAlign w:val="bottom"/>
          </w:tcPr>
          <w:p w14:paraId="0455CC59" w14:textId="77777777" w:rsidR="004A10AE" w:rsidRPr="0025669D" w:rsidRDefault="004A10AE" w:rsidP="007947DB">
            <w:pPr>
              <w:spacing w:after="0" w:line="240" w:lineRule="auto"/>
              <w:jc w:val="left"/>
              <w:rPr>
                <w:rFonts w:ascii="Times New Roman" w:eastAsia="Malgun Gothic" w:hAnsi="Times New Roman" w:cs="Times New Roman"/>
                <w:sz w:val="22"/>
                <w:lang w:val="en-GB"/>
              </w:rPr>
            </w:pPr>
          </w:p>
        </w:tc>
        <w:tc>
          <w:tcPr>
            <w:tcW w:w="1559" w:type="dxa"/>
            <w:tcBorders>
              <w:top w:val="nil"/>
              <w:left w:val="nil"/>
              <w:bottom w:val="single" w:sz="4" w:space="0" w:color="auto"/>
              <w:right w:val="nil"/>
            </w:tcBorders>
            <w:vAlign w:val="center"/>
          </w:tcPr>
          <w:p w14:paraId="6A8D2DAC" w14:textId="77777777" w:rsidR="004A10AE" w:rsidRPr="0025669D" w:rsidRDefault="004A10AE" w:rsidP="007947DB">
            <w:pPr>
              <w:spacing w:after="0" w:line="240" w:lineRule="auto"/>
              <w:jc w:val="center"/>
              <w:rPr>
                <w:rFonts w:ascii="Times New Roman" w:eastAsia="Malgun Gothic" w:hAnsi="Times New Roman" w:cs="Times New Roman"/>
                <w:sz w:val="22"/>
                <w:lang w:val="en-GB"/>
              </w:rPr>
            </w:pPr>
          </w:p>
        </w:tc>
        <w:tc>
          <w:tcPr>
            <w:tcW w:w="1276" w:type="dxa"/>
            <w:tcBorders>
              <w:top w:val="single" w:sz="4" w:space="0" w:color="auto"/>
              <w:left w:val="nil"/>
              <w:bottom w:val="single" w:sz="4" w:space="0" w:color="auto"/>
              <w:right w:val="nil"/>
            </w:tcBorders>
            <w:vAlign w:val="center"/>
          </w:tcPr>
          <w:p w14:paraId="451E1A4B" w14:textId="77777777" w:rsidR="004A10AE" w:rsidRPr="0025669D" w:rsidRDefault="004A10AE" w:rsidP="007947DB">
            <w:pPr>
              <w:spacing w:after="0" w:line="240" w:lineRule="auto"/>
              <w:jc w:val="center"/>
              <w:rPr>
                <w:rFonts w:ascii="Times New Roman" w:eastAsia="Malgun Gothic" w:hAnsi="Times New Roman" w:cs="Times New Roman"/>
                <w:sz w:val="22"/>
                <w:lang w:val="en-GB"/>
              </w:rPr>
            </w:pPr>
            <w:r w:rsidRPr="0025669D">
              <w:rPr>
                <w:rFonts w:ascii="Times New Roman" w:eastAsia="Malgun Gothic" w:hAnsi="Times New Roman" w:cs="Times New Roman"/>
                <w:sz w:val="22"/>
                <w:lang w:val="en-GB"/>
              </w:rPr>
              <w:t>3 mg/kg</w:t>
            </w:r>
          </w:p>
        </w:tc>
        <w:tc>
          <w:tcPr>
            <w:tcW w:w="1276" w:type="dxa"/>
            <w:tcBorders>
              <w:top w:val="single" w:sz="4" w:space="0" w:color="auto"/>
              <w:left w:val="nil"/>
              <w:bottom w:val="single" w:sz="4" w:space="0" w:color="auto"/>
              <w:right w:val="nil"/>
            </w:tcBorders>
            <w:vAlign w:val="center"/>
          </w:tcPr>
          <w:p w14:paraId="2EE37DEC" w14:textId="77777777" w:rsidR="004A10AE" w:rsidRPr="0025669D" w:rsidRDefault="004A10AE" w:rsidP="007947DB">
            <w:pPr>
              <w:spacing w:after="0" w:line="240" w:lineRule="auto"/>
              <w:jc w:val="center"/>
              <w:rPr>
                <w:rFonts w:ascii="Times New Roman" w:eastAsia="Malgun Gothic" w:hAnsi="Times New Roman" w:cs="Times New Roman"/>
                <w:sz w:val="22"/>
                <w:lang w:val="en-GB"/>
              </w:rPr>
            </w:pPr>
            <w:r w:rsidRPr="0025669D">
              <w:rPr>
                <w:rFonts w:ascii="Times New Roman" w:eastAsia="Malgun Gothic" w:hAnsi="Times New Roman" w:cs="Times New Roman"/>
                <w:sz w:val="22"/>
                <w:lang w:val="en-GB"/>
              </w:rPr>
              <w:t>6 mg/kg</w:t>
            </w:r>
          </w:p>
        </w:tc>
        <w:tc>
          <w:tcPr>
            <w:tcW w:w="1403" w:type="dxa"/>
            <w:tcBorders>
              <w:top w:val="nil"/>
              <w:left w:val="nil"/>
              <w:bottom w:val="single" w:sz="4" w:space="0" w:color="auto"/>
              <w:right w:val="nil"/>
            </w:tcBorders>
            <w:vAlign w:val="center"/>
          </w:tcPr>
          <w:p w14:paraId="686295EE" w14:textId="77777777" w:rsidR="004A10AE" w:rsidRPr="0025669D" w:rsidRDefault="004A10AE" w:rsidP="007947DB">
            <w:pPr>
              <w:spacing w:after="0" w:line="240" w:lineRule="auto"/>
              <w:jc w:val="center"/>
              <w:rPr>
                <w:rFonts w:ascii="Times New Roman" w:eastAsia="Malgun Gothic" w:hAnsi="Times New Roman" w:cs="Times New Roman"/>
                <w:sz w:val="22"/>
                <w:lang w:val="en-GB"/>
              </w:rPr>
            </w:pPr>
            <w:r w:rsidRPr="0025669D">
              <w:rPr>
                <w:rFonts w:ascii="Times New Roman" w:eastAsia="Malgun Gothic" w:hAnsi="Times New Roman" w:cs="Times New Roman"/>
                <w:sz w:val="22"/>
                <w:lang w:val="en-GB"/>
              </w:rPr>
              <w:t>Combined</w:t>
            </w:r>
          </w:p>
        </w:tc>
      </w:tr>
      <w:tr w:rsidR="004A10AE" w:rsidRPr="0025669D" w14:paraId="0B62CB63" w14:textId="77777777" w:rsidTr="005A4B0D">
        <w:trPr>
          <w:cantSplit/>
          <w:trHeight w:val="320"/>
          <w:jc w:val="center"/>
        </w:trPr>
        <w:tc>
          <w:tcPr>
            <w:tcW w:w="3531" w:type="dxa"/>
            <w:tcBorders>
              <w:top w:val="single" w:sz="4" w:space="0" w:color="auto"/>
              <w:left w:val="nil"/>
              <w:bottom w:val="nil"/>
              <w:right w:val="nil"/>
            </w:tcBorders>
            <w:vAlign w:val="bottom"/>
          </w:tcPr>
          <w:p w14:paraId="1D6F6AD2" w14:textId="77777777" w:rsidR="004A10AE" w:rsidRPr="0025669D" w:rsidRDefault="004A10AE" w:rsidP="007947DB">
            <w:pPr>
              <w:spacing w:after="0" w:line="240" w:lineRule="auto"/>
              <w:jc w:val="left"/>
              <w:rPr>
                <w:rFonts w:ascii="Times New Roman" w:eastAsia="Malgun Gothic" w:hAnsi="Times New Roman" w:cs="Times New Roman"/>
                <w:sz w:val="22"/>
                <w:lang w:val="en-GB"/>
              </w:rPr>
            </w:pPr>
            <w:r w:rsidRPr="0025669D">
              <w:rPr>
                <w:rFonts w:ascii="Times New Roman" w:eastAsia="Malgun Gothic" w:hAnsi="Times New Roman" w:cs="Times New Roman"/>
                <w:sz w:val="22"/>
                <w:lang w:val="en-GB"/>
              </w:rPr>
              <w:t>Subjects randomised</w:t>
            </w:r>
          </w:p>
        </w:tc>
        <w:tc>
          <w:tcPr>
            <w:tcW w:w="1559" w:type="dxa"/>
            <w:tcBorders>
              <w:top w:val="single" w:sz="4" w:space="0" w:color="auto"/>
              <w:left w:val="nil"/>
              <w:bottom w:val="nil"/>
              <w:right w:val="nil"/>
            </w:tcBorders>
            <w:vAlign w:val="center"/>
          </w:tcPr>
          <w:p w14:paraId="5661B9AD" w14:textId="77777777" w:rsidR="004A10AE" w:rsidRPr="0025669D" w:rsidRDefault="004A10AE" w:rsidP="007947DB">
            <w:pPr>
              <w:spacing w:after="0" w:line="240" w:lineRule="auto"/>
              <w:jc w:val="center"/>
              <w:rPr>
                <w:rFonts w:ascii="Times New Roman" w:eastAsia="Malgun Gothic" w:hAnsi="Times New Roman" w:cs="Times New Roman"/>
                <w:sz w:val="22"/>
                <w:lang w:val="en-GB"/>
              </w:rPr>
            </w:pPr>
            <w:r w:rsidRPr="0025669D">
              <w:rPr>
                <w:rFonts w:ascii="Times New Roman" w:eastAsia="Malgun Gothic" w:hAnsi="Times New Roman" w:cs="Times New Roman"/>
                <w:sz w:val="22"/>
                <w:lang w:val="en-GB"/>
              </w:rPr>
              <w:t>282</w:t>
            </w:r>
          </w:p>
        </w:tc>
        <w:tc>
          <w:tcPr>
            <w:tcW w:w="1276" w:type="dxa"/>
            <w:tcBorders>
              <w:top w:val="single" w:sz="4" w:space="0" w:color="auto"/>
              <w:left w:val="nil"/>
              <w:bottom w:val="nil"/>
              <w:right w:val="nil"/>
            </w:tcBorders>
            <w:vAlign w:val="center"/>
          </w:tcPr>
          <w:p w14:paraId="7E1D154F" w14:textId="77777777" w:rsidR="004A10AE" w:rsidRPr="0025669D" w:rsidRDefault="004A10AE" w:rsidP="007947DB">
            <w:pPr>
              <w:spacing w:after="0" w:line="240" w:lineRule="auto"/>
              <w:jc w:val="center"/>
              <w:rPr>
                <w:rFonts w:ascii="Times New Roman" w:eastAsia="Malgun Gothic" w:hAnsi="Times New Roman" w:cs="Times New Roman"/>
                <w:sz w:val="22"/>
                <w:lang w:val="en-GB"/>
              </w:rPr>
            </w:pPr>
            <w:r w:rsidRPr="0025669D">
              <w:rPr>
                <w:rFonts w:ascii="Times New Roman" w:eastAsia="Malgun Gothic" w:hAnsi="Times New Roman" w:cs="Times New Roman"/>
                <w:sz w:val="22"/>
                <w:lang w:val="en-GB"/>
              </w:rPr>
              <w:t>359</w:t>
            </w:r>
          </w:p>
        </w:tc>
        <w:tc>
          <w:tcPr>
            <w:tcW w:w="1276" w:type="dxa"/>
            <w:tcBorders>
              <w:top w:val="single" w:sz="4" w:space="0" w:color="auto"/>
              <w:left w:val="nil"/>
              <w:bottom w:val="nil"/>
              <w:right w:val="nil"/>
            </w:tcBorders>
            <w:vAlign w:val="center"/>
          </w:tcPr>
          <w:p w14:paraId="3CC77461" w14:textId="77777777" w:rsidR="004A10AE" w:rsidRPr="0025669D" w:rsidRDefault="004A10AE" w:rsidP="007947DB">
            <w:pPr>
              <w:spacing w:after="0" w:line="240" w:lineRule="auto"/>
              <w:jc w:val="center"/>
              <w:rPr>
                <w:rFonts w:ascii="Times New Roman" w:eastAsia="Malgun Gothic" w:hAnsi="Times New Roman" w:cs="Times New Roman"/>
                <w:sz w:val="22"/>
                <w:lang w:val="en-GB"/>
              </w:rPr>
            </w:pPr>
            <w:r w:rsidRPr="0025669D">
              <w:rPr>
                <w:rFonts w:ascii="Times New Roman" w:eastAsia="Malgun Gothic" w:hAnsi="Times New Roman" w:cs="Times New Roman"/>
                <w:sz w:val="22"/>
                <w:lang w:val="en-GB"/>
              </w:rPr>
              <w:t>363</w:t>
            </w:r>
          </w:p>
        </w:tc>
        <w:tc>
          <w:tcPr>
            <w:tcW w:w="1403" w:type="dxa"/>
            <w:tcBorders>
              <w:top w:val="single" w:sz="4" w:space="0" w:color="auto"/>
              <w:left w:val="nil"/>
              <w:bottom w:val="nil"/>
              <w:right w:val="nil"/>
            </w:tcBorders>
            <w:vAlign w:val="center"/>
          </w:tcPr>
          <w:p w14:paraId="4AC890AB" w14:textId="77777777" w:rsidR="004A10AE" w:rsidRPr="0025669D" w:rsidRDefault="004A10AE" w:rsidP="007947DB">
            <w:pPr>
              <w:spacing w:after="0" w:line="240" w:lineRule="auto"/>
              <w:jc w:val="center"/>
              <w:rPr>
                <w:rFonts w:ascii="Times New Roman" w:eastAsia="Malgun Gothic" w:hAnsi="Times New Roman" w:cs="Times New Roman"/>
                <w:sz w:val="22"/>
                <w:lang w:val="en-GB"/>
              </w:rPr>
            </w:pPr>
            <w:r w:rsidRPr="0025669D">
              <w:rPr>
                <w:rFonts w:ascii="Times New Roman" w:eastAsia="Malgun Gothic" w:hAnsi="Times New Roman" w:cs="Times New Roman"/>
                <w:sz w:val="22"/>
                <w:lang w:val="en-GB"/>
              </w:rPr>
              <w:t>722</w:t>
            </w:r>
          </w:p>
        </w:tc>
      </w:tr>
      <w:tr w:rsidR="004A10AE" w:rsidRPr="0025669D" w14:paraId="23E8E448" w14:textId="77777777" w:rsidTr="005A4B0D">
        <w:trPr>
          <w:cantSplit/>
          <w:trHeight w:val="320"/>
          <w:jc w:val="center"/>
        </w:trPr>
        <w:tc>
          <w:tcPr>
            <w:tcW w:w="3531" w:type="dxa"/>
            <w:tcBorders>
              <w:top w:val="nil"/>
              <w:left w:val="nil"/>
              <w:bottom w:val="nil"/>
              <w:right w:val="nil"/>
            </w:tcBorders>
            <w:vAlign w:val="bottom"/>
          </w:tcPr>
          <w:p w14:paraId="68215194" w14:textId="77777777" w:rsidR="004A10AE" w:rsidRPr="0025669D" w:rsidRDefault="004A10AE" w:rsidP="007947DB">
            <w:pPr>
              <w:spacing w:after="0" w:line="240" w:lineRule="auto"/>
              <w:jc w:val="left"/>
              <w:rPr>
                <w:rFonts w:ascii="Times New Roman" w:eastAsia="Malgun Gothic" w:hAnsi="Times New Roman" w:cs="Times New Roman"/>
                <w:sz w:val="22"/>
                <w:lang w:val="en-GB"/>
              </w:rPr>
            </w:pPr>
            <w:r w:rsidRPr="0025669D">
              <w:rPr>
                <w:rFonts w:ascii="Times New Roman" w:eastAsia="Malgun Gothic" w:hAnsi="Times New Roman" w:cs="Times New Roman"/>
                <w:sz w:val="22"/>
                <w:lang w:val="en-GB"/>
              </w:rPr>
              <w:t>Percentage ACR improvement</w:t>
            </w:r>
          </w:p>
        </w:tc>
        <w:tc>
          <w:tcPr>
            <w:tcW w:w="1559" w:type="dxa"/>
            <w:tcBorders>
              <w:top w:val="nil"/>
              <w:left w:val="nil"/>
              <w:bottom w:val="nil"/>
              <w:right w:val="nil"/>
            </w:tcBorders>
            <w:vAlign w:val="center"/>
          </w:tcPr>
          <w:p w14:paraId="614398F1" w14:textId="77777777" w:rsidR="004A10AE" w:rsidRPr="0025669D" w:rsidRDefault="004A10AE" w:rsidP="007947DB">
            <w:pPr>
              <w:spacing w:after="0" w:line="240" w:lineRule="auto"/>
              <w:jc w:val="center"/>
              <w:rPr>
                <w:rFonts w:ascii="Times New Roman" w:eastAsia="Malgun Gothic" w:hAnsi="Times New Roman" w:cs="Times New Roman"/>
                <w:sz w:val="22"/>
                <w:lang w:val="en-GB"/>
              </w:rPr>
            </w:pPr>
          </w:p>
        </w:tc>
        <w:tc>
          <w:tcPr>
            <w:tcW w:w="1276" w:type="dxa"/>
            <w:tcBorders>
              <w:top w:val="nil"/>
              <w:left w:val="nil"/>
              <w:bottom w:val="nil"/>
              <w:right w:val="nil"/>
            </w:tcBorders>
            <w:vAlign w:val="center"/>
          </w:tcPr>
          <w:p w14:paraId="794F5141" w14:textId="77777777" w:rsidR="004A10AE" w:rsidRPr="0025669D" w:rsidRDefault="004A10AE" w:rsidP="007947DB">
            <w:pPr>
              <w:spacing w:after="0" w:line="240" w:lineRule="auto"/>
              <w:jc w:val="center"/>
              <w:rPr>
                <w:rFonts w:ascii="Times New Roman" w:eastAsia="Malgun Gothic" w:hAnsi="Times New Roman" w:cs="Times New Roman"/>
                <w:sz w:val="22"/>
                <w:lang w:val="en-GB"/>
              </w:rPr>
            </w:pPr>
          </w:p>
        </w:tc>
        <w:tc>
          <w:tcPr>
            <w:tcW w:w="1276" w:type="dxa"/>
            <w:tcBorders>
              <w:top w:val="nil"/>
              <w:left w:val="nil"/>
              <w:bottom w:val="nil"/>
              <w:right w:val="nil"/>
            </w:tcBorders>
            <w:vAlign w:val="center"/>
          </w:tcPr>
          <w:p w14:paraId="72ED268B" w14:textId="77777777" w:rsidR="004A10AE" w:rsidRPr="0025669D" w:rsidRDefault="004A10AE" w:rsidP="007947DB">
            <w:pPr>
              <w:spacing w:after="0" w:line="240" w:lineRule="auto"/>
              <w:jc w:val="center"/>
              <w:rPr>
                <w:rFonts w:ascii="Times New Roman" w:eastAsia="Malgun Gothic" w:hAnsi="Times New Roman" w:cs="Times New Roman"/>
                <w:sz w:val="22"/>
                <w:lang w:val="en-GB"/>
              </w:rPr>
            </w:pPr>
          </w:p>
        </w:tc>
        <w:tc>
          <w:tcPr>
            <w:tcW w:w="1403" w:type="dxa"/>
            <w:tcBorders>
              <w:top w:val="nil"/>
              <w:left w:val="nil"/>
              <w:bottom w:val="nil"/>
              <w:right w:val="nil"/>
            </w:tcBorders>
            <w:vAlign w:val="center"/>
          </w:tcPr>
          <w:p w14:paraId="0EEC8CF9" w14:textId="77777777" w:rsidR="004A10AE" w:rsidRPr="0025669D" w:rsidRDefault="004A10AE" w:rsidP="007947DB">
            <w:pPr>
              <w:spacing w:after="0" w:line="240" w:lineRule="auto"/>
              <w:jc w:val="center"/>
              <w:rPr>
                <w:rFonts w:ascii="Times New Roman" w:eastAsia="Malgun Gothic" w:hAnsi="Times New Roman" w:cs="Times New Roman"/>
                <w:sz w:val="22"/>
                <w:lang w:val="en-GB"/>
              </w:rPr>
            </w:pPr>
          </w:p>
        </w:tc>
      </w:tr>
      <w:tr w:rsidR="004A10AE" w:rsidRPr="0025669D" w14:paraId="11647F6B" w14:textId="77777777" w:rsidTr="005A4B0D">
        <w:trPr>
          <w:cantSplit/>
          <w:trHeight w:val="320"/>
          <w:jc w:val="center"/>
        </w:trPr>
        <w:tc>
          <w:tcPr>
            <w:tcW w:w="3531" w:type="dxa"/>
            <w:tcBorders>
              <w:top w:val="nil"/>
              <w:left w:val="nil"/>
              <w:bottom w:val="nil"/>
              <w:right w:val="nil"/>
            </w:tcBorders>
            <w:vAlign w:val="bottom"/>
          </w:tcPr>
          <w:p w14:paraId="388A5DFF" w14:textId="77777777" w:rsidR="004A10AE" w:rsidRPr="0025669D" w:rsidRDefault="004A10AE" w:rsidP="007947DB">
            <w:pPr>
              <w:spacing w:after="0" w:line="240" w:lineRule="auto"/>
              <w:jc w:val="left"/>
              <w:rPr>
                <w:rFonts w:ascii="Times New Roman" w:eastAsia="Malgun Gothic" w:hAnsi="Times New Roman" w:cs="Times New Roman"/>
                <w:sz w:val="22"/>
                <w:lang w:val="en-GB"/>
              </w:rPr>
            </w:pPr>
            <w:r w:rsidRPr="0025669D">
              <w:rPr>
                <w:rFonts w:ascii="Times New Roman" w:eastAsia="Malgun Gothic" w:hAnsi="Times New Roman" w:cs="Times New Roman"/>
                <w:sz w:val="22"/>
                <w:lang w:val="en-GB"/>
              </w:rPr>
              <w:t xml:space="preserve">Mean ± </w:t>
            </w:r>
            <w:proofErr w:type="spellStart"/>
            <w:r w:rsidRPr="0025669D">
              <w:rPr>
                <w:rFonts w:ascii="Times New Roman" w:eastAsia="Malgun Gothic" w:hAnsi="Times New Roman" w:cs="Times New Roman"/>
                <w:sz w:val="22"/>
                <w:lang w:val="en-GB"/>
              </w:rPr>
              <w:t>SD</w:t>
            </w:r>
            <w:r w:rsidRPr="0025669D">
              <w:rPr>
                <w:rFonts w:ascii="Times New Roman" w:eastAsia="Malgun Gothic" w:hAnsi="Times New Roman" w:cs="Times New Roman"/>
                <w:sz w:val="22"/>
                <w:vertAlign w:val="superscript"/>
                <w:lang w:val="en-GB"/>
              </w:rPr>
              <w:t>a</w:t>
            </w:r>
            <w:proofErr w:type="spellEnd"/>
          </w:p>
        </w:tc>
        <w:tc>
          <w:tcPr>
            <w:tcW w:w="1559" w:type="dxa"/>
            <w:tcBorders>
              <w:top w:val="nil"/>
              <w:left w:val="nil"/>
              <w:bottom w:val="nil"/>
              <w:right w:val="nil"/>
            </w:tcBorders>
            <w:vAlign w:val="center"/>
          </w:tcPr>
          <w:p w14:paraId="2F44D030" w14:textId="77777777" w:rsidR="004A10AE" w:rsidRPr="0025669D" w:rsidRDefault="004A10AE" w:rsidP="007947DB">
            <w:pPr>
              <w:spacing w:after="0" w:line="240" w:lineRule="auto"/>
              <w:jc w:val="center"/>
              <w:rPr>
                <w:rFonts w:ascii="Times New Roman" w:eastAsia="Malgun Gothic" w:hAnsi="Times New Roman" w:cs="Times New Roman"/>
                <w:sz w:val="22"/>
                <w:lang w:val="en-GB"/>
              </w:rPr>
            </w:pPr>
            <w:r w:rsidRPr="0025669D">
              <w:rPr>
                <w:rFonts w:ascii="Times New Roman" w:eastAsia="Malgun Gothic" w:hAnsi="Times New Roman" w:cs="Times New Roman"/>
                <w:sz w:val="22"/>
                <w:lang w:val="en-GB"/>
              </w:rPr>
              <w:t>24.8 ± 59.7</w:t>
            </w:r>
          </w:p>
        </w:tc>
        <w:tc>
          <w:tcPr>
            <w:tcW w:w="1276" w:type="dxa"/>
            <w:tcBorders>
              <w:top w:val="nil"/>
              <w:left w:val="nil"/>
              <w:bottom w:val="nil"/>
              <w:right w:val="nil"/>
            </w:tcBorders>
            <w:vAlign w:val="center"/>
          </w:tcPr>
          <w:p w14:paraId="7DF37F06" w14:textId="77777777" w:rsidR="004A10AE" w:rsidRPr="0025669D" w:rsidRDefault="004A10AE" w:rsidP="007947DB">
            <w:pPr>
              <w:spacing w:after="0" w:line="240" w:lineRule="auto"/>
              <w:jc w:val="center"/>
              <w:rPr>
                <w:rFonts w:ascii="Times New Roman" w:eastAsia="Malgun Gothic" w:hAnsi="Times New Roman" w:cs="Times New Roman"/>
                <w:sz w:val="22"/>
                <w:lang w:val="en-GB"/>
              </w:rPr>
            </w:pPr>
            <w:r w:rsidRPr="0025669D">
              <w:rPr>
                <w:rFonts w:ascii="Times New Roman" w:eastAsia="Malgun Gothic" w:hAnsi="Times New Roman" w:cs="Times New Roman"/>
                <w:sz w:val="22"/>
                <w:lang w:val="en-GB"/>
              </w:rPr>
              <w:t>37.3 ± 52.8</w:t>
            </w:r>
          </w:p>
        </w:tc>
        <w:tc>
          <w:tcPr>
            <w:tcW w:w="1276" w:type="dxa"/>
            <w:tcBorders>
              <w:top w:val="nil"/>
              <w:left w:val="nil"/>
              <w:bottom w:val="nil"/>
              <w:right w:val="nil"/>
            </w:tcBorders>
            <w:vAlign w:val="center"/>
          </w:tcPr>
          <w:p w14:paraId="015D153A" w14:textId="77777777" w:rsidR="004A10AE" w:rsidRPr="0025669D" w:rsidRDefault="004A10AE" w:rsidP="007947DB">
            <w:pPr>
              <w:spacing w:after="0" w:line="240" w:lineRule="auto"/>
              <w:jc w:val="center"/>
              <w:rPr>
                <w:rFonts w:ascii="Times New Roman" w:eastAsia="Malgun Gothic" w:hAnsi="Times New Roman" w:cs="Times New Roman"/>
                <w:sz w:val="22"/>
                <w:lang w:val="en-GB"/>
              </w:rPr>
            </w:pPr>
            <w:r w:rsidRPr="0025669D">
              <w:rPr>
                <w:rFonts w:ascii="Times New Roman" w:eastAsia="Malgun Gothic" w:hAnsi="Times New Roman" w:cs="Times New Roman"/>
                <w:sz w:val="22"/>
                <w:lang w:val="en-GB"/>
              </w:rPr>
              <w:t>42.0 ± 47.3</w:t>
            </w:r>
          </w:p>
        </w:tc>
        <w:tc>
          <w:tcPr>
            <w:tcW w:w="1403" w:type="dxa"/>
            <w:tcBorders>
              <w:top w:val="nil"/>
              <w:left w:val="nil"/>
              <w:bottom w:val="nil"/>
              <w:right w:val="nil"/>
            </w:tcBorders>
            <w:vAlign w:val="center"/>
          </w:tcPr>
          <w:p w14:paraId="6B03F1EA" w14:textId="77777777" w:rsidR="004A10AE" w:rsidRPr="0025669D" w:rsidRDefault="004A10AE" w:rsidP="007947DB">
            <w:pPr>
              <w:spacing w:after="0" w:line="240" w:lineRule="auto"/>
              <w:jc w:val="center"/>
              <w:rPr>
                <w:rFonts w:ascii="Times New Roman" w:eastAsia="Malgun Gothic" w:hAnsi="Times New Roman" w:cs="Times New Roman"/>
                <w:sz w:val="22"/>
                <w:lang w:val="en-GB"/>
              </w:rPr>
            </w:pPr>
            <w:r w:rsidRPr="0025669D">
              <w:rPr>
                <w:rFonts w:ascii="Times New Roman" w:eastAsia="Malgun Gothic" w:hAnsi="Times New Roman" w:cs="Times New Roman"/>
                <w:sz w:val="22"/>
                <w:lang w:val="en-GB"/>
              </w:rPr>
              <w:t>39.6 ± 50.1</w:t>
            </w:r>
          </w:p>
        </w:tc>
      </w:tr>
      <w:tr w:rsidR="004A10AE" w:rsidRPr="0025669D" w14:paraId="4C741BA1" w14:textId="77777777" w:rsidTr="005A4B0D">
        <w:trPr>
          <w:cantSplit/>
          <w:trHeight w:val="320"/>
          <w:jc w:val="center"/>
        </w:trPr>
        <w:tc>
          <w:tcPr>
            <w:tcW w:w="3531" w:type="dxa"/>
            <w:tcBorders>
              <w:top w:val="nil"/>
              <w:left w:val="nil"/>
              <w:bottom w:val="nil"/>
              <w:right w:val="nil"/>
            </w:tcBorders>
            <w:vAlign w:val="bottom"/>
          </w:tcPr>
          <w:p w14:paraId="5778EFFB" w14:textId="77777777" w:rsidR="004A10AE" w:rsidRPr="0025669D" w:rsidRDefault="004A10AE" w:rsidP="007947DB">
            <w:pPr>
              <w:spacing w:after="0" w:line="240" w:lineRule="auto"/>
              <w:jc w:val="left"/>
              <w:rPr>
                <w:rFonts w:ascii="Times New Roman" w:eastAsia="Malgun Gothic" w:hAnsi="Times New Roman" w:cs="Times New Roman"/>
                <w:sz w:val="22"/>
                <w:lang w:val="en-GB"/>
              </w:rPr>
            </w:pPr>
            <w:r w:rsidRPr="0025669D">
              <w:rPr>
                <w:rFonts w:ascii="Times New Roman" w:eastAsia="Malgun Gothic" w:hAnsi="Times New Roman" w:cs="Times New Roman"/>
                <w:sz w:val="22"/>
                <w:lang w:val="en-GB"/>
              </w:rPr>
              <w:t xml:space="preserve">Change from baseline in total van der </w:t>
            </w:r>
            <w:proofErr w:type="spellStart"/>
            <w:r w:rsidRPr="0025669D">
              <w:rPr>
                <w:rFonts w:ascii="Times New Roman" w:eastAsia="Malgun Gothic" w:hAnsi="Times New Roman" w:cs="Times New Roman"/>
                <w:sz w:val="22"/>
                <w:lang w:val="en-GB"/>
              </w:rPr>
              <w:t>Heijde</w:t>
            </w:r>
            <w:proofErr w:type="spellEnd"/>
            <w:r w:rsidRPr="0025669D">
              <w:rPr>
                <w:rFonts w:ascii="Times New Roman" w:eastAsia="Malgun Gothic" w:hAnsi="Times New Roman" w:cs="Times New Roman"/>
                <w:sz w:val="22"/>
                <w:lang w:val="en-GB"/>
              </w:rPr>
              <w:t xml:space="preserve"> modified Sharp </w:t>
            </w:r>
            <w:proofErr w:type="spellStart"/>
            <w:r w:rsidRPr="0025669D">
              <w:rPr>
                <w:rFonts w:ascii="Times New Roman" w:eastAsia="Malgun Gothic" w:hAnsi="Times New Roman" w:cs="Times New Roman"/>
                <w:sz w:val="22"/>
                <w:lang w:val="en-GB"/>
              </w:rPr>
              <w:t>score</w:t>
            </w:r>
            <w:r w:rsidRPr="0025669D">
              <w:rPr>
                <w:rFonts w:ascii="Times New Roman" w:eastAsia="Malgun Gothic" w:hAnsi="Times New Roman" w:cs="Times New Roman"/>
                <w:sz w:val="22"/>
                <w:vertAlign w:val="superscript"/>
                <w:lang w:val="en-GB"/>
              </w:rPr>
              <w:t>b</w:t>
            </w:r>
            <w:proofErr w:type="spellEnd"/>
          </w:p>
        </w:tc>
        <w:tc>
          <w:tcPr>
            <w:tcW w:w="1559" w:type="dxa"/>
            <w:tcBorders>
              <w:top w:val="nil"/>
              <w:left w:val="nil"/>
              <w:bottom w:val="nil"/>
              <w:right w:val="nil"/>
            </w:tcBorders>
            <w:vAlign w:val="center"/>
          </w:tcPr>
          <w:p w14:paraId="559B4E4B" w14:textId="77777777" w:rsidR="004A10AE" w:rsidRPr="0025669D" w:rsidRDefault="004A10AE" w:rsidP="007947DB">
            <w:pPr>
              <w:spacing w:after="0" w:line="240" w:lineRule="auto"/>
              <w:jc w:val="center"/>
              <w:rPr>
                <w:rFonts w:ascii="Times New Roman" w:eastAsia="Malgun Gothic" w:hAnsi="Times New Roman" w:cs="Times New Roman"/>
                <w:sz w:val="22"/>
                <w:lang w:val="en-GB"/>
              </w:rPr>
            </w:pPr>
          </w:p>
        </w:tc>
        <w:tc>
          <w:tcPr>
            <w:tcW w:w="1276" w:type="dxa"/>
            <w:tcBorders>
              <w:top w:val="nil"/>
              <w:left w:val="nil"/>
              <w:bottom w:val="nil"/>
              <w:right w:val="nil"/>
            </w:tcBorders>
            <w:vAlign w:val="center"/>
          </w:tcPr>
          <w:p w14:paraId="4217727B" w14:textId="77777777" w:rsidR="004A10AE" w:rsidRPr="0025669D" w:rsidRDefault="004A10AE" w:rsidP="007947DB">
            <w:pPr>
              <w:spacing w:after="0" w:line="240" w:lineRule="auto"/>
              <w:jc w:val="center"/>
              <w:rPr>
                <w:rFonts w:ascii="Times New Roman" w:eastAsia="Malgun Gothic" w:hAnsi="Times New Roman" w:cs="Times New Roman"/>
                <w:sz w:val="22"/>
                <w:lang w:val="en-GB"/>
              </w:rPr>
            </w:pPr>
          </w:p>
        </w:tc>
        <w:tc>
          <w:tcPr>
            <w:tcW w:w="1276" w:type="dxa"/>
            <w:tcBorders>
              <w:top w:val="nil"/>
              <w:left w:val="nil"/>
              <w:bottom w:val="nil"/>
              <w:right w:val="nil"/>
            </w:tcBorders>
            <w:vAlign w:val="center"/>
          </w:tcPr>
          <w:p w14:paraId="188FAD5B" w14:textId="77777777" w:rsidR="004A10AE" w:rsidRPr="0025669D" w:rsidRDefault="004A10AE" w:rsidP="007947DB">
            <w:pPr>
              <w:spacing w:after="0" w:line="240" w:lineRule="auto"/>
              <w:jc w:val="center"/>
              <w:rPr>
                <w:rFonts w:ascii="Times New Roman" w:eastAsia="Malgun Gothic" w:hAnsi="Times New Roman" w:cs="Times New Roman"/>
                <w:sz w:val="22"/>
                <w:lang w:val="en-GB"/>
              </w:rPr>
            </w:pPr>
          </w:p>
        </w:tc>
        <w:tc>
          <w:tcPr>
            <w:tcW w:w="1403" w:type="dxa"/>
            <w:tcBorders>
              <w:top w:val="nil"/>
              <w:left w:val="nil"/>
              <w:bottom w:val="nil"/>
              <w:right w:val="nil"/>
            </w:tcBorders>
            <w:vAlign w:val="center"/>
          </w:tcPr>
          <w:p w14:paraId="5AFA3946" w14:textId="77777777" w:rsidR="004A10AE" w:rsidRPr="0025669D" w:rsidRDefault="004A10AE" w:rsidP="007947DB">
            <w:pPr>
              <w:spacing w:after="0" w:line="240" w:lineRule="auto"/>
              <w:jc w:val="center"/>
              <w:rPr>
                <w:rFonts w:ascii="Times New Roman" w:eastAsia="Malgun Gothic" w:hAnsi="Times New Roman" w:cs="Times New Roman"/>
                <w:sz w:val="22"/>
                <w:lang w:val="en-GB"/>
              </w:rPr>
            </w:pPr>
          </w:p>
        </w:tc>
      </w:tr>
      <w:tr w:rsidR="004A10AE" w:rsidRPr="0025669D" w14:paraId="58972AA5" w14:textId="77777777" w:rsidTr="005A4B0D">
        <w:trPr>
          <w:cantSplit/>
          <w:trHeight w:val="320"/>
          <w:jc w:val="center"/>
        </w:trPr>
        <w:tc>
          <w:tcPr>
            <w:tcW w:w="3531" w:type="dxa"/>
            <w:tcBorders>
              <w:top w:val="nil"/>
              <w:left w:val="nil"/>
              <w:bottom w:val="nil"/>
              <w:right w:val="nil"/>
            </w:tcBorders>
            <w:vAlign w:val="bottom"/>
          </w:tcPr>
          <w:p w14:paraId="1D54CA3B" w14:textId="77777777" w:rsidR="004A10AE" w:rsidRPr="0025669D" w:rsidRDefault="004A10AE" w:rsidP="007947DB">
            <w:pPr>
              <w:spacing w:after="0" w:line="240" w:lineRule="auto"/>
              <w:jc w:val="left"/>
              <w:rPr>
                <w:rFonts w:ascii="Times New Roman" w:eastAsia="Malgun Gothic" w:hAnsi="Times New Roman" w:cs="Times New Roman"/>
                <w:sz w:val="22"/>
                <w:lang w:val="en-GB"/>
              </w:rPr>
            </w:pPr>
            <w:r w:rsidRPr="0025669D">
              <w:rPr>
                <w:rFonts w:ascii="Times New Roman" w:eastAsia="Malgun Gothic" w:hAnsi="Times New Roman" w:cs="Times New Roman"/>
                <w:sz w:val="22"/>
                <w:lang w:val="en-GB"/>
              </w:rPr>
              <w:t xml:space="preserve">Mean ± </w:t>
            </w:r>
            <w:proofErr w:type="spellStart"/>
            <w:r w:rsidRPr="0025669D">
              <w:rPr>
                <w:rFonts w:ascii="Times New Roman" w:eastAsia="Malgun Gothic" w:hAnsi="Times New Roman" w:cs="Times New Roman"/>
                <w:sz w:val="22"/>
                <w:lang w:val="en-GB"/>
              </w:rPr>
              <w:t>SD</w:t>
            </w:r>
            <w:r w:rsidRPr="0025669D">
              <w:rPr>
                <w:rFonts w:ascii="Times New Roman" w:eastAsia="Malgun Gothic" w:hAnsi="Times New Roman" w:cs="Times New Roman"/>
                <w:sz w:val="22"/>
                <w:vertAlign w:val="superscript"/>
                <w:lang w:val="en-GB"/>
              </w:rPr>
              <w:t>a</w:t>
            </w:r>
            <w:proofErr w:type="spellEnd"/>
          </w:p>
        </w:tc>
        <w:tc>
          <w:tcPr>
            <w:tcW w:w="1559" w:type="dxa"/>
            <w:tcBorders>
              <w:top w:val="nil"/>
              <w:left w:val="nil"/>
              <w:bottom w:val="nil"/>
              <w:right w:val="nil"/>
            </w:tcBorders>
            <w:vAlign w:val="center"/>
          </w:tcPr>
          <w:p w14:paraId="58DEEBA2" w14:textId="77777777" w:rsidR="004A10AE" w:rsidRPr="0025669D" w:rsidRDefault="004A10AE" w:rsidP="007947DB">
            <w:pPr>
              <w:spacing w:after="0" w:line="240" w:lineRule="auto"/>
              <w:jc w:val="center"/>
              <w:rPr>
                <w:rFonts w:ascii="Times New Roman" w:eastAsia="Malgun Gothic" w:hAnsi="Times New Roman" w:cs="Times New Roman"/>
                <w:sz w:val="22"/>
                <w:lang w:val="en-GB"/>
              </w:rPr>
            </w:pPr>
            <w:r w:rsidRPr="0025669D">
              <w:rPr>
                <w:rFonts w:ascii="Times New Roman" w:eastAsia="Malgun Gothic" w:hAnsi="Times New Roman" w:cs="Times New Roman"/>
                <w:sz w:val="22"/>
                <w:lang w:val="en-GB"/>
              </w:rPr>
              <w:t>3.70 ± 9.61</w:t>
            </w:r>
          </w:p>
        </w:tc>
        <w:tc>
          <w:tcPr>
            <w:tcW w:w="1276" w:type="dxa"/>
            <w:tcBorders>
              <w:top w:val="nil"/>
              <w:left w:val="nil"/>
              <w:bottom w:val="nil"/>
              <w:right w:val="nil"/>
            </w:tcBorders>
            <w:vAlign w:val="center"/>
          </w:tcPr>
          <w:p w14:paraId="7B029A83" w14:textId="77777777" w:rsidR="004A10AE" w:rsidRPr="0025669D" w:rsidRDefault="004A10AE" w:rsidP="007947DB">
            <w:pPr>
              <w:spacing w:after="0" w:line="240" w:lineRule="auto"/>
              <w:jc w:val="center"/>
              <w:rPr>
                <w:rFonts w:ascii="Times New Roman" w:eastAsia="Malgun Gothic" w:hAnsi="Times New Roman" w:cs="Times New Roman"/>
                <w:sz w:val="22"/>
                <w:lang w:val="en-GB"/>
              </w:rPr>
            </w:pPr>
            <w:r w:rsidRPr="0025669D">
              <w:rPr>
                <w:rFonts w:ascii="Times New Roman" w:eastAsia="Malgun Gothic" w:hAnsi="Times New Roman" w:cs="Times New Roman"/>
                <w:sz w:val="22"/>
                <w:lang w:val="en-GB"/>
              </w:rPr>
              <w:t>0.42 ± 5.82</w:t>
            </w:r>
          </w:p>
        </w:tc>
        <w:tc>
          <w:tcPr>
            <w:tcW w:w="1276" w:type="dxa"/>
            <w:tcBorders>
              <w:top w:val="nil"/>
              <w:left w:val="nil"/>
              <w:bottom w:val="nil"/>
              <w:right w:val="nil"/>
            </w:tcBorders>
            <w:vAlign w:val="center"/>
          </w:tcPr>
          <w:p w14:paraId="2DEE8CAD" w14:textId="77777777" w:rsidR="004A10AE" w:rsidRPr="0025669D" w:rsidRDefault="004A10AE" w:rsidP="007947DB">
            <w:pPr>
              <w:spacing w:after="0" w:line="240" w:lineRule="auto"/>
              <w:jc w:val="center"/>
              <w:rPr>
                <w:rFonts w:ascii="Times New Roman" w:eastAsia="Malgun Gothic" w:hAnsi="Times New Roman" w:cs="Times New Roman"/>
                <w:sz w:val="22"/>
                <w:lang w:val="en-GB"/>
              </w:rPr>
            </w:pPr>
            <w:r w:rsidRPr="0025669D">
              <w:rPr>
                <w:rFonts w:ascii="Times New Roman" w:eastAsia="Malgun Gothic" w:hAnsi="Times New Roman" w:cs="Times New Roman"/>
                <w:sz w:val="22"/>
                <w:lang w:val="en-GB"/>
              </w:rPr>
              <w:t>0.51 ± 5.55</w:t>
            </w:r>
          </w:p>
        </w:tc>
        <w:tc>
          <w:tcPr>
            <w:tcW w:w="1403" w:type="dxa"/>
            <w:tcBorders>
              <w:top w:val="nil"/>
              <w:left w:val="nil"/>
              <w:bottom w:val="nil"/>
              <w:right w:val="nil"/>
            </w:tcBorders>
            <w:vAlign w:val="center"/>
          </w:tcPr>
          <w:p w14:paraId="339790B4" w14:textId="77777777" w:rsidR="004A10AE" w:rsidRPr="0025669D" w:rsidRDefault="004A10AE" w:rsidP="007947DB">
            <w:pPr>
              <w:spacing w:after="0" w:line="240" w:lineRule="auto"/>
              <w:jc w:val="center"/>
              <w:rPr>
                <w:rFonts w:ascii="Times New Roman" w:eastAsia="Malgun Gothic" w:hAnsi="Times New Roman" w:cs="Times New Roman"/>
                <w:sz w:val="22"/>
                <w:lang w:val="en-GB"/>
              </w:rPr>
            </w:pPr>
            <w:r w:rsidRPr="0025669D">
              <w:rPr>
                <w:rFonts w:ascii="Times New Roman" w:eastAsia="Malgun Gothic" w:hAnsi="Times New Roman" w:cs="Times New Roman"/>
                <w:sz w:val="22"/>
                <w:lang w:val="en-GB"/>
              </w:rPr>
              <w:t>0.46 ± 5.68</w:t>
            </w:r>
          </w:p>
        </w:tc>
      </w:tr>
      <w:tr w:rsidR="004A10AE" w:rsidRPr="0025669D" w14:paraId="09E2B84D" w14:textId="77777777" w:rsidTr="005A4B0D">
        <w:trPr>
          <w:cantSplit/>
          <w:trHeight w:val="320"/>
          <w:jc w:val="center"/>
        </w:trPr>
        <w:tc>
          <w:tcPr>
            <w:tcW w:w="3531" w:type="dxa"/>
            <w:tcBorders>
              <w:top w:val="nil"/>
              <w:left w:val="nil"/>
              <w:right w:val="nil"/>
            </w:tcBorders>
            <w:vAlign w:val="bottom"/>
          </w:tcPr>
          <w:p w14:paraId="3A4BF34E" w14:textId="77777777" w:rsidR="004A10AE" w:rsidRPr="0025669D" w:rsidRDefault="004A10AE" w:rsidP="007947DB">
            <w:pPr>
              <w:spacing w:after="0" w:line="240" w:lineRule="auto"/>
              <w:jc w:val="left"/>
              <w:rPr>
                <w:rFonts w:ascii="Times New Roman" w:eastAsia="Malgun Gothic" w:hAnsi="Times New Roman" w:cs="Times New Roman"/>
                <w:sz w:val="22"/>
                <w:lang w:val="en-GB"/>
              </w:rPr>
            </w:pPr>
            <w:r w:rsidRPr="0025669D">
              <w:rPr>
                <w:rFonts w:ascii="Times New Roman" w:eastAsia="Malgun Gothic" w:hAnsi="Times New Roman" w:cs="Times New Roman"/>
                <w:sz w:val="22"/>
                <w:lang w:val="en-GB"/>
              </w:rPr>
              <w:t>Median</w:t>
            </w:r>
          </w:p>
        </w:tc>
        <w:tc>
          <w:tcPr>
            <w:tcW w:w="1559" w:type="dxa"/>
            <w:tcBorders>
              <w:top w:val="nil"/>
              <w:left w:val="nil"/>
              <w:right w:val="nil"/>
            </w:tcBorders>
            <w:vAlign w:val="center"/>
          </w:tcPr>
          <w:p w14:paraId="0EC1B861" w14:textId="77777777" w:rsidR="004A10AE" w:rsidRPr="0025669D" w:rsidRDefault="004A10AE" w:rsidP="007947DB">
            <w:pPr>
              <w:spacing w:after="0" w:line="240" w:lineRule="auto"/>
              <w:jc w:val="center"/>
              <w:rPr>
                <w:rFonts w:ascii="Times New Roman" w:eastAsia="Malgun Gothic" w:hAnsi="Times New Roman" w:cs="Times New Roman"/>
                <w:sz w:val="22"/>
                <w:lang w:val="en-GB"/>
              </w:rPr>
            </w:pPr>
            <w:r w:rsidRPr="0025669D">
              <w:rPr>
                <w:rFonts w:ascii="Times New Roman" w:eastAsia="Malgun Gothic" w:hAnsi="Times New Roman" w:cs="Times New Roman"/>
                <w:sz w:val="22"/>
                <w:lang w:val="en-GB"/>
              </w:rPr>
              <w:t>0.43</w:t>
            </w:r>
          </w:p>
        </w:tc>
        <w:tc>
          <w:tcPr>
            <w:tcW w:w="1276" w:type="dxa"/>
            <w:tcBorders>
              <w:top w:val="nil"/>
              <w:left w:val="nil"/>
              <w:right w:val="nil"/>
            </w:tcBorders>
            <w:vAlign w:val="center"/>
          </w:tcPr>
          <w:p w14:paraId="38CB07D4" w14:textId="77777777" w:rsidR="004A10AE" w:rsidRPr="0025669D" w:rsidRDefault="004A10AE" w:rsidP="007947DB">
            <w:pPr>
              <w:spacing w:after="0" w:line="240" w:lineRule="auto"/>
              <w:jc w:val="center"/>
              <w:rPr>
                <w:rFonts w:ascii="Times New Roman" w:eastAsia="Malgun Gothic" w:hAnsi="Times New Roman" w:cs="Times New Roman"/>
                <w:sz w:val="22"/>
                <w:lang w:val="en-GB"/>
              </w:rPr>
            </w:pPr>
            <w:r w:rsidRPr="0025669D">
              <w:rPr>
                <w:rFonts w:ascii="Times New Roman" w:eastAsia="Malgun Gothic" w:hAnsi="Times New Roman" w:cs="Times New Roman"/>
                <w:sz w:val="22"/>
                <w:lang w:val="en-GB"/>
              </w:rPr>
              <w:t>0.00</w:t>
            </w:r>
          </w:p>
        </w:tc>
        <w:tc>
          <w:tcPr>
            <w:tcW w:w="1276" w:type="dxa"/>
            <w:tcBorders>
              <w:top w:val="nil"/>
              <w:left w:val="nil"/>
              <w:right w:val="nil"/>
            </w:tcBorders>
            <w:vAlign w:val="center"/>
          </w:tcPr>
          <w:p w14:paraId="5FF81865" w14:textId="77777777" w:rsidR="004A10AE" w:rsidRPr="0025669D" w:rsidRDefault="004A10AE" w:rsidP="007947DB">
            <w:pPr>
              <w:spacing w:after="0" w:line="240" w:lineRule="auto"/>
              <w:jc w:val="center"/>
              <w:rPr>
                <w:rFonts w:ascii="Times New Roman" w:eastAsia="Malgun Gothic" w:hAnsi="Times New Roman" w:cs="Times New Roman"/>
                <w:sz w:val="22"/>
                <w:lang w:val="en-GB"/>
              </w:rPr>
            </w:pPr>
            <w:r w:rsidRPr="0025669D">
              <w:rPr>
                <w:rFonts w:ascii="Times New Roman" w:eastAsia="Malgun Gothic" w:hAnsi="Times New Roman" w:cs="Times New Roman"/>
                <w:sz w:val="22"/>
                <w:lang w:val="en-GB"/>
              </w:rPr>
              <w:t>0.00</w:t>
            </w:r>
          </w:p>
        </w:tc>
        <w:tc>
          <w:tcPr>
            <w:tcW w:w="1403" w:type="dxa"/>
            <w:tcBorders>
              <w:top w:val="nil"/>
              <w:left w:val="nil"/>
              <w:right w:val="nil"/>
            </w:tcBorders>
            <w:vAlign w:val="center"/>
          </w:tcPr>
          <w:p w14:paraId="4BCCC65D" w14:textId="77777777" w:rsidR="004A10AE" w:rsidRPr="0025669D" w:rsidRDefault="004A10AE" w:rsidP="007947DB">
            <w:pPr>
              <w:spacing w:after="0" w:line="240" w:lineRule="auto"/>
              <w:jc w:val="center"/>
              <w:rPr>
                <w:rFonts w:ascii="Times New Roman" w:eastAsia="Malgun Gothic" w:hAnsi="Times New Roman" w:cs="Times New Roman"/>
                <w:sz w:val="22"/>
                <w:lang w:val="en-GB"/>
              </w:rPr>
            </w:pPr>
            <w:r w:rsidRPr="0025669D">
              <w:rPr>
                <w:rFonts w:ascii="Times New Roman" w:eastAsia="Malgun Gothic" w:hAnsi="Times New Roman" w:cs="Times New Roman"/>
                <w:sz w:val="22"/>
                <w:lang w:val="en-GB"/>
              </w:rPr>
              <w:t>0.00</w:t>
            </w:r>
          </w:p>
        </w:tc>
      </w:tr>
      <w:tr w:rsidR="004A10AE" w:rsidRPr="0025669D" w14:paraId="004A2228" w14:textId="77777777" w:rsidTr="005A4B0D">
        <w:trPr>
          <w:cantSplit/>
          <w:trHeight w:val="320"/>
          <w:jc w:val="center"/>
        </w:trPr>
        <w:tc>
          <w:tcPr>
            <w:tcW w:w="3531" w:type="dxa"/>
            <w:tcBorders>
              <w:top w:val="nil"/>
              <w:left w:val="nil"/>
              <w:right w:val="nil"/>
            </w:tcBorders>
            <w:vAlign w:val="bottom"/>
          </w:tcPr>
          <w:p w14:paraId="59C525A2" w14:textId="77777777" w:rsidR="004A10AE" w:rsidRPr="0025669D" w:rsidRDefault="004A10AE" w:rsidP="007947DB">
            <w:pPr>
              <w:spacing w:after="0" w:line="240" w:lineRule="auto"/>
              <w:jc w:val="left"/>
              <w:rPr>
                <w:rFonts w:ascii="Times New Roman" w:eastAsia="Malgun Gothic" w:hAnsi="Times New Roman" w:cs="Times New Roman"/>
                <w:sz w:val="22"/>
                <w:lang w:val="en-GB"/>
              </w:rPr>
            </w:pPr>
            <w:r w:rsidRPr="0025669D">
              <w:rPr>
                <w:rFonts w:ascii="Times New Roman" w:eastAsia="Malgun Gothic" w:hAnsi="Times New Roman" w:cs="Times New Roman"/>
                <w:sz w:val="22"/>
                <w:lang w:val="en-GB"/>
              </w:rPr>
              <w:t>Improvement from baseline in HAQ averaged over time from week 30 to week 54</w:t>
            </w:r>
            <w:r w:rsidRPr="0025669D">
              <w:rPr>
                <w:rFonts w:ascii="Times New Roman" w:eastAsia="Malgun Gothic" w:hAnsi="Times New Roman" w:cs="Times New Roman"/>
                <w:sz w:val="22"/>
                <w:vertAlign w:val="superscript"/>
                <w:lang w:val="en-GB"/>
              </w:rPr>
              <w:t>c</w:t>
            </w:r>
          </w:p>
        </w:tc>
        <w:tc>
          <w:tcPr>
            <w:tcW w:w="1559" w:type="dxa"/>
            <w:tcBorders>
              <w:top w:val="nil"/>
              <w:left w:val="nil"/>
              <w:right w:val="nil"/>
            </w:tcBorders>
            <w:vAlign w:val="center"/>
          </w:tcPr>
          <w:p w14:paraId="7B419283" w14:textId="77777777" w:rsidR="004A10AE" w:rsidRPr="0025669D" w:rsidRDefault="004A10AE" w:rsidP="007947DB">
            <w:pPr>
              <w:spacing w:after="0" w:line="240" w:lineRule="auto"/>
              <w:jc w:val="center"/>
              <w:rPr>
                <w:rFonts w:ascii="Times New Roman" w:eastAsia="Malgun Gothic" w:hAnsi="Times New Roman" w:cs="Times New Roman"/>
                <w:sz w:val="22"/>
                <w:lang w:val="en-GB"/>
              </w:rPr>
            </w:pPr>
          </w:p>
        </w:tc>
        <w:tc>
          <w:tcPr>
            <w:tcW w:w="1276" w:type="dxa"/>
            <w:tcBorders>
              <w:top w:val="nil"/>
              <w:left w:val="nil"/>
              <w:right w:val="nil"/>
            </w:tcBorders>
            <w:vAlign w:val="center"/>
          </w:tcPr>
          <w:p w14:paraId="1D9EA38D" w14:textId="77777777" w:rsidR="004A10AE" w:rsidRPr="0025669D" w:rsidRDefault="004A10AE" w:rsidP="007947DB">
            <w:pPr>
              <w:spacing w:after="0" w:line="240" w:lineRule="auto"/>
              <w:jc w:val="center"/>
              <w:rPr>
                <w:rFonts w:ascii="Times New Roman" w:eastAsia="Malgun Gothic" w:hAnsi="Times New Roman" w:cs="Times New Roman"/>
                <w:sz w:val="22"/>
                <w:lang w:val="en-GB"/>
              </w:rPr>
            </w:pPr>
          </w:p>
        </w:tc>
        <w:tc>
          <w:tcPr>
            <w:tcW w:w="1276" w:type="dxa"/>
            <w:tcBorders>
              <w:top w:val="nil"/>
              <w:left w:val="nil"/>
              <w:right w:val="nil"/>
            </w:tcBorders>
            <w:vAlign w:val="center"/>
          </w:tcPr>
          <w:p w14:paraId="69F52AB7" w14:textId="77777777" w:rsidR="004A10AE" w:rsidRPr="0025669D" w:rsidRDefault="004A10AE" w:rsidP="007947DB">
            <w:pPr>
              <w:spacing w:after="0" w:line="240" w:lineRule="auto"/>
              <w:jc w:val="center"/>
              <w:rPr>
                <w:rFonts w:ascii="Times New Roman" w:eastAsia="Malgun Gothic" w:hAnsi="Times New Roman" w:cs="Times New Roman"/>
                <w:sz w:val="22"/>
                <w:lang w:val="en-GB"/>
              </w:rPr>
            </w:pPr>
          </w:p>
        </w:tc>
        <w:tc>
          <w:tcPr>
            <w:tcW w:w="1403" w:type="dxa"/>
            <w:tcBorders>
              <w:top w:val="nil"/>
              <w:left w:val="nil"/>
              <w:right w:val="nil"/>
            </w:tcBorders>
            <w:vAlign w:val="center"/>
          </w:tcPr>
          <w:p w14:paraId="7D74AE28" w14:textId="77777777" w:rsidR="004A10AE" w:rsidRPr="0025669D" w:rsidRDefault="004A10AE" w:rsidP="007947DB">
            <w:pPr>
              <w:spacing w:after="0" w:line="240" w:lineRule="auto"/>
              <w:jc w:val="center"/>
              <w:rPr>
                <w:rFonts w:ascii="Times New Roman" w:eastAsia="Malgun Gothic" w:hAnsi="Times New Roman" w:cs="Times New Roman"/>
                <w:sz w:val="22"/>
                <w:lang w:val="en-GB"/>
              </w:rPr>
            </w:pPr>
          </w:p>
        </w:tc>
      </w:tr>
      <w:tr w:rsidR="004A10AE" w:rsidRPr="0025669D" w14:paraId="391F3223" w14:textId="77777777" w:rsidTr="005A4B0D">
        <w:trPr>
          <w:cantSplit/>
          <w:trHeight w:val="320"/>
          <w:jc w:val="center"/>
        </w:trPr>
        <w:tc>
          <w:tcPr>
            <w:tcW w:w="3531" w:type="dxa"/>
            <w:tcBorders>
              <w:top w:val="nil"/>
              <w:left w:val="nil"/>
              <w:bottom w:val="single" w:sz="4" w:space="0" w:color="auto"/>
              <w:right w:val="nil"/>
            </w:tcBorders>
            <w:vAlign w:val="bottom"/>
          </w:tcPr>
          <w:p w14:paraId="370D021E" w14:textId="77777777" w:rsidR="004A10AE" w:rsidRPr="0025669D" w:rsidRDefault="004A10AE" w:rsidP="007947DB">
            <w:pPr>
              <w:spacing w:after="0" w:line="240" w:lineRule="auto"/>
              <w:jc w:val="left"/>
              <w:rPr>
                <w:rFonts w:ascii="Times New Roman" w:eastAsia="Malgun Gothic" w:hAnsi="Times New Roman" w:cs="Times New Roman"/>
                <w:sz w:val="22"/>
                <w:lang w:val="en-GB"/>
              </w:rPr>
            </w:pPr>
            <w:r w:rsidRPr="0025669D">
              <w:rPr>
                <w:rFonts w:ascii="Times New Roman" w:eastAsia="Malgun Gothic" w:hAnsi="Times New Roman" w:cs="Times New Roman"/>
                <w:sz w:val="22"/>
                <w:lang w:val="en-GB"/>
              </w:rPr>
              <w:t xml:space="preserve">Mean ± </w:t>
            </w:r>
            <w:proofErr w:type="spellStart"/>
            <w:r w:rsidRPr="0025669D">
              <w:rPr>
                <w:rFonts w:ascii="Times New Roman" w:eastAsia="Malgun Gothic" w:hAnsi="Times New Roman" w:cs="Times New Roman"/>
                <w:sz w:val="22"/>
                <w:lang w:val="en-GB"/>
              </w:rPr>
              <w:t>SD</w:t>
            </w:r>
            <w:r w:rsidRPr="0025669D">
              <w:rPr>
                <w:rFonts w:ascii="Times New Roman" w:eastAsia="Malgun Gothic" w:hAnsi="Times New Roman" w:cs="Times New Roman"/>
                <w:sz w:val="22"/>
                <w:vertAlign w:val="superscript"/>
                <w:lang w:val="en-GB"/>
              </w:rPr>
              <w:t>d</w:t>
            </w:r>
            <w:proofErr w:type="spellEnd"/>
          </w:p>
        </w:tc>
        <w:tc>
          <w:tcPr>
            <w:tcW w:w="1559" w:type="dxa"/>
            <w:tcBorders>
              <w:top w:val="nil"/>
              <w:left w:val="nil"/>
              <w:bottom w:val="single" w:sz="4" w:space="0" w:color="auto"/>
              <w:right w:val="nil"/>
            </w:tcBorders>
            <w:vAlign w:val="center"/>
          </w:tcPr>
          <w:p w14:paraId="09170B79" w14:textId="77777777" w:rsidR="004A10AE" w:rsidRPr="0025669D" w:rsidRDefault="004A10AE" w:rsidP="007947DB">
            <w:pPr>
              <w:spacing w:after="0" w:line="240" w:lineRule="auto"/>
              <w:jc w:val="center"/>
              <w:rPr>
                <w:rFonts w:ascii="Times New Roman" w:eastAsia="Malgun Gothic" w:hAnsi="Times New Roman" w:cs="Times New Roman"/>
                <w:sz w:val="22"/>
                <w:lang w:val="en-GB"/>
              </w:rPr>
            </w:pPr>
            <w:r w:rsidRPr="0025669D">
              <w:rPr>
                <w:rFonts w:ascii="Times New Roman" w:eastAsia="Malgun Gothic" w:hAnsi="Times New Roman" w:cs="Times New Roman"/>
                <w:sz w:val="22"/>
                <w:lang w:val="en-GB"/>
              </w:rPr>
              <w:t>0.68 ± 0.63</w:t>
            </w:r>
          </w:p>
        </w:tc>
        <w:tc>
          <w:tcPr>
            <w:tcW w:w="1276" w:type="dxa"/>
            <w:tcBorders>
              <w:top w:val="nil"/>
              <w:left w:val="nil"/>
              <w:bottom w:val="single" w:sz="4" w:space="0" w:color="auto"/>
              <w:right w:val="nil"/>
            </w:tcBorders>
            <w:vAlign w:val="center"/>
          </w:tcPr>
          <w:p w14:paraId="541FE943" w14:textId="77777777" w:rsidR="004A10AE" w:rsidRPr="0025669D" w:rsidRDefault="004A10AE" w:rsidP="007947DB">
            <w:pPr>
              <w:spacing w:after="0" w:line="240" w:lineRule="auto"/>
              <w:jc w:val="center"/>
              <w:rPr>
                <w:rFonts w:ascii="Times New Roman" w:eastAsia="Malgun Gothic" w:hAnsi="Times New Roman" w:cs="Times New Roman"/>
                <w:sz w:val="22"/>
                <w:lang w:val="en-GB"/>
              </w:rPr>
            </w:pPr>
            <w:r w:rsidRPr="0025669D">
              <w:rPr>
                <w:rFonts w:ascii="Times New Roman" w:eastAsia="Malgun Gothic" w:hAnsi="Times New Roman" w:cs="Times New Roman"/>
                <w:sz w:val="22"/>
                <w:lang w:val="en-GB"/>
              </w:rPr>
              <w:t>0.80 ± 0.65</w:t>
            </w:r>
          </w:p>
        </w:tc>
        <w:tc>
          <w:tcPr>
            <w:tcW w:w="1276" w:type="dxa"/>
            <w:tcBorders>
              <w:top w:val="nil"/>
              <w:left w:val="nil"/>
              <w:bottom w:val="single" w:sz="4" w:space="0" w:color="auto"/>
              <w:right w:val="nil"/>
            </w:tcBorders>
            <w:vAlign w:val="center"/>
          </w:tcPr>
          <w:p w14:paraId="6744940B" w14:textId="77777777" w:rsidR="004A10AE" w:rsidRPr="0025669D" w:rsidRDefault="004A10AE" w:rsidP="007947DB">
            <w:pPr>
              <w:spacing w:after="0" w:line="240" w:lineRule="auto"/>
              <w:jc w:val="center"/>
              <w:rPr>
                <w:rFonts w:ascii="Times New Roman" w:eastAsia="Malgun Gothic" w:hAnsi="Times New Roman" w:cs="Times New Roman"/>
                <w:sz w:val="22"/>
                <w:lang w:val="en-GB"/>
              </w:rPr>
            </w:pPr>
            <w:r w:rsidRPr="0025669D">
              <w:rPr>
                <w:rFonts w:ascii="Times New Roman" w:eastAsia="Malgun Gothic" w:hAnsi="Times New Roman" w:cs="Times New Roman"/>
                <w:sz w:val="22"/>
                <w:lang w:val="en-GB"/>
              </w:rPr>
              <w:t>0.88 ± 0.65</w:t>
            </w:r>
          </w:p>
        </w:tc>
        <w:tc>
          <w:tcPr>
            <w:tcW w:w="1403" w:type="dxa"/>
            <w:tcBorders>
              <w:top w:val="nil"/>
              <w:left w:val="nil"/>
              <w:bottom w:val="single" w:sz="4" w:space="0" w:color="auto"/>
              <w:right w:val="nil"/>
            </w:tcBorders>
            <w:vAlign w:val="center"/>
          </w:tcPr>
          <w:p w14:paraId="4CF048A1" w14:textId="77777777" w:rsidR="004A10AE" w:rsidRPr="0025669D" w:rsidRDefault="004A10AE" w:rsidP="007947DB">
            <w:pPr>
              <w:spacing w:after="0" w:line="240" w:lineRule="auto"/>
              <w:jc w:val="center"/>
              <w:rPr>
                <w:rFonts w:ascii="Times New Roman" w:eastAsia="Malgun Gothic" w:hAnsi="Times New Roman" w:cs="Times New Roman"/>
                <w:sz w:val="22"/>
                <w:lang w:val="en-GB"/>
              </w:rPr>
            </w:pPr>
            <w:r w:rsidRPr="0025669D">
              <w:rPr>
                <w:rFonts w:ascii="Times New Roman" w:eastAsia="Malgun Gothic" w:hAnsi="Times New Roman" w:cs="Times New Roman"/>
                <w:sz w:val="22"/>
                <w:lang w:val="en-GB"/>
              </w:rPr>
              <w:t>0.84 ± 0.65</w:t>
            </w:r>
          </w:p>
        </w:tc>
      </w:tr>
      <w:tr w:rsidR="004A10AE" w:rsidRPr="0025669D" w14:paraId="71C59207" w14:textId="77777777" w:rsidTr="005A4B0D">
        <w:trPr>
          <w:cantSplit/>
          <w:trHeight w:val="320"/>
          <w:jc w:val="center"/>
        </w:trPr>
        <w:tc>
          <w:tcPr>
            <w:tcW w:w="9045" w:type="dxa"/>
            <w:gridSpan w:val="5"/>
            <w:tcBorders>
              <w:top w:val="single" w:sz="4" w:space="0" w:color="auto"/>
              <w:left w:val="nil"/>
              <w:bottom w:val="nil"/>
              <w:right w:val="nil"/>
            </w:tcBorders>
            <w:vAlign w:val="bottom"/>
          </w:tcPr>
          <w:p w14:paraId="7CD346E5" w14:textId="77777777" w:rsidR="004A10AE" w:rsidRPr="0025669D" w:rsidRDefault="004A10AE" w:rsidP="007947DB">
            <w:pPr>
              <w:pStyle w:val="NoSpacing"/>
              <w:jc w:val="left"/>
              <w:rPr>
                <w:rFonts w:ascii="Times New Roman" w:eastAsia="Malgun Gothic" w:hAnsi="Times New Roman" w:cs="Times New Roman"/>
                <w:szCs w:val="20"/>
                <w:lang w:val="en-AU"/>
              </w:rPr>
            </w:pPr>
            <w:r w:rsidRPr="0025669D">
              <w:rPr>
                <w:rFonts w:ascii="Times New Roman" w:eastAsia="Malgun Gothic" w:hAnsi="Times New Roman" w:cs="Times New Roman"/>
                <w:szCs w:val="20"/>
                <w:lang w:val="en-AU"/>
              </w:rPr>
              <w:lastRenderedPageBreak/>
              <w:t>a: p &lt; 0.001, for each infliximab treatment group vs. control</w:t>
            </w:r>
          </w:p>
          <w:p w14:paraId="5053CBC2" w14:textId="77777777" w:rsidR="004A10AE" w:rsidRPr="0025669D" w:rsidRDefault="004A10AE" w:rsidP="007947DB">
            <w:pPr>
              <w:pStyle w:val="NoSpacing"/>
              <w:jc w:val="left"/>
              <w:rPr>
                <w:rFonts w:ascii="Times New Roman" w:eastAsia="Malgun Gothic" w:hAnsi="Times New Roman" w:cs="Times New Roman"/>
                <w:szCs w:val="20"/>
                <w:lang w:val="en-AU"/>
              </w:rPr>
            </w:pPr>
            <w:proofErr w:type="gramStart"/>
            <w:r w:rsidRPr="0025669D">
              <w:rPr>
                <w:rFonts w:ascii="Times New Roman" w:eastAsia="Malgun Gothic" w:hAnsi="Times New Roman" w:cs="Times New Roman"/>
                <w:szCs w:val="20"/>
                <w:lang w:val="en-AU"/>
              </w:rPr>
              <w:t>b</w:t>
            </w:r>
            <w:proofErr w:type="gramEnd"/>
            <w:r w:rsidRPr="0025669D">
              <w:rPr>
                <w:rFonts w:ascii="Times New Roman" w:eastAsia="Malgun Gothic" w:hAnsi="Times New Roman" w:cs="Times New Roman"/>
                <w:szCs w:val="20"/>
                <w:lang w:val="en-AU"/>
              </w:rPr>
              <w:t>: greater values indicate more joint damage.</w:t>
            </w:r>
          </w:p>
          <w:p w14:paraId="39BCA206" w14:textId="77777777" w:rsidR="004A10AE" w:rsidRPr="0025669D" w:rsidRDefault="004A10AE" w:rsidP="007947DB">
            <w:pPr>
              <w:pStyle w:val="NoSpacing"/>
              <w:jc w:val="left"/>
              <w:rPr>
                <w:rFonts w:ascii="Times New Roman" w:eastAsia="Malgun Gothic" w:hAnsi="Times New Roman" w:cs="Times New Roman"/>
                <w:szCs w:val="20"/>
                <w:lang w:val="en-AU"/>
              </w:rPr>
            </w:pPr>
            <w:proofErr w:type="gramStart"/>
            <w:r w:rsidRPr="0025669D">
              <w:rPr>
                <w:rFonts w:ascii="Times New Roman" w:eastAsia="Malgun Gothic" w:hAnsi="Times New Roman" w:cs="Times New Roman"/>
                <w:szCs w:val="20"/>
                <w:lang w:val="en-AU"/>
              </w:rPr>
              <w:t>c</w:t>
            </w:r>
            <w:proofErr w:type="gramEnd"/>
            <w:r w:rsidRPr="0025669D">
              <w:rPr>
                <w:rFonts w:ascii="Times New Roman" w:eastAsia="Malgun Gothic" w:hAnsi="Times New Roman" w:cs="Times New Roman"/>
                <w:szCs w:val="20"/>
                <w:lang w:val="en-AU"/>
              </w:rPr>
              <w:t>: HAQ = Health Assessment Questionnaire; greater values indicate less disability.</w:t>
            </w:r>
          </w:p>
          <w:p w14:paraId="14A0A423" w14:textId="77777777" w:rsidR="004A10AE" w:rsidRPr="0025669D" w:rsidRDefault="004A10AE" w:rsidP="007947DB">
            <w:pPr>
              <w:pStyle w:val="NoSpacing"/>
              <w:jc w:val="left"/>
              <w:rPr>
                <w:rFonts w:ascii="Times New Roman" w:eastAsia="Malgun Gothic" w:hAnsi="Times New Roman" w:cs="Times New Roman"/>
                <w:sz w:val="22"/>
                <w:lang w:val="en-GB"/>
              </w:rPr>
            </w:pPr>
            <w:proofErr w:type="gramStart"/>
            <w:r w:rsidRPr="0025669D">
              <w:rPr>
                <w:rFonts w:ascii="Times New Roman" w:eastAsia="Malgun Gothic" w:hAnsi="Times New Roman" w:cs="Times New Roman"/>
                <w:szCs w:val="20"/>
                <w:lang w:val="en-AU"/>
              </w:rPr>
              <w:t>d</w:t>
            </w:r>
            <w:proofErr w:type="gramEnd"/>
            <w:r w:rsidRPr="0025669D">
              <w:rPr>
                <w:rFonts w:ascii="Times New Roman" w:eastAsia="Malgun Gothic" w:hAnsi="Times New Roman" w:cs="Times New Roman"/>
                <w:szCs w:val="20"/>
                <w:lang w:val="en-AU"/>
              </w:rPr>
              <w:t>: p = 0.030 and &lt; 0.001 for the 3mg/kg and 6mg/kg treatment groups respectively vs. placebo + MTX.</w:t>
            </w:r>
          </w:p>
        </w:tc>
      </w:tr>
    </w:tbl>
    <w:p w14:paraId="4380030A" w14:textId="77777777" w:rsidR="004A10AE" w:rsidRDefault="004A10AE" w:rsidP="007947DB">
      <w:pPr>
        <w:spacing w:line="240" w:lineRule="auto"/>
        <w:jc w:val="left"/>
        <w:rPr>
          <w:rFonts w:ascii="Times New Roman" w:eastAsia="Malgun Gothic" w:hAnsi="Times New Roman" w:cs="Times New Roman"/>
          <w:sz w:val="24"/>
          <w:szCs w:val="24"/>
          <w:lang w:val="en-GB"/>
        </w:rPr>
      </w:pPr>
    </w:p>
    <w:p w14:paraId="21017113" w14:textId="0EABE632" w:rsidR="004A10AE" w:rsidRDefault="004A10AE" w:rsidP="007947DB">
      <w:pPr>
        <w:spacing w:line="240" w:lineRule="auto"/>
        <w:jc w:val="left"/>
        <w:rPr>
          <w:rFonts w:ascii="Times New Roman" w:eastAsia="Malgun Gothic" w:hAnsi="Times New Roman" w:cs="Times New Roman"/>
          <w:sz w:val="24"/>
          <w:szCs w:val="24"/>
        </w:rPr>
      </w:pPr>
      <w:r w:rsidRPr="0025669D">
        <w:rPr>
          <w:rFonts w:ascii="Times New Roman" w:eastAsia="Malgun Gothic" w:hAnsi="Times New Roman" w:cs="Times New Roman"/>
          <w:sz w:val="24"/>
          <w:szCs w:val="24"/>
        </w:rPr>
        <w:t xml:space="preserve">Data to support infliximab dose adjustment in rheumatoid arthritis comes from both ATTRACT and ASPIRE, as well as from the START study. START was a </w:t>
      </w:r>
      <w:proofErr w:type="spellStart"/>
      <w:r w:rsidRPr="0025669D">
        <w:rPr>
          <w:rFonts w:ascii="Times New Roman" w:eastAsia="Malgun Gothic" w:hAnsi="Times New Roman" w:cs="Times New Roman"/>
          <w:sz w:val="24"/>
          <w:szCs w:val="24"/>
        </w:rPr>
        <w:t>randomised</w:t>
      </w:r>
      <w:proofErr w:type="spellEnd"/>
      <w:r w:rsidRPr="0025669D">
        <w:rPr>
          <w:rFonts w:ascii="Times New Roman" w:eastAsia="Malgun Gothic" w:hAnsi="Times New Roman" w:cs="Times New Roman"/>
          <w:sz w:val="24"/>
          <w:szCs w:val="24"/>
        </w:rPr>
        <w:t xml:space="preserve">, </w:t>
      </w:r>
      <w:proofErr w:type="spellStart"/>
      <w:r w:rsidRPr="0025669D">
        <w:rPr>
          <w:rFonts w:ascii="Times New Roman" w:eastAsia="Malgun Gothic" w:hAnsi="Times New Roman" w:cs="Times New Roman"/>
          <w:sz w:val="24"/>
          <w:szCs w:val="24"/>
        </w:rPr>
        <w:t>multicentre</w:t>
      </w:r>
      <w:proofErr w:type="spellEnd"/>
      <w:r w:rsidRPr="0025669D">
        <w:rPr>
          <w:rFonts w:ascii="Times New Roman" w:eastAsia="Malgun Gothic" w:hAnsi="Times New Roman" w:cs="Times New Roman"/>
          <w:sz w:val="24"/>
          <w:szCs w:val="24"/>
        </w:rPr>
        <w:t xml:space="preserve">, double-blind, 3-arm, parallel-group safety study. In one of the arms the secondary objective was to assess the safety and efficacy of dose escalation above 3 mg/kg of infliximab in 1.5 mg/kg increments to a maximum of 9 mg/kg, given every 8 weeks in subjects with an inadequate response to 3 mg/kg at week 22 or if a flare occurred later. Results are </w:t>
      </w:r>
      <w:r w:rsidRPr="00237627">
        <w:rPr>
          <w:rFonts w:ascii="Times New Roman" w:eastAsia="Malgun Gothic" w:hAnsi="Times New Roman" w:cs="Times New Roman"/>
          <w:sz w:val="24"/>
          <w:szCs w:val="24"/>
        </w:rPr>
        <w:t xml:space="preserve">shown in </w:t>
      </w:r>
      <w:r w:rsidRPr="00237627">
        <w:rPr>
          <w:rFonts w:ascii="Times New Roman" w:eastAsia="Malgun Gothic" w:hAnsi="Times New Roman" w:cs="Times New Roman"/>
          <w:sz w:val="24"/>
          <w:szCs w:val="24"/>
        </w:rPr>
        <w:fldChar w:fldCharType="begin"/>
      </w:r>
      <w:r w:rsidRPr="00237627">
        <w:rPr>
          <w:rFonts w:ascii="Times New Roman" w:eastAsia="Malgun Gothic" w:hAnsi="Times New Roman" w:cs="Times New Roman"/>
          <w:sz w:val="24"/>
          <w:szCs w:val="24"/>
        </w:rPr>
        <w:instrText xml:space="preserve"> REF _Ref423967775 \h </w:instrText>
      </w:r>
      <w:r>
        <w:rPr>
          <w:rFonts w:ascii="Times New Roman" w:eastAsia="Malgun Gothic" w:hAnsi="Times New Roman" w:cs="Times New Roman"/>
          <w:sz w:val="24"/>
          <w:szCs w:val="24"/>
        </w:rPr>
        <w:instrText xml:space="preserve"> \* MERGEFORMAT </w:instrText>
      </w:r>
      <w:r w:rsidRPr="00237627">
        <w:rPr>
          <w:rFonts w:ascii="Times New Roman" w:eastAsia="Malgun Gothic" w:hAnsi="Times New Roman" w:cs="Times New Roman"/>
          <w:sz w:val="24"/>
          <w:szCs w:val="24"/>
        </w:rPr>
      </w:r>
      <w:r w:rsidRPr="00237627">
        <w:rPr>
          <w:rFonts w:ascii="Times New Roman" w:eastAsia="Malgun Gothic" w:hAnsi="Times New Roman" w:cs="Times New Roman"/>
          <w:sz w:val="24"/>
          <w:szCs w:val="24"/>
        </w:rPr>
        <w:fldChar w:fldCharType="separate"/>
      </w:r>
      <w:r w:rsidR="005A6BF4" w:rsidRPr="005A6BF4">
        <w:rPr>
          <w:rFonts w:ascii="Times New Roman" w:hAnsi="Times New Roman" w:cs="Times New Roman"/>
          <w:sz w:val="24"/>
          <w:szCs w:val="24"/>
        </w:rPr>
        <w:t xml:space="preserve">Table </w:t>
      </w:r>
      <w:r w:rsidR="005A6BF4" w:rsidRPr="005A6BF4">
        <w:rPr>
          <w:rFonts w:ascii="Times New Roman" w:hAnsi="Times New Roman" w:cs="Times New Roman"/>
          <w:noProof/>
          <w:sz w:val="24"/>
          <w:szCs w:val="24"/>
        </w:rPr>
        <w:t>4</w:t>
      </w:r>
      <w:r w:rsidRPr="00237627">
        <w:rPr>
          <w:rFonts w:ascii="Times New Roman" w:eastAsia="Malgun Gothic" w:hAnsi="Times New Roman" w:cs="Times New Roman"/>
          <w:sz w:val="24"/>
          <w:szCs w:val="24"/>
        </w:rPr>
        <w:fldChar w:fldCharType="end"/>
      </w:r>
      <w:r w:rsidRPr="00237627">
        <w:rPr>
          <w:rFonts w:ascii="Times New Roman" w:eastAsia="Malgun Gothic" w:hAnsi="Times New Roman" w:cs="Times New Roman"/>
          <w:sz w:val="24"/>
          <w:szCs w:val="24"/>
        </w:rPr>
        <w:t>.</w:t>
      </w:r>
    </w:p>
    <w:p w14:paraId="09798002" w14:textId="761B2B27" w:rsidR="004A10AE" w:rsidRPr="00237627" w:rsidRDefault="004A10AE" w:rsidP="007947DB">
      <w:pPr>
        <w:pStyle w:val="Caption"/>
        <w:keepNext/>
        <w:spacing w:after="0" w:line="240" w:lineRule="auto"/>
        <w:rPr>
          <w:rFonts w:ascii="Times New Roman" w:hAnsi="Times New Roman" w:cs="Times New Roman"/>
          <w:sz w:val="22"/>
          <w:szCs w:val="22"/>
        </w:rPr>
      </w:pPr>
      <w:bookmarkStart w:id="4" w:name="_Ref423967775"/>
      <w:proofErr w:type="gramStart"/>
      <w:r w:rsidRPr="00237627">
        <w:rPr>
          <w:rFonts w:ascii="Times New Roman" w:hAnsi="Times New Roman" w:cs="Times New Roman"/>
          <w:sz w:val="22"/>
          <w:szCs w:val="22"/>
        </w:rPr>
        <w:t xml:space="preserve">Table </w:t>
      </w:r>
      <w:r w:rsidRPr="00237627">
        <w:rPr>
          <w:rFonts w:ascii="Times New Roman" w:hAnsi="Times New Roman" w:cs="Times New Roman"/>
          <w:sz w:val="22"/>
          <w:szCs w:val="22"/>
        </w:rPr>
        <w:fldChar w:fldCharType="begin"/>
      </w:r>
      <w:r w:rsidRPr="00237627">
        <w:rPr>
          <w:rFonts w:ascii="Times New Roman" w:hAnsi="Times New Roman" w:cs="Times New Roman"/>
          <w:sz w:val="22"/>
          <w:szCs w:val="22"/>
        </w:rPr>
        <w:instrText xml:space="preserve"> SEQ Table \* ARABIC </w:instrText>
      </w:r>
      <w:r w:rsidRPr="00237627">
        <w:rPr>
          <w:rFonts w:ascii="Times New Roman" w:hAnsi="Times New Roman" w:cs="Times New Roman"/>
          <w:sz w:val="22"/>
          <w:szCs w:val="22"/>
        </w:rPr>
        <w:fldChar w:fldCharType="separate"/>
      </w:r>
      <w:r w:rsidR="005A6BF4">
        <w:rPr>
          <w:rFonts w:ascii="Times New Roman" w:hAnsi="Times New Roman" w:cs="Times New Roman"/>
          <w:noProof/>
          <w:sz w:val="22"/>
          <w:szCs w:val="22"/>
        </w:rPr>
        <w:t>4</w:t>
      </w:r>
      <w:r w:rsidRPr="00237627">
        <w:rPr>
          <w:rFonts w:ascii="Times New Roman" w:hAnsi="Times New Roman" w:cs="Times New Roman"/>
          <w:sz w:val="22"/>
          <w:szCs w:val="22"/>
        </w:rPr>
        <w:fldChar w:fldCharType="end"/>
      </w:r>
      <w:bookmarkEnd w:id="4"/>
      <w:r w:rsidRPr="00237627">
        <w:rPr>
          <w:rFonts w:ascii="Times New Roman" w:hAnsi="Times New Roman" w:cs="Times New Roman"/>
          <w:sz w:val="22"/>
          <w:szCs w:val="22"/>
        </w:rPr>
        <w:t>.</w:t>
      </w:r>
      <w:proofErr w:type="gramEnd"/>
      <w:r w:rsidRPr="00237627">
        <w:rPr>
          <w:rFonts w:ascii="Times New Roman" w:hAnsi="Times New Roman" w:cs="Times New Roman"/>
          <w:sz w:val="22"/>
          <w:szCs w:val="22"/>
        </w:rPr>
        <w:t xml:space="preserve"> </w:t>
      </w:r>
      <w:r w:rsidRPr="007947DB">
        <w:rPr>
          <w:rFonts w:ascii="Times New Roman" w:hAnsi="Times New Roman" w:cs="Times New Roman"/>
          <w:sz w:val="22"/>
          <w:szCs w:val="22"/>
        </w:rPr>
        <w:t>Summary of responders by number of dose escalations (START)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94"/>
        <w:gridCol w:w="1505"/>
        <w:gridCol w:w="1643"/>
      </w:tblGrid>
      <w:tr w:rsidR="004A10AE" w:rsidRPr="0025669D" w14:paraId="6AD0C6E7" w14:textId="77777777" w:rsidTr="005A4B0D">
        <w:trPr>
          <w:jc w:val="center"/>
        </w:trPr>
        <w:tc>
          <w:tcPr>
            <w:tcW w:w="3297" w:type="pct"/>
            <w:tcBorders>
              <w:top w:val="single" w:sz="12" w:space="0" w:color="auto"/>
              <w:left w:val="nil"/>
              <w:bottom w:val="single" w:sz="4" w:space="0" w:color="auto"/>
              <w:right w:val="nil"/>
            </w:tcBorders>
          </w:tcPr>
          <w:p w14:paraId="15307797" w14:textId="77777777" w:rsidR="004A10AE" w:rsidRPr="00C04A1B" w:rsidRDefault="004A10AE" w:rsidP="007947DB">
            <w:pPr>
              <w:pStyle w:val="NoSpacing"/>
              <w:rPr>
                <w:rFonts w:ascii="Times New Roman" w:hAnsi="Times New Roman" w:cs="Times New Roman"/>
                <w:sz w:val="22"/>
                <w:lang w:val="en-GB"/>
              </w:rPr>
            </w:pPr>
          </w:p>
        </w:tc>
        <w:tc>
          <w:tcPr>
            <w:tcW w:w="814" w:type="pct"/>
            <w:tcBorders>
              <w:top w:val="single" w:sz="12" w:space="0" w:color="auto"/>
              <w:left w:val="nil"/>
              <w:bottom w:val="single" w:sz="4" w:space="0" w:color="auto"/>
              <w:right w:val="nil"/>
            </w:tcBorders>
            <w:vAlign w:val="center"/>
          </w:tcPr>
          <w:p w14:paraId="7F688B6E" w14:textId="77777777" w:rsidR="004A10AE" w:rsidRPr="00C04A1B" w:rsidRDefault="004A10AE" w:rsidP="007947DB">
            <w:pPr>
              <w:pStyle w:val="NoSpacing"/>
              <w:jc w:val="center"/>
              <w:rPr>
                <w:rFonts w:ascii="Times New Roman" w:hAnsi="Times New Roman" w:cs="Times New Roman"/>
                <w:sz w:val="22"/>
                <w:lang w:val="en-GB"/>
              </w:rPr>
            </w:pPr>
          </w:p>
          <w:p w14:paraId="68BA0846" w14:textId="77777777" w:rsidR="004A10AE" w:rsidRPr="00C04A1B" w:rsidRDefault="004A10AE" w:rsidP="007947DB">
            <w:pPr>
              <w:pStyle w:val="NoSpacing"/>
              <w:jc w:val="center"/>
              <w:rPr>
                <w:rFonts w:ascii="Times New Roman" w:hAnsi="Times New Roman" w:cs="Times New Roman"/>
                <w:sz w:val="22"/>
                <w:lang w:val="en-GB"/>
              </w:rPr>
            </w:pPr>
            <w:r w:rsidRPr="00C04A1B">
              <w:rPr>
                <w:rFonts w:ascii="Times New Roman" w:hAnsi="Times New Roman" w:cs="Times New Roman"/>
                <w:sz w:val="22"/>
                <w:lang w:val="en-GB"/>
              </w:rPr>
              <w:t>n</w:t>
            </w:r>
          </w:p>
        </w:tc>
        <w:tc>
          <w:tcPr>
            <w:tcW w:w="889" w:type="pct"/>
            <w:tcBorders>
              <w:top w:val="single" w:sz="12" w:space="0" w:color="auto"/>
              <w:left w:val="nil"/>
              <w:bottom w:val="single" w:sz="4" w:space="0" w:color="auto"/>
              <w:right w:val="nil"/>
            </w:tcBorders>
            <w:vAlign w:val="center"/>
          </w:tcPr>
          <w:p w14:paraId="43DC554C" w14:textId="77777777" w:rsidR="004A10AE" w:rsidRPr="00C04A1B" w:rsidRDefault="004A10AE" w:rsidP="007947DB">
            <w:pPr>
              <w:pStyle w:val="NoSpacing"/>
              <w:jc w:val="center"/>
              <w:rPr>
                <w:rFonts w:ascii="Times New Roman" w:hAnsi="Times New Roman" w:cs="Times New Roman"/>
                <w:sz w:val="22"/>
                <w:lang w:val="en-GB"/>
              </w:rPr>
            </w:pPr>
            <w:r w:rsidRPr="00C04A1B">
              <w:rPr>
                <w:rFonts w:ascii="Times New Roman" w:hAnsi="Times New Roman" w:cs="Times New Roman"/>
                <w:sz w:val="22"/>
                <w:lang w:val="en-GB"/>
              </w:rPr>
              <w:t>Responders</w:t>
            </w:r>
          </w:p>
          <w:p w14:paraId="76C125B7" w14:textId="77777777" w:rsidR="004A10AE" w:rsidRPr="00C04A1B" w:rsidRDefault="004A10AE" w:rsidP="007947DB">
            <w:pPr>
              <w:pStyle w:val="NoSpacing"/>
              <w:jc w:val="center"/>
              <w:rPr>
                <w:rFonts w:ascii="Times New Roman" w:hAnsi="Times New Roman" w:cs="Times New Roman"/>
                <w:sz w:val="22"/>
                <w:lang w:val="en-GB"/>
              </w:rPr>
            </w:pPr>
            <w:proofErr w:type="gramStart"/>
            <w:r w:rsidRPr="00C04A1B">
              <w:rPr>
                <w:rFonts w:ascii="Times New Roman" w:hAnsi="Times New Roman" w:cs="Times New Roman"/>
                <w:sz w:val="22"/>
                <w:lang w:val="en-GB"/>
              </w:rPr>
              <w:t>n</w:t>
            </w:r>
            <w:proofErr w:type="gramEnd"/>
            <w:r w:rsidRPr="00C04A1B">
              <w:rPr>
                <w:rFonts w:ascii="Times New Roman" w:hAnsi="Times New Roman" w:cs="Times New Roman"/>
                <w:sz w:val="22"/>
                <w:lang w:val="en-GB"/>
              </w:rPr>
              <w:t xml:space="preserve"> (%)</w:t>
            </w:r>
          </w:p>
        </w:tc>
      </w:tr>
      <w:tr w:rsidR="004A10AE" w:rsidRPr="0025669D" w14:paraId="65FDAD7C" w14:textId="77777777" w:rsidTr="005A4B0D">
        <w:trPr>
          <w:jc w:val="center"/>
        </w:trPr>
        <w:tc>
          <w:tcPr>
            <w:tcW w:w="3297" w:type="pct"/>
            <w:tcBorders>
              <w:top w:val="nil"/>
              <w:left w:val="nil"/>
              <w:bottom w:val="nil"/>
              <w:right w:val="nil"/>
            </w:tcBorders>
          </w:tcPr>
          <w:p w14:paraId="666B7BA2" w14:textId="77777777" w:rsidR="004A10AE" w:rsidRPr="00C04A1B" w:rsidRDefault="004A10AE" w:rsidP="007947DB">
            <w:pPr>
              <w:pStyle w:val="NoSpacing"/>
              <w:rPr>
                <w:rFonts w:ascii="Times New Roman" w:hAnsi="Times New Roman" w:cs="Times New Roman"/>
                <w:sz w:val="22"/>
                <w:lang w:val="en-GB"/>
              </w:rPr>
            </w:pPr>
            <w:r w:rsidRPr="00C04A1B">
              <w:rPr>
                <w:rFonts w:ascii="Times New Roman" w:hAnsi="Times New Roman" w:cs="Times New Roman"/>
                <w:sz w:val="22"/>
                <w:lang w:val="en-GB"/>
              </w:rPr>
              <w:t xml:space="preserve">Patients in the study at Week 22 </w:t>
            </w:r>
          </w:p>
        </w:tc>
        <w:tc>
          <w:tcPr>
            <w:tcW w:w="814" w:type="pct"/>
            <w:tcBorders>
              <w:top w:val="nil"/>
              <w:left w:val="nil"/>
              <w:bottom w:val="nil"/>
              <w:right w:val="nil"/>
            </w:tcBorders>
            <w:vAlign w:val="center"/>
          </w:tcPr>
          <w:p w14:paraId="4472EF76" w14:textId="77777777" w:rsidR="004A10AE" w:rsidRPr="00C04A1B" w:rsidRDefault="004A10AE" w:rsidP="007947DB">
            <w:pPr>
              <w:pStyle w:val="NoSpacing"/>
              <w:jc w:val="center"/>
              <w:rPr>
                <w:rFonts w:ascii="Times New Roman" w:hAnsi="Times New Roman" w:cs="Times New Roman"/>
                <w:sz w:val="22"/>
                <w:lang w:val="en-GB"/>
              </w:rPr>
            </w:pPr>
            <w:r w:rsidRPr="00C04A1B">
              <w:rPr>
                <w:rFonts w:ascii="Times New Roman" w:hAnsi="Times New Roman" w:cs="Times New Roman"/>
                <w:sz w:val="22"/>
                <w:lang w:val="en-GB"/>
              </w:rPr>
              <w:t>329</w:t>
            </w:r>
          </w:p>
        </w:tc>
        <w:tc>
          <w:tcPr>
            <w:tcW w:w="889" w:type="pct"/>
            <w:tcBorders>
              <w:top w:val="nil"/>
              <w:left w:val="nil"/>
              <w:bottom w:val="nil"/>
              <w:right w:val="nil"/>
            </w:tcBorders>
            <w:vAlign w:val="center"/>
          </w:tcPr>
          <w:p w14:paraId="08595424" w14:textId="77777777" w:rsidR="004A10AE" w:rsidRPr="00C04A1B" w:rsidRDefault="004A10AE" w:rsidP="007947DB">
            <w:pPr>
              <w:pStyle w:val="NoSpacing"/>
              <w:jc w:val="center"/>
              <w:rPr>
                <w:rFonts w:ascii="Times New Roman" w:hAnsi="Times New Roman" w:cs="Times New Roman"/>
                <w:sz w:val="22"/>
                <w:vertAlign w:val="superscript"/>
                <w:lang w:val="en-GB"/>
              </w:rPr>
            </w:pPr>
            <w:r w:rsidRPr="00C04A1B">
              <w:rPr>
                <w:rFonts w:ascii="Times New Roman" w:hAnsi="Times New Roman" w:cs="Times New Roman"/>
                <w:sz w:val="22"/>
                <w:lang w:val="en-GB"/>
              </w:rPr>
              <w:t>220 (66.9%)</w:t>
            </w:r>
            <w:r w:rsidRPr="00C04A1B">
              <w:rPr>
                <w:rFonts w:ascii="Times New Roman" w:hAnsi="Times New Roman" w:cs="Times New Roman"/>
                <w:sz w:val="22"/>
                <w:vertAlign w:val="superscript"/>
                <w:lang w:val="en-GB"/>
              </w:rPr>
              <w:t>a</w:t>
            </w:r>
          </w:p>
        </w:tc>
      </w:tr>
      <w:tr w:rsidR="004A10AE" w:rsidRPr="0025669D" w14:paraId="711C6205" w14:textId="77777777" w:rsidTr="005A4B0D">
        <w:trPr>
          <w:jc w:val="center"/>
        </w:trPr>
        <w:tc>
          <w:tcPr>
            <w:tcW w:w="3297" w:type="pct"/>
            <w:tcBorders>
              <w:top w:val="nil"/>
              <w:left w:val="nil"/>
              <w:bottom w:val="nil"/>
              <w:right w:val="nil"/>
            </w:tcBorders>
          </w:tcPr>
          <w:p w14:paraId="4FF56808" w14:textId="77777777" w:rsidR="004A10AE" w:rsidRPr="00C04A1B" w:rsidRDefault="004A10AE" w:rsidP="007947DB">
            <w:pPr>
              <w:pStyle w:val="NoSpacing"/>
              <w:rPr>
                <w:rFonts w:ascii="Times New Roman" w:hAnsi="Times New Roman" w:cs="Times New Roman"/>
                <w:sz w:val="22"/>
                <w:lang w:val="en-GB"/>
              </w:rPr>
            </w:pPr>
            <w:r w:rsidRPr="00C04A1B">
              <w:rPr>
                <w:rFonts w:ascii="Times New Roman" w:hAnsi="Times New Roman" w:cs="Times New Roman"/>
                <w:sz w:val="22"/>
                <w:lang w:val="en-GB"/>
              </w:rPr>
              <w:t xml:space="preserve">Patients who were dose </w:t>
            </w:r>
            <w:proofErr w:type="spellStart"/>
            <w:r w:rsidRPr="00C04A1B">
              <w:rPr>
                <w:rFonts w:ascii="Times New Roman" w:hAnsi="Times New Roman" w:cs="Times New Roman"/>
                <w:sz w:val="22"/>
                <w:lang w:val="en-GB"/>
              </w:rPr>
              <w:t>escalated</w:t>
            </w:r>
            <w:r w:rsidRPr="00C04A1B">
              <w:rPr>
                <w:rFonts w:ascii="Times New Roman" w:hAnsi="Times New Roman" w:cs="Times New Roman"/>
                <w:sz w:val="22"/>
                <w:vertAlign w:val="superscript"/>
                <w:lang w:val="en-GB"/>
              </w:rPr>
              <w:t>b</w:t>
            </w:r>
            <w:proofErr w:type="spellEnd"/>
            <w:r w:rsidRPr="00C04A1B">
              <w:rPr>
                <w:rFonts w:ascii="Times New Roman" w:hAnsi="Times New Roman" w:cs="Times New Roman"/>
                <w:sz w:val="22"/>
                <w:lang w:val="en-GB"/>
              </w:rPr>
              <w:t xml:space="preserve"> </w:t>
            </w:r>
          </w:p>
        </w:tc>
        <w:tc>
          <w:tcPr>
            <w:tcW w:w="814" w:type="pct"/>
            <w:tcBorders>
              <w:top w:val="nil"/>
              <w:left w:val="nil"/>
              <w:bottom w:val="nil"/>
              <w:right w:val="nil"/>
            </w:tcBorders>
            <w:vAlign w:val="center"/>
          </w:tcPr>
          <w:p w14:paraId="14A4C9A9" w14:textId="77777777" w:rsidR="004A10AE" w:rsidRPr="00C04A1B" w:rsidRDefault="004A10AE" w:rsidP="007947DB">
            <w:pPr>
              <w:pStyle w:val="NoSpacing"/>
              <w:jc w:val="center"/>
              <w:rPr>
                <w:rFonts w:ascii="Times New Roman" w:hAnsi="Times New Roman" w:cs="Times New Roman"/>
                <w:sz w:val="22"/>
                <w:lang w:val="en-GB"/>
              </w:rPr>
            </w:pPr>
            <w:r w:rsidRPr="00C04A1B">
              <w:rPr>
                <w:rFonts w:ascii="Times New Roman" w:hAnsi="Times New Roman" w:cs="Times New Roman"/>
                <w:sz w:val="22"/>
                <w:lang w:val="en-GB"/>
              </w:rPr>
              <w:t>100</w:t>
            </w:r>
          </w:p>
        </w:tc>
        <w:tc>
          <w:tcPr>
            <w:tcW w:w="889" w:type="pct"/>
            <w:tcBorders>
              <w:top w:val="nil"/>
              <w:left w:val="nil"/>
              <w:bottom w:val="nil"/>
              <w:right w:val="nil"/>
            </w:tcBorders>
            <w:vAlign w:val="center"/>
          </w:tcPr>
          <w:p w14:paraId="10D90834" w14:textId="77777777" w:rsidR="004A10AE" w:rsidRPr="00C04A1B" w:rsidRDefault="004A10AE" w:rsidP="007947DB">
            <w:pPr>
              <w:pStyle w:val="NoSpacing"/>
              <w:jc w:val="center"/>
              <w:rPr>
                <w:rFonts w:ascii="Times New Roman" w:hAnsi="Times New Roman" w:cs="Times New Roman"/>
                <w:sz w:val="22"/>
                <w:lang w:val="en-GB"/>
              </w:rPr>
            </w:pPr>
          </w:p>
        </w:tc>
      </w:tr>
      <w:tr w:rsidR="004A10AE" w:rsidRPr="0025669D" w14:paraId="7A8C9974" w14:textId="77777777" w:rsidTr="005A4B0D">
        <w:trPr>
          <w:jc w:val="center"/>
        </w:trPr>
        <w:tc>
          <w:tcPr>
            <w:tcW w:w="3297" w:type="pct"/>
            <w:tcBorders>
              <w:top w:val="nil"/>
              <w:left w:val="nil"/>
              <w:bottom w:val="nil"/>
              <w:right w:val="nil"/>
            </w:tcBorders>
          </w:tcPr>
          <w:p w14:paraId="68E93D52" w14:textId="77777777" w:rsidR="004A10AE" w:rsidRPr="00C04A1B" w:rsidRDefault="004A10AE" w:rsidP="007947DB">
            <w:pPr>
              <w:pStyle w:val="NoSpacing"/>
              <w:ind w:firstLineChars="100" w:firstLine="220"/>
              <w:rPr>
                <w:rFonts w:ascii="Times New Roman" w:hAnsi="Times New Roman" w:cs="Times New Roman"/>
                <w:sz w:val="22"/>
                <w:lang w:val="en-GB"/>
              </w:rPr>
            </w:pPr>
            <w:r w:rsidRPr="00C04A1B">
              <w:rPr>
                <w:rFonts w:ascii="Times New Roman" w:hAnsi="Times New Roman" w:cs="Times New Roman"/>
                <w:sz w:val="22"/>
                <w:lang w:val="en-GB"/>
              </w:rPr>
              <w:t>Patients who received 1 dose escalation</w:t>
            </w:r>
          </w:p>
          <w:p w14:paraId="56E25505" w14:textId="77777777" w:rsidR="004A10AE" w:rsidRPr="00C04A1B" w:rsidRDefault="004A10AE" w:rsidP="007947DB">
            <w:pPr>
              <w:pStyle w:val="NoSpacing"/>
              <w:ind w:firstLineChars="100" w:firstLine="220"/>
              <w:rPr>
                <w:rFonts w:ascii="Times New Roman" w:hAnsi="Times New Roman" w:cs="Times New Roman"/>
                <w:sz w:val="22"/>
                <w:lang w:val="en-GB"/>
              </w:rPr>
            </w:pPr>
            <w:r w:rsidRPr="00C04A1B">
              <w:rPr>
                <w:rFonts w:ascii="Times New Roman" w:hAnsi="Times New Roman" w:cs="Times New Roman"/>
                <w:sz w:val="22"/>
                <w:lang w:val="en-GB"/>
              </w:rPr>
              <w:t>(final dose 4.5 mg/kg)</w:t>
            </w:r>
          </w:p>
        </w:tc>
        <w:tc>
          <w:tcPr>
            <w:tcW w:w="814" w:type="pct"/>
            <w:tcBorders>
              <w:top w:val="nil"/>
              <w:left w:val="nil"/>
              <w:bottom w:val="nil"/>
              <w:right w:val="nil"/>
            </w:tcBorders>
            <w:vAlign w:val="center"/>
          </w:tcPr>
          <w:p w14:paraId="43E47FAD" w14:textId="77777777" w:rsidR="004A10AE" w:rsidRPr="00C04A1B" w:rsidRDefault="004A10AE" w:rsidP="007947DB">
            <w:pPr>
              <w:pStyle w:val="NoSpacing"/>
              <w:jc w:val="center"/>
              <w:rPr>
                <w:rFonts w:ascii="Times New Roman" w:hAnsi="Times New Roman" w:cs="Times New Roman"/>
                <w:sz w:val="22"/>
                <w:lang w:val="en-GB"/>
              </w:rPr>
            </w:pPr>
            <w:r w:rsidRPr="00C04A1B">
              <w:rPr>
                <w:rFonts w:ascii="Times New Roman" w:hAnsi="Times New Roman" w:cs="Times New Roman"/>
                <w:sz w:val="22"/>
                <w:lang w:val="en-GB"/>
              </w:rPr>
              <w:t>59</w:t>
            </w:r>
          </w:p>
        </w:tc>
        <w:tc>
          <w:tcPr>
            <w:tcW w:w="889" w:type="pct"/>
            <w:tcBorders>
              <w:top w:val="nil"/>
              <w:left w:val="nil"/>
              <w:bottom w:val="nil"/>
              <w:right w:val="nil"/>
            </w:tcBorders>
            <w:vAlign w:val="center"/>
          </w:tcPr>
          <w:p w14:paraId="3002E80A" w14:textId="77777777" w:rsidR="004A10AE" w:rsidRPr="00C04A1B" w:rsidRDefault="004A10AE" w:rsidP="007947DB">
            <w:pPr>
              <w:pStyle w:val="NoSpacing"/>
              <w:jc w:val="center"/>
              <w:rPr>
                <w:rFonts w:ascii="Times New Roman" w:hAnsi="Times New Roman" w:cs="Times New Roman"/>
                <w:sz w:val="22"/>
                <w:vertAlign w:val="superscript"/>
                <w:lang w:val="en-GB"/>
              </w:rPr>
            </w:pPr>
            <w:r w:rsidRPr="00C04A1B">
              <w:rPr>
                <w:rFonts w:ascii="Times New Roman" w:hAnsi="Times New Roman" w:cs="Times New Roman"/>
                <w:sz w:val="22"/>
                <w:lang w:val="en-GB"/>
              </w:rPr>
              <w:t>51 (86.4%)</w:t>
            </w:r>
            <w:r w:rsidRPr="00C04A1B">
              <w:rPr>
                <w:rFonts w:ascii="Times New Roman" w:hAnsi="Times New Roman" w:cs="Times New Roman"/>
                <w:sz w:val="22"/>
                <w:vertAlign w:val="superscript"/>
                <w:lang w:val="en-GB"/>
              </w:rPr>
              <w:t>c</w:t>
            </w:r>
          </w:p>
        </w:tc>
      </w:tr>
      <w:tr w:rsidR="004A10AE" w:rsidRPr="0025669D" w14:paraId="40351121" w14:textId="77777777" w:rsidTr="005A4B0D">
        <w:trPr>
          <w:jc w:val="center"/>
        </w:trPr>
        <w:tc>
          <w:tcPr>
            <w:tcW w:w="3297" w:type="pct"/>
            <w:tcBorders>
              <w:top w:val="nil"/>
              <w:left w:val="nil"/>
              <w:bottom w:val="nil"/>
              <w:right w:val="nil"/>
            </w:tcBorders>
          </w:tcPr>
          <w:p w14:paraId="7EE7DE77" w14:textId="77777777" w:rsidR="004A10AE" w:rsidRPr="00C04A1B" w:rsidRDefault="004A10AE" w:rsidP="007947DB">
            <w:pPr>
              <w:pStyle w:val="NoSpacing"/>
              <w:ind w:firstLineChars="100" w:firstLine="220"/>
              <w:rPr>
                <w:rFonts w:ascii="Times New Roman" w:hAnsi="Times New Roman" w:cs="Times New Roman"/>
                <w:sz w:val="22"/>
                <w:lang w:val="en-GB"/>
              </w:rPr>
            </w:pPr>
            <w:r w:rsidRPr="00C04A1B">
              <w:rPr>
                <w:rFonts w:ascii="Times New Roman" w:hAnsi="Times New Roman" w:cs="Times New Roman"/>
                <w:sz w:val="22"/>
                <w:lang w:val="en-GB"/>
              </w:rPr>
              <w:t xml:space="preserve">Patients who received 2 dose escalations </w:t>
            </w:r>
          </w:p>
          <w:p w14:paraId="204E67A7" w14:textId="77777777" w:rsidR="004A10AE" w:rsidRPr="00C04A1B" w:rsidRDefault="004A10AE" w:rsidP="007947DB">
            <w:pPr>
              <w:pStyle w:val="NoSpacing"/>
              <w:ind w:firstLineChars="100" w:firstLine="220"/>
              <w:rPr>
                <w:rFonts w:ascii="Times New Roman" w:hAnsi="Times New Roman" w:cs="Times New Roman"/>
                <w:sz w:val="22"/>
                <w:lang w:val="en-GB"/>
              </w:rPr>
            </w:pPr>
            <w:r w:rsidRPr="00C04A1B">
              <w:rPr>
                <w:rFonts w:ascii="Times New Roman" w:hAnsi="Times New Roman" w:cs="Times New Roman"/>
                <w:sz w:val="22"/>
                <w:lang w:val="en-GB"/>
              </w:rPr>
              <w:t>(final dose 6.0 mg/kg)</w:t>
            </w:r>
          </w:p>
        </w:tc>
        <w:tc>
          <w:tcPr>
            <w:tcW w:w="814" w:type="pct"/>
            <w:tcBorders>
              <w:top w:val="nil"/>
              <w:left w:val="nil"/>
              <w:bottom w:val="nil"/>
              <w:right w:val="nil"/>
            </w:tcBorders>
            <w:vAlign w:val="center"/>
          </w:tcPr>
          <w:p w14:paraId="7AEB4536" w14:textId="77777777" w:rsidR="004A10AE" w:rsidRPr="00C04A1B" w:rsidRDefault="004A10AE" w:rsidP="007947DB">
            <w:pPr>
              <w:pStyle w:val="NoSpacing"/>
              <w:jc w:val="center"/>
              <w:rPr>
                <w:rFonts w:ascii="Times New Roman" w:hAnsi="Times New Roman" w:cs="Times New Roman"/>
                <w:sz w:val="22"/>
                <w:lang w:val="en-GB"/>
              </w:rPr>
            </w:pPr>
            <w:r w:rsidRPr="00C04A1B">
              <w:rPr>
                <w:rFonts w:ascii="Times New Roman" w:hAnsi="Times New Roman" w:cs="Times New Roman"/>
                <w:sz w:val="22"/>
                <w:lang w:val="en-GB"/>
              </w:rPr>
              <w:t>21</w:t>
            </w:r>
          </w:p>
        </w:tc>
        <w:tc>
          <w:tcPr>
            <w:tcW w:w="889" w:type="pct"/>
            <w:tcBorders>
              <w:top w:val="nil"/>
              <w:left w:val="nil"/>
              <w:bottom w:val="nil"/>
              <w:right w:val="nil"/>
            </w:tcBorders>
            <w:vAlign w:val="center"/>
          </w:tcPr>
          <w:p w14:paraId="2ECB16C3" w14:textId="77777777" w:rsidR="004A10AE" w:rsidRPr="00C04A1B" w:rsidRDefault="004A10AE" w:rsidP="007947DB">
            <w:pPr>
              <w:pStyle w:val="NoSpacing"/>
              <w:jc w:val="center"/>
              <w:rPr>
                <w:rFonts w:ascii="Times New Roman" w:hAnsi="Times New Roman" w:cs="Times New Roman"/>
                <w:sz w:val="22"/>
                <w:lang w:val="en-GB"/>
              </w:rPr>
            </w:pPr>
            <w:r w:rsidRPr="00C04A1B">
              <w:rPr>
                <w:rFonts w:ascii="Times New Roman" w:hAnsi="Times New Roman" w:cs="Times New Roman"/>
                <w:sz w:val="22"/>
                <w:lang w:val="en-GB"/>
              </w:rPr>
              <w:t>17 (81.0%)</w:t>
            </w:r>
            <w:r w:rsidRPr="00C04A1B">
              <w:rPr>
                <w:rFonts w:ascii="Times New Roman" w:hAnsi="Times New Roman" w:cs="Times New Roman"/>
                <w:sz w:val="22"/>
                <w:vertAlign w:val="superscript"/>
                <w:lang w:val="en-GB"/>
              </w:rPr>
              <w:t>c</w:t>
            </w:r>
          </w:p>
        </w:tc>
      </w:tr>
      <w:tr w:rsidR="004A10AE" w:rsidRPr="0025669D" w14:paraId="7D65BF87" w14:textId="77777777" w:rsidTr="005A4B0D">
        <w:trPr>
          <w:jc w:val="center"/>
        </w:trPr>
        <w:tc>
          <w:tcPr>
            <w:tcW w:w="3297" w:type="pct"/>
            <w:tcBorders>
              <w:top w:val="nil"/>
              <w:left w:val="nil"/>
              <w:bottom w:val="nil"/>
              <w:right w:val="nil"/>
            </w:tcBorders>
          </w:tcPr>
          <w:p w14:paraId="4EDEF41B" w14:textId="77777777" w:rsidR="004A10AE" w:rsidRPr="00C04A1B" w:rsidRDefault="004A10AE" w:rsidP="007947DB">
            <w:pPr>
              <w:pStyle w:val="NoSpacing"/>
              <w:ind w:firstLineChars="100" w:firstLine="220"/>
              <w:rPr>
                <w:rFonts w:ascii="Times New Roman" w:hAnsi="Times New Roman" w:cs="Times New Roman"/>
                <w:sz w:val="22"/>
                <w:lang w:val="en-GB"/>
              </w:rPr>
            </w:pPr>
            <w:r w:rsidRPr="00C04A1B">
              <w:rPr>
                <w:rFonts w:ascii="Times New Roman" w:hAnsi="Times New Roman" w:cs="Times New Roman"/>
                <w:sz w:val="22"/>
                <w:lang w:val="en-GB"/>
              </w:rPr>
              <w:t>Patients who received 3 dose escalations</w:t>
            </w:r>
          </w:p>
          <w:p w14:paraId="5A4796D5" w14:textId="77777777" w:rsidR="004A10AE" w:rsidRPr="00C04A1B" w:rsidRDefault="004A10AE" w:rsidP="007947DB">
            <w:pPr>
              <w:pStyle w:val="NoSpacing"/>
              <w:ind w:firstLineChars="100" w:firstLine="220"/>
              <w:rPr>
                <w:rFonts w:ascii="Times New Roman" w:hAnsi="Times New Roman" w:cs="Times New Roman"/>
                <w:sz w:val="22"/>
                <w:lang w:val="en-GB"/>
              </w:rPr>
            </w:pPr>
            <w:r w:rsidRPr="00C04A1B">
              <w:rPr>
                <w:rFonts w:ascii="Times New Roman" w:hAnsi="Times New Roman" w:cs="Times New Roman"/>
                <w:sz w:val="22"/>
                <w:lang w:val="en-GB"/>
              </w:rPr>
              <w:t>(final dose 7.5 mg/kg)</w:t>
            </w:r>
          </w:p>
        </w:tc>
        <w:tc>
          <w:tcPr>
            <w:tcW w:w="814" w:type="pct"/>
            <w:tcBorders>
              <w:top w:val="nil"/>
              <w:left w:val="nil"/>
              <w:bottom w:val="nil"/>
              <w:right w:val="nil"/>
            </w:tcBorders>
            <w:vAlign w:val="center"/>
          </w:tcPr>
          <w:p w14:paraId="07726038" w14:textId="77777777" w:rsidR="004A10AE" w:rsidRPr="00C04A1B" w:rsidRDefault="004A10AE" w:rsidP="007947DB">
            <w:pPr>
              <w:pStyle w:val="NoSpacing"/>
              <w:jc w:val="center"/>
              <w:rPr>
                <w:rFonts w:ascii="Times New Roman" w:hAnsi="Times New Roman" w:cs="Times New Roman"/>
                <w:sz w:val="22"/>
                <w:lang w:val="en-GB"/>
              </w:rPr>
            </w:pPr>
            <w:r w:rsidRPr="00C04A1B">
              <w:rPr>
                <w:rFonts w:ascii="Times New Roman" w:hAnsi="Times New Roman" w:cs="Times New Roman"/>
                <w:sz w:val="22"/>
                <w:lang w:val="en-GB"/>
              </w:rPr>
              <w:t>13</w:t>
            </w:r>
          </w:p>
        </w:tc>
        <w:tc>
          <w:tcPr>
            <w:tcW w:w="889" w:type="pct"/>
            <w:tcBorders>
              <w:top w:val="nil"/>
              <w:left w:val="nil"/>
              <w:bottom w:val="nil"/>
              <w:right w:val="nil"/>
            </w:tcBorders>
            <w:vAlign w:val="center"/>
          </w:tcPr>
          <w:p w14:paraId="49E1FAF7" w14:textId="77777777" w:rsidR="004A10AE" w:rsidRPr="00C04A1B" w:rsidRDefault="004A10AE" w:rsidP="007947DB">
            <w:pPr>
              <w:pStyle w:val="NoSpacing"/>
              <w:jc w:val="center"/>
              <w:rPr>
                <w:rFonts w:ascii="Times New Roman" w:hAnsi="Times New Roman" w:cs="Times New Roman"/>
                <w:sz w:val="22"/>
                <w:vertAlign w:val="superscript"/>
                <w:lang w:val="en-GB"/>
              </w:rPr>
            </w:pPr>
            <w:r w:rsidRPr="00C04A1B">
              <w:rPr>
                <w:rFonts w:ascii="Times New Roman" w:hAnsi="Times New Roman" w:cs="Times New Roman"/>
                <w:sz w:val="22"/>
                <w:lang w:val="en-GB"/>
              </w:rPr>
              <w:t>12 (92.3%)</w:t>
            </w:r>
            <w:r w:rsidRPr="00C04A1B">
              <w:rPr>
                <w:rFonts w:ascii="Times New Roman" w:hAnsi="Times New Roman" w:cs="Times New Roman"/>
                <w:sz w:val="22"/>
                <w:vertAlign w:val="superscript"/>
                <w:lang w:val="en-GB"/>
              </w:rPr>
              <w:t>c</w:t>
            </w:r>
          </w:p>
        </w:tc>
      </w:tr>
      <w:tr w:rsidR="004A10AE" w:rsidRPr="0025669D" w14:paraId="490CB271" w14:textId="77777777" w:rsidTr="005A4B0D">
        <w:trPr>
          <w:jc w:val="center"/>
        </w:trPr>
        <w:tc>
          <w:tcPr>
            <w:tcW w:w="3297" w:type="pct"/>
            <w:tcBorders>
              <w:top w:val="nil"/>
              <w:left w:val="nil"/>
              <w:bottom w:val="single" w:sz="4" w:space="0" w:color="auto"/>
              <w:right w:val="nil"/>
            </w:tcBorders>
          </w:tcPr>
          <w:p w14:paraId="43718A2A" w14:textId="77777777" w:rsidR="004A10AE" w:rsidRPr="00C04A1B" w:rsidRDefault="004A10AE" w:rsidP="007947DB">
            <w:pPr>
              <w:pStyle w:val="NoSpacing"/>
              <w:ind w:firstLineChars="100" w:firstLine="220"/>
              <w:rPr>
                <w:rFonts w:ascii="Times New Roman" w:hAnsi="Times New Roman" w:cs="Times New Roman"/>
                <w:sz w:val="22"/>
                <w:lang w:val="en-GB"/>
              </w:rPr>
            </w:pPr>
            <w:r w:rsidRPr="00C04A1B">
              <w:rPr>
                <w:rFonts w:ascii="Times New Roman" w:hAnsi="Times New Roman" w:cs="Times New Roman"/>
                <w:sz w:val="22"/>
                <w:lang w:val="en-GB"/>
              </w:rPr>
              <w:t>Patients who received 4 dose escalations</w:t>
            </w:r>
          </w:p>
          <w:p w14:paraId="75CE4B4A" w14:textId="77777777" w:rsidR="004A10AE" w:rsidRPr="00C04A1B" w:rsidRDefault="004A10AE" w:rsidP="007947DB">
            <w:pPr>
              <w:pStyle w:val="NoSpacing"/>
              <w:ind w:firstLineChars="100" w:firstLine="220"/>
              <w:rPr>
                <w:rFonts w:ascii="Times New Roman" w:hAnsi="Times New Roman" w:cs="Times New Roman"/>
                <w:sz w:val="22"/>
                <w:lang w:val="en-GB"/>
              </w:rPr>
            </w:pPr>
            <w:r w:rsidRPr="00C04A1B">
              <w:rPr>
                <w:rFonts w:ascii="Times New Roman" w:hAnsi="Times New Roman" w:cs="Times New Roman"/>
                <w:sz w:val="22"/>
                <w:lang w:val="en-GB"/>
              </w:rPr>
              <w:t>(final dose 9.0 mg/kg)</w:t>
            </w:r>
          </w:p>
        </w:tc>
        <w:tc>
          <w:tcPr>
            <w:tcW w:w="814" w:type="pct"/>
            <w:tcBorders>
              <w:top w:val="nil"/>
              <w:left w:val="nil"/>
              <w:bottom w:val="single" w:sz="4" w:space="0" w:color="auto"/>
              <w:right w:val="nil"/>
            </w:tcBorders>
            <w:vAlign w:val="center"/>
          </w:tcPr>
          <w:p w14:paraId="062B5484" w14:textId="77777777" w:rsidR="004A10AE" w:rsidRPr="00C04A1B" w:rsidRDefault="004A10AE" w:rsidP="007947DB">
            <w:pPr>
              <w:pStyle w:val="NoSpacing"/>
              <w:jc w:val="center"/>
              <w:rPr>
                <w:rFonts w:ascii="Times New Roman" w:hAnsi="Times New Roman" w:cs="Times New Roman"/>
                <w:sz w:val="22"/>
                <w:lang w:val="en-GB"/>
              </w:rPr>
            </w:pPr>
            <w:r w:rsidRPr="00C04A1B">
              <w:rPr>
                <w:rFonts w:ascii="Times New Roman" w:hAnsi="Times New Roman" w:cs="Times New Roman"/>
                <w:sz w:val="22"/>
                <w:lang w:val="en-GB"/>
              </w:rPr>
              <w:t>7</w:t>
            </w:r>
          </w:p>
        </w:tc>
        <w:tc>
          <w:tcPr>
            <w:tcW w:w="889" w:type="pct"/>
            <w:tcBorders>
              <w:top w:val="nil"/>
              <w:left w:val="nil"/>
              <w:bottom w:val="single" w:sz="4" w:space="0" w:color="auto"/>
              <w:right w:val="nil"/>
            </w:tcBorders>
            <w:vAlign w:val="center"/>
          </w:tcPr>
          <w:p w14:paraId="4755FE61" w14:textId="77777777" w:rsidR="004A10AE" w:rsidRPr="00C04A1B" w:rsidRDefault="004A10AE" w:rsidP="007947DB">
            <w:pPr>
              <w:pStyle w:val="NoSpacing"/>
              <w:jc w:val="center"/>
              <w:rPr>
                <w:rFonts w:ascii="Times New Roman" w:hAnsi="Times New Roman" w:cs="Times New Roman"/>
                <w:sz w:val="22"/>
                <w:vertAlign w:val="superscript"/>
                <w:lang w:val="en-GB"/>
              </w:rPr>
            </w:pPr>
            <w:r w:rsidRPr="00C04A1B">
              <w:rPr>
                <w:rFonts w:ascii="Times New Roman" w:hAnsi="Times New Roman" w:cs="Times New Roman"/>
                <w:sz w:val="22"/>
                <w:lang w:val="en-GB"/>
              </w:rPr>
              <w:t>0 (0.0%)</w:t>
            </w:r>
            <w:r w:rsidRPr="00C04A1B">
              <w:rPr>
                <w:rFonts w:ascii="Times New Roman" w:hAnsi="Times New Roman" w:cs="Times New Roman"/>
                <w:sz w:val="22"/>
                <w:vertAlign w:val="superscript"/>
                <w:lang w:val="en-GB"/>
              </w:rPr>
              <w:t>c</w:t>
            </w:r>
          </w:p>
        </w:tc>
      </w:tr>
      <w:tr w:rsidR="004A10AE" w:rsidRPr="0025669D" w14:paraId="24BA8D3A" w14:textId="77777777" w:rsidTr="005A4B0D">
        <w:trPr>
          <w:cantSplit/>
          <w:jc w:val="center"/>
        </w:trPr>
        <w:tc>
          <w:tcPr>
            <w:tcW w:w="5000" w:type="pct"/>
            <w:gridSpan w:val="3"/>
            <w:tcBorders>
              <w:top w:val="single" w:sz="4" w:space="0" w:color="auto"/>
              <w:left w:val="nil"/>
              <w:bottom w:val="nil"/>
              <w:right w:val="nil"/>
            </w:tcBorders>
          </w:tcPr>
          <w:p w14:paraId="072685C7" w14:textId="77777777" w:rsidR="004A10AE" w:rsidRPr="0025669D" w:rsidRDefault="004A10AE" w:rsidP="007947DB">
            <w:pPr>
              <w:pStyle w:val="NoSpacing"/>
              <w:jc w:val="left"/>
              <w:rPr>
                <w:rFonts w:ascii="Times New Roman" w:eastAsia="Malgun Gothic" w:hAnsi="Times New Roman" w:cs="Times New Roman"/>
                <w:szCs w:val="20"/>
                <w:lang w:val="en-GB"/>
              </w:rPr>
            </w:pPr>
            <w:r w:rsidRPr="0025669D">
              <w:rPr>
                <w:rFonts w:ascii="Times New Roman" w:eastAsia="Malgun Gothic" w:hAnsi="Times New Roman" w:cs="Times New Roman"/>
                <w:szCs w:val="20"/>
                <w:lang w:val="en-GB"/>
              </w:rPr>
              <w:t>a: responders are defined as subjects who achieved an ACR20 response at week 22</w:t>
            </w:r>
          </w:p>
          <w:p w14:paraId="6BE6C5E8" w14:textId="77777777" w:rsidR="004A10AE" w:rsidRPr="0025669D" w:rsidRDefault="004A10AE" w:rsidP="007947DB">
            <w:pPr>
              <w:pStyle w:val="NoSpacing"/>
              <w:jc w:val="left"/>
              <w:rPr>
                <w:rFonts w:ascii="Times New Roman" w:eastAsia="Malgun Gothic" w:hAnsi="Times New Roman" w:cs="Times New Roman"/>
                <w:szCs w:val="20"/>
                <w:lang w:val="en-GB"/>
              </w:rPr>
            </w:pPr>
            <w:r w:rsidRPr="0025669D">
              <w:rPr>
                <w:rFonts w:ascii="Times New Roman" w:eastAsia="Malgun Gothic" w:hAnsi="Times New Roman" w:cs="Times New Roman"/>
                <w:szCs w:val="20"/>
                <w:lang w:val="en-GB"/>
              </w:rPr>
              <w:t>b: patients who met the criteria for dose escalation at week 22 or thereafter</w:t>
            </w:r>
          </w:p>
          <w:p w14:paraId="0F435257" w14:textId="77777777" w:rsidR="004A10AE" w:rsidRPr="0025669D" w:rsidRDefault="004A10AE" w:rsidP="007947DB">
            <w:pPr>
              <w:pStyle w:val="NoSpacing"/>
              <w:jc w:val="left"/>
              <w:rPr>
                <w:rFonts w:ascii="Times New Roman" w:eastAsia="Malgun Gothic" w:hAnsi="Times New Roman" w:cs="Times New Roman"/>
                <w:sz w:val="22"/>
                <w:lang w:val="en-GB"/>
              </w:rPr>
            </w:pPr>
            <w:r w:rsidRPr="0025669D">
              <w:rPr>
                <w:rFonts w:ascii="Times New Roman" w:eastAsia="Malgun Gothic" w:hAnsi="Times New Roman" w:cs="Times New Roman"/>
                <w:szCs w:val="20"/>
                <w:lang w:val="en-GB"/>
              </w:rPr>
              <w:t>c: responders are defined as subjects who achieved at least 20% improvement in the number of tender and swollen joints from baseline at 8 weeks after the last dose escalation</w:t>
            </w:r>
          </w:p>
        </w:tc>
      </w:tr>
    </w:tbl>
    <w:p w14:paraId="23C8B7B3" w14:textId="77777777" w:rsidR="004A10AE" w:rsidRDefault="004A10AE" w:rsidP="007947DB">
      <w:pPr>
        <w:spacing w:line="240" w:lineRule="auto"/>
        <w:jc w:val="left"/>
        <w:rPr>
          <w:rFonts w:ascii="Times New Roman" w:eastAsia="Malgun Gothic" w:hAnsi="Times New Roman" w:cs="Times New Roman"/>
          <w:sz w:val="24"/>
          <w:szCs w:val="24"/>
        </w:rPr>
      </w:pPr>
    </w:p>
    <w:p w14:paraId="663C0865" w14:textId="4234F6C0" w:rsidR="004A10AE" w:rsidRPr="0025669D" w:rsidRDefault="00940C20" w:rsidP="007947DB">
      <w:pPr>
        <w:pStyle w:val="Heading2"/>
        <w:tabs>
          <w:tab w:val="num" w:pos="1418"/>
        </w:tabs>
        <w:spacing w:after="0"/>
        <w:ind w:left="1702" w:hangingChars="709" w:hanging="1702"/>
        <w:rPr>
          <w:rFonts w:eastAsia="Malgun Gothic" w:cs="Times New Roman"/>
          <w:szCs w:val="24"/>
          <w:lang w:eastAsia="ko-KR"/>
        </w:rPr>
      </w:pPr>
      <w:r w:rsidRPr="0035249D">
        <w:rPr>
          <w:rFonts w:eastAsia="Malgun Gothic" w:cs="Times New Roman"/>
          <w:szCs w:val="24"/>
          <w:lang w:eastAsia="ko-KR"/>
        </w:rPr>
        <w:t xml:space="preserve">• </w:t>
      </w:r>
      <w:r w:rsidR="004A10AE" w:rsidRPr="0025669D">
        <w:rPr>
          <w:rFonts w:eastAsia="Malgun Gothic" w:cs="Times New Roman"/>
          <w:szCs w:val="24"/>
          <w:lang w:eastAsia="ko-KR"/>
        </w:rPr>
        <w:t xml:space="preserve">Rheumatoid arthritis associated anaemia </w:t>
      </w:r>
    </w:p>
    <w:p w14:paraId="281AF7A4" w14:textId="77777777" w:rsidR="004A10AE" w:rsidRPr="0025669D" w:rsidRDefault="004A10AE" w:rsidP="007947DB">
      <w:pPr>
        <w:spacing w:line="240" w:lineRule="auto"/>
        <w:jc w:val="left"/>
        <w:rPr>
          <w:rFonts w:ascii="Times New Roman" w:eastAsia="Malgun Gothic" w:hAnsi="Times New Roman" w:cs="Times New Roman"/>
          <w:sz w:val="24"/>
          <w:szCs w:val="24"/>
        </w:rPr>
      </w:pPr>
      <w:r w:rsidRPr="0025669D">
        <w:rPr>
          <w:rFonts w:ascii="Times New Roman" w:eastAsia="Malgun Gothic" w:hAnsi="Times New Roman" w:cs="Times New Roman"/>
          <w:sz w:val="24"/>
          <w:szCs w:val="24"/>
        </w:rPr>
        <w:t xml:space="preserve">Evidence suggests that </w:t>
      </w:r>
      <w:r>
        <w:rPr>
          <w:rFonts w:ascii="Times New Roman" w:eastAsia="Malgun Gothic" w:hAnsi="Times New Roman" w:cs="Times New Roman"/>
          <w:sz w:val="24"/>
          <w:szCs w:val="24"/>
        </w:rPr>
        <w:t xml:space="preserve">TNFα </w:t>
      </w:r>
      <w:r w:rsidRPr="0025669D">
        <w:rPr>
          <w:rFonts w:ascii="Times New Roman" w:eastAsia="Malgun Gothic" w:hAnsi="Times New Roman" w:cs="Times New Roman"/>
          <w:sz w:val="24"/>
          <w:szCs w:val="24"/>
        </w:rPr>
        <w:t xml:space="preserve">plays a role in the inhibition of erythropoiesis in chronic inflammatory disease. In three clinical trials in patients with rheumatoid arthritis (ATTRACT, ASPIRE, START), 39.8 % of patients with a baseline </w:t>
      </w:r>
      <w:proofErr w:type="spellStart"/>
      <w:r w:rsidRPr="0025669D">
        <w:rPr>
          <w:rFonts w:ascii="Times New Roman" w:eastAsia="Malgun Gothic" w:hAnsi="Times New Roman" w:cs="Times New Roman"/>
          <w:sz w:val="24"/>
          <w:szCs w:val="24"/>
        </w:rPr>
        <w:t>haemoglobin</w:t>
      </w:r>
      <w:proofErr w:type="spellEnd"/>
      <w:r w:rsidRPr="0025669D">
        <w:rPr>
          <w:rFonts w:ascii="Times New Roman" w:eastAsia="Malgun Gothic" w:hAnsi="Times New Roman" w:cs="Times New Roman"/>
          <w:sz w:val="24"/>
          <w:szCs w:val="24"/>
        </w:rPr>
        <w:t xml:space="preserve"> &lt;12 g/</w:t>
      </w:r>
      <w:proofErr w:type="spellStart"/>
      <w:r w:rsidRPr="0025669D">
        <w:rPr>
          <w:rFonts w:ascii="Times New Roman" w:eastAsia="Malgun Gothic" w:hAnsi="Times New Roman" w:cs="Times New Roman"/>
          <w:sz w:val="24"/>
          <w:szCs w:val="24"/>
        </w:rPr>
        <w:t>dL</w:t>
      </w:r>
      <w:proofErr w:type="spellEnd"/>
      <w:r w:rsidRPr="0025669D">
        <w:rPr>
          <w:rFonts w:ascii="Times New Roman" w:eastAsia="Malgun Gothic" w:hAnsi="Times New Roman" w:cs="Times New Roman"/>
          <w:sz w:val="24"/>
          <w:szCs w:val="24"/>
        </w:rPr>
        <w:t xml:space="preserve"> had an increase in </w:t>
      </w:r>
      <w:proofErr w:type="spellStart"/>
      <w:r w:rsidRPr="0025669D">
        <w:rPr>
          <w:rFonts w:ascii="Times New Roman" w:eastAsia="Malgun Gothic" w:hAnsi="Times New Roman" w:cs="Times New Roman"/>
          <w:sz w:val="24"/>
          <w:szCs w:val="24"/>
        </w:rPr>
        <w:t>haemoglobin</w:t>
      </w:r>
      <w:proofErr w:type="spellEnd"/>
      <w:r w:rsidRPr="0025669D">
        <w:rPr>
          <w:rFonts w:ascii="Times New Roman" w:eastAsia="Malgun Gothic" w:hAnsi="Times New Roman" w:cs="Times New Roman"/>
          <w:sz w:val="24"/>
          <w:szCs w:val="24"/>
        </w:rPr>
        <w:t xml:space="preserve"> ≥1 g/</w:t>
      </w:r>
      <w:proofErr w:type="spellStart"/>
      <w:r w:rsidRPr="0025669D">
        <w:rPr>
          <w:rFonts w:ascii="Times New Roman" w:eastAsia="Malgun Gothic" w:hAnsi="Times New Roman" w:cs="Times New Roman"/>
          <w:sz w:val="24"/>
          <w:szCs w:val="24"/>
        </w:rPr>
        <w:t>dL</w:t>
      </w:r>
      <w:proofErr w:type="spellEnd"/>
      <w:r w:rsidRPr="0025669D">
        <w:rPr>
          <w:rFonts w:ascii="Times New Roman" w:eastAsia="Malgun Gothic" w:hAnsi="Times New Roman" w:cs="Times New Roman"/>
          <w:sz w:val="24"/>
          <w:szCs w:val="24"/>
        </w:rPr>
        <w:t xml:space="preserve"> at week 22 when receiving infliximab plus methotrexate, versus 19.3 % in those receiving methotrexate alone (p&lt;0.001). Additionally, 12.1 % of patients treated with infliximab plus methotrexate had an increase ≥2 g/</w:t>
      </w:r>
      <w:proofErr w:type="spellStart"/>
      <w:r w:rsidRPr="0025669D">
        <w:rPr>
          <w:rFonts w:ascii="Times New Roman" w:eastAsia="Malgun Gothic" w:hAnsi="Times New Roman" w:cs="Times New Roman"/>
          <w:sz w:val="24"/>
          <w:szCs w:val="24"/>
        </w:rPr>
        <w:t>dL</w:t>
      </w:r>
      <w:proofErr w:type="spellEnd"/>
      <w:r w:rsidRPr="0025669D">
        <w:rPr>
          <w:rFonts w:ascii="Times New Roman" w:eastAsia="Malgun Gothic" w:hAnsi="Times New Roman" w:cs="Times New Roman"/>
          <w:sz w:val="24"/>
          <w:szCs w:val="24"/>
        </w:rPr>
        <w:t xml:space="preserve"> in </w:t>
      </w:r>
      <w:proofErr w:type="spellStart"/>
      <w:r w:rsidRPr="0025669D">
        <w:rPr>
          <w:rFonts w:ascii="Times New Roman" w:eastAsia="Malgun Gothic" w:hAnsi="Times New Roman" w:cs="Times New Roman"/>
          <w:sz w:val="24"/>
          <w:szCs w:val="24"/>
        </w:rPr>
        <w:t>haemoglobin</w:t>
      </w:r>
      <w:proofErr w:type="spellEnd"/>
      <w:r w:rsidRPr="0025669D">
        <w:rPr>
          <w:rFonts w:ascii="Times New Roman" w:eastAsia="Malgun Gothic" w:hAnsi="Times New Roman" w:cs="Times New Roman"/>
          <w:sz w:val="24"/>
          <w:szCs w:val="24"/>
        </w:rPr>
        <w:t xml:space="preserve"> vs. 4.5% of patients in the methotrexate arm alone (p&lt;0.001). Significant results were also found for patients with baseline </w:t>
      </w:r>
      <w:proofErr w:type="spellStart"/>
      <w:r w:rsidRPr="0025669D">
        <w:rPr>
          <w:rFonts w:ascii="Times New Roman" w:eastAsia="Malgun Gothic" w:hAnsi="Times New Roman" w:cs="Times New Roman"/>
          <w:sz w:val="24"/>
          <w:szCs w:val="24"/>
        </w:rPr>
        <w:t>haemoglobin</w:t>
      </w:r>
      <w:proofErr w:type="spellEnd"/>
      <w:r w:rsidRPr="0025669D">
        <w:rPr>
          <w:rFonts w:ascii="Times New Roman" w:eastAsia="Malgun Gothic" w:hAnsi="Times New Roman" w:cs="Times New Roman"/>
          <w:sz w:val="24"/>
          <w:szCs w:val="24"/>
        </w:rPr>
        <w:t xml:space="preserve"> &lt;10 g/</w:t>
      </w:r>
      <w:proofErr w:type="spellStart"/>
      <w:r w:rsidRPr="0025669D">
        <w:rPr>
          <w:rFonts w:ascii="Times New Roman" w:eastAsia="Malgun Gothic" w:hAnsi="Times New Roman" w:cs="Times New Roman"/>
          <w:sz w:val="24"/>
          <w:szCs w:val="24"/>
        </w:rPr>
        <w:t>dL</w:t>
      </w:r>
      <w:proofErr w:type="spellEnd"/>
      <w:r w:rsidRPr="0025669D">
        <w:rPr>
          <w:rFonts w:ascii="Times New Roman" w:eastAsia="Malgun Gothic" w:hAnsi="Times New Roman" w:cs="Times New Roman"/>
          <w:sz w:val="24"/>
          <w:szCs w:val="24"/>
        </w:rPr>
        <w:t xml:space="preserve">. </w:t>
      </w:r>
    </w:p>
    <w:p w14:paraId="4CD3EF43" w14:textId="2FAC9F4C" w:rsidR="00AC3E0C" w:rsidRDefault="004A10AE" w:rsidP="00C97549">
      <w:pPr>
        <w:spacing w:line="240" w:lineRule="auto"/>
        <w:jc w:val="left"/>
        <w:rPr>
          <w:rFonts w:ascii="Times New Roman" w:eastAsia="Malgun Gothic" w:hAnsi="Times New Roman" w:cs="Times New Roman"/>
          <w:sz w:val="24"/>
          <w:szCs w:val="24"/>
        </w:rPr>
      </w:pPr>
      <w:r w:rsidRPr="0025669D">
        <w:rPr>
          <w:rFonts w:ascii="Times New Roman" w:eastAsia="Malgun Gothic" w:hAnsi="Times New Roman" w:cs="Times New Roman"/>
          <w:sz w:val="24"/>
          <w:szCs w:val="24"/>
        </w:rPr>
        <w:t xml:space="preserve">Analyses of the data from ASPIRE showed that infliximab therapy improved rheumatoid arthritis associated </w:t>
      </w:r>
      <w:proofErr w:type="spellStart"/>
      <w:r w:rsidRPr="0025669D">
        <w:rPr>
          <w:rFonts w:ascii="Times New Roman" w:eastAsia="Malgun Gothic" w:hAnsi="Times New Roman" w:cs="Times New Roman"/>
          <w:sz w:val="24"/>
          <w:szCs w:val="24"/>
        </w:rPr>
        <w:t>anaemia</w:t>
      </w:r>
      <w:proofErr w:type="spellEnd"/>
      <w:r w:rsidRPr="0025669D">
        <w:rPr>
          <w:rFonts w:ascii="Times New Roman" w:eastAsia="Malgun Gothic" w:hAnsi="Times New Roman" w:cs="Times New Roman"/>
          <w:sz w:val="24"/>
          <w:szCs w:val="24"/>
        </w:rPr>
        <w:t xml:space="preserve"> in both ACR20 responders and </w:t>
      </w:r>
      <w:proofErr w:type="spellStart"/>
      <w:r w:rsidRPr="0025669D">
        <w:rPr>
          <w:rFonts w:ascii="Times New Roman" w:eastAsia="Malgun Gothic" w:hAnsi="Times New Roman" w:cs="Times New Roman"/>
          <w:sz w:val="24"/>
          <w:szCs w:val="24"/>
        </w:rPr>
        <w:t>nonresponders</w:t>
      </w:r>
      <w:proofErr w:type="spellEnd"/>
      <w:r w:rsidRPr="0025669D">
        <w:rPr>
          <w:rFonts w:ascii="Times New Roman" w:eastAsia="Malgun Gothic" w:hAnsi="Times New Roman" w:cs="Times New Roman"/>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1"/>
        <w:gridCol w:w="2237"/>
        <w:gridCol w:w="2333"/>
        <w:gridCol w:w="2331"/>
      </w:tblGrid>
      <w:tr w:rsidR="004A10AE" w:rsidRPr="0025669D" w14:paraId="2659D5F7" w14:textId="77777777" w:rsidTr="00A5517F">
        <w:tc>
          <w:tcPr>
            <w:tcW w:w="5000" w:type="pct"/>
            <w:gridSpan w:val="4"/>
            <w:vAlign w:val="center"/>
          </w:tcPr>
          <w:p w14:paraId="2F45DDC7" w14:textId="77777777" w:rsidR="004A10AE" w:rsidRPr="0025669D" w:rsidRDefault="004A10AE" w:rsidP="007947DB">
            <w:pPr>
              <w:spacing w:after="0" w:line="240" w:lineRule="auto"/>
              <w:jc w:val="center"/>
              <w:rPr>
                <w:rFonts w:ascii="Times New Roman" w:eastAsia="Malgun Gothic" w:hAnsi="Times New Roman" w:cs="Times New Roman"/>
                <w:sz w:val="22"/>
                <w:lang w:val="en-GB"/>
              </w:rPr>
            </w:pPr>
            <w:r w:rsidRPr="0025669D">
              <w:rPr>
                <w:rFonts w:ascii="Times New Roman" w:eastAsia="Malgun Gothic" w:hAnsi="Times New Roman" w:cs="Times New Roman"/>
                <w:sz w:val="22"/>
                <w:lang w:val="en-GB"/>
              </w:rPr>
              <w:t>Patients with anaemia at baseline (&lt;12 g/</w:t>
            </w:r>
            <w:proofErr w:type="spellStart"/>
            <w:r w:rsidRPr="0025669D">
              <w:rPr>
                <w:rFonts w:ascii="Times New Roman" w:eastAsia="Malgun Gothic" w:hAnsi="Times New Roman" w:cs="Times New Roman"/>
                <w:sz w:val="22"/>
                <w:lang w:val="en-GB"/>
              </w:rPr>
              <w:t>dL</w:t>
            </w:r>
            <w:proofErr w:type="spellEnd"/>
            <w:r w:rsidRPr="0025669D">
              <w:rPr>
                <w:rFonts w:ascii="Times New Roman" w:eastAsia="Malgun Gothic" w:hAnsi="Times New Roman" w:cs="Times New Roman"/>
                <w:sz w:val="22"/>
                <w:lang w:val="en-GB"/>
              </w:rPr>
              <w:t>), % 1 g/</w:t>
            </w:r>
            <w:proofErr w:type="spellStart"/>
            <w:r w:rsidRPr="0025669D">
              <w:rPr>
                <w:rFonts w:ascii="Times New Roman" w:eastAsia="Malgun Gothic" w:hAnsi="Times New Roman" w:cs="Times New Roman"/>
                <w:sz w:val="22"/>
                <w:lang w:val="en-GB"/>
              </w:rPr>
              <w:t>dL</w:t>
            </w:r>
            <w:proofErr w:type="spellEnd"/>
            <w:r w:rsidRPr="0025669D">
              <w:rPr>
                <w:rFonts w:ascii="Times New Roman" w:eastAsia="Malgun Gothic" w:hAnsi="Times New Roman" w:cs="Times New Roman"/>
                <w:sz w:val="22"/>
                <w:lang w:val="en-GB"/>
              </w:rPr>
              <w:t xml:space="preserve"> </w:t>
            </w:r>
            <w:proofErr w:type="spellStart"/>
            <w:r w:rsidRPr="0025669D">
              <w:rPr>
                <w:rFonts w:ascii="Times New Roman" w:eastAsia="Malgun Gothic" w:hAnsi="Times New Roman" w:cs="Times New Roman"/>
                <w:sz w:val="22"/>
                <w:lang w:val="en-GB"/>
              </w:rPr>
              <w:t>Hb</w:t>
            </w:r>
            <w:proofErr w:type="spellEnd"/>
            <w:r w:rsidRPr="0025669D">
              <w:rPr>
                <w:rFonts w:ascii="Times New Roman" w:eastAsia="Malgun Gothic" w:hAnsi="Times New Roman" w:cs="Times New Roman"/>
                <w:sz w:val="22"/>
                <w:lang w:val="en-GB"/>
              </w:rPr>
              <w:t xml:space="preserve"> increase</w:t>
            </w:r>
          </w:p>
        </w:tc>
      </w:tr>
      <w:tr w:rsidR="004A10AE" w:rsidRPr="0025669D" w14:paraId="07982468" w14:textId="77777777" w:rsidTr="00A5517F">
        <w:tc>
          <w:tcPr>
            <w:tcW w:w="1267" w:type="pct"/>
            <w:vAlign w:val="center"/>
          </w:tcPr>
          <w:p w14:paraId="5F7220D2" w14:textId="77777777" w:rsidR="004A10AE" w:rsidRPr="0025669D" w:rsidRDefault="004A10AE" w:rsidP="007947DB">
            <w:pPr>
              <w:spacing w:after="0" w:line="240" w:lineRule="auto"/>
              <w:jc w:val="center"/>
              <w:rPr>
                <w:rFonts w:ascii="Times New Roman" w:eastAsia="Malgun Gothic" w:hAnsi="Times New Roman" w:cs="Times New Roman"/>
                <w:sz w:val="22"/>
                <w:lang w:val="en-GB"/>
              </w:rPr>
            </w:pPr>
          </w:p>
        </w:tc>
        <w:tc>
          <w:tcPr>
            <w:tcW w:w="1210" w:type="pct"/>
            <w:vAlign w:val="center"/>
          </w:tcPr>
          <w:p w14:paraId="38620C0E" w14:textId="77777777" w:rsidR="004A10AE" w:rsidRPr="0025669D" w:rsidRDefault="004A10AE" w:rsidP="007947DB">
            <w:pPr>
              <w:spacing w:after="0" w:line="240" w:lineRule="auto"/>
              <w:jc w:val="center"/>
              <w:rPr>
                <w:rFonts w:ascii="Times New Roman" w:eastAsia="Malgun Gothic" w:hAnsi="Times New Roman" w:cs="Times New Roman"/>
                <w:sz w:val="22"/>
                <w:lang w:val="en-GB"/>
              </w:rPr>
            </w:pPr>
            <w:r w:rsidRPr="0025669D">
              <w:rPr>
                <w:rFonts w:ascii="Times New Roman" w:eastAsia="Malgun Gothic" w:hAnsi="Times New Roman" w:cs="Times New Roman"/>
                <w:sz w:val="22"/>
                <w:lang w:val="en-GB"/>
              </w:rPr>
              <w:t>Placebo + MTX</w:t>
            </w:r>
          </w:p>
        </w:tc>
        <w:tc>
          <w:tcPr>
            <w:tcW w:w="1262" w:type="pct"/>
            <w:vAlign w:val="center"/>
          </w:tcPr>
          <w:p w14:paraId="247540EA" w14:textId="77777777" w:rsidR="004A10AE" w:rsidRPr="0025669D" w:rsidRDefault="004A10AE" w:rsidP="007947DB">
            <w:pPr>
              <w:spacing w:after="0" w:line="240" w:lineRule="auto"/>
              <w:jc w:val="center"/>
              <w:rPr>
                <w:rFonts w:ascii="Times New Roman" w:eastAsia="Malgun Gothic" w:hAnsi="Times New Roman" w:cs="Times New Roman"/>
                <w:sz w:val="22"/>
                <w:lang w:val="en-GB"/>
              </w:rPr>
            </w:pPr>
            <w:r w:rsidRPr="0025669D">
              <w:rPr>
                <w:rFonts w:ascii="Times New Roman" w:eastAsia="Malgun Gothic" w:hAnsi="Times New Roman" w:cs="Times New Roman"/>
                <w:sz w:val="22"/>
                <w:lang w:val="en-GB"/>
              </w:rPr>
              <w:t>Infliximab 3 mg/kg + MTX</w:t>
            </w:r>
          </w:p>
        </w:tc>
        <w:tc>
          <w:tcPr>
            <w:tcW w:w="1261" w:type="pct"/>
            <w:vAlign w:val="center"/>
          </w:tcPr>
          <w:p w14:paraId="414823F4" w14:textId="77777777" w:rsidR="004A10AE" w:rsidRPr="0025669D" w:rsidRDefault="004A10AE" w:rsidP="007947DB">
            <w:pPr>
              <w:spacing w:after="0" w:line="240" w:lineRule="auto"/>
              <w:jc w:val="center"/>
              <w:rPr>
                <w:rFonts w:ascii="Times New Roman" w:eastAsia="Malgun Gothic" w:hAnsi="Times New Roman" w:cs="Times New Roman"/>
                <w:sz w:val="22"/>
                <w:lang w:val="en-GB"/>
              </w:rPr>
            </w:pPr>
            <w:r w:rsidRPr="0025669D">
              <w:rPr>
                <w:rFonts w:ascii="Times New Roman" w:eastAsia="Malgun Gothic" w:hAnsi="Times New Roman" w:cs="Times New Roman"/>
                <w:sz w:val="22"/>
                <w:lang w:val="en-GB"/>
              </w:rPr>
              <w:t>Infliximab 6 mg/kg + MTX</w:t>
            </w:r>
          </w:p>
        </w:tc>
      </w:tr>
      <w:tr w:rsidR="004A10AE" w:rsidRPr="0025669D" w14:paraId="21F7793B" w14:textId="77777777" w:rsidTr="00A5517F">
        <w:trPr>
          <w:trHeight w:val="77"/>
        </w:trPr>
        <w:tc>
          <w:tcPr>
            <w:tcW w:w="1267" w:type="pct"/>
            <w:vAlign w:val="center"/>
          </w:tcPr>
          <w:p w14:paraId="72B9584F" w14:textId="77777777" w:rsidR="004A10AE" w:rsidRPr="0025669D" w:rsidRDefault="004A10AE" w:rsidP="007947DB">
            <w:pPr>
              <w:spacing w:after="0" w:line="240" w:lineRule="auto"/>
              <w:jc w:val="center"/>
              <w:rPr>
                <w:rFonts w:ascii="Times New Roman" w:eastAsia="Malgun Gothic" w:hAnsi="Times New Roman" w:cs="Times New Roman"/>
                <w:sz w:val="22"/>
                <w:lang w:val="en-GB"/>
              </w:rPr>
            </w:pPr>
            <w:r w:rsidRPr="0025669D">
              <w:rPr>
                <w:rFonts w:ascii="Times New Roman" w:eastAsia="Malgun Gothic" w:hAnsi="Times New Roman" w:cs="Times New Roman"/>
                <w:sz w:val="22"/>
                <w:lang w:val="en-GB"/>
              </w:rPr>
              <w:lastRenderedPageBreak/>
              <w:t>ACR 20 responders</w:t>
            </w:r>
          </w:p>
        </w:tc>
        <w:tc>
          <w:tcPr>
            <w:tcW w:w="1210" w:type="pct"/>
            <w:vAlign w:val="center"/>
          </w:tcPr>
          <w:p w14:paraId="4B7DC72F" w14:textId="77777777" w:rsidR="004A10AE" w:rsidRPr="0025669D" w:rsidRDefault="004A10AE" w:rsidP="007947DB">
            <w:pPr>
              <w:spacing w:after="0" w:line="240" w:lineRule="auto"/>
              <w:jc w:val="center"/>
              <w:rPr>
                <w:rFonts w:ascii="Times New Roman" w:eastAsia="Malgun Gothic" w:hAnsi="Times New Roman" w:cs="Times New Roman"/>
                <w:sz w:val="22"/>
                <w:lang w:val="en-GB"/>
              </w:rPr>
            </w:pPr>
            <w:r w:rsidRPr="0025669D">
              <w:rPr>
                <w:rFonts w:ascii="Times New Roman" w:eastAsia="Malgun Gothic" w:hAnsi="Times New Roman" w:cs="Times New Roman"/>
                <w:sz w:val="22"/>
                <w:lang w:val="en-GB"/>
              </w:rPr>
              <w:t>21/58 (36.2%)</w:t>
            </w:r>
          </w:p>
        </w:tc>
        <w:tc>
          <w:tcPr>
            <w:tcW w:w="1262" w:type="pct"/>
            <w:vAlign w:val="center"/>
          </w:tcPr>
          <w:p w14:paraId="334F32E9" w14:textId="77777777" w:rsidR="004A10AE" w:rsidRPr="0025669D" w:rsidRDefault="004A10AE" w:rsidP="007947DB">
            <w:pPr>
              <w:spacing w:after="0" w:line="240" w:lineRule="auto"/>
              <w:jc w:val="center"/>
              <w:rPr>
                <w:rFonts w:ascii="Times New Roman" w:eastAsia="Malgun Gothic" w:hAnsi="Times New Roman" w:cs="Times New Roman"/>
                <w:sz w:val="22"/>
                <w:lang w:val="en-GB"/>
              </w:rPr>
            </w:pPr>
            <w:r w:rsidRPr="0025669D">
              <w:rPr>
                <w:rFonts w:ascii="Times New Roman" w:eastAsia="Malgun Gothic" w:hAnsi="Times New Roman" w:cs="Times New Roman"/>
                <w:sz w:val="22"/>
                <w:lang w:val="en-GB"/>
              </w:rPr>
              <w:t>38/69 (55.1%)</w:t>
            </w:r>
          </w:p>
        </w:tc>
        <w:tc>
          <w:tcPr>
            <w:tcW w:w="1261" w:type="pct"/>
            <w:vAlign w:val="center"/>
          </w:tcPr>
          <w:p w14:paraId="0060F083" w14:textId="77777777" w:rsidR="004A10AE" w:rsidRPr="0025669D" w:rsidRDefault="004A10AE" w:rsidP="007947DB">
            <w:pPr>
              <w:spacing w:after="0" w:line="240" w:lineRule="auto"/>
              <w:jc w:val="center"/>
              <w:rPr>
                <w:rFonts w:ascii="Times New Roman" w:eastAsia="Malgun Gothic" w:hAnsi="Times New Roman" w:cs="Times New Roman"/>
                <w:sz w:val="22"/>
                <w:lang w:val="en-GB"/>
              </w:rPr>
            </w:pPr>
            <w:r w:rsidRPr="0025669D">
              <w:rPr>
                <w:rFonts w:ascii="Times New Roman" w:eastAsia="Malgun Gothic" w:hAnsi="Times New Roman" w:cs="Times New Roman"/>
                <w:sz w:val="22"/>
                <w:lang w:val="en-GB"/>
              </w:rPr>
              <w:t>35/70 (50.0%)</w:t>
            </w:r>
          </w:p>
        </w:tc>
      </w:tr>
      <w:tr w:rsidR="004A10AE" w:rsidRPr="0025669D" w14:paraId="21E77D75" w14:textId="77777777" w:rsidTr="00A5517F">
        <w:trPr>
          <w:trHeight w:val="341"/>
        </w:trPr>
        <w:tc>
          <w:tcPr>
            <w:tcW w:w="1267" w:type="pct"/>
            <w:vAlign w:val="center"/>
          </w:tcPr>
          <w:p w14:paraId="2DF28349" w14:textId="77777777" w:rsidR="004A10AE" w:rsidRPr="0025669D" w:rsidRDefault="004A10AE" w:rsidP="007947DB">
            <w:pPr>
              <w:spacing w:after="0" w:line="240" w:lineRule="auto"/>
              <w:jc w:val="center"/>
              <w:rPr>
                <w:rFonts w:ascii="Times New Roman" w:eastAsia="Malgun Gothic" w:hAnsi="Times New Roman" w:cs="Times New Roman"/>
                <w:sz w:val="22"/>
                <w:lang w:val="en-GB"/>
              </w:rPr>
            </w:pPr>
            <w:r w:rsidRPr="0025669D">
              <w:rPr>
                <w:rFonts w:ascii="Times New Roman" w:eastAsia="Malgun Gothic" w:hAnsi="Times New Roman" w:cs="Times New Roman"/>
                <w:sz w:val="22"/>
                <w:lang w:val="en-GB"/>
              </w:rPr>
              <w:t>ACR 20 non-responders</w:t>
            </w:r>
          </w:p>
        </w:tc>
        <w:tc>
          <w:tcPr>
            <w:tcW w:w="1210" w:type="pct"/>
            <w:vAlign w:val="center"/>
          </w:tcPr>
          <w:p w14:paraId="4BA347E2" w14:textId="77777777" w:rsidR="004A10AE" w:rsidRPr="0025669D" w:rsidRDefault="004A10AE" w:rsidP="007947DB">
            <w:pPr>
              <w:spacing w:after="0" w:line="240" w:lineRule="auto"/>
              <w:jc w:val="center"/>
              <w:rPr>
                <w:rFonts w:ascii="Times New Roman" w:eastAsia="Malgun Gothic" w:hAnsi="Times New Roman" w:cs="Times New Roman"/>
                <w:sz w:val="22"/>
                <w:lang w:val="en-GB"/>
              </w:rPr>
            </w:pPr>
            <w:r w:rsidRPr="0025669D">
              <w:rPr>
                <w:rFonts w:ascii="Times New Roman" w:eastAsia="Malgun Gothic" w:hAnsi="Times New Roman" w:cs="Times New Roman"/>
                <w:sz w:val="22"/>
                <w:lang w:val="en-GB"/>
              </w:rPr>
              <w:t>5/23 (21.7%)</w:t>
            </w:r>
          </w:p>
        </w:tc>
        <w:tc>
          <w:tcPr>
            <w:tcW w:w="1262" w:type="pct"/>
            <w:vAlign w:val="center"/>
          </w:tcPr>
          <w:p w14:paraId="52098410" w14:textId="77777777" w:rsidR="004A10AE" w:rsidRPr="0025669D" w:rsidRDefault="004A10AE" w:rsidP="007947DB">
            <w:pPr>
              <w:spacing w:after="0" w:line="240" w:lineRule="auto"/>
              <w:jc w:val="center"/>
              <w:rPr>
                <w:rFonts w:ascii="Times New Roman" w:eastAsia="Malgun Gothic" w:hAnsi="Times New Roman" w:cs="Times New Roman"/>
                <w:sz w:val="22"/>
                <w:lang w:val="en-GB"/>
              </w:rPr>
            </w:pPr>
            <w:r w:rsidRPr="0025669D">
              <w:rPr>
                <w:rFonts w:ascii="Times New Roman" w:eastAsia="Malgun Gothic" w:hAnsi="Times New Roman" w:cs="Times New Roman"/>
                <w:sz w:val="22"/>
                <w:lang w:val="en-GB"/>
              </w:rPr>
              <w:t>8/24 (33.3%)</w:t>
            </w:r>
          </w:p>
        </w:tc>
        <w:tc>
          <w:tcPr>
            <w:tcW w:w="1261" w:type="pct"/>
            <w:vAlign w:val="center"/>
          </w:tcPr>
          <w:p w14:paraId="521C4748" w14:textId="77777777" w:rsidR="004A10AE" w:rsidRPr="0025669D" w:rsidRDefault="004A10AE" w:rsidP="007947DB">
            <w:pPr>
              <w:spacing w:after="0" w:line="240" w:lineRule="auto"/>
              <w:jc w:val="center"/>
              <w:rPr>
                <w:rFonts w:ascii="Times New Roman" w:eastAsia="Malgun Gothic" w:hAnsi="Times New Roman" w:cs="Times New Roman"/>
                <w:sz w:val="22"/>
                <w:lang w:val="en-GB"/>
              </w:rPr>
            </w:pPr>
            <w:r w:rsidRPr="0025669D">
              <w:rPr>
                <w:rFonts w:ascii="Times New Roman" w:eastAsia="Malgun Gothic" w:hAnsi="Times New Roman" w:cs="Times New Roman"/>
                <w:sz w:val="22"/>
                <w:lang w:val="en-GB"/>
              </w:rPr>
              <w:t>10/19 (52.6%)</w:t>
            </w:r>
          </w:p>
        </w:tc>
      </w:tr>
    </w:tbl>
    <w:p w14:paraId="48C4C559" w14:textId="77777777" w:rsidR="004A10AE" w:rsidRPr="0025669D" w:rsidRDefault="004A10AE" w:rsidP="007947DB">
      <w:pPr>
        <w:spacing w:line="240" w:lineRule="auto"/>
        <w:jc w:val="left"/>
        <w:rPr>
          <w:rFonts w:ascii="Times New Roman" w:eastAsia="Malgun Gothic" w:hAnsi="Times New Roman" w:cs="Times New Roman"/>
          <w:sz w:val="24"/>
          <w:szCs w:val="24"/>
        </w:rPr>
      </w:pPr>
    </w:p>
    <w:p w14:paraId="3FD3CAFD" w14:textId="04EB0516" w:rsidR="004A10AE" w:rsidRDefault="004A10AE" w:rsidP="007947DB">
      <w:pPr>
        <w:spacing w:line="240" w:lineRule="auto"/>
        <w:jc w:val="left"/>
        <w:rPr>
          <w:rFonts w:ascii="Times New Roman" w:eastAsia="Malgun Gothic" w:hAnsi="Times New Roman" w:cs="Times New Roman"/>
          <w:sz w:val="24"/>
          <w:szCs w:val="24"/>
        </w:rPr>
      </w:pPr>
      <w:r w:rsidRPr="0025669D">
        <w:rPr>
          <w:rFonts w:ascii="Times New Roman" w:eastAsia="Malgun Gothic" w:hAnsi="Times New Roman" w:cs="Times New Roman"/>
          <w:sz w:val="24"/>
          <w:szCs w:val="24"/>
        </w:rPr>
        <w:t xml:space="preserve">Furthermore, it showed that among ACR20 responders, infliximab 3 mg/kg plus methotrexate improved </w:t>
      </w:r>
      <w:proofErr w:type="spellStart"/>
      <w:r w:rsidRPr="0025669D">
        <w:rPr>
          <w:rFonts w:ascii="Times New Roman" w:eastAsia="Malgun Gothic" w:hAnsi="Times New Roman" w:cs="Times New Roman"/>
          <w:sz w:val="24"/>
          <w:szCs w:val="24"/>
        </w:rPr>
        <w:t>anaemia</w:t>
      </w:r>
      <w:proofErr w:type="spellEnd"/>
      <w:r w:rsidRPr="0025669D">
        <w:rPr>
          <w:rFonts w:ascii="Times New Roman" w:eastAsia="Malgun Gothic" w:hAnsi="Times New Roman" w:cs="Times New Roman"/>
          <w:sz w:val="24"/>
          <w:szCs w:val="24"/>
        </w:rPr>
        <w:t xml:space="preserve"> significantly (p=0.034) better than methotrexate alone. Improvement in </w:t>
      </w:r>
      <w:proofErr w:type="spellStart"/>
      <w:r w:rsidRPr="0025669D">
        <w:rPr>
          <w:rFonts w:ascii="Times New Roman" w:eastAsia="Malgun Gothic" w:hAnsi="Times New Roman" w:cs="Times New Roman"/>
          <w:sz w:val="24"/>
          <w:szCs w:val="24"/>
        </w:rPr>
        <w:t>haemoglobin</w:t>
      </w:r>
      <w:proofErr w:type="spellEnd"/>
      <w:r w:rsidRPr="0025669D">
        <w:rPr>
          <w:rFonts w:ascii="Times New Roman" w:eastAsia="Malgun Gothic" w:hAnsi="Times New Roman" w:cs="Times New Roman"/>
          <w:sz w:val="24"/>
          <w:szCs w:val="24"/>
        </w:rPr>
        <w:t xml:space="preserve"> significantly correlated with improvement in physical function and quality of life at week 22.</w:t>
      </w:r>
    </w:p>
    <w:p w14:paraId="3290E419" w14:textId="77777777" w:rsidR="004A10AE" w:rsidRPr="0025669D" w:rsidRDefault="004A10AE" w:rsidP="007947DB">
      <w:pPr>
        <w:pStyle w:val="Heading2"/>
        <w:tabs>
          <w:tab w:val="num" w:pos="1418"/>
        </w:tabs>
        <w:spacing w:after="0"/>
        <w:ind w:left="1702" w:hangingChars="709" w:hanging="1702"/>
        <w:rPr>
          <w:rFonts w:eastAsia="Malgun Gothic" w:cs="Times New Roman"/>
          <w:szCs w:val="24"/>
          <w:lang w:eastAsia="ko-KR"/>
        </w:rPr>
      </w:pPr>
      <w:r w:rsidRPr="0025669D">
        <w:rPr>
          <w:rFonts w:eastAsia="Malgun Gothic" w:cs="Times New Roman"/>
          <w:szCs w:val="24"/>
          <w:lang w:eastAsia="ko-KR"/>
        </w:rPr>
        <w:t xml:space="preserve">• </w:t>
      </w:r>
      <w:r w:rsidRPr="0035249D">
        <w:rPr>
          <w:rFonts w:eastAsia="Malgun Gothic" w:cs="Times New Roman"/>
          <w:szCs w:val="24"/>
          <w:lang w:eastAsia="ko-KR"/>
        </w:rPr>
        <w:t xml:space="preserve">Ankylosing Spondylitis </w:t>
      </w:r>
    </w:p>
    <w:p w14:paraId="7B8B6C05" w14:textId="77777777" w:rsidR="004A10AE" w:rsidRDefault="004A10AE" w:rsidP="007947DB">
      <w:pPr>
        <w:spacing w:after="0" w:line="240" w:lineRule="auto"/>
        <w:jc w:val="left"/>
        <w:rPr>
          <w:rFonts w:ascii="Times New Roman" w:eastAsia="Malgun Gothic" w:hAnsi="Times New Roman" w:cs="Times New Roman"/>
          <w:sz w:val="24"/>
          <w:szCs w:val="24"/>
        </w:rPr>
      </w:pPr>
      <w:r w:rsidRPr="0025669D">
        <w:rPr>
          <w:rFonts w:ascii="Times New Roman" w:eastAsia="Malgun Gothic" w:hAnsi="Times New Roman" w:cs="Times New Roman"/>
          <w:sz w:val="24"/>
          <w:szCs w:val="24"/>
        </w:rPr>
        <w:t xml:space="preserve">Efficacy and safety of infliximab were assessed in two </w:t>
      </w:r>
      <w:proofErr w:type="spellStart"/>
      <w:r w:rsidRPr="0025669D">
        <w:rPr>
          <w:rFonts w:ascii="Times New Roman" w:eastAsia="Malgun Gothic" w:hAnsi="Times New Roman" w:cs="Times New Roman"/>
          <w:sz w:val="24"/>
          <w:szCs w:val="24"/>
        </w:rPr>
        <w:t>multicentre</w:t>
      </w:r>
      <w:proofErr w:type="spellEnd"/>
      <w:r w:rsidRPr="0025669D">
        <w:rPr>
          <w:rFonts w:ascii="Times New Roman" w:eastAsia="Malgun Gothic" w:hAnsi="Times New Roman" w:cs="Times New Roman"/>
          <w:sz w:val="24"/>
          <w:szCs w:val="24"/>
        </w:rPr>
        <w:t xml:space="preserve">, double-blind, placebo-controlled studies in patients with active ankylosing spondylitis (Bath Ankylosing Spondylitis Disease Activity Index [BASDAI] score ≥ 4 and spinal pain ≥ 4 on a scale of 1-10). Improvement in signs and symptoms was measured using the ASAS 20 response criteria and/or the BASDAI 50. Improvement in physical function was assessed using the Bath Ankylosing Spondylitis Functional Index (BASFI). Improvement in range of axial motion was evaluated using both the Bath Ankylosing Spondylitis Metrology Index (BASMI) and/or clinical measurements of chest expansion. Health-related quality of life was assessed using the SF-36 (physical function, role physical, bodily pain, general health, vitality, social functioning, </w:t>
      </w:r>
      <w:proofErr w:type="gramStart"/>
      <w:r w:rsidRPr="0025669D">
        <w:rPr>
          <w:rFonts w:ascii="Times New Roman" w:eastAsia="Malgun Gothic" w:hAnsi="Times New Roman" w:cs="Times New Roman"/>
          <w:sz w:val="24"/>
          <w:szCs w:val="24"/>
        </w:rPr>
        <w:t>role</w:t>
      </w:r>
      <w:proofErr w:type="gramEnd"/>
      <w:r w:rsidRPr="0025669D">
        <w:rPr>
          <w:rFonts w:ascii="Times New Roman" w:eastAsia="Malgun Gothic" w:hAnsi="Times New Roman" w:cs="Times New Roman"/>
          <w:sz w:val="24"/>
          <w:szCs w:val="24"/>
        </w:rPr>
        <w:t xml:space="preserve"> emotional, mental health). The BASDAI measures disease activity on the basis of six questions relating to fatigue, spinal pain, peripheral arthritis, </w:t>
      </w:r>
      <w:proofErr w:type="spellStart"/>
      <w:r w:rsidRPr="0025669D">
        <w:rPr>
          <w:rFonts w:ascii="Times New Roman" w:eastAsia="Malgun Gothic" w:hAnsi="Times New Roman" w:cs="Times New Roman"/>
          <w:sz w:val="24"/>
          <w:szCs w:val="24"/>
        </w:rPr>
        <w:t>enthesitis</w:t>
      </w:r>
      <w:proofErr w:type="spellEnd"/>
      <w:r w:rsidRPr="0025669D">
        <w:rPr>
          <w:rFonts w:ascii="Times New Roman" w:eastAsia="Malgun Gothic" w:hAnsi="Times New Roman" w:cs="Times New Roman"/>
          <w:sz w:val="24"/>
          <w:szCs w:val="24"/>
        </w:rPr>
        <w:t xml:space="preserve"> (inflammation at the points where tendons/ligaments/joint capsule enter the bone), and morning stiffness. </w:t>
      </w:r>
    </w:p>
    <w:p w14:paraId="2EBBECF6" w14:textId="77777777" w:rsidR="004A10AE" w:rsidRPr="0025669D" w:rsidRDefault="004A10AE" w:rsidP="007947DB">
      <w:pPr>
        <w:spacing w:after="0" w:line="240" w:lineRule="auto"/>
        <w:jc w:val="left"/>
        <w:rPr>
          <w:rFonts w:ascii="Times New Roman" w:eastAsia="Malgun Gothic" w:hAnsi="Times New Roman" w:cs="Times New Roman"/>
          <w:sz w:val="24"/>
          <w:szCs w:val="24"/>
        </w:rPr>
      </w:pPr>
    </w:p>
    <w:p w14:paraId="7A7E577B" w14:textId="77777777" w:rsidR="004A10AE" w:rsidRPr="0025669D" w:rsidRDefault="004A10AE" w:rsidP="007947DB">
      <w:pPr>
        <w:spacing w:line="240" w:lineRule="auto"/>
        <w:jc w:val="left"/>
        <w:rPr>
          <w:rFonts w:ascii="Times New Roman" w:eastAsia="Malgun Gothic" w:hAnsi="Times New Roman" w:cs="Times New Roman"/>
          <w:sz w:val="24"/>
          <w:szCs w:val="24"/>
        </w:rPr>
      </w:pPr>
      <w:r w:rsidRPr="0025669D">
        <w:rPr>
          <w:rFonts w:ascii="Times New Roman" w:eastAsia="Malgun Gothic" w:hAnsi="Times New Roman" w:cs="Times New Roman"/>
          <w:sz w:val="24"/>
          <w:szCs w:val="24"/>
        </w:rPr>
        <w:t>In the first study (P01522), which had a 3 month double-blind phase, patients received either 5 mg/kg infliximab or placebo at weeks 0, 2, 6 (35 patients in each group). Starting at week 12, placebo patients were switched to infliximab and all patients subsequently received 5</w:t>
      </w:r>
      <w:r>
        <w:rPr>
          <w:rFonts w:ascii="Times New Roman" w:eastAsia="Malgun Gothic" w:hAnsi="Times New Roman" w:cs="Times New Roman"/>
          <w:sz w:val="24"/>
          <w:szCs w:val="24"/>
        </w:rPr>
        <w:t> </w:t>
      </w:r>
      <w:r w:rsidRPr="0025669D">
        <w:rPr>
          <w:rFonts w:ascii="Times New Roman" w:eastAsia="Malgun Gothic" w:hAnsi="Times New Roman" w:cs="Times New Roman"/>
          <w:sz w:val="24"/>
          <w:szCs w:val="24"/>
        </w:rPr>
        <w:t xml:space="preserve">mg/kg infliximab every 6 weeks up to week 54. After the first year of the study, 53 patients continued into an open-label extension to week 102. </w:t>
      </w:r>
    </w:p>
    <w:p w14:paraId="5BEEF9C6" w14:textId="77777777" w:rsidR="004A10AE" w:rsidRPr="0025669D" w:rsidRDefault="004A10AE" w:rsidP="007947DB">
      <w:pPr>
        <w:spacing w:line="240" w:lineRule="auto"/>
        <w:jc w:val="left"/>
        <w:rPr>
          <w:rFonts w:ascii="Times New Roman" w:eastAsia="Malgun Gothic" w:hAnsi="Times New Roman" w:cs="Times New Roman"/>
          <w:sz w:val="24"/>
          <w:szCs w:val="24"/>
        </w:rPr>
      </w:pPr>
      <w:r w:rsidRPr="0025669D">
        <w:rPr>
          <w:rFonts w:ascii="Times New Roman" w:eastAsia="Malgun Gothic" w:hAnsi="Times New Roman" w:cs="Times New Roman"/>
          <w:sz w:val="24"/>
          <w:szCs w:val="24"/>
        </w:rPr>
        <w:t xml:space="preserve">At week 12, treatment with infliximab resulted in improvement in signs and symptoms, as assessed by the BASDAI, with 57% of infliximab treated patients achieving at least 50% reduction from baseline in BASDAI score, (mean baseline score was 6.5 in the infliximab group and 6.3 in the placebo group), compared to 9% of placebo patients (p&lt;0.01). The absolute difference in the BASDAI score compared with placebo at week 12 was 2.4. At 54 and 102 weeks there were 54 and 49 subjects still on infliximab treatment and among those, 34 (63%) and 30 (61%) were BASDAI 50 responders. Improvement was observed as early as week 2, and was maintained through week 102. Physical function range of motion, and quality of life (SF-36) were improved similarly. </w:t>
      </w:r>
    </w:p>
    <w:p w14:paraId="79F116F0" w14:textId="77777777" w:rsidR="004A10AE" w:rsidRPr="0025669D" w:rsidRDefault="004A10AE" w:rsidP="007947DB">
      <w:pPr>
        <w:spacing w:line="240" w:lineRule="auto"/>
        <w:jc w:val="left"/>
        <w:rPr>
          <w:rFonts w:ascii="Times New Roman" w:eastAsia="Malgun Gothic" w:hAnsi="Times New Roman" w:cs="Times New Roman"/>
          <w:sz w:val="24"/>
          <w:szCs w:val="24"/>
        </w:rPr>
      </w:pPr>
      <w:r w:rsidRPr="0025669D">
        <w:rPr>
          <w:rFonts w:ascii="Times New Roman" w:eastAsia="Malgun Gothic" w:hAnsi="Times New Roman" w:cs="Times New Roman"/>
          <w:sz w:val="24"/>
          <w:szCs w:val="24"/>
        </w:rPr>
        <w:t xml:space="preserve">In the second trial (ASSERT), 279 patients (78 patients in the placebo group and 201 in the infliximab group) were </w:t>
      </w:r>
      <w:proofErr w:type="spellStart"/>
      <w:r w:rsidRPr="0025669D">
        <w:rPr>
          <w:rFonts w:ascii="Times New Roman" w:eastAsia="Malgun Gothic" w:hAnsi="Times New Roman" w:cs="Times New Roman"/>
          <w:sz w:val="24"/>
          <w:szCs w:val="24"/>
        </w:rPr>
        <w:t>randomised</w:t>
      </w:r>
      <w:proofErr w:type="spellEnd"/>
      <w:r w:rsidRPr="0025669D">
        <w:rPr>
          <w:rFonts w:ascii="Times New Roman" w:eastAsia="Malgun Gothic" w:hAnsi="Times New Roman" w:cs="Times New Roman"/>
          <w:sz w:val="24"/>
          <w:szCs w:val="24"/>
        </w:rPr>
        <w:t xml:space="preserve"> to receive either placebo (Group 1) or 5 mg/kg infliximab (Group 2) at 0, 2 and 6 weeks and every 6 weeks thereafter through to week 96. At week 24, patients receiving placebo (Group 1) received 5 mg/kg infliximab every 6 weeks through to week 96. Starting with the week-36 infusion and continuing through the week-96 infusion, a </w:t>
      </w:r>
      <w:r w:rsidRPr="0025669D">
        <w:rPr>
          <w:rFonts w:ascii="Times New Roman" w:eastAsia="Malgun Gothic" w:hAnsi="Times New Roman" w:cs="Times New Roman"/>
          <w:sz w:val="24"/>
          <w:szCs w:val="24"/>
        </w:rPr>
        <w:lastRenderedPageBreak/>
        <w:t xml:space="preserve">patient in Group 2 who had a BASDAI ≥3 at 2 consecutive visits received a 7.5 mg/kg infliximab infusion and continued to receive 7.5 mg/kg infliximab infusions every 6 weeks thereafter through week 96. </w:t>
      </w:r>
    </w:p>
    <w:p w14:paraId="3109F89D" w14:textId="64E8902D" w:rsidR="004A10AE" w:rsidRDefault="004A10AE" w:rsidP="007947DB">
      <w:pPr>
        <w:spacing w:line="240" w:lineRule="auto"/>
        <w:jc w:val="left"/>
        <w:rPr>
          <w:rFonts w:ascii="Times New Roman" w:eastAsia="Malgun Gothic" w:hAnsi="Times New Roman" w:cs="Times New Roman"/>
          <w:sz w:val="24"/>
          <w:szCs w:val="24"/>
        </w:rPr>
      </w:pPr>
      <w:r w:rsidRPr="0025669D">
        <w:rPr>
          <w:rFonts w:ascii="Times New Roman" w:eastAsia="Malgun Gothic" w:hAnsi="Times New Roman" w:cs="Times New Roman"/>
          <w:sz w:val="24"/>
          <w:szCs w:val="24"/>
        </w:rPr>
        <w:t xml:space="preserve">At 24 weeks, the primary efficacy </w:t>
      </w:r>
      <w:proofErr w:type="spellStart"/>
      <w:r w:rsidRPr="0025669D">
        <w:rPr>
          <w:rFonts w:ascii="Times New Roman" w:eastAsia="Malgun Gothic" w:hAnsi="Times New Roman" w:cs="Times New Roman"/>
          <w:sz w:val="24"/>
          <w:szCs w:val="24"/>
        </w:rPr>
        <w:t>timepoint</w:t>
      </w:r>
      <w:proofErr w:type="spellEnd"/>
      <w:r w:rsidRPr="0025669D">
        <w:rPr>
          <w:rFonts w:ascii="Times New Roman" w:eastAsia="Malgun Gothic" w:hAnsi="Times New Roman" w:cs="Times New Roman"/>
          <w:sz w:val="24"/>
          <w:szCs w:val="24"/>
        </w:rPr>
        <w:t>, improvement in signs and symptoms, as measured by the proportion of patients achieving an ASAS 20 response, was 61% in the infliximab-treated group vs. 19% in the placebo group (p&lt;0.001). The improvement was observed as early as week 2. Significant improvement in signs and symptoms was also assessed by the BASDAI, with 51% of infliximab-treated subjects achieving at least 50% reduction from baseline in BASDAI score (mean baseline score was 6.5 in the infliximab group and 6.2 in the placebo group), compared with 10.7% of placebo patients (p&lt;0.001). The median improvement from baseline in range of axial motion, as assessed by the BASMI was 1.0 for the infliximab-treated group vs. 0.0 for the placebo group (p=0.019). The median percent improvement from baseline in chest expansion was 17% for the infliximab-treated group and 0% for the placebo group (p=0.037). Physical function and quality of life as measured by the BASFI and the SF-36 were also improved significantly at week 24.</w:t>
      </w:r>
    </w:p>
    <w:p w14:paraId="48EFE9C3" w14:textId="77777777" w:rsidR="00501F29" w:rsidRPr="0025669D" w:rsidRDefault="00501F29" w:rsidP="007947DB">
      <w:pPr>
        <w:spacing w:line="240" w:lineRule="auto"/>
        <w:jc w:val="left"/>
        <w:rPr>
          <w:rFonts w:ascii="Times New Roman" w:eastAsia="Malgun Gothic" w:hAnsi="Times New Roman" w:cs="Times New Roman"/>
          <w:sz w:val="24"/>
          <w:szCs w:val="24"/>
        </w:rPr>
      </w:pPr>
    </w:p>
    <w:p w14:paraId="66936970" w14:textId="77777777" w:rsidR="004A10AE" w:rsidRPr="0025669D" w:rsidRDefault="004A10AE" w:rsidP="007947DB">
      <w:pPr>
        <w:spacing w:line="240" w:lineRule="auto"/>
        <w:jc w:val="left"/>
        <w:rPr>
          <w:rFonts w:ascii="Times New Roman" w:eastAsia="Malgun Gothic" w:hAnsi="Times New Roman" w:cs="Times New Roman"/>
          <w:sz w:val="24"/>
          <w:szCs w:val="24"/>
        </w:rPr>
      </w:pPr>
      <w:r w:rsidRPr="0025669D">
        <w:rPr>
          <w:rFonts w:ascii="Times New Roman" w:eastAsia="Malgun Gothic" w:hAnsi="Times New Roman" w:cs="Times New Roman"/>
          <w:sz w:val="24"/>
          <w:szCs w:val="24"/>
        </w:rPr>
        <w:t xml:space="preserve">All improvements were maintained through week 102 and patients who crossed over to infliximab from placebo at week 24 showed improvement in all scores that were similar to the infliximab-treated group at week 102. </w:t>
      </w:r>
    </w:p>
    <w:p w14:paraId="4040D5B0" w14:textId="77777777" w:rsidR="004A10AE" w:rsidRPr="0025669D" w:rsidRDefault="004A10AE" w:rsidP="007947DB">
      <w:pPr>
        <w:spacing w:line="240" w:lineRule="auto"/>
        <w:jc w:val="left"/>
        <w:rPr>
          <w:rFonts w:ascii="Times New Roman" w:eastAsia="Malgun Gothic" w:hAnsi="Times New Roman" w:cs="Times New Roman"/>
          <w:sz w:val="24"/>
          <w:szCs w:val="24"/>
        </w:rPr>
      </w:pPr>
      <w:r w:rsidRPr="0025669D">
        <w:rPr>
          <w:rFonts w:ascii="Times New Roman" w:eastAsia="Malgun Gothic" w:hAnsi="Times New Roman" w:cs="Times New Roman"/>
          <w:sz w:val="24"/>
          <w:szCs w:val="24"/>
        </w:rPr>
        <w:t xml:space="preserve">There is no evidence available to suggest that infliximab therapy is able to retard the progression of joint damage or deformity caused by ankylosing spondylitis. </w:t>
      </w:r>
    </w:p>
    <w:p w14:paraId="12529F46" w14:textId="77777777" w:rsidR="004A10AE" w:rsidRPr="0025669D" w:rsidRDefault="004A10AE" w:rsidP="007947DB">
      <w:pPr>
        <w:pStyle w:val="Heading2"/>
        <w:tabs>
          <w:tab w:val="num" w:pos="1418"/>
        </w:tabs>
        <w:spacing w:after="0"/>
        <w:ind w:left="1702" w:hangingChars="709" w:hanging="1702"/>
        <w:rPr>
          <w:rFonts w:eastAsia="Malgun Gothic" w:cs="Times New Roman"/>
          <w:szCs w:val="24"/>
          <w:lang w:eastAsia="ko-KR"/>
        </w:rPr>
      </w:pPr>
      <w:r w:rsidRPr="0025669D">
        <w:rPr>
          <w:rFonts w:eastAsia="Malgun Gothic" w:cs="Times New Roman"/>
          <w:szCs w:val="24"/>
          <w:lang w:eastAsia="ko-KR"/>
        </w:rPr>
        <w:t xml:space="preserve">• </w:t>
      </w:r>
      <w:r w:rsidRPr="0035249D">
        <w:rPr>
          <w:rFonts w:eastAsia="Malgun Gothic" w:cs="Times New Roman"/>
          <w:szCs w:val="24"/>
          <w:lang w:eastAsia="ko-KR"/>
        </w:rPr>
        <w:t xml:space="preserve">Psoriatic arthritis </w:t>
      </w:r>
    </w:p>
    <w:p w14:paraId="06B50E36" w14:textId="77777777" w:rsidR="004A10AE" w:rsidRDefault="004A10AE" w:rsidP="007947DB">
      <w:pPr>
        <w:spacing w:after="0" w:line="240" w:lineRule="auto"/>
        <w:jc w:val="left"/>
        <w:rPr>
          <w:rFonts w:ascii="Times New Roman" w:eastAsia="Malgun Gothic" w:hAnsi="Times New Roman" w:cs="Times New Roman"/>
          <w:sz w:val="24"/>
          <w:szCs w:val="24"/>
        </w:rPr>
      </w:pPr>
      <w:r w:rsidRPr="0025669D">
        <w:rPr>
          <w:rFonts w:ascii="Times New Roman" w:eastAsia="Malgun Gothic" w:hAnsi="Times New Roman" w:cs="Times New Roman"/>
          <w:sz w:val="24"/>
          <w:szCs w:val="24"/>
        </w:rPr>
        <w:t xml:space="preserve">Efficacy and safety were assessed in two </w:t>
      </w:r>
      <w:proofErr w:type="spellStart"/>
      <w:r w:rsidRPr="0025669D">
        <w:rPr>
          <w:rFonts w:ascii="Times New Roman" w:eastAsia="Malgun Gothic" w:hAnsi="Times New Roman" w:cs="Times New Roman"/>
          <w:sz w:val="24"/>
          <w:szCs w:val="24"/>
        </w:rPr>
        <w:t>multicentre</w:t>
      </w:r>
      <w:proofErr w:type="spellEnd"/>
      <w:r w:rsidRPr="0025669D">
        <w:rPr>
          <w:rFonts w:ascii="Times New Roman" w:eastAsia="Malgun Gothic" w:hAnsi="Times New Roman" w:cs="Times New Roman"/>
          <w:sz w:val="24"/>
          <w:szCs w:val="24"/>
        </w:rPr>
        <w:t xml:space="preserve">, double-blind, placebo-controlled studies in patients with active psoriatic arthritis. </w:t>
      </w:r>
    </w:p>
    <w:p w14:paraId="6AEECF8F" w14:textId="77777777" w:rsidR="004A10AE" w:rsidRPr="0025669D" w:rsidRDefault="004A10AE" w:rsidP="007947DB">
      <w:pPr>
        <w:spacing w:after="0" w:line="240" w:lineRule="auto"/>
        <w:jc w:val="left"/>
        <w:rPr>
          <w:rFonts w:ascii="Times New Roman" w:eastAsia="Malgun Gothic" w:hAnsi="Times New Roman" w:cs="Times New Roman"/>
          <w:sz w:val="24"/>
          <w:szCs w:val="24"/>
        </w:rPr>
      </w:pPr>
    </w:p>
    <w:p w14:paraId="669D85A7" w14:textId="77777777" w:rsidR="004A10AE" w:rsidRPr="0025669D" w:rsidRDefault="004A10AE" w:rsidP="007947DB">
      <w:pPr>
        <w:spacing w:line="240" w:lineRule="auto"/>
        <w:jc w:val="left"/>
        <w:rPr>
          <w:rFonts w:ascii="Times New Roman" w:eastAsia="Malgun Gothic" w:hAnsi="Times New Roman" w:cs="Times New Roman"/>
          <w:sz w:val="24"/>
          <w:szCs w:val="24"/>
        </w:rPr>
      </w:pPr>
      <w:r w:rsidRPr="0025669D">
        <w:rPr>
          <w:rFonts w:ascii="Times New Roman" w:eastAsia="Malgun Gothic" w:hAnsi="Times New Roman" w:cs="Times New Roman"/>
          <w:sz w:val="24"/>
          <w:szCs w:val="24"/>
        </w:rPr>
        <w:t xml:space="preserve">In the first study (IMPACT), efficacy and safety of infliximab were studied in 104 patients with active </w:t>
      </w:r>
      <w:proofErr w:type="spellStart"/>
      <w:r w:rsidRPr="0025669D">
        <w:rPr>
          <w:rFonts w:ascii="Times New Roman" w:eastAsia="Malgun Gothic" w:hAnsi="Times New Roman" w:cs="Times New Roman"/>
          <w:sz w:val="24"/>
          <w:szCs w:val="24"/>
        </w:rPr>
        <w:t>polyarticular</w:t>
      </w:r>
      <w:proofErr w:type="spellEnd"/>
      <w:r w:rsidRPr="0025669D">
        <w:rPr>
          <w:rFonts w:ascii="Times New Roman" w:eastAsia="Malgun Gothic" w:hAnsi="Times New Roman" w:cs="Times New Roman"/>
          <w:sz w:val="24"/>
          <w:szCs w:val="24"/>
        </w:rPr>
        <w:t xml:space="preserve"> psoriatic arthritis. In total 74 subjects were on at least one concomitant DMARD, and among those 58 patients were treated with methotrexate. During the 16-week double-blind phase, patients received either 5 mg/kg infliximab or placebo at weeks 0, 2, 6, and 14 (52 patients in each group). Starting at week 16, placebo patients were switched to infliximab and all patients subsequently received 5 mg/kg infliximab every 8 weeks up to week 46. After the first year of the study, 78 patients continued into an open-label extension to week 98. </w:t>
      </w:r>
    </w:p>
    <w:p w14:paraId="441D364D" w14:textId="77777777" w:rsidR="004A10AE" w:rsidRPr="0025669D" w:rsidRDefault="004A10AE" w:rsidP="007947DB">
      <w:pPr>
        <w:spacing w:line="240" w:lineRule="auto"/>
        <w:jc w:val="left"/>
        <w:rPr>
          <w:rFonts w:ascii="Times New Roman" w:eastAsia="Malgun Gothic" w:hAnsi="Times New Roman" w:cs="Times New Roman"/>
          <w:sz w:val="24"/>
          <w:szCs w:val="24"/>
        </w:rPr>
      </w:pPr>
      <w:r w:rsidRPr="0025669D">
        <w:rPr>
          <w:rFonts w:ascii="Times New Roman" w:eastAsia="Malgun Gothic" w:hAnsi="Times New Roman" w:cs="Times New Roman"/>
          <w:sz w:val="24"/>
          <w:szCs w:val="24"/>
        </w:rPr>
        <w:t xml:space="preserve">In the second trial (IMPACT 2), efficacy and safety of infliximab were studied in 200 patients with active psoriatic arthritis (≥ 5 swollen joints and ≥ 5 tender joints) with one or more of the following subtypes: arthritis involving DIP joints, arthritis </w:t>
      </w:r>
      <w:proofErr w:type="spellStart"/>
      <w:r w:rsidRPr="0025669D">
        <w:rPr>
          <w:rFonts w:ascii="Times New Roman" w:eastAsia="Malgun Gothic" w:hAnsi="Times New Roman" w:cs="Times New Roman"/>
          <w:sz w:val="24"/>
          <w:szCs w:val="24"/>
        </w:rPr>
        <w:t>mutilans</w:t>
      </w:r>
      <w:proofErr w:type="spellEnd"/>
      <w:r w:rsidRPr="0025669D">
        <w:rPr>
          <w:rFonts w:ascii="Times New Roman" w:eastAsia="Malgun Gothic" w:hAnsi="Times New Roman" w:cs="Times New Roman"/>
          <w:sz w:val="24"/>
          <w:szCs w:val="24"/>
        </w:rPr>
        <w:t xml:space="preserve">, asymmetric peripheral arthritis, </w:t>
      </w:r>
      <w:proofErr w:type="spellStart"/>
      <w:r w:rsidRPr="0025669D">
        <w:rPr>
          <w:rFonts w:ascii="Times New Roman" w:eastAsia="Malgun Gothic" w:hAnsi="Times New Roman" w:cs="Times New Roman"/>
          <w:sz w:val="24"/>
          <w:szCs w:val="24"/>
        </w:rPr>
        <w:t>polyarticular</w:t>
      </w:r>
      <w:proofErr w:type="spellEnd"/>
      <w:r w:rsidRPr="0025669D">
        <w:rPr>
          <w:rFonts w:ascii="Times New Roman" w:eastAsia="Malgun Gothic" w:hAnsi="Times New Roman" w:cs="Times New Roman"/>
          <w:sz w:val="24"/>
          <w:szCs w:val="24"/>
        </w:rPr>
        <w:t xml:space="preserve"> arthritis, and spondylitis with peripheral arthritis. Patients also had plaque psoriasis with a qualifying target lesion ≥ 2 cm in diameter. Forty-six percent of patients continued on stable doses of methotrexate (≤ 25 mg/week). Patients had previously been treated with NSAIDs (81.5%), DMARDs (79.5%) and corticosteroids </w:t>
      </w:r>
      <w:r w:rsidRPr="0025669D">
        <w:rPr>
          <w:rFonts w:ascii="Times New Roman" w:eastAsia="Malgun Gothic" w:hAnsi="Times New Roman" w:cs="Times New Roman"/>
          <w:sz w:val="24"/>
          <w:szCs w:val="24"/>
        </w:rPr>
        <w:lastRenderedPageBreak/>
        <w:t xml:space="preserve">(29.0%). During the 24-week double-blind phase, patients received either 5 mg/kg infliximab or placebo at weeks 0, 2, 6, 14, and 22 (100 patients in each group). At week 16, placebo patients with &lt;10% improvement from baseline in both swollen and tender joint counts were switched to infliximab induction (early escape). At week 24, all placebo-treated patients crossed over to infliximab induction. Dosing continued for all patients through week 46. </w:t>
      </w:r>
    </w:p>
    <w:p w14:paraId="2FB9119F" w14:textId="3BF3511F" w:rsidR="004A10AE" w:rsidRDefault="004A10AE" w:rsidP="007947DB">
      <w:pPr>
        <w:spacing w:line="240" w:lineRule="auto"/>
        <w:jc w:val="left"/>
        <w:rPr>
          <w:rFonts w:ascii="Times New Roman" w:eastAsia="Malgun Gothic" w:hAnsi="Times New Roman" w:cs="Times New Roman"/>
          <w:sz w:val="24"/>
          <w:szCs w:val="24"/>
        </w:rPr>
      </w:pPr>
      <w:r w:rsidRPr="0025669D">
        <w:rPr>
          <w:rFonts w:ascii="Times New Roman" w:eastAsia="Malgun Gothic" w:hAnsi="Times New Roman" w:cs="Times New Roman"/>
          <w:sz w:val="24"/>
          <w:szCs w:val="24"/>
        </w:rPr>
        <w:t xml:space="preserve">Key efficacy results for IMPACT and IMPACT 2 are shown in </w:t>
      </w:r>
      <w:r w:rsidRPr="0036509C">
        <w:rPr>
          <w:rFonts w:ascii="Times New Roman" w:eastAsia="Malgun Gothic" w:hAnsi="Times New Roman" w:cs="Times New Roman"/>
          <w:sz w:val="24"/>
          <w:szCs w:val="24"/>
        </w:rPr>
        <w:fldChar w:fldCharType="begin"/>
      </w:r>
      <w:r w:rsidRPr="0036509C">
        <w:rPr>
          <w:rFonts w:ascii="Times New Roman" w:eastAsia="Malgun Gothic" w:hAnsi="Times New Roman" w:cs="Times New Roman"/>
          <w:sz w:val="24"/>
          <w:szCs w:val="24"/>
        </w:rPr>
        <w:instrText xml:space="preserve"> REF _Ref423967837 \h  \* MERGEFORMAT </w:instrText>
      </w:r>
      <w:r w:rsidRPr="0036509C">
        <w:rPr>
          <w:rFonts w:ascii="Times New Roman" w:eastAsia="Malgun Gothic" w:hAnsi="Times New Roman" w:cs="Times New Roman"/>
          <w:sz w:val="24"/>
          <w:szCs w:val="24"/>
        </w:rPr>
      </w:r>
      <w:r w:rsidRPr="0036509C">
        <w:rPr>
          <w:rFonts w:ascii="Times New Roman" w:eastAsia="Malgun Gothic" w:hAnsi="Times New Roman" w:cs="Times New Roman"/>
          <w:sz w:val="24"/>
          <w:szCs w:val="24"/>
        </w:rPr>
        <w:fldChar w:fldCharType="separate"/>
      </w:r>
      <w:r w:rsidR="005A6BF4" w:rsidRPr="005A6BF4">
        <w:rPr>
          <w:rFonts w:ascii="Times New Roman" w:hAnsi="Times New Roman" w:cs="Times New Roman"/>
          <w:sz w:val="24"/>
          <w:szCs w:val="24"/>
        </w:rPr>
        <w:t xml:space="preserve">Table </w:t>
      </w:r>
      <w:r w:rsidR="005A6BF4" w:rsidRPr="005A6BF4">
        <w:rPr>
          <w:rFonts w:ascii="Times New Roman" w:hAnsi="Times New Roman" w:cs="Times New Roman"/>
          <w:noProof/>
          <w:sz w:val="24"/>
          <w:szCs w:val="24"/>
        </w:rPr>
        <w:t>5</w:t>
      </w:r>
      <w:r w:rsidRPr="0036509C">
        <w:rPr>
          <w:rFonts w:ascii="Times New Roman" w:eastAsia="Malgun Gothic" w:hAnsi="Times New Roman" w:cs="Times New Roman"/>
          <w:sz w:val="24"/>
          <w:szCs w:val="24"/>
        </w:rPr>
        <w:fldChar w:fldCharType="end"/>
      </w:r>
      <w:r w:rsidRPr="0036509C">
        <w:rPr>
          <w:rFonts w:ascii="Times New Roman" w:eastAsia="Malgun Gothic" w:hAnsi="Times New Roman" w:cs="Times New Roman"/>
          <w:sz w:val="24"/>
          <w:szCs w:val="24"/>
        </w:rPr>
        <w:t xml:space="preserve"> below:</w:t>
      </w:r>
    </w:p>
    <w:p w14:paraId="007BF373" w14:textId="40039983" w:rsidR="00501F29" w:rsidRDefault="00501F29">
      <w:pPr>
        <w:widowControl/>
        <w:wordWrap/>
        <w:autoSpaceDE/>
        <w:autoSpaceDN/>
        <w:rPr>
          <w:rFonts w:ascii="Times New Roman" w:eastAsia="Malgun Gothic" w:hAnsi="Times New Roman" w:cs="Times New Roman"/>
          <w:sz w:val="24"/>
          <w:szCs w:val="24"/>
        </w:rPr>
      </w:pPr>
      <w:r>
        <w:rPr>
          <w:rFonts w:ascii="Times New Roman" w:eastAsia="Malgun Gothic" w:hAnsi="Times New Roman" w:cs="Times New Roman"/>
          <w:sz w:val="24"/>
          <w:szCs w:val="24"/>
        </w:rPr>
        <w:br w:type="page"/>
      </w:r>
    </w:p>
    <w:p w14:paraId="6524FF1E" w14:textId="77777777" w:rsidR="00501F29" w:rsidRPr="0036509C" w:rsidRDefault="00501F29" w:rsidP="00501F29">
      <w:pPr>
        <w:spacing w:after="0" w:line="240" w:lineRule="auto"/>
        <w:jc w:val="left"/>
        <w:rPr>
          <w:rFonts w:ascii="Times New Roman" w:eastAsia="Malgun Gothic" w:hAnsi="Times New Roman" w:cs="Times New Roman"/>
          <w:sz w:val="24"/>
          <w:szCs w:val="24"/>
        </w:rPr>
      </w:pPr>
    </w:p>
    <w:p w14:paraId="32A6D01E" w14:textId="252B2201" w:rsidR="004A10AE" w:rsidRPr="0036509C" w:rsidRDefault="004A10AE" w:rsidP="007947DB">
      <w:pPr>
        <w:pStyle w:val="Caption"/>
        <w:keepNext/>
        <w:spacing w:after="0" w:line="240" w:lineRule="auto"/>
        <w:rPr>
          <w:rFonts w:ascii="Times New Roman" w:hAnsi="Times New Roman" w:cs="Times New Roman"/>
          <w:sz w:val="22"/>
          <w:szCs w:val="22"/>
        </w:rPr>
      </w:pPr>
      <w:bookmarkStart w:id="5" w:name="_Ref423967837"/>
      <w:proofErr w:type="gramStart"/>
      <w:r w:rsidRPr="0036509C">
        <w:rPr>
          <w:rFonts w:ascii="Times New Roman" w:hAnsi="Times New Roman" w:cs="Times New Roman"/>
          <w:sz w:val="22"/>
          <w:szCs w:val="22"/>
        </w:rPr>
        <w:t xml:space="preserve">Table </w:t>
      </w:r>
      <w:r w:rsidRPr="0036509C">
        <w:rPr>
          <w:rFonts w:ascii="Times New Roman" w:hAnsi="Times New Roman" w:cs="Times New Roman"/>
          <w:sz w:val="22"/>
          <w:szCs w:val="22"/>
        </w:rPr>
        <w:fldChar w:fldCharType="begin"/>
      </w:r>
      <w:r w:rsidRPr="0036509C">
        <w:rPr>
          <w:rFonts w:ascii="Times New Roman" w:hAnsi="Times New Roman" w:cs="Times New Roman"/>
          <w:sz w:val="22"/>
          <w:szCs w:val="22"/>
        </w:rPr>
        <w:instrText xml:space="preserve"> SEQ Table \* ARABIC </w:instrText>
      </w:r>
      <w:r w:rsidRPr="0036509C">
        <w:rPr>
          <w:rFonts w:ascii="Times New Roman" w:hAnsi="Times New Roman" w:cs="Times New Roman"/>
          <w:sz w:val="22"/>
          <w:szCs w:val="22"/>
        </w:rPr>
        <w:fldChar w:fldCharType="separate"/>
      </w:r>
      <w:r w:rsidR="005A6BF4">
        <w:rPr>
          <w:rFonts w:ascii="Times New Roman" w:hAnsi="Times New Roman" w:cs="Times New Roman"/>
          <w:noProof/>
          <w:sz w:val="22"/>
          <w:szCs w:val="22"/>
        </w:rPr>
        <w:t>5</w:t>
      </w:r>
      <w:r w:rsidRPr="0036509C">
        <w:rPr>
          <w:rFonts w:ascii="Times New Roman" w:hAnsi="Times New Roman" w:cs="Times New Roman"/>
          <w:sz w:val="22"/>
          <w:szCs w:val="22"/>
        </w:rPr>
        <w:fldChar w:fldCharType="end"/>
      </w:r>
      <w:bookmarkEnd w:id="5"/>
      <w:r w:rsidRPr="0036509C">
        <w:rPr>
          <w:rFonts w:ascii="Times New Roman" w:hAnsi="Times New Roman" w:cs="Times New Roman"/>
          <w:sz w:val="22"/>
          <w:szCs w:val="22"/>
        </w:rPr>
        <w:t>.</w:t>
      </w:r>
      <w:proofErr w:type="gramEnd"/>
      <w:r w:rsidRPr="0036509C">
        <w:rPr>
          <w:rFonts w:ascii="Times New Roman" w:hAnsi="Times New Roman" w:cs="Times New Roman"/>
          <w:sz w:val="22"/>
          <w:szCs w:val="22"/>
        </w:rPr>
        <w:t xml:space="preserve"> </w:t>
      </w:r>
      <w:r w:rsidRPr="007947DB">
        <w:rPr>
          <w:rFonts w:ascii="Times New Roman" w:hAnsi="Times New Roman" w:cs="Times New Roman"/>
          <w:sz w:val="22"/>
          <w:szCs w:val="22"/>
        </w:rPr>
        <w:t>Effects on ACR, PASI and Physical Function in IMPACT and IMPACT 2</w:t>
      </w:r>
    </w:p>
    <w:tbl>
      <w:tblPr>
        <w:tblW w:w="5000" w:type="pct"/>
        <w:tblBorders>
          <w:top w:val="single" w:sz="4" w:space="0" w:color="auto"/>
          <w:bottom w:val="single" w:sz="4" w:space="0" w:color="auto"/>
        </w:tblBorders>
        <w:tblLook w:val="0000" w:firstRow="0" w:lastRow="0" w:firstColumn="0" w:lastColumn="0" w:noHBand="0" w:noVBand="0"/>
      </w:tblPr>
      <w:tblGrid>
        <w:gridCol w:w="1390"/>
        <w:gridCol w:w="990"/>
        <w:gridCol w:w="1145"/>
        <w:gridCol w:w="1145"/>
        <w:gridCol w:w="1147"/>
        <w:gridCol w:w="1134"/>
        <w:gridCol w:w="1145"/>
        <w:gridCol w:w="1146"/>
      </w:tblGrid>
      <w:tr w:rsidR="004A10AE" w:rsidRPr="0057700A" w14:paraId="49879626" w14:textId="77777777" w:rsidTr="005A4B0D">
        <w:trPr>
          <w:cantSplit/>
        </w:trPr>
        <w:tc>
          <w:tcPr>
            <w:tcW w:w="752" w:type="pct"/>
          </w:tcPr>
          <w:p w14:paraId="448ADF72" w14:textId="77777777" w:rsidR="004A10AE" w:rsidRPr="0057700A" w:rsidRDefault="004A10AE" w:rsidP="007947DB">
            <w:pPr>
              <w:kinsoku w:val="0"/>
              <w:wordWrap/>
              <w:overflowPunct w:val="0"/>
              <w:spacing w:after="0" w:line="240" w:lineRule="auto"/>
              <w:jc w:val="left"/>
              <w:rPr>
                <w:rFonts w:ascii="Times New Roman" w:eastAsia="Malgun Gothic" w:hAnsi="Times New Roman" w:cs="Times New Roman"/>
                <w:sz w:val="22"/>
                <w:lang w:val="en-GB"/>
              </w:rPr>
            </w:pPr>
          </w:p>
        </w:tc>
        <w:tc>
          <w:tcPr>
            <w:tcW w:w="2395" w:type="pct"/>
            <w:gridSpan w:val="4"/>
          </w:tcPr>
          <w:p w14:paraId="1EAAFC5F" w14:textId="77777777" w:rsidR="004A10AE" w:rsidRPr="0057700A" w:rsidRDefault="004A10AE" w:rsidP="007947DB">
            <w:pPr>
              <w:kinsoku w:val="0"/>
              <w:wordWrap/>
              <w:overflowPunct w:val="0"/>
              <w:spacing w:after="0" w:line="240" w:lineRule="auto"/>
              <w:jc w:val="center"/>
              <w:rPr>
                <w:rFonts w:ascii="Times New Roman" w:eastAsia="Malgun Gothic" w:hAnsi="Times New Roman" w:cs="Times New Roman"/>
                <w:sz w:val="22"/>
                <w:u w:val="single"/>
                <w:lang w:val="en-GB"/>
              </w:rPr>
            </w:pPr>
            <w:r w:rsidRPr="0057700A">
              <w:rPr>
                <w:rFonts w:ascii="Times New Roman" w:eastAsia="Malgun Gothic" w:hAnsi="Times New Roman" w:cs="Times New Roman"/>
                <w:sz w:val="22"/>
                <w:u w:val="single"/>
                <w:lang w:val="en-GB"/>
              </w:rPr>
              <w:t>IMPACT</w:t>
            </w:r>
          </w:p>
        </w:tc>
        <w:tc>
          <w:tcPr>
            <w:tcW w:w="1853" w:type="pct"/>
            <w:gridSpan w:val="3"/>
          </w:tcPr>
          <w:p w14:paraId="20A087D4" w14:textId="77777777" w:rsidR="004A10AE" w:rsidRPr="0057700A" w:rsidRDefault="004A10AE" w:rsidP="007947DB">
            <w:pPr>
              <w:kinsoku w:val="0"/>
              <w:wordWrap/>
              <w:overflowPunct w:val="0"/>
              <w:spacing w:after="0" w:line="240" w:lineRule="auto"/>
              <w:jc w:val="center"/>
              <w:rPr>
                <w:rFonts w:ascii="Times New Roman" w:eastAsia="Malgun Gothic" w:hAnsi="Times New Roman" w:cs="Times New Roman"/>
                <w:sz w:val="22"/>
                <w:u w:val="single"/>
                <w:lang w:val="en-GB"/>
              </w:rPr>
            </w:pPr>
            <w:r w:rsidRPr="0057700A">
              <w:rPr>
                <w:rFonts w:ascii="Times New Roman" w:eastAsia="Malgun Gothic" w:hAnsi="Times New Roman" w:cs="Times New Roman"/>
                <w:sz w:val="22"/>
                <w:u w:val="single"/>
                <w:lang w:val="en-GB"/>
              </w:rPr>
              <w:t>IMPACT 2</w:t>
            </w:r>
          </w:p>
        </w:tc>
      </w:tr>
      <w:tr w:rsidR="004A10AE" w:rsidRPr="0057700A" w14:paraId="7386345D" w14:textId="77777777" w:rsidTr="005A4B0D">
        <w:trPr>
          <w:cantSplit/>
        </w:trPr>
        <w:tc>
          <w:tcPr>
            <w:tcW w:w="752" w:type="pct"/>
          </w:tcPr>
          <w:p w14:paraId="71980A3E" w14:textId="77777777" w:rsidR="004A10AE" w:rsidRPr="0057700A" w:rsidRDefault="004A10AE" w:rsidP="007947DB">
            <w:pPr>
              <w:kinsoku w:val="0"/>
              <w:wordWrap/>
              <w:overflowPunct w:val="0"/>
              <w:spacing w:after="0" w:line="240" w:lineRule="auto"/>
              <w:jc w:val="left"/>
              <w:rPr>
                <w:rFonts w:ascii="Times New Roman" w:eastAsia="Malgun Gothic" w:hAnsi="Times New Roman" w:cs="Times New Roman"/>
                <w:sz w:val="22"/>
                <w:lang w:val="en-GB"/>
              </w:rPr>
            </w:pPr>
          </w:p>
        </w:tc>
        <w:tc>
          <w:tcPr>
            <w:tcW w:w="536" w:type="pct"/>
            <w:vAlign w:val="center"/>
          </w:tcPr>
          <w:p w14:paraId="70CDCF93" w14:textId="77777777" w:rsidR="004A10AE" w:rsidRPr="0057700A" w:rsidRDefault="004A10AE" w:rsidP="007947DB">
            <w:pPr>
              <w:kinsoku w:val="0"/>
              <w:wordWrap/>
              <w:overflowPunct w:val="0"/>
              <w:spacing w:after="0" w:line="240" w:lineRule="auto"/>
              <w:jc w:val="center"/>
              <w:rPr>
                <w:rFonts w:ascii="Times New Roman" w:eastAsia="Malgun Gothic" w:hAnsi="Times New Roman" w:cs="Times New Roman"/>
                <w:sz w:val="22"/>
                <w:u w:val="single"/>
                <w:lang w:val="en-GB"/>
              </w:rPr>
            </w:pPr>
            <w:r w:rsidRPr="0057700A">
              <w:rPr>
                <w:rFonts w:ascii="Times New Roman" w:eastAsia="Malgun Gothic" w:hAnsi="Times New Roman" w:cs="Times New Roman"/>
                <w:sz w:val="22"/>
                <w:u w:val="single"/>
                <w:lang w:val="en-GB"/>
              </w:rPr>
              <w:t>Placebo</w:t>
            </w:r>
          </w:p>
          <w:p w14:paraId="22A13F8D" w14:textId="77777777" w:rsidR="004A10AE" w:rsidRPr="0057700A" w:rsidRDefault="004A10AE" w:rsidP="007947DB">
            <w:pPr>
              <w:kinsoku w:val="0"/>
              <w:wordWrap/>
              <w:overflowPunct w:val="0"/>
              <w:spacing w:after="0" w:line="240" w:lineRule="auto"/>
              <w:jc w:val="center"/>
              <w:rPr>
                <w:rFonts w:ascii="Times New Roman" w:eastAsia="Malgun Gothic" w:hAnsi="Times New Roman" w:cs="Times New Roman"/>
                <w:sz w:val="22"/>
                <w:u w:val="single"/>
                <w:vertAlign w:val="superscript"/>
                <w:lang w:val="en-GB"/>
              </w:rPr>
            </w:pPr>
            <w:r w:rsidRPr="0057700A">
              <w:rPr>
                <w:rFonts w:ascii="Times New Roman" w:eastAsia="Malgun Gothic" w:hAnsi="Times New Roman" w:cs="Times New Roman"/>
                <w:sz w:val="22"/>
                <w:u w:val="single"/>
                <w:lang w:val="en-GB"/>
              </w:rPr>
              <w:t>(Week 16)</w:t>
            </w:r>
          </w:p>
        </w:tc>
        <w:tc>
          <w:tcPr>
            <w:tcW w:w="619" w:type="pct"/>
            <w:vAlign w:val="center"/>
          </w:tcPr>
          <w:p w14:paraId="1F0FD586" w14:textId="77777777" w:rsidR="004A10AE" w:rsidRPr="0057700A" w:rsidRDefault="004A10AE" w:rsidP="007947DB">
            <w:pPr>
              <w:kinsoku w:val="0"/>
              <w:wordWrap/>
              <w:overflowPunct w:val="0"/>
              <w:spacing w:after="0" w:line="240" w:lineRule="auto"/>
              <w:jc w:val="center"/>
              <w:rPr>
                <w:rFonts w:ascii="Times New Roman" w:eastAsia="Malgun Gothic" w:hAnsi="Times New Roman" w:cs="Times New Roman"/>
                <w:sz w:val="22"/>
                <w:u w:val="single"/>
                <w:lang w:val="en-GB"/>
              </w:rPr>
            </w:pPr>
            <w:r w:rsidRPr="0057700A">
              <w:rPr>
                <w:rFonts w:ascii="Times New Roman" w:eastAsia="Malgun Gothic" w:hAnsi="Times New Roman" w:cs="Times New Roman"/>
                <w:sz w:val="22"/>
                <w:u w:val="single"/>
                <w:lang w:val="en-GB"/>
              </w:rPr>
              <w:t>Infliximab (Week 16)</w:t>
            </w:r>
          </w:p>
        </w:tc>
        <w:tc>
          <w:tcPr>
            <w:tcW w:w="619" w:type="pct"/>
            <w:vAlign w:val="center"/>
          </w:tcPr>
          <w:p w14:paraId="3D7F2C3A" w14:textId="77777777" w:rsidR="004A10AE" w:rsidRPr="0057700A" w:rsidRDefault="004A10AE" w:rsidP="007947DB">
            <w:pPr>
              <w:kinsoku w:val="0"/>
              <w:wordWrap/>
              <w:overflowPunct w:val="0"/>
              <w:spacing w:after="0" w:line="240" w:lineRule="auto"/>
              <w:jc w:val="center"/>
              <w:rPr>
                <w:rFonts w:ascii="Times New Roman" w:eastAsia="Malgun Gothic" w:hAnsi="Times New Roman" w:cs="Times New Roman"/>
                <w:sz w:val="22"/>
                <w:u w:val="single"/>
                <w:lang w:val="en-GB"/>
              </w:rPr>
            </w:pPr>
            <w:r w:rsidRPr="0057700A">
              <w:rPr>
                <w:rFonts w:ascii="Times New Roman" w:eastAsia="Malgun Gothic" w:hAnsi="Times New Roman" w:cs="Times New Roman"/>
                <w:sz w:val="22"/>
                <w:u w:val="single"/>
                <w:lang w:val="en-GB"/>
              </w:rPr>
              <w:t>Infliximab (Week 50)</w:t>
            </w:r>
          </w:p>
        </w:tc>
        <w:tc>
          <w:tcPr>
            <w:tcW w:w="621" w:type="pct"/>
            <w:vAlign w:val="center"/>
          </w:tcPr>
          <w:p w14:paraId="52D08FE6" w14:textId="77777777" w:rsidR="004A10AE" w:rsidRPr="0057700A" w:rsidRDefault="004A10AE" w:rsidP="007947DB">
            <w:pPr>
              <w:kinsoku w:val="0"/>
              <w:wordWrap/>
              <w:overflowPunct w:val="0"/>
              <w:spacing w:after="0" w:line="240" w:lineRule="auto"/>
              <w:jc w:val="center"/>
              <w:rPr>
                <w:rFonts w:ascii="Times New Roman" w:eastAsia="Malgun Gothic" w:hAnsi="Times New Roman" w:cs="Times New Roman"/>
                <w:sz w:val="22"/>
                <w:u w:val="single"/>
                <w:lang w:val="en-GB"/>
              </w:rPr>
            </w:pPr>
            <w:r w:rsidRPr="0057700A">
              <w:rPr>
                <w:rFonts w:ascii="Times New Roman" w:eastAsia="Malgun Gothic" w:hAnsi="Times New Roman" w:cs="Times New Roman"/>
                <w:sz w:val="22"/>
                <w:u w:val="single"/>
                <w:lang w:val="en-GB"/>
              </w:rPr>
              <w:t>Infliximab</w:t>
            </w:r>
          </w:p>
          <w:p w14:paraId="262D5ACD" w14:textId="77777777" w:rsidR="004A10AE" w:rsidRPr="0057700A" w:rsidRDefault="004A10AE" w:rsidP="007947DB">
            <w:pPr>
              <w:kinsoku w:val="0"/>
              <w:wordWrap/>
              <w:overflowPunct w:val="0"/>
              <w:spacing w:after="0" w:line="240" w:lineRule="auto"/>
              <w:jc w:val="center"/>
              <w:rPr>
                <w:rFonts w:ascii="Times New Roman" w:eastAsia="Malgun Gothic" w:hAnsi="Times New Roman" w:cs="Times New Roman"/>
                <w:sz w:val="22"/>
                <w:u w:val="single"/>
                <w:lang w:val="en-GB"/>
              </w:rPr>
            </w:pPr>
            <w:r w:rsidRPr="0057700A">
              <w:rPr>
                <w:rFonts w:ascii="Times New Roman" w:eastAsia="Malgun Gothic" w:hAnsi="Times New Roman" w:cs="Times New Roman"/>
                <w:sz w:val="22"/>
                <w:u w:val="single"/>
                <w:lang w:val="en-GB"/>
              </w:rPr>
              <w:t>(Week 98)</w:t>
            </w:r>
          </w:p>
        </w:tc>
        <w:tc>
          <w:tcPr>
            <w:tcW w:w="614" w:type="pct"/>
            <w:vAlign w:val="center"/>
          </w:tcPr>
          <w:p w14:paraId="350121B2" w14:textId="77777777" w:rsidR="004A10AE" w:rsidRPr="0057700A" w:rsidRDefault="004A10AE" w:rsidP="007947DB">
            <w:pPr>
              <w:kinsoku w:val="0"/>
              <w:wordWrap/>
              <w:overflowPunct w:val="0"/>
              <w:spacing w:after="0" w:line="240" w:lineRule="auto"/>
              <w:jc w:val="center"/>
              <w:rPr>
                <w:rFonts w:ascii="Times New Roman" w:eastAsia="Malgun Gothic" w:hAnsi="Times New Roman" w:cs="Times New Roman"/>
                <w:sz w:val="22"/>
                <w:u w:val="single"/>
                <w:lang w:val="en-GB"/>
              </w:rPr>
            </w:pPr>
            <w:r w:rsidRPr="0057700A">
              <w:rPr>
                <w:rFonts w:ascii="Times New Roman" w:eastAsia="Malgun Gothic" w:hAnsi="Times New Roman" w:cs="Times New Roman"/>
                <w:sz w:val="22"/>
                <w:u w:val="single"/>
                <w:lang w:val="en-GB"/>
              </w:rPr>
              <w:t>Placebo</w:t>
            </w:r>
          </w:p>
          <w:p w14:paraId="07767E7D" w14:textId="77777777" w:rsidR="004A10AE" w:rsidRPr="0057700A" w:rsidRDefault="004A10AE" w:rsidP="007947DB">
            <w:pPr>
              <w:kinsoku w:val="0"/>
              <w:wordWrap/>
              <w:overflowPunct w:val="0"/>
              <w:spacing w:after="0" w:line="240" w:lineRule="auto"/>
              <w:jc w:val="center"/>
              <w:rPr>
                <w:rFonts w:ascii="Times New Roman" w:eastAsia="Malgun Gothic" w:hAnsi="Times New Roman" w:cs="Times New Roman"/>
                <w:sz w:val="22"/>
                <w:u w:val="single"/>
                <w:lang w:val="en-GB"/>
              </w:rPr>
            </w:pPr>
            <w:r w:rsidRPr="0057700A">
              <w:rPr>
                <w:rFonts w:ascii="Times New Roman" w:eastAsia="Malgun Gothic" w:hAnsi="Times New Roman" w:cs="Times New Roman"/>
                <w:sz w:val="22"/>
                <w:u w:val="single"/>
                <w:lang w:val="en-GB"/>
              </w:rPr>
              <w:t>(Week 24)</w:t>
            </w:r>
          </w:p>
        </w:tc>
        <w:tc>
          <w:tcPr>
            <w:tcW w:w="619" w:type="pct"/>
            <w:vAlign w:val="center"/>
          </w:tcPr>
          <w:p w14:paraId="67DF2633" w14:textId="77777777" w:rsidR="004A10AE" w:rsidRPr="0057700A" w:rsidRDefault="004A10AE" w:rsidP="007947DB">
            <w:pPr>
              <w:kinsoku w:val="0"/>
              <w:wordWrap/>
              <w:overflowPunct w:val="0"/>
              <w:spacing w:after="0" w:line="240" w:lineRule="auto"/>
              <w:jc w:val="center"/>
              <w:rPr>
                <w:rFonts w:ascii="Times New Roman" w:eastAsia="Malgun Gothic" w:hAnsi="Times New Roman" w:cs="Times New Roman"/>
                <w:sz w:val="22"/>
                <w:u w:val="single"/>
                <w:lang w:val="en-GB"/>
              </w:rPr>
            </w:pPr>
            <w:r w:rsidRPr="0057700A">
              <w:rPr>
                <w:rFonts w:ascii="Times New Roman" w:eastAsia="Malgun Gothic" w:hAnsi="Times New Roman" w:cs="Times New Roman"/>
                <w:sz w:val="22"/>
                <w:u w:val="single"/>
                <w:lang w:val="en-GB"/>
              </w:rPr>
              <w:t>Infliximab (Week 24)</w:t>
            </w:r>
          </w:p>
        </w:tc>
        <w:tc>
          <w:tcPr>
            <w:tcW w:w="620" w:type="pct"/>
            <w:vAlign w:val="center"/>
          </w:tcPr>
          <w:p w14:paraId="76C9537B" w14:textId="77777777" w:rsidR="004A10AE" w:rsidRPr="0057700A" w:rsidRDefault="004A10AE" w:rsidP="007947DB">
            <w:pPr>
              <w:kinsoku w:val="0"/>
              <w:wordWrap/>
              <w:overflowPunct w:val="0"/>
              <w:spacing w:after="0" w:line="240" w:lineRule="auto"/>
              <w:jc w:val="center"/>
              <w:rPr>
                <w:rFonts w:ascii="Times New Roman" w:eastAsia="Malgun Gothic" w:hAnsi="Times New Roman" w:cs="Times New Roman"/>
                <w:sz w:val="22"/>
                <w:u w:val="single"/>
                <w:lang w:val="en-GB"/>
              </w:rPr>
            </w:pPr>
            <w:r w:rsidRPr="0057700A">
              <w:rPr>
                <w:rFonts w:ascii="Times New Roman" w:eastAsia="Malgun Gothic" w:hAnsi="Times New Roman" w:cs="Times New Roman"/>
                <w:sz w:val="22"/>
                <w:u w:val="single"/>
                <w:lang w:val="en-GB"/>
              </w:rPr>
              <w:t>Infliximab</w:t>
            </w:r>
          </w:p>
          <w:p w14:paraId="24949789" w14:textId="77777777" w:rsidR="004A10AE" w:rsidRPr="0057700A" w:rsidRDefault="004A10AE" w:rsidP="007947DB">
            <w:pPr>
              <w:kinsoku w:val="0"/>
              <w:wordWrap/>
              <w:overflowPunct w:val="0"/>
              <w:spacing w:after="0" w:line="240" w:lineRule="auto"/>
              <w:jc w:val="center"/>
              <w:rPr>
                <w:rFonts w:ascii="Times New Roman" w:eastAsia="Malgun Gothic" w:hAnsi="Times New Roman" w:cs="Times New Roman"/>
                <w:sz w:val="22"/>
                <w:u w:val="single"/>
                <w:lang w:val="en-GB"/>
              </w:rPr>
            </w:pPr>
            <w:r w:rsidRPr="0057700A">
              <w:rPr>
                <w:rFonts w:ascii="Times New Roman" w:eastAsia="Malgun Gothic" w:hAnsi="Times New Roman" w:cs="Times New Roman"/>
                <w:sz w:val="22"/>
                <w:u w:val="single"/>
                <w:lang w:val="en-GB"/>
              </w:rPr>
              <w:t>(Week 54)</w:t>
            </w:r>
          </w:p>
        </w:tc>
      </w:tr>
      <w:tr w:rsidR="004A10AE" w:rsidRPr="0057700A" w14:paraId="29005094" w14:textId="77777777" w:rsidTr="005A4B0D">
        <w:trPr>
          <w:cantSplit/>
        </w:trPr>
        <w:tc>
          <w:tcPr>
            <w:tcW w:w="752" w:type="pct"/>
          </w:tcPr>
          <w:p w14:paraId="7E93CC91" w14:textId="77777777" w:rsidR="004A10AE" w:rsidRPr="0057700A" w:rsidRDefault="004A10AE" w:rsidP="007947DB">
            <w:pPr>
              <w:kinsoku w:val="0"/>
              <w:wordWrap/>
              <w:overflowPunct w:val="0"/>
              <w:spacing w:after="0" w:line="240" w:lineRule="auto"/>
              <w:jc w:val="left"/>
              <w:rPr>
                <w:rFonts w:ascii="Times New Roman" w:eastAsia="Malgun Gothic" w:hAnsi="Times New Roman" w:cs="Times New Roman"/>
                <w:sz w:val="22"/>
                <w:lang w:val="en-GB"/>
              </w:rPr>
            </w:pPr>
            <w:r w:rsidRPr="0057700A">
              <w:rPr>
                <w:rFonts w:ascii="Times New Roman" w:eastAsia="Malgun Gothic" w:hAnsi="Times New Roman" w:cs="Times New Roman"/>
                <w:sz w:val="22"/>
                <w:lang w:val="en-GB"/>
              </w:rPr>
              <w:t>Patients randomised</w:t>
            </w:r>
          </w:p>
        </w:tc>
        <w:tc>
          <w:tcPr>
            <w:tcW w:w="536" w:type="pct"/>
            <w:vAlign w:val="center"/>
          </w:tcPr>
          <w:p w14:paraId="071BCF64" w14:textId="77777777" w:rsidR="004A10AE" w:rsidRPr="0057700A" w:rsidRDefault="004A10AE" w:rsidP="007947DB">
            <w:pPr>
              <w:kinsoku w:val="0"/>
              <w:wordWrap/>
              <w:overflowPunct w:val="0"/>
              <w:spacing w:after="0" w:line="240" w:lineRule="auto"/>
              <w:jc w:val="center"/>
              <w:rPr>
                <w:rFonts w:ascii="Times New Roman" w:eastAsia="Malgun Gothic" w:hAnsi="Times New Roman" w:cs="Times New Roman"/>
                <w:sz w:val="22"/>
                <w:lang w:val="en-GB"/>
              </w:rPr>
            </w:pPr>
            <w:r w:rsidRPr="0057700A">
              <w:rPr>
                <w:rFonts w:ascii="Times New Roman" w:eastAsia="Malgun Gothic" w:hAnsi="Times New Roman" w:cs="Times New Roman"/>
                <w:sz w:val="22"/>
                <w:lang w:val="en-GB"/>
              </w:rPr>
              <w:t>52</w:t>
            </w:r>
          </w:p>
        </w:tc>
        <w:tc>
          <w:tcPr>
            <w:tcW w:w="619" w:type="pct"/>
            <w:vAlign w:val="center"/>
          </w:tcPr>
          <w:p w14:paraId="50EFD46B" w14:textId="77777777" w:rsidR="004A10AE" w:rsidRPr="0057700A" w:rsidRDefault="004A10AE" w:rsidP="007947DB">
            <w:pPr>
              <w:kinsoku w:val="0"/>
              <w:wordWrap/>
              <w:overflowPunct w:val="0"/>
              <w:spacing w:after="0" w:line="240" w:lineRule="auto"/>
              <w:jc w:val="center"/>
              <w:rPr>
                <w:rFonts w:ascii="Times New Roman" w:eastAsia="Malgun Gothic" w:hAnsi="Times New Roman" w:cs="Times New Roman"/>
                <w:sz w:val="22"/>
                <w:lang w:val="en-GB"/>
              </w:rPr>
            </w:pPr>
            <w:r w:rsidRPr="0057700A">
              <w:rPr>
                <w:rFonts w:ascii="Times New Roman" w:eastAsia="Malgun Gothic" w:hAnsi="Times New Roman" w:cs="Times New Roman"/>
                <w:sz w:val="22"/>
                <w:lang w:val="en-GB"/>
              </w:rPr>
              <w:t>52</w:t>
            </w:r>
          </w:p>
        </w:tc>
        <w:tc>
          <w:tcPr>
            <w:tcW w:w="619" w:type="pct"/>
            <w:vAlign w:val="center"/>
          </w:tcPr>
          <w:p w14:paraId="1BB4E357" w14:textId="77777777" w:rsidR="004A10AE" w:rsidRPr="0057700A" w:rsidRDefault="004A10AE" w:rsidP="007947DB">
            <w:pPr>
              <w:kinsoku w:val="0"/>
              <w:wordWrap/>
              <w:overflowPunct w:val="0"/>
              <w:spacing w:after="0" w:line="240" w:lineRule="auto"/>
              <w:jc w:val="center"/>
              <w:rPr>
                <w:rFonts w:ascii="Times New Roman" w:eastAsia="Malgun Gothic" w:hAnsi="Times New Roman" w:cs="Times New Roman"/>
                <w:sz w:val="22"/>
                <w:lang w:val="en-GB"/>
              </w:rPr>
            </w:pPr>
            <w:r w:rsidRPr="0057700A">
              <w:rPr>
                <w:rFonts w:ascii="Times New Roman" w:eastAsia="Malgun Gothic" w:hAnsi="Times New Roman" w:cs="Times New Roman"/>
                <w:sz w:val="22"/>
                <w:lang w:val="en-GB"/>
              </w:rPr>
              <w:t>52</w:t>
            </w:r>
          </w:p>
        </w:tc>
        <w:tc>
          <w:tcPr>
            <w:tcW w:w="621" w:type="pct"/>
            <w:vAlign w:val="center"/>
          </w:tcPr>
          <w:p w14:paraId="05824B9D" w14:textId="77777777" w:rsidR="004A10AE" w:rsidRPr="0057700A" w:rsidRDefault="004A10AE" w:rsidP="007947DB">
            <w:pPr>
              <w:kinsoku w:val="0"/>
              <w:wordWrap/>
              <w:overflowPunct w:val="0"/>
              <w:spacing w:after="0" w:line="240" w:lineRule="auto"/>
              <w:jc w:val="center"/>
              <w:rPr>
                <w:rFonts w:ascii="Times New Roman" w:eastAsia="Malgun Gothic" w:hAnsi="Times New Roman" w:cs="Times New Roman"/>
                <w:sz w:val="22"/>
                <w:vertAlign w:val="superscript"/>
                <w:lang w:val="en-GB"/>
              </w:rPr>
            </w:pPr>
            <w:r w:rsidRPr="0057700A">
              <w:rPr>
                <w:rFonts w:ascii="Times New Roman" w:eastAsia="Malgun Gothic" w:hAnsi="Times New Roman" w:cs="Times New Roman"/>
                <w:sz w:val="22"/>
                <w:lang w:val="en-GB"/>
              </w:rPr>
              <w:t>N/A</w:t>
            </w:r>
            <w:r w:rsidRPr="0057700A">
              <w:rPr>
                <w:rFonts w:ascii="Times New Roman" w:eastAsia="Malgun Gothic" w:hAnsi="Times New Roman" w:cs="Times New Roman"/>
                <w:sz w:val="22"/>
                <w:vertAlign w:val="superscript"/>
                <w:lang w:val="en-GB"/>
              </w:rPr>
              <w:t>a</w:t>
            </w:r>
          </w:p>
        </w:tc>
        <w:tc>
          <w:tcPr>
            <w:tcW w:w="614" w:type="pct"/>
            <w:vAlign w:val="center"/>
          </w:tcPr>
          <w:p w14:paraId="729B72B1" w14:textId="77777777" w:rsidR="004A10AE" w:rsidRPr="0057700A" w:rsidRDefault="004A10AE" w:rsidP="007947DB">
            <w:pPr>
              <w:kinsoku w:val="0"/>
              <w:wordWrap/>
              <w:overflowPunct w:val="0"/>
              <w:spacing w:after="0" w:line="240" w:lineRule="auto"/>
              <w:jc w:val="center"/>
              <w:rPr>
                <w:rFonts w:ascii="Times New Roman" w:eastAsia="Malgun Gothic" w:hAnsi="Times New Roman" w:cs="Times New Roman"/>
                <w:sz w:val="22"/>
                <w:lang w:val="en-GB"/>
              </w:rPr>
            </w:pPr>
            <w:r w:rsidRPr="0057700A">
              <w:rPr>
                <w:rFonts w:ascii="Times New Roman" w:eastAsia="Malgun Gothic" w:hAnsi="Times New Roman" w:cs="Times New Roman"/>
                <w:sz w:val="22"/>
                <w:lang w:val="en-GB"/>
              </w:rPr>
              <w:t>100</w:t>
            </w:r>
          </w:p>
        </w:tc>
        <w:tc>
          <w:tcPr>
            <w:tcW w:w="619" w:type="pct"/>
            <w:vAlign w:val="center"/>
          </w:tcPr>
          <w:p w14:paraId="508BD408" w14:textId="77777777" w:rsidR="004A10AE" w:rsidRPr="0057700A" w:rsidRDefault="004A10AE" w:rsidP="007947DB">
            <w:pPr>
              <w:kinsoku w:val="0"/>
              <w:wordWrap/>
              <w:overflowPunct w:val="0"/>
              <w:spacing w:after="0" w:line="240" w:lineRule="auto"/>
              <w:jc w:val="center"/>
              <w:rPr>
                <w:rFonts w:ascii="Times New Roman" w:eastAsia="Malgun Gothic" w:hAnsi="Times New Roman" w:cs="Times New Roman"/>
                <w:sz w:val="22"/>
                <w:lang w:val="en-GB"/>
              </w:rPr>
            </w:pPr>
            <w:r w:rsidRPr="0057700A">
              <w:rPr>
                <w:rFonts w:ascii="Times New Roman" w:eastAsia="Malgun Gothic" w:hAnsi="Times New Roman" w:cs="Times New Roman"/>
                <w:sz w:val="22"/>
                <w:lang w:val="en-GB"/>
              </w:rPr>
              <w:t>100</w:t>
            </w:r>
          </w:p>
        </w:tc>
        <w:tc>
          <w:tcPr>
            <w:tcW w:w="620" w:type="pct"/>
            <w:vAlign w:val="center"/>
          </w:tcPr>
          <w:p w14:paraId="1F5207C2" w14:textId="77777777" w:rsidR="004A10AE" w:rsidRPr="0057700A" w:rsidRDefault="004A10AE" w:rsidP="007947DB">
            <w:pPr>
              <w:kinsoku w:val="0"/>
              <w:wordWrap/>
              <w:overflowPunct w:val="0"/>
              <w:spacing w:after="0" w:line="240" w:lineRule="auto"/>
              <w:jc w:val="center"/>
              <w:rPr>
                <w:rFonts w:ascii="Times New Roman" w:eastAsia="Malgun Gothic" w:hAnsi="Times New Roman" w:cs="Times New Roman"/>
                <w:sz w:val="22"/>
                <w:lang w:val="en-GB"/>
              </w:rPr>
            </w:pPr>
            <w:r w:rsidRPr="0057700A">
              <w:rPr>
                <w:rFonts w:ascii="Times New Roman" w:eastAsia="Malgun Gothic" w:hAnsi="Times New Roman" w:cs="Times New Roman"/>
                <w:sz w:val="22"/>
                <w:lang w:val="en-GB"/>
              </w:rPr>
              <w:t>100</w:t>
            </w:r>
          </w:p>
        </w:tc>
      </w:tr>
      <w:tr w:rsidR="004A10AE" w:rsidRPr="0057700A" w14:paraId="3587BD71" w14:textId="77777777" w:rsidTr="005A4B0D">
        <w:trPr>
          <w:cantSplit/>
        </w:trPr>
        <w:tc>
          <w:tcPr>
            <w:tcW w:w="752" w:type="pct"/>
          </w:tcPr>
          <w:p w14:paraId="0C2012F6" w14:textId="77777777" w:rsidR="004A10AE" w:rsidRPr="0057700A" w:rsidRDefault="004A10AE" w:rsidP="007947DB">
            <w:pPr>
              <w:kinsoku w:val="0"/>
              <w:wordWrap/>
              <w:overflowPunct w:val="0"/>
              <w:spacing w:after="0" w:line="240" w:lineRule="auto"/>
              <w:jc w:val="left"/>
              <w:rPr>
                <w:rFonts w:ascii="Times New Roman" w:eastAsia="Malgun Gothic" w:hAnsi="Times New Roman" w:cs="Times New Roman"/>
                <w:sz w:val="22"/>
                <w:lang w:val="en-GB"/>
              </w:rPr>
            </w:pPr>
            <w:r w:rsidRPr="0057700A">
              <w:rPr>
                <w:rFonts w:ascii="Times New Roman" w:eastAsia="Malgun Gothic" w:hAnsi="Times New Roman" w:cs="Times New Roman"/>
                <w:sz w:val="22"/>
                <w:lang w:val="en-GB"/>
              </w:rPr>
              <w:t>ACR response (% of patients)</w:t>
            </w:r>
          </w:p>
        </w:tc>
        <w:tc>
          <w:tcPr>
            <w:tcW w:w="536" w:type="pct"/>
            <w:vAlign w:val="center"/>
          </w:tcPr>
          <w:p w14:paraId="45842F00" w14:textId="77777777" w:rsidR="004A10AE" w:rsidRPr="0057700A" w:rsidRDefault="004A10AE" w:rsidP="007947DB">
            <w:pPr>
              <w:kinsoku w:val="0"/>
              <w:wordWrap/>
              <w:overflowPunct w:val="0"/>
              <w:spacing w:after="0" w:line="240" w:lineRule="auto"/>
              <w:jc w:val="center"/>
              <w:rPr>
                <w:rFonts w:ascii="Times New Roman" w:eastAsia="Malgun Gothic" w:hAnsi="Times New Roman" w:cs="Times New Roman"/>
                <w:sz w:val="22"/>
                <w:lang w:val="en-GB"/>
              </w:rPr>
            </w:pPr>
          </w:p>
        </w:tc>
        <w:tc>
          <w:tcPr>
            <w:tcW w:w="619" w:type="pct"/>
            <w:vAlign w:val="center"/>
          </w:tcPr>
          <w:p w14:paraId="7B0BDF59" w14:textId="77777777" w:rsidR="004A10AE" w:rsidRPr="0057700A" w:rsidRDefault="004A10AE" w:rsidP="007947DB">
            <w:pPr>
              <w:kinsoku w:val="0"/>
              <w:wordWrap/>
              <w:overflowPunct w:val="0"/>
              <w:spacing w:after="0" w:line="240" w:lineRule="auto"/>
              <w:jc w:val="center"/>
              <w:rPr>
                <w:rFonts w:ascii="Times New Roman" w:eastAsia="Malgun Gothic" w:hAnsi="Times New Roman" w:cs="Times New Roman"/>
                <w:sz w:val="22"/>
                <w:lang w:val="en-GB"/>
              </w:rPr>
            </w:pPr>
          </w:p>
        </w:tc>
        <w:tc>
          <w:tcPr>
            <w:tcW w:w="619" w:type="pct"/>
            <w:vAlign w:val="center"/>
          </w:tcPr>
          <w:p w14:paraId="11845D0F" w14:textId="77777777" w:rsidR="004A10AE" w:rsidRPr="0057700A" w:rsidRDefault="004A10AE" w:rsidP="007947DB">
            <w:pPr>
              <w:kinsoku w:val="0"/>
              <w:wordWrap/>
              <w:overflowPunct w:val="0"/>
              <w:spacing w:after="0" w:line="240" w:lineRule="auto"/>
              <w:jc w:val="center"/>
              <w:rPr>
                <w:rFonts w:ascii="Times New Roman" w:eastAsia="Malgun Gothic" w:hAnsi="Times New Roman" w:cs="Times New Roman"/>
                <w:sz w:val="22"/>
                <w:lang w:val="en-GB"/>
              </w:rPr>
            </w:pPr>
          </w:p>
        </w:tc>
        <w:tc>
          <w:tcPr>
            <w:tcW w:w="621" w:type="pct"/>
            <w:vAlign w:val="center"/>
          </w:tcPr>
          <w:p w14:paraId="1DF2C85E" w14:textId="77777777" w:rsidR="004A10AE" w:rsidRPr="0057700A" w:rsidRDefault="004A10AE" w:rsidP="007947DB">
            <w:pPr>
              <w:kinsoku w:val="0"/>
              <w:wordWrap/>
              <w:overflowPunct w:val="0"/>
              <w:spacing w:after="0" w:line="240" w:lineRule="auto"/>
              <w:jc w:val="center"/>
              <w:rPr>
                <w:rFonts w:ascii="Times New Roman" w:eastAsia="Malgun Gothic" w:hAnsi="Times New Roman" w:cs="Times New Roman"/>
                <w:sz w:val="22"/>
                <w:lang w:val="en-GB"/>
              </w:rPr>
            </w:pPr>
          </w:p>
        </w:tc>
        <w:tc>
          <w:tcPr>
            <w:tcW w:w="614" w:type="pct"/>
            <w:vAlign w:val="center"/>
          </w:tcPr>
          <w:p w14:paraId="05FD6F4E" w14:textId="77777777" w:rsidR="004A10AE" w:rsidRPr="0057700A" w:rsidRDefault="004A10AE" w:rsidP="007947DB">
            <w:pPr>
              <w:kinsoku w:val="0"/>
              <w:wordWrap/>
              <w:overflowPunct w:val="0"/>
              <w:spacing w:after="0" w:line="240" w:lineRule="auto"/>
              <w:jc w:val="center"/>
              <w:rPr>
                <w:rFonts w:ascii="Times New Roman" w:eastAsia="Malgun Gothic" w:hAnsi="Times New Roman" w:cs="Times New Roman"/>
                <w:sz w:val="22"/>
                <w:lang w:val="en-GB"/>
              </w:rPr>
            </w:pPr>
          </w:p>
        </w:tc>
        <w:tc>
          <w:tcPr>
            <w:tcW w:w="619" w:type="pct"/>
            <w:vAlign w:val="center"/>
          </w:tcPr>
          <w:p w14:paraId="66A3BCCE" w14:textId="77777777" w:rsidR="004A10AE" w:rsidRPr="0057700A" w:rsidRDefault="004A10AE" w:rsidP="007947DB">
            <w:pPr>
              <w:kinsoku w:val="0"/>
              <w:wordWrap/>
              <w:overflowPunct w:val="0"/>
              <w:spacing w:after="0" w:line="240" w:lineRule="auto"/>
              <w:jc w:val="center"/>
              <w:rPr>
                <w:rFonts w:ascii="Times New Roman" w:eastAsia="Malgun Gothic" w:hAnsi="Times New Roman" w:cs="Times New Roman"/>
                <w:sz w:val="22"/>
                <w:lang w:val="en-GB"/>
              </w:rPr>
            </w:pPr>
          </w:p>
        </w:tc>
        <w:tc>
          <w:tcPr>
            <w:tcW w:w="620" w:type="pct"/>
            <w:vAlign w:val="center"/>
          </w:tcPr>
          <w:p w14:paraId="328F10E4" w14:textId="77777777" w:rsidR="004A10AE" w:rsidRPr="0057700A" w:rsidRDefault="004A10AE" w:rsidP="007947DB">
            <w:pPr>
              <w:kinsoku w:val="0"/>
              <w:wordWrap/>
              <w:overflowPunct w:val="0"/>
              <w:spacing w:after="0" w:line="240" w:lineRule="auto"/>
              <w:jc w:val="center"/>
              <w:rPr>
                <w:rFonts w:ascii="Times New Roman" w:eastAsia="Malgun Gothic" w:hAnsi="Times New Roman" w:cs="Times New Roman"/>
                <w:sz w:val="22"/>
                <w:lang w:val="en-GB"/>
              </w:rPr>
            </w:pPr>
          </w:p>
        </w:tc>
      </w:tr>
      <w:tr w:rsidR="004A10AE" w:rsidRPr="0057700A" w14:paraId="306F62A2" w14:textId="77777777" w:rsidTr="005A4B0D">
        <w:trPr>
          <w:cantSplit/>
        </w:trPr>
        <w:tc>
          <w:tcPr>
            <w:tcW w:w="752" w:type="pct"/>
          </w:tcPr>
          <w:p w14:paraId="337B5DE3" w14:textId="77777777" w:rsidR="004A10AE" w:rsidRPr="0057700A" w:rsidRDefault="004A10AE" w:rsidP="007947DB">
            <w:pPr>
              <w:kinsoku w:val="0"/>
              <w:wordWrap/>
              <w:overflowPunct w:val="0"/>
              <w:spacing w:after="0" w:line="240" w:lineRule="auto"/>
              <w:ind w:firstLineChars="50" w:firstLine="110"/>
              <w:jc w:val="left"/>
              <w:rPr>
                <w:rFonts w:ascii="Times New Roman" w:eastAsia="Malgun Gothic" w:hAnsi="Times New Roman" w:cs="Times New Roman"/>
                <w:sz w:val="22"/>
                <w:lang w:val="en-GB"/>
              </w:rPr>
            </w:pPr>
            <w:r w:rsidRPr="0057700A">
              <w:rPr>
                <w:rFonts w:ascii="Times New Roman" w:eastAsia="Malgun Gothic" w:hAnsi="Times New Roman" w:cs="Times New Roman"/>
                <w:sz w:val="22"/>
                <w:lang w:val="en-GB"/>
              </w:rPr>
              <w:t>N</w:t>
            </w:r>
          </w:p>
        </w:tc>
        <w:tc>
          <w:tcPr>
            <w:tcW w:w="536" w:type="pct"/>
            <w:vAlign w:val="center"/>
          </w:tcPr>
          <w:p w14:paraId="1ECD8C08" w14:textId="77777777" w:rsidR="004A10AE" w:rsidRPr="0057700A" w:rsidRDefault="004A10AE" w:rsidP="007947DB">
            <w:pPr>
              <w:kinsoku w:val="0"/>
              <w:wordWrap/>
              <w:overflowPunct w:val="0"/>
              <w:spacing w:after="0" w:line="240" w:lineRule="auto"/>
              <w:jc w:val="center"/>
              <w:rPr>
                <w:rFonts w:ascii="Times New Roman" w:eastAsia="Malgun Gothic" w:hAnsi="Times New Roman" w:cs="Times New Roman"/>
                <w:sz w:val="22"/>
                <w:lang w:val="en-GB"/>
              </w:rPr>
            </w:pPr>
            <w:r w:rsidRPr="0057700A">
              <w:rPr>
                <w:rFonts w:ascii="Times New Roman" w:eastAsia="Malgun Gothic" w:hAnsi="Times New Roman" w:cs="Times New Roman"/>
                <w:sz w:val="22"/>
                <w:lang w:val="en-GB"/>
              </w:rPr>
              <w:t>52</w:t>
            </w:r>
          </w:p>
        </w:tc>
        <w:tc>
          <w:tcPr>
            <w:tcW w:w="619" w:type="pct"/>
            <w:vAlign w:val="center"/>
          </w:tcPr>
          <w:p w14:paraId="4E81DC15" w14:textId="77777777" w:rsidR="004A10AE" w:rsidRPr="0057700A" w:rsidRDefault="004A10AE" w:rsidP="007947DB">
            <w:pPr>
              <w:kinsoku w:val="0"/>
              <w:wordWrap/>
              <w:overflowPunct w:val="0"/>
              <w:spacing w:after="0" w:line="240" w:lineRule="auto"/>
              <w:jc w:val="center"/>
              <w:rPr>
                <w:rFonts w:ascii="Times New Roman" w:eastAsia="Malgun Gothic" w:hAnsi="Times New Roman" w:cs="Times New Roman"/>
                <w:sz w:val="22"/>
                <w:lang w:val="en-GB"/>
              </w:rPr>
            </w:pPr>
            <w:r w:rsidRPr="0057700A">
              <w:rPr>
                <w:rFonts w:ascii="Times New Roman" w:eastAsia="Malgun Gothic" w:hAnsi="Times New Roman" w:cs="Times New Roman"/>
                <w:sz w:val="22"/>
                <w:lang w:val="en-GB"/>
              </w:rPr>
              <w:t>52</w:t>
            </w:r>
          </w:p>
        </w:tc>
        <w:tc>
          <w:tcPr>
            <w:tcW w:w="619" w:type="pct"/>
            <w:vAlign w:val="center"/>
          </w:tcPr>
          <w:p w14:paraId="66E4EEEA" w14:textId="77777777" w:rsidR="004A10AE" w:rsidRPr="0057700A" w:rsidRDefault="004A10AE" w:rsidP="007947DB">
            <w:pPr>
              <w:kinsoku w:val="0"/>
              <w:wordWrap/>
              <w:overflowPunct w:val="0"/>
              <w:spacing w:after="0" w:line="240" w:lineRule="auto"/>
              <w:jc w:val="center"/>
              <w:rPr>
                <w:rFonts w:ascii="Times New Roman" w:eastAsia="Malgun Gothic" w:hAnsi="Times New Roman" w:cs="Times New Roman"/>
                <w:sz w:val="22"/>
                <w:lang w:val="en-GB"/>
              </w:rPr>
            </w:pPr>
            <w:r w:rsidRPr="0057700A">
              <w:rPr>
                <w:rFonts w:ascii="Times New Roman" w:eastAsia="Malgun Gothic" w:hAnsi="Times New Roman" w:cs="Times New Roman"/>
                <w:sz w:val="22"/>
                <w:lang w:val="en-GB"/>
              </w:rPr>
              <w:t>49</w:t>
            </w:r>
          </w:p>
        </w:tc>
        <w:tc>
          <w:tcPr>
            <w:tcW w:w="621" w:type="pct"/>
            <w:vAlign w:val="center"/>
          </w:tcPr>
          <w:p w14:paraId="77AE6650" w14:textId="77777777" w:rsidR="004A10AE" w:rsidRPr="0057700A" w:rsidRDefault="004A10AE" w:rsidP="007947DB">
            <w:pPr>
              <w:kinsoku w:val="0"/>
              <w:wordWrap/>
              <w:overflowPunct w:val="0"/>
              <w:spacing w:after="0" w:line="240" w:lineRule="auto"/>
              <w:jc w:val="center"/>
              <w:rPr>
                <w:rFonts w:ascii="Times New Roman" w:eastAsia="Malgun Gothic" w:hAnsi="Times New Roman" w:cs="Times New Roman"/>
                <w:sz w:val="22"/>
                <w:lang w:val="en-GB"/>
              </w:rPr>
            </w:pPr>
            <w:r w:rsidRPr="0057700A">
              <w:rPr>
                <w:rFonts w:ascii="Times New Roman" w:eastAsia="Malgun Gothic" w:hAnsi="Times New Roman" w:cs="Times New Roman"/>
                <w:sz w:val="22"/>
                <w:lang w:val="en-GB"/>
              </w:rPr>
              <w:t>78</w:t>
            </w:r>
          </w:p>
        </w:tc>
        <w:tc>
          <w:tcPr>
            <w:tcW w:w="614" w:type="pct"/>
            <w:vAlign w:val="center"/>
          </w:tcPr>
          <w:p w14:paraId="78980D0F" w14:textId="77777777" w:rsidR="004A10AE" w:rsidRPr="0057700A" w:rsidRDefault="004A10AE" w:rsidP="007947DB">
            <w:pPr>
              <w:kinsoku w:val="0"/>
              <w:wordWrap/>
              <w:overflowPunct w:val="0"/>
              <w:spacing w:after="0" w:line="240" w:lineRule="auto"/>
              <w:jc w:val="center"/>
              <w:rPr>
                <w:rFonts w:ascii="Times New Roman" w:eastAsia="Malgun Gothic" w:hAnsi="Times New Roman" w:cs="Times New Roman"/>
                <w:sz w:val="22"/>
                <w:lang w:val="en-GB"/>
              </w:rPr>
            </w:pPr>
            <w:r w:rsidRPr="0057700A">
              <w:rPr>
                <w:rFonts w:ascii="Times New Roman" w:eastAsia="Malgun Gothic" w:hAnsi="Times New Roman" w:cs="Times New Roman"/>
                <w:sz w:val="22"/>
                <w:lang w:val="en-GB"/>
              </w:rPr>
              <w:t>100</w:t>
            </w:r>
          </w:p>
        </w:tc>
        <w:tc>
          <w:tcPr>
            <w:tcW w:w="619" w:type="pct"/>
            <w:vAlign w:val="center"/>
          </w:tcPr>
          <w:p w14:paraId="7C39FE58" w14:textId="77777777" w:rsidR="004A10AE" w:rsidRPr="0057700A" w:rsidRDefault="004A10AE" w:rsidP="007947DB">
            <w:pPr>
              <w:kinsoku w:val="0"/>
              <w:wordWrap/>
              <w:overflowPunct w:val="0"/>
              <w:spacing w:after="0" w:line="240" w:lineRule="auto"/>
              <w:jc w:val="center"/>
              <w:rPr>
                <w:rFonts w:ascii="Times New Roman" w:eastAsia="Malgun Gothic" w:hAnsi="Times New Roman" w:cs="Times New Roman"/>
                <w:sz w:val="22"/>
                <w:lang w:val="en-GB"/>
              </w:rPr>
            </w:pPr>
            <w:r w:rsidRPr="0057700A">
              <w:rPr>
                <w:rFonts w:ascii="Times New Roman" w:eastAsia="Malgun Gothic" w:hAnsi="Times New Roman" w:cs="Times New Roman"/>
                <w:sz w:val="22"/>
                <w:lang w:val="en-GB"/>
              </w:rPr>
              <w:t>100</w:t>
            </w:r>
          </w:p>
        </w:tc>
        <w:tc>
          <w:tcPr>
            <w:tcW w:w="620" w:type="pct"/>
            <w:vAlign w:val="center"/>
          </w:tcPr>
          <w:p w14:paraId="57DF6696" w14:textId="77777777" w:rsidR="004A10AE" w:rsidRPr="0057700A" w:rsidRDefault="004A10AE" w:rsidP="007947DB">
            <w:pPr>
              <w:kinsoku w:val="0"/>
              <w:wordWrap/>
              <w:overflowPunct w:val="0"/>
              <w:spacing w:after="0" w:line="240" w:lineRule="auto"/>
              <w:jc w:val="center"/>
              <w:rPr>
                <w:rFonts w:ascii="Times New Roman" w:eastAsia="Malgun Gothic" w:hAnsi="Times New Roman" w:cs="Times New Roman"/>
                <w:sz w:val="22"/>
                <w:lang w:val="en-GB"/>
              </w:rPr>
            </w:pPr>
            <w:r w:rsidRPr="0057700A">
              <w:rPr>
                <w:rFonts w:ascii="Times New Roman" w:eastAsia="Malgun Gothic" w:hAnsi="Times New Roman" w:cs="Times New Roman"/>
                <w:sz w:val="22"/>
                <w:lang w:val="en-GB"/>
              </w:rPr>
              <w:t>76</w:t>
            </w:r>
          </w:p>
        </w:tc>
      </w:tr>
      <w:tr w:rsidR="004A10AE" w:rsidRPr="0057700A" w14:paraId="6CBA0214" w14:textId="77777777" w:rsidTr="005A4B0D">
        <w:trPr>
          <w:cantSplit/>
        </w:trPr>
        <w:tc>
          <w:tcPr>
            <w:tcW w:w="752" w:type="pct"/>
            <w:vAlign w:val="bottom"/>
          </w:tcPr>
          <w:p w14:paraId="3C27A809" w14:textId="77777777" w:rsidR="004A10AE" w:rsidRPr="0057700A" w:rsidRDefault="004A10AE" w:rsidP="007947DB">
            <w:pPr>
              <w:kinsoku w:val="0"/>
              <w:wordWrap/>
              <w:overflowPunct w:val="0"/>
              <w:spacing w:after="0" w:line="240" w:lineRule="auto"/>
              <w:ind w:leftChars="100" w:left="200"/>
              <w:jc w:val="left"/>
              <w:rPr>
                <w:rFonts w:ascii="Times New Roman" w:eastAsia="Malgun Gothic" w:hAnsi="Times New Roman" w:cs="Times New Roman"/>
                <w:sz w:val="22"/>
                <w:lang w:val="en-GB"/>
              </w:rPr>
            </w:pPr>
            <w:r w:rsidRPr="0057700A">
              <w:rPr>
                <w:rFonts w:ascii="Times New Roman" w:eastAsia="Malgun Gothic" w:hAnsi="Times New Roman" w:cs="Times New Roman"/>
                <w:sz w:val="22"/>
                <w:lang w:val="en-GB"/>
              </w:rPr>
              <w:t>ACR20 response*</w:t>
            </w:r>
          </w:p>
        </w:tc>
        <w:tc>
          <w:tcPr>
            <w:tcW w:w="536" w:type="pct"/>
            <w:vAlign w:val="center"/>
          </w:tcPr>
          <w:p w14:paraId="58662A2C" w14:textId="77777777" w:rsidR="004A10AE" w:rsidRPr="0057700A" w:rsidRDefault="004A10AE" w:rsidP="007947DB">
            <w:pPr>
              <w:kinsoku w:val="0"/>
              <w:wordWrap/>
              <w:overflowPunct w:val="0"/>
              <w:spacing w:after="0" w:line="240" w:lineRule="auto"/>
              <w:jc w:val="center"/>
              <w:rPr>
                <w:rFonts w:ascii="Times New Roman" w:eastAsia="Malgun Gothic" w:hAnsi="Times New Roman" w:cs="Times New Roman"/>
                <w:sz w:val="22"/>
                <w:lang w:val="en-GB"/>
              </w:rPr>
            </w:pPr>
            <w:r w:rsidRPr="0057700A">
              <w:rPr>
                <w:rFonts w:ascii="Times New Roman" w:eastAsia="Malgun Gothic" w:hAnsi="Times New Roman" w:cs="Times New Roman"/>
                <w:sz w:val="22"/>
                <w:lang w:val="en-GB"/>
              </w:rPr>
              <w:t>5(10%)</w:t>
            </w:r>
          </w:p>
        </w:tc>
        <w:tc>
          <w:tcPr>
            <w:tcW w:w="619" w:type="pct"/>
            <w:vAlign w:val="center"/>
          </w:tcPr>
          <w:p w14:paraId="626CD012" w14:textId="77777777" w:rsidR="004A10AE" w:rsidRPr="0057700A" w:rsidRDefault="004A10AE" w:rsidP="007947DB">
            <w:pPr>
              <w:kinsoku w:val="0"/>
              <w:wordWrap/>
              <w:overflowPunct w:val="0"/>
              <w:spacing w:after="0" w:line="240" w:lineRule="auto"/>
              <w:jc w:val="center"/>
              <w:rPr>
                <w:rFonts w:ascii="Times New Roman" w:eastAsia="Malgun Gothic" w:hAnsi="Times New Roman" w:cs="Times New Roman"/>
                <w:sz w:val="22"/>
                <w:vertAlign w:val="superscript"/>
                <w:lang w:val="en-GB"/>
              </w:rPr>
            </w:pPr>
            <w:r w:rsidRPr="0057700A">
              <w:rPr>
                <w:rFonts w:ascii="Times New Roman" w:eastAsia="Malgun Gothic" w:hAnsi="Times New Roman" w:cs="Times New Roman"/>
                <w:sz w:val="22"/>
                <w:lang w:val="en-GB"/>
              </w:rPr>
              <w:t>34 (65%)</w:t>
            </w:r>
          </w:p>
        </w:tc>
        <w:tc>
          <w:tcPr>
            <w:tcW w:w="619" w:type="pct"/>
            <w:vAlign w:val="center"/>
          </w:tcPr>
          <w:p w14:paraId="03772693" w14:textId="77777777" w:rsidR="004A10AE" w:rsidRPr="0057700A" w:rsidRDefault="004A10AE" w:rsidP="007947DB">
            <w:pPr>
              <w:kinsoku w:val="0"/>
              <w:wordWrap/>
              <w:overflowPunct w:val="0"/>
              <w:spacing w:after="0" w:line="240" w:lineRule="auto"/>
              <w:jc w:val="center"/>
              <w:rPr>
                <w:rFonts w:ascii="Times New Roman" w:eastAsia="Malgun Gothic" w:hAnsi="Times New Roman" w:cs="Times New Roman"/>
                <w:sz w:val="22"/>
                <w:lang w:val="en-GB"/>
              </w:rPr>
            </w:pPr>
            <w:r w:rsidRPr="0057700A">
              <w:rPr>
                <w:rFonts w:ascii="Times New Roman" w:eastAsia="Malgun Gothic" w:hAnsi="Times New Roman" w:cs="Times New Roman"/>
                <w:sz w:val="22"/>
                <w:lang w:val="en-GB"/>
              </w:rPr>
              <w:t>34 (69%)</w:t>
            </w:r>
          </w:p>
        </w:tc>
        <w:tc>
          <w:tcPr>
            <w:tcW w:w="621" w:type="pct"/>
            <w:vAlign w:val="center"/>
          </w:tcPr>
          <w:p w14:paraId="0D0F7553" w14:textId="77777777" w:rsidR="004A10AE" w:rsidRPr="0057700A" w:rsidRDefault="004A10AE" w:rsidP="007947DB">
            <w:pPr>
              <w:kinsoku w:val="0"/>
              <w:wordWrap/>
              <w:overflowPunct w:val="0"/>
              <w:spacing w:after="0" w:line="240" w:lineRule="auto"/>
              <w:jc w:val="center"/>
              <w:rPr>
                <w:rFonts w:ascii="Times New Roman" w:eastAsia="Malgun Gothic" w:hAnsi="Times New Roman" w:cs="Times New Roman"/>
                <w:sz w:val="22"/>
                <w:lang w:val="en-GB"/>
              </w:rPr>
            </w:pPr>
            <w:r w:rsidRPr="0057700A">
              <w:rPr>
                <w:rFonts w:ascii="Times New Roman" w:eastAsia="Malgun Gothic" w:hAnsi="Times New Roman" w:cs="Times New Roman"/>
                <w:sz w:val="22"/>
                <w:lang w:val="en-GB"/>
              </w:rPr>
              <w:t>48 (62%)</w:t>
            </w:r>
          </w:p>
        </w:tc>
        <w:tc>
          <w:tcPr>
            <w:tcW w:w="614" w:type="pct"/>
            <w:vAlign w:val="center"/>
          </w:tcPr>
          <w:p w14:paraId="2514B32B" w14:textId="77777777" w:rsidR="004A10AE" w:rsidRPr="0057700A" w:rsidRDefault="004A10AE" w:rsidP="007947DB">
            <w:pPr>
              <w:kinsoku w:val="0"/>
              <w:wordWrap/>
              <w:overflowPunct w:val="0"/>
              <w:spacing w:after="0" w:line="240" w:lineRule="auto"/>
              <w:jc w:val="center"/>
              <w:rPr>
                <w:rFonts w:ascii="Times New Roman" w:eastAsia="Malgun Gothic" w:hAnsi="Times New Roman" w:cs="Times New Roman"/>
                <w:sz w:val="22"/>
                <w:lang w:val="en-GB"/>
              </w:rPr>
            </w:pPr>
            <w:r w:rsidRPr="0057700A">
              <w:rPr>
                <w:rFonts w:ascii="Times New Roman" w:eastAsia="Malgun Gothic" w:hAnsi="Times New Roman" w:cs="Times New Roman"/>
                <w:sz w:val="22"/>
                <w:lang w:val="en-GB"/>
              </w:rPr>
              <w:t>16 (16%)</w:t>
            </w:r>
          </w:p>
        </w:tc>
        <w:tc>
          <w:tcPr>
            <w:tcW w:w="619" w:type="pct"/>
            <w:vAlign w:val="center"/>
          </w:tcPr>
          <w:p w14:paraId="262A2D13" w14:textId="77777777" w:rsidR="004A10AE" w:rsidRPr="0057700A" w:rsidRDefault="004A10AE" w:rsidP="007947DB">
            <w:pPr>
              <w:kinsoku w:val="0"/>
              <w:wordWrap/>
              <w:overflowPunct w:val="0"/>
              <w:spacing w:after="0" w:line="240" w:lineRule="auto"/>
              <w:jc w:val="center"/>
              <w:rPr>
                <w:rFonts w:ascii="Times New Roman" w:eastAsia="Malgun Gothic" w:hAnsi="Times New Roman" w:cs="Times New Roman"/>
                <w:sz w:val="22"/>
                <w:lang w:val="en-GB"/>
              </w:rPr>
            </w:pPr>
            <w:r w:rsidRPr="0057700A">
              <w:rPr>
                <w:rFonts w:ascii="Times New Roman" w:eastAsia="Malgun Gothic" w:hAnsi="Times New Roman" w:cs="Times New Roman"/>
                <w:sz w:val="22"/>
                <w:lang w:val="en-GB"/>
              </w:rPr>
              <w:t>54 (54%)</w:t>
            </w:r>
          </w:p>
        </w:tc>
        <w:tc>
          <w:tcPr>
            <w:tcW w:w="620" w:type="pct"/>
            <w:vAlign w:val="center"/>
          </w:tcPr>
          <w:p w14:paraId="3B0FEB13" w14:textId="77777777" w:rsidR="004A10AE" w:rsidRPr="0057700A" w:rsidRDefault="004A10AE" w:rsidP="007947DB">
            <w:pPr>
              <w:kinsoku w:val="0"/>
              <w:wordWrap/>
              <w:overflowPunct w:val="0"/>
              <w:spacing w:after="0" w:line="240" w:lineRule="auto"/>
              <w:jc w:val="center"/>
              <w:rPr>
                <w:rFonts w:ascii="Times New Roman" w:eastAsia="Malgun Gothic" w:hAnsi="Times New Roman" w:cs="Times New Roman"/>
                <w:sz w:val="22"/>
                <w:lang w:val="en-GB"/>
              </w:rPr>
            </w:pPr>
            <w:r w:rsidRPr="0057700A">
              <w:rPr>
                <w:rFonts w:ascii="Times New Roman" w:eastAsia="Malgun Gothic" w:hAnsi="Times New Roman" w:cs="Times New Roman"/>
                <w:sz w:val="22"/>
                <w:lang w:val="en-GB"/>
              </w:rPr>
              <w:t>48 (63%)</w:t>
            </w:r>
          </w:p>
        </w:tc>
      </w:tr>
      <w:tr w:rsidR="004A10AE" w:rsidRPr="0057700A" w14:paraId="23C98C17" w14:textId="77777777" w:rsidTr="005A4B0D">
        <w:trPr>
          <w:cantSplit/>
        </w:trPr>
        <w:tc>
          <w:tcPr>
            <w:tcW w:w="752" w:type="pct"/>
            <w:vAlign w:val="bottom"/>
          </w:tcPr>
          <w:p w14:paraId="36EEB2BA" w14:textId="77777777" w:rsidR="004A10AE" w:rsidRPr="0057700A" w:rsidRDefault="004A10AE" w:rsidP="007947DB">
            <w:pPr>
              <w:kinsoku w:val="0"/>
              <w:wordWrap/>
              <w:overflowPunct w:val="0"/>
              <w:spacing w:after="0" w:line="240" w:lineRule="auto"/>
              <w:ind w:leftChars="100" w:left="200"/>
              <w:jc w:val="left"/>
              <w:rPr>
                <w:rFonts w:ascii="Times New Roman" w:eastAsia="Malgun Gothic" w:hAnsi="Times New Roman" w:cs="Times New Roman"/>
                <w:sz w:val="22"/>
                <w:lang w:val="en-GB"/>
              </w:rPr>
            </w:pPr>
            <w:r w:rsidRPr="0057700A">
              <w:rPr>
                <w:rFonts w:ascii="Times New Roman" w:eastAsia="Malgun Gothic" w:hAnsi="Times New Roman" w:cs="Times New Roman"/>
                <w:sz w:val="22"/>
                <w:lang w:val="en-GB"/>
              </w:rPr>
              <w:t>ACR50 response*</w:t>
            </w:r>
          </w:p>
        </w:tc>
        <w:tc>
          <w:tcPr>
            <w:tcW w:w="536" w:type="pct"/>
            <w:vAlign w:val="center"/>
          </w:tcPr>
          <w:p w14:paraId="7E4B4DFA" w14:textId="77777777" w:rsidR="004A10AE" w:rsidRPr="0057700A" w:rsidRDefault="004A10AE" w:rsidP="007947DB">
            <w:pPr>
              <w:kinsoku w:val="0"/>
              <w:wordWrap/>
              <w:overflowPunct w:val="0"/>
              <w:spacing w:after="0" w:line="240" w:lineRule="auto"/>
              <w:jc w:val="center"/>
              <w:rPr>
                <w:rFonts w:ascii="Times New Roman" w:eastAsia="Malgun Gothic" w:hAnsi="Times New Roman" w:cs="Times New Roman"/>
                <w:sz w:val="22"/>
                <w:lang w:val="en-GB"/>
              </w:rPr>
            </w:pPr>
            <w:r w:rsidRPr="0057700A">
              <w:rPr>
                <w:rFonts w:ascii="Times New Roman" w:eastAsia="Malgun Gothic" w:hAnsi="Times New Roman" w:cs="Times New Roman"/>
                <w:sz w:val="22"/>
                <w:lang w:val="en-GB"/>
              </w:rPr>
              <w:t>0 (0%)</w:t>
            </w:r>
          </w:p>
        </w:tc>
        <w:tc>
          <w:tcPr>
            <w:tcW w:w="619" w:type="pct"/>
            <w:vAlign w:val="center"/>
          </w:tcPr>
          <w:p w14:paraId="29FB69CE" w14:textId="77777777" w:rsidR="004A10AE" w:rsidRPr="0057700A" w:rsidRDefault="004A10AE" w:rsidP="007947DB">
            <w:pPr>
              <w:kinsoku w:val="0"/>
              <w:wordWrap/>
              <w:overflowPunct w:val="0"/>
              <w:spacing w:after="0" w:line="240" w:lineRule="auto"/>
              <w:jc w:val="center"/>
              <w:rPr>
                <w:rFonts w:ascii="Times New Roman" w:eastAsia="Malgun Gothic" w:hAnsi="Times New Roman" w:cs="Times New Roman"/>
                <w:sz w:val="22"/>
                <w:lang w:val="en-GB"/>
              </w:rPr>
            </w:pPr>
            <w:r w:rsidRPr="0057700A">
              <w:rPr>
                <w:rFonts w:ascii="Times New Roman" w:eastAsia="Malgun Gothic" w:hAnsi="Times New Roman" w:cs="Times New Roman"/>
                <w:sz w:val="22"/>
                <w:lang w:val="en-GB"/>
              </w:rPr>
              <w:t>24 (46%)</w:t>
            </w:r>
          </w:p>
        </w:tc>
        <w:tc>
          <w:tcPr>
            <w:tcW w:w="619" w:type="pct"/>
            <w:vAlign w:val="center"/>
          </w:tcPr>
          <w:p w14:paraId="2D16D296" w14:textId="77777777" w:rsidR="004A10AE" w:rsidRPr="0057700A" w:rsidRDefault="004A10AE" w:rsidP="007947DB">
            <w:pPr>
              <w:kinsoku w:val="0"/>
              <w:wordWrap/>
              <w:overflowPunct w:val="0"/>
              <w:spacing w:after="0" w:line="240" w:lineRule="auto"/>
              <w:jc w:val="center"/>
              <w:rPr>
                <w:rFonts w:ascii="Times New Roman" w:eastAsia="Malgun Gothic" w:hAnsi="Times New Roman" w:cs="Times New Roman"/>
                <w:sz w:val="22"/>
                <w:lang w:val="en-GB"/>
              </w:rPr>
            </w:pPr>
            <w:r w:rsidRPr="0057700A">
              <w:rPr>
                <w:rFonts w:ascii="Times New Roman" w:eastAsia="Malgun Gothic" w:hAnsi="Times New Roman" w:cs="Times New Roman"/>
                <w:sz w:val="22"/>
                <w:lang w:val="en-GB"/>
              </w:rPr>
              <w:t>26 (53%)</w:t>
            </w:r>
          </w:p>
        </w:tc>
        <w:tc>
          <w:tcPr>
            <w:tcW w:w="621" w:type="pct"/>
            <w:vAlign w:val="center"/>
          </w:tcPr>
          <w:p w14:paraId="5F999AA8" w14:textId="77777777" w:rsidR="004A10AE" w:rsidRPr="0057700A" w:rsidRDefault="004A10AE" w:rsidP="007947DB">
            <w:pPr>
              <w:kinsoku w:val="0"/>
              <w:wordWrap/>
              <w:overflowPunct w:val="0"/>
              <w:spacing w:after="0" w:line="240" w:lineRule="auto"/>
              <w:jc w:val="center"/>
              <w:rPr>
                <w:rFonts w:ascii="Times New Roman" w:eastAsia="Malgun Gothic" w:hAnsi="Times New Roman" w:cs="Times New Roman"/>
                <w:sz w:val="22"/>
                <w:lang w:val="en-GB"/>
              </w:rPr>
            </w:pPr>
            <w:r w:rsidRPr="0057700A">
              <w:rPr>
                <w:rFonts w:ascii="Times New Roman" w:eastAsia="Malgun Gothic" w:hAnsi="Times New Roman" w:cs="Times New Roman"/>
                <w:sz w:val="22"/>
                <w:lang w:val="en-GB"/>
              </w:rPr>
              <w:t>35 (45%)</w:t>
            </w:r>
          </w:p>
        </w:tc>
        <w:tc>
          <w:tcPr>
            <w:tcW w:w="614" w:type="pct"/>
            <w:vAlign w:val="center"/>
          </w:tcPr>
          <w:p w14:paraId="22CF1AE4" w14:textId="77777777" w:rsidR="004A10AE" w:rsidRPr="0057700A" w:rsidRDefault="004A10AE" w:rsidP="007947DB">
            <w:pPr>
              <w:kinsoku w:val="0"/>
              <w:wordWrap/>
              <w:overflowPunct w:val="0"/>
              <w:spacing w:after="0" w:line="240" w:lineRule="auto"/>
              <w:jc w:val="center"/>
              <w:rPr>
                <w:rFonts w:ascii="Times New Roman" w:eastAsia="Malgun Gothic" w:hAnsi="Times New Roman" w:cs="Times New Roman"/>
                <w:sz w:val="22"/>
                <w:lang w:val="en-GB"/>
              </w:rPr>
            </w:pPr>
            <w:r w:rsidRPr="0057700A">
              <w:rPr>
                <w:rFonts w:ascii="Times New Roman" w:eastAsia="Malgun Gothic" w:hAnsi="Times New Roman" w:cs="Times New Roman"/>
                <w:sz w:val="22"/>
                <w:lang w:val="en-GB"/>
              </w:rPr>
              <w:t>4 (4%)</w:t>
            </w:r>
          </w:p>
        </w:tc>
        <w:tc>
          <w:tcPr>
            <w:tcW w:w="619" w:type="pct"/>
            <w:vAlign w:val="center"/>
          </w:tcPr>
          <w:p w14:paraId="7E4759F7" w14:textId="77777777" w:rsidR="004A10AE" w:rsidRPr="0057700A" w:rsidRDefault="004A10AE" w:rsidP="007947DB">
            <w:pPr>
              <w:kinsoku w:val="0"/>
              <w:wordWrap/>
              <w:overflowPunct w:val="0"/>
              <w:spacing w:after="0" w:line="240" w:lineRule="auto"/>
              <w:jc w:val="center"/>
              <w:rPr>
                <w:rFonts w:ascii="Times New Roman" w:eastAsia="Malgun Gothic" w:hAnsi="Times New Roman" w:cs="Times New Roman"/>
                <w:sz w:val="22"/>
                <w:lang w:val="en-GB"/>
              </w:rPr>
            </w:pPr>
            <w:r w:rsidRPr="0057700A">
              <w:rPr>
                <w:rFonts w:ascii="Times New Roman" w:eastAsia="Malgun Gothic" w:hAnsi="Times New Roman" w:cs="Times New Roman"/>
                <w:sz w:val="22"/>
                <w:lang w:val="en-GB"/>
              </w:rPr>
              <w:t>41(41%)</w:t>
            </w:r>
          </w:p>
        </w:tc>
        <w:tc>
          <w:tcPr>
            <w:tcW w:w="620" w:type="pct"/>
            <w:vAlign w:val="center"/>
          </w:tcPr>
          <w:p w14:paraId="12536154" w14:textId="77777777" w:rsidR="004A10AE" w:rsidRPr="0057700A" w:rsidRDefault="004A10AE" w:rsidP="007947DB">
            <w:pPr>
              <w:kinsoku w:val="0"/>
              <w:wordWrap/>
              <w:overflowPunct w:val="0"/>
              <w:spacing w:after="0" w:line="240" w:lineRule="auto"/>
              <w:jc w:val="center"/>
              <w:rPr>
                <w:rFonts w:ascii="Times New Roman" w:eastAsia="Malgun Gothic" w:hAnsi="Times New Roman" w:cs="Times New Roman"/>
                <w:sz w:val="22"/>
                <w:lang w:val="en-GB"/>
              </w:rPr>
            </w:pPr>
            <w:r w:rsidRPr="0057700A">
              <w:rPr>
                <w:rFonts w:ascii="Times New Roman" w:eastAsia="Malgun Gothic" w:hAnsi="Times New Roman" w:cs="Times New Roman"/>
                <w:sz w:val="22"/>
                <w:lang w:val="en-GB"/>
              </w:rPr>
              <w:t>32 (42%)</w:t>
            </w:r>
          </w:p>
        </w:tc>
      </w:tr>
      <w:tr w:rsidR="004A10AE" w:rsidRPr="0057700A" w14:paraId="5DBEC8EB" w14:textId="77777777" w:rsidTr="005A4B0D">
        <w:trPr>
          <w:cantSplit/>
        </w:trPr>
        <w:tc>
          <w:tcPr>
            <w:tcW w:w="752" w:type="pct"/>
            <w:vAlign w:val="bottom"/>
          </w:tcPr>
          <w:p w14:paraId="06100728" w14:textId="77777777" w:rsidR="004A10AE" w:rsidRPr="0057700A" w:rsidRDefault="004A10AE" w:rsidP="007947DB">
            <w:pPr>
              <w:kinsoku w:val="0"/>
              <w:wordWrap/>
              <w:overflowPunct w:val="0"/>
              <w:spacing w:after="0" w:line="240" w:lineRule="auto"/>
              <w:ind w:leftChars="100" w:left="200"/>
              <w:jc w:val="left"/>
              <w:rPr>
                <w:rFonts w:ascii="Times New Roman" w:eastAsia="Malgun Gothic" w:hAnsi="Times New Roman" w:cs="Times New Roman"/>
                <w:sz w:val="22"/>
                <w:lang w:val="en-GB"/>
              </w:rPr>
            </w:pPr>
            <w:r w:rsidRPr="0057700A">
              <w:rPr>
                <w:rFonts w:ascii="Times New Roman" w:eastAsia="Malgun Gothic" w:hAnsi="Times New Roman" w:cs="Times New Roman"/>
                <w:sz w:val="22"/>
                <w:lang w:val="en-GB"/>
              </w:rPr>
              <w:t>ACR70 response*</w:t>
            </w:r>
          </w:p>
        </w:tc>
        <w:tc>
          <w:tcPr>
            <w:tcW w:w="536" w:type="pct"/>
            <w:vAlign w:val="center"/>
          </w:tcPr>
          <w:p w14:paraId="2FEF30DF" w14:textId="77777777" w:rsidR="004A10AE" w:rsidRPr="0057700A" w:rsidRDefault="004A10AE" w:rsidP="007947DB">
            <w:pPr>
              <w:kinsoku w:val="0"/>
              <w:wordWrap/>
              <w:overflowPunct w:val="0"/>
              <w:spacing w:after="0" w:line="240" w:lineRule="auto"/>
              <w:jc w:val="center"/>
              <w:rPr>
                <w:rFonts w:ascii="Times New Roman" w:eastAsia="Malgun Gothic" w:hAnsi="Times New Roman" w:cs="Times New Roman"/>
                <w:sz w:val="22"/>
                <w:lang w:val="en-GB"/>
              </w:rPr>
            </w:pPr>
            <w:r w:rsidRPr="0057700A">
              <w:rPr>
                <w:rFonts w:ascii="Times New Roman" w:eastAsia="Malgun Gothic" w:hAnsi="Times New Roman" w:cs="Times New Roman"/>
                <w:sz w:val="22"/>
                <w:lang w:val="en-GB"/>
              </w:rPr>
              <w:t>0 (0%)</w:t>
            </w:r>
          </w:p>
        </w:tc>
        <w:tc>
          <w:tcPr>
            <w:tcW w:w="619" w:type="pct"/>
            <w:vAlign w:val="center"/>
          </w:tcPr>
          <w:p w14:paraId="06329C5A" w14:textId="77777777" w:rsidR="004A10AE" w:rsidRPr="0057700A" w:rsidRDefault="004A10AE" w:rsidP="007947DB">
            <w:pPr>
              <w:kinsoku w:val="0"/>
              <w:wordWrap/>
              <w:overflowPunct w:val="0"/>
              <w:spacing w:after="0" w:line="240" w:lineRule="auto"/>
              <w:jc w:val="center"/>
              <w:rPr>
                <w:rFonts w:ascii="Times New Roman" w:eastAsia="Malgun Gothic" w:hAnsi="Times New Roman" w:cs="Times New Roman"/>
                <w:sz w:val="22"/>
                <w:lang w:val="en-GB"/>
              </w:rPr>
            </w:pPr>
            <w:r w:rsidRPr="0057700A">
              <w:rPr>
                <w:rFonts w:ascii="Times New Roman" w:eastAsia="Malgun Gothic" w:hAnsi="Times New Roman" w:cs="Times New Roman"/>
                <w:sz w:val="22"/>
                <w:lang w:val="en-GB"/>
              </w:rPr>
              <w:t>15 (29%)</w:t>
            </w:r>
          </w:p>
        </w:tc>
        <w:tc>
          <w:tcPr>
            <w:tcW w:w="619" w:type="pct"/>
            <w:vAlign w:val="center"/>
          </w:tcPr>
          <w:p w14:paraId="5EA4EB28" w14:textId="77777777" w:rsidR="004A10AE" w:rsidRPr="0057700A" w:rsidRDefault="004A10AE" w:rsidP="007947DB">
            <w:pPr>
              <w:kinsoku w:val="0"/>
              <w:wordWrap/>
              <w:overflowPunct w:val="0"/>
              <w:spacing w:after="0" w:line="240" w:lineRule="auto"/>
              <w:jc w:val="center"/>
              <w:rPr>
                <w:rFonts w:ascii="Times New Roman" w:eastAsia="Malgun Gothic" w:hAnsi="Times New Roman" w:cs="Times New Roman"/>
                <w:sz w:val="22"/>
                <w:lang w:val="en-GB"/>
              </w:rPr>
            </w:pPr>
            <w:r w:rsidRPr="0057700A">
              <w:rPr>
                <w:rFonts w:ascii="Times New Roman" w:eastAsia="Malgun Gothic" w:hAnsi="Times New Roman" w:cs="Times New Roman"/>
                <w:sz w:val="22"/>
                <w:lang w:val="en-GB"/>
              </w:rPr>
              <w:t>19 (39%)</w:t>
            </w:r>
          </w:p>
        </w:tc>
        <w:tc>
          <w:tcPr>
            <w:tcW w:w="621" w:type="pct"/>
            <w:vAlign w:val="center"/>
          </w:tcPr>
          <w:p w14:paraId="77DE3BCA" w14:textId="77777777" w:rsidR="004A10AE" w:rsidRPr="0057700A" w:rsidRDefault="004A10AE" w:rsidP="007947DB">
            <w:pPr>
              <w:kinsoku w:val="0"/>
              <w:wordWrap/>
              <w:overflowPunct w:val="0"/>
              <w:spacing w:after="0" w:line="240" w:lineRule="auto"/>
              <w:jc w:val="center"/>
              <w:rPr>
                <w:rFonts w:ascii="Times New Roman" w:eastAsia="Malgun Gothic" w:hAnsi="Times New Roman" w:cs="Times New Roman"/>
                <w:sz w:val="22"/>
                <w:lang w:val="en-GB"/>
              </w:rPr>
            </w:pPr>
            <w:r w:rsidRPr="0057700A">
              <w:rPr>
                <w:rFonts w:ascii="Times New Roman" w:eastAsia="Malgun Gothic" w:hAnsi="Times New Roman" w:cs="Times New Roman"/>
                <w:sz w:val="22"/>
                <w:lang w:val="en-GB"/>
              </w:rPr>
              <w:t>27 (35%)</w:t>
            </w:r>
          </w:p>
        </w:tc>
        <w:tc>
          <w:tcPr>
            <w:tcW w:w="614" w:type="pct"/>
            <w:vAlign w:val="center"/>
          </w:tcPr>
          <w:p w14:paraId="23A8A18E" w14:textId="77777777" w:rsidR="004A10AE" w:rsidRPr="0057700A" w:rsidRDefault="004A10AE" w:rsidP="007947DB">
            <w:pPr>
              <w:kinsoku w:val="0"/>
              <w:wordWrap/>
              <w:overflowPunct w:val="0"/>
              <w:spacing w:after="0" w:line="240" w:lineRule="auto"/>
              <w:jc w:val="center"/>
              <w:rPr>
                <w:rFonts w:ascii="Times New Roman" w:eastAsia="Malgun Gothic" w:hAnsi="Times New Roman" w:cs="Times New Roman"/>
                <w:sz w:val="22"/>
                <w:lang w:val="en-GB"/>
              </w:rPr>
            </w:pPr>
            <w:r w:rsidRPr="0057700A">
              <w:rPr>
                <w:rFonts w:ascii="Times New Roman" w:eastAsia="Malgun Gothic" w:hAnsi="Times New Roman" w:cs="Times New Roman"/>
                <w:sz w:val="22"/>
                <w:lang w:val="en-GB"/>
              </w:rPr>
              <w:t>2 (2%)</w:t>
            </w:r>
          </w:p>
        </w:tc>
        <w:tc>
          <w:tcPr>
            <w:tcW w:w="619" w:type="pct"/>
            <w:vAlign w:val="center"/>
          </w:tcPr>
          <w:p w14:paraId="174A9117" w14:textId="77777777" w:rsidR="004A10AE" w:rsidRPr="0057700A" w:rsidRDefault="004A10AE" w:rsidP="007947DB">
            <w:pPr>
              <w:kinsoku w:val="0"/>
              <w:wordWrap/>
              <w:overflowPunct w:val="0"/>
              <w:spacing w:after="0" w:line="240" w:lineRule="auto"/>
              <w:jc w:val="center"/>
              <w:rPr>
                <w:rFonts w:ascii="Times New Roman" w:eastAsia="Malgun Gothic" w:hAnsi="Times New Roman" w:cs="Times New Roman"/>
                <w:sz w:val="22"/>
                <w:lang w:val="en-GB"/>
              </w:rPr>
            </w:pPr>
            <w:r w:rsidRPr="0057700A">
              <w:rPr>
                <w:rFonts w:ascii="Times New Roman" w:eastAsia="Malgun Gothic" w:hAnsi="Times New Roman" w:cs="Times New Roman"/>
                <w:sz w:val="22"/>
                <w:lang w:val="en-GB"/>
              </w:rPr>
              <w:t>27 (27%)</w:t>
            </w:r>
          </w:p>
        </w:tc>
        <w:tc>
          <w:tcPr>
            <w:tcW w:w="620" w:type="pct"/>
            <w:vAlign w:val="center"/>
          </w:tcPr>
          <w:p w14:paraId="22ACE44B" w14:textId="77777777" w:rsidR="004A10AE" w:rsidRPr="0057700A" w:rsidRDefault="004A10AE" w:rsidP="007947DB">
            <w:pPr>
              <w:kinsoku w:val="0"/>
              <w:wordWrap/>
              <w:overflowPunct w:val="0"/>
              <w:spacing w:after="0" w:line="240" w:lineRule="auto"/>
              <w:jc w:val="center"/>
              <w:rPr>
                <w:rFonts w:ascii="Times New Roman" w:eastAsia="Malgun Gothic" w:hAnsi="Times New Roman" w:cs="Times New Roman"/>
                <w:sz w:val="22"/>
                <w:lang w:val="en-GB"/>
              </w:rPr>
            </w:pPr>
            <w:r w:rsidRPr="0057700A">
              <w:rPr>
                <w:rFonts w:ascii="Times New Roman" w:eastAsia="Malgun Gothic" w:hAnsi="Times New Roman" w:cs="Times New Roman"/>
                <w:sz w:val="22"/>
                <w:lang w:val="en-GB"/>
              </w:rPr>
              <w:t>20 (26%)</w:t>
            </w:r>
          </w:p>
        </w:tc>
      </w:tr>
      <w:tr w:rsidR="004A10AE" w:rsidRPr="0057700A" w14:paraId="4FC0BAFB" w14:textId="77777777" w:rsidTr="005A4B0D">
        <w:trPr>
          <w:cantSplit/>
        </w:trPr>
        <w:tc>
          <w:tcPr>
            <w:tcW w:w="752" w:type="pct"/>
          </w:tcPr>
          <w:p w14:paraId="7B2EB7A2" w14:textId="77777777" w:rsidR="004A10AE" w:rsidRPr="0057700A" w:rsidRDefault="004A10AE" w:rsidP="007947DB">
            <w:pPr>
              <w:kinsoku w:val="0"/>
              <w:wordWrap/>
              <w:overflowPunct w:val="0"/>
              <w:spacing w:after="0" w:line="240" w:lineRule="auto"/>
              <w:jc w:val="left"/>
              <w:rPr>
                <w:rFonts w:ascii="Times New Roman" w:eastAsia="Malgun Gothic" w:hAnsi="Times New Roman" w:cs="Times New Roman"/>
                <w:sz w:val="22"/>
                <w:lang w:val="en-GB"/>
              </w:rPr>
            </w:pPr>
            <w:r w:rsidRPr="0057700A">
              <w:rPr>
                <w:rFonts w:ascii="Times New Roman" w:eastAsia="Malgun Gothic" w:hAnsi="Times New Roman" w:cs="Times New Roman"/>
                <w:sz w:val="22"/>
                <w:lang w:val="en-GB"/>
              </w:rPr>
              <w:t xml:space="preserve">PASI response </w:t>
            </w:r>
          </w:p>
          <w:p w14:paraId="4A47C101" w14:textId="77777777" w:rsidR="004A10AE" w:rsidRPr="0057700A" w:rsidRDefault="004A10AE" w:rsidP="007947DB">
            <w:pPr>
              <w:kinsoku w:val="0"/>
              <w:wordWrap/>
              <w:overflowPunct w:val="0"/>
              <w:spacing w:after="0" w:line="240" w:lineRule="auto"/>
              <w:jc w:val="left"/>
              <w:rPr>
                <w:rFonts w:ascii="Times New Roman" w:eastAsia="Malgun Gothic" w:hAnsi="Times New Roman" w:cs="Times New Roman"/>
                <w:sz w:val="22"/>
                <w:vertAlign w:val="superscript"/>
                <w:lang w:val="en-GB"/>
              </w:rPr>
            </w:pPr>
            <w:r w:rsidRPr="0057700A">
              <w:rPr>
                <w:rFonts w:ascii="Times New Roman" w:eastAsia="Malgun Gothic" w:hAnsi="Times New Roman" w:cs="Times New Roman"/>
                <w:sz w:val="22"/>
                <w:lang w:val="en-GB"/>
              </w:rPr>
              <w:t>(% of</w:t>
            </w:r>
            <w:r w:rsidRPr="0057700A">
              <w:rPr>
                <w:rFonts w:ascii="Times New Roman" w:eastAsia="Malgun Gothic" w:hAnsi="Times New Roman" w:cs="Times New Roman" w:hint="eastAsia"/>
                <w:sz w:val="22"/>
                <w:lang w:val="en-GB"/>
              </w:rPr>
              <w:t xml:space="preserve"> </w:t>
            </w:r>
            <w:r w:rsidRPr="0057700A">
              <w:rPr>
                <w:rFonts w:ascii="Times New Roman" w:eastAsia="Malgun Gothic" w:hAnsi="Times New Roman" w:cs="Times New Roman"/>
                <w:sz w:val="22"/>
                <w:lang w:val="en-GB"/>
              </w:rPr>
              <w:t>patients)</w:t>
            </w:r>
            <w:r w:rsidRPr="0057700A">
              <w:rPr>
                <w:rFonts w:ascii="Times New Roman" w:eastAsia="Malgun Gothic" w:hAnsi="Times New Roman" w:cs="Times New Roman"/>
                <w:sz w:val="22"/>
                <w:vertAlign w:val="superscript"/>
                <w:lang w:val="en-GB"/>
              </w:rPr>
              <w:t>b</w:t>
            </w:r>
          </w:p>
        </w:tc>
        <w:tc>
          <w:tcPr>
            <w:tcW w:w="536" w:type="pct"/>
            <w:vAlign w:val="center"/>
          </w:tcPr>
          <w:p w14:paraId="3DC426A5" w14:textId="77777777" w:rsidR="004A10AE" w:rsidRPr="0057700A" w:rsidRDefault="004A10AE" w:rsidP="007947DB">
            <w:pPr>
              <w:kinsoku w:val="0"/>
              <w:wordWrap/>
              <w:overflowPunct w:val="0"/>
              <w:spacing w:after="0" w:line="240" w:lineRule="auto"/>
              <w:jc w:val="center"/>
              <w:rPr>
                <w:rFonts w:ascii="Times New Roman" w:eastAsia="Malgun Gothic" w:hAnsi="Times New Roman" w:cs="Times New Roman"/>
                <w:sz w:val="22"/>
                <w:lang w:val="en-GB"/>
              </w:rPr>
            </w:pPr>
          </w:p>
        </w:tc>
        <w:tc>
          <w:tcPr>
            <w:tcW w:w="619" w:type="pct"/>
            <w:vAlign w:val="center"/>
          </w:tcPr>
          <w:p w14:paraId="290B5545" w14:textId="77777777" w:rsidR="004A10AE" w:rsidRPr="0057700A" w:rsidRDefault="004A10AE" w:rsidP="007947DB">
            <w:pPr>
              <w:kinsoku w:val="0"/>
              <w:wordWrap/>
              <w:overflowPunct w:val="0"/>
              <w:spacing w:after="0" w:line="240" w:lineRule="auto"/>
              <w:jc w:val="center"/>
              <w:rPr>
                <w:rFonts w:ascii="Times New Roman" w:eastAsia="Malgun Gothic" w:hAnsi="Times New Roman" w:cs="Times New Roman"/>
                <w:sz w:val="22"/>
                <w:lang w:val="en-GB"/>
              </w:rPr>
            </w:pPr>
          </w:p>
        </w:tc>
        <w:tc>
          <w:tcPr>
            <w:tcW w:w="619" w:type="pct"/>
            <w:vAlign w:val="center"/>
          </w:tcPr>
          <w:p w14:paraId="32D2FCED" w14:textId="77777777" w:rsidR="004A10AE" w:rsidRPr="0057700A" w:rsidRDefault="004A10AE" w:rsidP="007947DB">
            <w:pPr>
              <w:kinsoku w:val="0"/>
              <w:wordWrap/>
              <w:overflowPunct w:val="0"/>
              <w:spacing w:after="0" w:line="240" w:lineRule="auto"/>
              <w:jc w:val="center"/>
              <w:rPr>
                <w:rFonts w:ascii="Times New Roman" w:eastAsia="Malgun Gothic" w:hAnsi="Times New Roman" w:cs="Times New Roman"/>
                <w:sz w:val="22"/>
                <w:lang w:val="en-GB"/>
              </w:rPr>
            </w:pPr>
          </w:p>
        </w:tc>
        <w:tc>
          <w:tcPr>
            <w:tcW w:w="621" w:type="pct"/>
            <w:vAlign w:val="center"/>
          </w:tcPr>
          <w:p w14:paraId="633DE72A" w14:textId="77777777" w:rsidR="004A10AE" w:rsidRPr="0057700A" w:rsidRDefault="004A10AE" w:rsidP="007947DB">
            <w:pPr>
              <w:kinsoku w:val="0"/>
              <w:wordWrap/>
              <w:overflowPunct w:val="0"/>
              <w:spacing w:after="0" w:line="240" w:lineRule="auto"/>
              <w:jc w:val="center"/>
              <w:rPr>
                <w:rFonts w:ascii="Times New Roman" w:eastAsia="Malgun Gothic" w:hAnsi="Times New Roman" w:cs="Times New Roman"/>
                <w:sz w:val="22"/>
                <w:lang w:val="en-GB"/>
              </w:rPr>
            </w:pPr>
          </w:p>
        </w:tc>
        <w:tc>
          <w:tcPr>
            <w:tcW w:w="614" w:type="pct"/>
            <w:vAlign w:val="center"/>
          </w:tcPr>
          <w:p w14:paraId="58DA12A5" w14:textId="77777777" w:rsidR="004A10AE" w:rsidRPr="0057700A" w:rsidRDefault="004A10AE" w:rsidP="007947DB">
            <w:pPr>
              <w:kinsoku w:val="0"/>
              <w:wordWrap/>
              <w:overflowPunct w:val="0"/>
              <w:spacing w:after="0" w:line="240" w:lineRule="auto"/>
              <w:jc w:val="center"/>
              <w:rPr>
                <w:rFonts w:ascii="Times New Roman" w:eastAsia="Malgun Gothic" w:hAnsi="Times New Roman" w:cs="Times New Roman"/>
                <w:sz w:val="22"/>
                <w:lang w:val="en-GB"/>
              </w:rPr>
            </w:pPr>
          </w:p>
        </w:tc>
        <w:tc>
          <w:tcPr>
            <w:tcW w:w="619" w:type="pct"/>
            <w:vAlign w:val="center"/>
          </w:tcPr>
          <w:p w14:paraId="410A1C5B" w14:textId="77777777" w:rsidR="004A10AE" w:rsidRPr="0057700A" w:rsidRDefault="004A10AE" w:rsidP="007947DB">
            <w:pPr>
              <w:kinsoku w:val="0"/>
              <w:wordWrap/>
              <w:overflowPunct w:val="0"/>
              <w:spacing w:after="0" w:line="240" w:lineRule="auto"/>
              <w:jc w:val="center"/>
              <w:rPr>
                <w:rFonts w:ascii="Times New Roman" w:eastAsia="Malgun Gothic" w:hAnsi="Times New Roman" w:cs="Times New Roman"/>
                <w:sz w:val="22"/>
                <w:lang w:val="en-GB"/>
              </w:rPr>
            </w:pPr>
          </w:p>
        </w:tc>
        <w:tc>
          <w:tcPr>
            <w:tcW w:w="620" w:type="pct"/>
            <w:vAlign w:val="center"/>
          </w:tcPr>
          <w:p w14:paraId="3BEEB5C9" w14:textId="77777777" w:rsidR="004A10AE" w:rsidRPr="0057700A" w:rsidRDefault="004A10AE" w:rsidP="007947DB">
            <w:pPr>
              <w:kinsoku w:val="0"/>
              <w:wordWrap/>
              <w:overflowPunct w:val="0"/>
              <w:spacing w:after="0" w:line="240" w:lineRule="auto"/>
              <w:jc w:val="center"/>
              <w:rPr>
                <w:rFonts w:ascii="Times New Roman" w:eastAsia="Malgun Gothic" w:hAnsi="Times New Roman" w:cs="Times New Roman"/>
                <w:sz w:val="22"/>
                <w:lang w:val="en-GB"/>
              </w:rPr>
            </w:pPr>
          </w:p>
        </w:tc>
      </w:tr>
      <w:tr w:rsidR="004A10AE" w:rsidRPr="0057700A" w14:paraId="08350083" w14:textId="77777777" w:rsidTr="005A4B0D">
        <w:trPr>
          <w:cantSplit/>
        </w:trPr>
        <w:tc>
          <w:tcPr>
            <w:tcW w:w="752" w:type="pct"/>
          </w:tcPr>
          <w:p w14:paraId="2FD21CA8" w14:textId="77777777" w:rsidR="004A10AE" w:rsidRPr="0057700A" w:rsidRDefault="004A10AE" w:rsidP="007947DB">
            <w:pPr>
              <w:kinsoku w:val="0"/>
              <w:wordWrap/>
              <w:overflowPunct w:val="0"/>
              <w:spacing w:after="0" w:line="240" w:lineRule="auto"/>
              <w:ind w:firstLineChars="50" w:firstLine="110"/>
              <w:jc w:val="left"/>
              <w:rPr>
                <w:rFonts w:ascii="Times New Roman" w:eastAsia="Malgun Gothic" w:hAnsi="Times New Roman" w:cs="Times New Roman"/>
                <w:sz w:val="22"/>
                <w:lang w:val="en-GB"/>
              </w:rPr>
            </w:pPr>
            <w:r w:rsidRPr="0057700A">
              <w:rPr>
                <w:rFonts w:ascii="Times New Roman" w:eastAsia="Malgun Gothic" w:hAnsi="Times New Roman" w:cs="Times New Roman"/>
                <w:sz w:val="22"/>
                <w:lang w:val="en-GB"/>
              </w:rPr>
              <w:t>N</w:t>
            </w:r>
          </w:p>
        </w:tc>
        <w:tc>
          <w:tcPr>
            <w:tcW w:w="536" w:type="pct"/>
            <w:vAlign w:val="center"/>
          </w:tcPr>
          <w:p w14:paraId="2AA21AF8" w14:textId="77777777" w:rsidR="004A10AE" w:rsidRPr="0057700A" w:rsidRDefault="004A10AE" w:rsidP="007947DB">
            <w:pPr>
              <w:kinsoku w:val="0"/>
              <w:wordWrap/>
              <w:overflowPunct w:val="0"/>
              <w:spacing w:after="0" w:line="240" w:lineRule="auto"/>
              <w:jc w:val="center"/>
              <w:rPr>
                <w:rFonts w:ascii="Times New Roman" w:eastAsia="Malgun Gothic" w:hAnsi="Times New Roman" w:cs="Times New Roman"/>
                <w:sz w:val="22"/>
                <w:lang w:val="en-GB"/>
              </w:rPr>
            </w:pPr>
            <w:r w:rsidRPr="0057700A">
              <w:rPr>
                <w:rFonts w:ascii="Times New Roman" w:eastAsia="Malgun Gothic" w:hAnsi="Times New Roman" w:cs="Times New Roman"/>
                <w:sz w:val="22"/>
                <w:lang w:val="en-GB"/>
              </w:rPr>
              <w:t>16</w:t>
            </w:r>
          </w:p>
        </w:tc>
        <w:tc>
          <w:tcPr>
            <w:tcW w:w="619" w:type="pct"/>
            <w:vAlign w:val="center"/>
          </w:tcPr>
          <w:p w14:paraId="27F16FF1" w14:textId="77777777" w:rsidR="004A10AE" w:rsidRPr="0057700A" w:rsidRDefault="004A10AE" w:rsidP="007947DB">
            <w:pPr>
              <w:kinsoku w:val="0"/>
              <w:wordWrap/>
              <w:overflowPunct w:val="0"/>
              <w:spacing w:after="0" w:line="240" w:lineRule="auto"/>
              <w:jc w:val="center"/>
              <w:rPr>
                <w:rFonts w:ascii="Times New Roman" w:eastAsia="Malgun Gothic" w:hAnsi="Times New Roman" w:cs="Times New Roman"/>
                <w:sz w:val="22"/>
                <w:lang w:val="en-GB"/>
              </w:rPr>
            </w:pPr>
            <w:r w:rsidRPr="0057700A">
              <w:rPr>
                <w:rFonts w:ascii="Times New Roman" w:eastAsia="Malgun Gothic" w:hAnsi="Times New Roman" w:cs="Times New Roman"/>
                <w:sz w:val="22"/>
                <w:lang w:val="en-GB"/>
              </w:rPr>
              <w:t>22</w:t>
            </w:r>
          </w:p>
        </w:tc>
        <w:tc>
          <w:tcPr>
            <w:tcW w:w="619" w:type="pct"/>
            <w:vAlign w:val="center"/>
          </w:tcPr>
          <w:p w14:paraId="74602DD7" w14:textId="77777777" w:rsidR="004A10AE" w:rsidRPr="0057700A" w:rsidRDefault="004A10AE" w:rsidP="007947DB">
            <w:pPr>
              <w:kinsoku w:val="0"/>
              <w:wordWrap/>
              <w:overflowPunct w:val="0"/>
              <w:spacing w:after="0" w:line="240" w:lineRule="auto"/>
              <w:jc w:val="center"/>
              <w:rPr>
                <w:rFonts w:ascii="Times New Roman" w:eastAsia="Malgun Gothic" w:hAnsi="Times New Roman" w:cs="Times New Roman"/>
                <w:sz w:val="22"/>
                <w:lang w:val="en-GB"/>
              </w:rPr>
            </w:pPr>
            <w:r w:rsidRPr="0057700A">
              <w:rPr>
                <w:rFonts w:ascii="Times New Roman" w:eastAsia="Malgun Gothic" w:hAnsi="Times New Roman" w:cs="Times New Roman"/>
                <w:sz w:val="22"/>
                <w:lang w:val="en-GB"/>
              </w:rPr>
              <w:t>22</w:t>
            </w:r>
          </w:p>
        </w:tc>
        <w:tc>
          <w:tcPr>
            <w:tcW w:w="621" w:type="pct"/>
            <w:vAlign w:val="center"/>
          </w:tcPr>
          <w:p w14:paraId="28CB8146" w14:textId="77777777" w:rsidR="004A10AE" w:rsidRPr="0057700A" w:rsidRDefault="004A10AE" w:rsidP="007947DB">
            <w:pPr>
              <w:kinsoku w:val="0"/>
              <w:wordWrap/>
              <w:overflowPunct w:val="0"/>
              <w:spacing w:after="0" w:line="240" w:lineRule="auto"/>
              <w:jc w:val="center"/>
              <w:rPr>
                <w:rFonts w:ascii="Times New Roman" w:eastAsia="Malgun Gothic" w:hAnsi="Times New Roman" w:cs="Times New Roman"/>
                <w:sz w:val="22"/>
                <w:lang w:val="en-GB"/>
              </w:rPr>
            </w:pPr>
            <w:r w:rsidRPr="0057700A">
              <w:rPr>
                <w:rFonts w:ascii="Times New Roman" w:eastAsia="Malgun Gothic" w:hAnsi="Times New Roman" w:cs="Times New Roman"/>
                <w:sz w:val="22"/>
                <w:lang w:val="en-GB"/>
              </w:rPr>
              <w:t>25</w:t>
            </w:r>
          </w:p>
        </w:tc>
        <w:tc>
          <w:tcPr>
            <w:tcW w:w="614" w:type="pct"/>
            <w:vAlign w:val="center"/>
          </w:tcPr>
          <w:p w14:paraId="222B3120" w14:textId="77777777" w:rsidR="004A10AE" w:rsidRPr="0057700A" w:rsidRDefault="004A10AE" w:rsidP="007947DB">
            <w:pPr>
              <w:kinsoku w:val="0"/>
              <w:wordWrap/>
              <w:overflowPunct w:val="0"/>
              <w:spacing w:after="0" w:line="240" w:lineRule="auto"/>
              <w:jc w:val="center"/>
              <w:rPr>
                <w:rFonts w:ascii="Times New Roman" w:eastAsia="Malgun Gothic" w:hAnsi="Times New Roman" w:cs="Times New Roman"/>
                <w:sz w:val="22"/>
                <w:lang w:val="en-GB"/>
              </w:rPr>
            </w:pPr>
            <w:r w:rsidRPr="0057700A">
              <w:rPr>
                <w:rFonts w:ascii="Times New Roman" w:eastAsia="Malgun Gothic" w:hAnsi="Times New Roman" w:cs="Times New Roman"/>
                <w:sz w:val="22"/>
                <w:lang w:val="en-GB"/>
              </w:rPr>
              <w:t>87</w:t>
            </w:r>
          </w:p>
        </w:tc>
        <w:tc>
          <w:tcPr>
            <w:tcW w:w="619" w:type="pct"/>
            <w:vAlign w:val="center"/>
          </w:tcPr>
          <w:p w14:paraId="6E08522B" w14:textId="77777777" w:rsidR="004A10AE" w:rsidRPr="0057700A" w:rsidRDefault="004A10AE" w:rsidP="007947DB">
            <w:pPr>
              <w:kinsoku w:val="0"/>
              <w:wordWrap/>
              <w:overflowPunct w:val="0"/>
              <w:spacing w:after="0" w:line="240" w:lineRule="auto"/>
              <w:jc w:val="center"/>
              <w:rPr>
                <w:rFonts w:ascii="Times New Roman" w:eastAsia="Malgun Gothic" w:hAnsi="Times New Roman" w:cs="Times New Roman"/>
                <w:sz w:val="22"/>
                <w:lang w:val="en-GB"/>
              </w:rPr>
            </w:pPr>
            <w:r w:rsidRPr="0057700A">
              <w:rPr>
                <w:rFonts w:ascii="Times New Roman" w:eastAsia="Malgun Gothic" w:hAnsi="Times New Roman" w:cs="Times New Roman"/>
                <w:sz w:val="22"/>
                <w:lang w:val="en-GB"/>
              </w:rPr>
              <w:t>83</w:t>
            </w:r>
          </w:p>
        </w:tc>
        <w:tc>
          <w:tcPr>
            <w:tcW w:w="620" w:type="pct"/>
            <w:vAlign w:val="center"/>
          </w:tcPr>
          <w:p w14:paraId="504528A4" w14:textId="77777777" w:rsidR="004A10AE" w:rsidRPr="0057700A" w:rsidRDefault="004A10AE" w:rsidP="007947DB">
            <w:pPr>
              <w:kinsoku w:val="0"/>
              <w:wordWrap/>
              <w:overflowPunct w:val="0"/>
              <w:spacing w:after="0" w:line="240" w:lineRule="auto"/>
              <w:jc w:val="center"/>
              <w:rPr>
                <w:rFonts w:ascii="Times New Roman" w:eastAsia="Malgun Gothic" w:hAnsi="Times New Roman" w:cs="Times New Roman"/>
                <w:sz w:val="22"/>
                <w:lang w:val="en-GB"/>
              </w:rPr>
            </w:pPr>
            <w:r w:rsidRPr="0057700A">
              <w:rPr>
                <w:rFonts w:ascii="Times New Roman" w:eastAsia="Malgun Gothic" w:hAnsi="Times New Roman" w:cs="Times New Roman"/>
                <w:sz w:val="22"/>
                <w:lang w:val="en-GB"/>
              </w:rPr>
              <w:t>61</w:t>
            </w:r>
          </w:p>
        </w:tc>
      </w:tr>
      <w:tr w:rsidR="004A10AE" w:rsidRPr="0057700A" w14:paraId="46B4884F" w14:textId="77777777" w:rsidTr="005A4B0D">
        <w:trPr>
          <w:cantSplit/>
        </w:trPr>
        <w:tc>
          <w:tcPr>
            <w:tcW w:w="752" w:type="pct"/>
            <w:vAlign w:val="bottom"/>
          </w:tcPr>
          <w:p w14:paraId="74614866" w14:textId="77777777" w:rsidR="004A10AE" w:rsidRPr="0057700A" w:rsidRDefault="004A10AE" w:rsidP="007947DB">
            <w:pPr>
              <w:kinsoku w:val="0"/>
              <w:wordWrap/>
              <w:overflowPunct w:val="0"/>
              <w:spacing w:after="0" w:line="240" w:lineRule="auto"/>
              <w:ind w:leftChars="100" w:left="200"/>
              <w:jc w:val="left"/>
              <w:rPr>
                <w:rFonts w:ascii="Times New Roman" w:eastAsia="Malgun Gothic" w:hAnsi="Times New Roman" w:cs="Times New Roman"/>
                <w:sz w:val="22"/>
                <w:lang w:val="en-GB"/>
              </w:rPr>
            </w:pPr>
            <w:r w:rsidRPr="0057700A">
              <w:rPr>
                <w:rFonts w:ascii="Times New Roman" w:eastAsia="Malgun Gothic" w:hAnsi="Times New Roman" w:cs="Times New Roman"/>
                <w:sz w:val="22"/>
                <w:lang w:val="en-GB"/>
              </w:rPr>
              <w:t>PASI 50 response*</w:t>
            </w:r>
          </w:p>
        </w:tc>
        <w:tc>
          <w:tcPr>
            <w:tcW w:w="536" w:type="pct"/>
            <w:vAlign w:val="center"/>
          </w:tcPr>
          <w:p w14:paraId="532374B4" w14:textId="77777777" w:rsidR="004A10AE" w:rsidRPr="0057700A" w:rsidRDefault="004A10AE" w:rsidP="007947DB">
            <w:pPr>
              <w:kinsoku w:val="0"/>
              <w:wordWrap/>
              <w:overflowPunct w:val="0"/>
              <w:spacing w:after="0" w:line="240" w:lineRule="auto"/>
              <w:jc w:val="center"/>
              <w:rPr>
                <w:rFonts w:ascii="Times New Roman" w:eastAsia="Malgun Gothic" w:hAnsi="Times New Roman" w:cs="Times New Roman"/>
                <w:sz w:val="22"/>
                <w:lang w:val="en-GB"/>
              </w:rPr>
            </w:pPr>
            <w:r w:rsidRPr="0057700A">
              <w:rPr>
                <w:rFonts w:ascii="Times New Roman" w:eastAsia="Malgun Gothic" w:hAnsi="Times New Roman" w:cs="Times New Roman"/>
                <w:sz w:val="22"/>
                <w:lang w:val="en-GB"/>
              </w:rPr>
              <w:t>0 (0%)</w:t>
            </w:r>
          </w:p>
        </w:tc>
        <w:tc>
          <w:tcPr>
            <w:tcW w:w="619" w:type="pct"/>
            <w:vAlign w:val="center"/>
          </w:tcPr>
          <w:p w14:paraId="1240FCC7" w14:textId="77777777" w:rsidR="004A10AE" w:rsidRPr="0057700A" w:rsidRDefault="004A10AE" w:rsidP="007947DB">
            <w:pPr>
              <w:kinsoku w:val="0"/>
              <w:wordWrap/>
              <w:overflowPunct w:val="0"/>
              <w:spacing w:after="0" w:line="240" w:lineRule="auto"/>
              <w:jc w:val="center"/>
              <w:rPr>
                <w:rFonts w:ascii="Times New Roman" w:eastAsia="Malgun Gothic" w:hAnsi="Times New Roman" w:cs="Times New Roman"/>
                <w:sz w:val="22"/>
                <w:lang w:val="en-GB"/>
              </w:rPr>
            </w:pPr>
            <w:r w:rsidRPr="0057700A">
              <w:rPr>
                <w:rFonts w:ascii="Times New Roman" w:eastAsia="Malgun Gothic" w:hAnsi="Times New Roman" w:cs="Times New Roman"/>
                <w:sz w:val="22"/>
                <w:lang w:val="en-GB"/>
              </w:rPr>
              <w:t>22(100%)</w:t>
            </w:r>
          </w:p>
        </w:tc>
        <w:tc>
          <w:tcPr>
            <w:tcW w:w="619" w:type="pct"/>
            <w:vAlign w:val="center"/>
          </w:tcPr>
          <w:p w14:paraId="622E1A89" w14:textId="77777777" w:rsidR="004A10AE" w:rsidRPr="0057700A" w:rsidRDefault="004A10AE" w:rsidP="007947DB">
            <w:pPr>
              <w:kinsoku w:val="0"/>
              <w:wordWrap/>
              <w:overflowPunct w:val="0"/>
              <w:spacing w:after="0" w:line="240" w:lineRule="auto"/>
              <w:jc w:val="center"/>
              <w:rPr>
                <w:rFonts w:ascii="Times New Roman" w:eastAsia="Malgun Gothic" w:hAnsi="Times New Roman" w:cs="Times New Roman"/>
                <w:sz w:val="22"/>
                <w:lang w:val="en-GB"/>
              </w:rPr>
            </w:pPr>
            <w:r w:rsidRPr="0057700A">
              <w:rPr>
                <w:rFonts w:ascii="Times New Roman" w:eastAsia="Malgun Gothic" w:hAnsi="Times New Roman" w:cs="Times New Roman"/>
                <w:sz w:val="22"/>
                <w:lang w:val="en-GB"/>
              </w:rPr>
              <w:t>19 (86%)</w:t>
            </w:r>
          </w:p>
        </w:tc>
        <w:tc>
          <w:tcPr>
            <w:tcW w:w="621" w:type="pct"/>
            <w:vAlign w:val="center"/>
          </w:tcPr>
          <w:p w14:paraId="1DBCD51C" w14:textId="77777777" w:rsidR="004A10AE" w:rsidRPr="0057700A" w:rsidRDefault="004A10AE" w:rsidP="007947DB">
            <w:pPr>
              <w:kinsoku w:val="0"/>
              <w:wordWrap/>
              <w:overflowPunct w:val="0"/>
              <w:spacing w:after="0" w:line="240" w:lineRule="auto"/>
              <w:jc w:val="center"/>
              <w:rPr>
                <w:rFonts w:ascii="Times New Roman" w:eastAsia="Malgun Gothic" w:hAnsi="Times New Roman" w:cs="Times New Roman"/>
                <w:sz w:val="22"/>
                <w:lang w:val="en-GB"/>
              </w:rPr>
            </w:pPr>
            <w:r w:rsidRPr="0057700A">
              <w:rPr>
                <w:rFonts w:ascii="Times New Roman" w:eastAsia="Malgun Gothic" w:hAnsi="Times New Roman" w:cs="Times New Roman"/>
                <w:sz w:val="22"/>
                <w:lang w:val="en-GB"/>
              </w:rPr>
              <w:t>19 (76%)</w:t>
            </w:r>
          </w:p>
        </w:tc>
        <w:tc>
          <w:tcPr>
            <w:tcW w:w="614" w:type="pct"/>
            <w:vAlign w:val="center"/>
          </w:tcPr>
          <w:p w14:paraId="704856C1" w14:textId="77777777" w:rsidR="004A10AE" w:rsidRPr="0057700A" w:rsidRDefault="004A10AE" w:rsidP="007947DB">
            <w:pPr>
              <w:kinsoku w:val="0"/>
              <w:wordWrap/>
              <w:overflowPunct w:val="0"/>
              <w:spacing w:after="0" w:line="240" w:lineRule="auto"/>
              <w:jc w:val="center"/>
              <w:rPr>
                <w:rFonts w:ascii="Times New Roman" w:eastAsia="Malgun Gothic" w:hAnsi="Times New Roman" w:cs="Times New Roman"/>
                <w:sz w:val="22"/>
                <w:lang w:val="en-GB"/>
              </w:rPr>
            </w:pPr>
            <w:r w:rsidRPr="0057700A">
              <w:rPr>
                <w:rFonts w:ascii="Times New Roman" w:eastAsia="Malgun Gothic" w:hAnsi="Times New Roman" w:cs="Times New Roman"/>
                <w:sz w:val="22"/>
                <w:lang w:val="en-GB"/>
              </w:rPr>
              <w:t>7 (8%)</w:t>
            </w:r>
          </w:p>
        </w:tc>
        <w:tc>
          <w:tcPr>
            <w:tcW w:w="619" w:type="pct"/>
            <w:vAlign w:val="center"/>
          </w:tcPr>
          <w:p w14:paraId="2235242C" w14:textId="77777777" w:rsidR="004A10AE" w:rsidRPr="0057700A" w:rsidRDefault="004A10AE" w:rsidP="007947DB">
            <w:pPr>
              <w:kinsoku w:val="0"/>
              <w:wordWrap/>
              <w:overflowPunct w:val="0"/>
              <w:spacing w:after="0" w:line="240" w:lineRule="auto"/>
              <w:jc w:val="center"/>
              <w:rPr>
                <w:rFonts w:ascii="Times New Roman" w:eastAsia="Malgun Gothic" w:hAnsi="Times New Roman" w:cs="Times New Roman"/>
                <w:sz w:val="22"/>
                <w:lang w:val="en-GB"/>
              </w:rPr>
            </w:pPr>
            <w:r w:rsidRPr="0057700A">
              <w:rPr>
                <w:rFonts w:ascii="Times New Roman" w:eastAsia="Malgun Gothic" w:hAnsi="Times New Roman" w:cs="Times New Roman"/>
                <w:sz w:val="22"/>
                <w:lang w:val="en-GB"/>
              </w:rPr>
              <w:t>62 (75%)</w:t>
            </w:r>
          </w:p>
        </w:tc>
        <w:tc>
          <w:tcPr>
            <w:tcW w:w="620" w:type="pct"/>
            <w:vAlign w:val="center"/>
          </w:tcPr>
          <w:p w14:paraId="6BB981C6" w14:textId="77777777" w:rsidR="004A10AE" w:rsidRPr="0057700A" w:rsidRDefault="004A10AE" w:rsidP="007947DB">
            <w:pPr>
              <w:kinsoku w:val="0"/>
              <w:wordWrap/>
              <w:overflowPunct w:val="0"/>
              <w:spacing w:after="0" w:line="240" w:lineRule="auto"/>
              <w:jc w:val="center"/>
              <w:rPr>
                <w:rFonts w:ascii="Times New Roman" w:eastAsia="Malgun Gothic" w:hAnsi="Times New Roman" w:cs="Times New Roman"/>
                <w:sz w:val="22"/>
                <w:lang w:val="en-GB"/>
              </w:rPr>
            </w:pPr>
            <w:r w:rsidRPr="0057700A">
              <w:rPr>
                <w:rFonts w:ascii="Times New Roman" w:eastAsia="Malgun Gothic" w:hAnsi="Times New Roman" w:cs="Times New Roman"/>
                <w:sz w:val="22"/>
                <w:lang w:val="en-GB"/>
              </w:rPr>
              <w:t>42 (69%)</w:t>
            </w:r>
          </w:p>
        </w:tc>
      </w:tr>
      <w:tr w:rsidR="004A10AE" w:rsidRPr="0057700A" w14:paraId="2B35B10D" w14:textId="77777777" w:rsidTr="005A4B0D">
        <w:trPr>
          <w:cantSplit/>
        </w:trPr>
        <w:tc>
          <w:tcPr>
            <w:tcW w:w="752" w:type="pct"/>
            <w:vAlign w:val="bottom"/>
          </w:tcPr>
          <w:p w14:paraId="16DE1073" w14:textId="77777777" w:rsidR="004A10AE" w:rsidRPr="0057700A" w:rsidRDefault="004A10AE" w:rsidP="007947DB">
            <w:pPr>
              <w:kinsoku w:val="0"/>
              <w:wordWrap/>
              <w:overflowPunct w:val="0"/>
              <w:spacing w:after="0" w:line="240" w:lineRule="auto"/>
              <w:ind w:leftChars="100" w:left="200"/>
              <w:jc w:val="left"/>
              <w:rPr>
                <w:rFonts w:ascii="Times New Roman" w:eastAsia="Malgun Gothic" w:hAnsi="Times New Roman" w:cs="Times New Roman"/>
                <w:sz w:val="22"/>
                <w:lang w:val="en-GB"/>
              </w:rPr>
            </w:pPr>
            <w:r w:rsidRPr="0057700A">
              <w:rPr>
                <w:rFonts w:ascii="Times New Roman" w:eastAsia="Malgun Gothic" w:hAnsi="Times New Roman" w:cs="Times New Roman"/>
                <w:sz w:val="22"/>
                <w:lang w:val="en-GB"/>
              </w:rPr>
              <w:t>PASI 75 response*</w:t>
            </w:r>
          </w:p>
        </w:tc>
        <w:tc>
          <w:tcPr>
            <w:tcW w:w="536" w:type="pct"/>
            <w:vAlign w:val="center"/>
          </w:tcPr>
          <w:p w14:paraId="6029C5C5" w14:textId="77777777" w:rsidR="004A10AE" w:rsidRPr="0057700A" w:rsidRDefault="004A10AE" w:rsidP="007947DB">
            <w:pPr>
              <w:kinsoku w:val="0"/>
              <w:wordWrap/>
              <w:overflowPunct w:val="0"/>
              <w:spacing w:after="0" w:line="240" w:lineRule="auto"/>
              <w:jc w:val="center"/>
              <w:rPr>
                <w:rFonts w:ascii="Times New Roman" w:eastAsia="Malgun Gothic" w:hAnsi="Times New Roman" w:cs="Times New Roman"/>
                <w:sz w:val="22"/>
                <w:lang w:val="en-GB"/>
              </w:rPr>
            </w:pPr>
            <w:r w:rsidRPr="0057700A">
              <w:rPr>
                <w:rFonts w:ascii="Times New Roman" w:eastAsia="Malgun Gothic" w:hAnsi="Times New Roman" w:cs="Times New Roman"/>
                <w:sz w:val="22"/>
                <w:lang w:val="en-GB"/>
              </w:rPr>
              <w:t>0 (0%)</w:t>
            </w:r>
          </w:p>
        </w:tc>
        <w:tc>
          <w:tcPr>
            <w:tcW w:w="619" w:type="pct"/>
            <w:vAlign w:val="center"/>
          </w:tcPr>
          <w:p w14:paraId="3D950709" w14:textId="77777777" w:rsidR="004A10AE" w:rsidRPr="0057700A" w:rsidRDefault="004A10AE" w:rsidP="007947DB">
            <w:pPr>
              <w:kinsoku w:val="0"/>
              <w:wordWrap/>
              <w:overflowPunct w:val="0"/>
              <w:spacing w:after="0" w:line="240" w:lineRule="auto"/>
              <w:jc w:val="center"/>
              <w:rPr>
                <w:rFonts w:ascii="Times New Roman" w:eastAsia="Malgun Gothic" w:hAnsi="Times New Roman" w:cs="Times New Roman"/>
                <w:sz w:val="22"/>
                <w:lang w:val="en-GB"/>
              </w:rPr>
            </w:pPr>
            <w:r w:rsidRPr="0057700A">
              <w:rPr>
                <w:rFonts w:ascii="Times New Roman" w:eastAsia="Malgun Gothic" w:hAnsi="Times New Roman" w:cs="Times New Roman"/>
                <w:sz w:val="22"/>
                <w:lang w:val="en-GB"/>
              </w:rPr>
              <w:t>15 (68%)</w:t>
            </w:r>
          </w:p>
        </w:tc>
        <w:tc>
          <w:tcPr>
            <w:tcW w:w="619" w:type="pct"/>
            <w:vAlign w:val="center"/>
          </w:tcPr>
          <w:p w14:paraId="193BB066" w14:textId="77777777" w:rsidR="004A10AE" w:rsidRPr="0057700A" w:rsidRDefault="004A10AE" w:rsidP="007947DB">
            <w:pPr>
              <w:kinsoku w:val="0"/>
              <w:wordWrap/>
              <w:overflowPunct w:val="0"/>
              <w:spacing w:after="0" w:line="240" w:lineRule="auto"/>
              <w:jc w:val="center"/>
              <w:rPr>
                <w:rFonts w:ascii="Times New Roman" w:eastAsia="Malgun Gothic" w:hAnsi="Times New Roman" w:cs="Times New Roman"/>
                <w:sz w:val="22"/>
                <w:lang w:val="en-GB"/>
              </w:rPr>
            </w:pPr>
            <w:r w:rsidRPr="0057700A">
              <w:rPr>
                <w:rFonts w:ascii="Times New Roman" w:eastAsia="Malgun Gothic" w:hAnsi="Times New Roman" w:cs="Times New Roman"/>
                <w:sz w:val="22"/>
                <w:lang w:val="en-GB"/>
              </w:rPr>
              <w:t>13 (59%)</w:t>
            </w:r>
          </w:p>
        </w:tc>
        <w:tc>
          <w:tcPr>
            <w:tcW w:w="621" w:type="pct"/>
            <w:vAlign w:val="center"/>
          </w:tcPr>
          <w:p w14:paraId="21EB0183" w14:textId="77777777" w:rsidR="004A10AE" w:rsidRPr="0057700A" w:rsidRDefault="004A10AE" w:rsidP="007947DB">
            <w:pPr>
              <w:kinsoku w:val="0"/>
              <w:wordWrap/>
              <w:overflowPunct w:val="0"/>
              <w:spacing w:after="0" w:line="240" w:lineRule="auto"/>
              <w:jc w:val="center"/>
              <w:rPr>
                <w:rFonts w:ascii="Times New Roman" w:eastAsia="Malgun Gothic" w:hAnsi="Times New Roman" w:cs="Times New Roman"/>
                <w:sz w:val="22"/>
                <w:lang w:val="en-GB"/>
              </w:rPr>
            </w:pPr>
            <w:r w:rsidRPr="0057700A">
              <w:rPr>
                <w:rFonts w:ascii="Times New Roman" w:eastAsia="Malgun Gothic" w:hAnsi="Times New Roman" w:cs="Times New Roman"/>
                <w:sz w:val="22"/>
                <w:lang w:val="en-GB"/>
              </w:rPr>
              <w:t>16 (64%)</w:t>
            </w:r>
          </w:p>
        </w:tc>
        <w:tc>
          <w:tcPr>
            <w:tcW w:w="614" w:type="pct"/>
            <w:vAlign w:val="center"/>
          </w:tcPr>
          <w:p w14:paraId="4FA5CADE" w14:textId="77777777" w:rsidR="004A10AE" w:rsidRPr="0057700A" w:rsidRDefault="004A10AE" w:rsidP="007947DB">
            <w:pPr>
              <w:kinsoku w:val="0"/>
              <w:wordWrap/>
              <w:overflowPunct w:val="0"/>
              <w:spacing w:after="0" w:line="240" w:lineRule="auto"/>
              <w:jc w:val="center"/>
              <w:rPr>
                <w:rFonts w:ascii="Times New Roman" w:eastAsia="Malgun Gothic" w:hAnsi="Times New Roman" w:cs="Times New Roman"/>
                <w:sz w:val="22"/>
                <w:lang w:val="en-GB"/>
              </w:rPr>
            </w:pPr>
            <w:r w:rsidRPr="0057700A">
              <w:rPr>
                <w:rFonts w:ascii="Times New Roman" w:eastAsia="Malgun Gothic" w:hAnsi="Times New Roman" w:cs="Times New Roman"/>
                <w:sz w:val="22"/>
                <w:lang w:val="en-GB"/>
              </w:rPr>
              <w:t>1 (1%)</w:t>
            </w:r>
          </w:p>
        </w:tc>
        <w:tc>
          <w:tcPr>
            <w:tcW w:w="619" w:type="pct"/>
            <w:vAlign w:val="center"/>
          </w:tcPr>
          <w:p w14:paraId="26647D0B" w14:textId="77777777" w:rsidR="004A10AE" w:rsidRPr="0057700A" w:rsidRDefault="004A10AE" w:rsidP="007947DB">
            <w:pPr>
              <w:kinsoku w:val="0"/>
              <w:wordWrap/>
              <w:overflowPunct w:val="0"/>
              <w:spacing w:after="0" w:line="240" w:lineRule="auto"/>
              <w:jc w:val="center"/>
              <w:rPr>
                <w:rFonts w:ascii="Times New Roman" w:eastAsia="Malgun Gothic" w:hAnsi="Times New Roman" w:cs="Times New Roman"/>
                <w:sz w:val="22"/>
                <w:lang w:val="en-GB"/>
              </w:rPr>
            </w:pPr>
            <w:r w:rsidRPr="0057700A">
              <w:rPr>
                <w:rFonts w:ascii="Times New Roman" w:eastAsia="Malgun Gothic" w:hAnsi="Times New Roman" w:cs="Times New Roman"/>
                <w:sz w:val="22"/>
                <w:lang w:val="en-GB"/>
              </w:rPr>
              <w:t>50 (60%)</w:t>
            </w:r>
          </w:p>
        </w:tc>
        <w:tc>
          <w:tcPr>
            <w:tcW w:w="620" w:type="pct"/>
            <w:vAlign w:val="center"/>
          </w:tcPr>
          <w:p w14:paraId="781DD307" w14:textId="77777777" w:rsidR="004A10AE" w:rsidRPr="0057700A" w:rsidRDefault="004A10AE" w:rsidP="007947DB">
            <w:pPr>
              <w:kinsoku w:val="0"/>
              <w:wordWrap/>
              <w:overflowPunct w:val="0"/>
              <w:spacing w:after="0" w:line="240" w:lineRule="auto"/>
              <w:jc w:val="center"/>
              <w:rPr>
                <w:rFonts w:ascii="Times New Roman" w:eastAsia="Malgun Gothic" w:hAnsi="Times New Roman" w:cs="Times New Roman"/>
                <w:sz w:val="22"/>
                <w:lang w:val="en-GB"/>
              </w:rPr>
            </w:pPr>
            <w:r w:rsidRPr="0057700A">
              <w:rPr>
                <w:rFonts w:ascii="Times New Roman" w:eastAsia="Malgun Gothic" w:hAnsi="Times New Roman" w:cs="Times New Roman"/>
                <w:sz w:val="22"/>
                <w:lang w:val="en-GB"/>
              </w:rPr>
              <w:t>31 (51%)</w:t>
            </w:r>
          </w:p>
        </w:tc>
      </w:tr>
      <w:tr w:rsidR="004A10AE" w:rsidRPr="0057700A" w14:paraId="46F9A59F" w14:textId="77777777" w:rsidTr="005A4B0D">
        <w:trPr>
          <w:cantSplit/>
        </w:trPr>
        <w:tc>
          <w:tcPr>
            <w:tcW w:w="752" w:type="pct"/>
            <w:vAlign w:val="bottom"/>
          </w:tcPr>
          <w:p w14:paraId="45D5FCCA" w14:textId="77777777" w:rsidR="004A10AE" w:rsidRPr="0057700A" w:rsidRDefault="004A10AE" w:rsidP="007947DB">
            <w:pPr>
              <w:kinsoku w:val="0"/>
              <w:wordWrap/>
              <w:overflowPunct w:val="0"/>
              <w:spacing w:after="0" w:line="240" w:lineRule="auto"/>
              <w:ind w:leftChars="100" w:left="200"/>
              <w:jc w:val="left"/>
              <w:rPr>
                <w:rFonts w:ascii="Times New Roman" w:eastAsia="Malgun Gothic" w:hAnsi="Times New Roman" w:cs="Times New Roman"/>
                <w:sz w:val="22"/>
                <w:lang w:val="en-GB"/>
              </w:rPr>
            </w:pPr>
            <w:r w:rsidRPr="0057700A">
              <w:rPr>
                <w:rFonts w:ascii="Times New Roman" w:eastAsia="Malgun Gothic" w:hAnsi="Times New Roman" w:cs="Times New Roman"/>
                <w:sz w:val="22"/>
                <w:lang w:val="en-GB"/>
              </w:rPr>
              <w:t>PASI 90 response*</w:t>
            </w:r>
          </w:p>
        </w:tc>
        <w:tc>
          <w:tcPr>
            <w:tcW w:w="536" w:type="pct"/>
            <w:vAlign w:val="center"/>
          </w:tcPr>
          <w:p w14:paraId="3D4FACA5" w14:textId="77777777" w:rsidR="004A10AE" w:rsidRPr="0057700A" w:rsidRDefault="004A10AE" w:rsidP="007947DB">
            <w:pPr>
              <w:kinsoku w:val="0"/>
              <w:wordWrap/>
              <w:overflowPunct w:val="0"/>
              <w:spacing w:after="0" w:line="240" w:lineRule="auto"/>
              <w:jc w:val="center"/>
              <w:rPr>
                <w:rFonts w:ascii="Times New Roman" w:eastAsia="Malgun Gothic" w:hAnsi="Times New Roman" w:cs="Times New Roman"/>
                <w:sz w:val="22"/>
                <w:lang w:val="en-GB"/>
              </w:rPr>
            </w:pPr>
            <w:r w:rsidRPr="0057700A">
              <w:rPr>
                <w:rFonts w:ascii="Times New Roman" w:eastAsia="Malgun Gothic" w:hAnsi="Times New Roman" w:cs="Times New Roman"/>
                <w:sz w:val="22"/>
                <w:lang w:val="en-GB"/>
              </w:rPr>
              <w:t>0 (0%)</w:t>
            </w:r>
          </w:p>
        </w:tc>
        <w:tc>
          <w:tcPr>
            <w:tcW w:w="619" w:type="pct"/>
            <w:vAlign w:val="center"/>
          </w:tcPr>
          <w:p w14:paraId="349F18EC" w14:textId="77777777" w:rsidR="004A10AE" w:rsidRPr="0057700A" w:rsidRDefault="004A10AE" w:rsidP="007947DB">
            <w:pPr>
              <w:kinsoku w:val="0"/>
              <w:wordWrap/>
              <w:overflowPunct w:val="0"/>
              <w:spacing w:after="0" w:line="240" w:lineRule="auto"/>
              <w:jc w:val="center"/>
              <w:rPr>
                <w:rFonts w:ascii="Times New Roman" w:eastAsia="Malgun Gothic" w:hAnsi="Times New Roman" w:cs="Times New Roman"/>
                <w:sz w:val="22"/>
                <w:lang w:val="en-GB"/>
              </w:rPr>
            </w:pPr>
            <w:r w:rsidRPr="0057700A">
              <w:rPr>
                <w:rFonts w:ascii="Times New Roman" w:eastAsia="Malgun Gothic" w:hAnsi="Times New Roman" w:cs="Times New Roman"/>
                <w:sz w:val="22"/>
                <w:lang w:val="en-GB"/>
              </w:rPr>
              <w:t>8 (36%)</w:t>
            </w:r>
          </w:p>
        </w:tc>
        <w:tc>
          <w:tcPr>
            <w:tcW w:w="619" w:type="pct"/>
            <w:vAlign w:val="center"/>
          </w:tcPr>
          <w:p w14:paraId="568BED8D" w14:textId="77777777" w:rsidR="004A10AE" w:rsidRPr="0057700A" w:rsidRDefault="004A10AE" w:rsidP="007947DB">
            <w:pPr>
              <w:kinsoku w:val="0"/>
              <w:wordWrap/>
              <w:overflowPunct w:val="0"/>
              <w:spacing w:after="0" w:line="240" w:lineRule="auto"/>
              <w:jc w:val="center"/>
              <w:rPr>
                <w:rFonts w:ascii="Times New Roman" w:eastAsia="Malgun Gothic" w:hAnsi="Times New Roman" w:cs="Times New Roman"/>
                <w:sz w:val="22"/>
                <w:lang w:val="en-GB"/>
              </w:rPr>
            </w:pPr>
            <w:r w:rsidRPr="0057700A">
              <w:rPr>
                <w:rFonts w:ascii="Times New Roman" w:eastAsia="Malgun Gothic" w:hAnsi="Times New Roman" w:cs="Times New Roman"/>
                <w:sz w:val="22"/>
                <w:lang w:val="en-GB"/>
              </w:rPr>
              <w:t>9 (41%)</w:t>
            </w:r>
          </w:p>
        </w:tc>
        <w:tc>
          <w:tcPr>
            <w:tcW w:w="621" w:type="pct"/>
            <w:vAlign w:val="center"/>
          </w:tcPr>
          <w:p w14:paraId="51250F91" w14:textId="77777777" w:rsidR="004A10AE" w:rsidRPr="0057700A" w:rsidRDefault="004A10AE" w:rsidP="007947DB">
            <w:pPr>
              <w:kinsoku w:val="0"/>
              <w:wordWrap/>
              <w:overflowPunct w:val="0"/>
              <w:spacing w:after="0" w:line="240" w:lineRule="auto"/>
              <w:jc w:val="center"/>
              <w:rPr>
                <w:rFonts w:ascii="Times New Roman" w:eastAsia="Malgun Gothic" w:hAnsi="Times New Roman" w:cs="Times New Roman"/>
                <w:sz w:val="22"/>
                <w:lang w:val="en-GB"/>
              </w:rPr>
            </w:pPr>
            <w:r w:rsidRPr="0057700A">
              <w:rPr>
                <w:rFonts w:ascii="Times New Roman" w:eastAsia="Malgun Gothic" w:hAnsi="Times New Roman" w:cs="Times New Roman"/>
                <w:sz w:val="22"/>
                <w:lang w:val="en-GB"/>
              </w:rPr>
              <w:t>12 (48%)</w:t>
            </w:r>
          </w:p>
        </w:tc>
        <w:tc>
          <w:tcPr>
            <w:tcW w:w="614" w:type="pct"/>
            <w:vAlign w:val="center"/>
          </w:tcPr>
          <w:p w14:paraId="15D3033F" w14:textId="77777777" w:rsidR="004A10AE" w:rsidRPr="0057700A" w:rsidRDefault="004A10AE" w:rsidP="007947DB">
            <w:pPr>
              <w:kinsoku w:val="0"/>
              <w:wordWrap/>
              <w:overflowPunct w:val="0"/>
              <w:spacing w:after="0" w:line="240" w:lineRule="auto"/>
              <w:jc w:val="center"/>
              <w:rPr>
                <w:rFonts w:ascii="Times New Roman" w:eastAsia="Malgun Gothic" w:hAnsi="Times New Roman" w:cs="Times New Roman"/>
                <w:sz w:val="22"/>
                <w:lang w:val="en-GB"/>
              </w:rPr>
            </w:pPr>
            <w:r w:rsidRPr="0057700A">
              <w:rPr>
                <w:rFonts w:ascii="Times New Roman" w:eastAsia="Malgun Gothic" w:hAnsi="Times New Roman" w:cs="Times New Roman"/>
                <w:sz w:val="22"/>
                <w:lang w:val="en-GB"/>
              </w:rPr>
              <w:t>0 (0%)</w:t>
            </w:r>
          </w:p>
        </w:tc>
        <w:tc>
          <w:tcPr>
            <w:tcW w:w="619" w:type="pct"/>
            <w:vAlign w:val="center"/>
          </w:tcPr>
          <w:p w14:paraId="5B304BFF" w14:textId="77777777" w:rsidR="004A10AE" w:rsidRPr="0057700A" w:rsidRDefault="004A10AE" w:rsidP="007947DB">
            <w:pPr>
              <w:kinsoku w:val="0"/>
              <w:wordWrap/>
              <w:overflowPunct w:val="0"/>
              <w:spacing w:after="0" w:line="240" w:lineRule="auto"/>
              <w:jc w:val="center"/>
              <w:rPr>
                <w:rFonts w:ascii="Times New Roman" w:eastAsia="Malgun Gothic" w:hAnsi="Times New Roman" w:cs="Times New Roman"/>
                <w:sz w:val="22"/>
                <w:lang w:val="en-GB"/>
              </w:rPr>
            </w:pPr>
            <w:r w:rsidRPr="0057700A">
              <w:rPr>
                <w:rFonts w:ascii="Times New Roman" w:eastAsia="Malgun Gothic" w:hAnsi="Times New Roman" w:cs="Times New Roman"/>
                <w:sz w:val="22"/>
                <w:lang w:val="en-GB"/>
              </w:rPr>
              <w:t>32 (39%)</w:t>
            </w:r>
          </w:p>
        </w:tc>
        <w:tc>
          <w:tcPr>
            <w:tcW w:w="620" w:type="pct"/>
            <w:vAlign w:val="center"/>
          </w:tcPr>
          <w:p w14:paraId="66E053BF" w14:textId="77777777" w:rsidR="004A10AE" w:rsidRPr="0057700A" w:rsidRDefault="004A10AE" w:rsidP="007947DB">
            <w:pPr>
              <w:kinsoku w:val="0"/>
              <w:wordWrap/>
              <w:overflowPunct w:val="0"/>
              <w:spacing w:after="0" w:line="240" w:lineRule="auto"/>
              <w:jc w:val="center"/>
              <w:rPr>
                <w:rFonts w:ascii="Times New Roman" w:eastAsia="Malgun Gothic" w:hAnsi="Times New Roman" w:cs="Times New Roman"/>
                <w:sz w:val="22"/>
                <w:lang w:val="en-GB"/>
              </w:rPr>
            </w:pPr>
            <w:r w:rsidRPr="0057700A">
              <w:rPr>
                <w:rFonts w:ascii="Times New Roman" w:eastAsia="Malgun Gothic" w:hAnsi="Times New Roman" w:cs="Times New Roman"/>
                <w:sz w:val="22"/>
                <w:lang w:val="en-GB"/>
              </w:rPr>
              <w:t>26 (43%)</w:t>
            </w:r>
          </w:p>
        </w:tc>
      </w:tr>
      <w:tr w:rsidR="004A10AE" w:rsidRPr="0057700A" w14:paraId="19549396" w14:textId="77777777" w:rsidTr="005A4B0D">
        <w:trPr>
          <w:cantSplit/>
        </w:trPr>
        <w:tc>
          <w:tcPr>
            <w:tcW w:w="752" w:type="pct"/>
          </w:tcPr>
          <w:p w14:paraId="7253996E" w14:textId="77777777" w:rsidR="004A10AE" w:rsidRPr="0057700A" w:rsidRDefault="004A10AE" w:rsidP="007947DB">
            <w:pPr>
              <w:kinsoku w:val="0"/>
              <w:wordWrap/>
              <w:overflowPunct w:val="0"/>
              <w:spacing w:after="0" w:line="240" w:lineRule="auto"/>
              <w:jc w:val="left"/>
              <w:rPr>
                <w:rFonts w:ascii="Times New Roman" w:eastAsia="Malgun Gothic" w:hAnsi="Times New Roman" w:cs="Times New Roman"/>
                <w:sz w:val="22"/>
                <w:vertAlign w:val="superscript"/>
                <w:lang w:val="en-GB"/>
              </w:rPr>
            </w:pPr>
            <w:r w:rsidRPr="0057700A">
              <w:rPr>
                <w:rFonts w:ascii="Times New Roman" w:eastAsia="Malgun Gothic" w:hAnsi="Times New Roman" w:cs="Times New Roman"/>
                <w:sz w:val="22"/>
                <w:lang w:val="en-GB"/>
              </w:rPr>
              <w:t>HAQ (% improvement from baseline)</w:t>
            </w:r>
            <w:r w:rsidRPr="0057700A">
              <w:rPr>
                <w:rFonts w:ascii="Times New Roman" w:eastAsia="Malgun Gothic" w:hAnsi="Times New Roman" w:cs="Times New Roman"/>
                <w:sz w:val="22"/>
                <w:vertAlign w:val="superscript"/>
                <w:lang w:val="en-GB"/>
              </w:rPr>
              <w:t>e</w:t>
            </w:r>
          </w:p>
        </w:tc>
        <w:tc>
          <w:tcPr>
            <w:tcW w:w="536" w:type="pct"/>
            <w:vAlign w:val="center"/>
          </w:tcPr>
          <w:p w14:paraId="0C31F48B" w14:textId="77777777" w:rsidR="004A10AE" w:rsidRPr="0057700A" w:rsidRDefault="004A10AE" w:rsidP="007947DB">
            <w:pPr>
              <w:kinsoku w:val="0"/>
              <w:wordWrap/>
              <w:overflowPunct w:val="0"/>
              <w:spacing w:after="0" w:line="240" w:lineRule="auto"/>
              <w:jc w:val="center"/>
              <w:rPr>
                <w:rFonts w:ascii="Times New Roman" w:eastAsia="Malgun Gothic" w:hAnsi="Times New Roman" w:cs="Times New Roman"/>
                <w:sz w:val="22"/>
                <w:lang w:val="en-GB"/>
              </w:rPr>
            </w:pPr>
          </w:p>
        </w:tc>
        <w:tc>
          <w:tcPr>
            <w:tcW w:w="619" w:type="pct"/>
            <w:vAlign w:val="center"/>
          </w:tcPr>
          <w:p w14:paraId="737F3B67" w14:textId="77777777" w:rsidR="004A10AE" w:rsidRPr="0057700A" w:rsidRDefault="004A10AE" w:rsidP="007947DB">
            <w:pPr>
              <w:kinsoku w:val="0"/>
              <w:wordWrap/>
              <w:overflowPunct w:val="0"/>
              <w:spacing w:after="0" w:line="240" w:lineRule="auto"/>
              <w:jc w:val="center"/>
              <w:rPr>
                <w:rFonts w:ascii="Times New Roman" w:eastAsia="Malgun Gothic" w:hAnsi="Times New Roman" w:cs="Times New Roman"/>
                <w:sz w:val="22"/>
                <w:lang w:val="en-GB"/>
              </w:rPr>
            </w:pPr>
          </w:p>
        </w:tc>
        <w:tc>
          <w:tcPr>
            <w:tcW w:w="619" w:type="pct"/>
            <w:vAlign w:val="center"/>
          </w:tcPr>
          <w:p w14:paraId="7316E67C" w14:textId="77777777" w:rsidR="004A10AE" w:rsidRPr="0057700A" w:rsidRDefault="004A10AE" w:rsidP="007947DB">
            <w:pPr>
              <w:kinsoku w:val="0"/>
              <w:wordWrap/>
              <w:overflowPunct w:val="0"/>
              <w:spacing w:after="0" w:line="240" w:lineRule="auto"/>
              <w:jc w:val="center"/>
              <w:rPr>
                <w:rFonts w:ascii="Times New Roman" w:eastAsia="Malgun Gothic" w:hAnsi="Times New Roman" w:cs="Times New Roman"/>
                <w:sz w:val="22"/>
                <w:lang w:val="en-GB"/>
              </w:rPr>
            </w:pPr>
          </w:p>
        </w:tc>
        <w:tc>
          <w:tcPr>
            <w:tcW w:w="621" w:type="pct"/>
            <w:vAlign w:val="center"/>
          </w:tcPr>
          <w:p w14:paraId="50951DDB" w14:textId="77777777" w:rsidR="004A10AE" w:rsidRPr="0057700A" w:rsidRDefault="004A10AE" w:rsidP="007947DB">
            <w:pPr>
              <w:kinsoku w:val="0"/>
              <w:wordWrap/>
              <w:overflowPunct w:val="0"/>
              <w:spacing w:after="0" w:line="240" w:lineRule="auto"/>
              <w:jc w:val="center"/>
              <w:rPr>
                <w:rFonts w:ascii="Times New Roman" w:eastAsia="Malgun Gothic" w:hAnsi="Times New Roman" w:cs="Times New Roman"/>
                <w:sz w:val="22"/>
                <w:lang w:val="en-GB"/>
              </w:rPr>
            </w:pPr>
          </w:p>
        </w:tc>
        <w:tc>
          <w:tcPr>
            <w:tcW w:w="614" w:type="pct"/>
            <w:vAlign w:val="center"/>
          </w:tcPr>
          <w:p w14:paraId="03A72950" w14:textId="77777777" w:rsidR="004A10AE" w:rsidRPr="0057700A" w:rsidRDefault="004A10AE" w:rsidP="007947DB">
            <w:pPr>
              <w:kinsoku w:val="0"/>
              <w:wordWrap/>
              <w:overflowPunct w:val="0"/>
              <w:spacing w:after="0" w:line="240" w:lineRule="auto"/>
              <w:jc w:val="center"/>
              <w:rPr>
                <w:rFonts w:ascii="Times New Roman" w:eastAsia="Malgun Gothic" w:hAnsi="Times New Roman" w:cs="Times New Roman"/>
                <w:sz w:val="22"/>
                <w:lang w:val="en-GB"/>
              </w:rPr>
            </w:pPr>
          </w:p>
        </w:tc>
        <w:tc>
          <w:tcPr>
            <w:tcW w:w="619" w:type="pct"/>
            <w:vAlign w:val="center"/>
          </w:tcPr>
          <w:p w14:paraId="3EE891DE" w14:textId="77777777" w:rsidR="004A10AE" w:rsidRPr="0057700A" w:rsidRDefault="004A10AE" w:rsidP="007947DB">
            <w:pPr>
              <w:kinsoku w:val="0"/>
              <w:wordWrap/>
              <w:overflowPunct w:val="0"/>
              <w:spacing w:after="0" w:line="240" w:lineRule="auto"/>
              <w:jc w:val="center"/>
              <w:rPr>
                <w:rFonts w:ascii="Times New Roman" w:eastAsia="Malgun Gothic" w:hAnsi="Times New Roman" w:cs="Times New Roman"/>
                <w:sz w:val="22"/>
                <w:lang w:val="en-GB"/>
              </w:rPr>
            </w:pPr>
          </w:p>
        </w:tc>
        <w:tc>
          <w:tcPr>
            <w:tcW w:w="620" w:type="pct"/>
            <w:vAlign w:val="center"/>
          </w:tcPr>
          <w:p w14:paraId="7B30C723" w14:textId="77777777" w:rsidR="004A10AE" w:rsidRPr="0057700A" w:rsidRDefault="004A10AE" w:rsidP="007947DB">
            <w:pPr>
              <w:kinsoku w:val="0"/>
              <w:wordWrap/>
              <w:overflowPunct w:val="0"/>
              <w:spacing w:after="0" w:line="240" w:lineRule="auto"/>
              <w:jc w:val="center"/>
              <w:rPr>
                <w:rFonts w:ascii="Times New Roman" w:eastAsia="Malgun Gothic" w:hAnsi="Times New Roman" w:cs="Times New Roman"/>
                <w:sz w:val="22"/>
                <w:lang w:val="en-GB"/>
              </w:rPr>
            </w:pPr>
          </w:p>
        </w:tc>
      </w:tr>
      <w:tr w:rsidR="004A10AE" w:rsidRPr="0057700A" w14:paraId="00643DC1" w14:textId="77777777" w:rsidTr="005A4B0D">
        <w:trPr>
          <w:cantSplit/>
        </w:trPr>
        <w:tc>
          <w:tcPr>
            <w:tcW w:w="752" w:type="pct"/>
          </w:tcPr>
          <w:p w14:paraId="5CAE9D5C" w14:textId="77777777" w:rsidR="004A10AE" w:rsidRPr="0057700A" w:rsidRDefault="004A10AE" w:rsidP="007947DB">
            <w:pPr>
              <w:kinsoku w:val="0"/>
              <w:wordWrap/>
              <w:overflowPunct w:val="0"/>
              <w:spacing w:after="0" w:line="240" w:lineRule="auto"/>
              <w:ind w:firstLineChars="50" w:firstLine="110"/>
              <w:jc w:val="left"/>
              <w:rPr>
                <w:rFonts w:ascii="Times New Roman" w:eastAsia="Malgun Gothic" w:hAnsi="Times New Roman" w:cs="Times New Roman"/>
                <w:sz w:val="22"/>
                <w:lang w:val="en-GB"/>
              </w:rPr>
            </w:pPr>
            <w:r w:rsidRPr="0057700A">
              <w:rPr>
                <w:rFonts w:ascii="Times New Roman" w:eastAsia="Malgun Gothic" w:hAnsi="Times New Roman" w:cs="Times New Roman"/>
                <w:sz w:val="22"/>
                <w:lang w:val="en-GB"/>
              </w:rPr>
              <w:t>N</w:t>
            </w:r>
          </w:p>
        </w:tc>
        <w:tc>
          <w:tcPr>
            <w:tcW w:w="536" w:type="pct"/>
            <w:vAlign w:val="center"/>
          </w:tcPr>
          <w:p w14:paraId="31D7B148" w14:textId="77777777" w:rsidR="004A10AE" w:rsidRPr="0057700A" w:rsidRDefault="004A10AE" w:rsidP="007947DB">
            <w:pPr>
              <w:kinsoku w:val="0"/>
              <w:wordWrap/>
              <w:overflowPunct w:val="0"/>
              <w:spacing w:after="0" w:line="240" w:lineRule="auto"/>
              <w:jc w:val="center"/>
              <w:rPr>
                <w:rFonts w:ascii="Times New Roman" w:eastAsia="Malgun Gothic" w:hAnsi="Times New Roman" w:cs="Times New Roman"/>
                <w:sz w:val="22"/>
                <w:lang w:val="en-GB"/>
              </w:rPr>
            </w:pPr>
            <w:r w:rsidRPr="0057700A">
              <w:rPr>
                <w:rFonts w:ascii="Times New Roman" w:eastAsia="Malgun Gothic" w:hAnsi="Times New Roman" w:cs="Times New Roman"/>
                <w:sz w:val="22"/>
                <w:lang w:val="en-GB"/>
              </w:rPr>
              <w:t>51</w:t>
            </w:r>
          </w:p>
        </w:tc>
        <w:tc>
          <w:tcPr>
            <w:tcW w:w="619" w:type="pct"/>
            <w:vAlign w:val="center"/>
          </w:tcPr>
          <w:p w14:paraId="3AB8EF59" w14:textId="77777777" w:rsidR="004A10AE" w:rsidRPr="0057700A" w:rsidRDefault="004A10AE" w:rsidP="007947DB">
            <w:pPr>
              <w:kinsoku w:val="0"/>
              <w:wordWrap/>
              <w:overflowPunct w:val="0"/>
              <w:spacing w:after="0" w:line="240" w:lineRule="auto"/>
              <w:jc w:val="center"/>
              <w:rPr>
                <w:rFonts w:ascii="Times New Roman" w:eastAsia="Malgun Gothic" w:hAnsi="Times New Roman" w:cs="Times New Roman"/>
                <w:sz w:val="22"/>
                <w:lang w:val="en-GB"/>
              </w:rPr>
            </w:pPr>
            <w:r w:rsidRPr="0057700A">
              <w:rPr>
                <w:rFonts w:ascii="Times New Roman" w:eastAsia="Malgun Gothic" w:hAnsi="Times New Roman" w:cs="Times New Roman"/>
                <w:sz w:val="22"/>
                <w:lang w:val="en-GB"/>
              </w:rPr>
              <w:t>51</w:t>
            </w:r>
          </w:p>
        </w:tc>
        <w:tc>
          <w:tcPr>
            <w:tcW w:w="619" w:type="pct"/>
            <w:vAlign w:val="center"/>
          </w:tcPr>
          <w:p w14:paraId="63C2FB27" w14:textId="77777777" w:rsidR="004A10AE" w:rsidRPr="0057700A" w:rsidRDefault="004A10AE" w:rsidP="007947DB">
            <w:pPr>
              <w:kinsoku w:val="0"/>
              <w:wordWrap/>
              <w:overflowPunct w:val="0"/>
              <w:spacing w:after="0" w:line="240" w:lineRule="auto"/>
              <w:jc w:val="center"/>
              <w:rPr>
                <w:rFonts w:ascii="Times New Roman" w:eastAsia="Malgun Gothic" w:hAnsi="Times New Roman" w:cs="Times New Roman"/>
                <w:sz w:val="22"/>
                <w:lang w:val="en-GB"/>
              </w:rPr>
            </w:pPr>
            <w:r w:rsidRPr="0057700A">
              <w:rPr>
                <w:rFonts w:ascii="Times New Roman" w:eastAsia="Malgun Gothic" w:hAnsi="Times New Roman" w:cs="Times New Roman"/>
                <w:sz w:val="22"/>
                <w:lang w:val="en-GB"/>
              </w:rPr>
              <w:t>48</w:t>
            </w:r>
          </w:p>
        </w:tc>
        <w:tc>
          <w:tcPr>
            <w:tcW w:w="621" w:type="pct"/>
            <w:vAlign w:val="center"/>
          </w:tcPr>
          <w:p w14:paraId="4A29EE7E" w14:textId="77777777" w:rsidR="004A10AE" w:rsidRPr="0057700A" w:rsidRDefault="004A10AE" w:rsidP="007947DB">
            <w:pPr>
              <w:kinsoku w:val="0"/>
              <w:wordWrap/>
              <w:overflowPunct w:val="0"/>
              <w:spacing w:after="0" w:line="240" w:lineRule="auto"/>
              <w:jc w:val="center"/>
              <w:rPr>
                <w:rFonts w:ascii="Times New Roman" w:eastAsia="Malgun Gothic" w:hAnsi="Times New Roman" w:cs="Times New Roman"/>
                <w:sz w:val="22"/>
                <w:lang w:val="en-GB"/>
              </w:rPr>
            </w:pPr>
            <w:r w:rsidRPr="0057700A">
              <w:rPr>
                <w:rFonts w:ascii="Times New Roman" w:eastAsia="Malgun Gothic" w:hAnsi="Times New Roman" w:cs="Times New Roman"/>
                <w:sz w:val="22"/>
                <w:lang w:val="en-GB"/>
              </w:rPr>
              <w:t>77</w:t>
            </w:r>
          </w:p>
        </w:tc>
        <w:tc>
          <w:tcPr>
            <w:tcW w:w="614" w:type="pct"/>
            <w:vAlign w:val="center"/>
          </w:tcPr>
          <w:p w14:paraId="45AF441F" w14:textId="77777777" w:rsidR="004A10AE" w:rsidRPr="0057700A" w:rsidRDefault="004A10AE" w:rsidP="007947DB">
            <w:pPr>
              <w:kinsoku w:val="0"/>
              <w:wordWrap/>
              <w:overflowPunct w:val="0"/>
              <w:spacing w:after="0" w:line="240" w:lineRule="auto"/>
              <w:jc w:val="center"/>
              <w:rPr>
                <w:rFonts w:ascii="Times New Roman" w:eastAsia="Malgun Gothic" w:hAnsi="Times New Roman" w:cs="Times New Roman"/>
                <w:sz w:val="22"/>
                <w:lang w:val="en-GB"/>
              </w:rPr>
            </w:pPr>
            <w:r w:rsidRPr="0057700A">
              <w:rPr>
                <w:rFonts w:ascii="Times New Roman" w:eastAsia="Malgun Gothic" w:hAnsi="Times New Roman" w:cs="Times New Roman"/>
                <w:sz w:val="22"/>
                <w:lang w:val="en-GB"/>
              </w:rPr>
              <w:t>95</w:t>
            </w:r>
          </w:p>
        </w:tc>
        <w:tc>
          <w:tcPr>
            <w:tcW w:w="619" w:type="pct"/>
            <w:vAlign w:val="center"/>
          </w:tcPr>
          <w:p w14:paraId="6FD525C3" w14:textId="77777777" w:rsidR="004A10AE" w:rsidRPr="0057700A" w:rsidRDefault="004A10AE" w:rsidP="007947DB">
            <w:pPr>
              <w:kinsoku w:val="0"/>
              <w:wordWrap/>
              <w:overflowPunct w:val="0"/>
              <w:spacing w:after="0" w:line="240" w:lineRule="auto"/>
              <w:jc w:val="center"/>
              <w:rPr>
                <w:rFonts w:ascii="Times New Roman" w:eastAsia="Malgun Gothic" w:hAnsi="Times New Roman" w:cs="Times New Roman"/>
                <w:sz w:val="22"/>
                <w:lang w:val="en-GB"/>
              </w:rPr>
            </w:pPr>
            <w:r w:rsidRPr="0057700A">
              <w:rPr>
                <w:rFonts w:ascii="Times New Roman" w:eastAsia="Malgun Gothic" w:hAnsi="Times New Roman" w:cs="Times New Roman"/>
                <w:sz w:val="22"/>
                <w:lang w:val="en-GB"/>
              </w:rPr>
              <w:t>94</w:t>
            </w:r>
          </w:p>
        </w:tc>
        <w:tc>
          <w:tcPr>
            <w:tcW w:w="620" w:type="pct"/>
            <w:vAlign w:val="center"/>
          </w:tcPr>
          <w:p w14:paraId="5F169523" w14:textId="77777777" w:rsidR="004A10AE" w:rsidRPr="0057700A" w:rsidRDefault="004A10AE" w:rsidP="007947DB">
            <w:pPr>
              <w:kinsoku w:val="0"/>
              <w:wordWrap/>
              <w:overflowPunct w:val="0"/>
              <w:spacing w:after="0" w:line="240" w:lineRule="auto"/>
              <w:jc w:val="center"/>
              <w:rPr>
                <w:rFonts w:ascii="Times New Roman" w:eastAsia="Malgun Gothic" w:hAnsi="Times New Roman" w:cs="Times New Roman"/>
                <w:sz w:val="22"/>
                <w:lang w:val="en-GB"/>
              </w:rPr>
            </w:pPr>
            <w:r w:rsidRPr="0057700A">
              <w:rPr>
                <w:rFonts w:ascii="Times New Roman" w:eastAsia="Malgun Gothic" w:hAnsi="Times New Roman" w:cs="Times New Roman"/>
                <w:sz w:val="22"/>
                <w:lang w:val="en-GB"/>
              </w:rPr>
              <w:t>76</w:t>
            </w:r>
          </w:p>
        </w:tc>
      </w:tr>
      <w:tr w:rsidR="004A10AE" w:rsidRPr="0057700A" w14:paraId="330142BA" w14:textId="77777777" w:rsidTr="005A4B0D">
        <w:trPr>
          <w:cantSplit/>
        </w:trPr>
        <w:tc>
          <w:tcPr>
            <w:tcW w:w="752" w:type="pct"/>
          </w:tcPr>
          <w:p w14:paraId="20A1C705" w14:textId="77777777" w:rsidR="004A10AE" w:rsidRPr="0057700A" w:rsidRDefault="004A10AE" w:rsidP="007947DB">
            <w:pPr>
              <w:kinsoku w:val="0"/>
              <w:wordWrap/>
              <w:overflowPunct w:val="0"/>
              <w:spacing w:after="0" w:line="240" w:lineRule="auto"/>
              <w:ind w:leftChars="100" w:left="200"/>
              <w:jc w:val="left"/>
              <w:rPr>
                <w:rFonts w:ascii="Times New Roman" w:eastAsia="Malgun Gothic" w:hAnsi="Times New Roman" w:cs="Times New Roman"/>
                <w:sz w:val="22"/>
                <w:lang w:val="en-GB"/>
              </w:rPr>
            </w:pPr>
            <w:r w:rsidRPr="0057700A">
              <w:rPr>
                <w:rFonts w:ascii="Times New Roman" w:eastAsia="Malgun Gothic" w:hAnsi="Times New Roman" w:cs="Times New Roman"/>
                <w:sz w:val="22"/>
                <w:lang w:val="en-GB"/>
              </w:rPr>
              <w:t>Mean (</w:t>
            </w:r>
            <w:r w:rsidRPr="0057700A">
              <w:rPr>
                <w:rFonts w:ascii="Times New Roman" w:eastAsia="Malgun Gothic" w:hAnsi="Times New Roman" w:cs="Times New Roman"/>
                <w:sz w:val="22"/>
                <w:u w:val="single"/>
                <w:lang w:val="en-GB"/>
              </w:rPr>
              <w:t>+</w:t>
            </w:r>
            <w:r w:rsidRPr="0057700A">
              <w:rPr>
                <w:rFonts w:ascii="Times New Roman" w:eastAsia="Malgun Gothic" w:hAnsi="Times New Roman" w:cs="Times New Roman"/>
                <w:sz w:val="22"/>
                <w:lang w:val="en-GB"/>
              </w:rPr>
              <w:t xml:space="preserve"> SD)*</w:t>
            </w:r>
          </w:p>
        </w:tc>
        <w:tc>
          <w:tcPr>
            <w:tcW w:w="536" w:type="pct"/>
            <w:vAlign w:val="center"/>
          </w:tcPr>
          <w:p w14:paraId="795CBD3E" w14:textId="77777777" w:rsidR="004A10AE" w:rsidRPr="0057700A" w:rsidRDefault="004A10AE" w:rsidP="007947DB">
            <w:pPr>
              <w:kinsoku w:val="0"/>
              <w:wordWrap/>
              <w:overflowPunct w:val="0"/>
              <w:spacing w:after="0" w:line="240" w:lineRule="auto"/>
              <w:jc w:val="center"/>
              <w:rPr>
                <w:rFonts w:ascii="Times New Roman" w:eastAsia="Malgun Gothic" w:hAnsi="Times New Roman" w:cs="Times New Roman"/>
                <w:sz w:val="22"/>
                <w:lang w:val="en-GB"/>
              </w:rPr>
            </w:pPr>
            <w:r w:rsidRPr="0057700A">
              <w:rPr>
                <w:rFonts w:ascii="Times New Roman" w:eastAsia="Malgun Gothic" w:hAnsi="Times New Roman" w:cs="Times New Roman"/>
                <w:sz w:val="22"/>
                <w:lang w:val="en-GB"/>
              </w:rPr>
              <w:t>-2%</w:t>
            </w:r>
          </w:p>
          <w:p w14:paraId="75D4E51D" w14:textId="77777777" w:rsidR="004A10AE" w:rsidRPr="0057700A" w:rsidRDefault="004A10AE" w:rsidP="007947DB">
            <w:pPr>
              <w:kinsoku w:val="0"/>
              <w:wordWrap/>
              <w:overflowPunct w:val="0"/>
              <w:spacing w:after="0" w:line="240" w:lineRule="auto"/>
              <w:jc w:val="center"/>
              <w:rPr>
                <w:rFonts w:ascii="Times New Roman" w:eastAsia="Malgun Gothic" w:hAnsi="Times New Roman" w:cs="Times New Roman"/>
                <w:sz w:val="22"/>
                <w:lang w:val="en-GB"/>
              </w:rPr>
            </w:pPr>
            <w:r w:rsidRPr="0057700A">
              <w:rPr>
                <w:rFonts w:ascii="Times New Roman" w:eastAsia="Malgun Gothic" w:hAnsi="Times New Roman" w:cs="Times New Roman"/>
                <w:sz w:val="22"/>
                <w:lang w:val="en-GB"/>
              </w:rPr>
              <w:t>(8)</w:t>
            </w:r>
          </w:p>
        </w:tc>
        <w:tc>
          <w:tcPr>
            <w:tcW w:w="619" w:type="pct"/>
            <w:vAlign w:val="center"/>
          </w:tcPr>
          <w:p w14:paraId="03667177" w14:textId="77777777" w:rsidR="004A10AE" w:rsidRPr="0057700A" w:rsidRDefault="004A10AE" w:rsidP="007947DB">
            <w:pPr>
              <w:kinsoku w:val="0"/>
              <w:wordWrap/>
              <w:overflowPunct w:val="0"/>
              <w:spacing w:after="0" w:line="240" w:lineRule="auto"/>
              <w:jc w:val="center"/>
              <w:rPr>
                <w:rFonts w:ascii="Times New Roman" w:eastAsia="Malgun Gothic" w:hAnsi="Times New Roman" w:cs="Times New Roman"/>
                <w:sz w:val="22"/>
                <w:lang w:val="en-GB"/>
              </w:rPr>
            </w:pPr>
            <w:r w:rsidRPr="0057700A">
              <w:rPr>
                <w:rFonts w:ascii="Times New Roman" w:eastAsia="Malgun Gothic" w:hAnsi="Times New Roman" w:cs="Times New Roman"/>
                <w:sz w:val="22"/>
                <w:lang w:val="en-GB"/>
              </w:rPr>
              <w:t>50%</w:t>
            </w:r>
          </w:p>
          <w:p w14:paraId="0C1B9350" w14:textId="77777777" w:rsidR="004A10AE" w:rsidRPr="0057700A" w:rsidRDefault="004A10AE" w:rsidP="007947DB">
            <w:pPr>
              <w:kinsoku w:val="0"/>
              <w:wordWrap/>
              <w:overflowPunct w:val="0"/>
              <w:spacing w:after="0" w:line="240" w:lineRule="auto"/>
              <w:jc w:val="center"/>
              <w:rPr>
                <w:rFonts w:ascii="Times New Roman" w:eastAsia="Malgun Gothic" w:hAnsi="Times New Roman" w:cs="Times New Roman"/>
                <w:sz w:val="22"/>
                <w:lang w:val="en-GB"/>
              </w:rPr>
            </w:pPr>
            <w:r w:rsidRPr="0057700A">
              <w:rPr>
                <w:rFonts w:ascii="Times New Roman" w:eastAsia="Malgun Gothic" w:hAnsi="Times New Roman" w:cs="Times New Roman"/>
                <w:sz w:val="22"/>
                <w:lang w:val="en-GB"/>
              </w:rPr>
              <w:t>(8)</w:t>
            </w:r>
          </w:p>
        </w:tc>
        <w:tc>
          <w:tcPr>
            <w:tcW w:w="619" w:type="pct"/>
            <w:vAlign w:val="center"/>
          </w:tcPr>
          <w:p w14:paraId="18EF1691" w14:textId="77777777" w:rsidR="004A10AE" w:rsidRPr="0057700A" w:rsidRDefault="004A10AE" w:rsidP="007947DB">
            <w:pPr>
              <w:kinsoku w:val="0"/>
              <w:wordWrap/>
              <w:overflowPunct w:val="0"/>
              <w:spacing w:after="0" w:line="240" w:lineRule="auto"/>
              <w:jc w:val="center"/>
              <w:rPr>
                <w:rFonts w:ascii="Times New Roman" w:eastAsia="Malgun Gothic" w:hAnsi="Times New Roman" w:cs="Times New Roman"/>
                <w:sz w:val="22"/>
                <w:lang w:val="en-GB"/>
              </w:rPr>
            </w:pPr>
            <w:r w:rsidRPr="0057700A">
              <w:rPr>
                <w:rFonts w:ascii="Times New Roman" w:eastAsia="Malgun Gothic" w:hAnsi="Times New Roman" w:cs="Times New Roman"/>
                <w:sz w:val="22"/>
                <w:lang w:val="en-GB"/>
              </w:rPr>
              <w:t>43%</w:t>
            </w:r>
          </w:p>
          <w:p w14:paraId="27417C7D" w14:textId="77777777" w:rsidR="004A10AE" w:rsidRPr="0057700A" w:rsidRDefault="004A10AE" w:rsidP="007947DB">
            <w:pPr>
              <w:kinsoku w:val="0"/>
              <w:wordWrap/>
              <w:overflowPunct w:val="0"/>
              <w:spacing w:after="0" w:line="240" w:lineRule="auto"/>
              <w:jc w:val="center"/>
              <w:rPr>
                <w:rFonts w:ascii="Times New Roman" w:eastAsia="Malgun Gothic" w:hAnsi="Times New Roman" w:cs="Times New Roman"/>
                <w:sz w:val="22"/>
                <w:lang w:val="en-GB"/>
              </w:rPr>
            </w:pPr>
            <w:r w:rsidRPr="0057700A">
              <w:rPr>
                <w:rFonts w:ascii="Times New Roman" w:eastAsia="Malgun Gothic" w:hAnsi="Times New Roman" w:cs="Times New Roman"/>
                <w:sz w:val="22"/>
                <w:lang w:val="en-GB"/>
              </w:rPr>
              <w:t>(9)</w:t>
            </w:r>
          </w:p>
        </w:tc>
        <w:tc>
          <w:tcPr>
            <w:tcW w:w="621" w:type="pct"/>
            <w:vAlign w:val="center"/>
          </w:tcPr>
          <w:p w14:paraId="165189A6" w14:textId="77777777" w:rsidR="004A10AE" w:rsidRPr="0057700A" w:rsidRDefault="004A10AE" w:rsidP="007947DB">
            <w:pPr>
              <w:kinsoku w:val="0"/>
              <w:wordWrap/>
              <w:overflowPunct w:val="0"/>
              <w:spacing w:after="0" w:line="240" w:lineRule="auto"/>
              <w:jc w:val="center"/>
              <w:rPr>
                <w:rFonts w:ascii="Times New Roman" w:eastAsia="Malgun Gothic" w:hAnsi="Times New Roman" w:cs="Times New Roman"/>
                <w:sz w:val="22"/>
                <w:lang w:val="en-GB"/>
              </w:rPr>
            </w:pPr>
            <w:r w:rsidRPr="0057700A">
              <w:rPr>
                <w:rFonts w:ascii="Times New Roman" w:eastAsia="Malgun Gothic" w:hAnsi="Times New Roman" w:cs="Times New Roman"/>
                <w:sz w:val="22"/>
                <w:lang w:val="en-GB"/>
              </w:rPr>
              <w:t>38%</w:t>
            </w:r>
          </w:p>
          <w:p w14:paraId="511A6EA9" w14:textId="77777777" w:rsidR="004A10AE" w:rsidRPr="0057700A" w:rsidRDefault="004A10AE" w:rsidP="007947DB">
            <w:pPr>
              <w:kinsoku w:val="0"/>
              <w:wordWrap/>
              <w:overflowPunct w:val="0"/>
              <w:spacing w:after="0" w:line="240" w:lineRule="auto"/>
              <w:jc w:val="center"/>
              <w:rPr>
                <w:rFonts w:ascii="Times New Roman" w:eastAsia="Malgun Gothic" w:hAnsi="Times New Roman" w:cs="Times New Roman"/>
                <w:sz w:val="22"/>
                <w:lang w:val="en-GB"/>
              </w:rPr>
            </w:pPr>
            <w:r w:rsidRPr="0057700A">
              <w:rPr>
                <w:rFonts w:ascii="Times New Roman" w:eastAsia="Malgun Gothic" w:hAnsi="Times New Roman" w:cs="Times New Roman"/>
                <w:sz w:val="22"/>
                <w:lang w:val="en-GB"/>
              </w:rPr>
              <w:t>(72)</w:t>
            </w:r>
          </w:p>
        </w:tc>
        <w:tc>
          <w:tcPr>
            <w:tcW w:w="614" w:type="pct"/>
            <w:vAlign w:val="center"/>
          </w:tcPr>
          <w:p w14:paraId="7E141C90" w14:textId="77777777" w:rsidR="004A10AE" w:rsidRPr="0057700A" w:rsidRDefault="004A10AE" w:rsidP="007947DB">
            <w:pPr>
              <w:kinsoku w:val="0"/>
              <w:wordWrap/>
              <w:overflowPunct w:val="0"/>
              <w:spacing w:after="0" w:line="240" w:lineRule="auto"/>
              <w:jc w:val="center"/>
              <w:rPr>
                <w:rFonts w:ascii="Times New Roman" w:eastAsia="Malgun Gothic" w:hAnsi="Times New Roman" w:cs="Times New Roman"/>
                <w:sz w:val="22"/>
                <w:lang w:val="en-GB"/>
              </w:rPr>
            </w:pPr>
            <w:r w:rsidRPr="0057700A">
              <w:rPr>
                <w:rFonts w:ascii="Times New Roman" w:eastAsia="Malgun Gothic" w:hAnsi="Times New Roman" w:cs="Times New Roman"/>
                <w:sz w:val="22"/>
                <w:lang w:val="en-GB"/>
              </w:rPr>
              <w:t>-19%</w:t>
            </w:r>
          </w:p>
          <w:p w14:paraId="6498B1FA" w14:textId="77777777" w:rsidR="004A10AE" w:rsidRPr="0057700A" w:rsidRDefault="004A10AE" w:rsidP="007947DB">
            <w:pPr>
              <w:kinsoku w:val="0"/>
              <w:wordWrap/>
              <w:overflowPunct w:val="0"/>
              <w:spacing w:after="0" w:line="240" w:lineRule="auto"/>
              <w:jc w:val="center"/>
              <w:rPr>
                <w:rFonts w:ascii="Times New Roman" w:eastAsia="Malgun Gothic" w:hAnsi="Times New Roman" w:cs="Times New Roman"/>
                <w:sz w:val="22"/>
                <w:lang w:val="en-GB"/>
              </w:rPr>
            </w:pPr>
            <w:r w:rsidRPr="0057700A">
              <w:rPr>
                <w:rFonts w:ascii="Times New Roman" w:eastAsia="Malgun Gothic" w:hAnsi="Times New Roman" w:cs="Times New Roman"/>
                <w:sz w:val="22"/>
                <w:lang w:val="en-GB"/>
              </w:rPr>
              <w:t>(103)</w:t>
            </w:r>
          </w:p>
        </w:tc>
        <w:tc>
          <w:tcPr>
            <w:tcW w:w="619" w:type="pct"/>
            <w:vAlign w:val="center"/>
          </w:tcPr>
          <w:p w14:paraId="50F0B2CA" w14:textId="77777777" w:rsidR="004A10AE" w:rsidRPr="0057700A" w:rsidRDefault="004A10AE" w:rsidP="007947DB">
            <w:pPr>
              <w:kinsoku w:val="0"/>
              <w:wordWrap/>
              <w:overflowPunct w:val="0"/>
              <w:spacing w:after="0" w:line="240" w:lineRule="auto"/>
              <w:jc w:val="center"/>
              <w:rPr>
                <w:rFonts w:ascii="Times New Roman" w:eastAsia="Malgun Gothic" w:hAnsi="Times New Roman" w:cs="Times New Roman"/>
                <w:sz w:val="22"/>
                <w:lang w:val="en-GB"/>
              </w:rPr>
            </w:pPr>
            <w:r w:rsidRPr="0057700A">
              <w:rPr>
                <w:rFonts w:ascii="Times New Roman" w:eastAsia="Malgun Gothic" w:hAnsi="Times New Roman" w:cs="Times New Roman"/>
                <w:sz w:val="22"/>
                <w:lang w:val="en-GB"/>
              </w:rPr>
              <w:t>46%</w:t>
            </w:r>
          </w:p>
          <w:p w14:paraId="3D07C999" w14:textId="77777777" w:rsidR="004A10AE" w:rsidRPr="0057700A" w:rsidRDefault="004A10AE" w:rsidP="007947DB">
            <w:pPr>
              <w:kinsoku w:val="0"/>
              <w:wordWrap/>
              <w:overflowPunct w:val="0"/>
              <w:spacing w:after="0" w:line="240" w:lineRule="auto"/>
              <w:jc w:val="center"/>
              <w:rPr>
                <w:rFonts w:ascii="Times New Roman" w:eastAsia="Malgun Gothic" w:hAnsi="Times New Roman" w:cs="Times New Roman"/>
                <w:sz w:val="22"/>
                <w:lang w:val="en-GB"/>
              </w:rPr>
            </w:pPr>
            <w:r w:rsidRPr="0057700A">
              <w:rPr>
                <w:rFonts w:ascii="Times New Roman" w:eastAsia="Malgun Gothic" w:hAnsi="Times New Roman" w:cs="Times New Roman"/>
                <w:sz w:val="22"/>
                <w:lang w:val="en-GB"/>
              </w:rPr>
              <w:t>(42)</w:t>
            </w:r>
          </w:p>
        </w:tc>
        <w:tc>
          <w:tcPr>
            <w:tcW w:w="620" w:type="pct"/>
            <w:vAlign w:val="center"/>
          </w:tcPr>
          <w:p w14:paraId="6ECDC0BB" w14:textId="77777777" w:rsidR="004A10AE" w:rsidRPr="0057700A" w:rsidRDefault="004A10AE" w:rsidP="007947DB">
            <w:pPr>
              <w:kinsoku w:val="0"/>
              <w:wordWrap/>
              <w:overflowPunct w:val="0"/>
              <w:spacing w:after="0" w:line="240" w:lineRule="auto"/>
              <w:jc w:val="center"/>
              <w:rPr>
                <w:rFonts w:ascii="Times New Roman" w:eastAsia="Malgun Gothic" w:hAnsi="Times New Roman" w:cs="Times New Roman"/>
                <w:sz w:val="22"/>
                <w:lang w:val="en-GB"/>
              </w:rPr>
            </w:pPr>
            <w:r w:rsidRPr="0057700A">
              <w:rPr>
                <w:rFonts w:ascii="Times New Roman" w:eastAsia="Malgun Gothic" w:hAnsi="Times New Roman" w:cs="Times New Roman"/>
                <w:sz w:val="22"/>
                <w:lang w:val="en-GB"/>
              </w:rPr>
              <w:t>43%</w:t>
            </w:r>
          </w:p>
          <w:p w14:paraId="6667B114" w14:textId="77777777" w:rsidR="004A10AE" w:rsidRPr="0057700A" w:rsidRDefault="004A10AE" w:rsidP="007947DB">
            <w:pPr>
              <w:kinsoku w:val="0"/>
              <w:wordWrap/>
              <w:overflowPunct w:val="0"/>
              <w:spacing w:after="0" w:line="240" w:lineRule="auto"/>
              <w:jc w:val="center"/>
              <w:rPr>
                <w:rFonts w:ascii="Times New Roman" w:eastAsia="Malgun Gothic" w:hAnsi="Times New Roman" w:cs="Times New Roman"/>
                <w:sz w:val="22"/>
                <w:lang w:val="en-GB"/>
              </w:rPr>
            </w:pPr>
            <w:r w:rsidRPr="0057700A">
              <w:rPr>
                <w:rFonts w:ascii="Times New Roman" w:eastAsia="Malgun Gothic" w:hAnsi="Times New Roman" w:cs="Times New Roman"/>
                <w:sz w:val="22"/>
                <w:lang w:val="en-GB"/>
              </w:rPr>
              <w:t>(96)</w:t>
            </w:r>
          </w:p>
        </w:tc>
      </w:tr>
    </w:tbl>
    <w:p w14:paraId="5269BA14" w14:textId="77777777" w:rsidR="004A10AE" w:rsidRPr="0025669D" w:rsidRDefault="004A10AE" w:rsidP="007947DB">
      <w:pPr>
        <w:pStyle w:val="NoSpacing"/>
        <w:jc w:val="left"/>
        <w:rPr>
          <w:rFonts w:ascii="Times New Roman" w:eastAsia="Malgun Gothic" w:hAnsi="Times New Roman" w:cs="Times New Roman"/>
          <w:szCs w:val="20"/>
          <w:lang w:val="en-GB"/>
        </w:rPr>
      </w:pPr>
      <w:proofErr w:type="spellStart"/>
      <w:proofErr w:type="gramStart"/>
      <w:r w:rsidRPr="0025669D">
        <w:rPr>
          <w:rFonts w:ascii="Times New Roman" w:eastAsia="Malgun Gothic" w:hAnsi="Times New Roman" w:cs="Times New Roman"/>
          <w:szCs w:val="20"/>
          <w:vertAlign w:val="superscript"/>
          <w:lang w:val="en-GB"/>
        </w:rPr>
        <w:t>a</w:t>
      </w:r>
      <w:r w:rsidRPr="0025669D">
        <w:rPr>
          <w:rFonts w:ascii="Times New Roman" w:eastAsia="Malgun Gothic" w:hAnsi="Times New Roman" w:cs="Times New Roman"/>
          <w:szCs w:val="20"/>
          <w:lang w:val="en-GB"/>
        </w:rPr>
        <w:t>Week</w:t>
      </w:r>
      <w:proofErr w:type="spellEnd"/>
      <w:proofErr w:type="gramEnd"/>
      <w:r w:rsidRPr="0025669D">
        <w:rPr>
          <w:rFonts w:ascii="Times New Roman" w:eastAsia="Malgun Gothic" w:hAnsi="Times New Roman" w:cs="Times New Roman"/>
          <w:szCs w:val="20"/>
          <w:lang w:val="en-GB"/>
        </w:rPr>
        <w:t xml:space="preserve"> 98 data for IMPACT includes combined placebo crossover and infliximab patients who entered the open-label extension</w:t>
      </w:r>
    </w:p>
    <w:p w14:paraId="3D14694F" w14:textId="77777777" w:rsidR="004A10AE" w:rsidRPr="0025669D" w:rsidRDefault="004A10AE" w:rsidP="007947DB">
      <w:pPr>
        <w:pStyle w:val="NoSpacing"/>
        <w:jc w:val="left"/>
        <w:rPr>
          <w:rFonts w:ascii="Times New Roman" w:eastAsia="Malgun Gothic" w:hAnsi="Times New Roman" w:cs="Times New Roman"/>
          <w:szCs w:val="20"/>
          <w:lang w:val="en-GB"/>
        </w:rPr>
      </w:pPr>
      <w:proofErr w:type="spellStart"/>
      <w:proofErr w:type="gramStart"/>
      <w:r w:rsidRPr="0025669D">
        <w:rPr>
          <w:rFonts w:ascii="Times New Roman" w:eastAsia="Malgun Gothic" w:hAnsi="Times New Roman" w:cs="Times New Roman"/>
          <w:szCs w:val="20"/>
          <w:vertAlign w:val="superscript"/>
          <w:lang w:val="en-GB"/>
        </w:rPr>
        <w:t>b</w:t>
      </w:r>
      <w:r w:rsidRPr="0025669D">
        <w:rPr>
          <w:rFonts w:ascii="Times New Roman" w:eastAsia="Malgun Gothic" w:hAnsi="Times New Roman" w:cs="Times New Roman"/>
          <w:szCs w:val="20"/>
          <w:lang w:val="en-GB"/>
        </w:rPr>
        <w:t>Based</w:t>
      </w:r>
      <w:proofErr w:type="spellEnd"/>
      <w:proofErr w:type="gramEnd"/>
      <w:r w:rsidRPr="0025669D">
        <w:rPr>
          <w:rFonts w:ascii="Times New Roman" w:eastAsia="Malgun Gothic" w:hAnsi="Times New Roman" w:cs="Times New Roman"/>
          <w:szCs w:val="20"/>
          <w:lang w:val="en-GB"/>
        </w:rPr>
        <w:t xml:space="preserve"> on patients with PASI </w:t>
      </w:r>
      <w:r w:rsidRPr="0025669D">
        <w:rPr>
          <w:rFonts w:ascii="Times New Roman" w:eastAsia="Malgun Gothic" w:hAnsi="Times New Roman" w:cs="Times New Roman"/>
          <w:szCs w:val="20"/>
          <w:u w:val="single"/>
          <w:lang w:val="en-GB"/>
        </w:rPr>
        <w:t>&gt;</w:t>
      </w:r>
      <w:r w:rsidRPr="0025669D">
        <w:rPr>
          <w:rFonts w:ascii="Times New Roman" w:eastAsia="Malgun Gothic" w:hAnsi="Times New Roman" w:cs="Times New Roman"/>
          <w:szCs w:val="20"/>
          <w:lang w:val="en-GB"/>
        </w:rPr>
        <w:t xml:space="preserve">2.5 at baseline for IMPACT, and patients with </w:t>
      </w:r>
      <w:r w:rsidRPr="0025669D">
        <w:rPr>
          <w:rFonts w:ascii="Times New Roman" w:eastAsia="Malgun Gothic" w:hAnsi="Times New Roman" w:cs="Times New Roman"/>
          <w:szCs w:val="20"/>
          <w:u w:val="single"/>
          <w:lang w:val="en-GB"/>
        </w:rPr>
        <w:t>&gt;</w:t>
      </w:r>
      <w:r w:rsidRPr="0025669D">
        <w:rPr>
          <w:rFonts w:ascii="Times New Roman" w:eastAsia="Malgun Gothic" w:hAnsi="Times New Roman" w:cs="Times New Roman"/>
          <w:szCs w:val="20"/>
          <w:lang w:val="en-GB"/>
        </w:rPr>
        <w:t>3% BSA psoriasis skin involvement at baseline in IMPACT 2</w:t>
      </w:r>
    </w:p>
    <w:p w14:paraId="5318BF95" w14:textId="77777777" w:rsidR="004A10AE" w:rsidRPr="0025669D" w:rsidRDefault="004A10AE" w:rsidP="007947DB">
      <w:pPr>
        <w:pStyle w:val="NoSpacing"/>
        <w:jc w:val="left"/>
        <w:rPr>
          <w:rFonts w:ascii="Times New Roman" w:eastAsia="Malgun Gothic" w:hAnsi="Times New Roman" w:cs="Times New Roman"/>
          <w:szCs w:val="20"/>
          <w:lang w:val="en-GB"/>
        </w:rPr>
      </w:pPr>
      <w:proofErr w:type="spellStart"/>
      <w:proofErr w:type="gramStart"/>
      <w:r w:rsidRPr="0025669D">
        <w:rPr>
          <w:rFonts w:ascii="Times New Roman" w:eastAsia="Malgun Gothic" w:hAnsi="Times New Roman" w:cs="Times New Roman"/>
          <w:szCs w:val="20"/>
          <w:vertAlign w:val="superscript"/>
          <w:lang w:val="en-GB"/>
        </w:rPr>
        <w:t>e</w:t>
      </w:r>
      <w:r w:rsidRPr="0025669D">
        <w:rPr>
          <w:rFonts w:ascii="Times New Roman" w:eastAsia="Malgun Gothic" w:hAnsi="Times New Roman" w:cs="Times New Roman"/>
          <w:szCs w:val="20"/>
          <w:lang w:val="en-GB"/>
        </w:rPr>
        <w:t>HAQ</w:t>
      </w:r>
      <w:proofErr w:type="spellEnd"/>
      <w:r w:rsidRPr="0025669D">
        <w:rPr>
          <w:rFonts w:ascii="Times New Roman" w:eastAsia="Malgun Gothic" w:hAnsi="Times New Roman" w:cs="Times New Roman"/>
          <w:szCs w:val="20"/>
          <w:lang w:val="en-GB"/>
        </w:rPr>
        <w:t>=</w:t>
      </w:r>
      <w:proofErr w:type="gramEnd"/>
      <w:r w:rsidRPr="0025669D">
        <w:rPr>
          <w:rFonts w:ascii="Times New Roman" w:eastAsia="Malgun Gothic" w:hAnsi="Times New Roman" w:cs="Times New Roman"/>
          <w:szCs w:val="20"/>
          <w:lang w:val="en-GB"/>
        </w:rPr>
        <w:t>Health Assessment Questionnaire</w:t>
      </w:r>
    </w:p>
    <w:p w14:paraId="777AA6B2" w14:textId="77777777" w:rsidR="004A10AE" w:rsidRPr="0025669D" w:rsidRDefault="004A10AE" w:rsidP="007947DB">
      <w:pPr>
        <w:pStyle w:val="NoSpacing"/>
        <w:jc w:val="left"/>
        <w:rPr>
          <w:rFonts w:ascii="Times New Roman" w:eastAsia="Malgun Gothic" w:hAnsi="Times New Roman" w:cs="Times New Roman"/>
          <w:szCs w:val="20"/>
          <w:lang w:val="en-GB"/>
        </w:rPr>
      </w:pPr>
      <w:r w:rsidRPr="0025669D">
        <w:rPr>
          <w:rFonts w:ascii="Times New Roman" w:eastAsia="Malgun Gothic" w:hAnsi="Times New Roman" w:cs="Times New Roman"/>
          <w:szCs w:val="20"/>
          <w:lang w:val="en-GB"/>
        </w:rPr>
        <w:t>*p</w:t>
      </w:r>
      <w:r w:rsidRPr="0025669D">
        <w:rPr>
          <w:rFonts w:ascii="Times New Roman" w:eastAsia="Malgun Gothic" w:hAnsi="Times New Roman" w:cs="Times New Roman"/>
          <w:szCs w:val="20"/>
          <w:u w:val="single"/>
          <w:lang w:val="en-GB"/>
        </w:rPr>
        <w:t>&lt;</w:t>
      </w:r>
      <w:r w:rsidRPr="0025669D">
        <w:rPr>
          <w:rFonts w:ascii="Times New Roman" w:eastAsia="Malgun Gothic" w:hAnsi="Times New Roman" w:cs="Times New Roman"/>
          <w:szCs w:val="20"/>
          <w:lang w:val="en-GB"/>
        </w:rPr>
        <w:t>0.01for infliximab vs. placebo at week 16 in IMPACT; p&lt;0.001 for infliximab vs. placebo at week 24 for IMPACT 2</w:t>
      </w:r>
    </w:p>
    <w:p w14:paraId="3759E643" w14:textId="77777777" w:rsidR="004A10AE" w:rsidRDefault="004A10AE" w:rsidP="007947DB">
      <w:pPr>
        <w:spacing w:line="240" w:lineRule="auto"/>
        <w:jc w:val="left"/>
        <w:rPr>
          <w:rFonts w:ascii="Times New Roman" w:eastAsia="Malgun Gothic" w:hAnsi="Times New Roman" w:cs="Times New Roman"/>
          <w:sz w:val="24"/>
          <w:szCs w:val="24"/>
        </w:rPr>
      </w:pPr>
    </w:p>
    <w:p w14:paraId="0EE36BE3" w14:textId="77777777" w:rsidR="004A10AE" w:rsidRPr="0025669D" w:rsidRDefault="004A10AE" w:rsidP="007947DB">
      <w:pPr>
        <w:spacing w:line="240" w:lineRule="auto"/>
        <w:jc w:val="left"/>
        <w:rPr>
          <w:rFonts w:ascii="Times New Roman" w:eastAsia="Malgun Gothic" w:hAnsi="Times New Roman" w:cs="Times New Roman"/>
          <w:sz w:val="24"/>
          <w:szCs w:val="24"/>
        </w:rPr>
      </w:pPr>
      <w:r w:rsidRPr="0025669D">
        <w:rPr>
          <w:rFonts w:ascii="Times New Roman" w:eastAsia="Malgun Gothic" w:hAnsi="Times New Roman" w:cs="Times New Roman"/>
          <w:sz w:val="24"/>
          <w:szCs w:val="24"/>
        </w:rPr>
        <w:t xml:space="preserve">In IMPACT and IMPACT 2, clinical responses were observed as early as week 2 and were maintained through week 98 and week 54 respectively. The responses were similar regardless of concomitant use of methotrexate. </w:t>
      </w:r>
    </w:p>
    <w:p w14:paraId="45AEAB3F" w14:textId="77777777" w:rsidR="004A10AE" w:rsidRPr="0025669D" w:rsidRDefault="004A10AE" w:rsidP="007947DB">
      <w:pPr>
        <w:spacing w:line="240" w:lineRule="auto"/>
        <w:jc w:val="left"/>
        <w:rPr>
          <w:rFonts w:ascii="Times New Roman" w:eastAsia="Malgun Gothic" w:hAnsi="Times New Roman" w:cs="Times New Roman"/>
          <w:sz w:val="24"/>
          <w:szCs w:val="24"/>
        </w:rPr>
      </w:pPr>
      <w:r w:rsidRPr="0025669D">
        <w:rPr>
          <w:rFonts w:ascii="Times New Roman" w:eastAsia="Malgun Gothic" w:hAnsi="Times New Roman" w:cs="Times New Roman"/>
          <w:sz w:val="24"/>
          <w:szCs w:val="24"/>
        </w:rPr>
        <w:lastRenderedPageBreak/>
        <w:t xml:space="preserve">Treatment with infliximab also resulted in significant improvements in measures of disease activity, including swollen joints, tender joints, </w:t>
      </w:r>
      <w:proofErr w:type="spellStart"/>
      <w:r w:rsidRPr="0025669D">
        <w:rPr>
          <w:rFonts w:ascii="Times New Roman" w:eastAsia="Malgun Gothic" w:hAnsi="Times New Roman" w:cs="Times New Roman"/>
          <w:sz w:val="24"/>
          <w:szCs w:val="24"/>
        </w:rPr>
        <w:t>dactylitis</w:t>
      </w:r>
      <w:proofErr w:type="spellEnd"/>
      <w:r w:rsidRPr="0025669D">
        <w:rPr>
          <w:rFonts w:ascii="Times New Roman" w:eastAsia="Malgun Gothic" w:hAnsi="Times New Roman" w:cs="Times New Roman"/>
          <w:sz w:val="24"/>
          <w:szCs w:val="24"/>
        </w:rPr>
        <w:t xml:space="preserve">, and </w:t>
      </w:r>
      <w:proofErr w:type="spellStart"/>
      <w:r w:rsidRPr="0025669D">
        <w:rPr>
          <w:rFonts w:ascii="Times New Roman" w:eastAsia="Malgun Gothic" w:hAnsi="Times New Roman" w:cs="Times New Roman"/>
          <w:sz w:val="24"/>
          <w:szCs w:val="24"/>
        </w:rPr>
        <w:t>enthesopathy</w:t>
      </w:r>
      <w:proofErr w:type="spellEnd"/>
      <w:r w:rsidRPr="0025669D">
        <w:rPr>
          <w:rFonts w:ascii="Times New Roman" w:eastAsia="Malgun Gothic" w:hAnsi="Times New Roman" w:cs="Times New Roman"/>
          <w:sz w:val="24"/>
          <w:szCs w:val="24"/>
        </w:rPr>
        <w:t xml:space="preserve"> as compared to placebo in both trials. </w:t>
      </w:r>
    </w:p>
    <w:p w14:paraId="58EC6A2D" w14:textId="77777777" w:rsidR="004A10AE" w:rsidRPr="0025669D" w:rsidRDefault="004A10AE" w:rsidP="007947DB">
      <w:pPr>
        <w:spacing w:line="240" w:lineRule="auto"/>
        <w:jc w:val="left"/>
        <w:rPr>
          <w:rFonts w:ascii="Times New Roman" w:eastAsia="Malgun Gothic" w:hAnsi="Times New Roman" w:cs="Times New Roman"/>
          <w:sz w:val="24"/>
          <w:szCs w:val="24"/>
        </w:rPr>
      </w:pPr>
      <w:r w:rsidRPr="0025669D">
        <w:rPr>
          <w:rFonts w:ascii="Times New Roman" w:eastAsia="Malgun Gothic" w:hAnsi="Times New Roman" w:cs="Times New Roman"/>
          <w:sz w:val="24"/>
          <w:szCs w:val="24"/>
        </w:rPr>
        <w:t xml:space="preserve">In the IMPACT and IMPACT 2 studies, 31% and 12% respectively of patients </w:t>
      </w:r>
      <w:proofErr w:type="spellStart"/>
      <w:r w:rsidRPr="0025669D">
        <w:rPr>
          <w:rFonts w:ascii="Times New Roman" w:eastAsia="Malgun Gothic" w:hAnsi="Times New Roman" w:cs="Times New Roman"/>
          <w:sz w:val="24"/>
          <w:szCs w:val="24"/>
        </w:rPr>
        <w:t>randomised</w:t>
      </w:r>
      <w:proofErr w:type="spellEnd"/>
      <w:r w:rsidRPr="0025669D">
        <w:rPr>
          <w:rFonts w:ascii="Times New Roman" w:eastAsia="Malgun Gothic" w:hAnsi="Times New Roman" w:cs="Times New Roman"/>
          <w:sz w:val="24"/>
          <w:szCs w:val="24"/>
        </w:rPr>
        <w:t xml:space="preserve"> to infliximab at baseline achieved a major clinical response (defined as achieving an ACR70 response at all visits for a continuous 24-week period) at week 98 and week 54 respectively. In contrast, 0% of patients in the placebo group in IMPACT (p&lt;0.001) and 2% of patients in the placebo group in IMPACT 2 (p=0.006) achieved an ACR70 response at the last visit before receiving infliximab therapy. </w:t>
      </w:r>
    </w:p>
    <w:p w14:paraId="00B21578" w14:textId="77777777" w:rsidR="004A10AE" w:rsidRPr="0025669D" w:rsidRDefault="004A10AE" w:rsidP="007947DB">
      <w:pPr>
        <w:spacing w:line="240" w:lineRule="auto"/>
        <w:jc w:val="left"/>
        <w:rPr>
          <w:rFonts w:ascii="Times New Roman" w:eastAsia="Malgun Gothic" w:hAnsi="Times New Roman" w:cs="Times New Roman"/>
          <w:sz w:val="24"/>
          <w:szCs w:val="24"/>
        </w:rPr>
      </w:pPr>
      <w:r w:rsidRPr="0025669D">
        <w:rPr>
          <w:rFonts w:ascii="Times New Roman" w:eastAsia="Malgun Gothic" w:hAnsi="Times New Roman" w:cs="Times New Roman"/>
          <w:sz w:val="24"/>
          <w:szCs w:val="24"/>
        </w:rPr>
        <w:t xml:space="preserve">Radiographic changes were assessed in the IMPACT2 study. Radiographs of both the hands and feet were collected at baseline, weeks 24 and 54 in all patients. Infliximab treatment inhibited the progression of structural damage compared with placebo treatment at the Week 24 primary endpoint as measured by change from baseline in total modified </w:t>
      </w:r>
      <w:proofErr w:type="spellStart"/>
      <w:r w:rsidRPr="0025669D">
        <w:rPr>
          <w:rFonts w:ascii="Times New Roman" w:eastAsia="Malgun Gothic" w:hAnsi="Times New Roman" w:cs="Times New Roman"/>
          <w:sz w:val="24"/>
          <w:szCs w:val="24"/>
        </w:rPr>
        <w:t>vdH</w:t>
      </w:r>
      <w:proofErr w:type="spellEnd"/>
      <w:r w:rsidRPr="0025669D">
        <w:rPr>
          <w:rFonts w:ascii="Times New Roman" w:eastAsia="Malgun Gothic" w:hAnsi="Times New Roman" w:cs="Times New Roman"/>
          <w:sz w:val="24"/>
          <w:szCs w:val="24"/>
        </w:rPr>
        <w:t xml:space="preserve">-S score. Differences between infliximab and placebo groups at week 24 were statistically significant for total modified </w:t>
      </w:r>
      <w:proofErr w:type="spellStart"/>
      <w:r w:rsidRPr="0025669D">
        <w:rPr>
          <w:rFonts w:ascii="Times New Roman" w:eastAsia="Malgun Gothic" w:hAnsi="Times New Roman" w:cs="Times New Roman"/>
          <w:sz w:val="24"/>
          <w:szCs w:val="24"/>
        </w:rPr>
        <w:t>vdH</w:t>
      </w:r>
      <w:proofErr w:type="spellEnd"/>
      <w:r w:rsidRPr="0025669D">
        <w:rPr>
          <w:rFonts w:ascii="Times New Roman" w:eastAsia="Malgun Gothic" w:hAnsi="Times New Roman" w:cs="Times New Roman"/>
          <w:sz w:val="24"/>
          <w:szCs w:val="24"/>
        </w:rPr>
        <w:t xml:space="preserve">-S score, hands, feet, erosion and joint space narrowing (JSN) scores. Significantly more subjects in the placebo group had readily apparent radiographic progression at week 24 in total modified </w:t>
      </w:r>
      <w:proofErr w:type="spellStart"/>
      <w:r w:rsidRPr="0025669D">
        <w:rPr>
          <w:rFonts w:ascii="Times New Roman" w:eastAsia="Malgun Gothic" w:hAnsi="Times New Roman" w:cs="Times New Roman"/>
          <w:sz w:val="24"/>
          <w:szCs w:val="24"/>
        </w:rPr>
        <w:t>vdH</w:t>
      </w:r>
      <w:proofErr w:type="spellEnd"/>
      <w:r w:rsidRPr="0025669D">
        <w:rPr>
          <w:rFonts w:ascii="Times New Roman" w:eastAsia="Malgun Gothic" w:hAnsi="Times New Roman" w:cs="Times New Roman"/>
          <w:sz w:val="24"/>
          <w:szCs w:val="24"/>
        </w:rPr>
        <w:t xml:space="preserve">-S, erosion, and JSN scores compared with the proportion of subjects in the infliximab group. The maintenance of radiographic benefit was observed through 1 year. </w:t>
      </w:r>
    </w:p>
    <w:p w14:paraId="4AEE5D42" w14:textId="77777777" w:rsidR="004A10AE" w:rsidRDefault="004A10AE" w:rsidP="007947DB">
      <w:pPr>
        <w:spacing w:line="240" w:lineRule="auto"/>
      </w:pPr>
      <w:r w:rsidRPr="002C2DDA">
        <w:rPr>
          <w:rFonts w:ascii="Times New Roman" w:hAnsi="Times New Roman" w:cs="Times New Roman"/>
          <w:sz w:val="24"/>
          <w:szCs w:val="24"/>
        </w:rPr>
        <w:t xml:space="preserve">The change from baseline at weeks 24 and 54 in the total modified </w:t>
      </w:r>
      <w:proofErr w:type="spellStart"/>
      <w:r w:rsidRPr="002C2DDA">
        <w:rPr>
          <w:rFonts w:ascii="Times New Roman" w:hAnsi="Times New Roman" w:cs="Times New Roman"/>
          <w:sz w:val="24"/>
          <w:szCs w:val="24"/>
        </w:rPr>
        <w:t>vdH</w:t>
      </w:r>
      <w:proofErr w:type="spellEnd"/>
      <w:r w:rsidRPr="002C2DDA">
        <w:rPr>
          <w:rFonts w:ascii="Times New Roman" w:hAnsi="Times New Roman" w:cs="Times New Roman"/>
          <w:sz w:val="24"/>
          <w:szCs w:val="24"/>
        </w:rPr>
        <w:t>-S score in IMPACT 2 is presented in the table below:</w:t>
      </w:r>
    </w:p>
    <w:tbl>
      <w:tblPr>
        <w:tblW w:w="5000" w:type="pct"/>
        <w:tblCellMar>
          <w:left w:w="0" w:type="dxa"/>
          <w:right w:w="0" w:type="dxa"/>
        </w:tblCellMar>
        <w:tblLook w:val="0000" w:firstRow="0" w:lastRow="0" w:firstColumn="0" w:lastColumn="0" w:noHBand="0" w:noVBand="0"/>
      </w:tblPr>
      <w:tblGrid>
        <w:gridCol w:w="4511"/>
        <w:gridCol w:w="2257"/>
        <w:gridCol w:w="2258"/>
      </w:tblGrid>
      <w:tr w:rsidR="004A10AE" w:rsidRPr="0025669D" w14:paraId="1867CBDB" w14:textId="77777777" w:rsidTr="005A4B0D">
        <w:trPr>
          <w:cantSplit/>
          <w:trHeight w:val="166"/>
        </w:trPr>
        <w:tc>
          <w:tcPr>
            <w:tcW w:w="5000" w:type="pct"/>
            <w:gridSpan w:val="3"/>
            <w:tcBorders>
              <w:bottom w:val="single" w:sz="4" w:space="0" w:color="auto"/>
            </w:tcBorders>
            <w:vAlign w:val="bottom"/>
          </w:tcPr>
          <w:p w14:paraId="03E58D3B" w14:textId="7ABEA7DE" w:rsidR="004A10AE" w:rsidRPr="0025669D" w:rsidRDefault="004A10AE" w:rsidP="007947DB">
            <w:pPr>
              <w:pStyle w:val="Caption"/>
              <w:keepNext/>
              <w:spacing w:after="0" w:line="240" w:lineRule="auto"/>
              <w:ind w:left="880" w:hangingChars="400" w:hanging="880"/>
              <w:rPr>
                <w:rFonts w:ascii="Times New Roman" w:eastAsia="Malgun Gothic" w:hAnsi="Times New Roman" w:cs="Times New Roman"/>
                <w:bCs w:val="0"/>
                <w:sz w:val="22"/>
                <w:lang w:val="en-GB"/>
              </w:rPr>
            </w:pPr>
            <w:r w:rsidRPr="007947DB">
              <w:rPr>
                <w:rFonts w:ascii="Times New Roman" w:hAnsi="Times New Roman" w:cs="Times New Roman"/>
                <w:sz w:val="22"/>
                <w:szCs w:val="22"/>
              </w:rPr>
              <w:t xml:space="preserve">Table </w:t>
            </w:r>
            <w:r w:rsidRPr="007947DB">
              <w:rPr>
                <w:rFonts w:ascii="Times New Roman" w:hAnsi="Times New Roman" w:cs="Times New Roman"/>
                <w:sz w:val="22"/>
                <w:szCs w:val="22"/>
              </w:rPr>
              <w:fldChar w:fldCharType="begin"/>
            </w:r>
            <w:r w:rsidRPr="007947DB">
              <w:rPr>
                <w:rFonts w:ascii="Times New Roman" w:hAnsi="Times New Roman" w:cs="Times New Roman"/>
                <w:sz w:val="22"/>
                <w:szCs w:val="22"/>
              </w:rPr>
              <w:instrText xml:space="preserve"> SEQ Table \* ARABIC </w:instrText>
            </w:r>
            <w:r w:rsidRPr="007947DB">
              <w:rPr>
                <w:rFonts w:ascii="Times New Roman" w:hAnsi="Times New Roman" w:cs="Times New Roman"/>
                <w:sz w:val="22"/>
                <w:szCs w:val="22"/>
              </w:rPr>
              <w:fldChar w:fldCharType="separate"/>
            </w:r>
            <w:r w:rsidR="005A6BF4">
              <w:rPr>
                <w:rFonts w:ascii="Times New Roman" w:hAnsi="Times New Roman" w:cs="Times New Roman"/>
                <w:noProof/>
                <w:sz w:val="22"/>
                <w:szCs w:val="22"/>
              </w:rPr>
              <w:t>6</w:t>
            </w:r>
            <w:r w:rsidRPr="007947DB">
              <w:rPr>
                <w:rFonts w:ascii="Times New Roman" w:hAnsi="Times New Roman" w:cs="Times New Roman"/>
                <w:sz w:val="22"/>
                <w:szCs w:val="22"/>
              </w:rPr>
              <w:fldChar w:fldCharType="end"/>
            </w:r>
            <w:r w:rsidRPr="007947DB">
              <w:rPr>
                <w:rFonts w:ascii="Times New Roman" w:hAnsi="Times New Roman" w:cs="Times New Roman" w:hint="eastAsia"/>
                <w:sz w:val="22"/>
                <w:szCs w:val="22"/>
              </w:rPr>
              <w:t>.</w:t>
            </w:r>
            <w:r w:rsidRPr="007947DB">
              <w:rPr>
                <w:rFonts w:ascii="Times New Roman" w:hAnsi="Times New Roman" w:cs="Times New Roman"/>
                <w:sz w:val="22"/>
                <w:szCs w:val="22"/>
              </w:rPr>
              <w:t xml:space="preserve"> Summary of change from baseline in total modified van der </w:t>
            </w:r>
            <w:proofErr w:type="spellStart"/>
            <w:r w:rsidRPr="007947DB">
              <w:rPr>
                <w:rFonts w:ascii="Times New Roman" w:hAnsi="Times New Roman" w:cs="Times New Roman"/>
                <w:sz w:val="22"/>
                <w:szCs w:val="22"/>
              </w:rPr>
              <w:t>Heijde</w:t>
            </w:r>
            <w:proofErr w:type="spellEnd"/>
            <w:r w:rsidRPr="007947DB">
              <w:rPr>
                <w:rFonts w:ascii="Times New Roman" w:hAnsi="Times New Roman" w:cs="Times New Roman"/>
                <w:sz w:val="22"/>
                <w:szCs w:val="22"/>
              </w:rPr>
              <w:t xml:space="preserve"> modified Sharp score at weeks 24 and 54 (IMPACT 2)</w:t>
            </w:r>
          </w:p>
        </w:tc>
      </w:tr>
      <w:tr w:rsidR="004A10AE" w:rsidRPr="0025669D" w14:paraId="47C70A5F" w14:textId="77777777" w:rsidTr="007947DB">
        <w:trPr>
          <w:cantSplit/>
        </w:trPr>
        <w:tc>
          <w:tcPr>
            <w:tcW w:w="2499" w:type="pct"/>
            <w:tcBorders>
              <w:top w:val="single" w:sz="4" w:space="0" w:color="auto"/>
            </w:tcBorders>
          </w:tcPr>
          <w:p w14:paraId="6104459B" w14:textId="77777777" w:rsidR="004A10AE" w:rsidRPr="0025669D" w:rsidRDefault="004A10AE" w:rsidP="007947DB">
            <w:pPr>
              <w:spacing w:after="0" w:line="240" w:lineRule="auto"/>
              <w:jc w:val="left"/>
              <w:rPr>
                <w:rFonts w:ascii="Times New Roman" w:eastAsia="Malgun Gothic" w:hAnsi="Times New Roman" w:cs="Times New Roman"/>
                <w:sz w:val="22"/>
                <w:lang w:val="en-GB"/>
              </w:rPr>
            </w:pPr>
          </w:p>
        </w:tc>
        <w:tc>
          <w:tcPr>
            <w:tcW w:w="1250" w:type="pct"/>
            <w:tcBorders>
              <w:top w:val="single" w:sz="4" w:space="0" w:color="auto"/>
            </w:tcBorders>
            <w:vAlign w:val="center"/>
          </w:tcPr>
          <w:p w14:paraId="7BEF3C39" w14:textId="77777777" w:rsidR="004A10AE" w:rsidRPr="0025669D" w:rsidRDefault="004A10AE" w:rsidP="007947DB">
            <w:pPr>
              <w:spacing w:after="0" w:line="240" w:lineRule="auto"/>
              <w:jc w:val="center"/>
              <w:rPr>
                <w:rFonts w:ascii="Times New Roman" w:eastAsia="Malgun Gothic" w:hAnsi="Times New Roman" w:cs="Times New Roman"/>
                <w:sz w:val="22"/>
                <w:lang w:val="en-GB"/>
              </w:rPr>
            </w:pPr>
            <w:r w:rsidRPr="0025669D">
              <w:rPr>
                <w:rFonts w:ascii="Times New Roman" w:eastAsia="Malgun Gothic" w:hAnsi="Times New Roman" w:cs="Times New Roman"/>
                <w:sz w:val="22"/>
                <w:lang w:val="en-GB"/>
              </w:rPr>
              <w:t>Placebo / infliximab</w:t>
            </w:r>
          </w:p>
          <w:p w14:paraId="23E64CA5" w14:textId="77777777" w:rsidR="004A10AE" w:rsidRPr="0025669D" w:rsidRDefault="004A10AE" w:rsidP="007947DB">
            <w:pPr>
              <w:spacing w:after="0" w:line="240" w:lineRule="auto"/>
              <w:jc w:val="center"/>
              <w:rPr>
                <w:rFonts w:ascii="Times New Roman" w:eastAsia="Malgun Gothic" w:hAnsi="Times New Roman" w:cs="Times New Roman"/>
                <w:sz w:val="22"/>
                <w:lang w:val="en-GB"/>
              </w:rPr>
            </w:pPr>
            <w:r w:rsidRPr="0025669D">
              <w:rPr>
                <w:rFonts w:ascii="Times New Roman" w:eastAsia="Malgun Gothic" w:hAnsi="Times New Roman" w:cs="Times New Roman"/>
                <w:sz w:val="22"/>
                <w:lang w:val="en-GB"/>
              </w:rPr>
              <w:t>5 mg/kg*</w:t>
            </w:r>
          </w:p>
        </w:tc>
        <w:tc>
          <w:tcPr>
            <w:tcW w:w="1250" w:type="pct"/>
            <w:tcBorders>
              <w:top w:val="single" w:sz="4" w:space="0" w:color="auto"/>
            </w:tcBorders>
            <w:vAlign w:val="center"/>
          </w:tcPr>
          <w:p w14:paraId="55172C08" w14:textId="77777777" w:rsidR="004A10AE" w:rsidRPr="0025669D" w:rsidRDefault="004A10AE" w:rsidP="007947DB">
            <w:pPr>
              <w:spacing w:after="0" w:line="240" w:lineRule="auto"/>
              <w:jc w:val="center"/>
              <w:rPr>
                <w:rFonts w:ascii="Times New Roman" w:eastAsia="Malgun Gothic" w:hAnsi="Times New Roman" w:cs="Times New Roman"/>
                <w:sz w:val="22"/>
                <w:lang w:val="en-GB"/>
              </w:rPr>
            </w:pPr>
          </w:p>
          <w:p w14:paraId="750123CB" w14:textId="77777777" w:rsidR="004A10AE" w:rsidRPr="0025669D" w:rsidRDefault="004A10AE" w:rsidP="007947DB">
            <w:pPr>
              <w:spacing w:after="0" w:line="240" w:lineRule="auto"/>
              <w:jc w:val="center"/>
              <w:rPr>
                <w:rFonts w:ascii="Times New Roman" w:eastAsia="Malgun Gothic" w:hAnsi="Times New Roman" w:cs="Times New Roman"/>
                <w:sz w:val="22"/>
                <w:lang w:val="en-GB"/>
              </w:rPr>
            </w:pPr>
            <w:r w:rsidRPr="0025669D">
              <w:rPr>
                <w:rFonts w:ascii="Times New Roman" w:eastAsia="Malgun Gothic" w:hAnsi="Times New Roman" w:cs="Times New Roman"/>
                <w:sz w:val="22"/>
                <w:lang w:val="en-GB"/>
              </w:rPr>
              <w:t>Infliximab 5 mg/kg</w:t>
            </w:r>
          </w:p>
        </w:tc>
      </w:tr>
      <w:tr w:rsidR="004A10AE" w:rsidRPr="0025669D" w14:paraId="7E0FFB41" w14:textId="77777777" w:rsidTr="007947DB">
        <w:trPr>
          <w:cantSplit/>
        </w:trPr>
        <w:tc>
          <w:tcPr>
            <w:tcW w:w="2499" w:type="pct"/>
            <w:vAlign w:val="bottom"/>
          </w:tcPr>
          <w:p w14:paraId="39E5C072" w14:textId="77777777" w:rsidR="004A10AE" w:rsidRPr="0025669D" w:rsidRDefault="004A10AE" w:rsidP="007947DB">
            <w:pPr>
              <w:spacing w:after="0" w:line="240" w:lineRule="auto"/>
              <w:jc w:val="left"/>
              <w:rPr>
                <w:rFonts w:ascii="Times New Roman" w:eastAsia="Malgun Gothic" w:hAnsi="Times New Roman" w:cs="Times New Roman"/>
                <w:sz w:val="22"/>
                <w:lang w:val="en-GB"/>
              </w:rPr>
            </w:pPr>
            <w:r w:rsidRPr="0025669D">
              <w:rPr>
                <w:rFonts w:ascii="Times New Roman" w:eastAsia="Malgun Gothic" w:hAnsi="Times New Roman" w:cs="Times New Roman"/>
                <w:sz w:val="22"/>
                <w:lang w:val="en-GB"/>
              </w:rPr>
              <w:t>Subjects randomised</w:t>
            </w:r>
          </w:p>
        </w:tc>
        <w:tc>
          <w:tcPr>
            <w:tcW w:w="1250" w:type="pct"/>
            <w:vAlign w:val="center"/>
          </w:tcPr>
          <w:p w14:paraId="3E149867" w14:textId="77777777" w:rsidR="004A10AE" w:rsidRPr="0025669D" w:rsidRDefault="004A10AE" w:rsidP="007947DB">
            <w:pPr>
              <w:spacing w:after="0" w:line="240" w:lineRule="auto"/>
              <w:jc w:val="center"/>
              <w:rPr>
                <w:rFonts w:ascii="Times New Roman" w:eastAsia="Malgun Gothic" w:hAnsi="Times New Roman" w:cs="Times New Roman"/>
                <w:sz w:val="22"/>
                <w:lang w:val="en-GB"/>
              </w:rPr>
            </w:pPr>
            <w:r w:rsidRPr="0025669D">
              <w:rPr>
                <w:rFonts w:ascii="Times New Roman" w:eastAsia="Malgun Gothic" w:hAnsi="Times New Roman" w:cs="Times New Roman"/>
                <w:sz w:val="22"/>
                <w:lang w:val="en-GB"/>
              </w:rPr>
              <w:t>100</w:t>
            </w:r>
          </w:p>
        </w:tc>
        <w:tc>
          <w:tcPr>
            <w:tcW w:w="1250" w:type="pct"/>
            <w:vAlign w:val="center"/>
          </w:tcPr>
          <w:p w14:paraId="372769BB" w14:textId="77777777" w:rsidR="004A10AE" w:rsidRPr="0025669D" w:rsidRDefault="004A10AE" w:rsidP="007947DB">
            <w:pPr>
              <w:spacing w:after="0" w:line="240" w:lineRule="auto"/>
              <w:jc w:val="center"/>
              <w:rPr>
                <w:rFonts w:ascii="Times New Roman" w:eastAsia="Malgun Gothic" w:hAnsi="Times New Roman" w:cs="Times New Roman"/>
                <w:sz w:val="22"/>
                <w:lang w:val="en-GB"/>
              </w:rPr>
            </w:pPr>
            <w:r w:rsidRPr="0025669D">
              <w:rPr>
                <w:rFonts w:ascii="Times New Roman" w:eastAsia="Malgun Gothic" w:hAnsi="Times New Roman" w:cs="Times New Roman"/>
                <w:sz w:val="22"/>
                <w:lang w:val="en-GB"/>
              </w:rPr>
              <w:t>100</w:t>
            </w:r>
          </w:p>
        </w:tc>
      </w:tr>
      <w:tr w:rsidR="004A10AE" w:rsidRPr="0025669D" w14:paraId="2D8F7060" w14:textId="77777777" w:rsidTr="007947DB">
        <w:trPr>
          <w:cantSplit/>
        </w:trPr>
        <w:tc>
          <w:tcPr>
            <w:tcW w:w="2499" w:type="pct"/>
            <w:vAlign w:val="bottom"/>
          </w:tcPr>
          <w:p w14:paraId="4626E207" w14:textId="77777777" w:rsidR="004A10AE" w:rsidRPr="0025669D" w:rsidRDefault="004A10AE" w:rsidP="007947DB">
            <w:pPr>
              <w:spacing w:after="0" w:line="240" w:lineRule="auto"/>
              <w:jc w:val="left"/>
              <w:rPr>
                <w:rFonts w:ascii="Times New Roman" w:eastAsia="Malgun Gothic" w:hAnsi="Times New Roman" w:cs="Times New Roman"/>
                <w:sz w:val="22"/>
                <w:lang w:val="en-GB"/>
              </w:rPr>
            </w:pPr>
            <w:r w:rsidRPr="0025669D">
              <w:rPr>
                <w:rFonts w:ascii="Times New Roman" w:eastAsia="Malgun Gothic" w:hAnsi="Times New Roman" w:cs="Times New Roman"/>
                <w:sz w:val="22"/>
                <w:lang w:val="en-GB"/>
              </w:rPr>
              <w:t>Change from baseline</w:t>
            </w:r>
          </w:p>
        </w:tc>
        <w:tc>
          <w:tcPr>
            <w:tcW w:w="1250" w:type="pct"/>
            <w:vAlign w:val="center"/>
          </w:tcPr>
          <w:p w14:paraId="5CB9F24B" w14:textId="77777777" w:rsidR="004A10AE" w:rsidRPr="0025669D" w:rsidRDefault="004A10AE" w:rsidP="007947DB">
            <w:pPr>
              <w:spacing w:after="0" w:line="240" w:lineRule="auto"/>
              <w:jc w:val="center"/>
              <w:rPr>
                <w:rFonts w:ascii="Times New Roman" w:eastAsia="Malgun Gothic" w:hAnsi="Times New Roman" w:cs="Times New Roman"/>
                <w:sz w:val="22"/>
                <w:lang w:val="en-GB"/>
              </w:rPr>
            </w:pPr>
          </w:p>
        </w:tc>
        <w:tc>
          <w:tcPr>
            <w:tcW w:w="1250" w:type="pct"/>
            <w:vAlign w:val="center"/>
          </w:tcPr>
          <w:p w14:paraId="64911996" w14:textId="77777777" w:rsidR="004A10AE" w:rsidRPr="0025669D" w:rsidRDefault="004A10AE" w:rsidP="007947DB">
            <w:pPr>
              <w:spacing w:after="0" w:line="240" w:lineRule="auto"/>
              <w:jc w:val="center"/>
              <w:rPr>
                <w:rFonts w:ascii="Times New Roman" w:eastAsia="Malgun Gothic" w:hAnsi="Times New Roman" w:cs="Times New Roman"/>
                <w:sz w:val="22"/>
                <w:lang w:val="en-GB"/>
              </w:rPr>
            </w:pPr>
          </w:p>
        </w:tc>
      </w:tr>
      <w:tr w:rsidR="004A10AE" w:rsidRPr="0025669D" w14:paraId="41FC74A6" w14:textId="77777777" w:rsidTr="007947DB">
        <w:trPr>
          <w:cantSplit/>
        </w:trPr>
        <w:tc>
          <w:tcPr>
            <w:tcW w:w="2499" w:type="pct"/>
            <w:vAlign w:val="bottom"/>
          </w:tcPr>
          <w:p w14:paraId="72D6E764" w14:textId="77777777" w:rsidR="004A10AE" w:rsidRPr="0025669D" w:rsidRDefault="004A10AE" w:rsidP="007947DB">
            <w:pPr>
              <w:spacing w:after="0" w:line="240" w:lineRule="auto"/>
              <w:jc w:val="left"/>
              <w:rPr>
                <w:rFonts w:ascii="Times New Roman" w:eastAsia="Malgun Gothic" w:hAnsi="Times New Roman" w:cs="Times New Roman"/>
                <w:sz w:val="22"/>
                <w:lang w:val="en-GB"/>
              </w:rPr>
            </w:pPr>
            <w:r w:rsidRPr="0025669D">
              <w:rPr>
                <w:rFonts w:ascii="Times New Roman" w:eastAsia="Malgun Gothic" w:hAnsi="Times New Roman" w:cs="Times New Roman"/>
                <w:sz w:val="22"/>
                <w:lang w:val="en-GB"/>
              </w:rPr>
              <w:t>n</w:t>
            </w:r>
          </w:p>
        </w:tc>
        <w:tc>
          <w:tcPr>
            <w:tcW w:w="1250" w:type="pct"/>
            <w:vAlign w:val="center"/>
          </w:tcPr>
          <w:p w14:paraId="3977E356" w14:textId="77777777" w:rsidR="004A10AE" w:rsidRPr="0025669D" w:rsidRDefault="004A10AE" w:rsidP="007947DB">
            <w:pPr>
              <w:spacing w:after="0" w:line="240" w:lineRule="auto"/>
              <w:jc w:val="center"/>
              <w:rPr>
                <w:rFonts w:ascii="Times New Roman" w:eastAsia="Malgun Gothic" w:hAnsi="Times New Roman" w:cs="Times New Roman"/>
                <w:sz w:val="22"/>
                <w:lang w:val="en-GB"/>
              </w:rPr>
            </w:pPr>
            <w:r w:rsidRPr="0025669D">
              <w:rPr>
                <w:rFonts w:ascii="Times New Roman" w:eastAsia="Malgun Gothic" w:hAnsi="Times New Roman" w:cs="Times New Roman"/>
                <w:sz w:val="22"/>
                <w:lang w:val="en-GB"/>
              </w:rPr>
              <w:t>100</w:t>
            </w:r>
          </w:p>
        </w:tc>
        <w:tc>
          <w:tcPr>
            <w:tcW w:w="1250" w:type="pct"/>
            <w:vAlign w:val="center"/>
          </w:tcPr>
          <w:p w14:paraId="47592565" w14:textId="77777777" w:rsidR="004A10AE" w:rsidRPr="0025669D" w:rsidRDefault="004A10AE" w:rsidP="007947DB">
            <w:pPr>
              <w:spacing w:after="0" w:line="240" w:lineRule="auto"/>
              <w:jc w:val="center"/>
              <w:rPr>
                <w:rFonts w:ascii="Times New Roman" w:eastAsia="Malgun Gothic" w:hAnsi="Times New Roman" w:cs="Times New Roman"/>
                <w:sz w:val="22"/>
                <w:lang w:val="en-GB"/>
              </w:rPr>
            </w:pPr>
            <w:r w:rsidRPr="0025669D">
              <w:rPr>
                <w:rFonts w:ascii="Times New Roman" w:eastAsia="Malgun Gothic" w:hAnsi="Times New Roman" w:cs="Times New Roman"/>
                <w:sz w:val="22"/>
                <w:lang w:val="en-GB"/>
              </w:rPr>
              <w:t>100</w:t>
            </w:r>
          </w:p>
        </w:tc>
      </w:tr>
      <w:tr w:rsidR="004A10AE" w:rsidRPr="0025669D" w14:paraId="2CE01006" w14:textId="77777777" w:rsidTr="007947DB">
        <w:trPr>
          <w:cantSplit/>
        </w:trPr>
        <w:tc>
          <w:tcPr>
            <w:tcW w:w="2499" w:type="pct"/>
            <w:vAlign w:val="bottom"/>
          </w:tcPr>
          <w:p w14:paraId="0D13DFCC" w14:textId="77777777" w:rsidR="004A10AE" w:rsidRPr="0025669D" w:rsidRDefault="004A10AE" w:rsidP="007947DB">
            <w:pPr>
              <w:spacing w:after="0" w:line="240" w:lineRule="auto"/>
              <w:jc w:val="left"/>
              <w:rPr>
                <w:rFonts w:ascii="Times New Roman" w:eastAsia="Malgun Gothic" w:hAnsi="Times New Roman" w:cs="Times New Roman"/>
                <w:b/>
                <w:bCs/>
                <w:sz w:val="22"/>
                <w:lang w:val="en-GB"/>
              </w:rPr>
            </w:pPr>
            <w:r w:rsidRPr="0025669D">
              <w:rPr>
                <w:rFonts w:ascii="Times New Roman" w:eastAsia="Malgun Gothic" w:hAnsi="Times New Roman" w:cs="Times New Roman"/>
                <w:b/>
                <w:bCs/>
                <w:sz w:val="22"/>
                <w:lang w:val="en-GB"/>
              </w:rPr>
              <w:t>Week 24</w:t>
            </w:r>
          </w:p>
          <w:p w14:paraId="4E7D4044" w14:textId="77777777" w:rsidR="004A10AE" w:rsidRPr="0025669D" w:rsidRDefault="004A10AE" w:rsidP="007947DB">
            <w:pPr>
              <w:spacing w:after="0" w:line="240" w:lineRule="auto"/>
              <w:ind w:firstLineChars="100" w:firstLine="220"/>
              <w:jc w:val="left"/>
              <w:rPr>
                <w:rFonts w:ascii="Times New Roman" w:eastAsia="Malgun Gothic" w:hAnsi="Times New Roman" w:cs="Times New Roman"/>
                <w:sz w:val="22"/>
                <w:lang w:val="en-GB"/>
              </w:rPr>
            </w:pPr>
            <w:r w:rsidRPr="0025669D">
              <w:rPr>
                <w:rFonts w:ascii="Times New Roman" w:eastAsia="Malgun Gothic" w:hAnsi="Times New Roman" w:cs="Times New Roman"/>
                <w:sz w:val="22"/>
                <w:lang w:val="en-GB"/>
              </w:rPr>
              <w:t>Mean ± SD</w:t>
            </w:r>
          </w:p>
        </w:tc>
        <w:tc>
          <w:tcPr>
            <w:tcW w:w="1250" w:type="pct"/>
            <w:vAlign w:val="center"/>
          </w:tcPr>
          <w:p w14:paraId="36176285" w14:textId="77777777" w:rsidR="004A10AE" w:rsidRPr="0025669D" w:rsidRDefault="004A10AE" w:rsidP="007947DB">
            <w:pPr>
              <w:spacing w:after="0" w:line="240" w:lineRule="auto"/>
              <w:jc w:val="center"/>
              <w:rPr>
                <w:rFonts w:ascii="Times New Roman" w:eastAsia="Malgun Gothic" w:hAnsi="Times New Roman" w:cs="Times New Roman"/>
                <w:sz w:val="22"/>
                <w:lang w:val="en-GB"/>
              </w:rPr>
            </w:pPr>
            <w:r w:rsidRPr="0025669D">
              <w:rPr>
                <w:rFonts w:ascii="Times New Roman" w:eastAsia="Malgun Gothic" w:hAnsi="Times New Roman" w:cs="Times New Roman"/>
                <w:sz w:val="22"/>
                <w:lang w:val="en-GB"/>
              </w:rPr>
              <w:t>0.82 ± 2.62</w:t>
            </w:r>
          </w:p>
        </w:tc>
        <w:tc>
          <w:tcPr>
            <w:tcW w:w="1250" w:type="pct"/>
            <w:vAlign w:val="center"/>
          </w:tcPr>
          <w:p w14:paraId="3A2B5EC9" w14:textId="77777777" w:rsidR="004A10AE" w:rsidRPr="0025669D" w:rsidRDefault="004A10AE" w:rsidP="007947DB">
            <w:pPr>
              <w:spacing w:after="0" w:line="240" w:lineRule="auto"/>
              <w:jc w:val="center"/>
              <w:rPr>
                <w:rFonts w:ascii="Times New Roman" w:eastAsia="Malgun Gothic" w:hAnsi="Times New Roman" w:cs="Times New Roman"/>
                <w:sz w:val="22"/>
                <w:lang w:val="en-GB"/>
              </w:rPr>
            </w:pPr>
            <w:r w:rsidRPr="0025669D">
              <w:rPr>
                <w:rFonts w:ascii="Times New Roman" w:eastAsia="Malgun Gothic" w:hAnsi="Times New Roman" w:cs="Times New Roman"/>
                <w:sz w:val="22"/>
                <w:lang w:val="en-GB"/>
              </w:rPr>
              <w:t>-0.70 ± 2.53</w:t>
            </w:r>
          </w:p>
        </w:tc>
      </w:tr>
      <w:tr w:rsidR="004A10AE" w:rsidRPr="0025669D" w14:paraId="38D1713F" w14:textId="77777777" w:rsidTr="007947DB">
        <w:trPr>
          <w:cantSplit/>
        </w:trPr>
        <w:tc>
          <w:tcPr>
            <w:tcW w:w="2499" w:type="pct"/>
            <w:vAlign w:val="bottom"/>
          </w:tcPr>
          <w:p w14:paraId="2AD38934" w14:textId="77777777" w:rsidR="004A10AE" w:rsidRPr="0025669D" w:rsidRDefault="004A10AE" w:rsidP="007947DB">
            <w:pPr>
              <w:spacing w:after="0" w:line="240" w:lineRule="auto"/>
              <w:ind w:firstLineChars="100" w:firstLine="220"/>
              <w:jc w:val="left"/>
              <w:rPr>
                <w:rFonts w:ascii="Times New Roman" w:eastAsia="Malgun Gothic" w:hAnsi="Times New Roman" w:cs="Times New Roman"/>
                <w:sz w:val="22"/>
                <w:lang w:val="en-GB"/>
              </w:rPr>
            </w:pPr>
            <w:r w:rsidRPr="0025669D">
              <w:rPr>
                <w:rFonts w:ascii="Times New Roman" w:eastAsia="Malgun Gothic" w:hAnsi="Times New Roman" w:cs="Times New Roman"/>
                <w:sz w:val="22"/>
                <w:lang w:val="en-GB"/>
              </w:rPr>
              <w:t>p-value</w:t>
            </w:r>
          </w:p>
        </w:tc>
        <w:tc>
          <w:tcPr>
            <w:tcW w:w="1250" w:type="pct"/>
            <w:vAlign w:val="center"/>
          </w:tcPr>
          <w:p w14:paraId="10434D43" w14:textId="77777777" w:rsidR="004A10AE" w:rsidRPr="0025669D" w:rsidRDefault="004A10AE" w:rsidP="007947DB">
            <w:pPr>
              <w:spacing w:after="0" w:line="240" w:lineRule="auto"/>
              <w:jc w:val="center"/>
              <w:rPr>
                <w:rFonts w:ascii="Times New Roman" w:eastAsia="Malgun Gothic" w:hAnsi="Times New Roman" w:cs="Times New Roman"/>
                <w:sz w:val="22"/>
                <w:lang w:val="en-GB"/>
              </w:rPr>
            </w:pPr>
          </w:p>
        </w:tc>
        <w:tc>
          <w:tcPr>
            <w:tcW w:w="1250" w:type="pct"/>
            <w:vAlign w:val="center"/>
          </w:tcPr>
          <w:p w14:paraId="00F7ADC1" w14:textId="77777777" w:rsidR="004A10AE" w:rsidRPr="0025669D" w:rsidRDefault="004A10AE" w:rsidP="007947DB">
            <w:pPr>
              <w:spacing w:after="0" w:line="240" w:lineRule="auto"/>
              <w:jc w:val="center"/>
              <w:rPr>
                <w:rFonts w:ascii="Times New Roman" w:eastAsia="Malgun Gothic" w:hAnsi="Times New Roman" w:cs="Times New Roman"/>
                <w:sz w:val="22"/>
                <w:lang w:val="en-GB"/>
              </w:rPr>
            </w:pPr>
            <w:r w:rsidRPr="0025669D">
              <w:rPr>
                <w:rFonts w:ascii="Times New Roman" w:eastAsia="Malgun Gothic" w:hAnsi="Times New Roman" w:cs="Times New Roman"/>
                <w:sz w:val="22"/>
                <w:lang w:val="en-GB"/>
              </w:rPr>
              <w:t>&lt; 0.001</w:t>
            </w:r>
          </w:p>
        </w:tc>
      </w:tr>
      <w:tr w:rsidR="004A10AE" w:rsidRPr="0025669D" w14:paraId="5AEFCEFD" w14:textId="77777777" w:rsidTr="007947DB">
        <w:trPr>
          <w:cantSplit/>
        </w:trPr>
        <w:tc>
          <w:tcPr>
            <w:tcW w:w="2499" w:type="pct"/>
            <w:vAlign w:val="bottom"/>
          </w:tcPr>
          <w:p w14:paraId="55F25734" w14:textId="77777777" w:rsidR="004A10AE" w:rsidRPr="0025669D" w:rsidRDefault="004A10AE" w:rsidP="007947DB">
            <w:pPr>
              <w:spacing w:after="0" w:line="240" w:lineRule="auto"/>
              <w:jc w:val="left"/>
              <w:rPr>
                <w:rFonts w:ascii="Times New Roman" w:eastAsia="Malgun Gothic" w:hAnsi="Times New Roman" w:cs="Times New Roman"/>
                <w:b/>
                <w:bCs/>
                <w:sz w:val="22"/>
                <w:lang w:val="en-GB"/>
              </w:rPr>
            </w:pPr>
            <w:r w:rsidRPr="0025669D">
              <w:rPr>
                <w:rFonts w:ascii="Times New Roman" w:eastAsia="Malgun Gothic" w:hAnsi="Times New Roman" w:cs="Times New Roman"/>
                <w:b/>
                <w:bCs/>
                <w:sz w:val="22"/>
                <w:lang w:val="en-GB"/>
              </w:rPr>
              <w:t>Week 54</w:t>
            </w:r>
          </w:p>
          <w:p w14:paraId="4D08389C" w14:textId="77777777" w:rsidR="004A10AE" w:rsidRPr="0025669D" w:rsidRDefault="004A10AE" w:rsidP="007947DB">
            <w:pPr>
              <w:spacing w:after="0" w:line="240" w:lineRule="auto"/>
              <w:ind w:firstLineChars="100" w:firstLine="220"/>
              <w:jc w:val="left"/>
              <w:rPr>
                <w:rFonts w:ascii="Times New Roman" w:eastAsia="Malgun Gothic" w:hAnsi="Times New Roman" w:cs="Times New Roman"/>
                <w:sz w:val="22"/>
                <w:lang w:val="en-GB"/>
              </w:rPr>
            </w:pPr>
            <w:r w:rsidRPr="0025669D">
              <w:rPr>
                <w:rFonts w:ascii="Times New Roman" w:eastAsia="Malgun Gothic" w:hAnsi="Times New Roman" w:cs="Times New Roman"/>
                <w:sz w:val="22"/>
                <w:lang w:val="en-GB"/>
              </w:rPr>
              <w:t>Mean ± SD</w:t>
            </w:r>
          </w:p>
        </w:tc>
        <w:tc>
          <w:tcPr>
            <w:tcW w:w="1250" w:type="pct"/>
            <w:vAlign w:val="center"/>
          </w:tcPr>
          <w:p w14:paraId="4F70A6E4" w14:textId="77777777" w:rsidR="004A10AE" w:rsidRPr="0025669D" w:rsidRDefault="004A10AE" w:rsidP="007947DB">
            <w:pPr>
              <w:spacing w:after="0" w:line="240" w:lineRule="auto"/>
              <w:jc w:val="center"/>
              <w:rPr>
                <w:rFonts w:ascii="Times New Roman" w:eastAsia="Malgun Gothic" w:hAnsi="Times New Roman" w:cs="Times New Roman"/>
                <w:sz w:val="22"/>
                <w:lang w:val="en-GB"/>
              </w:rPr>
            </w:pPr>
            <w:r w:rsidRPr="0025669D">
              <w:rPr>
                <w:rFonts w:ascii="Times New Roman" w:eastAsia="Malgun Gothic" w:hAnsi="Times New Roman" w:cs="Times New Roman"/>
                <w:sz w:val="22"/>
                <w:lang w:val="en-GB"/>
              </w:rPr>
              <w:t>0.53 ± 2.60</w:t>
            </w:r>
          </w:p>
        </w:tc>
        <w:tc>
          <w:tcPr>
            <w:tcW w:w="1250" w:type="pct"/>
            <w:vAlign w:val="center"/>
          </w:tcPr>
          <w:p w14:paraId="2FBF5A16" w14:textId="77777777" w:rsidR="004A10AE" w:rsidRPr="0025669D" w:rsidRDefault="004A10AE" w:rsidP="007947DB">
            <w:pPr>
              <w:spacing w:after="0" w:line="240" w:lineRule="auto"/>
              <w:jc w:val="center"/>
              <w:rPr>
                <w:rFonts w:ascii="Times New Roman" w:eastAsia="Malgun Gothic" w:hAnsi="Times New Roman" w:cs="Times New Roman"/>
                <w:sz w:val="22"/>
                <w:lang w:val="en-GB"/>
              </w:rPr>
            </w:pPr>
            <w:r w:rsidRPr="0025669D">
              <w:rPr>
                <w:rFonts w:ascii="Times New Roman" w:eastAsia="Malgun Gothic" w:hAnsi="Times New Roman" w:cs="Times New Roman"/>
                <w:sz w:val="22"/>
                <w:lang w:val="en-GB"/>
              </w:rPr>
              <w:t>-0.94 ± 3.40</w:t>
            </w:r>
          </w:p>
        </w:tc>
      </w:tr>
      <w:tr w:rsidR="004A10AE" w:rsidRPr="0025669D" w14:paraId="2CF6F10D" w14:textId="77777777" w:rsidTr="007947DB">
        <w:trPr>
          <w:cantSplit/>
        </w:trPr>
        <w:tc>
          <w:tcPr>
            <w:tcW w:w="2499" w:type="pct"/>
            <w:tcBorders>
              <w:bottom w:val="single" w:sz="4" w:space="0" w:color="auto"/>
            </w:tcBorders>
            <w:vAlign w:val="bottom"/>
          </w:tcPr>
          <w:p w14:paraId="3CE4A750" w14:textId="77777777" w:rsidR="004A10AE" w:rsidRPr="0025669D" w:rsidRDefault="004A10AE" w:rsidP="007947DB">
            <w:pPr>
              <w:spacing w:after="0" w:line="240" w:lineRule="auto"/>
              <w:ind w:firstLineChars="100" w:firstLine="220"/>
              <w:jc w:val="left"/>
              <w:rPr>
                <w:rFonts w:ascii="Times New Roman" w:eastAsia="Malgun Gothic" w:hAnsi="Times New Roman" w:cs="Times New Roman"/>
                <w:sz w:val="22"/>
                <w:lang w:val="en-GB"/>
              </w:rPr>
            </w:pPr>
            <w:r w:rsidRPr="0025669D">
              <w:rPr>
                <w:rFonts w:ascii="Times New Roman" w:eastAsia="Malgun Gothic" w:hAnsi="Times New Roman" w:cs="Times New Roman"/>
                <w:sz w:val="22"/>
                <w:lang w:val="en-GB"/>
              </w:rPr>
              <w:t>p-value</w:t>
            </w:r>
          </w:p>
        </w:tc>
        <w:tc>
          <w:tcPr>
            <w:tcW w:w="1250" w:type="pct"/>
            <w:tcBorders>
              <w:bottom w:val="single" w:sz="4" w:space="0" w:color="auto"/>
            </w:tcBorders>
            <w:vAlign w:val="center"/>
          </w:tcPr>
          <w:p w14:paraId="2AF37504" w14:textId="77777777" w:rsidR="004A10AE" w:rsidRPr="0025669D" w:rsidRDefault="004A10AE" w:rsidP="007947DB">
            <w:pPr>
              <w:spacing w:after="0" w:line="240" w:lineRule="auto"/>
              <w:jc w:val="center"/>
              <w:rPr>
                <w:rFonts w:ascii="Times New Roman" w:eastAsia="Malgun Gothic" w:hAnsi="Times New Roman" w:cs="Times New Roman"/>
                <w:sz w:val="22"/>
                <w:lang w:val="en-GB"/>
              </w:rPr>
            </w:pPr>
          </w:p>
        </w:tc>
        <w:tc>
          <w:tcPr>
            <w:tcW w:w="1250" w:type="pct"/>
            <w:tcBorders>
              <w:bottom w:val="single" w:sz="4" w:space="0" w:color="auto"/>
            </w:tcBorders>
            <w:vAlign w:val="center"/>
          </w:tcPr>
          <w:p w14:paraId="58DCE2D5" w14:textId="77777777" w:rsidR="004A10AE" w:rsidRPr="0025669D" w:rsidRDefault="004A10AE" w:rsidP="007947DB">
            <w:pPr>
              <w:spacing w:after="0" w:line="240" w:lineRule="auto"/>
              <w:jc w:val="center"/>
              <w:rPr>
                <w:rFonts w:ascii="Times New Roman" w:eastAsia="Malgun Gothic" w:hAnsi="Times New Roman" w:cs="Times New Roman"/>
                <w:sz w:val="22"/>
                <w:lang w:val="en-GB"/>
              </w:rPr>
            </w:pPr>
            <w:r w:rsidRPr="0025669D">
              <w:rPr>
                <w:rFonts w:ascii="Times New Roman" w:eastAsia="Malgun Gothic" w:hAnsi="Times New Roman" w:cs="Times New Roman"/>
                <w:sz w:val="22"/>
                <w:lang w:val="en-GB"/>
              </w:rPr>
              <w:t>0.001</w:t>
            </w:r>
          </w:p>
        </w:tc>
      </w:tr>
    </w:tbl>
    <w:p w14:paraId="188A5A3D" w14:textId="77777777" w:rsidR="004A10AE" w:rsidRPr="0025669D" w:rsidRDefault="004A10AE" w:rsidP="007947DB">
      <w:pPr>
        <w:spacing w:line="240" w:lineRule="auto"/>
        <w:jc w:val="left"/>
        <w:rPr>
          <w:rFonts w:ascii="Times New Roman" w:eastAsia="Malgun Gothic" w:hAnsi="Times New Roman" w:cs="Times New Roman"/>
          <w:sz w:val="22"/>
          <w:lang w:val="en-GB"/>
        </w:rPr>
      </w:pPr>
      <w:r w:rsidRPr="0025669D">
        <w:rPr>
          <w:rFonts w:ascii="Times New Roman" w:eastAsia="Malgun Gothic" w:hAnsi="Times New Roman" w:cs="Times New Roman"/>
          <w:sz w:val="22"/>
          <w:lang w:val="en-GB"/>
        </w:rPr>
        <w:t>*placebo patients crossed over to infliximab at week 24</w:t>
      </w:r>
    </w:p>
    <w:p w14:paraId="0EB499D3" w14:textId="77777777" w:rsidR="004A10AE" w:rsidRPr="0025669D" w:rsidRDefault="004A10AE" w:rsidP="007947DB">
      <w:pPr>
        <w:spacing w:line="240" w:lineRule="auto"/>
        <w:jc w:val="left"/>
        <w:rPr>
          <w:rFonts w:ascii="Times New Roman" w:eastAsia="Malgun Gothic" w:hAnsi="Times New Roman" w:cs="Times New Roman"/>
          <w:sz w:val="24"/>
          <w:szCs w:val="24"/>
        </w:rPr>
      </w:pPr>
      <w:r w:rsidRPr="0025669D">
        <w:rPr>
          <w:rFonts w:ascii="Times New Roman" w:eastAsia="Malgun Gothic" w:hAnsi="Times New Roman" w:cs="Times New Roman"/>
          <w:sz w:val="24"/>
          <w:szCs w:val="24"/>
        </w:rPr>
        <w:t xml:space="preserve">Infliximab-treated patients also demonstrated significant improvement in physical function as assessed by HAQ. Significant improvements in health-related quality of life were also demonstrated as measured by the physical and mental component summary scores of the SF-36 in IMPACT 2. </w:t>
      </w:r>
    </w:p>
    <w:p w14:paraId="417DE7F4" w14:textId="77777777" w:rsidR="004A10AE" w:rsidRPr="0025669D" w:rsidRDefault="004A10AE" w:rsidP="007947DB">
      <w:pPr>
        <w:pStyle w:val="Heading2"/>
        <w:tabs>
          <w:tab w:val="num" w:pos="1418"/>
        </w:tabs>
        <w:spacing w:after="0"/>
        <w:ind w:left="1702" w:hangingChars="709" w:hanging="1702"/>
        <w:rPr>
          <w:rFonts w:eastAsia="Malgun Gothic" w:cs="Times New Roman"/>
          <w:szCs w:val="24"/>
          <w:lang w:eastAsia="ko-KR"/>
        </w:rPr>
      </w:pPr>
      <w:r w:rsidRPr="0025669D">
        <w:rPr>
          <w:rFonts w:eastAsia="Malgun Gothic" w:cs="Times New Roman"/>
          <w:szCs w:val="24"/>
          <w:lang w:eastAsia="ko-KR"/>
        </w:rPr>
        <w:t xml:space="preserve">• </w:t>
      </w:r>
      <w:r w:rsidRPr="0035249D">
        <w:rPr>
          <w:rFonts w:eastAsia="Malgun Gothic" w:cs="Times New Roman"/>
          <w:szCs w:val="24"/>
          <w:lang w:eastAsia="ko-KR"/>
        </w:rPr>
        <w:t xml:space="preserve">Psoriasis </w:t>
      </w:r>
    </w:p>
    <w:p w14:paraId="16384D3E" w14:textId="77777777" w:rsidR="004A10AE" w:rsidRDefault="004A10AE" w:rsidP="007947DB">
      <w:pPr>
        <w:spacing w:after="0" w:line="240" w:lineRule="auto"/>
        <w:jc w:val="left"/>
        <w:rPr>
          <w:rFonts w:ascii="Times New Roman" w:eastAsia="Malgun Gothic" w:hAnsi="Times New Roman" w:cs="Times New Roman"/>
          <w:sz w:val="24"/>
          <w:szCs w:val="24"/>
        </w:rPr>
      </w:pPr>
      <w:r w:rsidRPr="0025669D">
        <w:rPr>
          <w:rFonts w:ascii="Times New Roman" w:eastAsia="Malgun Gothic" w:hAnsi="Times New Roman" w:cs="Times New Roman"/>
          <w:sz w:val="24"/>
          <w:szCs w:val="24"/>
        </w:rPr>
        <w:t xml:space="preserve">The efficacy of infliximab was assessed in two </w:t>
      </w:r>
      <w:proofErr w:type="spellStart"/>
      <w:proofErr w:type="gramStart"/>
      <w:r w:rsidRPr="0025669D">
        <w:rPr>
          <w:rFonts w:ascii="Times New Roman" w:eastAsia="Malgun Gothic" w:hAnsi="Times New Roman" w:cs="Times New Roman"/>
          <w:sz w:val="24"/>
          <w:szCs w:val="24"/>
        </w:rPr>
        <w:t>multicentre</w:t>
      </w:r>
      <w:proofErr w:type="spellEnd"/>
      <w:proofErr w:type="gramEnd"/>
      <w:r w:rsidRPr="0025669D">
        <w:rPr>
          <w:rFonts w:ascii="Times New Roman" w:eastAsia="Malgun Gothic" w:hAnsi="Times New Roman" w:cs="Times New Roman"/>
          <w:sz w:val="24"/>
          <w:szCs w:val="24"/>
        </w:rPr>
        <w:t xml:space="preserve">, </w:t>
      </w:r>
      <w:proofErr w:type="spellStart"/>
      <w:r w:rsidRPr="0025669D">
        <w:rPr>
          <w:rFonts w:ascii="Times New Roman" w:eastAsia="Malgun Gothic" w:hAnsi="Times New Roman" w:cs="Times New Roman"/>
          <w:sz w:val="24"/>
          <w:szCs w:val="24"/>
        </w:rPr>
        <w:t>randomised</w:t>
      </w:r>
      <w:proofErr w:type="spellEnd"/>
      <w:r w:rsidRPr="0025669D">
        <w:rPr>
          <w:rFonts w:ascii="Times New Roman" w:eastAsia="Malgun Gothic" w:hAnsi="Times New Roman" w:cs="Times New Roman"/>
          <w:sz w:val="24"/>
          <w:szCs w:val="24"/>
        </w:rPr>
        <w:t xml:space="preserve">, double blind studies: SPIRIT and EXPRESS. Patients in both studies had plaque psoriasis (Body Surface Area </w:t>
      </w:r>
      <w:r w:rsidRPr="0025669D">
        <w:rPr>
          <w:rFonts w:ascii="Times New Roman" w:eastAsia="Malgun Gothic" w:hAnsi="Times New Roman" w:cs="Times New Roman"/>
          <w:sz w:val="24"/>
          <w:szCs w:val="24"/>
        </w:rPr>
        <w:lastRenderedPageBreak/>
        <w:t xml:space="preserve">[BSA] ≥ 10% and Psoriasis Area and Severity Index [PASI] score ≥ 12). The primary endpoint in both studies was the percent of patients who achieved ≥ 75% improvement in PASI from baseline at week 10. Marked responders were identified as patients who achieved ≥ 90% improvement in PASI from baseline. </w:t>
      </w:r>
    </w:p>
    <w:p w14:paraId="08F7EF96" w14:textId="19F28625" w:rsidR="004A10AE" w:rsidRDefault="004A10AE" w:rsidP="007947DB">
      <w:pPr>
        <w:spacing w:after="0" w:line="240" w:lineRule="auto"/>
        <w:jc w:val="left"/>
        <w:rPr>
          <w:rFonts w:ascii="Times New Roman" w:eastAsia="Malgun Gothic" w:hAnsi="Times New Roman" w:cs="Times New Roman"/>
          <w:sz w:val="24"/>
          <w:szCs w:val="24"/>
        </w:rPr>
      </w:pPr>
    </w:p>
    <w:p w14:paraId="081108DE" w14:textId="77777777" w:rsidR="00501F29" w:rsidRPr="0025669D" w:rsidRDefault="00501F29" w:rsidP="007947DB">
      <w:pPr>
        <w:spacing w:after="0" w:line="240" w:lineRule="auto"/>
        <w:jc w:val="left"/>
        <w:rPr>
          <w:rFonts w:ascii="Times New Roman" w:eastAsia="Malgun Gothic" w:hAnsi="Times New Roman" w:cs="Times New Roman"/>
          <w:sz w:val="24"/>
          <w:szCs w:val="24"/>
        </w:rPr>
      </w:pPr>
    </w:p>
    <w:p w14:paraId="2AAEF97A" w14:textId="77777777" w:rsidR="004A10AE" w:rsidRPr="0025669D" w:rsidRDefault="004A10AE" w:rsidP="007947DB">
      <w:pPr>
        <w:spacing w:line="240" w:lineRule="auto"/>
        <w:jc w:val="left"/>
        <w:rPr>
          <w:rFonts w:ascii="Times New Roman" w:eastAsia="Malgun Gothic" w:hAnsi="Times New Roman" w:cs="Times New Roman"/>
          <w:sz w:val="24"/>
          <w:szCs w:val="24"/>
        </w:rPr>
      </w:pPr>
      <w:r w:rsidRPr="0025669D">
        <w:rPr>
          <w:rFonts w:ascii="Times New Roman" w:eastAsia="Malgun Gothic" w:hAnsi="Times New Roman" w:cs="Times New Roman"/>
          <w:sz w:val="24"/>
          <w:szCs w:val="24"/>
        </w:rPr>
        <w:t xml:space="preserve">SPIRIT evaluated the efficacy of infliximab induction therapy in 249 patients with plaque psoriasis that had previously received PUVA or systemic therapy. Patients received either 3mg/kg or, 5 mg/kg infliximab or placebo infusions at weeks 0, 2 and 6. Patients with a physician’s global assessment (PGA) score ≥ 3 were eligible to receive an additional infusion of the same treatment at week 26. </w:t>
      </w:r>
    </w:p>
    <w:p w14:paraId="15A588B3" w14:textId="77777777" w:rsidR="004A10AE" w:rsidRPr="0025669D" w:rsidRDefault="004A10AE" w:rsidP="007947DB">
      <w:pPr>
        <w:spacing w:line="240" w:lineRule="auto"/>
        <w:jc w:val="left"/>
        <w:rPr>
          <w:rFonts w:ascii="Times New Roman" w:eastAsia="Malgun Gothic" w:hAnsi="Times New Roman" w:cs="Times New Roman"/>
          <w:sz w:val="24"/>
          <w:szCs w:val="24"/>
        </w:rPr>
      </w:pPr>
      <w:r w:rsidRPr="0025669D">
        <w:rPr>
          <w:rFonts w:ascii="Times New Roman" w:eastAsia="Malgun Gothic" w:hAnsi="Times New Roman" w:cs="Times New Roman"/>
          <w:sz w:val="24"/>
          <w:szCs w:val="24"/>
        </w:rPr>
        <w:t xml:space="preserve">In SPIRIT, the median baseline BSA was 27.0%, the median baseline PASI score was 18.9; 62.2% of patients had a baseline PGA score of “moderate” and 24.9% of patients had a baseline PGA score of “marked” or “severe.” Prior therapy with PUVA, methotrexate, </w:t>
      </w:r>
      <w:proofErr w:type="spellStart"/>
      <w:r w:rsidRPr="0025669D">
        <w:rPr>
          <w:rFonts w:ascii="Times New Roman" w:eastAsia="Malgun Gothic" w:hAnsi="Times New Roman" w:cs="Times New Roman"/>
          <w:sz w:val="24"/>
          <w:szCs w:val="24"/>
        </w:rPr>
        <w:t>cyclosporin</w:t>
      </w:r>
      <w:proofErr w:type="spellEnd"/>
      <w:r w:rsidRPr="0025669D">
        <w:rPr>
          <w:rFonts w:ascii="Times New Roman" w:eastAsia="Malgun Gothic" w:hAnsi="Times New Roman" w:cs="Times New Roman"/>
          <w:sz w:val="24"/>
          <w:szCs w:val="24"/>
        </w:rPr>
        <w:t xml:space="preserve"> or </w:t>
      </w:r>
      <w:proofErr w:type="spellStart"/>
      <w:r w:rsidRPr="0025669D">
        <w:rPr>
          <w:rFonts w:ascii="Times New Roman" w:eastAsia="Malgun Gothic" w:hAnsi="Times New Roman" w:cs="Times New Roman"/>
          <w:sz w:val="24"/>
          <w:szCs w:val="24"/>
        </w:rPr>
        <w:t>acitretin</w:t>
      </w:r>
      <w:proofErr w:type="spellEnd"/>
      <w:r w:rsidRPr="0025669D">
        <w:rPr>
          <w:rFonts w:ascii="Times New Roman" w:eastAsia="Malgun Gothic" w:hAnsi="Times New Roman" w:cs="Times New Roman"/>
          <w:sz w:val="24"/>
          <w:szCs w:val="24"/>
        </w:rPr>
        <w:t xml:space="preserve"> had been received by 81.5% of the patients. The proportion of patients with ≥ 75% improvement in PASI from baseline (PASI 75) at week 10 was 79.8% in the combined infliximab group, 71.7% in the 3 mg/kg infliximab group, 87.9% in the 5</w:t>
      </w:r>
      <w:r>
        <w:rPr>
          <w:rFonts w:ascii="Times New Roman" w:eastAsia="Malgun Gothic" w:hAnsi="Times New Roman" w:cs="Times New Roman"/>
          <w:sz w:val="24"/>
          <w:szCs w:val="24"/>
        </w:rPr>
        <w:t> </w:t>
      </w:r>
      <w:r w:rsidRPr="0025669D">
        <w:rPr>
          <w:rFonts w:ascii="Times New Roman" w:eastAsia="Malgun Gothic" w:hAnsi="Times New Roman" w:cs="Times New Roman"/>
          <w:sz w:val="24"/>
          <w:szCs w:val="24"/>
        </w:rPr>
        <w:t xml:space="preserve">mg/kg infliximab group, and 5.9% in the placebo group (p&lt;0.001 for each infliximab versus placebo comparison). At week 10, a significantly greater proportion of infliximab-treated patients, both in the combined group (51.5%) and in the individual groups (3 mg/kg: 45.5%; 5 mg/kg: 57.6%), achieved a marked response (≥ 90% improvement in PASI from baseline) compared to the placebo-treated patients (2.0%). In the 3 mg/kg group, 60.6% of </w:t>
      </w:r>
      <w:proofErr w:type="gramStart"/>
      <w:r w:rsidRPr="0025669D">
        <w:rPr>
          <w:rFonts w:ascii="Times New Roman" w:eastAsia="Malgun Gothic" w:hAnsi="Times New Roman" w:cs="Times New Roman"/>
          <w:sz w:val="24"/>
          <w:szCs w:val="24"/>
        </w:rPr>
        <w:t>patients</w:t>
      </w:r>
      <w:proofErr w:type="gramEnd"/>
      <w:r w:rsidRPr="0025669D">
        <w:rPr>
          <w:rFonts w:ascii="Times New Roman" w:eastAsia="Malgun Gothic" w:hAnsi="Times New Roman" w:cs="Times New Roman"/>
          <w:sz w:val="24"/>
          <w:szCs w:val="24"/>
        </w:rPr>
        <w:t xml:space="preserve"> maintained response through week 14 and 75.3% of patients in the 5 mg/kg group maintained response through week 18. By week 26, twenty weeks after the last induction dose, 30% of patients in the 5 mg/kg group and 13.8% of patients in the 3 mg/kg group were PASI 75 responders, suggesting the need for maintenance therapy.</w:t>
      </w:r>
    </w:p>
    <w:p w14:paraId="0A7A0A88" w14:textId="77777777" w:rsidR="004A10AE" w:rsidRPr="0025669D" w:rsidRDefault="004A10AE" w:rsidP="007947DB">
      <w:pPr>
        <w:spacing w:line="240" w:lineRule="auto"/>
        <w:jc w:val="left"/>
        <w:rPr>
          <w:rFonts w:ascii="Times New Roman" w:eastAsia="Malgun Gothic" w:hAnsi="Times New Roman" w:cs="Times New Roman"/>
          <w:sz w:val="24"/>
          <w:szCs w:val="24"/>
        </w:rPr>
      </w:pPr>
      <w:r w:rsidRPr="0025669D">
        <w:rPr>
          <w:rFonts w:ascii="Times New Roman" w:eastAsia="Malgun Gothic" w:hAnsi="Times New Roman" w:cs="Times New Roman"/>
          <w:sz w:val="24"/>
          <w:szCs w:val="24"/>
        </w:rPr>
        <w:t xml:space="preserve">Health related quality of life, was assessed with the Dermatology Life Quality Index (DLQI). The median baseline DLQI was 12. The median change from baseline in DLQI at week 10 was -8.0 and -10.0 for the infliximab 3 mg/kg and 5 mg/kg groups, respectively, compared with 0.0 in the placebo group (p&lt;0.001 for all infliximab versus placebo comparisons), demonstrating a substantial improvement in quality of life for patients on infliximab therapy. </w:t>
      </w:r>
    </w:p>
    <w:p w14:paraId="06F2AC2C" w14:textId="77777777" w:rsidR="004A10AE" w:rsidRPr="0025669D" w:rsidRDefault="004A10AE" w:rsidP="007947DB">
      <w:pPr>
        <w:spacing w:line="240" w:lineRule="auto"/>
        <w:jc w:val="left"/>
        <w:rPr>
          <w:rFonts w:ascii="Times New Roman" w:eastAsia="Malgun Gothic" w:hAnsi="Times New Roman" w:cs="Times New Roman"/>
          <w:sz w:val="24"/>
          <w:szCs w:val="24"/>
        </w:rPr>
      </w:pPr>
      <w:r w:rsidRPr="0025669D">
        <w:rPr>
          <w:rFonts w:ascii="Times New Roman" w:eastAsia="Malgun Gothic" w:hAnsi="Times New Roman" w:cs="Times New Roman"/>
          <w:sz w:val="24"/>
          <w:szCs w:val="24"/>
        </w:rPr>
        <w:t xml:space="preserve">EXPRESS evaluated the efficacy of infliximab induction and maintenance therapy in 378 patients with plaque psoriasis who were candidates for phototherapy or systemic therapy. Patients received 5 mg/kg infliximab or placebo infusions at weeks 0, 2 and 6 followed by maintenance therapy every 8 weeks through week 22 in the placebo group and through week 46 in the infliximab group. At week 24, the placebo group crossed over to infliximab induction therapy (5 mg/kg) followed by infliximab maintenance therapy (5 mg/kg). </w:t>
      </w:r>
    </w:p>
    <w:p w14:paraId="26C3C045" w14:textId="7C0971E4" w:rsidR="004A10AE" w:rsidRDefault="004A10AE" w:rsidP="007947DB">
      <w:pPr>
        <w:spacing w:line="240" w:lineRule="auto"/>
        <w:jc w:val="left"/>
        <w:rPr>
          <w:rFonts w:ascii="Times New Roman" w:eastAsia="Malgun Gothic" w:hAnsi="Times New Roman" w:cs="Times New Roman"/>
          <w:sz w:val="24"/>
          <w:szCs w:val="24"/>
        </w:rPr>
      </w:pPr>
      <w:r w:rsidRPr="0025669D">
        <w:rPr>
          <w:rFonts w:ascii="Times New Roman" w:eastAsia="Malgun Gothic" w:hAnsi="Times New Roman" w:cs="Times New Roman"/>
          <w:sz w:val="24"/>
          <w:szCs w:val="24"/>
        </w:rPr>
        <w:t xml:space="preserve">In EXPRESS, the median baseline BSA was 29%, the median baseline PASI score was 21.1 and the majority of patients (89.9%) had a PGA score of moderate, marked, or severe. Prior therapy with PUVA, methotrexate, </w:t>
      </w:r>
      <w:proofErr w:type="spellStart"/>
      <w:r w:rsidRPr="0025669D">
        <w:rPr>
          <w:rFonts w:ascii="Times New Roman" w:eastAsia="Malgun Gothic" w:hAnsi="Times New Roman" w:cs="Times New Roman"/>
          <w:sz w:val="24"/>
          <w:szCs w:val="24"/>
        </w:rPr>
        <w:t>cyclosporin</w:t>
      </w:r>
      <w:proofErr w:type="spellEnd"/>
      <w:r w:rsidRPr="0025669D">
        <w:rPr>
          <w:rFonts w:ascii="Times New Roman" w:eastAsia="Malgun Gothic" w:hAnsi="Times New Roman" w:cs="Times New Roman"/>
          <w:sz w:val="24"/>
          <w:szCs w:val="24"/>
        </w:rPr>
        <w:t xml:space="preserve">, or </w:t>
      </w:r>
      <w:proofErr w:type="spellStart"/>
      <w:r w:rsidRPr="0025669D">
        <w:rPr>
          <w:rFonts w:ascii="Times New Roman" w:eastAsia="Malgun Gothic" w:hAnsi="Times New Roman" w:cs="Times New Roman"/>
          <w:sz w:val="24"/>
          <w:szCs w:val="24"/>
        </w:rPr>
        <w:t>acitretin</w:t>
      </w:r>
      <w:proofErr w:type="spellEnd"/>
      <w:r w:rsidRPr="0025669D">
        <w:rPr>
          <w:rFonts w:ascii="Times New Roman" w:eastAsia="Malgun Gothic" w:hAnsi="Times New Roman" w:cs="Times New Roman"/>
          <w:sz w:val="24"/>
          <w:szCs w:val="24"/>
        </w:rPr>
        <w:t xml:space="preserve"> had been received by 71.4% of patients. At week 10 PASI 75 response was achieved by 80.4% in the infliximab group vs. a placebo group rate of 2.6%, p&lt;0.001). Median time to PASI 75 was between 2 and 6 weeks. </w:t>
      </w:r>
      <w:r w:rsidRPr="0025669D">
        <w:rPr>
          <w:rFonts w:ascii="Times New Roman" w:eastAsia="Malgun Gothic" w:hAnsi="Times New Roman" w:cs="Times New Roman"/>
          <w:sz w:val="24"/>
          <w:szCs w:val="24"/>
        </w:rPr>
        <w:lastRenderedPageBreak/>
        <w:t xml:space="preserve">Improvement in PASI was consistent across subgroups defined by baseline demographics, clinical disease characteristics and psoriasis medication history. Marked responses (PASI 90) at week 10 were achieved by 57.1% of the infliximab group compared to 1.3% in the placebo group (p&lt;0.001). The response was maintained through the 24 weeks, the placebo-controlled period. PASI response rates through week 50 are presented in </w:t>
      </w:r>
      <w:r w:rsidRPr="003D1EDB">
        <w:rPr>
          <w:rFonts w:ascii="Times New Roman" w:eastAsia="Malgun Gothic" w:hAnsi="Times New Roman" w:cs="Times New Roman"/>
          <w:sz w:val="24"/>
          <w:szCs w:val="24"/>
        </w:rPr>
        <w:fldChar w:fldCharType="begin"/>
      </w:r>
      <w:r w:rsidRPr="003D1EDB">
        <w:rPr>
          <w:rFonts w:ascii="Times New Roman" w:eastAsia="Malgun Gothic" w:hAnsi="Times New Roman" w:cs="Times New Roman"/>
          <w:sz w:val="24"/>
          <w:szCs w:val="24"/>
        </w:rPr>
        <w:instrText xml:space="preserve"> REF _Ref423968310 \h  \* MERGEFORMAT </w:instrText>
      </w:r>
      <w:r w:rsidRPr="003D1EDB">
        <w:rPr>
          <w:rFonts w:ascii="Times New Roman" w:eastAsia="Malgun Gothic" w:hAnsi="Times New Roman" w:cs="Times New Roman"/>
          <w:sz w:val="24"/>
          <w:szCs w:val="24"/>
        </w:rPr>
      </w:r>
      <w:r w:rsidRPr="003D1EDB">
        <w:rPr>
          <w:rFonts w:ascii="Times New Roman" w:eastAsia="Malgun Gothic" w:hAnsi="Times New Roman" w:cs="Times New Roman"/>
          <w:sz w:val="24"/>
          <w:szCs w:val="24"/>
        </w:rPr>
        <w:fldChar w:fldCharType="separate"/>
      </w:r>
      <w:r w:rsidR="005A6BF4" w:rsidRPr="005A6BF4">
        <w:rPr>
          <w:rFonts w:ascii="Times New Roman" w:hAnsi="Times New Roman" w:cs="Times New Roman"/>
          <w:sz w:val="24"/>
          <w:szCs w:val="24"/>
        </w:rPr>
        <w:t xml:space="preserve">Table </w:t>
      </w:r>
      <w:r w:rsidR="005A6BF4" w:rsidRPr="005A6BF4">
        <w:rPr>
          <w:rFonts w:ascii="Times New Roman" w:hAnsi="Times New Roman" w:cs="Times New Roman"/>
          <w:noProof/>
          <w:sz w:val="24"/>
          <w:szCs w:val="24"/>
        </w:rPr>
        <w:t>7</w:t>
      </w:r>
      <w:r w:rsidRPr="003D1EDB">
        <w:rPr>
          <w:rFonts w:ascii="Times New Roman" w:eastAsia="Malgun Gothic" w:hAnsi="Times New Roman" w:cs="Times New Roman"/>
          <w:sz w:val="24"/>
          <w:szCs w:val="24"/>
        </w:rPr>
        <w:fldChar w:fldCharType="end"/>
      </w:r>
      <w:r w:rsidRPr="0025669D">
        <w:rPr>
          <w:rFonts w:ascii="Times New Roman" w:eastAsia="Malgun Gothic" w:hAnsi="Times New Roman" w:cs="Times New Roman"/>
          <w:sz w:val="24"/>
          <w:szCs w:val="24"/>
        </w:rPr>
        <w:t>.</w:t>
      </w:r>
    </w:p>
    <w:p w14:paraId="11631FC2" w14:textId="77777777" w:rsidR="00501F29" w:rsidRPr="0025669D" w:rsidRDefault="00501F29" w:rsidP="007947DB">
      <w:pPr>
        <w:spacing w:line="240" w:lineRule="auto"/>
        <w:jc w:val="left"/>
        <w:rPr>
          <w:rFonts w:ascii="Times New Roman" w:eastAsia="Malgun Gothic" w:hAnsi="Times New Roman" w:cs="Times New Roman"/>
          <w:sz w:val="24"/>
          <w:szCs w:val="24"/>
        </w:rPr>
      </w:pPr>
    </w:p>
    <w:p w14:paraId="3EB3D7F4" w14:textId="0515794E" w:rsidR="004A10AE" w:rsidRPr="00F53E50" w:rsidRDefault="004A10AE" w:rsidP="007947DB">
      <w:pPr>
        <w:pStyle w:val="Caption"/>
        <w:keepNext/>
        <w:spacing w:after="0" w:line="240" w:lineRule="auto"/>
        <w:ind w:left="880" w:hangingChars="400" w:hanging="880"/>
        <w:rPr>
          <w:rFonts w:ascii="Times New Roman" w:hAnsi="Times New Roman" w:cs="Times New Roman"/>
          <w:sz w:val="22"/>
          <w:szCs w:val="22"/>
        </w:rPr>
      </w:pPr>
      <w:bookmarkStart w:id="6" w:name="_Ref423968310"/>
      <w:proofErr w:type="gramStart"/>
      <w:r w:rsidRPr="00F53E50">
        <w:rPr>
          <w:rFonts w:ascii="Times New Roman" w:hAnsi="Times New Roman" w:cs="Times New Roman"/>
          <w:sz w:val="22"/>
          <w:szCs w:val="22"/>
        </w:rPr>
        <w:t xml:space="preserve">Table </w:t>
      </w:r>
      <w:r w:rsidRPr="00F53E50">
        <w:rPr>
          <w:rFonts w:ascii="Times New Roman" w:hAnsi="Times New Roman" w:cs="Times New Roman"/>
          <w:sz w:val="22"/>
          <w:szCs w:val="22"/>
        </w:rPr>
        <w:fldChar w:fldCharType="begin"/>
      </w:r>
      <w:r w:rsidRPr="00F53E50">
        <w:rPr>
          <w:rFonts w:ascii="Times New Roman" w:hAnsi="Times New Roman" w:cs="Times New Roman"/>
          <w:sz w:val="22"/>
          <w:szCs w:val="22"/>
        </w:rPr>
        <w:instrText xml:space="preserve"> SEQ Table \* ARABIC </w:instrText>
      </w:r>
      <w:r w:rsidRPr="00F53E50">
        <w:rPr>
          <w:rFonts w:ascii="Times New Roman" w:hAnsi="Times New Roman" w:cs="Times New Roman"/>
          <w:sz w:val="22"/>
          <w:szCs w:val="22"/>
        </w:rPr>
        <w:fldChar w:fldCharType="separate"/>
      </w:r>
      <w:r w:rsidR="005A6BF4">
        <w:rPr>
          <w:rFonts w:ascii="Times New Roman" w:hAnsi="Times New Roman" w:cs="Times New Roman"/>
          <w:noProof/>
          <w:sz w:val="22"/>
          <w:szCs w:val="22"/>
        </w:rPr>
        <w:t>7</w:t>
      </w:r>
      <w:r w:rsidRPr="00F53E50">
        <w:rPr>
          <w:rFonts w:ascii="Times New Roman" w:hAnsi="Times New Roman" w:cs="Times New Roman"/>
          <w:sz w:val="22"/>
          <w:szCs w:val="22"/>
        </w:rPr>
        <w:fldChar w:fldCharType="end"/>
      </w:r>
      <w:bookmarkEnd w:id="6"/>
      <w:r w:rsidRPr="00F53E50">
        <w:rPr>
          <w:rFonts w:ascii="Times New Roman" w:hAnsi="Times New Roman" w:cs="Times New Roman"/>
          <w:sz w:val="22"/>
          <w:szCs w:val="22"/>
        </w:rPr>
        <w:t>.</w:t>
      </w:r>
      <w:proofErr w:type="gramEnd"/>
      <w:r w:rsidRPr="00F53E50">
        <w:rPr>
          <w:rFonts w:ascii="Times New Roman" w:hAnsi="Times New Roman" w:cs="Times New Roman"/>
          <w:sz w:val="22"/>
          <w:szCs w:val="22"/>
        </w:rPr>
        <w:t xml:space="preserve"> </w:t>
      </w:r>
      <w:r w:rsidRPr="007947DB">
        <w:rPr>
          <w:rFonts w:ascii="Times New Roman" w:hAnsi="Times New Roman" w:cs="Times New Roman"/>
          <w:sz w:val="22"/>
          <w:szCs w:val="22"/>
        </w:rPr>
        <w:t xml:space="preserve">Summary of PASI Response </w:t>
      </w:r>
      <w:proofErr w:type="gramStart"/>
      <w:r w:rsidRPr="007947DB">
        <w:rPr>
          <w:rFonts w:ascii="Times New Roman" w:hAnsi="Times New Roman" w:cs="Times New Roman"/>
          <w:sz w:val="22"/>
          <w:szCs w:val="22"/>
        </w:rPr>
        <w:t>Through</w:t>
      </w:r>
      <w:proofErr w:type="gramEnd"/>
      <w:r w:rsidRPr="007947DB">
        <w:rPr>
          <w:rFonts w:ascii="Times New Roman" w:hAnsi="Times New Roman" w:cs="Times New Roman"/>
          <w:sz w:val="22"/>
          <w:szCs w:val="22"/>
        </w:rPr>
        <w:t xml:space="preserve"> Week 50 by Visit EXPRESS</w:t>
      </w:r>
    </w:p>
    <w:tbl>
      <w:tblPr>
        <w:tblW w:w="5000" w:type="pct"/>
        <w:jc w:val="center"/>
        <w:tblCellMar>
          <w:left w:w="0" w:type="dxa"/>
          <w:right w:w="0" w:type="dxa"/>
        </w:tblCellMar>
        <w:tblLook w:val="0000" w:firstRow="0" w:lastRow="0" w:firstColumn="0" w:lastColumn="0" w:noHBand="0" w:noVBand="0"/>
      </w:tblPr>
      <w:tblGrid>
        <w:gridCol w:w="3005"/>
        <w:gridCol w:w="2257"/>
        <w:gridCol w:w="2257"/>
        <w:gridCol w:w="1507"/>
      </w:tblGrid>
      <w:tr w:rsidR="004A10AE" w:rsidRPr="0025669D" w14:paraId="078753F2" w14:textId="77777777" w:rsidTr="005A4B0D">
        <w:trPr>
          <w:cantSplit/>
          <w:trHeight w:val="498"/>
          <w:jc w:val="center"/>
        </w:trPr>
        <w:tc>
          <w:tcPr>
            <w:tcW w:w="1665" w:type="pct"/>
            <w:tcBorders>
              <w:top w:val="single" w:sz="4" w:space="0" w:color="auto"/>
              <w:left w:val="nil"/>
              <w:right w:val="nil"/>
            </w:tcBorders>
            <w:vAlign w:val="bottom"/>
          </w:tcPr>
          <w:p w14:paraId="14709106" w14:textId="77777777" w:rsidR="004A10AE" w:rsidRPr="0025669D" w:rsidRDefault="004A10AE" w:rsidP="007947DB">
            <w:pPr>
              <w:spacing w:after="0" w:line="240" w:lineRule="auto"/>
              <w:jc w:val="left"/>
              <w:rPr>
                <w:rFonts w:ascii="Times New Roman" w:eastAsia="Malgun Gothic" w:hAnsi="Times New Roman" w:cs="Times New Roman"/>
                <w:sz w:val="22"/>
                <w:lang w:val="en-GB"/>
              </w:rPr>
            </w:pPr>
          </w:p>
        </w:tc>
        <w:tc>
          <w:tcPr>
            <w:tcW w:w="1250" w:type="pct"/>
            <w:tcBorders>
              <w:top w:val="single" w:sz="4" w:space="0" w:color="auto"/>
              <w:left w:val="nil"/>
              <w:right w:val="nil"/>
            </w:tcBorders>
            <w:vAlign w:val="center"/>
          </w:tcPr>
          <w:p w14:paraId="3D783D71" w14:textId="77777777" w:rsidR="004A10AE" w:rsidRPr="0025669D" w:rsidRDefault="004A10AE" w:rsidP="007947DB">
            <w:pPr>
              <w:spacing w:after="0" w:line="240" w:lineRule="auto"/>
              <w:jc w:val="center"/>
              <w:rPr>
                <w:rFonts w:ascii="Times New Roman" w:eastAsia="Malgun Gothic" w:hAnsi="Times New Roman" w:cs="Times New Roman"/>
                <w:sz w:val="22"/>
                <w:lang w:val="en-GB"/>
              </w:rPr>
            </w:pPr>
            <w:r w:rsidRPr="0025669D">
              <w:rPr>
                <w:rFonts w:ascii="Times New Roman" w:eastAsia="Malgun Gothic" w:hAnsi="Times New Roman" w:cs="Times New Roman"/>
                <w:sz w:val="22"/>
                <w:lang w:val="en-GB"/>
              </w:rPr>
              <w:t>Placebo → Infliximab 5 mg/kg (at week 24)</w:t>
            </w:r>
          </w:p>
        </w:tc>
        <w:tc>
          <w:tcPr>
            <w:tcW w:w="1250" w:type="pct"/>
            <w:tcBorders>
              <w:top w:val="single" w:sz="4" w:space="0" w:color="auto"/>
              <w:left w:val="nil"/>
              <w:right w:val="nil"/>
            </w:tcBorders>
            <w:vAlign w:val="center"/>
          </w:tcPr>
          <w:p w14:paraId="48D9DC9C" w14:textId="77777777" w:rsidR="004A10AE" w:rsidRPr="0025669D" w:rsidRDefault="004A10AE" w:rsidP="007947DB">
            <w:pPr>
              <w:spacing w:after="0" w:line="240" w:lineRule="auto"/>
              <w:jc w:val="center"/>
              <w:rPr>
                <w:rFonts w:ascii="Times New Roman" w:eastAsia="Malgun Gothic" w:hAnsi="Times New Roman" w:cs="Times New Roman"/>
                <w:sz w:val="22"/>
                <w:lang w:val="en-GB"/>
              </w:rPr>
            </w:pPr>
            <w:r w:rsidRPr="0025669D">
              <w:rPr>
                <w:rFonts w:ascii="Times New Roman" w:eastAsia="Malgun Gothic" w:hAnsi="Times New Roman" w:cs="Times New Roman"/>
                <w:sz w:val="22"/>
                <w:lang w:val="en-GB"/>
              </w:rPr>
              <w:t>Infliximab 5 mg/kg</w:t>
            </w:r>
          </w:p>
        </w:tc>
        <w:tc>
          <w:tcPr>
            <w:tcW w:w="835" w:type="pct"/>
            <w:tcBorders>
              <w:top w:val="single" w:sz="4" w:space="0" w:color="auto"/>
              <w:left w:val="nil"/>
              <w:right w:val="nil"/>
            </w:tcBorders>
            <w:vAlign w:val="center"/>
          </w:tcPr>
          <w:p w14:paraId="68F12E3A" w14:textId="77777777" w:rsidR="004A10AE" w:rsidRPr="0025669D" w:rsidRDefault="004A10AE" w:rsidP="007947DB">
            <w:pPr>
              <w:spacing w:after="0" w:line="240" w:lineRule="auto"/>
              <w:jc w:val="center"/>
              <w:rPr>
                <w:rFonts w:ascii="Times New Roman" w:eastAsia="Malgun Gothic" w:hAnsi="Times New Roman" w:cs="Times New Roman"/>
                <w:sz w:val="22"/>
                <w:lang w:val="en-GB"/>
              </w:rPr>
            </w:pPr>
            <w:r w:rsidRPr="0025669D">
              <w:rPr>
                <w:rFonts w:ascii="Times New Roman" w:eastAsia="Malgun Gothic" w:hAnsi="Times New Roman" w:cs="Times New Roman"/>
                <w:sz w:val="22"/>
                <w:lang w:val="en-GB"/>
              </w:rPr>
              <w:t>P-value</w:t>
            </w:r>
          </w:p>
        </w:tc>
      </w:tr>
      <w:tr w:rsidR="004A10AE" w:rsidRPr="0025669D" w14:paraId="345BD4B6" w14:textId="77777777" w:rsidTr="005A4B0D">
        <w:trPr>
          <w:cantSplit/>
          <w:trHeight w:val="320"/>
          <w:jc w:val="center"/>
        </w:trPr>
        <w:tc>
          <w:tcPr>
            <w:tcW w:w="1665" w:type="pct"/>
            <w:tcBorders>
              <w:left w:val="nil"/>
              <w:bottom w:val="nil"/>
              <w:right w:val="nil"/>
            </w:tcBorders>
            <w:vAlign w:val="bottom"/>
          </w:tcPr>
          <w:p w14:paraId="6DAC1B77" w14:textId="77777777" w:rsidR="004A10AE" w:rsidRPr="0025669D" w:rsidRDefault="004A10AE" w:rsidP="007947DB">
            <w:pPr>
              <w:spacing w:after="0" w:line="240" w:lineRule="auto"/>
              <w:jc w:val="left"/>
              <w:rPr>
                <w:rFonts w:ascii="Times New Roman" w:eastAsia="Malgun Gothic" w:hAnsi="Times New Roman" w:cs="Times New Roman"/>
                <w:sz w:val="22"/>
                <w:lang w:val="en-GB"/>
              </w:rPr>
            </w:pPr>
            <w:r w:rsidRPr="0025669D">
              <w:rPr>
                <w:rFonts w:ascii="Times New Roman" w:eastAsia="Malgun Gothic" w:hAnsi="Times New Roman" w:cs="Times New Roman"/>
                <w:sz w:val="22"/>
                <w:lang w:val="en-GB"/>
              </w:rPr>
              <w:t>Week 2</w:t>
            </w:r>
          </w:p>
        </w:tc>
        <w:tc>
          <w:tcPr>
            <w:tcW w:w="1250" w:type="pct"/>
            <w:tcBorders>
              <w:left w:val="nil"/>
              <w:bottom w:val="nil"/>
              <w:right w:val="nil"/>
            </w:tcBorders>
            <w:vAlign w:val="bottom"/>
          </w:tcPr>
          <w:p w14:paraId="7EA6990A" w14:textId="77777777" w:rsidR="004A10AE" w:rsidRPr="0025669D" w:rsidRDefault="004A10AE" w:rsidP="007947DB">
            <w:pPr>
              <w:spacing w:after="0" w:line="240" w:lineRule="auto"/>
              <w:jc w:val="center"/>
              <w:rPr>
                <w:rFonts w:ascii="Times New Roman" w:eastAsia="Malgun Gothic" w:hAnsi="Times New Roman" w:cs="Times New Roman"/>
                <w:sz w:val="22"/>
                <w:lang w:val="en-GB"/>
              </w:rPr>
            </w:pPr>
          </w:p>
        </w:tc>
        <w:tc>
          <w:tcPr>
            <w:tcW w:w="1250" w:type="pct"/>
            <w:tcBorders>
              <w:left w:val="nil"/>
              <w:bottom w:val="nil"/>
              <w:right w:val="nil"/>
            </w:tcBorders>
            <w:vAlign w:val="bottom"/>
          </w:tcPr>
          <w:p w14:paraId="584A1BBA" w14:textId="77777777" w:rsidR="004A10AE" w:rsidRPr="0025669D" w:rsidRDefault="004A10AE" w:rsidP="007947DB">
            <w:pPr>
              <w:spacing w:after="0" w:line="240" w:lineRule="auto"/>
              <w:jc w:val="center"/>
              <w:rPr>
                <w:rFonts w:ascii="Times New Roman" w:eastAsia="Malgun Gothic" w:hAnsi="Times New Roman" w:cs="Times New Roman"/>
                <w:sz w:val="22"/>
                <w:lang w:val="en-GB"/>
              </w:rPr>
            </w:pPr>
          </w:p>
        </w:tc>
        <w:tc>
          <w:tcPr>
            <w:tcW w:w="835" w:type="pct"/>
            <w:tcBorders>
              <w:left w:val="nil"/>
              <w:bottom w:val="nil"/>
              <w:right w:val="nil"/>
            </w:tcBorders>
            <w:vAlign w:val="bottom"/>
          </w:tcPr>
          <w:p w14:paraId="2E169B98" w14:textId="77777777" w:rsidR="004A10AE" w:rsidRPr="0025669D" w:rsidRDefault="004A10AE" w:rsidP="007947DB">
            <w:pPr>
              <w:spacing w:after="0" w:line="240" w:lineRule="auto"/>
              <w:jc w:val="center"/>
              <w:rPr>
                <w:rFonts w:ascii="Times New Roman" w:eastAsia="Malgun Gothic" w:hAnsi="Times New Roman" w:cs="Times New Roman"/>
                <w:sz w:val="22"/>
                <w:lang w:val="en-GB"/>
              </w:rPr>
            </w:pPr>
          </w:p>
        </w:tc>
      </w:tr>
      <w:tr w:rsidR="004A10AE" w:rsidRPr="0025669D" w14:paraId="1A2BB1EA" w14:textId="77777777" w:rsidTr="005A4B0D">
        <w:trPr>
          <w:cantSplit/>
          <w:trHeight w:val="320"/>
          <w:jc w:val="center"/>
        </w:trPr>
        <w:tc>
          <w:tcPr>
            <w:tcW w:w="1665" w:type="pct"/>
            <w:tcBorders>
              <w:left w:val="nil"/>
              <w:bottom w:val="nil"/>
              <w:right w:val="nil"/>
            </w:tcBorders>
            <w:vAlign w:val="bottom"/>
          </w:tcPr>
          <w:p w14:paraId="41FC1053" w14:textId="77777777" w:rsidR="004A10AE" w:rsidRPr="0025669D" w:rsidRDefault="004A10AE" w:rsidP="007947DB">
            <w:pPr>
              <w:spacing w:after="0" w:line="240" w:lineRule="auto"/>
              <w:jc w:val="left"/>
              <w:rPr>
                <w:rFonts w:ascii="Times New Roman" w:eastAsia="Malgun Gothic" w:hAnsi="Times New Roman" w:cs="Times New Roman"/>
                <w:sz w:val="22"/>
                <w:lang w:val="en-GB"/>
              </w:rPr>
            </w:pPr>
            <w:r w:rsidRPr="0025669D">
              <w:rPr>
                <w:rFonts w:ascii="Times New Roman" w:eastAsia="Malgun Gothic" w:hAnsi="Times New Roman" w:cs="Times New Roman"/>
                <w:sz w:val="22"/>
                <w:lang w:val="en-GB"/>
              </w:rPr>
              <w:t>n</w:t>
            </w:r>
          </w:p>
        </w:tc>
        <w:tc>
          <w:tcPr>
            <w:tcW w:w="1250" w:type="pct"/>
            <w:tcBorders>
              <w:left w:val="nil"/>
              <w:bottom w:val="nil"/>
              <w:right w:val="nil"/>
            </w:tcBorders>
            <w:vAlign w:val="bottom"/>
          </w:tcPr>
          <w:p w14:paraId="7E0B218E" w14:textId="77777777" w:rsidR="004A10AE" w:rsidRPr="0025669D" w:rsidRDefault="004A10AE" w:rsidP="007947DB">
            <w:pPr>
              <w:spacing w:after="0" w:line="240" w:lineRule="auto"/>
              <w:jc w:val="center"/>
              <w:rPr>
                <w:rFonts w:ascii="Times New Roman" w:eastAsia="Malgun Gothic" w:hAnsi="Times New Roman" w:cs="Times New Roman"/>
                <w:sz w:val="22"/>
                <w:lang w:val="en-GB"/>
              </w:rPr>
            </w:pPr>
            <w:r w:rsidRPr="0025669D">
              <w:rPr>
                <w:rFonts w:ascii="Times New Roman" w:eastAsia="Malgun Gothic" w:hAnsi="Times New Roman" w:cs="Times New Roman"/>
                <w:sz w:val="22"/>
                <w:lang w:val="en-GB"/>
              </w:rPr>
              <w:t>77</w:t>
            </w:r>
          </w:p>
        </w:tc>
        <w:tc>
          <w:tcPr>
            <w:tcW w:w="1250" w:type="pct"/>
            <w:tcBorders>
              <w:left w:val="nil"/>
              <w:bottom w:val="nil"/>
              <w:right w:val="nil"/>
            </w:tcBorders>
            <w:vAlign w:val="bottom"/>
          </w:tcPr>
          <w:p w14:paraId="0C1349E3" w14:textId="77777777" w:rsidR="004A10AE" w:rsidRPr="0025669D" w:rsidRDefault="004A10AE" w:rsidP="007947DB">
            <w:pPr>
              <w:spacing w:after="0" w:line="240" w:lineRule="auto"/>
              <w:jc w:val="center"/>
              <w:rPr>
                <w:rFonts w:ascii="Times New Roman" w:eastAsia="Malgun Gothic" w:hAnsi="Times New Roman" w:cs="Times New Roman"/>
                <w:sz w:val="22"/>
                <w:lang w:val="en-GB"/>
              </w:rPr>
            </w:pPr>
            <w:r w:rsidRPr="0025669D">
              <w:rPr>
                <w:rFonts w:ascii="Times New Roman" w:eastAsia="Malgun Gothic" w:hAnsi="Times New Roman" w:cs="Times New Roman"/>
                <w:sz w:val="22"/>
                <w:lang w:val="en-GB"/>
              </w:rPr>
              <w:t>298</w:t>
            </w:r>
          </w:p>
        </w:tc>
        <w:tc>
          <w:tcPr>
            <w:tcW w:w="835" w:type="pct"/>
            <w:tcBorders>
              <w:left w:val="nil"/>
              <w:bottom w:val="nil"/>
              <w:right w:val="nil"/>
            </w:tcBorders>
            <w:vAlign w:val="bottom"/>
          </w:tcPr>
          <w:p w14:paraId="5B064256" w14:textId="77777777" w:rsidR="004A10AE" w:rsidRPr="0025669D" w:rsidRDefault="004A10AE" w:rsidP="007947DB">
            <w:pPr>
              <w:spacing w:after="0" w:line="240" w:lineRule="auto"/>
              <w:jc w:val="center"/>
              <w:rPr>
                <w:rFonts w:ascii="Times New Roman" w:eastAsia="Malgun Gothic" w:hAnsi="Times New Roman" w:cs="Times New Roman"/>
                <w:sz w:val="22"/>
                <w:lang w:val="en-GB"/>
              </w:rPr>
            </w:pPr>
          </w:p>
        </w:tc>
      </w:tr>
      <w:tr w:rsidR="004A10AE" w:rsidRPr="0025669D" w14:paraId="7400B6D8" w14:textId="77777777" w:rsidTr="005A4B0D">
        <w:trPr>
          <w:cantSplit/>
          <w:trHeight w:val="320"/>
          <w:jc w:val="center"/>
        </w:trPr>
        <w:tc>
          <w:tcPr>
            <w:tcW w:w="1665" w:type="pct"/>
            <w:tcBorders>
              <w:left w:val="nil"/>
              <w:bottom w:val="nil"/>
              <w:right w:val="nil"/>
            </w:tcBorders>
            <w:vAlign w:val="bottom"/>
          </w:tcPr>
          <w:p w14:paraId="19551B3A" w14:textId="77777777" w:rsidR="004A10AE" w:rsidRPr="0025669D" w:rsidRDefault="004A10AE" w:rsidP="007947DB">
            <w:pPr>
              <w:spacing w:after="0" w:line="240" w:lineRule="auto"/>
              <w:ind w:firstLineChars="100" w:firstLine="220"/>
              <w:jc w:val="left"/>
              <w:rPr>
                <w:rFonts w:ascii="Times New Roman" w:eastAsia="Malgun Gothic" w:hAnsi="Times New Roman" w:cs="Times New Roman"/>
                <w:sz w:val="22"/>
                <w:lang w:val="en-GB"/>
              </w:rPr>
            </w:pPr>
            <w:r w:rsidRPr="0025669D">
              <w:rPr>
                <w:rFonts w:ascii="Times New Roman" w:eastAsia="Malgun Gothic" w:hAnsi="Times New Roman" w:cs="Times New Roman"/>
                <w:sz w:val="22"/>
                <w:lang w:val="en-GB"/>
              </w:rPr>
              <w:t>≥90% improvement</w:t>
            </w:r>
          </w:p>
        </w:tc>
        <w:tc>
          <w:tcPr>
            <w:tcW w:w="1250" w:type="pct"/>
            <w:tcBorders>
              <w:left w:val="nil"/>
              <w:bottom w:val="nil"/>
              <w:right w:val="nil"/>
            </w:tcBorders>
            <w:vAlign w:val="bottom"/>
          </w:tcPr>
          <w:p w14:paraId="710242E7" w14:textId="77777777" w:rsidR="004A10AE" w:rsidRPr="0025669D" w:rsidRDefault="004A10AE" w:rsidP="007947DB">
            <w:pPr>
              <w:spacing w:after="0" w:line="240" w:lineRule="auto"/>
              <w:jc w:val="center"/>
              <w:rPr>
                <w:rFonts w:ascii="Times New Roman" w:eastAsia="Malgun Gothic" w:hAnsi="Times New Roman" w:cs="Times New Roman"/>
                <w:sz w:val="22"/>
                <w:lang w:val="en-GB"/>
              </w:rPr>
            </w:pPr>
            <w:r w:rsidRPr="0025669D">
              <w:rPr>
                <w:rFonts w:ascii="Times New Roman" w:eastAsia="Malgun Gothic" w:hAnsi="Times New Roman" w:cs="Times New Roman"/>
                <w:sz w:val="22"/>
                <w:lang w:val="en-GB"/>
              </w:rPr>
              <w:t>0 (0.0%)</w:t>
            </w:r>
          </w:p>
        </w:tc>
        <w:tc>
          <w:tcPr>
            <w:tcW w:w="1250" w:type="pct"/>
            <w:tcBorders>
              <w:left w:val="nil"/>
              <w:bottom w:val="nil"/>
              <w:right w:val="nil"/>
            </w:tcBorders>
            <w:vAlign w:val="bottom"/>
          </w:tcPr>
          <w:p w14:paraId="7ECD9904" w14:textId="77777777" w:rsidR="004A10AE" w:rsidRPr="0025669D" w:rsidRDefault="004A10AE" w:rsidP="007947DB">
            <w:pPr>
              <w:spacing w:after="0" w:line="240" w:lineRule="auto"/>
              <w:jc w:val="center"/>
              <w:rPr>
                <w:rFonts w:ascii="Times New Roman" w:eastAsia="Malgun Gothic" w:hAnsi="Times New Roman" w:cs="Times New Roman"/>
                <w:sz w:val="22"/>
                <w:lang w:val="en-GB"/>
              </w:rPr>
            </w:pPr>
            <w:r w:rsidRPr="0025669D">
              <w:rPr>
                <w:rFonts w:ascii="Times New Roman" w:eastAsia="Malgun Gothic" w:hAnsi="Times New Roman" w:cs="Times New Roman"/>
                <w:sz w:val="22"/>
                <w:lang w:val="en-GB"/>
              </w:rPr>
              <w:t>3 (1.0%)</w:t>
            </w:r>
          </w:p>
        </w:tc>
        <w:tc>
          <w:tcPr>
            <w:tcW w:w="835" w:type="pct"/>
            <w:tcBorders>
              <w:left w:val="nil"/>
              <w:bottom w:val="nil"/>
              <w:right w:val="nil"/>
            </w:tcBorders>
            <w:vAlign w:val="bottom"/>
          </w:tcPr>
          <w:p w14:paraId="30742D75" w14:textId="77777777" w:rsidR="004A10AE" w:rsidRPr="0025669D" w:rsidRDefault="004A10AE" w:rsidP="007947DB">
            <w:pPr>
              <w:spacing w:after="0" w:line="240" w:lineRule="auto"/>
              <w:jc w:val="center"/>
              <w:rPr>
                <w:rFonts w:ascii="Times New Roman" w:eastAsia="Malgun Gothic" w:hAnsi="Times New Roman" w:cs="Times New Roman"/>
                <w:sz w:val="22"/>
                <w:lang w:val="en-GB"/>
              </w:rPr>
            </w:pPr>
          </w:p>
        </w:tc>
      </w:tr>
      <w:tr w:rsidR="004A10AE" w:rsidRPr="0025669D" w14:paraId="0176572A" w14:textId="77777777" w:rsidTr="005A4B0D">
        <w:trPr>
          <w:cantSplit/>
          <w:trHeight w:val="320"/>
          <w:jc w:val="center"/>
        </w:trPr>
        <w:tc>
          <w:tcPr>
            <w:tcW w:w="1665" w:type="pct"/>
            <w:tcBorders>
              <w:left w:val="nil"/>
              <w:bottom w:val="nil"/>
              <w:right w:val="nil"/>
            </w:tcBorders>
            <w:vAlign w:val="bottom"/>
          </w:tcPr>
          <w:p w14:paraId="5A737866" w14:textId="77777777" w:rsidR="004A10AE" w:rsidRPr="0025669D" w:rsidRDefault="004A10AE" w:rsidP="007947DB">
            <w:pPr>
              <w:spacing w:after="0" w:line="240" w:lineRule="auto"/>
              <w:ind w:firstLineChars="100" w:firstLine="220"/>
              <w:jc w:val="left"/>
              <w:rPr>
                <w:rFonts w:ascii="Times New Roman" w:eastAsia="Malgun Gothic" w:hAnsi="Times New Roman" w:cs="Times New Roman"/>
                <w:sz w:val="22"/>
                <w:lang w:val="en-GB"/>
              </w:rPr>
            </w:pPr>
            <w:r w:rsidRPr="0025669D">
              <w:rPr>
                <w:rFonts w:ascii="Times New Roman" w:eastAsia="Malgun Gothic" w:hAnsi="Times New Roman" w:cs="Times New Roman"/>
                <w:sz w:val="22"/>
                <w:lang w:val="en-GB"/>
              </w:rPr>
              <w:t>≥75% improvement</w:t>
            </w:r>
          </w:p>
        </w:tc>
        <w:tc>
          <w:tcPr>
            <w:tcW w:w="1250" w:type="pct"/>
            <w:tcBorders>
              <w:left w:val="nil"/>
              <w:bottom w:val="nil"/>
              <w:right w:val="nil"/>
            </w:tcBorders>
            <w:vAlign w:val="bottom"/>
          </w:tcPr>
          <w:p w14:paraId="1ADECB88" w14:textId="77777777" w:rsidR="004A10AE" w:rsidRPr="0025669D" w:rsidRDefault="004A10AE" w:rsidP="007947DB">
            <w:pPr>
              <w:spacing w:after="0" w:line="240" w:lineRule="auto"/>
              <w:jc w:val="center"/>
              <w:rPr>
                <w:rFonts w:ascii="Times New Roman" w:eastAsia="Malgun Gothic" w:hAnsi="Times New Roman" w:cs="Times New Roman"/>
                <w:sz w:val="22"/>
                <w:lang w:val="en-GB"/>
              </w:rPr>
            </w:pPr>
            <w:r w:rsidRPr="0025669D">
              <w:rPr>
                <w:rFonts w:ascii="Times New Roman" w:eastAsia="Malgun Gothic" w:hAnsi="Times New Roman" w:cs="Times New Roman"/>
                <w:sz w:val="22"/>
                <w:lang w:val="en-GB"/>
              </w:rPr>
              <w:t>0 (0.0%)</w:t>
            </w:r>
          </w:p>
        </w:tc>
        <w:tc>
          <w:tcPr>
            <w:tcW w:w="1250" w:type="pct"/>
            <w:tcBorders>
              <w:left w:val="nil"/>
              <w:bottom w:val="nil"/>
              <w:right w:val="nil"/>
            </w:tcBorders>
            <w:vAlign w:val="bottom"/>
          </w:tcPr>
          <w:p w14:paraId="7032D826" w14:textId="77777777" w:rsidR="004A10AE" w:rsidRPr="0025669D" w:rsidRDefault="004A10AE" w:rsidP="007947DB">
            <w:pPr>
              <w:spacing w:after="0" w:line="240" w:lineRule="auto"/>
              <w:jc w:val="center"/>
              <w:rPr>
                <w:rFonts w:ascii="Times New Roman" w:eastAsia="Malgun Gothic" w:hAnsi="Times New Roman" w:cs="Times New Roman"/>
                <w:sz w:val="22"/>
                <w:lang w:val="en-GB"/>
              </w:rPr>
            </w:pPr>
            <w:r w:rsidRPr="0025669D">
              <w:rPr>
                <w:rFonts w:ascii="Times New Roman" w:eastAsia="Malgun Gothic" w:hAnsi="Times New Roman" w:cs="Times New Roman"/>
                <w:sz w:val="22"/>
                <w:lang w:val="en-GB"/>
              </w:rPr>
              <w:t>16 (5.4%)</w:t>
            </w:r>
          </w:p>
        </w:tc>
        <w:tc>
          <w:tcPr>
            <w:tcW w:w="835" w:type="pct"/>
            <w:tcBorders>
              <w:left w:val="nil"/>
              <w:bottom w:val="nil"/>
              <w:right w:val="nil"/>
            </w:tcBorders>
            <w:vAlign w:val="bottom"/>
          </w:tcPr>
          <w:p w14:paraId="699B2F66" w14:textId="77777777" w:rsidR="004A10AE" w:rsidRPr="0025669D" w:rsidRDefault="004A10AE" w:rsidP="007947DB">
            <w:pPr>
              <w:spacing w:after="0" w:line="240" w:lineRule="auto"/>
              <w:jc w:val="center"/>
              <w:rPr>
                <w:rFonts w:ascii="Times New Roman" w:eastAsia="Malgun Gothic" w:hAnsi="Times New Roman" w:cs="Times New Roman"/>
                <w:sz w:val="22"/>
                <w:lang w:val="en-GB"/>
              </w:rPr>
            </w:pPr>
          </w:p>
        </w:tc>
      </w:tr>
      <w:tr w:rsidR="004A10AE" w:rsidRPr="0025669D" w14:paraId="7E9A8EAE" w14:textId="77777777" w:rsidTr="005A4B0D">
        <w:trPr>
          <w:cantSplit/>
          <w:trHeight w:val="320"/>
          <w:jc w:val="center"/>
        </w:trPr>
        <w:tc>
          <w:tcPr>
            <w:tcW w:w="1665" w:type="pct"/>
            <w:tcBorders>
              <w:left w:val="nil"/>
              <w:right w:val="nil"/>
            </w:tcBorders>
            <w:vAlign w:val="bottom"/>
          </w:tcPr>
          <w:p w14:paraId="33FAAA72" w14:textId="77777777" w:rsidR="004A10AE" w:rsidRPr="0025669D" w:rsidRDefault="004A10AE" w:rsidP="007947DB">
            <w:pPr>
              <w:spacing w:after="0" w:line="240" w:lineRule="auto"/>
              <w:ind w:firstLineChars="100" w:firstLine="220"/>
              <w:jc w:val="left"/>
              <w:rPr>
                <w:rFonts w:ascii="Times New Roman" w:eastAsia="Malgun Gothic" w:hAnsi="Times New Roman" w:cs="Times New Roman"/>
                <w:sz w:val="22"/>
                <w:lang w:val="en-GB"/>
              </w:rPr>
            </w:pPr>
            <w:r w:rsidRPr="0025669D">
              <w:rPr>
                <w:rFonts w:ascii="Times New Roman" w:eastAsia="Malgun Gothic" w:hAnsi="Times New Roman" w:cs="Times New Roman"/>
                <w:sz w:val="22"/>
                <w:lang w:val="en-GB"/>
              </w:rPr>
              <w:t>≥50% improvement</w:t>
            </w:r>
          </w:p>
        </w:tc>
        <w:tc>
          <w:tcPr>
            <w:tcW w:w="1250" w:type="pct"/>
            <w:tcBorders>
              <w:left w:val="nil"/>
              <w:right w:val="nil"/>
            </w:tcBorders>
            <w:vAlign w:val="bottom"/>
          </w:tcPr>
          <w:p w14:paraId="32699622" w14:textId="77777777" w:rsidR="004A10AE" w:rsidRPr="0025669D" w:rsidRDefault="004A10AE" w:rsidP="007947DB">
            <w:pPr>
              <w:spacing w:after="0" w:line="240" w:lineRule="auto"/>
              <w:jc w:val="center"/>
              <w:rPr>
                <w:rFonts w:ascii="Times New Roman" w:eastAsia="Malgun Gothic" w:hAnsi="Times New Roman" w:cs="Times New Roman"/>
                <w:sz w:val="22"/>
                <w:lang w:val="en-GB"/>
              </w:rPr>
            </w:pPr>
            <w:r w:rsidRPr="0025669D">
              <w:rPr>
                <w:rFonts w:ascii="Times New Roman" w:eastAsia="Malgun Gothic" w:hAnsi="Times New Roman" w:cs="Times New Roman"/>
                <w:sz w:val="22"/>
                <w:lang w:val="en-GB"/>
              </w:rPr>
              <w:t>3 (3.9%)</w:t>
            </w:r>
          </w:p>
        </w:tc>
        <w:tc>
          <w:tcPr>
            <w:tcW w:w="1250" w:type="pct"/>
            <w:tcBorders>
              <w:left w:val="nil"/>
              <w:right w:val="nil"/>
            </w:tcBorders>
            <w:vAlign w:val="bottom"/>
          </w:tcPr>
          <w:p w14:paraId="17B1569B" w14:textId="77777777" w:rsidR="004A10AE" w:rsidRPr="0025669D" w:rsidRDefault="004A10AE" w:rsidP="007947DB">
            <w:pPr>
              <w:spacing w:after="0" w:line="240" w:lineRule="auto"/>
              <w:jc w:val="center"/>
              <w:rPr>
                <w:rFonts w:ascii="Times New Roman" w:eastAsia="Malgun Gothic" w:hAnsi="Times New Roman" w:cs="Times New Roman"/>
                <w:sz w:val="22"/>
                <w:lang w:val="en-GB"/>
              </w:rPr>
            </w:pPr>
            <w:r w:rsidRPr="0025669D">
              <w:rPr>
                <w:rFonts w:ascii="Times New Roman" w:eastAsia="Malgun Gothic" w:hAnsi="Times New Roman" w:cs="Times New Roman"/>
                <w:sz w:val="22"/>
                <w:lang w:val="en-GB"/>
              </w:rPr>
              <w:t>106 (35.6%)</w:t>
            </w:r>
          </w:p>
        </w:tc>
        <w:tc>
          <w:tcPr>
            <w:tcW w:w="835" w:type="pct"/>
            <w:tcBorders>
              <w:left w:val="nil"/>
              <w:right w:val="nil"/>
            </w:tcBorders>
            <w:vAlign w:val="bottom"/>
          </w:tcPr>
          <w:p w14:paraId="095435A4" w14:textId="77777777" w:rsidR="004A10AE" w:rsidRPr="0025669D" w:rsidRDefault="004A10AE" w:rsidP="007947DB">
            <w:pPr>
              <w:spacing w:after="0" w:line="240" w:lineRule="auto"/>
              <w:jc w:val="center"/>
              <w:rPr>
                <w:rFonts w:ascii="Times New Roman" w:eastAsia="Malgun Gothic" w:hAnsi="Times New Roman" w:cs="Times New Roman"/>
                <w:sz w:val="22"/>
                <w:lang w:val="en-GB"/>
              </w:rPr>
            </w:pPr>
          </w:p>
        </w:tc>
      </w:tr>
      <w:tr w:rsidR="004A10AE" w:rsidRPr="0025669D" w14:paraId="5B8E2B15" w14:textId="77777777" w:rsidTr="005A4B0D">
        <w:trPr>
          <w:cantSplit/>
          <w:trHeight w:val="320"/>
          <w:jc w:val="center"/>
        </w:trPr>
        <w:tc>
          <w:tcPr>
            <w:tcW w:w="1665" w:type="pct"/>
            <w:tcBorders>
              <w:left w:val="nil"/>
              <w:bottom w:val="nil"/>
              <w:right w:val="nil"/>
            </w:tcBorders>
            <w:vAlign w:val="bottom"/>
          </w:tcPr>
          <w:p w14:paraId="0A60B751" w14:textId="77777777" w:rsidR="004A10AE" w:rsidRPr="0025669D" w:rsidRDefault="004A10AE" w:rsidP="007947DB">
            <w:pPr>
              <w:spacing w:after="0" w:line="240" w:lineRule="auto"/>
              <w:jc w:val="left"/>
              <w:rPr>
                <w:rFonts w:ascii="Times New Roman" w:eastAsia="Malgun Gothic" w:hAnsi="Times New Roman" w:cs="Times New Roman"/>
                <w:sz w:val="22"/>
                <w:lang w:val="en-GB"/>
              </w:rPr>
            </w:pPr>
            <w:r w:rsidRPr="0025669D">
              <w:rPr>
                <w:rFonts w:ascii="Times New Roman" w:eastAsia="Malgun Gothic" w:hAnsi="Times New Roman" w:cs="Times New Roman"/>
                <w:sz w:val="22"/>
                <w:lang w:val="en-GB"/>
              </w:rPr>
              <w:t>Week 6</w:t>
            </w:r>
          </w:p>
        </w:tc>
        <w:tc>
          <w:tcPr>
            <w:tcW w:w="1250" w:type="pct"/>
            <w:tcBorders>
              <w:left w:val="nil"/>
              <w:bottom w:val="nil"/>
              <w:right w:val="nil"/>
            </w:tcBorders>
            <w:vAlign w:val="bottom"/>
          </w:tcPr>
          <w:p w14:paraId="3B655127" w14:textId="77777777" w:rsidR="004A10AE" w:rsidRPr="0025669D" w:rsidRDefault="004A10AE" w:rsidP="007947DB">
            <w:pPr>
              <w:spacing w:after="0" w:line="240" w:lineRule="auto"/>
              <w:jc w:val="center"/>
              <w:rPr>
                <w:rFonts w:ascii="Times New Roman" w:eastAsia="Malgun Gothic" w:hAnsi="Times New Roman" w:cs="Times New Roman"/>
                <w:sz w:val="22"/>
                <w:lang w:val="en-GB"/>
              </w:rPr>
            </w:pPr>
          </w:p>
        </w:tc>
        <w:tc>
          <w:tcPr>
            <w:tcW w:w="1250" w:type="pct"/>
            <w:tcBorders>
              <w:left w:val="nil"/>
              <w:bottom w:val="nil"/>
              <w:right w:val="nil"/>
            </w:tcBorders>
            <w:vAlign w:val="bottom"/>
          </w:tcPr>
          <w:p w14:paraId="38E71DE2" w14:textId="77777777" w:rsidR="004A10AE" w:rsidRPr="0025669D" w:rsidRDefault="004A10AE" w:rsidP="007947DB">
            <w:pPr>
              <w:spacing w:after="0" w:line="240" w:lineRule="auto"/>
              <w:jc w:val="center"/>
              <w:rPr>
                <w:rFonts w:ascii="Times New Roman" w:eastAsia="Malgun Gothic" w:hAnsi="Times New Roman" w:cs="Times New Roman"/>
                <w:sz w:val="22"/>
                <w:lang w:val="en-GB"/>
              </w:rPr>
            </w:pPr>
          </w:p>
        </w:tc>
        <w:tc>
          <w:tcPr>
            <w:tcW w:w="835" w:type="pct"/>
            <w:tcBorders>
              <w:left w:val="nil"/>
              <w:bottom w:val="nil"/>
              <w:right w:val="nil"/>
            </w:tcBorders>
            <w:vAlign w:val="bottom"/>
          </w:tcPr>
          <w:p w14:paraId="15724357" w14:textId="77777777" w:rsidR="004A10AE" w:rsidRPr="0025669D" w:rsidRDefault="004A10AE" w:rsidP="007947DB">
            <w:pPr>
              <w:spacing w:after="0" w:line="240" w:lineRule="auto"/>
              <w:jc w:val="center"/>
              <w:rPr>
                <w:rFonts w:ascii="Times New Roman" w:eastAsia="Malgun Gothic" w:hAnsi="Times New Roman" w:cs="Times New Roman"/>
                <w:sz w:val="22"/>
                <w:lang w:val="en-GB"/>
              </w:rPr>
            </w:pPr>
          </w:p>
        </w:tc>
      </w:tr>
      <w:tr w:rsidR="004A10AE" w:rsidRPr="0025669D" w14:paraId="448C34B9" w14:textId="77777777" w:rsidTr="005A4B0D">
        <w:trPr>
          <w:cantSplit/>
          <w:trHeight w:val="320"/>
          <w:jc w:val="center"/>
        </w:trPr>
        <w:tc>
          <w:tcPr>
            <w:tcW w:w="1665" w:type="pct"/>
            <w:tcBorders>
              <w:top w:val="nil"/>
              <w:left w:val="nil"/>
              <w:bottom w:val="nil"/>
              <w:right w:val="nil"/>
            </w:tcBorders>
            <w:vAlign w:val="bottom"/>
          </w:tcPr>
          <w:p w14:paraId="7817B398" w14:textId="77777777" w:rsidR="004A10AE" w:rsidRPr="0025669D" w:rsidRDefault="004A10AE" w:rsidP="007947DB">
            <w:pPr>
              <w:spacing w:after="0" w:line="240" w:lineRule="auto"/>
              <w:jc w:val="left"/>
              <w:rPr>
                <w:rFonts w:ascii="Times New Roman" w:eastAsia="Malgun Gothic" w:hAnsi="Times New Roman" w:cs="Times New Roman"/>
                <w:sz w:val="22"/>
                <w:lang w:val="en-GB"/>
              </w:rPr>
            </w:pPr>
            <w:r w:rsidRPr="0025669D">
              <w:rPr>
                <w:rFonts w:ascii="Times New Roman" w:eastAsia="Malgun Gothic" w:hAnsi="Times New Roman" w:cs="Times New Roman"/>
                <w:sz w:val="22"/>
                <w:lang w:val="en-GB"/>
              </w:rPr>
              <w:t>n</w:t>
            </w:r>
          </w:p>
        </w:tc>
        <w:tc>
          <w:tcPr>
            <w:tcW w:w="1250" w:type="pct"/>
            <w:tcBorders>
              <w:top w:val="nil"/>
              <w:left w:val="nil"/>
              <w:bottom w:val="nil"/>
              <w:right w:val="nil"/>
            </w:tcBorders>
            <w:vAlign w:val="bottom"/>
          </w:tcPr>
          <w:p w14:paraId="4051CECC" w14:textId="77777777" w:rsidR="004A10AE" w:rsidRPr="0025669D" w:rsidRDefault="004A10AE" w:rsidP="007947DB">
            <w:pPr>
              <w:spacing w:after="0" w:line="240" w:lineRule="auto"/>
              <w:jc w:val="center"/>
              <w:rPr>
                <w:rFonts w:ascii="Times New Roman" w:eastAsia="Malgun Gothic" w:hAnsi="Times New Roman" w:cs="Times New Roman"/>
                <w:sz w:val="22"/>
                <w:lang w:val="en-GB"/>
              </w:rPr>
            </w:pPr>
            <w:r w:rsidRPr="0025669D">
              <w:rPr>
                <w:rFonts w:ascii="Times New Roman" w:eastAsia="Malgun Gothic" w:hAnsi="Times New Roman" w:cs="Times New Roman"/>
                <w:sz w:val="22"/>
                <w:lang w:val="en-GB"/>
              </w:rPr>
              <w:t>77</w:t>
            </w:r>
          </w:p>
        </w:tc>
        <w:tc>
          <w:tcPr>
            <w:tcW w:w="1250" w:type="pct"/>
            <w:tcBorders>
              <w:top w:val="nil"/>
              <w:left w:val="nil"/>
              <w:bottom w:val="nil"/>
              <w:right w:val="nil"/>
            </w:tcBorders>
            <w:vAlign w:val="bottom"/>
          </w:tcPr>
          <w:p w14:paraId="1D773643" w14:textId="77777777" w:rsidR="004A10AE" w:rsidRPr="0025669D" w:rsidRDefault="004A10AE" w:rsidP="007947DB">
            <w:pPr>
              <w:spacing w:after="0" w:line="240" w:lineRule="auto"/>
              <w:jc w:val="center"/>
              <w:rPr>
                <w:rFonts w:ascii="Times New Roman" w:eastAsia="Malgun Gothic" w:hAnsi="Times New Roman" w:cs="Times New Roman"/>
                <w:sz w:val="22"/>
                <w:lang w:val="en-GB"/>
              </w:rPr>
            </w:pPr>
            <w:r w:rsidRPr="0025669D">
              <w:rPr>
                <w:rFonts w:ascii="Times New Roman" w:eastAsia="Malgun Gothic" w:hAnsi="Times New Roman" w:cs="Times New Roman"/>
                <w:sz w:val="22"/>
                <w:lang w:val="en-GB"/>
              </w:rPr>
              <w:t>295</w:t>
            </w:r>
          </w:p>
        </w:tc>
        <w:tc>
          <w:tcPr>
            <w:tcW w:w="835" w:type="pct"/>
            <w:tcBorders>
              <w:top w:val="nil"/>
              <w:left w:val="nil"/>
              <w:bottom w:val="nil"/>
              <w:right w:val="nil"/>
            </w:tcBorders>
            <w:vAlign w:val="bottom"/>
          </w:tcPr>
          <w:p w14:paraId="01696D21" w14:textId="77777777" w:rsidR="004A10AE" w:rsidRPr="0025669D" w:rsidRDefault="004A10AE" w:rsidP="007947DB">
            <w:pPr>
              <w:spacing w:after="0" w:line="240" w:lineRule="auto"/>
              <w:jc w:val="center"/>
              <w:rPr>
                <w:rFonts w:ascii="Times New Roman" w:eastAsia="Malgun Gothic" w:hAnsi="Times New Roman" w:cs="Times New Roman"/>
                <w:sz w:val="22"/>
                <w:lang w:val="en-GB"/>
              </w:rPr>
            </w:pPr>
          </w:p>
        </w:tc>
      </w:tr>
      <w:tr w:rsidR="004A10AE" w:rsidRPr="0025669D" w14:paraId="31A1225C" w14:textId="77777777" w:rsidTr="005A4B0D">
        <w:trPr>
          <w:cantSplit/>
          <w:trHeight w:val="320"/>
          <w:jc w:val="center"/>
        </w:trPr>
        <w:tc>
          <w:tcPr>
            <w:tcW w:w="1665" w:type="pct"/>
            <w:tcBorders>
              <w:top w:val="nil"/>
              <w:left w:val="nil"/>
              <w:bottom w:val="nil"/>
              <w:right w:val="nil"/>
            </w:tcBorders>
            <w:vAlign w:val="bottom"/>
          </w:tcPr>
          <w:p w14:paraId="51CF7DB7" w14:textId="77777777" w:rsidR="004A10AE" w:rsidRPr="0025669D" w:rsidRDefault="004A10AE" w:rsidP="007947DB">
            <w:pPr>
              <w:spacing w:after="0" w:line="240" w:lineRule="auto"/>
              <w:ind w:firstLineChars="100" w:firstLine="220"/>
              <w:jc w:val="left"/>
              <w:rPr>
                <w:rFonts w:ascii="Times New Roman" w:eastAsia="Malgun Gothic" w:hAnsi="Times New Roman" w:cs="Times New Roman"/>
                <w:sz w:val="22"/>
                <w:lang w:val="en-GB"/>
              </w:rPr>
            </w:pPr>
            <w:r w:rsidRPr="0025669D">
              <w:rPr>
                <w:rFonts w:ascii="Times New Roman" w:eastAsia="Malgun Gothic" w:hAnsi="Times New Roman" w:cs="Times New Roman"/>
                <w:sz w:val="22"/>
                <w:lang w:val="en-GB"/>
              </w:rPr>
              <w:t>≥90% improvement</w:t>
            </w:r>
          </w:p>
        </w:tc>
        <w:tc>
          <w:tcPr>
            <w:tcW w:w="1250" w:type="pct"/>
            <w:tcBorders>
              <w:top w:val="nil"/>
              <w:left w:val="nil"/>
              <w:bottom w:val="nil"/>
              <w:right w:val="nil"/>
            </w:tcBorders>
            <w:vAlign w:val="bottom"/>
          </w:tcPr>
          <w:p w14:paraId="2016B8FD" w14:textId="77777777" w:rsidR="004A10AE" w:rsidRPr="0025669D" w:rsidRDefault="004A10AE" w:rsidP="007947DB">
            <w:pPr>
              <w:spacing w:after="0" w:line="240" w:lineRule="auto"/>
              <w:jc w:val="center"/>
              <w:rPr>
                <w:rFonts w:ascii="Times New Roman" w:eastAsia="Malgun Gothic" w:hAnsi="Times New Roman" w:cs="Times New Roman"/>
                <w:sz w:val="22"/>
                <w:lang w:val="en-GB"/>
              </w:rPr>
            </w:pPr>
            <w:r w:rsidRPr="0025669D">
              <w:rPr>
                <w:rFonts w:ascii="Times New Roman" w:eastAsia="Malgun Gothic" w:hAnsi="Times New Roman" w:cs="Times New Roman"/>
                <w:sz w:val="22"/>
                <w:lang w:val="en-GB"/>
              </w:rPr>
              <w:t>1 (1.3%)</w:t>
            </w:r>
          </w:p>
        </w:tc>
        <w:tc>
          <w:tcPr>
            <w:tcW w:w="1250" w:type="pct"/>
            <w:tcBorders>
              <w:top w:val="nil"/>
              <w:left w:val="nil"/>
              <w:bottom w:val="nil"/>
              <w:right w:val="nil"/>
            </w:tcBorders>
            <w:vAlign w:val="bottom"/>
          </w:tcPr>
          <w:p w14:paraId="22C37DC8" w14:textId="77777777" w:rsidR="004A10AE" w:rsidRPr="0025669D" w:rsidRDefault="004A10AE" w:rsidP="007947DB">
            <w:pPr>
              <w:spacing w:after="0" w:line="240" w:lineRule="auto"/>
              <w:jc w:val="center"/>
              <w:rPr>
                <w:rFonts w:ascii="Times New Roman" w:eastAsia="Malgun Gothic" w:hAnsi="Times New Roman" w:cs="Times New Roman"/>
                <w:sz w:val="22"/>
                <w:lang w:val="en-GB"/>
              </w:rPr>
            </w:pPr>
            <w:r w:rsidRPr="0025669D">
              <w:rPr>
                <w:rFonts w:ascii="Times New Roman" w:eastAsia="Malgun Gothic" w:hAnsi="Times New Roman" w:cs="Times New Roman"/>
                <w:sz w:val="22"/>
                <w:lang w:val="en-GB"/>
              </w:rPr>
              <w:t>94 (31.9%)</w:t>
            </w:r>
          </w:p>
        </w:tc>
        <w:tc>
          <w:tcPr>
            <w:tcW w:w="835" w:type="pct"/>
            <w:tcBorders>
              <w:top w:val="nil"/>
              <w:left w:val="nil"/>
              <w:bottom w:val="nil"/>
              <w:right w:val="nil"/>
            </w:tcBorders>
            <w:vAlign w:val="bottom"/>
          </w:tcPr>
          <w:p w14:paraId="40BD1A27" w14:textId="77777777" w:rsidR="004A10AE" w:rsidRPr="0025669D" w:rsidRDefault="004A10AE" w:rsidP="007947DB">
            <w:pPr>
              <w:spacing w:after="0" w:line="240" w:lineRule="auto"/>
              <w:jc w:val="center"/>
              <w:rPr>
                <w:rFonts w:ascii="Times New Roman" w:eastAsia="Malgun Gothic" w:hAnsi="Times New Roman" w:cs="Times New Roman"/>
                <w:sz w:val="22"/>
                <w:lang w:val="en-GB"/>
              </w:rPr>
            </w:pPr>
          </w:p>
        </w:tc>
      </w:tr>
      <w:tr w:rsidR="004A10AE" w:rsidRPr="0025669D" w14:paraId="688E02EA" w14:textId="77777777" w:rsidTr="005A4B0D">
        <w:trPr>
          <w:cantSplit/>
          <w:trHeight w:val="320"/>
          <w:jc w:val="center"/>
        </w:trPr>
        <w:tc>
          <w:tcPr>
            <w:tcW w:w="1665" w:type="pct"/>
            <w:tcBorders>
              <w:top w:val="nil"/>
              <w:left w:val="nil"/>
              <w:bottom w:val="nil"/>
              <w:right w:val="nil"/>
            </w:tcBorders>
            <w:vAlign w:val="bottom"/>
          </w:tcPr>
          <w:p w14:paraId="0DAFF53F" w14:textId="77777777" w:rsidR="004A10AE" w:rsidRPr="0025669D" w:rsidRDefault="004A10AE" w:rsidP="007947DB">
            <w:pPr>
              <w:spacing w:after="0" w:line="240" w:lineRule="auto"/>
              <w:ind w:firstLineChars="100" w:firstLine="220"/>
              <w:jc w:val="left"/>
              <w:rPr>
                <w:rFonts w:ascii="Times New Roman" w:eastAsia="Malgun Gothic" w:hAnsi="Times New Roman" w:cs="Times New Roman"/>
                <w:sz w:val="22"/>
                <w:lang w:val="en-GB"/>
              </w:rPr>
            </w:pPr>
            <w:r w:rsidRPr="0025669D">
              <w:rPr>
                <w:rFonts w:ascii="Times New Roman" w:eastAsia="Malgun Gothic" w:hAnsi="Times New Roman" w:cs="Times New Roman"/>
                <w:sz w:val="22"/>
                <w:lang w:val="en-GB"/>
              </w:rPr>
              <w:t>≥75% improvement</w:t>
            </w:r>
          </w:p>
        </w:tc>
        <w:tc>
          <w:tcPr>
            <w:tcW w:w="1250" w:type="pct"/>
            <w:tcBorders>
              <w:top w:val="nil"/>
              <w:left w:val="nil"/>
              <w:bottom w:val="nil"/>
              <w:right w:val="nil"/>
            </w:tcBorders>
            <w:vAlign w:val="bottom"/>
          </w:tcPr>
          <w:p w14:paraId="326032DA" w14:textId="77777777" w:rsidR="004A10AE" w:rsidRPr="0025669D" w:rsidRDefault="004A10AE" w:rsidP="007947DB">
            <w:pPr>
              <w:spacing w:after="0" w:line="240" w:lineRule="auto"/>
              <w:jc w:val="center"/>
              <w:rPr>
                <w:rFonts w:ascii="Times New Roman" w:eastAsia="Malgun Gothic" w:hAnsi="Times New Roman" w:cs="Times New Roman"/>
                <w:sz w:val="22"/>
                <w:lang w:val="en-GB"/>
              </w:rPr>
            </w:pPr>
            <w:r w:rsidRPr="0025669D">
              <w:rPr>
                <w:rFonts w:ascii="Times New Roman" w:eastAsia="Malgun Gothic" w:hAnsi="Times New Roman" w:cs="Times New Roman"/>
                <w:sz w:val="22"/>
                <w:lang w:val="en-GB"/>
              </w:rPr>
              <w:t>4 (5.2%)</w:t>
            </w:r>
          </w:p>
        </w:tc>
        <w:tc>
          <w:tcPr>
            <w:tcW w:w="1250" w:type="pct"/>
            <w:tcBorders>
              <w:top w:val="nil"/>
              <w:left w:val="nil"/>
              <w:bottom w:val="nil"/>
              <w:right w:val="nil"/>
            </w:tcBorders>
            <w:vAlign w:val="bottom"/>
          </w:tcPr>
          <w:p w14:paraId="2F8B9B2E" w14:textId="77777777" w:rsidR="004A10AE" w:rsidRPr="0025669D" w:rsidRDefault="004A10AE" w:rsidP="007947DB">
            <w:pPr>
              <w:spacing w:after="0" w:line="240" w:lineRule="auto"/>
              <w:jc w:val="center"/>
              <w:rPr>
                <w:rFonts w:ascii="Times New Roman" w:eastAsia="Malgun Gothic" w:hAnsi="Times New Roman" w:cs="Times New Roman"/>
                <w:sz w:val="22"/>
                <w:lang w:val="en-GB"/>
              </w:rPr>
            </w:pPr>
            <w:r w:rsidRPr="0025669D">
              <w:rPr>
                <w:rFonts w:ascii="Times New Roman" w:eastAsia="Malgun Gothic" w:hAnsi="Times New Roman" w:cs="Times New Roman"/>
                <w:sz w:val="22"/>
                <w:lang w:val="en-GB"/>
              </w:rPr>
              <w:t>184 (62.4%)</w:t>
            </w:r>
          </w:p>
        </w:tc>
        <w:tc>
          <w:tcPr>
            <w:tcW w:w="835" w:type="pct"/>
            <w:tcBorders>
              <w:top w:val="nil"/>
              <w:left w:val="nil"/>
              <w:bottom w:val="nil"/>
              <w:right w:val="nil"/>
            </w:tcBorders>
            <w:vAlign w:val="bottom"/>
          </w:tcPr>
          <w:p w14:paraId="19CD0037" w14:textId="77777777" w:rsidR="004A10AE" w:rsidRPr="0025669D" w:rsidRDefault="004A10AE" w:rsidP="007947DB">
            <w:pPr>
              <w:spacing w:after="0" w:line="240" w:lineRule="auto"/>
              <w:jc w:val="center"/>
              <w:rPr>
                <w:rFonts w:ascii="Times New Roman" w:eastAsia="Malgun Gothic" w:hAnsi="Times New Roman" w:cs="Times New Roman"/>
                <w:sz w:val="22"/>
                <w:lang w:val="en-GB"/>
              </w:rPr>
            </w:pPr>
          </w:p>
        </w:tc>
      </w:tr>
      <w:tr w:rsidR="004A10AE" w:rsidRPr="0025669D" w14:paraId="1DAF4F86" w14:textId="77777777" w:rsidTr="005A4B0D">
        <w:trPr>
          <w:cantSplit/>
          <w:trHeight w:val="320"/>
          <w:jc w:val="center"/>
        </w:trPr>
        <w:tc>
          <w:tcPr>
            <w:tcW w:w="1665" w:type="pct"/>
            <w:tcBorders>
              <w:top w:val="nil"/>
              <w:left w:val="nil"/>
              <w:bottom w:val="nil"/>
              <w:right w:val="nil"/>
            </w:tcBorders>
            <w:vAlign w:val="bottom"/>
          </w:tcPr>
          <w:p w14:paraId="2B12A90B" w14:textId="77777777" w:rsidR="004A10AE" w:rsidRPr="0025669D" w:rsidRDefault="004A10AE" w:rsidP="007947DB">
            <w:pPr>
              <w:spacing w:after="0" w:line="240" w:lineRule="auto"/>
              <w:ind w:firstLineChars="100" w:firstLine="220"/>
              <w:jc w:val="left"/>
              <w:rPr>
                <w:rFonts w:ascii="Times New Roman" w:eastAsia="Malgun Gothic" w:hAnsi="Times New Roman" w:cs="Times New Roman"/>
                <w:sz w:val="22"/>
                <w:lang w:val="en-GB"/>
              </w:rPr>
            </w:pPr>
            <w:r w:rsidRPr="0025669D">
              <w:rPr>
                <w:rFonts w:ascii="Times New Roman" w:eastAsia="Malgun Gothic" w:hAnsi="Times New Roman" w:cs="Times New Roman"/>
                <w:sz w:val="22"/>
                <w:lang w:val="en-GB"/>
              </w:rPr>
              <w:t>≥50% improvement</w:t>
            </w:r>
          </w:p>
        </w:tc>
        <w:tc>
          <w:tcPr>
            <w:tcW w:w="1250" w:type="pct"/>
            <w:tcBorders>
              <w:top w:val="nil"/>
              <w:left w:val="nil"/>
              <w:bottom w:val="nil"/>
              <w:right w:val="nil"/>
            </w:tcBorders>
            <w:vAlign w:val="bottom"/>
          </w:tcPr>
          <w:p w14:paraId="05EBE344" w14:textId="77777777" w:rsidR="004A10AE" w:rsidRPr="0025669D" w:rsidRDefault="004A10AE" w:rsidP="007947DB">
            <w:pPr>
              <w:spacing w:after="0" w:line="240" w:lineRule="auto"/>
              <w:jc w:val="center"/>
              <w:rPr>
                <w:rFonts w:ascii="Times New Roman" w:eastAsia="Malgun Gothic" w:hAnsi="Times New Roman" w:cs="Times New Roman"/>
                <w:sz w:val="22"/>
                <w:lang w:val="en-GB"/>
              </w:rPr>
            </w:pPr>
            <w:r w:rsidRPr="0025669D">
              <w:rPr>
                <w:rFonts w:ascii="Times New Roman" w:eastAsia="Malgun Gothic" w:hAnsi="Times New Roman" w:cs="Times New Roman"/>
                <w:sz w:val="22"/>
                <w:lang w:val="en-GB"/>
              </w:rPr>
              <w:t>6 (7.8%)</w:t>
            </w:r>
          </w:p>
        </w:tc>
        <w:tc>
          <w:tcPr>
            <w:tcW w:w="1250" w:type="pct"/>
            <w:tcBorders>
              <w:top w:val="nil"/>
              <w:left w:val="nil"/>
              <w:bottom w:val="nil"/>
              <w:right w:val="nil"/>
            </w:tcBorders>
            <w:vAlign w:val="bottom"/>
          </w:tcPr>
          <w:p w14:paraId="457A5A21" w14:textId="77777777" w:rsidR="004A10AE" w:rsidRPr="0025669D" w:rsidRDefault="004A10AE" w:rsidP="007947DB">
            <w:pPr>
              <w:spacing w:after="0" w:line="240" w:lineRule="auto"/>
              <w:jc w:val="center"/>
              <w:rPr>
                <w:rFonts w:ascii="Times New Roman" w:eastAsia="Malgun Gothic" w:hAnsi="Times New Roman" w:cs="Times New Roman"/>
                <w:sz w:val="22"/>
                <w:lang w:val="en-GB"/>
              </w:rPr>
            </w:pPr>
            <w:r w:rsidRPr="0025669D">
              <w:rPr>
                <w:rFonts w:ascii="Times New Roman" w:eastAsia="Malgun Gothic" w:hAnsi="Times New Roman" w:cs="Times New Roman"/>
                <w:sz w:val="22"/>
                <w:lang w:val="en-GB"/>
              </w:rPr>
              <w:t>264 (89.5%)</w:t>
            </w:r>
          </w:p>
        </w:tc>
        <w:tc>
          <w:tcPr>
            <w:tcW w:w="835" w:type="pct"/>
            <w:tcBorders>
              <w:top w:val="nil"/>
              <w:left w:val="nil"/>
              <w:bottom w:val="nil"/>
              <w:right w:val="nil"/>
            </w:tcBorders>
            <w:vAlign w:val="bottom"/>
          </w:tcPr>
          <w:p w14:paraId="01E08733" w14:textId="77777777" w:rsidR="004A10AE" w:rsidRPr="0025669D" w:rsidRDefault="004A10AE" w:rsidP="007947DB">
            <w:pPr>
              <w:spacing w:after="0" w:line="240" w:lineRule="auto"/>
              <w:jc w:val="center"/>
              <w:rPr>
                <w:rFonts w:ascii="Times New Roman" w:eastAsia="Malgun Gothic" w:hAnsi="Times New Roman" w:cs="Times New Roman"/>
                <w:sz w:val="22"/>
                <w:lang w:val="en-GB"/>
              </w:rPr>
            </w:pPr>
          </w:p>
        </w:tc>
      </w:tr>
      <w:tr w:rsidR="004A10AE" w:rsidRPr="0025669D" w14:paraId="1DC59382" w14:textId="77777777" w:rsidTr="005A4B0D">
        <w:trPr>
          <w:cantSplit/>
          <w:trHeight w:val="320"/>
          <w:jc w:val="center"/>
        </w:trPr>
        <w:tc>
          <w:tcPr>
            <w:tcW w:w="1665" w:type="pct"/>
            <w:tcBorders>
              <w:top w:val="nil"/>
              <w:left w:val="nil"/>
              <w:bottom w:val="nil"/>
              <w:right w:val="nil"/>
            </w:tcBorders>
            <w:vAlign w:val="bottom"/>
          </w:tcPr>
          <w:p w14:paraId="698A90A9" w14:textId="77777777" w:rsidR="004A10AE" w:rsidRPr="0025669D" w:rsidRDefault="004A10AE" w:rsidP="007947DB">
            <w:pPr>
              <w:spacing w:after="0" w:line="240" w:lineRule="auto"/>
              <w:jc w:val="left"/>
              <w:rPr>
                <w:rFonts w:ascii="Times New Roman" w:eastAsia="Malgun Gothic" w:hAnsi="Times New Roman" w:cs="Times New Roman"/>
                <w:sz w:val="22"/>
                <w:lang w:val="en-GB"/>
              </w:rPr>
            </w:pPr>
            <w:r w:rsidRPr="0025669D">
              <w:rPr>
                <w:rFonts w:ascii="Times New Roman" w:eastAsia="Malgun Gothic" w:hAnsi="Times New Roman" w:cs="Times New Roman"/>
                <w:sz w:val="22"/>
                <w:lang w:val="en-GB"/>
              </w:rPr>
              <w:t>Week 10</w:t>
            </w:r>
          </w:p>
        </w:tc>
        <w:tc>
          <w:tcPr>
            <w:tcW w:w="1250" w:type="pct"/>
            <w:tcBorders>
              <w:top w:val="nil"/>
              <w:left w:val="nil"/>
              <w:bottom w:val="nil"/>
              <w:right w:val="nil"/>
            </w:tcBorders>
            <w:vAlign w:val="bottom"/>
          </w:tcPr>
          <w:p w14:paraId="03DC9118" w14:textId="77777777" w:rsidR="004A10AE" w:rsidRPr="0025669D" w:rsidRDefault="004A10AE" w:rsidP="007947DB">
            <w:pPr>
              <w:spacing w:after="0" w:line="240" w:lineRule="auto"/>
              <w:jc w:val="center"/>
              <w:rPr>
                <w:rFonts w:ascii="Times New Roman" w:eastAsia="Malgun Gothic" w:hAnsi="Times New Roman" w:cs="Times New Roman"/>
                <w:sz w:val="22"/>
                <w:lang w:val="en-GB"/>
              </w:rPr>
            </w:pPr>
          </w:p>
        </w:tc>
        <w:tc>
          <w:tcPr>
            <w:tcW w:w="1250" w:type="pct"/>
            <w:tcBorders>
              <w:top w:val="nil"/>
              <w:left w:val="nil"/>
              <w:bottom w:val="nil"/>
              <w:right w:val="nil"/>
            </w:tcBorders>
            <w:vAlign w:val="bottom"/>
          </w:tcPr>
          <w:p w14:paraId="3FB6F633" w14:textId="77777777" w:rsidR="004A10AE" w:rsidRPr="0025669D" w:rsidRDefault="004A10AE" w:rsidP="007947DB">
            <w:pPr>
              <w:spacing w:after="0" w:line="240" w:lineRule="auto"/>
              <w:jc w:val="center"/>
              <w:rPr>
                <w:rFonts w:ascii="Times New Roman" w:eastAsia="Malgun Gothic" w:hAnsi="Times New Roman" w:cs="Times New Roman"/>
                <w:sz w:val="22"/>
                <w:lang w:val="en-GB"/>
              </w:rPr>
            </w:pPr>
          </w:p>
        </w:tc>
        <w:tc>
          <w:tcPr>
            <w:tcW w:w="835" w:type="pct"/>
            <w:tcBorders>
              <w:top w:val="nil"/>
              <w:left w:val="nil"/>
              <w:bottom w:val="nil"/>
              <w:right w:val="nil"/>
            </w:tcBorders>
            <w:vAlign w:val="bottom"/>
          </w:tcPr>
          <w:p w14:paraId="690FCA02" w14:textId="77777777" w:rsidR="004A10AE" w:rsidRPr="0025669D" w:rsidRDefault="004A10AE" w:rsidP="007947DB">
            <w:pPr>
              <w:spacing w:after="0" w:line="240" w:lineRule="auto"/>
              <w:jc w:val="center"/>
              <w:rPr>
                <w:rFonts w:ascii="Times New Roman" w:eastAsia="Malgun Gothic" w:hAnsi="Times New Roman" w:cs="Times New Roman"/>
                <w:sz w:val="22"/>
                <w:lang w:val="en-GB"/>
              </w:rPr>
            </w:pPr>
          </w:p>
        </w:tc>
      </w:tr>
      <w:tr w:rsidR="004A10AE" w:rsidRPr="0025669D" w14:paraId="6B6607A8" w14:textId="77777777" w:rsidTr="005A4B0D">
        <w:trPr>
          <w:cantSplit/>
          <w:trHeight w:val="320"/>
          <w:jc w:val="center"/>
        </w:trPr>
        <w:tc>
          <w:tcPr>
            <w:tcW w:w="1665" w:type="pct"/>
            <w:tcBorders>
              <w:top w:val="nil"/>
              <w:left w:val="nil"/>
              <w:bottom w:val="nil"/>
              <w:right w:val="nil"/>
            </w:tcBorders>
            <w:vAlign w:val="bottom"/>
          </w:tcPr>
          <w:p w14:paraId="3FB8A177" w14:textId="77777777" w:rsidR="004A10AE" w:rsidRPr="0025669D" w:rsidRDefault="004A10AE" w:rsidP="007947DB">
            <w:pPr>
              <w:spacing w:after="0" w:line="240" w:lineRule="auto"/>
              <w:jc w:val="left"/>
              <w:rPr>
                <w:rFonts w:ascii="Times New Roman" w:eastAsia="Malgun Gothic" w:hAnsi="Times New Roman" w:cs="Times New Roman"/>
                <w:sz w:val="22"/>
                <w:lang w:val="en-GB"/>
              </w:rPr>
            </w:pPr>
            <w:r w:rsidRPr="0025669D">
              <w:rPr>
                <w:rFonts w:ascii="Times New Roman" w:eastAsia="Malgun Gothic" w:hAnsi="Times New Roman" w:cs="Times New Roman"/>
                <w:sz w:val="22"/>
                <w:lang w:val="en-GB"/>
              </w:rPr>
              <w:t>n</w:t>
            </w:r>
          </w:p>
        </w:tc>
        <w:tc>
          <w:tcPr>
            <w:tcW w:w="1250" w:type="pct"/>
            <w:tcBorders>
              <w:top w:val="nil"/>
              <w:left w:val="nil"/>
              <w:bottom w:val="nil"/>
              <w:right w:val="nil"/>
            </w:tcBorders>
            <w:vAlign w:val="bottom"/>
          </w:tcPr>
          <w:p w14:paraId="291737C3" w14:textId="77777777" w:rsidR="004A10AE" w:rsidRPr="0025669D" w:rsidRDefault="004A10AE" w:rsidP="007947DB">
            <w:pPr>
              <w:spacing w:after="0" w:line="240" w:lineRule="auto"/>
              <w:jc w:val="center"/>
              <w:rPr>
                <w:rFonts w:ascii="Times New Roman" w:eastAsia="Malgun Gothic" w:hAnsi="Times New Roman" w:cs="Times New Roman"/>
                <w:sz w:val="22"/>
                <w:lang w:val="en-GB"/>
              </w:rPr>
            </w:pPr>
            <w:r w:rsidRPr="0025669D">
              <w:rPr>
                <w:rFonts w:ascii="Times New Roman" w:eastAsia="Malgun Gothic" w:hAnsi="Times New Roman" w:cs="Times New Roman"/>
                <w:sz w:val="22"/>
                <w:lang w:val="en-GB"/>
              </w:rPr>
              <w:t>77</w:t>
            </w:r>
          </w:p>
        </w:tc>
        <w:tc>
          <w:tcPr>
            <w:tcW w:w="1250" w:type="pct"/>
            <w:tcBorders>
              <w:top w:val="nil"/>
              <w:left w:val="nil"/>
              <w:bottom w:val="nil"/>
              <w:right w:val="nil"/>
            </w:tcBorders>
            <w:vAlign w:val="bottom"/>
          </w:tcPr>
          <w:p w14:paraId="7AC2EC08" w14:textId="77777777" w:rsidR="004A10AE" w:rsidRPr="0025669D" w:rsidRDefault="004A10AE" w:rsidP="007947DB">
            <w:pPr>
              <w:spacing w:after="0" w:line="240" w:lineRule="auto"/>
              <w:jc w:val="center"/>
              <w:rPr>
                <w:rFonts w:ascii="Times New Roman" w:eastAsia="Malgun Gothic" w:hAnsi="Times New Roman" w:cs="Times New Roman"/>
                <w:sz w:val="22"/>
                <w:lang w:val="en-GB"/>
              </w:rPr>
            </w:pPr>
            <w:r w:rsidRPr="0025669D">
              <w:rPr>
                <w:rFonts w:ascii="Times New Roman" w:eastAsia="Malgun Gothic" w:hAnsi="Times New Roman" w:cs="Times New Roman"/>
                <w:sz w:val="22"/>
                <w:lang w:val="en-GB"/>
              </w:rPr>
              <w:t>301</w:t>
            </w:r>
          </w:p>
        </w:tc>
        <w:tc>
          <w:tcPr>
            <w:tcW w:w="835" w:type="pct"/>
            <w:tcBorders>
              <w:top w:val="nil"/>
              <w:left w:val="nil"/>
              <w:bottom w:val="nil"/>
              <w:right w:val="nil"/>
            </w:tcBorders>
            <w:vAlign w:val="bottom"/>
          </w:tcPr>
          <w:p w14:paraId="22E5F7F4" w14:textId="77777777" w:rsidR="004A10AE" w:rsidRPr="0025669D" w:rsidRDefault="004A10AE" w:rsidP="007947DB">
            <w:pPr>
              <w:spacing w:after="0" w:line="240" w:lineRule="auto"/>
              <w:jc w:val="center"/>
              <w:rPr>
                <w:rFonts w:ascii="Times New Roman" w:eastAsia="Malgun Gothic" w:hAnsi="Times New Roman" w:cs="Times New Roman"/>
                <w:sz w:val="22"/>
                <w:lang w:val="en-GB"/>
              </w:rPr>
            </w:pPr>
          </w:p>
        </w:tc>
      </w:tr>
      <w:tr w:rsidR="004A10AE" w:rsidRPr="0025669D" w14:paraId="7410F71C" w14:textId="77777777" w:rsidTr="005A4B0D">
        <w:trPr>
          <w:cantSplit/>
          <w:trHeight w:val="320"/>
          <w:jc w:val="center"/>
        </w:trPr>
        <w:tc>
          <w:tcPr>
            <w:tcW w:w="1665" w:type="pct"/>
            <w:tcBorders>
              <w:top w:val="nil"/>
              <w:left w:val="nil"/>
              <w:bottom w:val="nil"/>
              <w:right w:val="nil"/>
            </w:tcBorders>
            <w:vAlign w:val="bottom"/>
          </w:tcPr>
          <w:p w14:paraId="4440A4D4" w14:textId="77777777" w:rsidR="004A10AE" w:rsidRPr="0025669D" w:rsidRDefault="004A10AE" w:rsidP="007947DB">
            <w:pPr>
              <w:spacing w:after="0" w:line="240" w:lineRule="auto"/>
              <w:ind w:firstLineChars="100" w:firstLine="220"/>
              <w:jc w:val="left"/>
              <w:rPr>
                <w:rFonts w:ascii="Times New Roman" w:eastAsia="Malgun Gothic" w:hAnsi="Times New Roman" w:cs="Times New Roman"/>
                <w:sz w:val="22"/>
                <w:lang w:val="en-GB"/>
              </w:rPr>
            </w:pPr>
            <w:r w:rsidRPr="0025669D">
              <w:rPr>
                <w:rFonts w:ascii="Times New Roman" w:eastAsia="Malgun Gothic" w:hAnsi="Times New Roman" w:cs="Times New Roman"/>
                <w:sz w:val="22"/>
                <w:lang w:val="en-GB"/>
              </w:rPr>
              <w:t>≥90% improvement</w:t>
            </w:r>
          </w:p>
        </w:tc>
        <w:tc>
          <w:tcPr>
            <w:tcW w:w="1250" w:type="pct"/>
            <w:tcBorders>
              <w:top w:val="nil"/>
              <w:left w:val="nil"/>
              <w:bottom w:val="nil"/>
              <w:right w:val="nil"/>
            </w:tcBorders>
            <w:vAlign w:val="bottom"/>
          </w:tcPr>
          <w:p w14:paraId="7F0028F6" w14:textId="77777777" w:rsidR="004A10AE" w:rsidRPr="0025669D" w:rsidRDefault="004A10AE" w:rsidP="007947DB">
            <w:pPr>
              <w:spacing w:after="0" w:line="240" w:lineRule="auto"/>
              <w:jc w:val="center"/>
              <w:rPr>
                <w:rFonts w:ascii="Times New Roman" w:eastAsia="Malgun Gothic" w:hAnsi="Times New Roman" w:cs="Times New Roman"/>
                <w:sz w:val="22"/>
                <w:lang w:val="en-GB"/>
              </w:rPr>
            </w:pPr>
            <w:r w:rsidRPr="0025669D">
              <w:rPr>
                <w:rFonts w:ascii="Times New Roman" w:eastAsia="Malgun Gothic" w:hAnsi="Times New Roman" w:cs="Times New Roman"/>
                <w:sz w:val="22"/>
                <w:lang w:val="en-GB"/>
              </w:rPr>
              <w:t>1 (1.3%)</w:t>
            </w:r>
          </w:p>
        </w:tc>
        <w:tc>
          <w:tcPr>
            <w:tcW w:w="1250" w:type="pct"/>
            <w:tcBorders>
              <w:top w:val="nil"/>
              <w:left w:val="nil"/>
              <w:bottom w:val="nil"/>
              <w:right w:val="nil"/>
            </w:tcBorders>
            <w:vAlign w:val="bottom"/>
          </w:tcPr>
          <w:p w14:paraId="44305E4D" w14:textId="77777777" w:rsidR="004A10AE" w:rsidRPr="0025669D" w:rsidRDefault="004A10AE" w:rsidP="007947DB">
            <w:pPr>
              <w:spacing w:after="0" w:line="240" w:lineRule="auto"/>
              <w:jc w:val="center"/>
              <w:rPr>
                <w:rFonts w:ascii="Times New Roman" w:eastAsia="Malgun Gothic" w:hAnsi="Times New Roman" w:cs="Times New Roman"/>
                <w:sz w:val="22"/>
                <w:lang w:val="en-GB"/>
              </w:rPr>
            </w:pPr>
            <w:r w:rsidRPr="0025669D">
              <w:rPr>
                <w:rFonts w:ascii="Times New Roman" w:eastAsia="Malgun Gothic" w:hAnsi="Times New Roman" w:cs="Times New Roman"/>
                <w:sz w:val="22"/>
                <w:lang w:val="en-GB"/>
              </w:rPr>
              <w:t>172 (57.1%)</w:t>
            </w:r>
          </w:p>
        </w:tc>
        <w:tc>
          <w:tcPr>
            <w:tcW w:w="835" w:type="pct"/>
            <w:tcBorders>
              <w:top w:val="nil"/>
              <w:left w:val="nil"/>
              <w:bottom w:val="nil"/>
              <w:right w:val="nil"/>
            </w:tcBorders>
            <w:vAlign w:val="bottom"/>
          </w:tcPr>
          <w:p w14:paraId="0E9E9042" w14:textId="77777777" w:rsidR="004A10AE" w:rsidRPr="0025669D" w:rsidRDefault="004A10AE" w:rsidP="007947DB">
            <w:pPr>
              <w:spacing w:after="0" w:line="240" w:lineRule="auto"/>
              <w:jc w:val="center"/>
              <w:rPr>
                <w:rFonts w:ascii="Times New Roman" w:eastAsia="Malgun Gothic" w:hAnsi="Times New Roman" w:cs="Times New Roman"/>
                <w:sz w:val="22"/>
                <w:lang w:val="en-GB"/>
              </w:rPr>
            </w:pPr>
            <w:r w:rsidRPr="0025669D">
              <w:rPr>
                <w:rFonts w:ascii="Times New Roman" w:eastAsia="Malgun Gothic" w:hAnsi="Times New Roman" w:cs="Times New Roman"/>
                <w:sz w:val="22"/>
                <w:lang w:val="en-GB"/>
              </w:rPr>
              <w:t>&lt;0.001</w:t>
            </w:r>
          </w:p>
        </w:tc>
      </w:tr>
      <w:tr w:rsidR="004A10AE" w:rsidRPr="0025669D" w14:paraId="1E9C5B0C" w14:textId="77777777" w:rsidTr="005A4B0D">
        <w:trPr>
          <w:cantSplit/>
          <w:trHeight w:val="320"/>
          <w:jc w:val="center"/>
        </w:trPr>
        <w:tc>
          <w:tcPr>
            <w:tcW w:w="1665" w:type="pct"/>
            <w:tcBorders>
              <w:top w:val="nil"/>
              <w:left w:val="nil"/>
              <w:bottom w:val="nil"/>
              <w:right w:val="nil"/>
            </w:tcBorders>
            <w:vAlign w:val="bottom"/>
          </w:tcPr>
          <w:p w14:paraId="49E4E3C8" w14:textId="77777777" w:rsidR="004A10AE" w:rsidRPr="0025669D" w:rsidRDefault="004A10AE" w:rsidP="007947DB">
            <w:pPr>
              <w:spacing w:after="0" w:line="240" w:lineRule="auto"/>
              <w:ind w:firstLineChars="100" w:firstLine="220"/>
              <w:jc w:val="left"/>
              <w:rPr>
                <w:rFonts w:ascii="Times New Roman" w:eastAsia="Malgun Gothic" w:hAnsi="Times New Roman" w:cs="Times New Roman"/>
                <w:sz w:val="22"/>
                <w:lang w:val="en-GB"/>
              </w:rPr>
            </w:pPr>
            <w:r w:rsidRPr="0025669D">
              <w:rPr>
                <w:rFonts w:ascii="Times New Roman" w:eastAsia="Malgun Gothic" w:hAnsi="Times New Roman" w:cs="Times New Roman"/>
                <w:sz w:val="22"/>
                <w:lang w:val="en-GB"/>
              </w:rPr>
              <w:t>≥75% improvement</w:t>
            </w:r>
          </w:p>
        </w:tc>
        <w:tc>
          <w:tcPr>
            <w:tcW w:w="1250" w:type="pct"/>
            <w:tcBorders>
              <w:top w:val="nil"/>
              <w:left w:val="nil"/>
              <w:bottom w:val="nil"/>
              <w:right w:val="nil"/>
            </w:tcBorders>
            <w:vAlign w:val="bottom"/>
          </w:tcPr>
          <w:p w14:paraId="6D035E2C" w14:textId="77777777" w:rsidR="004A10AE" w:rsidRPr="0025669D" w:rsidRDefault="004A10AE" w:rsidP="007947DB">
            <w:pPr>
              <w:spacing w:after="0" w:line="240" w:lineRule="auto"/>
              <w:jc w:val="center"/>
              <w:rPr>
                <w:rFonts w:ascii="Times New Roman" w:eastAsia="Malgun Gothic" w:hAnsi="Times New Roman" w:cs="Times New Roman"/>
                <w:sz w:val="22"/>
                <w:lang w:val="en-GB"/>
              </w:rPr>
            </w:pPr>
            <w:r w:rsidRPr="0025669D">
              <w:rPr>
                <w:rFonts w:ascii="Times New Roman" w:eastAsia="Malgun Gothic" w:hAnsi="Times New Roman" w:cs="Times New Roman"/>
                <w:sz w:val="22"/>
                <w:lang w:val="en-GB"/>
              </w:rPr>
              <w:t>2 (2.6%)</w:t>
            </w:r>
          </w:p>
        </w:tc>
        <w:tc>
          <w:tcPr>
            <w:tcW w:w="1250" w:type="pct"/>
            <w:tcBorders>
              <w:top w:val="nil"/>
              <w:left w:val="nil"/>
              <w:bottom w:val="nil"/>
              <w:right w:val="nil"/>
            </w:tcBorders>
            <w:vAlign w:val="bottom"/>
          </w:tcPr>
          <w:p w14:paraId="3540BB1E" w14:textId="77777777" w:rsidR="004A10AE" w:rsidRPr="0025669D" w:rsidRDefault="004A10AE" w:rsidP="007947DB">
            <w:pPr>
              <w:spacing w:after="0" w:line="240" w:lineRule="auto"/>
              <w:jc w:val="center"/>
              <w:rPr>
                <w:rFonts w:ascii="Times New Roman" w:eastAsia="Malgun Gothic" w:hAnsi="Times New Roman" w:cs="Times New Roman"/>
                <w:sz w:val="22"/>
                <w:lang w:val="en-GB"/>
              </w:rPr>
            </w:pPr>
            <w:r w:rsidRPr="0025669D">
              <w:rPr>
                <w:rFonts w:ascii="Times New Roman" w:eastAsia="Malgun Gothic" w:hAnsi="Times New Roman" w:cs="Times New Roman"/>
                <w:sz w:val="22"/>
                <w:lang w:val="en-GB"/>
              </w:rPr>
              <w:t>242 (80.4%)</w:t>
            </w:r>
          </w:p>
        </w:tc>
        <w:tc>
          <w:tcPr>
            <w:tcW w:w="835" w:type="pct"/>
            <w:tcBorders>
              <w:top w:val="nil"/>
              <w:left w:val="nil"/>
              <w:bottom w:val="nil"/>
              <w:right w:val="nil"/>
            </w:tcBorders>
            <w:vAlign w:val="bottom"/>
          </w:tcPr>
          <w:p w14:paraId="0F572E6A" w14:textId="77777777" w:rsidR="004A10AE" w:rsidRPr="0025669D" w:rsidRDefault="004A10AE" w:rsidP="007947DB">
            <w:pPr>
              <w:spacing w:after="0" w:line="240" w:lineRule="auto"/>
              <w:jc w:val="center"/>
              <w:rPr>
                <w:rFonts w:ascii="Times New Roman" w:eastAsia="Malgun Gothic" w:hAnsi="Times New Roman" w:cs="Times New Roman"/>
                <w:sz w:val="22"/>
                <w:lang w:val="en-GB"/>
              </w:rPr>
            </w:pPr>
            <w:r w:rsidRPr="0025669D">
              <w:rPr>
                <w:rFonts w:ascii="Times New Roman" w:eastAsia="Malgun Gothic" w:hAnsi="Times New Roman" w:cs="Times New Roman"/>
                <w:sz w:val="22"/>
                <w:lang w:val="en-GB"/>
              </w:rPr>
              <w:t>&lt;0.001</w:t>
            </w:r>
          </w:p>
        </w:tc>
      </w:tr>
      <w:tr w:rsidR="004A10AE" w:rsidRPr="0025669D" w14:paraId="7570C55D" w14:textId="77777777" w:rsidTr="005A4B0D">
        <w:trPr>
          <w:cantSplit/>
          <w:trHeight w:val="320"/>
          <w:jc w:val="center"/>
        </w:trPr>
        <w:tc>
          <w:tcPr>
            <w:tcW w:w="1665" w:type="pct"/>
            <w:tcBorders>
              <w:top w:val="nil"/>
              <w:left w:val="nil"/>
              <w:bottom w:val="nil"/>
              <w:right w:val="nil"/>
            </w:tcBorders>
            <w:vAlign w:val="bottom"/>
          </w:tcPr>
          <w:p w14:paraId="6F5D9A39" w14:textId="77777777" w:rsidR="004A10AE" w:rsidRPr="0025669D" w:rsidRDefault="004A10AE" w:rsidP="007947DB">
            <w:pPr>
              <w:spacing w:after="0" w:line="240" w:lineRule="auto"/>
              <w:ind w:firstLineChars="100" w:firstLine="220"/>
              <w:jc w:val="left"/>
              <w:rPr>
                <w:rFonts w:ascii="Times New Roman" w:eastAsia="Malgun Gothic" w:hAnsi="Times New Roman" w:cs="Times New Roman"/>
                <w:sz w:val="22"/>
                <w:lang w:val="en-GB"/>
              </w:rPr>
            </w:pPr>
            <w:r w:rsidRPr="0025669D">
              <w:rPr>
                <w:rFonts w:ascii="Times New Roman" w:eastAsia="Malgun Gothic" w:hAnsi="Times New Roman" w:cs="Times New Roman"/>
                <w:sz w:val="22"/>
                <w:lang w:val="en-GB"/>
              </w:rPr>
              <w:t>≥50% improvement</w:t>
            </w:r>
          </w:p>
        </w:tc>
        <w:tc>
          <w:tcPr>
            <w:tcW w:w="1250" w:type="pct"/>
            <w:tcBorders>
              <w:top w:val="nil"/>
              <w:left w:val="nil"/>
              <w:bottom w:val="nil"/>
              <w:right w:val="nil"/>
            </w:tcBorders>
            <w:vAlign w:val="bottom"/>
          </w:tcPr>
          <w:p w14:paraId="74F265C1" w14:textId="77777777" w:rsidR="004A10AE" w:rsidRPr="0025669D" w:rsidRDefault="004A10AE" w:rsidP="007947DB">
            <w:pPr>
              <w:spacing w:after="0" w:line="240" w:lineRule="auto"/>
              <w:jc w:val="center"/>
              <w:rPr>
                <w:rFonts w:ascii="Times New Roman" w:eastAsia="Malgun Gothic" w:hAnsi="Times New Roman" w:cs="Times New Roman"/>
                <w:sz w:val="22"/>
                <w:lang w:val="en-GB"/>
              </w:rPr>
            </w:pPr>
            <w:r w:rsidRPr="0025669D">
              <w:rPr>
                <w:rFonts w:ascii="Times New Roman" w:eastAsia="Malgun Gothic" w:hAnsi="Times New Roman" w:cs="Times New Roman"/>
                <w:sz w:val="22"/>
                <w:lang w:val="en-GB"/>
              </w:rPr>
              <w:t>6 (7.8%)</w:t>
            </w:r>
          </w:p>
        </w:tc>
        <w:tc>
          <w:tcPr>
            <w:tcW w:w="1250" w:type="pct"/>
            <w:tcBorders>
              <w:top w:val="nil"/>
              <w:left w:val="nil"/>
              <w:bottom w:val="nil"/>
              <w:right w:val="nil"/>
            </w:tcBorders>
            <w:vAlign w:val="bottom"/>
          </w:tcPr>
          <w:p w14:paraId="12369048" w14:textId="77777777" w:rsidR="004A10AE" w:rsidRPr="0025669D" w:rsidRDefault="004A10AE" w:rsidP="007947DB">
            <w:pPr>
              <w:spacing w:after="0" w:line="240" w:lineRule="auto"/>
              <w:jc w:val="center"/>
              <w:rPr>
                <w:rFonts w:ascii="Times New Roman" w:eastAsia="Malgun Gothic" w:hAnsi="Times New Roman" w:cs="Times New Roman"/>
                <w:sz w:val="22"/>
                <w:lang w:val="en-GB"/>
              </w:rPr>
            </w:pPr>
            <w:r w:rsidRPr="0025669D">
              <w:rPr>
                <w:rFonts w:ascii="Times New Roman" w:eastAsia="Malgun Gothic" w:hAnsi="Times New Roman" w:cs="Times New Roman"/>
                <w:sz w:val="22"/>
                <w:lang w:val="en-GB"/>
              </w:rPr>
              <w:t>274 (91.0%)</w:t>
            </w:r>
          </w:p>
        </w:tc>
        <w:tc>
          <w:tcPr>
            <w:tcW w:w="835" w:type="pct"/>
            <w:tcBorders>
              <w:top w:val="nil"/>
              <w:left w:val="nil"/>
              <w:bottom w:val="nil"/>
              <w:right w:val="nil"/>
            </w:tcBorders>
            <w:vAlign w:val="bottom"/>
          </w:tcPr>
          <w:p w14:paraId="5249D4AD" w14:textId="77777777" w:rsidR="004A10AE" w:rsidRPr="0025669D" w:rsidRDefault="004A10AE" w:rsidP="007947DB">
            <w:pPr>
              <w:spacing w:after="0" w:line="240" w:lineRule="auto"/>
              <w:jc w:val="center"/>
              <w:rPr>
                <w:rFonts w:ascii="Times New Roman" w:eastAsia="Malgun Gothic" w:hAnsi="Times New Roman" w:cs="Times New Roman"/>
                <w:sz w:val="22"/>
                <w:lang w:val="en-GB"/>
              </w:rPr>
            </w:pPr>
          </w:p>
        </w:tc>
      </w:tr>
      <w:tr w:rsidR="004A10AE" w:rsidRPr="0025669D" w14:paraId="51A31415" w14:textId="77777777" w:rsidTr="005A4B0D">
        <w:trPr>
          <w:cantSplit/>
          <w:trHeight w:val="320"/>
          <w:jc w:val="center"/>
        </w:trPr>
        <w:tc>
          <w:tcPr>
            <w:tcW w:w="1665" w:type="pct"/>
            <w:tcBorders>
              <w:top w:val="nil"/>
              <w:left w:val="nil"/>
              <w:bottom w:val="nil"/>
              <w:right w:val="nil"/>
            </w:tcBorders>
            <w:vAlign w:val="bottom"/>
          </w:tcPr>
          <w:p w14:paraId="02507CCC" w14:textId="77777777" w:rsidR="004A10AE" w:rsidRPr="0025669D" w:rsidRDefault="004A10AE" w:rsidP="007947DB">
            <w:pPr>
              <w:spacing w:after="0" w:line="240" w:lineRule="auto"/>
              <w:jc w:val="left"/>
              <w:rPr>
                <w:rFonts w:ascii="Times New Roman" w:eastAsia="Malgun Gothic" w:hAnsi="Times New Roman" w:cs="Times New Roman"/>
                <w:sz w:val="22"/>
                <w:lang w:val="en-GB"/>
              </w:rPr>
            </w:pPr>
            <w:r w:rsidRPr="0025669D">
              <w:rPr>
                <w:rFonts w:ascii="Times New Roman" w:eastAsia="Malgun Gothic" w:hAnsi="Times New Roman" w:cs="Times New Roman"/>
                <w:sz w:val="22"/>
                <w:lang w:val="en-GB"/>
              </w:rPr>
              <w:t>Week 24</w:t>
            </w:r>
          </w:p>
        </w:tc>
        <w:tc>
          <w:tcPr>
            <w:tcW w:w="1250" w:type="pct"/>
            <w:tcBorders>
              <w:top w:val="nil"/>
              <w:left w:val="nil"/>
              <w:bottom w:val="nil"/>
              <w:right w:val="nil"/>
            </w:tcBorders>
            <w:vAlign w:val="bottom"/>
          </w:tcPr>
          <w:p w14:paraId="64D042E6" w14:textId="77777777" w:rsidR="004A10AE" w:rsidRPr="0025669D" w:rsidRDefault="004A10AE" w:rsidP="007947DB">
            <w:pPr>
              <w:spacing w:after="0" w:line="240" w:lineRule="auto"/>
              <w:jc w:val="center"/>
              <w:rPr>
                <w:rFonts w:ascii="Times New Roman" w:eastAsia="Malgun Gothic" w:hAnsi="Times New Roman" w:cs="Times New Roman"/>
                <w:sz w:val="22"/>
                <w:lang w:val="en-GB"/>
              </w:rPr>
            </w:pPr>
          </w:p>
        </w:tc>
        <w:tc>
          <w:tcPr>
            <w:tcW w:w="1250" w:type="pct"/>
            <w:tcBorders>
              <w:top w:val="nil"/>
              <w:left w:val="nil"/>
              <w:bottom w:val="nil"/>
              <w:right w:val="nil"/>
            </w:tcBorders>
            <w:vAlign w:val="bottom"/>
          </w:tcPr>
          <w:p w14:paraId="24A35284" w14:textId="77777777" w:rsidR="004A10AE" w:rsidRPr="0025669D" w:rsidRDefault="004A10AE" w:rsidP="007947DB">
            <w:pPr>
              <w:spacing w:after="0" w:line="240" w:lineRule="auto"/>
              <w:jc w:val="center"/>
              <w:rPr>
                <w:rFonts w:ascii="Times New Roman" w:eastAsia="Malgun Gothic" w:hAnsi="Times New Roman" w:cs="Times New Roman"/>
                <w:sz w:val="22"/>
                <w:lang w:val="en-GB"/>
              </w:rPr>
            </w:pPr>
          </w:p>
        </w:tc>
        <w:tc>
          <w:tcPr>
            <w:tcW w:w="835" w:type="pct"/>
            <w:tcBorders>
              <w:top w:val="nil"/>
              <w:left w:val="nil"/>
              <w:bottom w:val="nil"/>
              <w:right w:val="nil"/>
            </w:tcBorders>
            <w:vAlign w:val="bottom"/>
          </w:tcPr>
          <w:p w14:paraId="28A15E15" w14:textId="77777777" w:rsidR="004A10AE" w:rsidRPr="0025669D" w:rsidRDefault="004A10AE" w:rsidP="007947DB">
            <w:pPr>
              <w:spacing w:after="0" w:line="240" w:lineRule="auto"/>
              <w:jc w:val="center"/>
              <w:rPr>
                <w:rFonts w:ascii="Times New Roman" w:eastAsia="Malgun Gothic" w:hAnsi="Times New Roman" w:cs="Times New Roman"/>
                <w:sz w:val="22"/>
                <w:lang w:val="en-GB"/>
              </w:rPr>
            </w:pPr>
          </w:p>
        </w:tc>
      </w:tr>
      <w:tr w:rsidR="004A10AE" w:rsidRPr="0025669D" w14:paraId="02138CB3" w14:textId="77777777" w:rsidTr="005A4B0D">
        <w:trPr>
          <w:cantSplit/>
          <w:trHeight w:val="320"/>
          <w:jc w:val="center"/>
        </w:trPr>
        <w:tc>
          <w:tcPr>
            <w:tcW w:w="1665" w:type="pct"/>
            <w:tcBorders>
              <w:top w:val="nil"/>
              <w:left w:val="nil"/>
              <w:bottom w:val="nil"/>
              <w:right w:val="nil"/>
            </w:tcBorders>
            <w:vAlign w:val="bottom"/>
          </w:tcPr>
          <w:p w14:paraId="78465C44" w14:textId="77777777" w:rsidR="004A10AE" w:rsidRPr="0025669D" w:rsidRDefault="004A10AE" w:rsidP="007947DB">
            <w:pPr>
              <w:spacing w:after="0" w:line="240" w:lineRule="auto"/>
              <w:jc w:val="left"/>
              <w:rPr>
                <w:rFonts w:ascii="Times New Roman" w:eastAsia="Malgun Gothic" w:hAnsi="Times New Roman" w:cs="Times New Roman"/>
                <w:sz w:val="22"/>
                <w:lang w:val="en-GB"/>
              </w:rPr>
            </w:pPr>
            <w:r w:rsidRPr="0025669D">
              <w:rPr>
                <w:rFonts w:ascii="Times New Roman" w:eastAsia="Malgun Gothic" w:hAnsi="Times New Roman" w:cs="Times New Roman"/>
                <w:sz w:val="22"/>
                <w:lang w:val="en-GB"/>
              </w:rPr>
              <w:t>n</w:t>
            </w:r>
          </w:p>
        </w:tc>
        <w:tc>
          <w:tcPr>
            <w:tcW w:w="1250" w:type="pct"/>
            <w:tcBorders>
              <w:top w:val="nil"/>
              <w:left w:val="nil"/>
              <w:bottom w:val="nil"/>
              <w:right w:val="nil"/>
            </w:tcBorders>
            <w:vAlign w:val="bottom"/>
          </w:tcPr>
          <w:p w14:paraId="3E4E9976" w14:textId="77777777" w:rsidR="004A10AE" w:rsidRPr="0025669D" w:rsidRDefault="004A10AE" w:rsidP="007947DB">
            <w:pPr>
              <w:spacing w:after="0" w:line="240" w:lineRule="auto"/>
              <w:jc w:val="center"/>
              <w:rPr>
                <w:rFonts w:ascii="Times New Roman" w:eastAsia="Malgun Gothic" w:hAnsi="Times New Roman" w:cs="Times New Roman"/>
                <w:sz w:val="22"/>
                <w:lang w:val="en-GB"/>
              </w:rPr>
            </w:pPr>
            <w:r w:rsidRPr="0025669D">
              <w:rPr>
                <w:rFonts w:ascii="Times New Roman" w:eastAsia="Malgun Gothic" w:hAnsi="Times New Roman" w:cs="Times New Roman"/>
                <w:sz w:val="22"/>
                <w:lang w:val="en-GB"/>
              </w:rPr>
              <w:t>77</w:t>
            </w:r>
          </w:p>
        </w:tc>
        <w:tc>
          <w:tcPr>
            <w:tcW w:w="1250" w:type="pct"/>
            <w:tcBorders>
              <w:top w:val="nil"/>
              <w:left w:val="nil"/>
              <w:bottom w:val="nil"/>
              <w:right w:val="nil"/>
            </w:tcBorders>
            <w:vAlign w:val="bottom"/>
          </w:tcPr>
          <w:p w14:paraId="686207FA" w14:textId="77777777" w:rsidR="004A10AE" w:rsidRPr="0025669D" w:rsidRDefault="004A10AE" w:rsidP="007947DB">
            <w:pPr>
              <w:spacing w:after="0" w:line="240" w:lineRule="auto"/>
              <w:jc w:val="center"/>
              <w:rPr>
                <w:rFonts w:ascii="Times New Roman" w:eastAsia="Malgun Gothic" w:hAnsi="Times New Roman" w:cs="Times New Roman"/>
                <w:sz w:val="22"/>
                <w:lang w:val="en-GB"/>
              </w:rPr>
            </w:pPr>
            <w:r w:rsidRPr="0025669D">
              <w:rPr>
                <w:rFonts w:ascii="Times New Roman" w:eastAsia="Malgun Gothic" w:hAnsi="Times New Roman" w:cs="Times New Roman"/>
                <w:sz w:val="22"/>
                <w:lang w:val="en-GB"/>
              </w:rPr>
              <w:t>276</w:t>
            </w:r>
          </w:p>
        </w:tc>
        <w:tc>
          <w:tcPr>
            <w:tcW w:w="835" w:type="pct"/>
            <w:tcBorders>
              <w:top w:val="nil"/>
              <w:left w:val="nil"/>
              <w:bottom w:val="nil"/>
              <w:right w:val="nil"/>
            </w:tcBorders>
            <w:vAlign w:val="bottom"/>
          </w:tcPr>
          <w:p w14:paraId="13D8DFEF" w14:textId="77777777" w:rsidR="004A10AE" w:rsidRPr="0025669D" w:rsidRDefault="004A10AE" w:rsidP="007947DB">
            <w:pPr>
              <w:spacing w:after="0" w:line="240" w:lineRule="auto"/>
              <w:jc w:val="center"/>
              <w:rPr>
                <w:rFonts w:ascii="Times New Roman" w:eastAsia="Malgun Gothic" w:hAnsi="Times New Roman" w:cs="Times New Roman"/>
                <w:sz w:val="22"/>
                <w:lang w:val="en-GB"/>
              </w:rPr>
            </w:pPr>
          </w:p>
        </w:tc>
      </w:tr>
      <w:tr w:rsidR="004A10AE" w:rsidRPr="0025669D" w14:paraId="3F5690FD" w14:textId="77777777" w:rsidTr="005A4B0D">
        <w:trPr>
          <w:cantSplit/>
          <w:trHeight w:val="320"/>
          <w:jc w:val="center"/>
        </w:trPr>
        <w:tc>
          <w:tcPr>
            <w:tcW w:w="1665" w:type="pct"/>
            <w:tcBorders>
              <w:top w:val="nil"/>
              <w:left w:val="nil"/>
              <w:bottom w:val="nil"/>
              <w:right w:val="nil"/>
            </w:tcBorders>
            <w:vAlign w:val="bottom"/>
          </w:tcPr>
          <w:p w14:paraId="43095D55" w14:textId="77777777" w:rsidR="004A10AE" w:rsidRPr="0025669D" w:rsidRDefault="004A10AE" w:rsidP="007947DB">
            <w:pPr>
              <w:spacing w:after="0" w:line="240" w:lineRule="auto"/>
              <w:ind w:firstLineChars="100" w:firstLine="220"/>
              <w:jc w:val="left"/>
              <w:rPr>
                <w:rFonts w:ascii="Times New Roman" w:eastAsia="Malgun Gothic" w:hAnsi="Times New Roman" w:cs="Times New Roman"/>
                <w:sz w:val="22"/>
                <w:lang w:val="en-GB"/>
              </w:rPr>
            </w:pPr>
            <w:r w:rsidRPr="0025669D">
              <w:rPr>
                <w:rFonts w:ascii="Times New Roman" w:eastAsia="Malgun Gothic" w:hAnsi="Times New Roman" w:cs="Times New Roman"/>
                <w:sz w:val="22"/>
                <w:lang w:val="en-GB"/>
              </w:rPr>
              <w:t>≥90% improvement</w:t>
            </w:r>
          </w:p>
        </w:tc>
        <w:tc>
          <w:tcPr>
            <w:tcW w:w="1250" w:type="pct"/>
            <w:tcBorders>
              <w:top w:val="nil"/>
              <w:left w:val="nil"/>
              <w:bottom w:val="nil"/>
              <w:right w:val="nil"/>
            </w:tcBorders>
            <w:vAlign w:val="bottom"/>
          </w:tcPr>
          <w:p w14:paraId="594E6976" w14:textId="77777777" w:rsidR="004A10AE" w:rsidRPr="0025669D" w:rsidRDefault="004A10AE" w:rsidP="007947DB">
            <w:pPr>
              <w:spacing w:after="0" w:line="240" w:lineRule="auto"/>
              <w:jc w:val="center"/>
              <w:rPr>
                <w:rFonts w:ascii="Times New Roman" w:eastAsia="Malgun Gothic" w:hAnsi="Times New Roman" w:cs="Times New Roman"/>
                <w:sz w:val="22"/>
                <w:lang w:val="en-GB"/>
              </w:rPr>
            </w:pPr>
            <w:r w:rsidRPr="0025669D">
              <w:rPr>
                <w:rFonts w:ascii="Times New Roman" w:eastAsia="Malgun Gothic" w:hAnsi="Times New Roman" w:cs="Times New Roman"/>
                <w:sz w:val="22"/>
                <w:lang w:val="en-GB"/>
              </w:rPr>
              <w:t>1 (1.3%)</w:t>
            </w:r>
          </w:p>
        </w:tc>
        <w:tc>
          <w:tcPr>
            <w:tcW w:w="1250" w:type="pct"/>
            <w:tcBorders>
              <w:top w:val="nil"/>
              <w:left w:val="nil"/>
              <w:bottom w:val="nil"/>
              <w:right w:val="nil"/>
            </w:tcBorders>
            <w:vAlign w:val="bottom"/>
          </w:tcPr>
          <w:p w14:paraId="3030ADB5" w14:textId="77777777" w:rsidR="004A10AE" w:rsidRPr="0025669D" w:rsidRDefault="004A10AE" w:rsidP="007947DB">
            <w:pPr>
              <w:spacing w:after="0" w:line="240" w:lineRule="auto"/>
              <w:jc w:val="center"/>
              <w:rPr>
                <w:rFonts w:ascii="Times New Roman" w:eastAsia="Malgun Gothic" w:hAnsi="Times New Roman" w:cs="Times New Roman"/>
                <w:sz w:val="22"/>
                <w:lang w:val="en-GB"/>
              </w:rPr>
            </w:pPr>
            <w:r w:rsidRPr="0025669D">
              <w:rPr>
                <w:rFonts w:ascii="Times New Roman" w:eastAsia="Malgun Gothic" w:hAnsi="Times New Roman" w:cs="Times New Roman"/>
                <w:sz w:val="22"/>
                <w:lang w:val="en-GB"/>
              </w:rPr>
              <w:t>161 (58.3%)</w:t>
            </w:r>
          </w:p>
        </w:tc>
        <w:tc>
          <w:tcPr>
            <w:tcW w:w="835" w:type="pct"/>
            <w:tcBorders>
              <w:top w:val="nil"/>
              <w:left w:val="nil"/>
              <w:bottom w:val="nil"/>
              <w:right w:val="nil"/>
            </w:tcBorders>
            <w:vAlign w:val="bottom"/>
          </w:tcPr>
          <w:p w14:paraId="5684CA6D" w14:textId="77777777" w:rsidR="004A10AE" w:rsidRPr="0025669D" w:rsidRDefault="004A10AE" w:rsidP="007947DB">
            <w:pPr>
              <w:spacing w:after="0" w:line="240" w:lineRule="auto"/>
              <w:jc w:val="center"/>
              <w:rPr>
                <w:rFonts w:ascii="Times New Roman" w:eastAsia="Malgun Gothic" w:hAnsi="Times New Roman" w:cs="Times New Roman"/>
                <w:sz w:val="22"/>
                <w:lang w:val="en-GB"/>
              </w:rPr>
            </w:pPr>
            <w:r w:rsidRPr="0025669D">
              <w:rPr>
                <w:rFonts w:ascii="Times New Roman" w:eastAsia="Malgun Gothic" w:hAnsi="Times New Roman" w:cs="Times New Roman"/>
                <w:sz w:val="22"/>
                <w:lang w:val="en-GB"/>
              </w:rPr>
              <w:t>&lt;0.001</w:t>
            </w:r>
          </w:p>
        </w:tc>
      </w:tr>
      <w:tr w:rsidR="004A10AE" w:rsidRPr="0025669D" w14:paraId="194FB226" w14:textId="77777777" w:rsidTr="005A4B0D">
        <w:trPr>
          <w:cantSplit/>
          <w:trHeight w:val="320"/>
          <w:jc w:val="center"/>
        </w:trPr>
        <w:tc>
          <w:tcPr>
            <w:tcW w:w="1665" w:type="pct"/>
            <w:tcBorders>
              <w:top w:val="nil"/>
              <w:left w:val="nil"/>
              <w:bottom w:val="nil"/>
              <w:right w:val="nil"/>
            </w:tcBorders>
            <w:vAlign w:val="bottom"/>
          </w:tcPr>
          <w:p w14:paraId="77050822" w14:textId="77777777" w:rsidR="004A10AE" w:rsidRPr="0025669D" w:rsidRDefault="004A10AE" w:rsidP="007947DB">
            <w:pPr>
              <w:spacing w:after="0" w:line="240" w:lineRule="auto"/>
              <w:ind w:firstLineChars="100" w:firstLine="220"/>
              <w:jc w:val="left"/>
              <w:rPr>
                <w:rFonts w:ascii="Times New Roman" w:eastAsia="Malgun Gothic" w:hAnsi="Times New Roman" w:cs="Times New Roman"/>
                <w:sz w:val="22"/>
                <w:lang w:val="en-GB"/>
              </w:rPr>
            </w:pPr>
            <w:r w:rsidRPr="0025669D">
              <w:rPr>
                <w:rFonts w:ascii="Times New Roman" w:eastAsia="Malgun Gothic" w:hAnsi="Times New Roman" w:cs="Times New Roman"/>
                <w:sz w:val="22"/>
                <w:lang w:val="en-GB"/>
              </w:rPr>
              <w:t>≥75% improvement</w:t>
            </w:r>
          </w:p>
        </w:tc>
        <w:tc>
          <w:tcPr>
            <w:tcW w:w="1250" w:type="pct"/>
            <w:tcBorders>
              <w:top w:val="nil"/>
              <w:left w:val="nil"/>
              <w:bottom w:val="nil"/>
              <w:right w:val="nil"/>
            </w:tcBorders>
            <w:vAlign w:val="bottom"/>
          </w:tcPr>
          <w:p w14:paraId="1715F278" w14:textId="77777777" w:rsidR="004A10AE" w:rsidRPr="0025669D" w:rsidRDefault="004A10AE" w:rsidP="007947DB">
            <w:pPr>
              <w:spacing w:after="0" w:line="240" w:lineRule="auto"/>
              <w:jc w:val="center"/>
              <w:rPr>
                <w:rFonts w:ascii="Times New Roman" w:eastAsia="Malgun Gothic" w:hAnsi="Times New Roman" w:cs="Times New Roman"/>
                <w:sz w:val="22"/>
                <w:lang w:val="en-GB"/>
              </w:rPr>
            </w:pPr>
            <w:r w:rsidRPr="0025669D">
              <w:rPr>
                <w:rFonts w:ascii="Times New Roman" w:eastAsia="Malgun Gothic" w:hAnsi="Times New Roman" w:cs="Times New Roman"/>
                <w:sz w:val="22"/>
                <w:lang w:val="en-GB"/>
              </w:rPr>
              <w:t>3 (3.9%)</w:t>
            </w:r>
          </w:p>
        </w:tc>
        <w:tc>
          <w:tcPr>
            <w:tcW w:w="1250" w:type="pct"/>
            <w:tcBorders>
              <w:top w:val="nil"/>
              <w:left w:val="nil"/>
              <w:bottom w:val="nil"/>
              <w:right w:val="nil"/>
            </w:tcBorders>
            <w:vAlign w:val="bottom"/>
          </w:tcPr>
          <w:p w14:paraId="4003B1A5" w14:textId="77777777" w:rsidR="004A10AE" w:rsidRPr="0025669D" w:rsidRDefault="004A10AE" w:rsidP="007947DB">
            <w:pPr>
              <w:spacing w:after="0" w:line="240" w:lineRule="auto"/>
              <w:jc w:val="center"/>
              <w:rPr>
                <w:rFonts w:ascii="Times New Roman" w:eastAsia="Malgun Gothic" w:hAnsi="Times New Roman" w:cs="Times New Roman"/>
                <w:sz w:val="22"/>
                <w:lang w:val="en-GB"/>
              </w:rPr>
            </w:pPr>
            <w:r w:rsidRPr="0025669D">
              <w:rPr>
                <w:rFonts w:ascii="Times New Roman" w:eastAsia="Malgun Gothic" w:hAnsi="Times New Roman" w:cs="Times New Roman"/>
                <w:sz w:val="22"/>
                <w:lang w:val="en-GB"/>
              </w:rPr>
              <w:t>227 (82.2%)</w:t>
            </w:r>
          </w:p>
        </w:tc>
        <w:tc>
          <w:tcPr>
            <w:tcW w:w="835" w:type="pct"/>
            <w:tcBorders>
              <w:top w:val="nil"/>
              <w:left w:val="nil"/>
              <w:bottom w:val="nil"/>
              <w:right w:val="nil"/>
            </w:tcBorders>
            <w:vAlign w:val="bottom"/>
          </w:tcPr>
          <w:p w14:paraId="68C2EECA" w14:textId="77777777" w:rsidR="004A10AE" w:rsidRPr="0025669D" w:rsidRDefault="004A10AE" w:rsidP="007947DB">
            <w:pPr>
              <w:spacing w:after="0" w:line="240" w:lineRule="auto"/>
              <w:jc w:val="center"/>
              <w:rPr>
                <w:rFonts w:ascii="Times New Roman" w:eastAsia="Malgun Gothic" w:hAnsi="Times New Roman" w:cs="Times New Roman"/>
                <w:sz w:val="22"/>
                <w:lang w:val="en-GB"/>
              </w:rPr>
            </w:pPr>
            <w:r w:rsidRPr="0025669D">
              <w:rPr>
                <w:rFonts w:ascii="Times New Roman" w:eastAsia="Malgun Gothic" w:hAnsi="Times New Roman" w:cs="Times New Roman"/>
                <w:sz w:val="22"/>
                <w:lang w:val="en-GB"/>
              </w:rPr>
              <w:t>&lt;0.001</w:t>
            </w:r>
          </w:p>
        </w:tc>
      </w:tr>
      <w:tr w:rsidR="004A10AE" w:rsidRPr="0025669D" w14:paraId="4D8DD8A9" w14:textId="77777777" w:rsidTr="005A4B0D">
        <w:trPr>
          <w:cantSplit/>
          <w:trHeight w:val="320"/>
          <w:jc w:val="center"/>
        </w:trPr>
        <w:tc>
          <w:tcPr>
            <w:tcW w:w="1665" w:type="pct"/>
            <w:tcBorders>
              <w:top w:val="nil"/>
              <w:left w:val="nil"/>
              <w:bottom w:val="nil"/>
              <w:right w:val="nil"/>
            </w:tcBorders>
            <w:vAlign w:val="bottom"/>
          </w:tcPr>
          <w:p w14:paraId="21720B76" w14:textId="77777777" w:rsidR="004A10AE" w:rsidRPr="0025669D" w:rsidRDefault="004A10AE" w:rsidP="007947DB">
            <w:pPr>
              <w:spacing w:after="0" w:line="240" w:lineRule="auto"/>
              <w:ind w:firstLineChars="100" w:firstLine="220"/>
              <w:jc w:val="left"/>
              <w:rPr>
                <w:rFonts w:ascii="Times New Roman" w:eastAsia="Malgun Gothic" w:hAnsi="Times New Roman" w:cs="Times New Roman"/>
                <w:sz w:val="22"/>
                <w:lang w:val="en-GB"/>
              </w:rPr>
            </w:pPr>
            <w:r w:rsidRPr="0025669D">
              <w:rPr>
                <w:rFonts w:ascii="Times New Roman" w:eastAsia="Malgun Gothic" w:hAnsi="Times New Roman" w:cs="Times New Roman"/>
                <w:sz w:val="22"/>
                <w:lang w:val="en-GB"/>
              </w:rPr>
              <w:t>≥50% improvement</w:t>
            </w:r>
          </w:p>
        </w:tc>
        <w:tc>
          <w:tcPr>
            <w:tcW w:w="1250" w:type="pct"/>
            <w:tcBorders>
              <w:top w:val="nil"/>
              <w:left w:val="nil"/>
              <w:bottom w:val="nil"/>
              <w:right w:val="nil"/>
            </w:tcBorders>
            <w:vAlign w:val="bottom"/>
          </w:tcPr>
          <w:p w14:paraId="2F2E756D" w14:textId="77777777" w:rsidR="004A10AE" w:rsidRPr="0025669D" w:rsidRDefault="004A10AE" w:rsidP="007947DB">
            <w:pPr>
              <w:spacing w:after="0" w:line="240" w:lineRule="auto"/>
              <w:jc w:val="center"/>
              <w:rPr>
                <w:rFonts w:ascii="Times New Roman" w:eastAsia="Malgun Gothic" w:hAnsi="Times New Roman" w:cs="Times New Roman"/>
                <w:sz w:val="22"/>
                <w:lang w:val="en-GB"/>
              </w:rPr>
            </w:pPr>
            <w:r w:rsidRPr="0025669D">
              <w:rPr>
                <w:rFonts w:ascii="Times New Roman" w:eastAsia="Malgun Gothic" w:hAnsi="Times New Roman" w:cs="Times New Roman"/>
                <w:sz w:val="22"/>
                <w:lang w:val="en-GB"/>
              </w:rPr>
              <w:t>5 (6.5%)</w:t>
            </w:r>
          </w:p>
        </w:tc>
        <w:tc>
          <w:tcPr>
            <w:tcW w:w="1250" w:type="pct"/>
            <w:tcBorders>
              <w:top w:val="nil"/>
              <w:left w:val="nil"/>
              <w:bottom w:val="nil"/>
              <w:right w:val="nil"/>
            </w:tcBorders>
            <w:vAlign w:val="bottom"/>
          </w:tcPr>
          <w:p w14:paraId="245B9BFC" w14:textId="77777777" w:rsidR="004A10AE" w:rsidRPr="0025669D" w:rsidRDefault="004A10AE" w:rsidP="007947DB">
            <w:pPr>
              <w:spacing w:after="0" w:line="240" w:lineRule="auto"/>
              <w:jc w:val="center"/>
              <w:rPr>
                <w:rFonts w:ascii="Times New Roman" w:eastAsia="Malgun Gothic" w:hAnsi="Times New Roman" w:cs="Times New Roman"/>
                <w:sz w:val="22"/>
                <w:lang w:val="en-GB"/>
              </w:rPr>
            </w:pPr>
            <w:r w:rsidRPr="0025669D">
              <w:rPr>
                <w:rFonts w:ascii="Times New Roman" w:eastAsia="Malgun Gothic" w:hAnsi="Times New Roman" w:cs="Times New Roman"/>
                <w:sz w:val="22"/>
                <w:lang w:val="en-GB"/>
              </w:rPr>
              <w:t>248 (89.9%)</w:t>
            </w:r>
          </w:p>
        </w:tc>
        <w:tc>
          <w:tcPr>
            <w:tcW w:w="835" w:type="pct"/>
            <w:tcBorders>
              <w:top w:val="nil"/>
              <w:left w:val="nil"/>
              <w:bottom w:val="nil"/>
              <w:right w:val="nil"/>
            </w:tcBorders>
            <w:vAlign w:val="bottom"/>
          </w:tcPr>
          <w:p w14:paraId="697BCDAA" w14:textId="77777777" w:rsidR="004A10AE" w:rsidRPr="0025669D" w:rsidRDefault="004A10AE" w:rsidP="007947DB">
            <w:pPr>
              <w:spacing w:after="0" w:line="240" w:lineRule="auto"/>
              <w:jc w:val="center"/>
              <w:rPr>
                <w:rFonts w:ascii="Times New Roman" w:eastAsia="Malgun Gothic" w:hAnsi="Times New Roman" w:cs="Times New Roman"/>
                <w:sz w:val="22"/>
                <w:lang w:val="en-GB"/>
              </w:rPr>
            </w:pPr>
          </w:p>
        </w:tc>
      </w:tr>
      <w:tr w:rsidR="004A10AE" w:rsidRPr="0025669D" w14:paraId="3D30CE97" w14:textId="77777777" w:rsidTr="005A4B0D">
        <w:trPr>
          <w:cantSplit/>
          <w:trHeight w:val="320"/>
          <w:jc w:val="center"/>
        </w:trPr>
        <w:tc>
          <w:tcPr>
            <w:tcW w:w="1665" w:type="pct"/>
            <w:tcBorders>
              <w:top w:val="nil"/>
              <w:left w:val="nil"/>
              <w:bottom w:val="nil"/>
              <w:right w:val="nil"/>
            </w:tcBorders>
            <w:vAlign w:val="bottom"/>
          </w:tcPr>
          <w:p w14:paraId="55BDA66E" w14:textId="77777777" w:rsidR="004A10AE" w:rsidRPr="0025669D" w:rsidRDefault="004A10AE" w:rsidP="007947DB">
            <w:pPr>
              <w:spacing w:after="0" w:line="240" w:lineRule="auto"/>
              <w:jc w:val="left"/>
              <w:rPr>
                <w:rFonts w:ascii="Times New Roman" w:eastAsia="Malgun Gothic" w:hAnsi="Times New Roman" w:cs="Times New Roman"/>
                <w:sz w:val="22"/>
                <w:lang w:val="en-GB"/>
              </w:rPr>
            </w:pPr>
            <w:r w:rsidRPr="0025669D">
              <w:rPr>
                <w:rFonts w:ascii="Times New Roman" w:eastAsia="Malgun Gothic" w:hAnsi="Times New Roman" w:cs="Times New Roman"/>
                <w:sz w:val="22"/>
                <w:lang w:val="en-GB"/>
              </w:rPr>
              <w:t>Week 50</w:t>
            </w:r>
          </w:p>
        </w:tc>
        <w:tc>
          <w:tcPr>
            <w:tcW w:w="1250" w:type="pct"/>
            <w:tcBorders>
              <w:top w:val="nil"/>
              <w:left w:val="nil"/>
              <w:bottom w:val="nil"/>
              <w:right w:val="nil"/>
            </w:tcBorders>
            <w:vAlign w:val="bottom"/>
          </w:tcPr>
          <w:p w14:paraId="67A6BE66" w14:textId="77777777" w:rsidR="004A10AE" w:rsidRPr="0025669D" w:rsidRDefault="004A10AE" w:rsidP="007947DB">
            <w:pPr>
              <w:spacing w:after="0" w:line="240" w:lineRule="auto"/>
              <w:jc w:val="center"/>
              <w:rPr>
                <w:rFonts w:ascii="Times New Roman" w:eastAsia="Malgun Gothic" w:hAnsi="Times New Roman" w:cs="Times New Roman"/>
                <w:sz w:val="22"/>
                <w:lang w:val="en-GB"/>
              </w:rPr>
            </w:pPr>
          </w:p>
        </w:tc>
        <w:tc>
          <w:tcPr>
            <w:tcW w:w="1250" w:type="pct"/>
            <w:tcBorders>
              <w:top w:val="nil"/>
              <w:left w:val="nil"/>
              <w:bottom w:val="nil"/>
              <w:right w:val="nil"/>
            </w:tcBorders>
            <w:vAlign w:val="bottom"/>
          </w:tcPr>
          <w:p w14:paraId="02E3333D" w14:textId="77777777" w:rsidR="004A10AE" w:rsidRPr="0025669D" w:rsidRDefault="004A10AE" w:rsidP="007947DB">
            <w:pPr>
              <w:spacing w:after="0" w:line="240" w:lineRule="auto"/>
              <w:jc w:val="center"/>
              <w:rPr>
                <w:rFonts w:ascii="Times New Roman" w:eastAsia="Malgun Gothic" w:hAnsi="Times New Roman" w:cs="Times New Roman"/>
                <w:sz w:val="22"/>
                <w:lang w:val="en-GB"/>
              </w:rPr>
            </w:pPr>
          </w:p>
        </w:tc>
        <w:tc>
          <w:tcPr>
            <w:tcW w:w="835" w:type="pct"/>
            <w:tcBorders>
              <w:top w:val="nil"/>
              <w:left w:val="nil"/>
              <w:bottom w:val="nil"/>
              <w:right w:val="nil"/>
            </w:tcBorders>
            <w:vAlign w:val="bottom"/>
          </w:tcPr>
          <w:p w14:paraId="61315904" w14:textId="77777777" w:rsidR="004A10AE" w:rsidRPr="0025669D" w:rsidRDefault="004A10AE" w:rsidP="007947DB">
            <w:pPr>
              <w:spacing w:after="0" w:line="240" w:lineRule="auto"/>
              <w:jc w:val="center"/>
              <w:rPr>
                <w:rFonts w:ascii="Times New Roman" w:eastAsia="Malgun Gothic" w:hAnsi="Times New Roman" w:cs="Times New Roman"/>
                <w:sz w:val="22"/>
                <w:lang w:val="en-GB"/>
              </w:rPr>
            </w:pPr>
          </w:p>
        </w:tc>
      </w:tr>
      <w:tr w:rsidR="004A10AE" w:rsidRPr="0025669D" w14:paraId="390990BB" w14:textId="77777777" w:rsidTr="005A4B0D">
        <w:trPr>
          <w:cantSplit/>
          <w:trHeight w:val="320"/>
          <w:jc w:val="center"/>
        </w:trPr>
        <w:tc>
          <w:tcPr>
            <w:tcW w:w="1665" w:type="pct"/>
            <w:tcBorders>
              <w:top w:val="nil"/>
              <w:left w:val="nil"/>
              <w:bottom w:val="nil"/>
              <w:right w:val="nil"/>
            </w:tcBorders>
            <w:vAlign w:val="bottom"/>
          </w:tcPr>
          <w:p w14:paraId="1472430F" w14:textId="77777777" w:rsidR="004A10AE" w:rsidRPr="0025669D" w:rsidRDefault="004A10AE" w:rsidP="007947DB">
            <w:pPr>
              <w:spacing w:after="0" w:line="240" w:lineRule="auto"/>
              <w:jc w:val="left"/>
              <w:rPr>
                <w:rFonts w:ascii="Times New Roman" w:eastAsia="Malgun Gothic" w:hAnsi="Times New Roman" w:cs="Times New Roman"/>
                <w:sz w:val="22"/>
                <w:lang w:val="en-GB"/>
              </w:rPr>
            </w:pPr>
            <w:r w:rsidRPr="0025669D">
              <w:rPr>
                <w:rFonts w:ascii="Times New Roman" w:eastAsia="Malgun Gothic" w:hAnsi="Times New Roman" w:cs="Times New Roman"/>
                <w:sz w:val="22"/>
                <w:lang w:val="en-GB"/>
              </w:rPr>
              <w:t>n</w:t>
            </w:r>
          </w:p>
        </w:tc>
        <w:tc>
          <w:tcPr>
            <w:tcW w:w="1250" w:type="pct"/>
            <w:tcBorders>
              <w:top w:val="nil"/>
              <w:left w:val="nil"/>
              <w:bottom w:val="nil"/>
              <w:right w:val="nil"/>
            </w:tcBorders>
            <w:vAlign w:val="bottom"/>
          </w:tcPr>
          <w:p w14:paraId="7E8365DF" w14:textId="77777777" w:rsidR="004A10AE" w:rsidRPr="0025669D" w:rsidRDefault="004A10AE" w:rsidP="007947DB">
            <w:pPr>
              <w:spacing w:after="0" w:line="240" w:lineRule="auto"/>
              <w:jc w:val="center"/>
              <w:rPr>
                <w:rFonts w:ascii="Times New Roman" w:eastAsia="Malgun Gothic" w:hAnsi="Times New Roman" w:cs="Times New Roman"/>
                <w:sz w:val="22"/>
                <w:lang w:val="en-GB"/>
              </w:rPr>
            </w:pPr>
            <w:r w:rsidRPr="0025669D">
              <w:rPr>
                <w:rFonts w:ascii="Times New Roman" w:eastAsia="Malgun Gothic" w:hAnsi="Times New Roman" w:cs="Times New Roman"/>
                <w:sz w:val="22"/>
                <w:lang w:val="en-GB"/>
              </w:rPr>
              <w:t>68</w:t>
            </w:r>
          </w:p>
        </w:tc>
        <w:tc>
          <w:tcPr>
            <w:tcW w:w="1250" w:type="pct"/>
            <w:tcBorders>
              <w:top w:val="nil"/>
              <w:left w:val="nil"/>
              <w:bottom w:val="nil"/>
              <w:right w:val="nil"/>
            </w:tcBorders>
            <w:vAlign w:val="bottom"/>
          </w:tcPr>
          <w:p w14:paraId="11E80A89" w14:textId="77777777" w:rsidR="004A10AE" w:rsidRPr="0025669D" w:rsidRDefault="004A10AE" w:rsidP="007947DB">
            <w:pPr>
              <w:spacing w:after="0" w:line="240" w:lineRule="auto"/>
              <w:jc w:val="center"/>
              <w:rPr>
                <w:rFonts w:ascii="Times New Roman" w:eastAsia="Malgun Gothic" w:hAnsi="Times New Roman" w:cs="Times New Roman"/>
                <w:sz w:val="22"/>
                <w:lang w:val="en-GB"/>
              </w:rPr>
            </w:pPr>
            <w:r w:rsidRPr="0025669D">
              <w:rPr>
                <w:rFonts w:ascii="Times New Roman" w:eastAsia="Malgun Gothic" w:hAnsi="Times New Roman" w:cs="Times New Roman"/>
                <w:sz w:val="22"/>
                <w:lang w:val="en-GB"/>
              </w:rPr>
              <w:t>281</w:t>
            </w:r>
          </w:p>
        </w:tc>
        <w:tc>
          <w:tcPr>
            <w:tcW w:w="835" w:type="pct"/>
            <w:tcBorders>
              <w:top w:val="nil"/>
              <w:left w:val="nil"/>
              <w:bottom w:val="nil"/>
              <w:right w:val="nil"/>
            </w:tcBorders>
            <w:vAlign w:val="bottom"/>
          </w:tcPr>
          <w:p w14:paraId="0DE8DA40" w14:textId="77777777" w:rsidR="004A10AE" w:rsidRPr="0025669D" w:rsidRDefault="004A10AE" w:rsidP="007947DB">
            <w:pPr>
              <w:spacing w:after="0" w:line="240" w:lineRule="auto"/>
              <w:jc w:val="center"/>
              <w:rPr>
                <w:rFonts w:ascii="Times New Roman" w:eastAsia="Malgun Gothic" w:hAnsi="Times New Roman" w:cs="Times New Roman"/>
                <w:sz w:val="22"/>
                <w:lang w:val="en-GB"/>
              </w:rPr>
            </w:pPr>
          </w:p>
        </w:tc>
      </w:tr>
      <w:tr w:rsidR="004A10AE" w:rsidRPr="0025669D" w14:paraId="25D0CD39" w14:textId="77777777" w:rsidTr="005A4B0D">
        <w:trPr>
          <w:cantSplit/>
          <w:trHeight w:val="320"/>
          <w:jc w:val="center"/>
        </w:trPr>
        <w:tc>
          <w:tcPr>
            <w:tcW w:w="1665" w:type="pct"/>
            <w:tcBorders>
              <w:top w:val="nil"/>
              <w:left w:val="nil"/>
              <w:bottom w:val="nil"/>
              <w:right w:val="nil"/>
            </w:tcBorders>
            <w:vAlign w:val="bottom"/>
          </w:tcPr>
          <w:p w14:paraId="3F023AB6" w14:textId="77777777" w:rsidR="004A10AE" w:rsidRPr="0025669D" w:rsidRDefault="004A10AE" w:rsidP="007947DB">
            <w:pPr>
              <w:spacing w:after="0" w:line="240" w:lineRule="auto"/>
              <w:ind w:firstLineChars="100" w:firstLine="220"/>
              <w:jc w:val="left"/>
              <w:rPr>
                <w:rFonts w:ascii="Times New Roman" w:eastAsia="Malgun Gothic" w:hAnsi="Times New Roman" w:cs="Times New Roman"/>
                <w:sz w:val="22"/>
                <w:lang w:val="en-GB"/>
              </w:rPr>
            </w:pPr>
            <w:r w:rsidRPr="0025669D">
              <w:rPr>
                <w:rFonts w:ascii="Times New Roman" w:eastAsia="Malgun Gothic" w:hAnsi="Times New Roman" w:cs="Times New Roman"/>
                <w:sz w:val="22"/>
                <w:lang w:val="en-GB"/>
              </w:rPr>
              <w:t>≥90% improvement</w:t>
            </w:r>
          </w:p>
        </w:tc>
        <w:tc>
          <w:tcPr>
            <w:tcW w:w="1250" w:type="pct"/>
            <w:tcBorders>
              <w:top w:val="nil"/>
              <w:left w:val="nil"/>
              <w:bottom w:val="nil"/>
              <w:right w:val="nil"/>
            </w:tcBorders>
            <w:vAlign w:val="bottom"/>
          </w:tcPr>
          <w:p w14:paraId="53933DB8" w14:textId="77777777" w:rsidR="004A10AE" w:rsidRPr="0025669D" w:rsidRDefault="004A10AE" w:rsidP="007947DB">
            <w:pPr>
              <w:spacing w:after="0" w:line="240" w:lineRule="auto"/>
              <w:jc w:val="center"/>
              <w:rPr>
                <w:rFonts w:ascii="Times New Roman" w:eastAsia="Malgun Gothic" w:hAnsi="Times New Roman" w:cs="Times New Roman"/>
                <w:sz w:val="22"/>
                <w:lang w:val="en-GB"/>
              </w:rPr>
            </w:pPr>
            <w:r w:rsidRPr="0025669D">
              <w:rPr>
                <w:rFonts w:ascii="Times New Roman" w:eastAsia="Malgun Gothic" w:hAnsi="Times New Roman" w:cs="Times New Roman"/>
                <w:sz w:val="22"/>
                <w:lang w:val="en-GB"/>
              </w:rPr>
              <w:t>34 (50.0%)</w:t>
            </w:r>
          </w:p>
        </w:tc>
        <w:tc>
          <w:tcPr>
            <w:tcW w:w="1250" w:type="pct"/>
            <w:tcBorders>
              <w:top w:val="nil"/>
              <w:left w:val="nil"/>
              <w:bottom w:val="nil"/>
              <w:right w:val="nil"/>
            </w:tcBorders>
            <w:vAlign w:val="bottom"/>
          </w:tcPr>
          <w:p w14:paraId="52B3A15F" w14:textId="77777777" w:rsidR="004A10AE" w:rsidRPr="0025669D" w:rsidRDefault="004A10AE" w:rsidP="007947DB">
            <w:pPr>
              <w:spacing w:after="0" w:line="240" w:lineRule="auto"/>
              <w:jc w:val="center"/>
              <w:rPr>
                <w:rFonts w:ascii="Times New Roman" w:eastAsia="Malgun Gothic" w:hAnsi="Times New Roman" w:cs="Times New Roman"/>
                <w:sz w:val="22"/>
                <w:lang w:val="en-GB"/>
              </w:rPr>
            </w:pPr>
            <w:r w:rsidRPr="0025669D">
              <w:rPr>
                <w:rFonts w:ascii="Times New Roman" w:eastAsia="Malgun Gothic" w:hAnsi="Times New Roman" w:cs="Times New Roman"/>
                <w:sz w:val="22"/>
                <w:lang w:val="en-GB"/>
              </w:rPr>
              <w:t>127 (45.2%)</w:t>
            </w:r>
          </w:p>
        </w:tc>
        <w:tc>
          <w:tcPr>
            <w:tcW w:w="835" w:type="pct"/>
            <w:tcBorders>
              <w:top w:val="nil"/>
              <w:left w:val="nil"/>
              <w:bottom w:val="nil"/>
              <w:right w:val="nil"/>
            </w:tcBorders>
            <w:vAlign w:val="bottom"/>
          </w:tcPr>
          <w:p w14:paraId="50429812" w14:textId="77777777" w:rsidR="004A10AE" w:rsidRPr="0025669D" w:rsidRDefault="004A10AE" w:rsidP="007947DB">
            <w:pPr>
              <w:spacing w:after="0" w:line="240" w:lineRule="auto"/>
              <w:jc w:val="center"/>
              <w:rPr>
                <w:rFonts w:ascii="Times New Roman" w:eastAsia="Malgun Gothic" w:hAnsi="Times New Roman" w:cs="Times New Roman"/>
                <w:sz w:val="22"/>
                <w:lang w:val="en-GB"/>
              </w:rPr>
            </w:pPr>
          </w:p>
        </w:tc>
      </w:tr>
      <w:tr w:rsidR="004A10AE" w:rsidRPr="0025669D" w14:paraId="29E9D5C4" w14:textId="77777777" w:rsidTr="005A4B0D">
        <w:trPr>
          <w:cantSplit/>
          <w:trHeight w:val="320"/>
          <w:jc w:val="center"/>
        </w:trPr>
        <w:tc>
          <w:tcPr>
            <w:tcW w:w="1665" w:type="pct"/>
            <w:tcBorders>
              <w:top w:val="nil"/>
              <w:left w:val="nil"/>
              <w:right w:val="nil"/>
            </w:tcBorders>
            <w:vAlign w:val="bottom"/>
          </w:tcPr>
          <w:p w14:paraId="565DBFA6" w14:textId="77777777" w:rsidR="004A10AE" w:rsidRPr="0025669D" w:rsidRDefault="004A10AE" w:rsidP="007947DB">
            <w:pPr>
              <w:spacing w:after="0" w:line="240" w:lineRule="auto"/>
              <w:ind w:firstLineChars="100" w:firstLine="220"/>
              <w:jc w:val="left"/>
              <w:rPr>
                <w:rFonts w:ascii="Times New Roman" w:eastAsia="Malgun Gothic" w:hAnsi="Times New Roman" w:cs="Times New Roman"/>
                <w:sz w:val="22"/>
                <w:lang w:val="en-GB"/>
              </w:rPr>
            </w:pPr>
            <w:r w:rsidRPr="0025669D">
              <w:rPr>
                <w:rFonts w:ascii="Times New Roman" w:eastAsia="Malgun Gothic" w:hAnsi="Times New Roman" w:cs="Times New Roman"/>
                <w:sz w:val="22"/>
                <w:lang w:val="en-GB"/>
              </w:rPr>
              <w:t>≥75% improvement</w:t>
            </w:r>
          </w:p>
        </w:tc>
        <w:tc>
          <w:tcPr>
            <w:tcW w:w="1250" w:type="pct"/>
            <w:tcBorders>
              <w:top w:val="nil"/>
              <w:left w:val="nil"/>
              <w:right w:val="nil"/>
            </w:tcBorders>
            <w:vAlign w:val="bottom"/>
          </w:tcPr>
          <w:p w14:paraId="658E2921" w14:textId="77777777" w:rsidR="004A10AE" w:rsidRPr="0025669D" w:rsidRDefault="004A10AE" w:rsidP="007947DB">
            <w:pPr>
              <w:spacing w:after="0" w:line="240" w:lineRule="auto"/>
              <w:jc w:val="center"/>
              <w:rPr>
                <w:rFonts w:ascii="Times New Roman" w:eastAsia="Malgun Gothic" w:hAnsi="Times New Roman" w:cs="Times New Roman"/>
                <w:sz w:val="22"/>
                <w:lang w:val="en-GB"/>
              </w:rPr>
            </w:pPr>
            <w:r w:rsidRPr="0025669D">
              <w:rPr>
                <w:rFonts w:ascii="Times New Roman" w:eastAsia="Malgun Gothic" w:hAnsi="Times New Roman" w:cs="Times New Roman"/>
                <w:sz w:val="22"/>
                <w:lang w:val="en-GB"/>
              </w:rPr>
              <w:t>52 (76.5%)</w:t>
            </w:r>
          </w:p>
        </w:tc>
        <w:tc>
          <w:tcPr>
            <w:tcW w:w="1250" w:type="pct"/>
            <w:tcBorders>
              <w:top w:val="nil"/>
              <w:left w:val="nil"/>
              <w:right w:val="nil"/>
            </w:tcBorders>
            <w:vAlign w:val="bottom"/>
          </w:tcPr>
          <w:p w14:paraId="19CCD16C" w14:textId="77777777" w:rsidR="004A10AE" w:rsidRPr="0025669D" w:rsidRDefault="004A10AE" w:rsidP="007947DB">
            <w:pPr>
              <w:spacing w:after="0" w:line="240" w:lineRule="auto"/>
              <w:jc w:val="center"/>
              <w:rPr>
                <w:rFonts w:ascii="Times New Roman" w:eastAsia="Malgun Gothic" w:hAnsi="Times New Roman" w:cs="Times New Roman"/>
                <w:sz w:val="22"/>
                <w:lang w:val="en-GB"/>
              </w:rPr>
            </w:pPr>
            <w:r w:rsidRPr="0025669D">
              <w:rPr>
                <w:rFonts w:ascii="Times New Roman" w:eastAsia="Malgun Gothic" w:hAnsi="Times New Roman" w:cs="Times New Roman"/>
                <w:sz w:val="22"/>
                <w:lang w:val="en-GB"/>
              </w:rPr>
              <w:t>170 (60.5%)</w:t>
            </w:r>
          </w:p>
        </w:tc>
        <w:tc>
          <w:tcPr>
            <w:tcW w:w="835" w:type="pct"/>
            <w:tcBorders>
              <w:top w:val="nil"/>
              <w:left w:val="nil"/>
              <w:right w:val="nil"/>
            </w:tcBorders>
            <w:vAlign w:val="bottom"/>
          </w:tcPr>
          <w:p w14:paraId="618AEE6E" w14:textId="77777777" w:rsidR="004A10AE" w:rsidRPr="0025669D" w:rsidRDefault="004A10AE" w:rsidP="007947DB">
            <w:pPr>
              <w:spacing w:after="0" w:line="240" w:lineRule="auto"/>
              <w:jc w:val="center"/>
              <w:rPr>
                <w:rFonts w:ascii="Times New Roman" w:eastAsia="Malgun Gothic" w:hAnsi="Times New Roman" w:cs="Times New Roman"/>
                <w:sz w:val="22"/>
                <w:lang w:val="en-GB"/>
              </w:rPr>
            </w:pPr>
          </w:p>
        </w:tc>
      </w:tr>
      <w:tr w:rsidR="004A10AE" w:rsidRPr="0025669D" w14:paraId="0BEEF05A" w14:textId="77777777" w:rsidTr="005A4B0D">
        <w:trPr>
          <w:cantSplit/>
          <w:trHeight w:val="320"/>
          <w:jc w:val="center"/>
        </w:trPr>
        <w:tc>
          <w:tcPr>
            <w:tcW w:w="1665" w:type="pct"/>
            <w:tcBorders>
              <w:top w:val="nil"/>
              <w:left w:val="nil"/>
              <w:bottom w:val="single" w:sz="4" w:space="0" w:color="auto"/>
              <w:right w:val="nil"/>
            </w:tcBorders>
            <w:vAlign w:val="bottom"/>
          </w:tcPr>
          <w:p w14:paraId="0ABA97F3" w14:textId="77777777" w:rsidR="004A10AE" w:rsidRPr="0025669D" w:rsidRDefault="004A10AE" w:rsidP="007947DB">
            <w:pPr>
              <w:spacing w:after="0" w:line="240" w:lineRule="auto"/>
              <w:ind w:firstLineChars="100" w:firstLine="220"/>
              <w:jc w:val="left"/>
              <w:rPr>
                <w:rFonts w:ascii="Times New Roman" w:eastAsia="Malgun Gothic" w:hAnsi="Times New Roman" w:cs="Times New Roman"/>
                <w:sz w:val="22"/>
                <w:lang w:val="en-GB"/>
              </w:rPr>
            </w:pPr>
            <w:r w:rsidRPr="0025669D">
              <w:rPr>
                <w:rFonts w:ascii="Times New Roman" w:eastAsia="Malgun Gothic" w:hAnsi="Times New Roman" w:cs="Times New Roman"/>
                <w:sz w:val="22"/>
                <w:lang w:val="en-GB"/>
              </w:rPr>
              <w:t>≥50% improvement</w:t>
            </w:r>
          </w:p>
        </w:tc>
        <w:tc>
          <w:tcPr>
            <w:tcW w:w="1250" w:type="pct"/>
            <w:tcBorders>
              <w:top w:val="nil"/>
              <w:left w:val="nil"/>
              <w:bottom w:val="single" w:sz="4" w:space="0" w:color="auto"/>
              <w:right w:val="nil"/>
            </w:tcBorders>
            <w:vAlign w:val="bottom"/>
          </w:tcPr>
          <w:p w14:paraId="3363ED4A" w14:textId="77777777" w:rsidR="004A10AE" w:rsidRPr="0025669D" w:rsidRDefault="004A10AE" w:rsidP="007947DB">
            <w:pPr>
              <w:spacing w:after="0" w:line="240" w:lineRule="auto"/>
              <w:jc w:val="center"/>
              <w:rPr>
                <w:rFonts w:ascii="Times New Roman" w:eastAsia="Malgun Gothic" w:hAnsi="Times New Roman" w:cs="Times New Roman"/>
                <w:sz w:val="22"/>
                <w:lang w:val="en-GB"/>
              </w:rPr>
            </w:pPr>
            <w:r w:rsidRPr="0025669D">
              <w:rPr>
                <w:rFonts w:ascii="Times New Roman" w:eastAsia="Malgun Gothic" w:hAnsi="Times New Roman" w:cs="Times New Roman"/>
                <w:sz w:val="22"/>
                <w:lang w:val="en-GB"/>
              </w:rPr>
              <w:t>61 (89.7%)</w:t>
            </w:r>
          </w:p>
        </w:tc>
        <w:tc>
          <w:tcPr>
            <w:tcW w:w="1250" w:type="pct"/>
            <w:tcBorders>
              <w:top w:val="nil"/>
              <w:left w:val="nil"/>
              <w:bottom w:val="single" w:sz="4" w:space="0" w:color="auto"/>
              <w:right w:val="nil"/>
            </w:tcBorders>
            <w:vAlign w:val="bottom"/>
          </w:tcPr>
          <w:p w14:paraId="1B930993" w14:textId="77777777" w:rsidR="004A10AE" w:rsidRPr="0025669D" w:rsidRDefault="004A10AE" w:rsidP="007947DB">
            <w:pPr>
              <w:spacing w:after="0" w:line="240" w:lineRule="auto"/>
              <w:jc w:val="center"/>
              <w:rPr>
                <w:rFonts w:ascii="Times New Roman" w:eastAsia="Malgun Gothic" w:hAnsi="Times New Roman" w:cs="Times New Roman"/>
                <w:sz w:val="22"/>
                <w:lang w:val="en-GB"/>
              </w:rPr>
            </w:pPr>
            <w:r w:rsidRPr="0025669D">
              <w:rPr>
                <w:rFonts w:ascii="Times New Roman" w:eastAsia="Malgun Gothic" w:hAnsi="Times New Roman" w:cs="Times New Roman"/>
                <w:sz w:val="22"/>
                <w:lang w:val="en-GB"/>
              </w:rPr>
              <w:t>193 (68.7%)</w:t>
            </w:r>
          </w:p>
        </w:tc>
        <w:tc>
          <w:tcPr>
            <w:tcW w:w="835" w:type="pct"/>
            <w:tcBorders>
              <w:top w:val="nil"/>
              <w:left w:val="nil"/>
              <w:bottom w:val="single" w:sz="4" w:space="0" w:color="auto"/>
              <w:right w:val="nil"/>
            </w:tcBorders>
            <w:vAlign w:val="bottom"/>
          </w:tcPr>
          <w:p w14:paraId="72E31022" w14:textId="77777777" w:rsidR="004A10AE" w:rsidRPr="0025669D" w:rsidRDefault="004A10AE" w:rsidP="007947DB">
            <w:pPr>
              <w:spacing w:after="0" w:line="240" w:lineRule="auto"/>
              <w:jc w:val="center"/>
              <w:rPr>
                <w:rFonts w:ascii="Times New Roman" w:eastAsia="Malgun Gothic" w:hAnsi="Times New Roman" w:cs="Times New Roman"/>
                <w:sz w:val="22"/>
                <w:lang w:val="en-GB"/>
              </w:rPr>
            </w:pPr>
          </w:p>
        </w:tc>
      </w:tr>
    </w:tbl>
    <w:p w14:paraId="688753E1" w14:textId="77777777" w:rsidR="004A10AE" w:rsidRPr="0025669D" w:rsidRDefault="004A10AE" w:rsidP="007947DB">
      <w:pPr>
        <w:spacing w:line="240" w:lineRule="auto"/>
        <w:jc w:val="left"/>
        <w:rPr>
          <w:rFonts w:ascii="Times New Roman" w:eastAsia="Malgun Gothic" w:hAnsi="Times New Roman" w:cs="Times New Roman"/>
          <w:sz w:val="24"/>
          <w:szCs w:val="24"/>
        </w:rPr>
      </w:pPr>
    </w:p>
    <w:p w14:paraId="2AA9DEDE" w14:textId="0BED85F8" w:rsidR="004A10AE" w:rsidRDefault="004A10AE" w:rsidP="007947DB">
      <w:pPr>
        <w:spacing w:line="240" w:lineRule="auto"/>
        <w:jc w:val="left"/>
        <w:rPr>
          <w:rFonts w:ascii="Times New Roman" w:eastAsia="Malgun Gothic" w:hAnsi="Times New Roman" w:cs="Times New Roman"/>
          <w:sz w:val="24"/>
          <w:szCs w:val="24"/>
        </w:rPr>
      </w:pPr>
      <w:r w:rsidRPr="0025669D">
        <w:rPr>
          <w:rFonts w:ascii="Times New Roman" w:eastAsia="Malgun Gothic" w:hAnsi="Times New Roman" w:cs="Times New Roman"/>
          <w:sz w:val="24"/>
          <w:szCs w:val="24"/>
        </w:rPr>
        <w:t xml:space="preserve">At week 10, 82.9% of infliximab patients achieved a PGA score of minimal or cleared compared to 3.9% of placebo patients (p&lt;0.001). PGA scores at weeks 6, 10, 24 and 50 are </w:t>
      </w:r>
      <w:r w:rsidRPr="00F53E50">
        <w:rPr>
          <w:rFonts w:ascii="Times New Roman" w:eastAsia="Malgun Gothic" w:hAnsi="Times New Roman" w:cs="Times New Roman"/>
          <w:sz w:val="24"/>
          <w:szCs w:val="24"/>
        </w:rPr>
        <w:t xml:space="preserve">presented in </w:t>
      </w:r>
      <w:r w:rsidRPr="00F53E50">
        <w:rPr>
          <w:rFonts w:ascii="Times New Roman" w:eastAsia="Malgun Gothic" w:hAnsi="Times New Roman" w:cs="Times New Roman"/>
          <w:sz w:val="24"/>
          <w:szCs w:val="24"/>
        </w:rPr>
        <w:fldChar w:fldCharType="begin"/>
      </w:r>
      <w:r w:rsidRPr="00F53E50">
        <w:rPr>
          <w:rFonts w:ascii="Times New Roman" w:eastAsia="Malgun Gothic" w:hAnsi="Times New Roman" w:cs="Times New Roman"/>
          <w:sz w:val="24"/>
          <w:szCs w:val="24"/>
        </w:rPr>
        <w:instrText xml:space="preserve"> REF _Ref423968558 \h  \* MERGEFORMAT </w:instrText>
      </w:r>
      <w:r w:rsidRPr="00F53E50">
        <w:rPr>
          <w:rFonts w:ascii="Times New Roman" w:eastAsia="Malgun Gothic" w:hAnsi="Times New Roman" w:cs="Times New Roman"/>
          <w:sz w:val="24"/>
          <w:szCs w:val="24"/>
        </w:rPr>
      </w:r>
      <w:r w:rsidRPr="00F53E50">
        <w:rPr>
          <w:rFonts w:ascii="Times New Roman" w:eastAsia="Malgun Gothic" w:hAnsi="Times New Roman" w:cs="Times New Roman"/>
          <w:sz w:val="24"/>
          <w:szCs w:val="24"/>
        </w:rPr>
        <w:fldChar w:fldCharType="separate"/>
      </w:r>
      <w:r w:rsidR="005A6BF4" w:rsidRPr="005A6BF4">
        <w:rPr>
          <w:rFonts w:ascii="Times New Roman" w:hAnsi="Times New Roman" w:cs="Times New Roman"/>
          <w:sz w:val="24"/>
          <w:szCs w:val="24"/>
        </w:rPr>
        <w:t xml:space="preserve">Table </w:t>
      </w:r>
      <w:r w:rsidR="005A6BF4" w:rsidRPr="005A6BF4">
        <w:rPr>
          <w:rFonts w:ascii="Times New Roman" w:hAnsi="Times New Roman" w:cs="Times New Roman"/>
          <w:noProof/>
          <w:sz w:val="24"/>
          <w:szCs w:val="24"/>
        </w:rPr>
        <w:t>8</w:t>
      </w:r>
      <w:r w:rsidRPr="00F53E50">
        <w:rPr>
          <w:rFonts w:ascii="Times New Roman" w:eastAsia="Malgun Gothic" w:hAnsi="Times New Roman" w:cs="Times New Roman"/>
          <w:sz w:val="24"/>
          <w:szCs w:val="24"/>
        </w:rPr>
        <w:fldChar w:fldCharType="end"/>
      </w:r>
      <w:r w:rsidRPr="00F53E50">
        <w:rPr>
          <w:rFonts w:ascii="Times New Roman" w:eastAsia="Malgun Gothic" w:hAnsi="Times New Roman" w:cs="Times New Roman"/>
          <w:sz w:val="24"/>
          <w:szCs w:val="24"/>
        </w:rPr>
        <w:t>.</w:t>
      </w:r>
    </w:p>
    <w:p w14:paraId="3239426E" w14:textId="4793916D" w:rsidR="00501F29" w:rsidRDefault="00501F29">
      <w:pPr>
        <w:widowControl/>
        <w:wordWrap/>
        <w:autoSpaceDE/>
        <w:autoSpaceDN/>
        <w:rPr>
          <w:rFonts w:ascii="Times New Roman" w:eastAsia="Malgun Gothic" w:hAnsi="Times New Roman" w:cs="Times New Roman"/>
          <w:sz w:val="24"/>
          <w:szCs w:val="24"/>
        </w:rPr>
      </w:pPr>
      <w:r>
        <w:rPr>
          <w:rFonts w:ascii="Times New Roman" w:eastAsia="Malgun Gothic" w:hAnsi="Times New Roman" w:cs="Times New Roman"/>
          <w:sz w:val="24"/>
          <w:szCs w:val="24"/>
        </w:rPr>
        <w:lastRenderedPageBreak/>
        <w:br w:type="page"/>
      </w:r>
    </w:p>
    <w:p w14:paraId="033ED52C" w14:textId="77777777" w:rsidR="00501F29" w:rsidRPr="0025669D" w:rsidRDefault="00501F29" w:rsidP="00501F29">
      <w:pPr>
        <w:spacing w:after="0" w:line="240" w:lineRule="auto"/>
        <w:jc w:val="left"/>
        <w:rPr>
          <w:rFonts w:ascii="Times New Roman" w:eastAsia="Malgun Gothic" w:hAnsi="Times New Roman" w:cs="Times New Roman"/>
          <w:sz w:val="24"/>
          <w:szCs w:val="24"/>
        </w:rPr>
      </w:pPr>
    </w:p>
    <w:p w14:paraId="51D7B55A" w14:textId="192F44F4" w:rsidR="004A10AE" w:rsidRPr="00F53E50" w:rsidRDefault="004A10AE" w:rsidP="007947DB">
      <w:pPr>
        <w:pStyle w:val="Caption"/>
        <w:keepNext/>
        <w:spacing w:after="0" w:line="240" w:lineRule="auto"/>
        <w:ind w:left="880" w:hangingChars="400" w:hanging="880"/>
        <w:rPr>
          <w:rFonts w:ascii="Times New Roman" w:hAnsi="Times New Roman" w:cs="Times New Roman"/>
          <w:sz w:val="22"/>
          <w:szCs w:val="22"/>
        </w:rPr>
      </w:pPr>
      <w:bookmarkStart w:id="7" w:name="_Ref423968558"/>
      <w:proofErr w:type="gramStart"/>
      <w:r w:rsidRPr="00F53E50">
        <w:rPr>
          <w:rFonts w:ascii="Times New Roman" w:hAnsi="Times New Roman" w:cs="Times New Roman"/>
          <w:sz w:val="22"/>
          <w:szCs w:val="22"/>
        </w:rPr>
        <w:t xml:space="preserve">Table </w:t>
      </w:r>
      <w:r w:rsidRPr="00F53E50">
        <w:rPr>
          <w:rFonts w:ascii="Times New Roman" w:hAnsi="Times New Roman" w:cs="Times New Roman"/>
          <w:sz w:val="22"/>
          <w:szCs w:val="22"/>
        </w:rPr>
        <w:fldChar w:fldCharType="begin"/>
      </w:r>
      <w:r w:rsidRPr="00F53E50">
        <w:rPr>
          <w:rFonts w:ascii="Times New Roman" w:hAnsi="Times New Roman" w:cs="Times New Roman"/>
          <w:sz w:val="22"/>
          <w:szCs w:val="22"/>
        </w:rPr>
        <w:instrText xml:space="preserve"> SEQ Table \* ARABIC </w:instrText>
      </w:r>
      <w:r w:rsidRPr="00F53E50">
        <w:rPr>
          <w:rFonts w:ascii="Times New Roman" w:hAnsi="Times New Roman" w:cs="Times New Roman"/>
          <w:sz w:val="22"/>
          <w:szCs w:val="22"/>
        </w:rPr>
        <w:fldChar w:fldCharType="separate"/>
      </w:r>
      <w:r w:rsidR="005A6BF4">
        <w:rPr>
          <w:rFonts w:ascii="Times New Roman" w:hAnsi="Times New Roman" w:cs="Times New Roman"/>
          <w:noProof/>
          <w:sz w:val="22"/>
          <w:szCs w:val="22"/>
        </w:rPr>
        <w:t>8</w:t>
      </w:r>
      <w:r w:rsidRPr="00F53E50">
        <w:rPr>
          <w:rFonts w:ascii="Times New Roman" w:hAnsi="Times New Roman" w:cs="Times New Roman"/>
          <w:sz w:val="22"/>
          <w:szCs w:val="22"/>
        </w:rPr>
        <w:fldChar w:fldCharType="end"/>
      </w:r>
      <w:bookmarkEnd w:id="7"/>
      <w:r w:rsidRPr="007947DB">
        <w:rPr>
          <w:rFonts w:ascii="Times New Roman" w:hAnsi="Times New Roman" w:cs="Times New Roman" w:hint="eastAsia"/>
          <w:sz w:val="22"/>
          <w:szCs w:val="22"/>
        </w:rPr>
        <w:t>.</w:t>
      </w:r>
      <w:proofErr w:type="gramEnd"/>
      <w:r w:rsidRPr="007947DB">
        <w:rPr>
          <w:rFonts w:ascii="Times New Roman" w:hAnsi="Times New Roman" w:cs="Times New Roman"/>
          <w:sz w:val="22"/>
          <w:szCs w:val="22"/>
        </w:rPr>
        <w:t xml:space="preserve"> Summary of PGA Scores </w:t>
      </w:r>
      <w:proofErr w:type="gramStart"/>
      <w:r w:rsidRPr="007947DB">
        <w:rPr>
          <w:rFonts w:ascii="Times New Roman" w:hAnsi="Times New Roman" w:cs="Times New Roman"/>
          <w:sz w:val="22"/>
          <w:szCs w:val="22"/>
        </w:rPr>
        <w:t>Through</w:t>
      </w:r>
      <w:proofErr w:type="gramEnd"/>
      <w:r w:rsidRPr="007947DB">
        <w:rPr>
          <w:rFonts w:ascii="Times New Roman" w:hAnsi="Times New Roman" w:cs="Times New Roman"/>
          <w:sz w:val="22"/>
          <w:szCs w:val="22"/>
        </w:rPr>
        <w:t xml:space="preserve"> Week 50 by Visit, EXPRESS</w:t>
      </w:r>
    </w:p>
    <w:tbl>
      <w:tblPr>
        <w:tblW w:w="5000" w:type="pct"/>
        <w:tblCellMar>
          <w:left w:w="0" w:type="dxa"/>
          <w:right w:w="0" w:type="dxa"/>
        </w:tblCellMar>
        <w:tblLook w:val="0000" w:firstRow="0" w:lastRow="0" w:firstColumn="0" w:lastColumn="0" w:noHBand="0" w:noVBand="0"/>
      </w:tblPr>
      <w:tblGrid>
        <w:gridCol w:w="4422"/>
        <w:gridCol w:w="1842"/>
        <w:gridCol w:w="1657"/>
        <w:gridCol w:w="1105"/>
      </w:tblGrid>
      <w:tr w:rsidR="004A10AE" w:rsidRPr="0025669D" w14:paraId="3FADDDA0" w14:textId="77777777" w:rsidTr="005A4B0D">
        <w:trPr>
          <w:cantSplit/>
          <w:tblHeader/>
        </w:trPr>
        <w:tc>
          <w:tcPr>
            <w:tcW w:w="2449" w:type="pct"/>
            <w:tcBorders>
              <w:top w:val="single" w:sz="4" w:space="0" w:color="auto"/>
              <w:left w:val="nil"/>
              <w:right w:val="nil"/>
            </w:tcBorders>
          </w:tcPr>
          <w:p w14:paraId="5B551B34" w14:textId="77777777" w:rsidR="004A10AE" w:rsidRPr="0025669D" w:rsidRDefault="004A10AE" w:rsidP="007947DB">
            <w:pPr>
              <w:spacing w:after="0" w:line="240" w:lineRule="auto"/>
              <w:jc w:val="left"/>
              <w:rPr>
                <w:rFonts w:ascii="Times New Roman" w:eastAsia="Malgun Gothic" w:hAnsi="Times New Roman" w:cs="Times New Roman"/>
                <w:sz w:val="22"/>
                <w:lang w:val="en-GB"/>
              </w:rPr>
            </w:pPr>
          </w:p>
        </w:tc>
        <w:tc>
          <w:tcPr>
            <w:tcW w:w="1020" w:type="pct"/>
            <w:tcBorders>
              <w:top w:val="single" w:sz="4" w:space="0" w:color="auto"/>
              <w:left w:val="nil"/>
              <w:right w:val="nil"/>
            </w:tcBorders>
            <w:vAlign w:val="center"/>
          </w:tcPr>
          <w:p w14:paraId="6B018E1A" w14:textId="77777777" w:rsidR="004A10AE" w:rsidRPr="0025669D" w:rsidRDefault="004A10AE" w:rsidP="007947DB">
            <w:pPr>
              <w:spacing w:after="0" w:line="240" w:lineRule="auto"/>
              <w:jc w:val="center"/>
              <w:rPr>
                <w:rFonts w:ascii="Times New Roman" w:eastAsia="Malgun Gothic" w:hAnsi="Times New Roman" w:cs="Times New Roman"/>
                <w:sz w:val="22"/>
                <w:lang w:val="en-GB"/>
              </w:rPr>
            </w:pPr>
            <w:r w:rsidRPr="0025669D">
              <w:rPr>
                <w:rFonts w:ascii="Times New Roman" w:eastAsia="Malgun Gothic" w:hAnsi="Times New Roman" w:cs="Times New Roman"/>
                <w:sz w:val="22"/>
                <w:lang w:val="en-GB"/>
              </w:rPr>
              <w:t>Placebo → Infliximab 5 mg/kg (at week 24)</w:t>
            </w:r>
          </w:p>
        </w:tc>
        <w:tc>
          <w:tcPr>
            <w:tcW w:w="918" w:type="pct"/>
            <w:tcBorders>
              <w:top w:val="single" w:sz="4" w:space="0" w:color="auto"/>
              <w:left w:val="nil"/>
              <w:right w:val="nil"/>
            </w:tcBorders>
            <w:vAlign w:val="center"/>
          </w:tcPr>
          <w:p w14:paraId="35B57115" w14:textId="77777777" w:rsidR="004A10AE" w:rsidRPr="0025669D" w:rsidRDefault="004A10AE" w:rsidP="007947DB">
            <w:pPr>
              <w:spacing w:after="0" w:line="240" w:lineRule="auto"/>
              <w:jc w:val="center"/>
              <w:rPr>
                <w:rFonts w:ascii="Times New Roman" w:eastAsia="Malgun Gothic" w:hAnsi="Times New Roman" w:cs="Times New Roman"/>
                <w:sz w:val="22"/>
                <w:lang w:val="en-GB"/>
              </w:rPr>
            </w:pPr>
            <w:r w:rsidRPr="0025669D">
              <w:rPr>
                <w:rFonts w:ascii="Times New Roman" w:eastAsia="Malgun Gothic" w:hAnsi="Times New Roman" w:cs="Times New Roman"/>
                <w:sz w:val="22"/>
                <w:lang w:val="en-GB"/>
              </w:rPr>
              <w:t>Infliximab 5 mg/kg</w:t>
            </w:r>
          </w:p>
        </w:tc>
        <w:tc>
          <w:tcPr>
            <w:tcW w:w="612" w:type="pct"/>
            <w:tcBorders>
              <w:top w:val="single" w:sz="4" w:space="0" w:color="auto"/>
              <w:left w:val="nil"/>
              <w:right w:val="nil"/>
            </w:tcBorders>
            <w:vAlign w:val="center"/>
          </w:tcPr>
          <w:p w14:paraId="0CC01337" w14:textId="77777777" w:rsidR="004A10AE" w:rsidRPr="0025669D" w:rsidRDefault="004A10AE" w:rsidP="007947DB">
            <w:pPr>
              <w:spacing w:after="0" w:line="240" w:lineRule="auto"/>
              <w:jc w:val="center"/>
              <w:rPr>
                <w:rFonts w:ascii="Times New Roman" w:eastAsia="Malgun Gothic" w:hAnsi="Times New Roman" w:cs="Times New Roman"/>
                <w:sz w:val="22"/>
                <w:lang w:val="en-GB"/>
              </w:rPr>
            </w:pPr>
            <w:r w:rsidRPr="0025669D">
              <w:rPr>
                <w:rFonts w:ascii="Times New Roman" w:eastAsia="Malgun Gothic" w:hAnsi="Times New Roman" w:cs="Times New Roman"/>
                <w:sz w:val="22"/>
                <w:lang w:val="en-GB"/>
              </w:rPr>
              <w:t>p</w:t>
            </w:r>
            <w:r w:rsidRPr="0025669D">
              <w:rPr>
                <w:rFonts w:ascii="Times New Roman" w:eastAsia="Malgun Gothic" w:hAnsi="Times New Roman" w:cs="Times New Roman"/>
                <w:sz w:val="22"/>
                <w:lang w:val="en-GB"/>
              </w:rPr>
              <w:noBreakHyphen/>
              <w:t>value</w:t>
            </w:r>
          </w:p>
        </w:tc>
      </w:tr>
      <w:tr w:rsidR="004A10AE" w:rsidRPr="0025669D" w14:paraId="54594DDD" w14:textId="77777777" w:rsidTr="005A4B0D">
        <w:trPr>
          <w:cantSplit/>
        </w:trPr>
        <w:tc>
          <w:tcPr>
            <w:tcW w:w="2449" w:type="pct"/>
            <w:tcBorders>
              <w:top w:val="nil"/>
              <w:left w:val="nil"/>
              <w:bottom w:val="nil"/>
              <w:right w:val="nil"/>
            </w:tcBorders>
            <w:vAlign w:val="bottom"/>
          </w:tcPr>
          <w:p w14:paraId="0C1C2941" w14:textId="77777777" w:rsidR="004A10AE" w:rsidRPr="0025669D" w:rsidRDefault="004A10AE" w:rsidP="007947DB">
            <w:pPr>
              <w:spacing w:after="0" w:line="240" w:lineRule="auto"/>
              <w:jc w:val="left"/>
              <w:rPr>
                <w:rFonts w:ascii="Times New Roman" w:eastAsia="Malgun Gothic" w:hAnsi="Times New Roman" w:cs="Times New Roman"/>
                <w:sz w:val="22"/>
                <w:lang w:val="en-GB"/>
              </w:rPr>
            </w:pPr>
            <w:r w:rsidRPr="0025669D">
              <w:rPr>
                <w:rFonts w:ascii="Times New Roman" w:eastAsia="Malgun Gothic" w:hAnsi="Times New Roman" w:cs="Times New Roman"/>
                <w:sz w:val="22"/>
                <w:lang w:val="en-GB"/>
              </w:rPr>
              <w:t>Week 2</w:t>
            </w:r>
          </w:p>
        </w:tc>
        <w:tc>
          <w:tcPr>
            <w:tcW w:w="1020" w:type="pct"/>
            <w:tcBorders>
              <w:top w:val="nil"/>
              <w:left w:val="nil"/>
              <w:bottom w:val="nil"/>
              <w:right w:val="nil"/>
            </w:tcBorders>
            <w:vAlign w:val="bottom"/>
          </w:tcPr>
          <w:p w14:paraId="2F676C32" w14:textId="77777777" w:rsidR="004A10AE" w:rsidRPr="0025669D" w:rsidRDefault="004A10AE" w:rsidP="007947DB">
            <w:pPr>
              <w:spacing w:after="0" w:line="240" w:lineRule="auto"/>
              <w:jc w:val="left"/>
              <w:rPr>
                <w:rFonts w:ascii="Times New Roman" w:eastAsia="Malgun Gothic" w:hAnsi="Times New Roman" w:cs="Times New Roman"/>
                <w:sz w:val="22"/>
                <w:lang w:val="en-GB"/>
              </w:rPr>
            </w:pPr>
          </w:p>
        </w:tc>
        <w:tc>
          <w:tcPr>
            <w:tcW w:w="918" w:type="pct"/>
            <w:tcBorders>
              <w:top w:val="nil"/>
              <w:left w:val="nil"/>
              <w:bottom w:val="nil"/>
              <w:right w:val="nil"/>
            </w:tcBorders>
            <w:vAlign w:val="bottom"/>
          </w:tcPr>
          <w:p w14:paraId="2DAE7BE1" w14:textId="77777777" w:rsidR="004A10AE" w:rsidRPr="0025669D" w:rsidRDefault="004A10AE" w:rsidP="007947DB">
            <w:pPr>
              <w:spacing w:after="0" w:line="240" w:lineRule="auto"/>
              <w:jc w:val="left"/>
              <w:rPr>
                <w:rFonts w:ascii="Times New Roman" w:eastAsia="Malgun Gothic" w:hAnsi="Times New Roman" w:cs="Times New Roman"/>
                <w:sz w:val="22"/>
                <w:lang w:val="en-GB"/>
              </w:rPr>
            </w:pPr>
          </w:p>
        </w:tc>
        <w:tc>
          <w:tcPr>
            <w:tcW w:w="612" w:type="pct"/>
            <w:tcBorders>
              <w:top w:val="nil"/>
              <w:left w:val="nil"/>
              <w:bottom w:val="nil"/>
              <w:right w:val="nil"/>
            </w:tcBorders>
            <w:vAlign w:val="bottom"/>
          </w:tcPr>
          <w:p w14:paraId="19D325AE" w14:textId="77777777" w:rsidR="004A10AE" w:rsidRPr="0025669D" w:rsidRDefault="004A10AE" w:rsidP="007947DB">
            <w:pPr>
              <w:spacing w:after="0" w:line="240" w:lineRule="auto"/>
              <w:jc w:val="left"/>
              <w:rPr>
                <w:rFonts w:ascii="Times New Roman" w:eastAsia="Malgun Gothic" w:hAnsi="Times New Roman" w:cs="Times New Roman"/>
                <w:sz w:val="22"/>
                <w:lang w:val="en-GB"/>
              </w:rPr>
            </w:pPr>
          </w:p>
        </w:tc>
      </w:tr>
      <w:tr w:rsidR="004A10AE" w:rsidRPr="0025669D" w14:paraId="3A71CB55" w14:textId="77777777" w:rsidTr="005A4B0D">
        <w:trPr>
          <w:cantSplit/>
        </w:trPr>
        <w:tc>
          <w:tcPr>
            <w:tcW w:w="2449" w:type="pct"/>
            <w:tcBorders>
              <w:top w:val="nil"/>
              <w:left w:val="nil"/>
              <w:bottom w:val="nil"/>
              <w:right w:val="nil"/>
            </w:tcBorders>
            <w:vAlign w:val="bottom"/>
          </w:tcPr>
          <w:p w14:paraId="010D0655" w14:textId="77777777" w:rsidR="004A10AE" w:rsidRPr="0025669D" w:rsidRDefault="004A10AE" w:rsidP="007947DB">
            <w:pPr>
              <w:spacing w:after="0" w:line="240" w:lineRule="auto"/>
              <w:ind w:firstLineChars="50" w:firstLine="110"/>
              <w:jc w:val="left"/>
              <w:rPr>
                <w:rFonts w:ascii="Times New Roman" w:eastAsia="Malgun Gothic" w:hAnsi="Times New Roman" w:cs="Times New Roman"/>
                <w:sz w:val="22"/>
                <w:lang w:val="en-GB"/>
              </w:rPr>
            </w:pPr>
            <w:r w:rsidRPr="0025669D">
              <w:rPr>
                <w:rFonts w:ascii="Times New Roman" w:eastAsia="Malgun Gothic" w:hAnsi="Times New Roman" w:cs="Times New Roman"/>
                <w:sz w:val="22"/>
                <w:lang w:val="en-GB"/>
              </w:rPr>
              <w:t>n</w:t>
            </w:r>
          </w:p>
        </w:tc>
        <w:tc>
          <w:tcPr>
            <w:tcW w:w="1020" w:type="pct"/>
            <w:tcBorders>
              <w:top w:val="nil"/>
              <w:left w:val="nil"/>
              <w:bottom w:val="nil"/>
              <w:right w:val="nil"/>
            </w:tcBorders>
            <w:vAlign w:val="bottom"/>
          </w:tcPr>
          <w:p w14:paraId="6BB8A5B2" w14:textId="77777777" w:rsidR="004A10AE" w:rsidRPr="0025669D" w:rsidRDefault="004A10AE" w:rsidP="007947DB">
            <w:pPr>
              <w:spacing w:after="0" w:line="240" w:lineRule="auto"/>
              <w:jc w:val="left"/>
              <w:rPr>
                <w:rFonts w:ascii="Times New Roman" w:eastAsia="Malgun Gothic" w:hAnsi="Times New Roman" w:cs="Times New Roman"/>
                <w:sz w:val="22"/>
                <w:lang w:val="en-GB"/>
              </w:rPr>
            </w:pPr>
            <w:r w:rsidRPr="0025669D">
              <w:rPr>
                <w:rFonts w:ascii="Times New Roman" w:eastAsia="Malgun Gothic" w:hAnsi="Times New Roman" w:cs="Times New Roman"/>
                <w:sz w:val="22"/>
                <w:lang w:val="en-GB"/>
              </w:rPr>
              <w:t>77</w:t>
            </w:r>
          </w:p>
        </w:tc>
        <w:tc>
          <w:tcPr>
            <w:tcW w:w="918" w:type="pct"/>
            <w:tcBorders>
              <w:top w:val="nil"/>
              <w:left w:val="nil"/>
              <w:bottom w:val="nil"/>
              <w:right w:val="nil"/>
            </w:tcBorders>
            <w:vAlign w:val="bottom"/>
          </w:tcPr>
          <w:p w14:paraId="25B98E0F" w14:textId="77777777" w:rsidR="004A10AE" w:rsidRPr="0025669D" w:rsidRDefault="004A10AE" w:rsidP="007947DB">
            <w:pPr>
              <w:spacing w:after="0" w:line="240" w:lineRule="auto"/>
              <w:jc w:val="left"/>
              <w:rPr>
                <w:rFonts w:ascii="Times New Roman" w:eastAsia="Malgun Gothic" w:hAnsi="Times New Roman" w:cs="Times New Roman"/>
                <w:sz w:val="22"/>
                <w:lang w:val="en-GB"/>
              </w:rPr>
            </w:pPr>
            <w:r w:rsidRPr="0025669D">
              <w:rPr>
                <w:rFonts w:ascii="Times New Roman" w:eastAsia="Malgun Gothic" w:hAnsi="Times New Roman" w:cs="Times New Roman"/>
                <w:sz w:val="22"/>
                <w:lang w:val="en-GB"/>
              </w:rPr>
              <w:t>298</w:t>
            </w:r>
          </w:p>
        </w:tc>
        <w:tc>
          <w:tcPr>
            <w:tcW w:w="612" w:type="pct"/>
            <w:tcBorders>
              <w:top w:val="nil"/>
              <w:left w:val="nil"/>
              <w:bottom w:val="nil"/>
              <w:right w:val="nil"/>
            </w:tcBorders>
            <w:vAlign w:val="bottom"/>
          </w:tcPr>
          <w:p w14:paraId="5A8BA625" w14:textId="77777777" w:rsidR="004A10AE" w:rsidRPr="0025669D" w:rsidRDefault="004A10AE" w:rsidP="007947DB">
            <w:pPr>
              <w:spacing w:after="0" w:line="240" w:lineRule="auto"/>
              <w:jc w:val="left"/>
              <w:rPr>
                <w:rFonts w:ascii="Times New Roman" w:eastAsia="Malgun Gothic" w:hAnsi="Times New Roman" w:cs="Times New Roman"/>
                <w:sz w:val="22"/>
                <w:lang w:val="en-GB"/>
              </w:rPr>
            </w:pPr>
          </w:p>
        </w:tc>
      </w:tr>
      <w:tr w:rsidR="004A10AE" w:rsidRPr="0025669D" w14:paraId="6371B3A0" w14:textId="77777777" w:rsidTr="005A4B0D">
        <w:trPr>
          <w:cantSplit/>
        </w:trPr>
        <w:tc>
          <w:tcPr>
            <w:tcW w:w="2449" w:type="pct"/>
            <w:tcBorders>
              <w:top w:val="nil"/>
              <w:left w:val="nil"/>
              <w:bottom w:val="nil"/>
              <w:right w:val="nil"/>
            </w:tcBorders>
            <w:vAlign w:val="bottom"/>
          </w:tcPr>
          <w:p w14:paraId="3A925951" w14:textId="77777777" w:rsidR="004A10AE" w:rsidRPr="0025669D" w:rsidRDefault="004A10AE" w:rsidP="007947DB">
            <w:pPr>
              <w:spacing w:after="0" w:line="240" w:lineRule="auto"/>
              <w:ind w:firstLineChars="100" w:firstLine="220"/>
              <w:jc w:val="left"/>
              <w:rPr>
                <w:rFonts w:ascii="Times New Roman" w:eastAsia="Malgun Gothic" w:hAnsi="Times New Roman" w:cs="Times New Roman"/>
                <w:sz w:val="22"/>
                <w:lang w:val="en-GB"/>
              </w:rPr>
            </w:pPr>
            <w:r w:rsidRPr="0025669D">
              <w:rPr>
                <w:rFonts w:ascii="Times New Roman" w:eastAsia="Malgun Gothic" w:hAnsi="Times New Roman" w:cs="Times New Roman"/>
                <w:sz w:val="22"/>
                <w:lang w:val="en-GB"/>
              </w:rPr>
              <w:t>PGA of cleared (0) or minimal (1)</w:t>
            </w:r>
          </w:p>
        </w:tc>
        <w:tc>
          <w:tcPr>
            <w:tcW w:w="1020" w:type="pct"/>
            <w:tcBorders>
              <w:top w:val="nil"/>
              <w:left w:val="nil"/>
              <w:bottom w:val="nil"/>
              <w:right w:val="nil"/>
            </w:tcBorders>
            <w:vAlign w:val="bottom"/>
          </w:tcPr>
          <w:p w14:paraId="1B793F4F" w14:textId="77777777" w:rsidR="004A10AE" w:rsidRPr="0025669D" w:rsidRDefault="004A10AE" w:rsidP="007947DB">
            <w:pPr>
              <w:spacing w:after="0" w:line="240" w:lineRule="auto"/>
              <w:jc w:val="left"/>
              <w:rPr>
                <w:rFonts w:ascii="Times New Roman" w:eastAsia="Malgun Gothic" w:hAnsi="Times New Roman" w:cs="Times New Roman"/>
                <w:sz w:val="22"/>
                <w:lang w:val="en-GB"/>
              </w:rPr>
            </w:pPr>
            <w:r w:rsidRPr="0025669D">
              <w:rPr>
                <w:rFonts w:ascii="Times New Roman" w:eastAsia="Malgun Gothic" w:hAnsi="Times New Roman" w:cs="Times New Roman"/>
                <w:sz w:val="22"/>
                <w:lang w:val="en-GB"/>
              </w:rPr>
              <w:t>3 (3.9%)</w:t>
            </w:r>
          </w:p>
        </w:tc>
        <w:tc>
          <w:tcPr>
            <w:tcW w:w="918" w:type="pct"/>
            <w:tcBorders>
              <w:top w:val="nil"/>
              <w:left w:val="nil"/>
              <w:bottom w:val="nil"/>
              <w:right w:val="nil"/>
            </w:tcBorders>
            <w:vAlign w:val="bottom"/>
          </w:tcPr>
          <w:p w14:paraId="157E8D19" w14:textId="77777777" w:rsidR="004A10AE" w:rsidRPr="0025669D" w:rsidRDefault="004A10AE" w:rsidP="007947DB">
            <w:pPr>
              <w:spacing w:after="0" w:line="240" w:lineRule="auto"/>
              <w:jc w:val="left"/>
              <w:rPr>
                <w:rFonts w:ascii="Times New Roman" w:eastAsia="Malgun Gothic" w:hAnsi="Times New Roman" w:cs="Times New Roman"/>
                <w:sz w:val="22"/>
                <w:lang w:val="en-GB"/>
              </w:rPr>
            </w:pPr>
            <w:r w:rsidRPr="0025669D">
              <w:rPr>
                <w:rFonts w:ascii="Times New Roman" w:eastAsia="Malgun Gothic" w:hAnsi="Times New Roman" w:cs="Times New Roman"/>
                <w:sz w:val="22"/>
                <w:lang w:val="en-GB"/>
              </w:rPr>
              <w:t>59 (19.8%)</w:t>
            </w:r>
          </w:p>
        </w:tc>
        <w:tc>
          <w:tcPr>
            <w:tcW w:w="612" w:type="pct"/>
            <w:tcBorders>
              <w:top w:val="nil"/>
              <w:left w:val="nil"/>
              <w:bottom w:val="nil"/>
              <w:right w:val="nil"/>
            </w:tcBorders>
            <w:vAlign w:val="bottom"/>
          </w:tcPr>
          <w:p w14:paraId="32F7B1EE" w14:textId="77777777" w:rsidR="004A10AE" w:rsidRPr="0025669D" w:rsidRDefault="004A10AE" w:rsidP="007947DB">
            <w:pPr>
              <w:spacing w:after="0" w:line="240" w:lineRule="auto"/>
              <w:jc w:val="left"/>
              <w:rPr>
                <w:rFonts w:ascii="Times New Roman" w:eastAsia="Malgun Gothic" w:hAnsi="Times New Roman" w:cs="Times New Roman"/>
                <w:sz w:val="22"/>
                <w:lang w:val="en-GB"/>
              </w:rPr>
            </w:pPr>
          </w:p>
        </w:tc>
      </w:tr>
      <w:tr w:rsidR="004A10AE" w:rsidRPr="0025669D" w14:paraId="5495C657" w14:textId="77777777" w:rsidTr="005A4B0D">
        <w:trPr>
          <w:cantSplit/>
        </w:trPr>
        <w:tc>
          <w:tcPr>
            <w:tcW w:w="2449" w:type="pct"/>
            <w:tcBorders>
              <w:top w:val="nil"/>
              <w:left w:val="nil"/>
              <w:bottom w:val="nil"/>
              <w:right w:val="nil"/>
            </w:tcBorders>
            <w:vAlign w:val="bottom"/>
          </w:tcPr>
          <w:p w14:paraId="1C04FBDC" w14:textId="77777777" w:rsidR="004A10AE" w:rsidRPr="0025669D" w:rsidRDefault="004A10AE" w:rsidP="007947DB">
            <w:pPr>
              <w:spacing w:after="0" w:line="240" w:lineRule="auto"/>
              <w:ind w:firstLineChars="100" w:firstLine="220"/>
              <w:jc w:val="left"/>
              <w:rPr>
                <w:rFonts w:ascii="Times New Roman" w:eastAsia="Malgun Gothic" w:hAnsi="Times New Roman" w:cs="Times New Roman"/>
                <w:sz w:val="22"/>
                <w:lang w:val="en-GB"/>
              </w:rPr>
            </w:pPr>
            <w:r w:rsidRPr="0025669D">
              <w:rPr>
                <w:rFonts w:ascii="Times New Roman" w:eastAsia="Malgun Gothic" w:hAnsi="Times New Roman" w:cs="Times New Roman"/>
                <w:sz w:val="22"/>
                <w:lang w:val="en-GB"/>
              </w:rPr>
              <w:t>PGA of cleared (0), minimal (1), or mild (2)</w:t>
            </w:r>
          </w:p>
        </w:tc>
        <w:tc>
          <w:tcPr>
            <w:tcW w:w="1020" w:type="pct"/>
            <w:tcBorders>
              <w:top w:val="nil"/>
              <w:left w:val="nil"/>
              <w:bottom w:val="nil"/>
              <w:right w:val="nil"/>
            </w:tcBorders>
            <w:vAlign w:val="bottom"/>
          </w:tcPr>
          <w:p w14:paraId="063EEEA2" w14:textId="77777777" w:rsidR="004A10AE" w:rsidRPr="0025669D" w:rsidRDefault="004A10AE" w:rsidP="007947DB">
            <w:pPr>
              <w:spacing w:after="0" w:line="240" w:lineRule="auto"/>
              <w:jc w:val="left"/>
              <w:rPr>
                <w:rFonts w:ascii="Times New Roman" w:eastAsia="Malgun Gothic" w:hAnsi="Times New Roman" w:cs="Times New Roman"/>
                <w:sz w:val="22"/>
                <w:lang w:val="en-GB"/>
              </w:rPr>
            </w:pPr>
            <w:r w:rsidRPr="0025669D">
              <w:rPr>
                <w:rFonts w:ascii="Times New Roman" w:eastAsia="Malgun Gothic" w:hAnsi="Times New Roman" w:cs="Times New Roman"/>
                <w:sz w:val="22"/>
                <w:lang w:val="en-GB"/>
              </w:rPr>
              <w:t>9 (11.7%)</w:t>
            </w:r>
          </w:p>
        </w:tc>
        <w:tc>
          <w:tcPr>
            <w:tcW w:w="918" w:type="pct"/>
            <w:tcBorders>
              <w:top w:val="nil"/>
              <w:left w:val="nil"/>
              <w:bottom w:val="nil"/>
              <w:right w:val="nil"/>
            </w:tcBorders>
            <w:vAlign w:val="bottom"/>
          </w:tcPr>
          <w:p w14:paraId="375569CF" w14:textId="77777777" w:rsidR="004A10AE" w:rsidRPr="0025669D" w:rsidRDefault="004A10AE" w:rsidP="007947DB">
            <w:pPr>
              <w:spacing w:after="0" w:line="240" w:lineRule="auto"/>
              <w:jc w:val="left"/>
              <w:rPr>
                <w:rFonts w:ascii="Times New Roman" w:eastAsia="Malgun Gothic" w:hAnsi="Times New Roman" w:cs="Times New Roman"/>
                <w:sz w:val="22"/>
                <w:lang w:val="en-GB"/>
              </w:rPr>
            </w:pPr>
            <w:r w:rsidRPr="0025669D">
              <w:rPr>
                <w:rFonts w:ascii="Times New Roman" w:eastAsia="Malgun Gothic" w:hAnsi="Times New Roman" w:cs="Times New Roman"/>
                <w:sz w:val="22"/>
                <w:lang w:val="en-GB"/>
              </w:rPr>
              <w:t>208 (69.8%)</w:t>
            </w:r>
          </w:p>
        </w:tc>
        <w:tc>
          <w:tcPr>
            <w:tcW w:w="612" w:type="pct"/>
            <w:tcBorders>
              <w:top w:val="nil"/>
              <w:left w:val="nil"/>
              <w:bottom w:val="nil"/>
              <w:right w:val="nil"/>
            </w:tcBorders>
            <w:vAlign w:val="bottom"/>
          </w:tcPr>
          <w:p w14:paraId="62C90370" w14:textId="77777777" w:rsidR="004A10AE" w:rsidRPr="0025669D" w:rsidRDefault="004A10AE" w:rsidP="007947DB">
            <w:pPr>
              <w:spacing w:after="0" w:line="240" w:lineRule="auto"/>
              <w:jc w:val="left"/>
              <w:rPr>
                <w:rFonts w:ascii="Times New Roman" w:eastAsia="Malgun Gothic" w:hAnsi="Times New Roman" w:cs="Times New Roman"/>
                <w:sz w:val="22"/>
                <w:lang w:val="en-GB"/>
              </w:rPr>
            </w:pPr>
          </w:p>
        </w:tc>
      </w:tr>
      <w:tr w:rsidR="004A10AE" w:rsidRPr="0025669D" w14:paraId="5D489773" w14:textId="77777777" w:rsidTr="005A4B0D">
        <w:trPr>
          <w:cantSplit/>
        </w:trPr>
        <w:tc>
          <w:tcPr>
            <w:tcW w:w="2449" w:type="pct"/>
            <w:tcBorders>
              <w:top w:val="nil"/>
              <w:left w:val="nil"/>
              <w:bottom w:val="nil"/>
              <w:right w:val="nil"/>
            </w:tcBorders>
            <w:vAlign w:val="bottom"/>
          </w:tcPr>
          <w:p w14:paraId="10E6CB9A" w14:textId="77777777" w:rsidR="004A10AE" w:rsidRPr="0025669D" w:rsidRDefault="004A10AE" w:rsidP="007947DB">
            <w:pPr>
              <w:spacing w:after="0" w:line="240" w:lineRule="auto"/>
              <w:jc w:val="left"/>
              <w:rPr>
                <w:rFonts w:ascii="Times New Roman" w:eastAsia="Malgun Gothic" w:hAnsi="Times New Roman" w:cs="Times New Roman"/>
                <w:sz w:val="22"/>
                <w:lang w:val="en-GB"/>
              </w:rPr>
            </w:pPr>
            <w:r w:rsidRPr="0025669D">
              <w:rPr>
                <w:rFonts w:ascii="Times New Roman" w:eastAsia="Malgun Gothic" w:hAnsi="Times New Roman" w:cs="Times New Roman"/>
                <w:sz w:val="22"/>
                <w:lang w:val="en-GB"/>
              </w:rPr>
              <w:t xml:space="preserve">Week 6 </w:t>
            </w:r>
          </w:p>
        </w:tc>
        <w:tc>
          <w:tcPr>
            <w:tcW w:w="1020" w:type="pct"/>
            <w:tcBorders>
              <w:top w:val="nil"/>
              <w:left w:val="nil"/>
              <w:bottom w:val="nil"/>
              <w:right w:val="nil"/>
            </w:tcBorders>
            <w:vAlign w:val="bottom"/>
          </w:tcPr>
          <w:p w14:paraId="011D9E2D" w14:textId="77777777" w:rsidR="004A10AE" w:rsidRPr="0025669D" w:rsidRDefault="004A10AE" w:rsidP="007947DB">
            <w:pPr>
              <w:spacing w:after="0" w:line="240" w:lineRule="auto"/>
              <w:jc w:val="left"/>
              <w:rPr>
                <w:rFonts w:ascii="Times New Roman" w:eastAsia="Malgun Gothic" w:hAnsi="Times New Roman" w:cs="Times New Roman"/>
                <w:sz w:val="22"/>
                <w:lang w:val="en-GB"/>
              </w:rPr>
            </w:pPr>
          </w:p>
        </w:tc>
        <w:tc>
          <w:tcPr>
            <w:tcW w:w="918" w:type="pct"/>
            <w:tcBorders>
              <w:top w:val="nil"/>
              <w:left w:val="nil"/>
              <w:bottom w:val="nil"/>
              <w:right w:val="nil"/>
            </w:tcBorders>
            <w:vAlign w:val="bottom"/>
          </w:tcPr>
          <w:p w14:paraId="6849E5E8" w14:textId="77777777" w:rsidR="004A10AE" w:rsidRPr="0025669D" w:rsidRDefault="004A10AE" w:rsidP="007947DB">
            <w:pPr>
              <w:spacing w:after="0" w:line="240" w:lineRule="auto"/>
              <w:jc w:val="left"/>
              <w:rPr>
                <w:rFonts w:ascii="Times New Roman" w:eastAsia="Malgun Gothic" w:hAnsi="Times New Roman" w:cs="Times New Roman"/>
                <w:sz w:val="22"/>
                <w:lang w:val="en-GB"/>
              </w:rPr>
            </w:pPr>
          </w:p>
        </w:tc>
        <w:tc>
          <w:tcPr>
            <w:tcW w:w="612" w:type="pct"/>
            <w:tcBorders>
              <w:top w:val="nil"/>
              <w:left w:val="nil"/>
              <w:bottom w:val="nil"/>
              <w:right w:val="nil"/>
            </w:tcBorders>
            <w:vAlign w:val="bottom"/>
          </w:tcPr>
          <w:p w14:paraId="7605F302" w14:textId="77777777" w:rsidR="004A10AE" w:rsidRPr="0025669D" w:rsidRDefault="004A10AE" w:rsidP="007947DB">
            <w:pPr>
              <w:spacing w:after="0" w:line="240" w:lineRule="auto"/>
              <w:jc w:val="left"/>
              <w:rPr>
                <w:rFonts w:ascii="Times New Roman" w:eastAsia="Malgun Gothic" w:hAnsi="Times New Roman" w:cs="Times New Roman"/>
                <w:sz w:val="22"/>
                <w:lang w:val="en-GB"/>
              </w:rPr>
            </w:pPr>
          </w:p>
        </w:tc>
      </w:tr>
      <w:tr w:rsidR="004A10AE" w:rsidRPr="0025669D" w14:paraId="4ABCD8D0" w14:textId="77777777" w:rsidTr="005A4B0D">
        <w:trPr>
          <w:cantSplit/>
        </w:trPr>
        <w:tc>
          <w:tcPr>
            <w:tcW w:w="2449" w:type="pct"/>
            <w:tcBorders>
              <w:top w:val="nil"/>
              <w:left w:val="nil"/>
              <w:bottom w:val="nil"/>
              <w:right w:val="nil"/>
            </w:tcBorders>
            <w:vAlign w:val="bottom"/>
          </w:tcPr>
          <w:p w14:paraId="44E6FD0E" w14:textId="77777777" w:rsidR="004A10AE" w:rsidRPr="0025669D" w:rsidRDefault="004A10AE" w:rsidP="007947DB">
            <w:pPr>
              <w:spacing w:after="0" w:line="240" w:lineRule="auto"/>
              <w:ind w:firstLineChars="50" w:firstLine="110"/>
              <w:jc w:val="left"/>
              <w:rPr>
                <w:rFonts w:ascii="Times New Roman" w:eastAsia="Malgun Gothic" w:hAnsi="Times New Roman" w:cs="Times New Roman"/>
                <w:sz w:val="22"/>
                <w:lang w:val="en-GB"/>
              </w:rPr>
            </w:pPr>
            <w:r w:rsidRPr="0025669D">
              <w:rPr>
                <w:rFonts w:ascii="Times New Roman" w:eastAsia="Malgun Gothic" w:hAnsi="Times New Roman" w:cs="Times New Roman"/>
                <w:sz w:val="22"/>
                <w:lang w:val="en-GB"/>
              </w:rPr>
              <w:t>n</w:t>
            </w:r>
          </w:p>
        </w:tc>
        <w:tc>
          <w:tcPr>
            <w:tcW w:w="1020" w:type="pct"/>
            <w:tcBorders>
              <w:top w:val="nil"/>
              <w:left w:val="nil"/>
              <w:bottom w:val="nil"/>
              <w:right w:val="nil"/>
            </w:tcBorders>
            <w:vAlign w:val="bottom"/>
          </w:tcPr>
          <w:p w14:paraId="6C86D99A" w14:textId="77777777" w:rsidR="004A10AE" w:rsidRPr="0025669D" w:rsidRDefault="004A10AE" w:rsidP="007947DB">
            <w:pPr>
              <w:spacing w:after="0" w:line="240" w:lineRule="auto"/>
              <w:jc w:val="left"/>
              <w:rPr>
                <w:rFonts w:ascii="Times New Roman" w:eastAsia="Malgun Gothic" w:hAnsi="Times New Roman" w:cs="Times New Roman"/>
                <w:sz w:val="22"/>
                <w:lang w:val="en-GB"/>
              </w:rPr>
            </w:pPr>
            <w:r w:rsidRPr="0025669D">
              <w:rPr>
                <w:rFonts w:ascii="Times New Roman" w:eastAsia="Malgun Gothic" w:hAnsi="Times New Roman" w:cs="Times New Roman"/>
                <w:sz w:val="22"/>
                <w:lang w:val="en-GB"/>
              </w:rPr>
              <w:t>77</w:t>
            </w:r>
          </w:p>
        </w:tc>
        <w:tc>
          <w:tcPr>
            <w:tcW w:w="918" w:type="pct"/>
            <w:tcBorders>
              <w:top w:val="nil"/>
              <w:left w:val="nil"/>
              <w:bottom w:val="nil"/>
              <w:right w:val="nil"/>
            </w:tcBorders>
            <w:vAlign w:val="bottom"/>
          </w:tcPr>
          <w:p w14:paraId="0C56C8C8" w14:textId="77777777" w:rsidR="004A10AE" w:rsidRPr="0025669D" w:rsidRDefault="004A10AE" w:rsidP="007947DB">
            <w:pPr>
              <w:spacing w:after="0" w:line="240" w:lineRule="auto"/>
              <w:jc w:val="left"/>
              <w:rPr>
                <w:rFonts w:ascii="Times New Roman" w:eastAsia="Malgun Gothic" w:hAnsi="Times New Roman" w:cs="Times New Roman"/>
                <w:sz w:val="22"/>
                <w:lang w:val="en-GB"/>
              </w:rPr>
            </w:pPr>
            <w:r w:rsidRPr="0025669D">
              <w:rPr>
                <w:rFonts w:ascii="Times New Roman" w:eastAsia="Malgun Gothic" w:hAnsi="Times New Roman" w:cs="Times New Roman"/>
                <w:sz w:val="22"/>
                <w:lang w:val="en-GB"/>
              </w:rPr>
              <w:t>295</w:t>
            </w:r>
          </w:p>
        </w:tc>
        <w:tc>
          <w:tcPr>
            <w:tcW w:w="612" w:type="pct"/>
            <w:tcBorders>
              <w:top w:val="nil"/>
              <w:left w:val="nil"/>
              <w:bottom w:val="nil"/>
              <w:right w:val="nil"/>
            </w:tcBorders>
            <w:vAlign w:val="bottom"/>
          </w:tcPr>
          <w:p w14:paraId="7861606B" w14:textId="77777777" w:rsidR="004A10AE" w:rsidRPr="0025669D" w:rsidRDefault="004A10AE" w:rsidP="007947DB">
            <w:pPr>
              <w:spacing w:after="0" w:line="240" w:lineRule="auto"/>
              <w:jc w:val="left"/>
              <w:rPr>
                <w:rFonts w:ascii="Times New Roman" w:eastAsia="Malgun Gothic" w:hAnsi="Times New Roman" w:cs="Times New Roman"/>
                <w:sz w:val="22"/>
                <w:lang w:val="en-GB"/>
              </w:rPr>
            </w:pPr>
          </w:p>
        </w:tc>
      </w:tr>
      <w:tr w:rsidR="004A10AE" w:rsidRPr="0025669D" w14:paraId="28A4F8E6" w14:textId="77777777" w:rsidTr="005A4B0D">
        <w:trPr>
          <w:cantSplit/>
        </w:trPr>
        <w:tc>
          <w:tcPr>
            <w:tcW w:w="2449" w:type="pct"/>
            <w:tcBorders>
              <w:top w:val="nil"/>
              <w:left w:val="nil"/>
              <w:bottom w:val="nil"/>
              <w:right w:val="nil"/>
            </w:tcBorders>
            <w:vAlign w:val="bottom"/>
          </w:tcPr>
          <w:p w14:paraId="49D68BA3" w14:textId="77777777" w:rsidR="004A10AE" w:rsidRPr="0025669D" w:rsidRDefault="004A10AE" w:rsidP="007947DB">
            <w:pPr>
              <w:spacing w:after="0" w:line="240" w:lineRule="auto"/>
              <w:ind w:firstLineChars="100" w:firstLine="220"/>
              <w:jc w:val="left"/>
              <w:rPr>
                <w:rFonts w:ascii="Times New Roman" w:eastAsia="Malgun Gothic" w:hAnsi="Times New Roman" w:cs="Times New Roman"/>
                <w:sz w:val="22"/>
                <w:lang w:val="en-GB"/>
              </w:rPr>
            </w:pPr>
            <w:r w:rsidRPr="0025669D">
              <w:rPr>
                <w:rFonts w:ascii="Times New Roman" w:eastAsia="Malgun Gothic" w:hAnsi="Times New Roman" w:cs="Times New Roman"/>
                <w:sz w:val="22"/>
                <w:lang w:val="en-GB"/>
              </w:rPr>
              <w:t>PGA of cleared (0) or minimal (1)</w:t>
            </w:r>
          </w:p>
        </w:tc>
        <w:tc>
          <w:tcPr>
            <w:tcW w:w="1020" w:type="pct"/>
            <w:tcBorders>
              <w:top w:val="nil"/>
              <w:left w:val="nil"/>
              <w:bottom w:val="nil"/>
              <w:right w:val="nil"/>
            </w:tcBorders>
            <w:vAlign w:val="bottom"/>
          </w:tcPr>
          <w:p w14:paraId="46B7D185" w14:textId="77777777" w:rsidR="004A10AE" w:rsidRPr="0025669D" w:rsidRDefault="004A10AE" w:rsidP="007947DB">
            <w:pPr>
              <w:spacing w:after="0" w:line="240" w:lineRule="auto"/>
              <w:jc w:val="left"/>
              <w:rPr>
                <w:rFonts w:ascii="Times New Roman" w:eastAsia="Malgun Gothic" w:hAnsi="Times New Roman" w:cs="Times New Roman"/>
                <w:sz w:val="22"/>
                <w:lang w:val="en-GB"/>
              </w:rPr>
            </w:pPr>
            <w:r w:rsidRPr="0025669D">
              <w:rPr>
                <w:rFonts w:ascii="Times New Roman" w:eastAsia="Malgun Gothic" w:hAnsi="Times New Roman" w:cs="Times New Roman"/>
                <w:sz w:val="22"/>
                <w:lang w:val="en-GB"/>
              </w:rPr>
              <w:t>2 (2.6%)</w:t>
            </w:r>
          </w:p>
        </w:tc>
        <w:tc>
          <w:tcPr>
            <w:tcW w:w="918" w:type="pct"/>
            <w:tcBorders>
              <w:top w:val="nil"/>
              <w:left w:val="nil"/>
              <w:bottom w:val="nil"/>
              <w:right w:val="nil"/>
            </w:tcBorders>
            <w:vAlign w:val="bottom"/>
          </w:tcPr>
          <w:p w14:paraId="14EDA4F9" w14:textId="77777777" w:rsidR="004A10AE" w:rsidRPr="0025669D" w:rsidRDefault="004A10AE" w:rsidP="007947DB">
            <w:pPr>
              <w:spacing w:after="0" w:line="240" w:lineRule="auto"/>
              <w:jc w:val="left"/>
              <w:rPr>
                <w:rFonts w:ascii="Times New Roman" w:eastAsia="Malgun Gothic" w:hAnsi="Times New Roman" w:cs="Times New Roman"/>
                <w:sz w:val="22"/>
                <w:lang w:val="en-GB"/>
              </w:rPr>
            </w:pPr>
            <w:r w:rsidRPr="0025669D">
              <w:rPr>
                <w:rFonts w:ascii="Times New Roman" w:eastAsia="Malgun Gothic" w:hAnsi="Times New Roman" w:cs="Times New Roman"/>
                <w:sz w:val="22"/>
                <w:lang w:val="en-GB"/>
              </w:rPr>
              <w:t>205 (69.5%)</w:t>
            </w:r>
          </w:p>
        </w:tc>
        <w:tc>
          <w:tcPr>
            <w:tcW w:w="612" w:type="pct"/>
            <w:tcBorders>
              <w:top w:val="nil"/>
              <w:left w:val="nil"/>
              <w:bottom w:val="nil"/>
              <w:right w:val="nil"/>
            </w:tcBorders>
            <w:vAlign w:val="bottom"/>
          </w:tcPr>
          <w:p w14:paraId="7BDEAD22" w14:textId="77777777" w:rsidR="004A10AE" w:rsidRPr="0025669D" w:rsidRDefault="004A10AE" w:rsidP="007947DB">
            <w:pPr>
              <w:spacing w:after="0" w:line="240" w:lineRule="auto"/>
              <w:jc w:val="left"/>
              <w:rPr>
                <w:rFonts w:ascii="Times New Roman" w:eastAsia="Malgun Gothic" w:hAnsi="Times New Roman" w:cs="Times New Roman"/>
                <w:sz w:val="22"/>
                <w:lang w:val="en-GB"/>
              </w:rPr>
            </w:pPr>
          </w:p>
        </w:tc>
      </w:tr>
      <w:tr w:rsidR="004A10AE" w:rsidRPr="0025669D" w14:paraId="19BE51AB" w14:textId="77777777" w:rsidTr="005A4B0D">
        <w:trPr>
          <w:cantSplit/>
        </w:trPr>
        <w:tc>
          <w:tcPr>
            <w:tcW w:w="2449" w:type="pct"/>
            <w:tcBorders>
              <w:top w:val="nil"/>
              <w:left w:val="nil"/>
              <w:bottom w:val="nil"/>
              <w:right w:val="nil"/>
            </w:tcBorders>
            <w:vAlign w:val="bottom"/>
          </w:tcPr>
          <w:p w14:paraId="5BED59A8" w14:textId="77777777" w:rsidR="004A10AE" w:rsidRPr="0025669D" w:rsidRDefault="004A10AE" w:rsidP="007947DB">
            <w:pPr>
              <w:spacing w:after="0" w:line="240" w:lineRule="auto"/>
              <w:ind w:firstLineChars="100" w:firstLine="220"/>
              <w:jc w:val="left"/>
              <w:rPr>
                <w:rFonts w:ascii="Times New Roman" w:eastAsia="Malgun Gothic" w:hAnsi="Times New Roman" w:cs="Times New Roman"/>
                <w:sz w:val="22"/>
                <w:lang w:val="en-GB"/>
              </w:rPr>
            </w:pPr>
            <w:r w:rsidRPr="0025669D">
              <w:rPr>
                <w:rFonts w:ascii="Times New Roman" w:eastAsia="Malgun Gothic" w:hAnsi="Times New Roman" w:cs="Times New Roman"/>
                <w:sz w:val="22"/>
                <w:lang w:val="en-GB"/>
              </w:rPr>
              <w:t>PGA of cleared (0), minimal (1), or mild (2)</w:t>
            </w:r>
          </w:p>
        </w:tc>
        <w:tc>
          <w:tcPr>
            <w:tcW w:w="1020" w:type="pct"/>
            <w:tcBorders>
              <w:top w:val="nil"/>
              <w:left w:val="nil"/>
              <w:bottom w:val="nil"/>
              <w:right w:val="nil"/>
            </w:tcBorders>
            <w:vAlign w:val="bottom"/>
          </w:tcPr>
          <w:p w14:paraId="3B957486" w14:textId="77777777" w:rsidR="004A10AE" w:rsidRPr="0025669D" w:rsidRDefault="004A10AE" w:rsidP="007947DB">
            <w:pPr>
              <w:spacing w:after="0" w:line="240" w:lineRule="auto"/>
              <w:jc w:val="left"/>
              <w:rPr>
                <w:rFonts w:ascii="Times New Roman" w:eastAsia="Malgun Gothic" w:hAnsi="Times New Roman" w:cs="Times New Roman"/>
                <w:sz w:val="22"/>
                <w:lang w:val="en-GB"/>
              </w:rPr>
            </w:pPr>
            <w:r w:rsidRPr="0025669D">
              <w:rPr>
                <w:rFonts w:ascii="Times New Roman" w:eastAsia="Malgun Gothic" w:hAnsi="Times New Roman" w:cs="Times New Roman"/>
                <w:sz w:val="22"/>
                <w:lang w:val="en-GB"/>
              </w:rPr>
              <w:t>16 (20.8%)</w:t>
            </w:r>
          </w:p>
        </w:tc>
        <w:tc>
          <w:tcPr>
            <w:tcW w:w="918" w:type="pct"/>
            <w:tcBorders>
              <w:top w:val="nil"/>
              <w:left w:val="nil"/>
              <w:bottom w:val="nil"/>
              <w:right w:val="nil"/>
            </w:tcBorders>
            <w:vAlign w:val="bottom"/>
          </w:tcPr>
          <w:p w14:paraId="6FA40122" w14:textId="77777777" w:rsidR="004A10AE" w:rsidRPr="0025669D" w:rsidRDefault="004A10AE" w:rsidP="007947DB">
            <w:pPr>
              <w:spacing w:after="0" w:line="240" w:lineRule="auto"/>
              <w:jc w:val="left"/>
              <w:rPr>
                <w:rFonts w:ascii="Times New Roman" w:eastAsia="Malgun Gothic" w:hAnsi="Times New Roman" w:cs="Times New Roman"/>
                <w:sz w:val="22"/>
                <w:lang w:val="en-GB"/>
              </w:rPr>
            </w:pPr>
            <w:r w:rsidRPr="0025669D">
              <w:rPr>
                <w:rFonts w:ascii="Times New Roman" w:eastAsia="Malgun Gothic" w:hAnsi="Times New Roman" w:cs="Times New Roman"/>
                <w:sz w:val="22"/>
                <w:lang w:val="en-GB"/>
              </w:rPr>
              <w:t>272 (92.2%)</w:t>
            </w:r>
          </w:p>
        </w:tc>
        <w:tc>
          <w:tcPr>
            <w:tcW w:w="612" w:type="pct"/>
            <w:tcBorders>
              <w:top w:val="nil"/>
              <w:left w:val="nil"/>
              <w:bottom w:val="nil"/>
              <w:right w:val="nil"/>
            </w:tcBorders>
            <w:vAlign w:val="bottom"/>
          </w:tcPr>
          <w:p w14:paraId="01CC67FF" w14:textId="77777777" w:rsidR="004A10AE" w:rsidRPr="0025669D" w:rsidRDefault="004A10AE" w:rsidP="007947DB">
            <w:pPr>
              <w:spacing w:after="0" w:line="240" w:lineRule="auto"/>
              <w:jc w:val="left"/>
              <w:rPr>
                <w:rFonts w:ascii="Times New Roman" w:eastAsia="Malgun Gothic" w:hAnsi="Times New Roman" w:cs="Times New Roman"/>
                <w:sz w:val="22"/>
                <w:lang w:val="en-GB"/>
              </w:rPr>
            </w:pPr>
          </w:p>
        </w:tc>
      </w:tr>
      <w:tr w:rsidR="004A10AE" w:rsidRPr="0025669D" w14:paraId="21EC3568" w14:textId="77777777" w:rsidTr="005A4B0D">
        <w:trPr>
          <w:cantSplit/>
        </w:trPr>
        <w:tc>
          <w:tcPr>
            <w:tcW w:w="2449" w:type="pct"/>
            <w:tcBorders>
              <w:top w:val="nil"/>
              <w:left w:val="nil"/>
              <w:bottom w:val="nil"/>
              <w:right w:val="nil"/>
            </w:tcBorders>
            <w:vAlign w:val="bottom"/>
          </w:tcPr>
          <w:p w14:paraId="354FD129" w14:textId="77777777" w:rsidR="004A10AE" w:rsidRPr="0025669D" w:rsidRDefault="004A10AE" w:rsidP="007947DB">
            <w:pPr>
              <w:spacing w:after="0" w:line="240" w:lineRule="auto"/>
              <w:jc w:val="left"/>
              <w:rPr>
                <w:rFonts w:ascii="Times New Roman" w:eastAsia="Malgun Gothic" w:hAnsi="Times New Roman" w:cs="Times New Roman"/>
                <w:sz w:val="22"/>
                <w:lang w:val="en-GB"/>
              </w:rPr>
            </w:pPr>
            <w:r w:rsidRPr="0025669D">
              <w:rPr>
                <w:rFonts w:ascii="Times New Roman" w:eastAsia="Malgun Gothic" w:hAnsi="Times New Roman" w:cs="Times New Roman"/>
                <w:sz w:val="22"/>
                <w:lang w:val="en-GB"/>
              </w:rPr>
              <w:t>Week 10</w:t>
            </w:r>
          </w:p>
        </w:tc>
        <w:tc>
          <w:tcPr>
            <w:tcW w:w="1020" w:type="pct"/>
            <w:tcBorders>
              <w:top w:val="nil"/>
              <w:left w:val="nil"/>
              <w:bottom w:val="nil"/>
              <w:right w:val="nil"/>
            </w:tcBorders>
            <w:vAlign w:val="bottom"/>
          </w:tcPr>
          <w:p w14:paraId="5217D9AD" w14:textId="77777777" w:rsidR="004A10AE" w:rsidRPr="0025669D" w:rsidRDefault="004A10AE" w:rsidP="007947DB">
            <w:pPr>
              <w:spacing w:after="0" w:line="240" w:lineRule="auto"/>
              <w:jc w:val="left"/>
              <w:rPr>
                <w:rFonts w:ascii="Times New Roman" w:eastAsia="Malgun Gothic" w:hAnsi="Times New Roman" w:cs="Times New Roman"/>
                <w:sz w:val="22"/>
                <w:lang w:val="en-GB"/>
              </w:rPr>
            </w:pPr>
          </w:p>
        </w:tc>
        <w:tc>
          <w:tcPr>
            <w:tcW w:w="918" w:type="pct"/>
            <w:tcBorders>
              <w:top w:val="nil"/>
              <w:left w:val="nil"/>
              <w:bottom w:val="nil"/>
              <w:right w:val="nil"/>
            </w:tcBorders>
            <w:vAlign w:val="bottom"/>
          </w:tcPr>
          <w:p w14:paraId="78069C22" w14:textId="77777777" w:rsidR="004A10AE" w:rsidRPr="0025669D" w:rsidRDefault="004A10AE" w:rsidP="007947DB">
            <w:pPr>
              <w:spacing w:after="0" w:line="240" w:lineRule="auto"/>
              <w:jc w:val="left"/>
              <w:rPr>
                <w:rFonts w:ascii="Times New Roman" w:eastAsia="Malgun Gothic" w:hAnsi="Times New Roman" w:cs="Times New Roman"/>
                <w:sz w:val="22"/>
                <w:lang w:val="en-GB"/>
              </w:rPr>
            </w:pPr>
          </w:p>
        </w:tc>
        <w:tc>
          <w:tcPr>
            <w:tcW w:w="612" w:type="pct"/>
            <w:tcBorders>
              <w:top w:val="nil"/>
              <w:left w:val="nil"/>
              <w:bottom w:val="nil"/>
              <w:right w:val="nil"/>
            </w:tcBorders>
            <w:vAlign w:val="bottom"/>
          </w:tcPr>
          <w:p w14:paraId="30A0BFD6" w14:textId="77777777" w:rsidR="004A10AE" w:rsidRPr="0025669D" w:rsidRDefault="004A10AE" w:rsidP="007947DB">
            <w:pPr>
              <w:spacing w:after="0" w:line="240" w:lineRule="auto"/>
              <w:jc w:val="left"/>
              <w:rPr>
                <w:rFonts w:ascii="Times New Roman" w:eastAsia="Malgun Gothic" w:hAnsi="Times New Roman" w:cs="Times New Roman"/>
                <w:sz w:val="22"/>
                <w:lang w:val="en-GB"/>
              </w:rPr>
            </w:pPr>
          </w:p>
        </w:tc>
      </w:tr>
      <w:tr w:rsidR="004A10AE" w:rsidRPr="0025669D" w14:paraId="752ABA45" w14:textId="77777777" w:rsidTr="005A4B0D">
        <w:trPr>
          <w:cantSplit/>
        </w:trPr>
        <w:tc>
          <w:tcPr>
            <w:tcW w:w="2449" w:type="pct"/>
            <w:tcBorders>
              <w:top w:val="nil"/>
              <w:left w:val="nil"/>
              <w:bottom w:val="nil"/>
              <w:right w:val="nil"/>
            </w:tcBorders>
            <w:vAlign w:val="bottom"/>
          </w:tcPr>
          <w:p w14:paraId="7DC9A740" w14:textId="77777777" w:rsidR="004A10AE" w:rsidRPr="0025669D" w:rsidRDefault="004A10AE" w:rsidP="007947DB">
            <w:pPr>
              <w:spacing w:after="0" w:line="240" w:lineRule="auto"/>
              <w:ind w:firstLineChars="50" w:firstLine="110"/>
              <w:jc w:val="left"/>
              <w:rPr>
                <w:rFonts w:ascii="Times New Roman" w:eastAsia="Malgun Gothic" w:hAnsi="Times New Roman" w:cs="Times New Roman"/>
                <w:sz w:val="22"/>
                <w:lang w:val="en-GB"/>
              </w:rPr>
            </w:pPr>
            <w:r w:rsidRPr="0025669D">
              <w:rPr>
                <w:rFonts w:ascii="Times New Roman" w:eastAsia="Malgun Gothic" w:hAnsi="Times New Roman" w:cs="Times New Roman"/>
                <w:sz w:val="22"/>
                <w:lang w:val="en-GB"/>
              </w:rPr>
              <w:t>n</w:t>
            </w:r>
          </w:p>
        </w:tc>
        <w:tc>
          <w:tcPr>
            <w:tcW w:w="1020" w:type="pct"/>
            <w:tcBorders>
              <w:top w:val="nil"/>
              <w:left w:val="nil"/>
              <w:bottom w:val="nil"/>
              <w:right w:val="nil"/>
            </w:tcBorders>
            <w:vAlign w:val="bottom"/>
          </w:tcPr>
          <w:p w14:paraId="3C22459A" w14:textId="77777777" w:rsidR="004A10AE" w:rsidRPr="0025669D" w:rsidRDefault="004A10AE" w:rsidP="007947DB">
            <w:pPr>
              <w:spacing w:after="0" w:line="240" w:lineRule="auto"/>
              <w:jc w:val="left"/>
              <w:rPr>
                <w:rFonts w:ascii="Times New Roman" w:eastAsia="Malgun Gothic" w:hAnsi="Times New Roman" w:cs="Times New Roman"/>
                <w:sz w:val="22"/>
                <w:lang w:val="en-GB"/>
              </w:rPr>
            </w:pPr>
            <w:r w:rsidRPr="0025669D">
              <w:rPr>
                <w:rFonts w:ascii="Times New Roman" w:eastAsia="Malgun Gothic" w:hAnsi="Times New Roman" w:cs="Times New Roman"/>
                <w:sz w:val="22"/>
                <w:lang w:val="en-GB"/>
              </w:rPr>
              <w:t>77</w:t>
            </w:r>
          </w:p>
        </w:tc>
        <w:tc>
          <w:tcPr>
            <w:tcW w:w="918" w:type="pct"/>
            <w:tcBorders>
              <w:top w:val="nil"/>
              <w:left w:val="nil"/>
              <w:bottom w:val="nil"/>
              <w:right w:val="nil"/>
            </w:tcBorders>
            <w:vAlign w:val="bottom"/>
          </w:tcPr>
          <w:p w14:paraId="09D4E876" w14:textId="77777777" w:rsidR="004A10AE" w:rsidRPr="0025669D" w:rsidRDefault="004A10AE" w:rsidP="007947DB">
            <w:pPr>
              <w:spacing w:after="0" w:line="240" w:lineRule="auto"/>
              <w:jc w:val="left"/>
              <w:rPr>
                <w:rFonts w:ascii="Times New Roman" w:eastAsia="Malgun Gothic" w:hAnsi="Times New Roman" w:cs="Times New Roman"/>
                <w:sz w:val="22"/>
                <w:lang w:val="en-GB"/>
              </w:rPr>
            </w:pPr>
            <w:r w:rsidRPr="0025669D">
              <w:rPr>
                <w:rFonts w:ascii="Times New Roman" w:eastAsia="Malgun Gothic" w:hAnsi="Times New Roman" w:cs="Times New Roman"/>
                <w:sz w:val="22"/>
                <w:lang w:val="en-GB"/>
              </w:rPr>
              <w:t>292</w:t>
            </w:r>
          </w:p>
        </w:tc>
        <w:tc>
          <w:tcPr>
            <w:tcW w:w="612" w:type="pct"/>
            <w:tcBorders>
              <w:top w:val="nil"/>
              <w:left w:val="nil"/>
              <w:bottom w:val="nil"/>
              <w:right w:val="nil"/>
            </w:tcBorders>
            <w:vAlign w:val="bottom"/>
          </w:tcPr>
          <w:p w14:paraId="47E69D3B" w14:textId="77777777" w:rsidR="004A10AE" w:rsidRPr="0025669D" w:rsidRDefault="004A10AE" w:rsidP="007947DB">
            <w:pPr>
              <w:spacing w:after="0" w:line="240" w:lineRule="auto"/>
              <w:jc w:val="left"/>
              <w:rPr>
                <w:rFonts w:ascii="Times New Roman" w:eastAsia="Malgun Gothic" w:hAnsi="Times New Roman" w:cs="Times New Roman"/>
                <w:sz w:val="22"/>
                <w:lang w:val="en-GB"/>
              </w:rPr>
            </w:pPr>
          </w:p>
        </w:tc>
      </w:tr>
      <w:tr w:rsidR="004A10AE" w:rsidRPr="0025669D" w14:paraId="1BBC481C" w14:textId="77777777" w:rsidTr="005A4B0D">
        <w:trPr>
          <w:cantSplit/>
        </w:trPr>
        <w:tc>
          <w:tcPr>
            <w:tcW w:w="2449" w:type="pct"/>
            <w:tcBorders>
              <w:top w:val="nil"/>
              <w:left w:val="nil"/>
              <w:bottom w:val="nil"/>
              <w:right w:val="nil"/>
            </w:tcBorders>
            <w:vAlign w:val="bottom"/>
          </w:tcPr>
          <w:p w14:paraId="0338E11B" w14:textId="77777777" w:rsidR="004A10AE" w:rsidRPr="0025669D" w:rsidRDefault="004A10AE" w:rsidP="007947DB">
            <w:pPr>
              <w:spacing w:after="0" w:line="240" w:lineRule="auto"/>
              <w:ind w:firstLineChars="100" w:firstLine="220"/>
              <w:jc w:val="left"/>
              <w:rPr>
                <w:rFonts w:ascii="Times New Roman" w:eastAsia="Malgun Gothic" w:hAnsi="Times New Roman" w:cs="Times New Roman"/>
                <w:sz w:val="22"/>
                <w:lang w:val="en-GB"/>
              </w:rPr>
            </w:pPr>
            <w:r w:rsidRPr="0025669D">
              <w:rPr>
                <w:rFonts w:ascii="Times New Roman" w:eastAsia="Malgun Gothic" w:hAnsi="Times New Roman" w:cs="Times New Roman"/>
                <w:sz w:val="22"/>
                <w:lang w:val="en-GB"/>
              </w:rPr>
              <w:t>PGA of cleared (0) or minimal (1)</w:t>
            </w:r>
          </w:p>
        </w:tc>
        <w:tc>
          <w:tcPr>
            <w:tcW w:w="1020" w:type="pct"/>
            <w:tcBorders>
              <w:top w:val="nil"/>
              <w:left w:val="nil"/>
              <w:bottom w:val="nil"/>
              <w:right w:val="nil"/>
            </w:tcBorders>
            <w:vAlign w:val="bottom"/>
          </w:tcPr>
          <w:p w14:paraId="38207BD6" w14:textId="77777777" w:rsidR="004A10AE" w:rsidRPr="0025669D" w:rsidRDefault="004A10AE" w:rsidP="007947DB">
            <w:pPr>
              <w:spacing w:after="0" w:line="240" w:lineRule="auto"/>
              <w:jc w:val="left"/>
              <w:rPr>
                <w:rFonts w:ascii="Times New Roman" w:eastAsia="Malgun Gothic" w:hAnsi="Times New Roman" w:cs="Times New Roman"/>
                <w:sz w:val="22"/>
                <w:lang w:val="en-GB"/>
              </w:rPr>
            </w:pPr>
            <w:r w:rsidRPr="0025669D">
              <w:rPr>
                <w:rFonts w:ascii="Times New Roman" w:eastAsia="Malgun Gothic" w:hAnsi="Times New Roman" w:cs="Times New Roman"/>
                <w:sz w:val="22"/>
                <w:lang w:val="en-GB"/>
              </w:rPr>
              <w:t>3 (3.9%)</w:t>
            </w:r>
          </w:p>
        </w:tc>
        <w:tc>
          <w:tcPr>
            <w:tcW w:w="918" w:type="pct"/>
            <w:tcBorders>
              <w:top w:val="nil"/>
              <w:left w:val="nil"/>
              <w:bottom w:val="nil"/>
              <w:right w:val="nil"/>
            </w:tcBorders>
            <w:vAlign w:val="bottom"/>
          </w:tcPr>
          <w:p w14:paraId="513B8EF8" w14:textId="77777777" w:rsidR="004A10AE" w:rsidRPr="0025669D" w:rsidRDefault="004A10AE" w:rsidP="007947DB">
            <w:pPr>
              <w:spacing w:after="0" w:line="240" w:lineRule="auto"/>
              <w:jc w:val="left"/>
              <w:rPr>
                <w:rFonts w:ascii="Times New Roman" w:eastAsia="Malgun Gothic" w:hAnsi="Times New Roman" w:cs="Times New Roman"/>
                <w:sz w:val="22"/>
                <w:lang w:val="en-GB"/>
              </w:rPr>
            </w:pPr>
            <w:r w:rsidRPr="0025669D">
              <w:rPr>
                <w:rFonts w:ascii="Times New Roman" w:eastAsia="Malgun Gothic" w:hAnsi="Times New Roman" w:cs="Times New Roman"/>
                <w:sz w:val="22"/>
                <w:lang w:val="en-GB"/>
              </w:rPr>
              <w:t>242 (82.9%)</w:t>
            </w:r>
          </w:p>
        </w:tc>
        <w:tc>
          <w:tcPr>
            <w:tcW w:w="612" w:type="pct"/>
            <w:tcBorders>
              <w:top w:val="nil"/>
              <w:left w:val="nil"/>
              <w:bottom w:val="nil"/>
              <w:right w:val="nil"/>
            </w:tcBorders>
            <w:vAlign w:val="bottom"/>
          </w:tcPr>
          <w:p w14:paraId="74E8A2D9" w14:textId="77777777" w:rsidR="004A10AE" w:rsidRPr="0025669D" w:rsidRDefault="004A10AE" w:rsidP="007947DB">
            <w:pPr>
              <w:spacing w:after="0" w:line="240" w:lineRule="auto"/>
              <w:jc w:val="left"/>
              <w:rPr>
                <w:rFonts w:ascii="Times New Roman" w:eastAsia="Malgun Gothic" w:hAnsi="Times New Roman" w:cs="Times New Roman"/>
                <w:sz w:val="22"/>
                <w:lang w:val="en-GB"/>
              </w:rPr>
            </w:pPr>
            <w:r w:rsidRPr="0025669D">
              <w:rPr>
                <w:rFonts w:ascii="Times New Roman" w:eastAsia="Malgun Gothic" w:hAnsi="Times New Roman" w:cs="Times New Roman"/>
                <w:sz w:val="22"/>
                <w:lang w:val="en-GB"/>
              </w:rPr>
              <w:t>&lt; 0.001</w:t>
            </w:r>
          </w:p>
        </w:tc>
      </w:tr>
      <w:tr w:rsidR="004A10AE" w:rsidRPr="0025669D" w14:paraId="3E104A35" w14:textId="77777777" w:rsidTr="005A4B0D">
        <w:trPr>
          <w:cantSplit/>
        </w:trPr>
        <w:tc>
          <w:tcPr>
            <w:tcW w:w="2449" w:type="pct"/>
            <w:tcBorders>
              <w:top w:val="nil"/>
              <w:left w:val="nil"/>
              <w:bottom w:val="nil"/>
              <w:right w:val="nil"/>
            </w:tcBorders>
            <w:vAlign w:val="bottom"/>
          </w:tcPr>
          <w:p w14:paraId="21271598" w14:textId="77777777" w:rsidR="004A10AE" w:rsidRPr="0025669D" w:rsidRDefault="004A10AE" w:rsidP="007947DB">
            <w:pPr>
              <w:spacing w:after="0" w:line="240" w:lineRule="auto"/>
              <w:ind w:firstLineChars="100" w:firstLine="220"/>
              <w:jc w:val="left"/>
              <w:rPr>
                <w:rFonts w:ascii="Times New Roman" w:eastAsia="Malgun Gothic" w:hAnsi="Times New Roman" w:cs="Times New Roman"/>
                <w:sz w:val="22"/>
                <w:lang w:val="en-GB"/>
              </w:rPr>
            </w:pPr>
            <w:r w:rsidRPr="0025669D">
              <w:rPr>
                <w:rFonts w:ascii="Times New Roman" w:eastAsia="Malgun Gothic" w:hAnsi="Times New Roman" w:cs="Times New Roman"/>
                <w:sz w:val="22"/>
                <w:lang w:val="en-GB"/>
              </w:rPr>
              <w:t>PGA of cleared (0), minimal (1), or mild (2)</w:t>
            </w:r>
          </w:p>
        </w:tc>
        <w:tc>
          <w:tcPr>
            <w:tcW w:w="1020" w:type="pct"/>
            <w:tcBorders>
              <w:top w:val="nil"/>
              <w:left w:val="nil"/>
              <w:bottom w:val="nil"/>
              <w:right w:val="nil"/>
            </w:tcBorders>
            <w:vAlign w:val="bottom"/>
          </w:tcPr>
          <w:p w14:paraId="73741D44" w14:textId="77777777" w:rsidR="004A10AE" w:rsidRPr="0025669D" w:rsidRDefault="004A10AE" w:rsidP="007947DB">
            <w:pPr>
              <w:spacing w:after="0" w:line="240" w:lineRule="auto"/>
              <w:jc w:val="left"/>
              <w:rPr>
                <w:rFonts w:ascii="Times New Roman" w:eastAsia="Malgun Gothic" w:hAnsi="Times New Roman" w:cs="Times New Roman"/>
                <w:sz w:val="22"/>
                <w:lang w:val="en-GB"/>
              </w:rPr>
            </w:pPr>
            <w:r w:rsidRPr="0025669D">
              <w:rPr>
                <w:rFonts w:ascii="Times New Roman" w:eastAsia="Malgun Gothic" w:hAnsi="Times New Roman" w:cs="Times New Roman"/>
                <w:sz w:val="22"/>
                <w:lang w:val="en-GB"/>
              </w:rPr>
              <w:t>14 (18.2%)</w:t>
            </w:r>
          </w:p>
        </w:tc>
        <w:tc>
          <w:tcPr>
            <w:tcW w:w="918" w:type="pct"/>
            <w:tcBorders>
              <w:top w:val="nil"/>
              <w:left w:val="nil"/>
              <w:bottom w:val="nil"/>
              <w:right w:val="nil"/>
            </w:tcBorders>
            <w:vAlign w:val="bottom"/>
          </w:tcPr>
          <w:p w14:paraId="4893AA9F" w14:textId="77777777" w:rsidR="004A10AE" w:rsidRPr="0025669D" w:rsidRDefault="004A10AE" w:rsidP="007947DB">
            <w:pPr>
              <w:spacing w:after="0" w:line="240" w:lineRule="auto"/>
              <w:jc w:val="left"/>
              <w:rPr>
                <w:rFonts w:ascii="Times New Roman" w:eastAsia="Malgun Gothic" w:hAnsi="Times New Roman" w:cs="Times New Roman"/>
                <w:sz w:val="22"/>
                <w:lang w:val="en-GB"/>
              </w:rPr>
            </w:pPr>
            <w:r w:rsidRPr="0025669D">
              <w:rPr>
                <w:rFonts w:ascii="Times New Roman" w:eastAsia="Malgun Gothic" w:hAnsi="Times New Roman" w:cs="Times New Roman"/>
                <w:sz w:val="22"/>
                <w:lang w:val="en-GB"/>
              </w:rPr>
              <w:t>275 (94.2%)</w:t>
            </w:r>
          </w:p>
        </w:tc>
        <w:tc>
          <w:tcPr>
            <w:tcW w:w="612" w:type="pct"/>
            <w:tcBorders>
              <w:top w:val="nil"/>
              <w:left w:val="nil"/>
              <w:bottom w:val="nil"/>
              <w:right w:val="nil"/>
            </w:tcBorders>
            <w:vAlign w:val="bottom"/>
          </w:tcPr>
          <w:p w14:paraId="64056569" w14:textId="77777777" w:rsidR="004A10AE" w:rsidRPr="0025669D" w:rsidRDefault="004A10AE" w:rsidP="007947DB">
            <w:pPr>
              <w:spacing w:after="0" w:line="240" w:lineRule="auto"/>
              <w:jc w:val="left"/>
              <w:rPr>
                <w:rFonts w:ascii="Times New Roman" w:eastAsia="Malgun Gothic" w:hAnsi="Times New Roman" w:cs="Times New Roman"/>
                <w:sz w:val="22"/>
                <w:lang w:val="en-GB"/>
              </w:rPr>
            </w:pPr>
            <w:r w:rsidRPr="0025669D">
              <w:rPr>
                <w:rFonts w:ascii="Times New Roman" w:eastAsia="Malgun Gothic" w:hAnsi="Times New Roman" w:cs="Times New Roman"/>
                <w:sz w:val="22"/>
                <w:lang w:val="en-GB"/>
              </w:rPr>
              <w:t>&lt; 0.001</w:t>
            </w:r>
          </w:p>
        </w:tc>
      </w:tr>
      <w:tr w:rsidR="004A10AE" w:rsidRPr="0025669D" w14:paraId="2B06D927" w14:textId="77777777" w:rsidTr="005A4B0D">
        <w:trPr>
          <w:cantSplit/>
        </w:trPr>
        <w:tc>
          <w:tcPr>
            <w:tcW w:w="2449" w:type="pct"/>
            <w:tcBorders>
              <w:top w:val="nil"/>
              <w:left w:val="nil"/>
              <w:bottom w:val="nil"/>
              <w:right w:val="nil"/>
            </w:tcBorders>
            <w:vAlign w:val="bottom"/>
          </w:tcPr>
          <w:p w14:paraId="11FB9DA9" w14:textId="77777777" w:rsidR="004A10AE" w:rsidRPr="0025669D" w:rsidRDefault="004A10AE" w:rsidP="007947DB">
            <w:pPr>
              <w:spacing w:after="0" w:line="240" w:lineRule="auto"/>
              <w:jc w:val="left"/>
              <w:rPr>
                <w:rFonts w:ascii="Times New Roman" w:eastAsia="Malgun Gothic" w:hAnsi="Times New Roman" w:cs="Times New Roman"/>
                <w:sz w:val="22"/>
                <w:lang w:val="en-GB"/>
              </w:rPr>
            </w:pPr>
            <w:r w:rsidRPr="0025669D">
              <w:rPr>
                <w:rFonts w:ascii="Times New Roman" w:eastAsia="Malgun Gothic" w:hAnsi="Times New Roman" w:cs="Times New Roman"/>
                <w:sz w:val="22"/>
                <w:lang w:val="en-GB"/>
              </w:rPr>
              <w:t>Week 24</w:t>
            </w:r>
          </w:p>
        </w:tc>
        <w:tc>
          <w:tcPr>
            <w:tcW w:w="1020" w:type="pct"/>
            <w:tcBorders>
              <w:top w:val="nil"/>
              <w:left w:val="nil"/>
              <w:bottom w:val="nil"/>
              <w:right w:val="nil"/>
            </w:tcBorders>
            <w:vAlign w:val="bottom"/>
          </w:tcPr>
          <w:p w14:paraId="7CDC1E07" w14:textId="77777777" w:rsidR="004A10AE" w:rsidRPr="0025669D" w:rsidRDefault="004A10AE" w:rsidP="007947DB">
            <w:pPr>
              <w:spacing w:after="0" w:line="240" w:lineRule="auto"/>
              <w:jc w:val="left"/>
              <w:rPr>
                <w:rFonts w:ascii="Times New Roman" w:eastAsia="Malgun Gothic" w:hAnsi="Times New Roman" w:cs="Times New Roman"/>
                <w:sz w:val="22"/>
                <w:lang w:val="en-GB"/>
              </w:rPr>
            </w:pPr>
          </w:p>
        </w:tc>
        <w:tc>
          <w:tcPr>
            <w:tcW w:w="918" w:type="pct"/>
            <w:tcBorders>
              <w:top w:val="nil"/>
              <w:left w:val="nil"/>
              <w:bottom w:val="nil"/>
              <w:right w:val="nil"/>
            </w:tcBorders>
            <w:vAlign w:val="bottom"/>
          </w:tcPr>
          <w:p w14:paraId="2378F73E" w14:textId="77777777" w:rsidR="004A10AE" w:rsidRPr="0025669D" w:rsidRDefault="004A10AE" w:rsidP="007947DB">
            <w:pPr>
              <w:spacing w:after="0" w:line="240" w:lineRule="auto"/>
              <w:jc w:val="left"/>
              <w:rPr>
                <w:rFonts w:ascii="Times New Roman" w:eastAsia="Malgun Gothic" w:hAnsi="Times New Roman" w:cs="Times New Roman"/>
                <w:sz w:val="22"/>
                <w:lang w:val="en-GB"/>
              </w:rPr>
            </w:pPr>
          </w:p>
        </w:tc>
        <w:tc>
          <w:tcPr>
            <w:tcW w:w="612" w:type="pct"/>
            <w:tcBorders>
              <w:top w:val="nil"/>
              <w:left w:val="nil"/>
              <w:bottom w:val="nil"/>
              <w:right w:val="nil"/>
            </w:tcBorders>
            <w:vAlign w:val="bottom"/>
          </w:tcPr>
          <w:p w14:paraId="72B1D35F" w14:textId="77777777" w:rsidR="004A10AE" w:rsidRPr="0025669D" w:rsidRDefault="004A10AE" w:rsidP="007947DB">
            <w:pPr>
              <w:spacing w:after="0" w:line="240" w:lineRule="auto"/>
              <w:jc w:val="left"/>
              <w:rPr>
                <w:rFonts w:ascii="Times New Roman" w:eastAsia="Malgun Gothic" w:hAnsi="Times New Roman" w:cs="Times New Roman"/>
                <w:sz w:val="22"/>
                <w:lang w:val="en-GB"/>
              </w:rPr>
            </w:pPr>
          </w:p>
        </w:tc>
      </w:tr>
      <w:tr w:rsidR="004A10AE" w:rsidRPr="0025669D" w14:paraId="1F092F7D" w14:textId="77777777" w:rsidTr="005A4B0D">
        <w:trPr>
          <w:cantSplit/>
        </w:trPr>
        <w:tc>
          <w:tcPr>
            <w:tcW w:w="2449" w:type="pct"/>
            <w:tcBorders>
              <w:top w:val="nil"/>
              <w:left w:val="nil"/>
              <w:bottom w:val="nil"/>
              <w:right w:val="nil"/>
            </w:tcBorders>
            <w:vAlign w:val="bottom"/>
          </w:tcPr>
          <w:p w14:paraId="40C56763" w14:textId="77777777" w:rsidR="004A10AE" w:rsidRPr="0025669D" w:rsidRDefault="004A10AE" w:rsidP="007947DB">
            <w:pPr>
              <w:spacing w:after="0" w:line="240" w:lineRule="auto"/>
              <w:ind w:firstLineChars="50" w:firstLine="110"/>
              <w:jc w:val="left"/>
              <w:rPr>
                <w:rFonts w:ascii="Times New Roman" w:eastAsia="Malgun Gothic" w:hAnsi="Times New Roman" w:cs="Times New Roman"/>
                <w:sz w:val="22"/>
                <w:lang w:val="en-GB"/>
              </w:rPr>
            </w:pPr>
            <w:r w:rsidRPr="0025669D">
              <w:rPr>
                <w:rFonts w:ascii="Times New Roman" w:eastAsia="Malgun Gothic" w:hAnsi="Times New Roman" w:cs="Times New Roman"/>
                <w:sz w:val="22"/>
                <w:lang w:val="en-GB"/>
              </w:rPr>
              <w:t>n</w:t>
            </w:r>
          </w:p>
        </w:tc>
        <w:tc>
          <w:tcPr>
            <w:tcW w:w="1020" w:type="pct"/>
            <w:tcBorders>
              <w:top w:val="nil"/>
              <w:left w:val="nil"/>
              <w:bottom w:val="nil"/>
              <w:right w:val="nil"/>
            </w:tcBorders>
            <w:vAlign w:val="bottom"/>
          </w:tcPr>
          <w:p w14:paraId="701C1FF9" w14:textId="77777777" w:rsidR="004A10AE" w:rsidRPr="0025669D" w:rsidRDefault="004A10AE" w:rsidP="007947DB">
            <w:pPr>
              <w:spacing w:after="0" w:line="240" w:lineRule="auto"/>
              <w:jc w:val="left"/>
              <w:rPr>
                <w:rFonts w:ascii="Times New Roman" w:eastAsia="Malgun Gothic" w:hAnsi="Times New Roman" w:cs="Times New Roman"/>
                <w:sz w:val="22"/>
                <w:lang w:val="en-GB"/>
              </w:rPr>
            </w:pPr>
            <w:r w:rsidRPr="0025669D">
              <w:rPr>
                <w:rFonts w:ascii="Times New Roman" w:eastAsia="Malgun Gothic" w:hAnsi="Times New Roman" w:cs="Times New Roman"/>
                <w:sz w:val="22"/>
                <w:lang w:val="en-GB"/>
              </w:rPr>
              <w:t>77</w:t>
            </w:r>
          </w:p>
        </w:tc>
        <w:tc>
          <w:tcPr>
            <w:tcW w:w="918" w:type="pct"/>
            <w:tcBorders>
              <w:top w:val="nil"/>
              <w:left w:val="nil"/>
              <w:bottom w:val="nil"/>
              <w:right w:val="nil"/>
            </w:tcBorders>
            <w:vAlign w:val="bottom"/>
          </w:tcPr>
          <w:p w14:paraId="02037997" w14:textId="77777777" w:rsidR="004A10AE" w:rsidRPr="0025669D" w:rsidRDefault="004A10AE" w:rsidP="007947DB">
            <w:pPr>
              <w:spacing w:after="0" w:line="240" w:lineRule="auto"/>
              <w:jc w:val="left"/>
              <w:rPr>
                <w:rFonts w:ascii="Times New Roman" w:eastAsia="Malgun Gothic" w:hAnsi="Times New Roman" w:cs="Times New Roman"/>
                <w:sz w:val="22"/>
                <w:lang w:val="en-GB"/>
              </w:rPr>
            </w:pPr>
            <w:r w:rsidRPr="0025669D">
              <w:rPr>
                <w:rFonts w:ascii="Times New Roman" w:eastAsia="Malgun Gothic" w:hAnsi="Times New Roman" w:cs="Times New Roman"/>
                <w:sz w:val="22"/>
                <w:lang w:val="en-GB"/>
              </w:rPr>
              <w:t>276</w:t>
            </w:r>
          </w:p>
        </w:tc>
        <w:tc>
          <w:tcPr>
            <w:tcW w:w="612" w:type="pct"/>
            <w:tcBorders>
              <w:top w:val="nil"/>
              <w:left w:val="nil"/>
              <w:bottom w:val="nil"/>
              <w:right w:val="nil"/>
            </w:tcBorders>
            <w:vAlign w:val="bottom"/>
          </w:tcPr>
          <w:p w14:paraId="5A5C3925" w14:textId="77777777" w:rsidR="004A10AE" w:rsidRPr="0025669D" w:rsidRDefault="004A10AE" w:rsidP="007947DB">
            <w:pPr>
              <w:spacing w:after="0" w:line="240" w:lineRule="auto"/>
              <w:jc w:val="left"/>
              <w:rPr>
                <w:rFonts w:ascii="Times New Roman" w:eastAsia="Malgun Gothic" w:hAnsi="Times New Roman" w:cs="Times New Roman"/>
                <w:sz w:val="22"/>
                <w:lang w:val="en-GB"/>
              </w:rPr>
            </w:pPr>
          </w:p>
        </w:tc>
      </w:tr>
      <w:tr w:rsidR="004A10AE" w:rsidRPr="0025669D" w14:paraId="68F4668A" w14:textId="77777777" w:rsidTr="005A4B0D">
        <w:trPr>
          <w:cantSplit/>
        </w:trPr>
        <w:tc>
          <w:tcPr>
            <w:tcW w:w="2449" w:type="pct"/>
            <w:tcBorders>
              <w:top w:val="nil"/>
              <w:left w:val="nil"/>
              <w:bottom w:val="nil"/>
              <w:right w:val="nil"/>
            </w:tcBorders>
            <w:vAlign w:val="bottom"/>
          </w:tcPr>
          <w:p w14:paraId="3E6FA03B" w14:textId="77777777" w:rsidR="004A10AE" w:rsidRPr="0025669D" w:rsidRDefault="004A10AE" w:rsidP="007947DB">
            <w:pPr>
              <w:spacing w:after="0" w:line="240" w:lineRule="auto"/>
              <w:ind w:firstLineChars="100" w:firstLine="220"/>
              <w:jc w:val="left"/>
              <w:rPr>
                <w:rFonts w:ascii="Times New Roman" w:eastAsia="Malgun Gothic" w:hAnsi="Times New Roman" w:cs="Times New Roman"/>
                <w:sz w:val="22"/>
                <w:lang w:val="en-GB"/>
              </w:rPr>
            </w:pPr>
            <w:r w:rsidRPr="0025669D">
              <w:rPr>
                <w:rFonts w:ascii="Times New Roman" w:eastAsia="Malgun Gothic" w:hAnsi="Times New Roman" w:cs="Times New Roman"/>
                <w:sz w:val="22"/>
                <w:lang w:val="en-GB"/>
              </w:rPr>
              <w:t>PGA of cleared (0) or minimal (1)</w:t>
            </w:r>
          </w:p>
        </w:tc>
        <w:tc>
          <w:tcPr>
            <w:tcW w:w="1020" w:type="pct"/>
            <w:tcBorders>
              <w:top w:val="nil"/>
              <w:left w:val="nil"/>
              <w:bottom w:val="nil"/>
              <w:right w:val="nil"/>
            </w:tcBorders>
            <w:vAlign w:val="bottom"/>
          </w:tcPr>
          <w:p w14:paraId="5B62DEC2" w14:textId="77777777" w:rsidR="004A10AE" w:rsidRPr="0025669D" w:rsidRDefault="004A10AE" w:rsidP="007947DB">
            <w:pPr>
              <w:spacing w:after="0" w:line="240" w:lineRule="auto"/>
              <w:jc w:val="left"/>
              <w:rPr>
                <w:rFonts w:ascii="Times New Roman" w:eastAsia="Malgun Gothic" w:hAnsi="Times New Roman" w:cs="Times New Roman"/>
                <w:sz w:val="22"/>
                <w:lang w:val="en-GB"/>
              </w:rPr>
            </w:pPr>
            <w:r w:rsidRPr="0025669D">
              <w:rPr>
                <w:rFonts w:ascii="Times New Roman" w:eastAsia="Malgun Gothic" w:hAnsi="Times New Roman" w:cs="Times New Roman"/>
                <w:sz w:val="22"/>
                <w:lang w:val="en-GB"/>
              </w:rPr>
              <w:t>2 (2.6%)</w:t>
            </w:r>
          </w:p>
        </w:tc>
        <w:tc>
          <w:tcPr>
            <w:tcW w:w="918" w:type="pct"/>
            <w:tcBorders>
              <w:top w:val="nil"/>
              <w:left w:val="nil"/>
              <w:bottom w:val="nil"/>
              <w:right w:val="nil"/>
            </w:tcBorders>
            <w:vAlign w:val="bottom"/>
          </w:tcPr>
          <w:p w14:paraId="7B08A4D2" w14:textId="77777777" w:rsidR="004A10AE" w:rsidRPr="0025669D" w:rsidRDefault="004A10AE" w:rsidP="007947DB">
            <w:pPr>
              <w:spacing w:after="0" w:line="240" w:lineRule="auto"/>
              <w:jc w:val="left"/>
              <w:rPr>
                <w:rFonts w:ascii="Times New Roman" w:eastAsia="Malgun Gothic" w:hAnsi="Times New Roman" w:cs="Times New Roman"/>
                <w:sz w:val="22"/>
                <w:lang w:val="en-GB"/>
              </w:rPr>
            </w:pPr>
            <w:r w:rsidRPr="0025669D">
              <w:rPr>
                <w:rFonts w:ascii="Times New Roman" w:eastAsia="Malgun Gothic" w:hAnsi="Times New Roman" w:cs="Times New Roman"/>
                <w:sz w:val="22"/>
                <w:lang w:val="en-GB"/>
              </w:rPr>
              <w:t>203 (73.6%)</w:t>
            </w:r>
          </w:p>
        </w:tc>
        <w:tc>
          <w:tcPr>
            <w:tcW w:w="612" w:type="pct"/>
            <w:tcBorders>
              <w:top w:val="nil"/>
              <w:left w:val="nil"/>
              <w:bottom w:val="nil"/>
              <w:right w:val="nil"/>
            </w:tcBorders>
            <w:vAlign w:val="bottom"/>
          </w:tcPr>
          <w:p w14:paraId="15A7FF28" w14:textId="77777777" w:rsidR="004A10AE" w:rsidRPr="0025669D" w:rsidRDefault="004A10AE" w:rsidP="007947DB">
            <w:pPr>
              <w:spacing w:after="0" w:line="240" w:lineRule="auto"/>
              <w:jc w:val="left"/>
              <w:rPr>
                <w:rFonts w:ascii="Times New Roman" w:eastAsia="Malgun Gothic" w:hAnsi="Times New Roman" w:cs="Times New Roman"/>
                <w:sz w:val="22"/>
                <w:lang w:val="en-GB"/>
              </w:rPr>
            </w:pPr>
            <w:r w:rsidRPr="0025669D">
              <w:rPr>
                <w:rFonts w:ascii="Times New Roman" w:eastAsia="Malgun Gothic" w:hAnsi="Times New Roman" w:cs="Times New Roman"/>
                <w:sz w:val="22"/>
                <w:lang w:val="en-GB"/>
              </w:rPr>
              <w:t>&lt; 0.001</w:t>
            </w:r>
          </w:p>
        </w:tc>
      </w:tr>
      <w:tr w:rsidR="004A10AE" w:rsidRPr="0025669D" w14:paraId="7043C042" w14:textId="77777777" w:rsidTr="005A4B0D">
        <w:trPr>
          <w:cantSplit/>
        </w:trPr>
        <w:tc>
          <w:tcPr>
            <w:tcW w:w="2449" w:type="pct"/>
            <w:tcBorders>
              <w:top w:val="nil"/>
              <w:left w:val="nil"/>
              <w:bottom w:val="nil"/>
              <w:right w:val="nil"/>
            </w:tcBorders>
            <w:vAlign w:val="bottom"/>
          </w:tcPr>
          <w:p w14:paraId="030EA124" w14:textId="77777777" w:rsidR="004A10AE" w:rsidRPr="0025669D" w:rsidRDefault="004A10AE" w:rsidP="007947DB">
            <w:pPr>
              <w:spacing w:after="0" w:line="240" w:lineRule="auto"/>
              <w:ind w:firstLineChars="100" w:firstLine="220"/>
              <w:jc w:val="left"/>
              <w:rPr>
                <w:rFonts w:ascii="Times New Roman" w:eastAsia="Malgun Gothic" w:hAnsi="Times New Roman" w:cs="Times New Roman"/>
                <w:sz w:val="22"/>
                <w:lang w:val="en-GB"/>
              </w:rPr>
            </w:pPr>
            <w:r w:rsidRPr="0025669D">
              <w:rPr>
                <w:rFonts w:ascii="Times New Roman" w:eastAsia="Malgun Gothic" w:hAnsi="Times New Roman" w:cs="Times New Roman"/>
                <w:sz w:val="22"/>
                <w:lang w:val="en-GB"/>
              </w:rPr>
              <w:t>PGA of cleared (0), minimal (1), or mild (2)</w:t>
            </w:r>
          </w:p>
        </w:tc>
        <w:tc>
          <w:tcPr>
            <w:tcW w:w="1020" w:type="pct"/>
            <w:tcBorders>
              <w:top w:val="nil"/>
              <w:left w:val="nil"/>
              <w:bottom w:val="nil"/>
              <w:right w:val="nil"/>
            </w:tcBorders>
            <w:vAlign w:val="bottom"/>
          </w:tcPr>
          <w:p w14:paraId="63488FDC" w14:textId="77777777" w:rsidR="004A10AE" w:rsidRPr="0025669D" w:rsidRDefault="004A10AE" w:rsidP="007947DB">
            <w:pPr>
              <w:spacing w:after="0" w:line="240" w:lineRule="auto"/>
              <w:jc w:val="left"/>
              <w:rPr>
                <w:rFonts w:ascii="Times New Roman" w:eastAsia="Malgun Gothic" w:hAnsi="Times New Roman" w:cs="Times New Roman"/>
                <w:sz w:val="22"/>
                <w:lang w:val="en-GB"/>
              </w:rPr>
            </w:pPr>
            <w:r w:rsidRPr="0025669D">
              <w:rPr>
                <w:rFonts w:ascii="Times New Roman" w:eastAsia="Malgun Gothic" w:hAnsi="Times New Roman" w:cs="Times New Roman"/>
                <w:sz w:val="22"/>
                <w:lang w:val="en-GB"/>
              </w:rPr>
              <w:t>15 (19.5%)</w:t>
            </w:r>
          </w:p>
        </w:tc>
        <w:tc>
          <w:tcPr>
            <w:tcW w:w="918" w:type="pct"/>
            <w:tcBorders>
              <w:top w:val="nil"/>
              <w:left w:val="nil"/>
              <w:bottom w:val="nil"/>
              <w:right w:val="nil"/>
            </w:tcBorders>
            <w:vAlign w:val="bottom"/>
          </w:tcPr>
          <w:p w14:paraId="71C3C416" w14:textId="77777777" w:rsidR="004A10AE" w:rsidRPr="0025669D" w:rsidRDefault="004A10AE" w:rsidP="007947DB">
            <w:pPr>
              <w:spacing w:after="0" w:line="240" w:lineRule="auto"/>
              <w:jc w:val="left"/>
              <w:rPr>
                <w:rFonts w:ascii="Times New Roman" w:eastAsia="Malgun Gothic" w:hAnsi="Times New Roman" w:cs="Times New Roman"/>
                <w:sz w:val="22"/>
                <w:lang w:val="en-GB"/>
              </w:rPr>
            </w:pPr>
            <w:r w:rsidRPr="0025669D">
              <w:rPr>
                <w:rFonts w:ascii="Times New Roman" w:eastAsia="Malgun Gothic" w:hAnsi="Times New Roman" w:cs="Times New Roman"/>
                <w:sz w:val="22"/>
                <w:lang w:val="en-GB"/>
              </w:rPr>
              <w:t>246 (89.1%)</w:t>
            </w:r>
          </w:p>
        </w:tc>
        <w:tc>
          <w:tcPr>
            <w:tcW w:w="612" w:type="pct"/>
            <w:tcBorders>
              <w:top w:val="nil"/>
              <w:left w:val="nil"/>
              <w:bottom w:val="nil"/>
              <w:right w:val="nil"/>
            </w:tcBorders>
            <w:vAlign w:val="bottom"/>
          </w:tcPr>
          <w:p w14:paraId="7E4676AD" w14:textId="77777777" w:rsidR="004A10AE" w:rsidRPr="0025669D" w:rsidRDefault="004A10AE" w:rsidP="007947DB">
            <w:pPr>
              <w:spacing w:after="0" w:line="240" w:lineRule="auto"/>
              <w:jc w:val="left"/>
              <w:rPr>
                <w:rFonts w:ascii="Times New Roman" w:eastAsia="Malgun Gothic" w:hAnsi="Times New Roman" w:cs="Times New Roman"/>
                <w:sz w:val="22"/>
                <w:lang w:val="en-GB"/>
              </w:rPr>
            </w:pPr>
            <w:r w:rsidRPr="0025669D">
              <w:rPr>
                <w:rFonts w:ascii="Times New Roman" w:eastAsia="Malgun Gothic" w:hAnsi="Times New Roman" w:cs="Times New Roman"/>
                <w:sz w:val="22"/>
                <w:lang w:val="en-GB"/>
              </w:rPr>
              <w:t>&lt; 0.001</w:t>
            </w:r>
          </w:p>
        </w:tc>
      </w:tr>
      <w:tr w:rsidR="004A10AE" w:rsidRPr="0025669D" w14:paraId="23C06AFA" w14:textId="77777777" w:rsidTr="005A4B0D">
        <w:trPr>
          <w:cantSplit/>
        </w:trPr>
        <w:tc>
          <w:tcPr>
            <w:tcW w:w="2449" w:type="pct"/>
            <w:tcBorders>
              <w:top w:val="nil"/>
              <w:left w:val="nil"/>
              <w:bottom w:val="nil"/>
              <w:right w:val="nil"/>
            </w:tcBorders>
            <w:vAlign w:val="bottom"/>
          </w:tcPr>
          <w:p w14:paraId="72339617" w14:textId="77777777" w:rsidR="004A10AE" w:rsidRPr="0025669D" w:rsidRDefault="004A10AE" w:rsidP="007947DB">
            <w:pPr>
              <w:spacing w:after="0" w:line="240" w:lineRule="auto"/>
              <w:jc w:val="left"/>
              <w:rPr>
                <w:rFonts w:ascii="Times New Roman" w:eastAsia="Malgun Gothic" w:hAnsi="Times New Roman" w:cs="Times New Roman"/>
                <w:sz w:val="22"/>
                <w:lang w:val="en-GB"/>
              </w:rPr>
            </w:pPr>
            <w:r w:rsidRPr="0025669D">
              <w:rPr>
                <w:rFonts w:ascii="Times New Roman" w:eastAsia="Malgun Gothic" w:hAnsi="Times New Roman" w:cs="Times New Roman"/>
                <w:sz w:val="22"/>
                <w:lang w:val="en-GB"/>
              </w:rPr>
              <w:t>Week 50</w:t>
            </w:r>
          </w:p>
        </w:tc>
        <w:tc>
          <w:tcPr>
            <w:tcW w:w="1020" w:type="pct"/>
            <w:tcBorders>
              <w:top w:val="nil"/>
              <w:left w:val="nil"/>
              <w:bottom w:val="nil"/>
              <w:right w:val="nil"/>
            </w:tcBorders>
            <w:vAlign w:val="bottom"/>
          </w:tcPr>
          <w:p w14:paraId="4011E2C5" w14:textId="77777777" w:rsidR="004A10AE" w:rsidRPr="0025669D" w:rsidRDefault="004A10AE" w:rsidP="007947DB">
            <w:pPr>
              <w:spacing w:after="0" w:line="240" w:lineRule="auto"/>
              <w:jc w:val="left"/>
              <w:rPr>
                <w:rFonts w:ascii="Times New Roman" w:eastAsia="Malgun Gothic" w:hAnsi="Times New Roman" w:cs="Times New Roman"/>
                <w:sz w:val="22"/>
                <w:lang w:val="en-GB"/>
              </w:rPr>
            </w:pPr>
          </w:p>
        </w:tc>
        <w:tc>
          <w:tcPr>
            <w:tcW w:w="918" w:type="pct"/>
            <w:tcBorders>
              <w:top w:val="nil"/>
              <w:left w:val="nil"/>
              <w:bottom w:val="nil"/>
              <w:right w:val="nil"/>
            </w:tcBorders>
            <w:vAlign w:val="bottom"/>
          </w:tcPr>
          <w:p w14:paraId="0935877F" w14:textId="77777777" w:rsidR="004A10AE" w:rsidRPr="0025669D" w:rsidRDefault="004A10AE" w:rsidP="007947DB">
            <w:pPr>
              <w:spacing w:after="0" w:line="240" w:lineRule="auto"/>
              <w:jc w:val="left"/>
              <w:rPr>
                <w:rFonts w:ascii="Times New Roman" w:eastAsia="Malgun Gothic" w:hAnsi="Times New Roman" w:cs="Times New Roman"/>
                <w:sz w:val="22"/>
                <w:lang w:val="en-GB"/>
              </w:rPr>
            </w:pPr>
          </w:p>
        </w:tc>
        <w:tc>
          <w:tcPr>
            <w:tcW w:w="612" w:type="pct"/>
            <w:tcBorders>
              <w:top w:val="nil"/>
              <w:left w:val="nil"/>
              <w:bottom w:val="nil"/>
              <w:right w:val="nil"/>
            </w:tcBorders>
            <w:vAlign w:val="bottom"/>
          </w:tcPr>
          <w:p w14:paraId="659BC423" w14:textId="77777777" w:rsidR="004A10AE" w:rsidRPr="0025669D" w:rsidRDefault="004A10AE" w:rsidP="007947DB">
            <w:pPr>
              <w:spacing w:after="0" w:line="240" w:lineRule="auto"/>
              <w:jc w:val="left"/>
              <w:rPr>
                <w:rFonts w:ascii="Times New Roman" w:eastAsia="Malgun Gothic" w:hAnsi="Times New Roman" w:cs="Times New Roman"/>
                <w:sz w:val="22"/>
                <w:lang w:val="en-GB"/>
              </w:rPr>
            </w:pPr>
          </w:p>
        </w:tc>
      </w:tr>
      <w:tr w:rsidR="004A10AE" w:rsidRPr="0025669D" w14:paraId="174D387C" w14:textId="77777777" w:rsidTr="005A4B0D">
        <w:trPr>
          <w:cantSplit/>
        </w:trPr>
        <w:tc>
          <w:tcPr>
            <w:tcW w:w="2449" w:type="pct"/>
            <w:tcBorders>
              <w:top w:val="nil"/>
              <w:left w:val="nil"/>
              <w:bottom w:val="nil"/>
              <w:right w:val="nil"/>
            </w:tcBorders>
            <w:vAlign w:val="bottom"/>
          </w:tcPr>
          <w:p w14:paraId="27D4C0C1" w14:textId="77777777" w:rsidR="004A10AE" w:rsidRPr="0025669D" w:rsidRDefault="004A10AE" w:rsidP="007947DB">
            <w:pPr>
              <w:spacing w:after="0" w:line="240" w:lineRule="auto"/>
              <w:ind w:firstLineChars="50" w:firstLine="110"/>
              <w:jc w:val="left"/>
              <w:rPr>
                <w:rFonts w:ascii="Times New Roman" w:eastAsia="Malgun Gothic" w:hAnsi="Times New Roman" w:cs="Times New Roman"/>
                <w:sz w:val="22"/>
                <w:lang w:val="en-GB"/>
              </w:rPr>
            </w:pPr>
            <w:r w:rsidRPr="0025669D">
              <w:rPr>
                <w:rFonts w:ascii="Times New Roman" w:eastAsia="Malgun Gothic" w:hAnsi="Times New Roman" w:cs="Times New Roman"/>
                <w:sz w:val="22"/>
                <w:lang w:val="en-GB"/>
              </w:rPr>
              <w:t>n</w:t>
            </w:r>
          </w:p>
        </w:tc>
        <w:tc>
          <w:tcPr>
            <w:tcW w:w="1020" w:type="pct"/>
            <w:tcBorders>
              <w:top w:val="nil"/>
              <w:left w:val="nil"/>
              <w:bottom w:val="nil"/>
              <w:right w:val="nil"/>
            </w:tcBorders>
            <w:vAlign w:val="bottom"/>
          </w:tcPr>
          <w:p w14:paraId="27F36DFA" w14:textId="77777777" w:rsidR="004A10AE" w:rsidRPr="0025669D" w:rsidRDefault="004A10AE" w:rsidP="007947DB">
            <w:pPr>
              <w:spacing w:after="0" w:line="240" w:lineRule="auto"/>
              <w:jc w:val="left"/>
              <w:rPr>
                <w:rFonts w:ascii="Times New Roman" w:eastAsia="Malgun Gothic" w:hAnsi="Times New Roman" w:cs="Times New Roman"/>
                <w:sz w:val="22"/>
                <w:lang w:val="en-GB"/>
              </w:rPr>
            </w:pPr>
            <w:r w:rsidRPr="0025669D">
              <w:rPr>
                <w:rFonts w:ascii="Times New Roman" w:eastAsia="Malgun Gothic" w:hAnsi="Times New Roman" w:cs="Times New Roman"/>
                <w:sz w:val="22"/>
                <w:lang w:val="en-GB"/>
              </w:rPr>
              <w:t>68</w:t>
            </w:r>
          </w:p>
        </w:tc>
        <w:tc>
          <w:tcPr>
            <w:tcW w:w="918" w:type="pct"/>
            <w:tcBorders>
              <w:top w:val="nil"/>
              <w:left w:val="nil"/>
              <w:bottom w:val="nil"/>
              <w:right w:val="nil"/>
            </w:tcBorders>
            <w:vAlign w:val="bottom"/>
          </w:tcPr>
          <w:p w14:paraId="40CEDCB2" w14:textId="77777777" w:rsidR="004A10AE" w:rsidRPr="0025669D" w:rsidRDefault="004A10AE" w:rsidP="007947DB">
            <w:pPr>
              <w:spacing w:after="0" w:line="240" w:lineRule="auto"/>
              <w:jc w:val="left"/>
              <w:rPr>
                <w:rFonts w:ascii="Times New Roman" w:eastAsia="Malgun Gothic" w:hAnsi="Times New Roman" w:cs="Times New Roman"/>
                <w:sz w:val="22"/>
                <w:lang w:val="en-GB"/>
              </w:rPr>
            </w:pPr>
            <w:r w:rsidRPr="0025669D">
              <w:rPr>
                <w:rFonts w:ascii="Times New Roman" w:eastAsia="Malgun Gothic" w:hAnsi="Times New Roman" w:cs="Times New Roman"/>
                <w:sz w:val="22"/>
                <w:lang w:val="en-GB"/>
              </w:rPr>
              <w:t>281</w:t>
            </w:r>
          </w:p>
        </w:tc>
        <w:tc>
          <w:tcPr>
            <w:tcW w:w="612" w:type="pct"/>
            <w:tcBorders>
              <w:top w:val="nil"/>
              <w:left w:val="nil"/>
              <w:bottom w:val="nil"/>
              <w:right w:val="nil"/>
            </w:tcBorders>
            <w:vAlign w:val="bottom"/>
          </w:tcPr>
          <w:p w14:paraId="5AF58070" w14:textId="77777777" w:rsidR="004A10AE" w:rsidRPr="0025669D" w:rsidRDefault="004A10AE" w:rsidP="007947DB">
            <w:pPr>
              <w:spacing w:after="0" w:line="240" w:lineRule="auto"/>
              <w:jc w:val="left"/>
              <w:rPr>
                <w:rFonts w:ascii="Times New Roman" w:eastAsia="Malgun Gothic" w:hAnsi="Times New Roman" w:cs="Times New Roman"/>
                <w:sz w:val="22"/>
                <w:lang w:val="en-GB"/>
              </w:rPr>
            </w:pPr>
          </w:p>
        </w:tc>
      </w:tr>
      <w:tr w:rsidR="004A10AE" w:rsidRPr="0025669D" w14:paraId="30ECA393" w14:textId="77777777" w:rsidTr="005A4B0D">
        <w:trPr>
          <w:cantSplit/>
        </w:trPr>
        <w:tc>
          <w:tcPr>
            <w:tcW w:w="2449" w:type="pct"/>
            <w:tcBorders>
              <w:top w:val="nil"/>
              <w:left w:val="nil"/>
              <w:right w:val="nil"/>
            </w:tcBorders>
            <w:vAlign w:val="bottom"/>
          </w:tcPr>
          <w:p w14:paraId="087CA0D3" w14:textId="77777777" w:rsidR="004A10AE" w:rsidRPr="0025669D" w:rsidRDefault="004A10AE" w:rsidP="007947DB">
            <w:pPr>
              <w:spacing w:after="0" w:line="240" w:lineRule="auto"/>
              <w:ind w:firstLineChars="100" w:firstLine="220"/>
              <w:jc w:val="left"/>
              <w:rPr>
                <w:rFonts w:ascii="Times New Roman" w:eastAsia="Malgun Gothic" w:hAnsi="Times New Roman" w:cs="Times New Roman"/>
                <w:sz w:val="22"/>
                <w:lang w:val="en-GB"/>
              </w:rPr>
            </w:pPr>
            <w:r w:rsidRPr="0025669D">
              <w:rPr>
                <w:rFonts w:ascii="Times New Roman" w:eastAsia="Malgun Gothic" w:hAnsi="Times New Roman" w:cs="Times New Roman"/>
                <w:sz w:val="22"/>
                <w:lang w:val="en-GB"/>
              </w:rPr>
              <w:t>PGA of cleared (0) or minimal (1)</w:t>
            </w:r>
          </w:p>
        </w:tc>
        <w:tc>
          <w:tcPr>
            <w:tcW w:w="1020" w:type="pct"/>
            <w:tcBorders>
              <w:top w:val="nil"/>
              <w:left w:val="nil"/>
              <w:right w:val="nil"/>
            </w:tcBorders>
            <w:vAlign w:val="bottom"/>
          </w:tcPr>
          <w:p w14:paraId="303285D6" w14:textId="77777777" w:rsidR="004A10AE" w:rsidRPr="0025669D" w:rsidRDefault="004A10AE" w:rsidP="007947DB">
            <w:pPr>
              <w:spacing w:after="0" w:line="240" w:lineRule="auto"/>
              <w:jc w:val="left"/>
              <w:rPr>
                <w:rFonts w:ascii="Times New Roman" w:eastAsia="Malgun Gothic" w:hAnsi="Times New Roman" w:cs="Times New Roman"/>
                <w:sz w:val="22"/>
                <w:lang w:val="en-GB"/>
              </w:rPr>
            </w:pPr>
            <w:r w:rsidRPr="0025669D">
              <w:rPr>
                <w:rFonts w:ascii="Times New Roman" w:eastAsia="Malgun Gothic" w:hAnsi="Times New Roman" w:cs="Times New Roman"/>
                <w:sz w:val="22"/>
                <w:lang w:val="en-GB"/>
              </w:rPr>
              <w:t>46 (67.6%)</w:t>
            </w:r>
          </w:p>
        </w:tc>
        <w:tc>
          <w:tcPr>
            <w:tcW w:w="918" w:type="pct"/>
            <w:tcBorders>
              <w:top w:val="nil"/>
              <w:left w:val="nil"/>
              <w:right w:val="nil"/>
            </w:tcBorders>
            <w:vAlign w:val="bottom"/>
          </w:tcPr>
          <w:p w14:paraId="1D452BA6" w14:textId="77777777" w:rsidR="004A10AE" w:rsidRPr="0025669D" w:rsidRDefault="004A10AE" w:rsidP="007947DB">
            <w:pPr>
              <w:spacing w:after="0" w:line="240" w:lineRule="auto"/>
              <w:jc w:val="left"/>
              <w:rPr>
                <w:rFonts w:ascii="Times New Roman" w:eastAsia="Malgun Gothic" w:hAnsi="Times New Roman" w:cs="Times New Roman"/>
                <w:sz w:val="22"/>
                <w:lang w:val="en-GB"/>
              </w:rPr>
            </w:pPr>
            <w:r w:rsidRPr="0025669D">
              <w:rPr>
                <w:rFonts w:ascii="Times New Roman" w:eastAsia="Malgun Gothic" w:hAnsi="Times New Roman" w:cs="Times New Roman"/>
                <w:sz w:val="22"/>
                <w:lang w:val="en-GB"/>
              </w:rPr>
              <w:t>149 (53.0%)</w:t>
            </w:r>
          </w:p>
        </w:tc>
        <w:tc>
          <w:tcPr>
            <w:tcW w:w="612" w:type="pct"/>
            <w:tcBorders>
              <w:top w:val="nil"/>
              <w:left w:val="nil"/>
              <w:right w:val="nil"/>
            </w:tcBorders>
            <w:vAlign w:val="bottom"/>
          </w:tcPr>
          <w:p w14:paraId="01A84F08" w14:textId="77777777" w:rsidR="004A10AE" w:rsidRPr="0025669D" w:rsidRDefault="004A10AE" w:rsidP="007947DB">
            <w:pPr>
              <w:spacing w:after="0" w:line="240" w:lineRule="auto"/>
              <w:jc w:val="left"/>
              <w:rPr>
                <w:rFonts w:ascii="Times New Roman" w:eastAsia="Malgun Gothic" w:hAnsi="Times New Roman" w:cs="Times New Roman"/>
                <w:sz w:val="22"/>
                <w:lang w:val="en-GB"/>
              </w:rPr>
            </w:pPr>
          </w:p>
        </w:tc>
      </w:tr>
      <w:tr w:rsidR="004A10AE" w:rsidRPr="0025669D" w14:paraId="3DF4CB48" w14:textId="77777777" w:rsidTr="005A4B0D">
        <w:trPr>
          <w:cantSplit/>
        </w:trPr>
        <w:tc>
          <w:tcPr>
            <w:tcW w:w="2449" w:type="pct"/>
            <w:tcBorders>
              <w:top w:val="nil"/>
              <w:left w:val="nil"/>
              <w:bottom w:val="single" w:sz="4" w:space="0" w:color="auto"/>
              <w:right w:val="nil"/>
            </w:tcBorders>
            <w:vAlign w:val="bottom"/>
          </w:tcPr>
          <w:p w14:paraId="014C04B1" w14:textId="77777777" w:rsidR="004A10AE" w:rsidRPr="0025669D" w:rsidRDefault="004A10AE" w:rsidP="007947DB">
            <w:pPr>
              <w:spacing w:after="0" w:line="240" w:lineRule="auto"/>
              <w:ind w:firstLineChars="100" w:firstLine="220"/>
              <w:jc w:val="left"/>
              <w:rPr>
                <w:rFonts w:ascii="Times New Roman" w:eastAsia="Malgun Gothic" w:hAnsi="Times New Roman" w:cs="Times New Roman"/>
                <w:sz w:val="22"/>
                <w:lang w:val="en-GB"/>
              </w:rPr>
            </w:pPr>
            <w:r w:rsidRPr="0025669D">
              <w:rPr>
                <w:rFonts w:ascii="Times New Roman" w:eastAsia="Malgun Gothic" w:hAnsi="Times New Roman" w:cs="Times New Roman"/>
                <w:sz w:val="22"/>
                <w:lang w:val="en-GB"/>
              </w:rPr>
              <w:t>PGA of cleared (0), minimal (1), or mild (2)</w:t>
            </w:r>
          </w:p>
        </w:tc>
        <w:tc>
          <w:tcPr>
            <w:tcW w:w="1020" w:type="pct"/>
            <w:tcBorders>
              <w:top w:val="nil"/>
              <w:left w:val="nil"/>
              <w:bottom w:val="single" w:sz="4" w:space="0" w:color="auto"/>
              <w:right w:val="nil"/>
            </w:tcBorders>
            <w:vAlign w:val="bottom"/>
          </w:tcPr>
          <w:p w14:paraId="5C5CA173" w14:textId="77777777" w:rsidR="004A10AE" w:rsidRPr="0025669D" w:rsidRDefault="004A10AE" w:rsidP="007947DB">
            <w:pPr>
              <w:spacing w:after="0" w:line="240" w:lineRule="auto"/>
              <w:jc w:val="left"/>
              <w:rPr>
                <w:rFonts w:ascii="Times New Roman" w:eastAsia="Malgun Gothic" w:hAnsi="Times New Roman" w:cs="Times New Roman"/>
                <w:sz w:val="22"/>
                <w:lang w:val="en-GB"/>
              </w:rPr>
            </w:pPr>
            <w:r w:rsidRPr="0025669D">
              <w:rPr>
                <w:rFonts w:ascii="Times New Roman" w:eastAsia="Malgun Gothic" w:hAnsi="Times New Roman" w:cs="Times New Roman"/>
                <w:sz w:val="22"/>
                <w:lang w:val="en-GB"/>
              </w:rPr>
              <w:t>59 (86.8%)</w:t>
            </w:r>
          </w:p>
        </w:tc>
        <w:tc>
          <w:tcPr>
            <w:tcW w:w="918" w:type="pct"/>
            <w:tcBorders>
              <w:top w:val="nil"/>
              <w:left w:val="nil"/>
              <w:bottom w:val="single" w:sz="4" w:space="0" w:color="auto"/>
              <w:right w:val="nil"/>
            </w:tcBorders>
            <w:vAlign w:val="bottom"/>
          </w:tcPr>
          <w:p w14:paraId="68AAA23D" w14:textId="77777777" w:rsidR="004A10AE" w:rsidRPr="0025669D" w:rsidRDefault="004A10AE" w:rsidP="007947DB">
            <w:pPr>
              <w:spacing w:after="0" w:line="240" w:lineRule="auto"/>
              <w:jc w:val="left"/>
              <w:rPr>
                <w:rFonts w:ascii="Times New Roman" w:eastAsia="Malgun Gothic" w:hAnsi="Times New Roman" w:cs="Times New Roman"/>
                <w:sz w:val="22"/>
                <w:lang w:val="en-GB"/>
              </w:rPr>
            </w:pPr>
            <w:r w:rsidRPr="0025669D">
              <w:rPr>
                <w:rFonts w:ascii="Times New Roman" w:eastAsia="Malgun Gothic" w:hAnsi="Times New Roman" w:cs="Times New Roman"/>
                <w:sz w:val="22"/>
                <w:lang w:val="en-GB"/>
              </w:rPr>
              <w:t>189 (67.3%)</w:t>
            </w:r>
          </w:p>
        </w:tc>
        <w:tc>
          <w:tcPr>
            <w:tcW w:w="612" w:type="pct"/>
            <w:tcBorders>
              <w:top w:val="nil"/>
              <w:left w:val="nil"/>
              <w:bottom w:val="single" w:sz="4" w:space="0" w:color="auto"/>
              <w:right w:val="nil"/>
            </w:tcBorders>
            <w:vAlign w:val="bottom"/>
          </w:tcPr>
          <w:p w14:paraId="751EE99B" w14:textId="77777777" w:rsidR="004A10AE" w:rsidRPr="0025669D" w:rsidRDefault="004A10AE" w:rsidP="007947DB">
            <w:pPr>
              <w:spacing w:after="0" w:line="240" w:lineRule="auto"/>
              <w:jc w:val="left"/>
              <w:rPr>
                <w:rFonts w:ascii="Times New Roman" w:eastAsia="Malgun Gothic" w:hAnsi="Times New Roman" w:cs="Times New Roman"/>
                <w:sz w:val="22"/>
                <w:lang w:val="en-GB"/>
              </w:rPr>
            </w:pPr>
          </w:p>
        </w:tc>
      </w:tr>
    </w:tbl>
    <w:p w14:paraId="73275940" w14:textId="77777777" w:rsidR="004A10AE" w:rsidRPr="0025669D" w:rsidRDefault="004A10AE" w:rsidP="007947DB">
      <w:pPr>
        <w:spacing w:line="240" w:lineRule="auto"/>
        <w:jc w:val="left"/>
        <w:rPr>
          <w:rFonts w:ascii="Times New Roman" w:eastAsia="Malgun Gothic" w:hAnsi="Times New Roman" w:cs="Times New Roman"/>
          <w:sz w:val="22"/>
        </w:rPr>
      </w:pPr>
    </w:p>
    <w:p w14:paraId="4797F31F" w14:textId="77777777" w:rsidR="004A10AE" w:rsidRPr="0025669D" w:rsidRDefault="004A10AE" w:rsidP="007947DB">
      <w:pPr>
        <w:spacing w:line="240" w:lineRule="auto"/>
        <w:jc w:val="left"/>
        <w:rPr>
          <w:rFonts w:ascii="Times New Roman" w:eastAsia="Malgun Gothic" w:hAnsi="Times New Roman" w:cs="Times New Roman"/>
          <w:sz w:val="24"/>
          <w:szCs w:val="24"/>
        </w:rPr>
      </w:pPr>
      <w:r w:rsidRPr="0025669D">
        <w:rPr>
          <w:rFonts w:ascii="Times New Roman" w:eastAsia="Malgun Gothic" w:hAnsi="Times New Roman" w:cs="Times New Roman"/>
          <w:sz w:val="24"/>
          <w:szCs w:val="24"/>
        </w:rPr>
        <w:t xml:space="preserve">The median baseline value for the DLQI was 12.5. The mean baseline values were 45.6 for the SF-36 physical component and 45.7 for the mental component. Quality of life improved significantly compared to placebo at weeks 10 and 24 when evaluated by both DLQI and SF-36. </w:t>
      </w:r>
    </w:p>
    <w:p w14:paraId="2B56C44E" w14:textId="77777777" w:rsidR="004A10AE" w:rsidRPr="0025669D" w:rsidRDefault="004A10AE" w:rsidP="007947DB">
      <w:pPr>
        <w:spacing w:line="240" w:lineRule="auto"/>
        <w:jc w:val="left"/>
        <w:rPr>
          <w:rFonts w:ascii="Times New Roman" w:eastAsia="Malgun Gothic" w:hAnsi="Times New Roman" w:cs="Times New Roman"/>
          <w:sz w:val="24"/>
          <w:szCs w:val="24"/>
        </w:rPr>
      </w:pPr>
      <w:r w:rsidRPr="0025669D">
        <w:rPr>
          <w:rFonts w:ascii="Times New Roman" w:eastAsia="Malgun Gothic" w:hAnsi="Times New Roman" w:cs="Times New Roman"/>
          <w:sz w:val="24"/>
          <w:szCs w:val="24"/>
        </w:rPr>
        <w:t xml:space="preserve">The median baseline NAPSI score for nail psoriasis was 4 and the median number of nails involved with psoriasis was 10. Patients treated with infliximab showed a clear improvement in nail psoriasis from baseline compared to placebo treated patients, as measured by NAPSI score, and by the decrease in number of nails involved. </w:t>
      </w:r>
    </w:p>
    <w:p w14:paraId="3AB5A839" w14:textId="77777777" w:rsidR="004A10AE" w:rsidRPr="0025669D" w:rsidRDefault="004A10AE" w:rsidP="007947DB">
      <w:pPr>
        <w:pStyle w:val="Heading2"/>
        <w:tabs>
          <w:tab w:val="num" w:pos="1418"/>
        </w:tabs>
        <w:spacing w:after="0"/>
        <w:ind w:left="1702" w:hangingChars="709" w:hanging="1702"/>
        <w:rPr>
          <w:rFonts w:eastAsia="Malgun Gothic" w:cs="Times New Roman"/>
          <w:szCs w:val="24"/>
          <w:lang w:eastAsia="ko-KR"/>
        </w:rPr>
      </w:pPr>
      <w:r w:rsidRPr="0025669D">
        <w:rPr>
          <w:rFonts w:eastAsia="Malgun Gothic" w:cs="Times New Roman"/>
          <w:szCs w:val="24"/>
          <w:lang w:eastAsia="ko-KR"/>
        </w:rPr>
        <w:t xml:space="preserve">• </w:t>
      </w:r>
      <w:r w:rsidRPr="0035249D">
        <w:rPr>
          <w:rFonts w:eastAsia="Malgun Gothic" w:cs="Times New Roman"/>
          <w:szCs w:val="24"/>
          <w:lang w:eastAsia="ko-KR"/>
        </w:rPr>
        <w:t xml:space="preserve">Moderate to severe active Crohn’s Disease in adult patients (≥18 years) </w:t>
      </w:r>
    </w:p>
    <w:p w14:paraId="66035BE9" w14:textId="77777777" w:rsidR="004A10AE" w:rsidRPr="0025669D" w:rsidRDefault="004A10AE" w:rsidP="007947DB">
      <w:pPr>
        <w:spacing w:after="0" w:line="240" w:lineRule="auto"/>
        <w:jc w:val="left"/>
        <w:rPr>
          <w:rFonts w:ascii="Times New Roman" w:eastAsia="Malgun Gothic" w:hAnsi="Times New Roman" w:cs="Times New Roman"/>
          <w:sz w:val="24"/>
          <w:szCs w:val="24"/>
        </w:rPr>
      </w:pPr>
      <w:r w:rsidRPr="0025669D">
        <w:rPr>
          <w:rFonts w:ascii="Times New Roman" w:eastAsia="Malgun Gothic" w:hAnsi="Times New Roman" w:cs="Times New Roman"/>
          <w:sz w:val="24"/>
          <w:szCs w:val="24"/>
        </w:rPr>
        <w:t xml:space="preserve">The safety and efficacy of single and multiple doses of infliximab were assessed in two </w:t>
      </w:r>
      <w:proofErr w:type="spellStart"/>
      <w:r w:rsidRPr="0025669D">
        <w:rPr>
          <w:rFonts w:ascii="Times New Roman" w:eastAsia="Malgun Gothic" w:hAnsi="Times New Roman" w:cs="Times New Roman"/>
          <w:sz w:val="24"/>
          <w:szCs w:val="24"/>
        </w:rPr>
        <w:t>randomised</w:t>
      </w:r>
      <w:proofErr w:type="spellEnd"/>
      <w:r w:rsidRPr="0025669D">
        <w:rPr>
          <w:rFonts w:ascii="Times New Roman" w:eastAsia="Malgun Gothic" w:hAnsi="Times New Roman" w:cs="Times New Roman"/>
          <w:sz w:val="24"/>
          <w:szCs w:val="24"/>
        </w:rPr>
        <w:t xml:space="preserve">, double-blind, placebo-controlled studies in patients with moderate to severe active Crohn’s disease, with Crohn’s Disease Activity Index (CDAI) of 220 to 400 with an inadequate response to prior conventional therapies. Concurrent use of stable dose regimens of corticosteroids, </w:t>
      </w:r>
      <w:r w:rsidRPr="00507B14">
        <w:rPr>
          <w:rFonts w:ascii="Times New Roman" w:eastAsia="Malgun Gothic" w:hAnsi="Times New Roman" w:cs="Times New Roman"/>
          <w:sz w:val="24"/>
          <w:szCs w:val="24"/>
        </w:rPr>
        <w:t>5-aminosalicylic acid (5-ASA), 6-mercaptopurine (6-MP) and/or azathioprine (AZA) was permitted and 92% of patients continued to receive at least one of these medications.</w:t>
      </w:r>
    </w:p>
    <w:p w14:paraId="29E9E53E" w14:textId="39C17DBB" w:rsidR="004A10AE" w:rsidRDefault="004A10AE" w:rsidP="007947DB">
      <w:pPr>
        <w:spacing w:line="240" w:lineRule="auto"/>
        <w:jc w:val="left"/>
        <w:rPr>
          <w:rFonts w:ascii="Times New Roman" w:eastAsia="Malgun Gothic" w:hAnsi="Times New Roman" w:cs="Times New Roman"/>
          <w:sz w:val="24"/>
          <w:szCs w:val="24"/>
        </w:rPr>
      </w:pPr>
      <w:r w:rsidRPr="004A1760">
        <w:rPr>
          <w:rFonts w:ascii="Times New Roman" w:eastAsia="Malgun Gothic" w:hAnsi="Times New Roman" w:cs="Times New Roman"/>
          <w:sz w:val="24"/>
          <w:szCs w:val="24"/>
        </w:rPr>
        <w:t xml:space="preserve">In the single dose trial of 108 patients, 22 of 27 (81%) of the infliximab-treated patients receiving a 5 mg/kg dose achieved a clinical response (decrease in CDAI by ≥70 points) vs. 4 of 25 (16%) of the placebo-treated patients (p&lt;0.001). Also at week 4, 13 of 27 (48%) of </w:t>
      </w:r>
      <w:r w:rsidRPr="004A1760">
        <w:rPr>
          <w:rFonts w:ascii="Times New Roman" w:eastAsia="Malgun Gothic" w:hAnsi="Times New Roman" w:cs="Times New Roman" w:hint="eastAsia"/>
          <w:sz w:val="24"/>
          <w:szCs w:val="24"/>
        </w:rPr>
        <w:lastRenderedPageBreak/>
        <w:t>infliximab</w:t>
      </w:r>
      <w:r w:rsidRPr="004A1760">
        <w:rPr>
          <w:rFonts w:ascii="Times New Roman" w:eastAsia="Malgun Gothic" w:hAnsi="Times New Roman" w:cs="Times New Roman"/>
          <w:sz w:val="24"/>
          <w:szCs w:val="24"/>
        </w:rPr>
        <w:t xml:space="preserve">-treated patients achieved a clinical remission (CDAI &lt;150) vs. 1 of 25 (4%) of placebo-treated patients. Results are shown in </w:t>
      </w:r>
      <w:r w:rsidRPr="00EB0BCF">
        <w:rPr>
          <w:rFonts w:ascii="Times New Roman" w:eastAsia="Malgun Gothic" w:hAnsi="Times New Roman" w:cs="Times New Roman"/>
          <w:sz w:val="24"/>
          <w:szCs w:val="24"/>
        </w:rPr>
        <w:fldChar w:fldCharType="begin"/>
      </w:r>
      <w:r w:rsidRPr="00EB0BCF">
        <w:rPr>
          <w:rFonts w:ascii="Times New Roman" w:eastAsia="Malgun Gothic" w:hAnsi="Times New Roman" w:cs="Times New Roman"/>
          <w:sz w:val="24"/>
          <w:szCs w:val="24"/>
        </w:rPr>
        <w:instrText xml:space="preserve"> REF _Ref423968627 \h </w:instrText>
      </w:r>
      <w:r>
        <w:rPr>
          <w:rFonts w:ascii="Times New Roman" w:eastAsia="Malgun Gothic" w:hAnsi="Times New Roman" w:cs="Times New Roman"/>
          <w:sz w:val="24"/>
          <w:szCs w:val="24"/>
        </w:rPr>
        <w:instrText xml:space="preserve"> \* MERGEFORMAT </w:instrText>
      </w:r>
      <w:r w:rsidRPr="00EB0BCF">
        <w:rPr>
          <w:rFonts w:ascii="Times New Roman" w:eastAsia="Malgun Gothic" w:hAnsi="Times New Roman" w:cs="Times New Roman"/>
          <w:sz w:val="24"/>
          <w:szCs w:val="24"/>
        </w:rPr>
      </w:r>
      <w:r w:rsidRPr="00EB0BCF">
        <w:rPr>
          <w:rFonts w:ascii="Times New Roman" w:eastAsia="Malgun Gothic" w:hAnsi="Times New Roman" w:cs="Times New Roman"/>
          <w:sz w:val="24"/>
          <w:szCs w:val="24"/>
        </w:rPr>
        <w:fldChar w:fldCharType="separate"/>
      </w:r>
      <w:r w:rsidR="005A6BF4" w:rsidRPr="005A6BF4">
        <w:rPr>
          <w:rFonts w:ascii="Times New Roman" w:hAnsi="Times New Roman" w:cs="Times New Roman"/>
          <w:sz w:val="24"/>
          <w:szCs w:val="24"/>
        </w:rPr>
        <w:t xml:space="preserve">Figure </w:t>
      </w:r>
      <w:r w:rsidR="005A6BF4" w:rsidRPr="005A6BF4">
        <w:rPr>
          <w:rFonts w:ascii="Times New Roman" w:hAnsi="Times New Roman" w:cs="Times New Roman"/>
          <w:noProof/>
          <w:sz w:val="24"/>
          <w:szCs w:val="24"/>
        </w:rPr>
        <w:t>1</w:t>
      </w:r>
      <w:r w:rsidRPr="00EB0BCF">
        <w:rPr>
          <w:rFonts w:ascii="Times New Roman" w:eastAsia="Malgun Gothic" w:hAnsi="Times New Roman" w:cs="Times New Roman"/>
          <w:sz w:val="24"/>
          <w:szCs w:val="24"/>
        </w:rPr>
        <w:fldChar w:fldCharType="end"/>
      </w:r>
      <w:r w:rsidRPr="00EB0BCF">
        <w:rPr>
          <w:rFonts w:ascii="Times New Roman" w:eastAsia="Malgun Gothic" w:hAnsi="Times New Roman" w:cs="Times New Roman"/>
          <w:sz w:val="24"/>
          <w:szCs w:val="24"/>
        </w:rPr>
        <w:t xml:space="preserve">. </w:t>
      </w:r>
    </w:p>
    <w:p w14:paraId="0D0C4F12" w14:textId="1115C703" w:rsidR="004A10AE" w:rsidRPr="00EB0BCF" w:rsidRDefault="004A10AE" w:rsidP="007947DB">
      <w:pPr>
        <w:pStyle w:val="Caption"/>
        <w:keepNext/>
        <w:spacing w:line="240" w:lineRule="auto"/>
        <w:ind w:left="880" w:hangingChars="400" w:hanging="880"/>
        <w:jc w:val="left"/>
        <w:rPr>
          <w:rFonts w:ascii="Times New Roman" w:hAnsi="Times New Roman" w:cs="Times New Roman"/>
          <w:sz w:val="22"/>
          <w:szCs w:val="22"/>
        </w:rPr>
      </w:pPr>
      <w:bookmarkStart w:id="8" w:name="_Ref423968627"/>
      <w:bookmarkStart w:id="9" w:name="_Ref423968621"/>
      <w:proofErr w:type="gramStart"/>
      <w:r w:rsidRPr="00EB0BCF">
        <w:rPr>
          <w:rFonts w:ascii="Times New Roman" w:hAnsi="Times New Roman" w:cs="Times New Roman"/>
          <w:sz w:val="22"/>
          <w:szCs w:val="22"/>
        </w:rPr>
        <w:t xml:space="preserve">Figure </w:t>
      </w:r>
      <w:r w:rsidRPr="00EB0BCF">
        <w:rPr>
          <w:rFonts w:ascii="Times New Roman" w:hAnsi="Times New Roman" w:cs="Times New Roman"/>
          <w:sz w:val="22"/>
          <w:szCs w:val="22"/>
        </w:rPr>
        <w:fldChar w:fldCharType="begin"/>
      </w:r>
      <w:r w:rsidRPr="00EB0BCF">
        <w:rPr>
          <w:rFonts w:ascii="Times New Roman" w:hAnsi="Times New Roman" w:cs="Times New Roman"/>
          <w:sz w:val="22"/>
          <w:szCs w:val="22"/>
        </w:rPr>
        <w:instrText xml:space="preserve"> SEQ Figure \* ARABIC </w:instrText>
      </w:r>
      <w:r w:rsidRPr="00EB0BCF">
        <w:rPr>
          <w:rFonts w:ascii="Times New Roman" w:hAnsi="Times New Roman" w:cs="Times New Roman"/>
          <w:sz w:val="22"/>
          <w:szCs w:val="22"/>
        </w:rPr>
        <w:fldChar w:fldCharType="separate"/>
      </w:r>
      <w:r w:rsidR="005A6BF4">
        <w:rPr>
          <w:rFonts w:ascii="Times New Roman" w:hAnsi="Times New Roman" w:cs="Times New Roman"/>
          <w:noProof/>
          <w:sz w:val="22"/>
          <w:szCs w:val="22"/>
        </w:rPr>
        <w:t>1</w:t>
      </w:r>
      <w:r w:rsidRPr="00EB0BCF">
        <w:rPr>
          <w:rFonts w:ascii="Times New Roman" w:hAnsi="Times New Roman" w:cs="Times New Roman"/>
          <w:sz w:val="22"/>
          <w:szCs w:val="22"/>
        </w:rPr>
        <w:fldChar w:fldCharType="end"/>
      </w:r>
      <w:bookmarkEnd w:id="8"/>
      <w:r w:rsidRPr="00EB0BCF">
        <w:rPr>
          <w:rFonts w:ascii="Times New Roman" w:hAnsi="Times New Roman" w:cs="Times New Roman"/>
          <w:sz w:val="22"/>
          <w:szCs w:val="22"/>
        </w:rPr>
        <w:t>.</w:t>
      </w:r>
      <w:proofErr w:type="gramEnd"/>
      <w:r w:rsidRPr="00EB0BCF">
        <w:rPr>
          <w:rFonts w:ascii="Times New Roman" w:hAnsi="Times New Roman" w:cs="Times New Roman"/>
          <w:sz w:val="22"/>
          <w:szCs w:val="22"/>
        </w:rPr>
        <w:t xml:space="preserve"> </w:t>
      </w:r>
      <w:r w:rsidRPr="00EB0BCF">
        <w:rPr>
          <w:rFonts w:ascii="Times New Roman" w:eastAsia="Malgun Gothic" w:hAnsi="Times New Roman" w:cs="Times New Roman"/>
          <w:sz w:val="22"/>
          <w:szCs w:val="22"/>
          <w:lang w:val="en-GB"/>
        </w:rPr>
        <w:t>Response (</w:t>
      </w:r>
      <w:r w:rsidRPr="00EB0BCF">
        <w:rPr>
          <w:rFonts w:ascii="Times New Roman" w:eastAsia="Malgun Gothic" w:hAnsi="Times New Roman" w:cs="Times New Roman"/>
          <w:sz w:val="22"/>
          <w:szCs w:val="22"/>
          <w:lang w:val="en-GB"/>
        </w:rPr>
        <w:sym w:font="Symbol" w:char="F0B3"/>
      </w:r>
      <w:r w:rsidRPr="00EB0BCF">
        <w:rPr>
          <w:rFonts w:ascii="Times New Roman" w:eastAsia="Malgun Gothic" w:hAnsi="Times New Roman" w:cs="Times New Roman"/>
          <w:sz w:val="22"/>
          <w:szCs w:val="22"/>
          <w:lang w:val="en-GB"/>
        </w:rPr>
        <w:t xml:space="preserve">70 point decrease in CDAI) to a Single IV </w:t>
      </w:r>
      <w:r w:rsidRPr="00EB0BCF">
        <w:rPr>
          <w:rFonts w:ascii="Times New Roman" w:eastAsia="Malgun Gothic" w:hAnsi="Times New Roman" w:cs="Times New Roman"/>
          <w:sz w:val="22"/>
          <w:szCs w:val="22"/>
        </w:rPr>
        <w:t>infliximab</w:t>
      </w:r>
      <w:r w:rsidRPr="00EB0BCF">
        <w:rPr>
          <w:rFonts w:ascii="Times New Roman" w:eastAsia="Malgun Gothic" w:hAnsi="Times New Roman" w:cs="Times New Roman"/>
          <w:sz w:val="22"/>
          <w:szCs w:val="22"/>
          <w:lang w:val="en-GB"/>
        </w:rPr>
        <w:t xml:space="preserve"> or Placebo Dose</w:t>
      </w:r>
      <w:bookmarkEnd w:id="9"/>
    </w:p>
    <w:p w14:paraId="2C422D52" w14:textId="77777777" w:rsidR="004A10AE" w:rsidRPr="0025669D" w:rsidRDefault="004A10AE" w:rsidP="007947DB">
      <w:pPr>
        <w:spacing w:line="240" w:lineRule="auto"/>
        <w:jc w:val="center"/>
        <w:rPr>
          <w:rFonts w:ascii="Times New Roman" w:eastAsia="Malgun Gothic" w:hAnsi="Times New Roman" w:cs="Times New Roman"/>
          <w:sz w:val="24"/>
          <w:szCs w:val="24"/>
        </w:rPr>
      </w:pPr>
      <w:r w:rsidRPr="0025669D">
        <w:rPr>
          <w:rFonts w:ascii="Times New Roman" w:eastAsia="Malgun Gothic" w:hAnsi="Times New Roman" w:cs="Times New Roman"/>
          <w:noProof/>
          <w:sz w:val="24"/>
          <w:szCs w:val="24"/>
          <w:lang w:val="en-AU" w:eastAsia="en-AU"/>
        </w:rPr>
        <w:drawing>
          <wp:inline distT="0" distB="0" distL="0" distR="0" wp14:anchorId="47D68FC0" wp14:editId="0D558D0C">
            <wp:extent cx="2959100" cy="2260600"/>
            <wp:effectExtent l="0" t="0" r="0" b="6350"/>
            <wp:docPr id="2" name="그림 2" descr="Fig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igure 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959100" cy="2260600"/>
                    </a:xfrm>
                    <a:prstGeom prst="rect">
                      <a:avLst/>
                    </a:prstGeom>
                    <a:noFill/>
                    <a:ln>
                      <a:noFill/>
                    </a:ln>
                  </pic:spPr>
                </pic:pic>
              </a:graphicData>
            </a:graphic>
          </wp:inline>
        </w:drawing>
      </w:r>
    </w:p>
    <w:p w14:paraId="01D17D15" w14:textId="77777777" w:rsidR="004A10AE" w:rsidRPr="0025669D" w:rsidRDefault="004A10AE" w:rsidP="007947DB">
      <w:pPr>
        <w:spacing w:line="240" w:lineRule="auto"/>
        <w:jc w:val="left"/>
        <w:rPr>
          <w:rFonts w:ascii="Times New Roman" w:eastAsia="Malgun Gothic" w:hAnsi="Times New Roman" w:cs="Times New Roman"/>
          <w:sz w:val="24"/>
          <w:szCs w:val="24"/>
        </w:rPr>
      </w:pPr>
      <w:r w:rsidRPr="0025669D">
        <w:rPr>
          <w:rFonts w:ascii="Times New Roman" w:eastAsia="Malgun Gothic" w:hAnsi="Times New Roman" w:cs="Times New Roman"/>
          <w:sz w:val="24"/>
          <w:szCs w:val="24"/>
        </w:rPr>
        <w:t xml:space="preserve">In the </w:t>
      </w:r>
      <w:proofErr w:type="spellStart"/>
      <w:r w:rsidRPr="0025669D">
        <w:rPr>
          <w:rFonts w:ascii="Times New Roman" w:eastAsia="Malgun Gothic" w:hAnsi="Times New Roman" w:cs="Times New Roman"/>
          <w:sz w:val="24"/>
          <w:szCs w:val="24"/>
        </w:rPr>
        <w:t>multidose</w:t>
      </w:r>
      <w:proofErr w:type="spellEnd"/>
      <w:r w:rsidRPr="0025669D">
        <w:rPr>
          <w:rFonts w:ascii="Times New Roman" w:eastAsia="Malgun Gothic" w:hAnsi="Times New Roman" w:cs="Times New Roman"/>
          <w:sz w:val="24"/>
          <w:szCs w:val="24"/>
        </w:rPr>
        <w:t xml:space="preserve"> trial, 573 patients, with a score of at least CDAI 220, received 5 mg/kg at week 0. After assessment of response, patients were randomly assigned to one of three treatment groups; placebo at weeks 2 and 6 and then every 8 weeks until week 46; 5 mg/kg at weeks 2 and 6, and then every 8 weeks; and the 10 mg/kg maintenance group, which received 5 mg/kg at weeks 2 and 6, and then 10 mg/kg every 8 weeks. The </w:t>
      </w:r>
      <w:proofErr w:type="spellStart"/>
      <w:r w:rsidRPr="0025669D">
        <w:rPr>
          <w:rFonts w:ascii="Times New Roman" w:eastAsia="Malgun Gothic" w:hAnsi="Times New Roman" w:cs="Times New Roman"/>
          <w:sz w:val="24"/>
          <w:szCs w:val="24"/>
        </w:rPr>
        <w:t>prespecified</w:t>
      </w:r>
      <w:proofErr w:type="spellEnd"/>
      <w:r w:rsidRPr="0025669D">
        <w:rPr>
          <w:rFonts w:ascii="Times New Roman" w:eastAsia="Malgun Gothic" w:hAnsi="Times New Roman" w:cs="Times New Roman"/>
          <w:sz w:val="24"/>
          <w:szCs w:val="24"/>
        </w:rPr>
        <w:t xml:space="preserve"> co-primary endpoints were the proportion of patients who responded at week 2 and were in remission (CDAI &lt;150) at week 30 and the time to loss of response in patients who responded. Analyses of the endpoints were on the intent to treat patient population. </w:t>
      </w:r>
    </w:p>
    <w:p w14:paraId="5CB83D62" w14:textId="66FC6060" w:rsidR="004A10AE" w:rsidRPr="0025669D" w:rsidRDefault="004A10AE" w:rsidP="007947DB">
      <w:pPr>
        <w:spacing w:line="240" w:lineRule="auto"/>
        <w:jc w:val="left"/>
        <w:rPr>
          <w:rFonts w:ascii="Times New Roman" w:eastAsia="Malgun Gothic" w:hAnsi="Times New Roman" w:cs="Times New Roman"/>
          <w:sz w:val="24"/>
          <w:szCs w:val="24"/>
        </w:rPr>
      </w:pPr>
      <w:r w:rsidRPr="0025669D">
        <w:rPr>
          <w:rFonts w:ascii="Times New Roman" w:eastAsia="Malgun Gothic" w:hAnsi="Times New Roman" w:cs="Times New Roman"/>
          <w:sz w:val="24"/>
          <w:szCs w:val="24"/>
        </w:rPr>
        <w:t xml:space="preserve">At week 2, 58% (335/573) of patients had responded to a single infusion of infliximab and were in clinical response (decrease in CDAI ≥25% and ≥70 points). At week 30, 23 of 110 (21%) of placebo patients were in remission, compared with 44 of 113 (39%) of 5 mg/kg maintenance group (p=0.003) and 50 of 112 (45%) (p=0.0002) of 10 mg/kg maintenance group. Patients in the infliximab maintenance groups had significantly longer time to loss of response than patients in the placebo maintenance group (p&lt;0.001) </w:t>
      </w:r>
      <w:r>
        <w:rPr>
          <w:rFonts w:ascii="Times New Roman" w:eastAsia="Malgun Gothic" w:hAnsi="Times New Roman" w:cs="Times New Roman" w:hint="eastAsia"/>
          <w:sz w:val="24"/>
          <w:szCs w:val="24"/>
        </w:rPr>
        <w:t>(</w:t>
      </w:r>
      <w:r w:rsidRPr="00FA2BA8">
        <w:rPr>
          <w:rFonts w:ascii="Times New Roman" w:eastAsia="Malgun Gothic" w:hAnsi="Times New Roman" w:cs="Times New Roman"/>
          <w:sz w:val="24"/>
          <w:szCs w:val="24"/>
        </w:rPr>
        <w:fldChar w:fldCharType="begin"/>
      </w:r>
      <w:r w:rsidRPr="00FA2BA8">
        <w:rPr>
          <w:rFonts w:ascii="Times New Roman" w:eastAsia="Malgun Gothic" w:hAnsi="Times New Roman" w:cs="Times New Roman"/>
          <w:sz w:val="24"/>
          <w:szCs w:val="24"/>
        </w:rPr>
        <w:instrText xml:space="preserve"> REF _Ref423968720 \h </w:instrText>
      </w:r>
      <w:r w:rsidR="007947DB" w:rsidRPr="00FA2BA8">
        <w:rPr>
          <w:rFonts w:ascii="Times New Roman" w:eastAsia="Malgun Gothic" w:hAnsi="Times New Roman" w:cs="Times New Roman"/>
          <w:sz w:val="24"/>
          <w:szCs w:val="24"/>
        </w:rPr>
        <w:instrText xml:space="preserve"> \* MERGEFORMAT </w:instrText>
      </w:r>
      <w:r w:rsidRPr="00FA2BA8">
        <w:rPr>
          <w:rFonts w:ascii="Times New Roman" w:eastAsia="Malgun Gothic" w:hAnsi="Times New Roman" w:cs="Times New Roman"/>
          <w:sz w:val="24"/>
          <w:szCs w:val="24"/>
        </w:rPr>
      </w:r>
      <w:r w:rsidRPr="00FA2BA8">
        <w:rPr>
          <w:rFonts w:ascii="Times New Roman" w:eastAsia="Malgun Gothic" w:hAnsi="Times New Roman" w:cs="Times New Roman"/>
          <w:sz w:val="24"/>
          <w:szCs w:val="24"/>
        </w:rPr>
        <w:fldChar w:fldCharType="separate"/>
      </w:r>
      <w:r w:rsidR="005A6BF4" w:rsidRPr="005A6BF4">
        <w:rPr>
          <w:rFonts w:ascii="Times New Roman" w:hAnsi="Times New Roman" w:cs="Times New Roman"/>
          <w:sz w:val="24"/>
          <w:szCs w:val="24"/>
        </w:rPr>
        <w:t xml:space="preserve">Figure </w:t>
      </w:r>
      <w:r w:rsidR="005A6BF4" w:rsidRPr="005A6BF4">
        <w:rPr>
          <w:rFonts w:ascii="Times New Roman" w:hAnsi="Times New Roman" w:cs="Times New Roman"/>
          <w:noProof/>
          <w:sz w:val="24"/>
          <w:szCs w:val="24"/>
        </w:rPr>
        <w:t>2</w:t>
      </w:r>
      <w:r w:rsidRPr="00FA2BA8">
        <w:rPr>
          <w:rFonts w:ascii="Times New Roman" w:eastAsia="Malgun Gothic" w:hAnsi="Times New Roman" w:cs="Times New Roman"/>
          <w:sz w:val="24"/>
          <w:szCs w:val="24"/>
        </w:rPr>
        <w:fldChar w:fldCharType="end"/>
      </w:r>
      <w:r>
        <w:rPr>
          <w:rFonts w:ascii="Times New Roman" w:eastAsia="Malgun Gothic" w:hAnsi="Times New Roman" w:cs="Times New Roman" w:hint="eastAsia"/>
          <w:sz w:val="24"/>
          <w:szCs w:val="24"/>
        </w:rPr>
        <w:t>)</w:t>
      </w:r>
      <w:r w:rsidRPr="0025669D">
        <w:rPr>
          <w:rFonts w:ascii="Times New Roman" w:eastAsia="Malgun Gothic" w:hAnsi="Times New Roman" w:cs="Times New Roman"/>
          <w:sz w:val="24"/>
          <w:szCs w:val="24"/>
        </w:rPr>
        <w:t xml:space="preserve">. Median time to loss of response was 46 weeks in the combined infliximab maintenance treatment group versus 19 weeks in the placebo maintenance group. Patients who achieved a response and subsequently lost response were eligible to receive infliximab on an episodic basis at a dose that was 5 mg/kg higher than the dose to which they were </w:t>
      </w:r>
      <w:proofErr w:type="spellStart"/>
      <w:r w:rsidRPr="0025669D">
        <w:rPr>
          <w:rFonts w:ascii="Times New Roman" w:eastAsia="Malgun Gothic" w:hAnsi="Times New Roman" w:cs="Times New Roman"/>
          <w:sz w:val="24"/>
          <w:szCs w:val="24"/>
        </w:rPr>
        <w:t>randomised</w:t>
      </w:r>
      <w:proofErr w:type="spellEnd"/>
      <w:r w:rsidRPr="0025669D">
        <w:rPr>
          <w:rFonts w:ascii="Times New Roman" w:eastAsia="Malgun Gothic" w:hAnsi="Times New Roman" w:cs="Times New Roman"/>
          <w:sz w:val="24"/>
          <w:szCs w:val="24"/>
        </w:rPr>
        <w:t>. Eighty-nine percent (50/56) of patients who lost clinical response on infliximab 5 mg/kg every-eight-week maintenance dosing, responded to a 10 mg/kg infliximab infusion.</w:t>
      </w:r>
    </w:p>
    <w:p w14:paraId="2317BFA2" w14:textId="56F1241D" w:rsidR="004A10AE" w:rsidRPr="00EB0BCF" w:rsidRDefault="004A10AE" w:rsidP="007947DB">
      <w:pPr>
        <w:pStyle w:val="Caption"/>
        <w:keepNext/>
        <w:spacing w:line="240" w:lineRule="auto"/>
        <w:ind w:left="880" w:hangingChars="400" w:hanging="880"/>
        <w:jc w:val="left"/>
        <w:rPr>
          <w:rFonts w:ascii="Times New Roman" w:hAnsi="Times New Roman" w:cs="Times New Roman"/>
          <w:sz w:val="22"/>
          <w:szCs w:val="22"/>
        </w:rPr>
      </w:pPr>
      <w:bookmarkStart w:id="10" w:name="_Ref423968720"/>
      <w:proofErr w:type="gramStart"/>
      <w:r w:rsidRPr="00EB0BCF">
        <w:rPr>
          <w:rFonts w:ascii="Times New Roman" w:hAnsi="Times New Roman" w:cs="Times New Roman"/>
          <w:sz w:val="22"/>
          <w:szCs w:val="22"/>
        </w:rPr>
        <w:lastRenderedPageBreak/>
        <w:t xml:space="preserve">Figure </w:t>
      </w:r>
      <w:r w:rsidRPr="00EB0BCF">
        <w:rPr>
          <w:rFonts w:ascii="Times New Roman" w:hAnsi="Times New Roman" w:cs="Times New Roman"/>
          <w:sz w:val="22"/>
          <w:szCs w:val="22"/>
        </w:rPr>
        <w:fldChar w:fldCharType="begin"/>
      </w:r>
      <w:r w:rsidRPr="00EB0BCF">
        <w:rPr>
          <w:rFonts w:ascii="Times New Roman" w:hAnsi="Times New Roman" w:cs="Times New Roman"/>
          <w:sz w:val="22"/>
          <w:szCs w:val="22"/>
        </w:rPr>
        <w:instrText xml:space="preserve"> SEQ Figure \* ARABIC </w:instrText>
      </w:r>
      <w:r w:rsidRPr="00EB0BCF">
        <w:rPr>
          <w:rFonts w:ascii="Times New Roman" w:hAnsi="Times New Roman" w:cs="Times New Roman"/>
          <w:sz w:val="22"/>
          <w:szCs w:val="22"/>
        </w:rPr>
        <w:fldChar w:fldCharType="separate"/>
      </w:r>
      <w:r w:rsidR="005A6BF4">
        <w:rPr>
          <w:rFonts w:ascii="Times New Roman" w:hAnsi="Times New Roman" w:cs="Times New Roman"/>
          <w:noProof/>
          <w:sz w:val="22"/>
          <w:szCs w:val="22"/>
        </w:rPr>
        <w:t>2</w:t>
      </w:r>
      <w:r w:rsidRPr="00EB0BCF">
        <w:rPr>
          <w:rFonts w:ascii="Times New Roman" w:hAnsi="Times New Roman" w:cs="Times New Roman"/>
          <w:sz w:val="22"/>
          <w:szCs w:val="22"/>
        </w:rPr>
        <w:fldChar w:fldCharType="end"/>
      </w:r>
      <w:bookmarkEnd w:id="10"/>
      <w:r w:rsidRPr="00EB0BCF">
        <w:rPr>
          <w:rFonts w:ascii="Times New Roman" w:hAnsi="Times New Roman" w:cs="Times New Roman"/>
          <w:sz w:val="22"/>
          <w:szCs w:val="22"/>
        </w:rPr>
        <w:t>.</w:t>
      </w:r>
      <w:proofErr w:type="gramEnd"/>
      <w:r w:rsidRPr="00EB0BCF">
        <w:rPr>
          <w:rFonts w:ascii="Times New Roman" w:hAnsi="Times New Roman" w:cs="Times New Roman"/>
          <w:sz w:val="22"/>
          <w:szCs w:val="22"/>
        </w:rPr>
        <w:t xml:space="preserve"> </w:t>
      </w:r>
      <w:r w:rsidRPr="00EB0BCF">
        <w:rPr>
          <w:rFonts w:ascii="Times New Roman" w:eastAsia="Malgun Gothic" w:hAnsi="Times New Roman" w:cs="Times New Roman"/>
          <w:sz w:val="22"/>
          <w:szCs w:val="22"/>
          <w:lang w:val="en-GB"/>
        </w:rPr>
        <w:t>Kaplan-Meier Estimate of the Proportion of Patients who had not lost Response through Week 54</w:t>
      </w:r>
    </w:p>
    <w:p w14:paraId="611F6AF6" w14:textId="77777777" w:rsidR="004A10AE" w:rsidRPr="0025669D" w:rsidRDefault="004A10AE" w:rsidP="007947DB">
      <w:pPr>
        <w:spacing w:line="240" w:lineRule="auto"/>
        <w:jc w:val="center"/>
        <w:rPr>
          <w:rFonts w:ascii="Times New Roman" w:eastAsia="Malgun Gothic" w:hAnsi="Times New Roman" w:cs="Times New Roman"/>
          <w:sz w:val="24"/>
          <w:szCs w:val="24"/>
        </w:rPr>
      </w:pPr>
      <w:r w:rsidRPr="0025669D">
        <w:rPr>
          <w:rFonts w:ascii="Times New Roman" w:eastAsia="Malgun Gothic" w:hAnsi="Times New Roman" w:cs="Times New Roman"/>
          <w:noProof/>
          <w:sz w:val="24"/>
          <w:szCs w:val="24"/>
          <w:lang w:val="en-AU" w:eastAsia="en-AU"/>
        </w:rPr>
        <w:drawing>
          <wp:inline distT="0" distB="0" distL="0" distR="0" wp14:anchorId="2610C619" wp14:editId="6C8C8485">
            <wp:extent cx="3556000" cy="2692400"/>
            <wp:effectExtent l="0" t="0" r="6350" b="0"/>
            <wp:docPr id="4" name="그림 4" descr="Fig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Figure 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556000" cy="2692400"/>
                    </a:xfrm>
                    <a:prstGeom prst="rect">
                      <a:avLst/>
                    </a:prstGeom>
                    <a:noFill/>
                    <a:ln>
                      <a:noFill/>
                    </a:ln>
                  </pic:spPr>
                </pic:pic>
              </a:graphicData>
            </a:graphic>
          </wp:inline>
        </w:drawing>
      </w:r>
    </w:p>
    <w:p w14:paraId="0D5759A7" w14:textId="77777777" w:rsidR="004A10AE" w:rsidRPr="0025669D" w:rsidRDefault="004A10AE" w:rsidP="007947DB">
      <w:pPr>
        <w:spacing w:line="240" w:lineRule="auto"/>
        <w:jc w:val="left"/>
        <w:rPr>
          <w:rFonts w:ascii="Times New Roman" w:eastAsia="Malgun Gothic" w:hAnsi="Times New Roman" w:cs="Times New Roman"/>
          <w:sz w:val="24"/>
          <w:szCs w:val="24"/>
        </w:rPr>
      </w:pPr>
      <w:r w:rsidRPr="0025669D">
        <w:rPr>
          <w:rFonts w:ascii="Times New Roman" w:eastAsia="Malgun Gothic" w:hAnsi="Times New Roman" w:cs="Times New Roman"/>
          <w:sz w:val="24"/>
          <w:szCs w:val="24"/>
        </w:rPr>
        <w:t xml:space="preserve">Significant improvement in quality of life measures were seen in both the IBDQ and SF-36 (p&lt;0.001) scores in </w:t>
      </w:r>
      <w:r>
        <w:rPr>
          <w:rFonts w:ascii="Times New Roman" w:eastAsia="Malgun Gothic" w:hAnsi="Times New Roman" w:cs="Times New Roman" w:hint="eastAsia"/>
          <w:sz w:val="24"/>
          <w:szCs w:val="24"/>
        </w:rPr>
        <w:t>infliximab</w:t>
      </w:r>
      <w:r w:rsidRPr="0025669D">
        <w:rPr>
          <w:rFonts w:ascii="Times New Roman" w:eastAsia="Malgun Gothic" w:hAnsi="Times New Roman" w:cs="Times New Roman"/>
          <w:sz w:val="24"/>
          <w:szCs w:val="24"/>
        </w:rPr>
        <w:t xml:space="preserve">-treated patients at week 30. </w:t>
      </w:r>
    </w:p>
    <w:p w14:paraId="6B171FED" w14:textId="77777777" w:rsidR="004A10AE" w:rsidRPr="0025669D" w:rsidRDefault="004A10AE" w:rsidP="007947DB">
      <w:pPr>
        <w:spacing w:line="240" w:lineRule="auto"/>
        <w:jc w:val="left"/>
        <w:rPr>
          <w:rFonts w:ascii="Times New Roman" w:eastAsia="Malgun Gothic" w:hAnsi="Times New Roman" w:cs="Times New Roman"/>
          <w:sz w:val="24"/>
          <w:szCs w:val="24"/>
        </w:rPr>
      </w:pPr>
      <w:r w:rsidRPr="0025669D">
        <w:rPr>
          <w:rFonts w:ascii="Times New Roman" w:eastAsia="Malgun Gothic" w:hAnsi="Times New Roman" w:cs="Times New Roman"/>
          <w:sz w:val="24"/>
          <w:szCs w:val="24"/>
        </w:rPr>
        <w:t>For patients receiving corticosteroids at baseline, the proportion of these patients in clinical remission and not receiving corticosteroids at week 30 was 31% (18 patients) for the 5mg/kg maintenance group and 37% (21 patients) for the 10 mg/kg maintenance group, compared with 11% (6 patients) in the placebo maintenance group (p=0.001 for both the 5mg/kg and 10</w:t>
      </w:r>
      <w:r>
        <w:rPr>
          <w:rFonts w:ascii="Times New Roman" w:eastAsia="Malgun Gothic" w:hAnsi="Times New Roman" w:cs="Times New Roman"/>
          <w:sz w:val="24"/>
          <w:szCs w:val="24"/>
        </w:rPr>
        <w:t> </w:t>
      </w:r>
      <w:r w:rsidRPr="0025669D">
        <w:rPr>
          <w:rFonts w:ascii="Times New Roman" w:eastAsia="Malgun Gothic" w:hAnsi="Times New Roman" w:cs="Times New Roman"/>
          <w:sz w:val="24"/>
          <w:szCs w:val="24"/>
        </w:rPr>
        <w:t xml:space="preserve">mg/kg maintenance groups). The median corticosteroid dose at baseline (20 mg/day) was reduced to 10 mg/day in the placebo maintenance group and 0 mg/day in the combined infliximab maintenance groups by week 30, indicating that at least 50% of the infliximab maintenance patients were able to discontinue steroid use. </w:t>
      </w:r>
    </w:p>
    <w:p w14:paraId="7130B324" w14:textId="77777777" w:rsidR="004A10AE" w:rsidRPr="0025669D" w:rsidRDefault="004A10AE" w:rsidP="007947DB">
      <w:pPr>
        <w:spacing w:line="240" w:lineRule="auto"/>
        <w:jc w:val="left"/>
        <w:rPr>
          <w:rFonts w:ascii="Times New Roman" w:eastAsia="Malgun Gothic" w:hAnsi="Times New Roman" w:cs="Times New Roman"/>
          <w:sz w:val="24"/>
          <w:szCs w:val="24"/>
        </w:rPr>
      </w:pPr>
      <w:r w:rsidRPr="0025669D">
        <w:rPr>
          <w:rFonts w:ascii="Times New Roman" w:eastAsia="Malgun Gothic" w:hAnsi="Times New Roman" w:cs="Times New Roman"/>
          <w:sz w:val="24"/>
          <w:szCs w:val="24"/>
        </w:rPr>
        <w:t xml:space="preserve">In a subset of patients who participated in an endoscopic </w:t>
      </w:r>
      <w:proofErr w:type="spellStart"/>
      <w:r w:rsidRPr="0025669D">
        <w:rPr>
          <w:rFonts w:ascii="Times New Roman" w:eastAsia="Malgun Gothic" w:hAnsi="Times New Roman" w:cs="Times New Roman"/>
          <w:sz w:val="24"/>
          <w:szCs w:val="24"/>
        </w:rPr>
        <w:t>substudy</w:t>
      </w:r>
      <w:proofErr w:type="spellEnd"/>
      <w:r w:rsidRPr="0025669D">
        <w:rPr>
          <w:rFonts w:ascii="Times New Roman" w:eastAsia="Malgun Gothic" w:hAnsi="Times New Roman" w:cs="Times New Roman"/>
          <w:sz w:val="24"/>
          <w:szCs w:val="24"/>
        </w:rPr>
        <w:t>, a significantly greater proportion of patients in the infliximab maintenance groups combined (10/32 patients, 31%) had healing of the mucosa compared to patients in the placebo group (0/17 patients, 0%) at week 10 (p=0.010). Results were similar at week 54.</w:t>
      </w:r>
    </w:p>
    <w:p w14:paraId="7455696E" w14:textId="77777777" w:rsidR="004A10AE" w:rsidRPr="0025669D" w:rsidRDefault="004A10AE" w:rsidP="007947DB">
      <w:pPr>
        <w:pStyle w:val="Heading2"/>
        <w:tabs>
          <w:tab w:val="num" w:pos="1418"/>
        </w:tabs>
        <w:spacing w:after="0"/>
        <w:ind w:left="1702" w:hangingChars="709" w:hanging="1702"/>
        <w:rPr>
          <w:rFonts w:eastAsia="Malgun Gothic" w:cs="Times New Roman"/>
          <w:szCs w:val="24"/>
          <w:lang w:eastAsia="ko-KR"/>
        </w:rPr>
      </w:pPr>
      <w:r w:rsidRPr="0025669D">
        <w:rPr>
          <w:rFonts w:eastAsia="Malgun Gothic" w:cs="Times New Roman"/>
          <w:szCs w:val="24"/>
          <w:lang w:eastAsia="ko-KR"/>
        </w:rPr>
        <w:t xml:space="preserve">• </w:t>
      </w:r>
      <w:r w:rsidRPr="0035249D">
        <w:rPr>
          <w:rFonts w:eastAsia="Malgun Gothic" w:cs="Times New Roman"/>
          <w:szCs w:val="24"/>
          <w:lang w:eastAsia="ko-KR"/>
        </w:rPr>
        <w:t xml:space="preserve">Fistulising Crohn’s Disease </w:t>
      </w:r>
    </w:p>
    <w:p w14:paraId="0BBA9CD2" w14:textId="77777777" w:rsidR="004A10AE" w:rsidRDefault="004A10AE" w:rsidP="007947DB">
      <w:pPr>
        <w:spacing w:after="0" w:line="240" w:lineRule="auto"/>
        <w:jc w:val="left"/>
        <w:rPr>
          <w:rFonts w:ascii="Times New Roman" w:eastAsia="Malgun Gothic" w:hAnsi="Times New Roman" w:cs="Times New Roman"/>
          <w:sz w:val="24"/>
          <w:szCs w:val="24"/>
        </w:rPr>
      </w:pPr>
      <w:r w:rsidRPr="0025669D">
        <w:rPr>
          <w:rFonts w:ascii="Times New Roman" w:eastAsia="Malgun Gothic" w:hAnsi="Times New Roman" w:cs="Times New Roman"/>
          <w:sz w:val="24"/>
          <w:szCs w:val="24"/>
        </w:rPr>
        <w:t xml:space="preserve">The safety and efficacy of infliximab were assessed in a </w:t>
      </w:r>
      <w:proofErr w:type="spellStart"/>
      <w:r w:rsidRPr="0025669D">
        <w:rPr>
          <w:rFonts w:ascii="Times New Roman" w:eastAsia="Malgun Gothic" w:hAnsi="Times New Roman" w:cs="Times New Roman"/>
          <w:sz w:val="24"/>
          <w:szCs w:val="24"/>
        </w:rPr>
        <w:t>randomised</w:t>
      </w:r>
      <w:proofErr w:type="spellEnd"/>
      <w:r w:rsidRPr="0025669D">
        <w:rPr>
          <w:rFonts w:ascii="Times New Roman" w:eastAsia="Malgun Gothic" w:hAnsi="Times New Roman" w:cs="Times New Roman"/>
          <w:sz w:val="24"/>
          <w:szCs w:val="24"/>
        </w:rPr>
        <w:t xml:space="preserve">, double-blind, placebo controlled study of 94 patients with </w:t>
      </w:r>
      <w:proofErr w:type="spellStart"/>
      <w:r w:rsidRPr="0025669D">
        <w:rPr>
          <w:rFonts w:ascii="Times New Roman" w:eastAsia="Malgun Gothic" w:hAnsi="Times New Roman" w:cs="Times New Roman"/>
          <w:sz w:val="24"/>
          <w:szCs w:val="24"/>
        </w:rPr>
        <w:t>fistulising</w:t>
      </w:r>
      <w:proofErr w:type="spellEnd"/>
      <w:r w:rsidRPr="0025669D">
        <w:rPr>
          <w:rFonts w:ascii="Times New Roman" w:eastAsia="Malgun Gothic" w:hAnsi="Times New Roman" w:cs="Times New Roman"/>
          <w:sz w:val="24"/>
          <w:szCs w:val="24"/>
        </w:rPr>
        <w:t xml:space="preserve"> Crohn’s disease with fistulas that were of at least 3 months’ duration. Thirty-one of these patients were treated with infliximab 5</w:t>
      </w:r>
      <w:r>
        <w:rPr>
          <w:rFonts w:ascii="Times New Roman" w:eastAsia="Malgun Gothic" w:hAnsi="Times New Roman" w:cs="Times New Roman"/>
          <w:sz w:val="24"/>
          <w:szCs w:val="24"/>
        </w:rPr>
        <w:t xml:space="preserve"> </w:t>
      </w:r>
      <w:r w:rsidRPr="0025669D">
        <w:rPr>
          <w:rFonts w:ascii="Times New Roman" w:eastAsia="Malgun Gothic" w:hAnsi="Times New Roman" w:cs="Times New Roman"/>
          <w:sz w:val="24"/>
          <w:szCs w:val="24"/>
        </w:rPr>
        <w:t xml:space="preserve">mg/kg. Approximately 93% of the patients had previously received antibiotic or immunosuppressive therapy. </w:t>
      </w:r>
    </w:p>
    <w:p w14:paraId="111EE182" w14:textId="77777777" w:rsidR="004A10AE" w:rsidRDefault="004A10AE" w:rsidP="007947DB">
      <w:pPr>
        <w:spacing w:after="0" w:line="240" w:lineRule="auto"/>
        <w:jc w:val="left"/>
        <w:rPr>
          <w:rFonts w:ascii="Times New Roman" w:eastAsia="Malgun Gothic" w:hAnsi="Times New Roman" w:cs="Times New Roman"/>
          <w:sz w:val="24"/>
          <w:szCs w:val="24"/>
        </w:rPr>
      </w:pPr>
    </w:p>
    <w:p w14:paraId="68BDFB0F" w14:textId="77777777" w:rsidR="004A10AE" w:rsidRDefault="004A10AE" w:rsidP="007947DB">
      <w:pPr>
        <w:spacing w:after="0" w:line="240" w:lineRule="auto"/>
        <w:jc w:val="left"/>
        <w:rPr>
          <w:rFonts w:ascii="Times New Roman" w:eastAsia="Malgun Gothic" w:hAnsi="Times New Roman" w:cs="Times New Roman"/>
          <w:sz w:val="24"/>
          <w:szCs w:val="24"/>
        </w:rPr>
      </w:pPr>
      <w:r w:rsidRPr="0025669D">
        <w:rPr>
          <w:rFonts w:ascii="Times New Roman" w:eastAsia="Malgun Gothic" w:hAnsi="Times New Roman" w:cs="Times New Roman"/>
          <w:sz w:val="24"/>
          <w:szCs w:val="24"/>
        </w:rPr>
        <w:t xml:space="preserve">Concurrent use of stable doses of conventional therapies was permitted, and 83% of patients continued to receive at least one of these medications. Fifty-two (55%) had multiple </w:t>
      </w:r>
      <w:proofErr w:type="spellStart"/>
      <w:r w:rsidRPr="0025669D">
        <w:rPr>
          <w:rFonts w:ascii="Times New Roman" w:eastAsia="Malgun Gothic" w:hAnsi="Times New Roman" w:cs="Times New Roman"/>
          <w:sz w:val="24"/>
          <w:szCs w:val="24"/>
        </w:rPr>
        <w:t>cutaneously</w:t>
      </w:r>
      <w:proofErr w:type="spellEnd"/>
      <w:r w:rsidRPr="0025669D">
        <w:rPr>
          <w:rFonts w:ascii="Times New Roman" w:eastAsia="Malgun Gothic" w:hAnsi="Times New Roman" w:cs="Times New Roman"/>
          <w:sz w:val="24"/>
          <w:szCs w:val="24"/>
        </w:rPr>
        <w:t xml:space="preserve"> draining fistulas, 90% of patients had fistulas in the perianal area and 10% had </w:t>
      </w:r>
      <w:r w:rsidRPr="0025669D">
        <w:rPr>
          <w:rFonts w:ascii="Times New Roman" w:eastAsia="Malgun Gothic" w:hAnsi="Times New Roman" w:cs="Times New Roman"/>
          <w:sz w:val="24"/>
          <w:szCs w:val="24"/>
        </w:rPr>
        <w:lastRenderedPageBreak/>
        <w:t xml:space="preserve">abdominal fistulas. </w:t>
      </w:r>
    </w:p>
    <w:p w14:paraId="5B556F8D" w14:textId="0658CD32" w:rsidR="004A10AE" w:rsidRDefault="004A10AE" w:rsidP="007947DB">
      <w:pPr>
        <w:spacing w:after="0" w:line="240" w:lineRule="auto"/>
        <w:jc w:val="left"/>
        <w:rPr>
          <w:rFonts w:ascii="Times New Roman" w:eastAsia="Malgun Gothic" w:hAnsi="Times New Roman" w:cs="Times New Roman"/>
          <w:sz w:val="24"/>
          <w:szCs w:val="24"/>
        </w:rPr>
      </w:pPr>
    </w:p>
    <w:p w14:paraId="17C4AB64" w14:textId="77777777" w:rsidR="00D34986" w:rsidRPr="0025669D" w:rsidRDefault="00D34986" w:rsidP="007947DB">
      <w:pPr>
        <w:spacing w:after="0" w:line="240" w:lineRule="auto"/>
        <w:jc w:val="left"/>
        <w:rPr>
          <w:rFonts w:ascii="Times New Roman" w:eastAsia="Malgun Gothic" w:hAnsi="Times New Roman" w:cs="Times New Roman"/>
          <w:sz w:val="24"/>
          <w:szCs w:val="24"/>
        </w:rPr>
      </w:pPr>
    </w:p>
    <w:p w14:paraId="77A54CC9" w14:textId="77777777" w:rsidR="004A10AE" w:rsidRPr="0025669D" w:rsidRDefault="004A10AE" w:rsidP="007947DB">
      <w:pPr>
        <w:spacing w:line="240" w:lineRule="auto"/>
        <w:jc w:val="left"/>
        <w:rPr>
          <w:rFonts w:ascii="Times New Roman" w:eastAsia="Malgun Gothic" w:hAnsi="Times New Roman" w:cs="Times New Roman"/>
          <w:sz w:val="24"/>
          <w:szCs w:val="24"/>
        </w:rPr>
      </w:pPr>
      <w:r w:rsidRPr="0025669D">
        <w:rPr>
          <w:rFonts w:ascii="Times New Roman" w:eastAsia="Malgun Gothic" w:hAnsi="Times New Roman" w:cs="Times New Roman"/>
          <w:sz w:val="24"/>
          <w:szCs w:val="24"/>
        </w:rPr>
        <w:t xml:space="preserve">Patients received 3 doses of infliximab 5 or 10 mg/kg or placebo at Weeks 0, 2 and 6 and were followed up to 26 weeks. The primary endpoint was the proportion of patients who experienced a clinical response, defined as ≥ 50% reduction from baseline in the number of fistulas draining upon gentle compression, on at least two consecutive visits, without an increase in medication or surgery for Crohn’s disease. </w:t>
      </w:r>
    </w:p>
    <w:p w14:paraId="1B7FAFAF" w14:textId="77777777" w:rsidR="004A10AE" w:rsidRPr="00E10E5E" w:rsidRDefault="004A10AE" w:rsidP="007947DB">
      <w:pPr>
        <w:spacing w:line="240" w:lineRule="auto"/>
        <w:jc w:val="left"/>
        <w:rPr>
          <w:rFonts w:ascii="Times New Roman" w:eastAsia="Malgun Gothic" w:hAnsi="Times New Roman" w:cs="Times New Roman"/>
          <w:sz w:val="24"/>
          <w:szCs w:val="24"/>
          <w:lang w:val="en-GB"/>
        </w:rPr>
      </w:pPr>
      <w:r w:rsidRPr="00E10E5E">
        <w:rPr>
          <w:rFonts w:ascii="Times New Roman" w:eastAsia="Malgun Gothic" w:hAnsi="Times New Roman" w:cs="Times New Roman"/>
          <w:sz w:val="24"/>
          <w:szCs w:val="24"/>
          <w:lang w:val="en-GB"/>
        </w:rPr>
        <w:t>Sixty-eight percent (21/31) of infliximab-treated patients receiving a 5 mg/kg dose regimen achieved a clinical response vs 26% (8/31) placebo-treated patients (p=0.002). The median ti</w:t>
      </w:r>
      <w:r>
        <w:rPr>
          <w:rFonts w:ascii="Times New Roman" w:eastAsia="Malgun Gothic" w:hAnsi="Times New Roman" w:cs="Times New Roman"/>
          <w:sz w:val="24"/>
          <w:szCs w:val="24"/>
          <w:lang w:val="en-GB"/>
        </w:rPr>
        <w:t xml:space="preserve">me to onset of response in the </w:t>
      </w:r>
      <w:r>
        <w:rPr>
          <w:rFonts w:ascii="Times New Roman" w:eastAsia="Malgun Gothic" w:hAnsi="Times New Roman" w:cs="Times New Roman" w:hint="eastAsia"/>
          <w:sz w:val="24"/>
          <w:szCs w:val="24"/>
          <w:lang w:val="en-GB"/>
        </w:rPr>
        <w:t>infliximab</w:t>
      </w:r>
      <w:r w:rsidRPr="00E10E5E">
        <w:rPr>
          <w:rFonts w:ascii="Times New Roman" w:eastAsia="Malgun Gothic" w:hAnsi="Times New Roman" w:cs="Times New Roman"/>
          <w:sz w:val="24"/>
          <w:szCs w:val="24"/>
          <w:lang w:val="en-GB"/>
        </w:rPr>
        <w:t>-treated group was 2 weeks. The median duration of response was 12 weeks. Additionally, closure of all fistulas was achieved in 55% of infliximab-treated patients compared with 13% of placebo-treated patients (p=0.001).</w:t>
      </w:r>
    </w:p>
    <w:p w14:paraId="0C839F60" w14:textId="77777777" w:rsidR="004A10AE" w:rsidRPr="0025669D" w:rsidRDefault="004A10AE" w:rsidP="007947DB">
      <w:pPr>
        <w:spacing w:line="240" w:lineRule="auto"/>
        <w:jc w:val="left"/>
        <w:rPr>
          <w:rFonts w:ascii="Times New Roman" w:eastAsia="Malgun Gothic" w:hAnsi="Times New Roman" w:cs="Times New Roman"/>
          <w:sz w:val="24"/>
          <w:szCs w:val="24"/>
        </w:rPr>
      </w:pPr>
      <w:r w:rsidRPr="0025669D">
        <w:rPr>
          <w:rFonts w:ascii="Times New Roman" w:eastAsia="Malgun Gothic" w:hAnsi="Times New Roman" w:cs="Times New Roman"/>
          <w:sz w:val="24"/>
          <w:szCs w:val="24"/>
        </w:rPr>
        <w:t xml:space="preserve">The safety and efficacy of repeated infliximab infusions in patients with </w:t>
      </w:r>
      <w:proofErr w:type="spellStart"/>
      <w:r w:rsidRPr="0025669D">
        <w:rPr>
          <w:rFonts w:ascii="Times New Roman" w:eastAsia="Malgun Gothic" w:hAnsi="Times New Roman" w:cs="Times New Roman"/>
          <w:sz w:val="24"/>
          <w:szCs w:val="24"/>
        </w:rPr>
        <w:t>fistulising</w:t>
      </w:r>
      <w:proofErr w:type="spellEnd"/>
      <w:r w:rsidRPr="0025669D">
        <w:rPr>
          <w:rFonts w:ascii="Times New Roman" w:eastAsia="Malgun Gothic" w:hAnsi="Times New Roman" w:cs="Times New Roman"/>
          <w:sz w:val="24"/>
          <w:szCs w:val="24"/>
        </w:rPr>
        <w:t xml:space="preserve"> Crohn’s disease were studied in a 1-year trial. A total of 306 patients received 3 doses of infliximab 5</w:t>
      </w:r>
      <w:r>
        <w:rPr>
          <w:rFonts w:ascii="Times New Roman" w:eastAsia="Malgun Gothic" w:hAnsi="Times New Roman" w:cs="Times New Roman"/>
          <w:sz w:val="24"/>
          <w:szCs w:val="24"/>
        </w:rPr>
        <w:t> </w:t>
      </w:r>
      <w:r w:rsidRPr="0025669D">
        <w:rPr>
          <w:rFonts w:ascii="Times New Roman" w:eastAsia="Malgun Gothic" w:hAnsi="Times New Roman" w:cs="Times New Roman"/>
          <w:sz w:val="24"/>
          <w:szCs w:val="24"/>
        </w:rPr>
        <w:t xml:space="preserve">mg/kg at week 0, 2 and 6. Among the </w:t>
      </w:r>
      <w:proofErr w:type="spellStart"/>
      <w:r w:rsidRPr="0025669D">
        <w:rPr>
          <w:rFonts w:ascii="Times New Roman" w:eastAsia="Malgun Gothic" w:hAnsi="Times New Roman" w:cs="Times New Roman"/>
          <w:sz w:val="24"/>
          <w:szCs w:val="24"/>
        </w:rPr>
        <w:t>randomised</w:t>
      </w:r>
      <w:proofErr w:type="spellEnd"/>
      <w:r w:rsidRPr="0025669D">
        <w:rPr>
          <w:rFonts w:ascii="Times New Roman" w:eastAsia="Malgun Gothic" w:hAnsi="Times New Roman" w:cs="Times New Roman"/>
          <w:sz w:val="24"/>
          <w:szCs w:val="24"/>
        </w:rPr>
        <w:t xml:space="preserve"> patients at baseline, 87% of the patients had perianal fistulas, 14% had abdominal fistulas, </w:t>
      </w:r>
      <w:proofErr w:type="gramStart"/>
      <w:r w:rsidRPr="0025669D">
        <w:rPr>
          <w:rFonts w:ascii="Times New Roman" w:eastAsia="Malgun Gothic" w:hAnsi="Times New Roman" w:cs="Times New Roman"/>
          <w:sz w:val="24"/>
          <w:szCs w:val="24"/>
        </w:rPr>
        <w:t>9</w:t>
      </w:r>
      <w:proofErr w:type="gramEnd"/>
      <w:r w:rsidRPr="0025669D">
        <w:rPr>
          <w:rFonts w:ascii="Times New Roman" w:eastAsia="Malgun Gothic" w:hAnsi="Times New Roman" w:cs="Times New Roman"/>
          <w:sz w:val="24"/>
          <w:szCs w:val="24"/>
        </w:rPr>
        <w:t xml:space="preserve">% had rectovaginal fistulas. The median CDAI score was 180. One-hundred and ninety-five patients responding to the 3 doses (for definition of response see description of primary endpoint for the trial above) were </w:t>
      </w:r>
      <w:proofErr w:type="spellStart"/>
      <w:r w:rsidRPr="0025669D">
        <w:rPr>
          <w:rFonts w:ascii="Times New Roman" w:eastAsia="Malgun Gothic" w:hAnsi="Times New Roman" w:cs="Times New Roman"/>
          <w:sz w:val="24"/>
          <w:szCs w:val="24"/>
        </w:rPr>
        <w:t>randomised</w:t>
      </w:r>
      <w:proofErr w:type="spellEnd"/>
      <w:r w:rsidRPr="0025669D">
        <w:rPr>
          <w:rFonts w:ascii="Times New Roman" w:eastAsia="Malgun Gothic" w:hAnsi="Times New Roman" w:cs="Times New Roman"/>
          <w:sz w:val="24"/>
          <w:szCs w:val="24"/>
        </w:rPr>
        <w:t xml:space="preserve"> at week 14 to receive either placebo or 5 mg/kg infliximab every 8 weeks through week 46. At week 14, 65% (177/273) of </w:t>
      </w:r>
      <w:proofErr w:type="spellStart"/>
      <w:r w:rsidRPr="0025669D">
        <w:rPr>
          <w:rFonts w:ascii="Times New Roman" w:eastAsia="Malgun Gothic" w:hAnsi="Times New Roman" w:cs="Times New Roman"/>
          <w:sz w:val="24"/>
          <w:szCs w:val="24"/>
        </w:rPr>
        <w:t>randomised</w:t>
      </w:r>
      <w:proofErr w:type="spellEnd"/>
      <w:r w:rsidRPr="0025669D">
        <w:rPr>
          <w:rFonts w:ascii="Times New Roman" w:eastAsia="Malgun Gothic" w:hAnsi="Times New Roman" w:cs="Times New Roman"/>
          <w:sz w:val="24"/>
          <w:szCs w:val="24"/>
        </w:rPr>
        <w:t xml:space="preserve"> patients were in fistula response. Patients </w:t>
      </w:r>
      <w:proofErr w:type="spellStart"/>
      <w:r w:rsidRPr="0025669D">
        <w:rPr>
          <w:rFonts w:ascii="Times New Roman" w:eastAsia="Malgun Gothic" w:hAnsi="Times New Roman" w:cs="Times New Roman"/>
          <w:sz w:val="24"/>
          <w:szCs w:val="24"/>
        </w:rPr>
        <w:t>randomised</w:t>
      </w:r>
      <w:proofErr w:type="spellEnd"/>
      <w:r w:rsidRPr="0025669D">
        <w:rPr>
          <w:rFonts w:ascii="Times New Roman" w:eastAsia="Malgun Gothic" w:hAnsi="Times New Roman" w:cs="Times New Roman"/>
          <w:sz w:val="24"/>
          <w:szCs w:val="24"/>
        </w:rPr>
        <w:t xml:space="preserve"> to infliximab maintenance had a significantly longer time to loss of fistula response compared to the placebo maintenance group (p&lt;0.001). Median time to loss of response was &gt;40 weeks in the infliximab group compared with 14 weeks in the placebo group. At week 54, 38% (33/87) of infliximab-treated patients had no draining fistulas compared with 22% (20/90) of placebo-treated patients (p=0.02). The infliximab group showed greater improvement in CDAI score from baseline compared with placebo (p=0.04). Patients who achieved a fistula response and subsequently lost response were eligible to receive infliximab maintenance therapy at a dose that was 5 mg/kg higher than the dose to which they were </w:t>
      </w:r>
      <w:proofErr w:type="spellStart"/>
      <w:r w:rsidRPr="0025669D">
        <w:rPr>
          <w:rFonts w:ascii="Times New Roman" w:eastAsia="Malgun Gothic" w:hAnsi="Times New Roman" w:cs="Times New Roman"/>
          <w:sz w:val="24"/>
          <w:szCs w:val="24"/>
        </w:rPr>
        <w:t>randomised</w:t>
      </w:r>
      <w:proofErr w:type="spellEnd"/>
      <w:r w:rsidRPr="0025669D">
        <w:rPr>
          <w:rFonts w:ascii="Times New Roman" w:eastAsia="Malgun Gothic" w:hAnsi="Times New Roman" w:cs="Times New Roman"/>
          <w:sz w:val="24"/>
          <w:szCs w:val="24"/>
        </w:rPr>
        <w:t>. Of the placebo maintenance patients, 66% (25/38) responded to 5 mg/kg infliximab, and 57% (12/21) of infliximab maintenance patients responded to 10</w:t>
      </w:r>
      <w:r>
        <w:rPr>
          <w:rFonts w:ascii="Times New Roman" w:eastAsia="Malgun Gothic" w:hAnsi="Times New Roman" w:cs="Times New Roman"/>
          <w:sz w:val="24"/>
          <w:szCs w:val="24"/>
        </w:rPr>
        <w:t> </w:t>
      </w:r>
      <w:r w:rsidRPr="0025669D">
        <w:rPr>
          <w:rFonts w:ascii="Times New Roman" w:eastAsia="Malgun Gothic" w:hAnsi="Times New Roman" w:cs="Times New Roman"/>
          <w:sz w:val="24"/>
          <w:szCs w:val="24"/>
        </w:rPr>
        <w:t xml:space="preserve">mg/kg. Compared to placebo maintenance, patients on infliximab maintenance had a trend toward fewer </w:t>
      </w:r>
      <w:proofErr w:type="spellStart"/>
      <w:r w:rsidRPr="0025669D">
        <w:rPr>
          <w:rFonts w:ascii="Times New Roman" w:eastAsia="Malgun Gothic" w:hAnsi="Times New Roman" w:cs="Times New Roman"/>
          <w:sz w:val="24"/>
          <w:szCs w:val="24"/>
        </w:rPr>
        <w:t>hospitalisations</w:t>
      </w:r>
      <w:proofErr w:type="spellEnd"/>
      <w:r w:rsidRPr="0025669D">
        <w:rPr>
          <w:rFonts w:ascii="Times New Roman" w:eastAsia="Malgun Gothic" w:hAnsi="Times New Roman" w:cs="Times New Roman"/>
          <w:sz w:val="24"/>
          <w:szCs w:val="24"/>
        </w:rPr>
        <w:t>. At week 30, greater improvement from baseline in IBDQ scores was seen in the infliximab maintenance group compared to placebo maintenance. Improvement in both scores was maintained through week 54.</w:t>
      </w:r>
    </w:p>
    <w:p w14:paraId="3085CE56" w14:textId="77777777" w:rsidR="004A10AE" w:rsidRPr="0025669D" w:rsidRDefault="004A10AE" w:rsidP="007947DB">
      <w:pPr>
        <w:pStyle w:val="Heading2"/>
        <w:tabs>
          <w:tab w:val="num" w:pos="1418"/>
        </w:tabs>
        <w:spacing w:after="0"/>
        <w:ind w:left="1702" w:hangingChars="709" w:hanging="1702"/>
        <w:rPr>
          <w:rFonts w:eastAsia="Malgun Gothic" w:cs="Times New Roman"/>
          <w:szCs w:val="24"/>
          <w:lang w:eastAsia="ko-KR"/>
        </w:rPr>
      </w:pPr>
      <w:r w:rsidRPr="0025669D">
        <w:rPr>
          <w:rFonts w:eastAsia="Malgun Gothic" w:cs="Times New Roman"/>
          <w:szCs w:val="24"/>
          <w:lang w:eastAsia="ko-KR"/>
        </w:rPr>
        <w:t xml:space="preserve">• </w:t>
      </w:r>
      <w:r w:rsidRPr="0035249D">
        <w:rPr>
          <w:rFonts w:eastAsia="Malgun Gothic" w:cs="Times New Roman"/>
          <w:szCs w:val="24"/>
          <w:lang w:eastAsia="ko-KR"/>
        </w:rPr>
        <w:t xml:space="preserve">Active Crohn’s disease in children and adolescent patients (6 to17 years) </w:t>
      </w:r>
    </w:p>
    <w:p w14:paraId="18499661" w14:textId="77777777" w:rsidR="004A10AE" w:rsidRDefault="004A10AE" w:rsidP="007947DB">
      <w:pPr>
        <w:spacing w:after="0" w:line="240" w:lineRule="auto"/>
        <w:jc w:val="left"/>
        <w:rPr>
          <w:rFonts w:ascii="Times New Roman" w:eastAsia="Malgun Gothic" w:hAnsi="Times New Roman" w:cs="Times New Roman"/>
          <w:bCs/>
          <w:sz w:val="24"/>
          <w:szCs w:val="24"/>
        </w:rPr>
      </w:pPr>
      <w:r w:rsidRPr="0025669D">
        <w:rPr>
          <w:rFonts w:ascii="Times New Roman" w:eastAsia="Malgun Gothic" w:hAnsi="Times New Roman" w:cs="Times New Roman"/>
          <w:sz w:val="24"/>
          <w:szCs w:val="24"/>
        </w:rPr>
        <w:t xml:space="preserve">The safety and efficacy of single and multiple doses of infliximab were assessed in a </w:t>
      </w:r>
      <w:proofErr w:type="spellStart"/>
      <w:r w:rsidRPr="0025669D">
        <w:rPr>
          <w:rFonts w:ascii="Times New Roman" w:eastAsia="Malgun Gothic" w:hAnsi="Times New Roman" w:cs="Times New Roman"/>
          <w:sz w:val="24"/>
          <w:szCs w:val="24"/>
        </w:rPr>
        <w:t>randomised</w:t>
      </w:r>
      <w:proofErr w:type="spellEnd"/>
      <w:r w:rsidRPr="0025669D">
        <w:rPr>
          <w:rFonts w:ascii="Times New Roman" w:eastAsia="Malgun Gothic" w:hAnsi="Times New Roman" w:cs="Times New Roman"/>
          <w:sz w:val="24"/>
          <w:szCs w:val="24"/>
        </w:rPr>
        <w:t xml:space="preserve">, single-dose, </w:t>
      </w:r>
      <w:proofErr w:type="spellStart"/>
      <w:r w:rsidRPr="0025669D">
        <w:rPr>
          <w:rFonts w:ascii="Times New Roman" w:eastAsia="Malgun Gothic" w:hAnsi="Times New Roman" w:cs="Times New Roman"/>
          <w:sz w:val="24"/>
          <w:szCs w:val="24"/>
        </w:rPr>
        <w:t>multicentre</w:t>
      </w:r>
      <w:proofErr w:type="spellEnd"/>
      <w:r w:rsidRPr="0025669D">
        <w:rPr>
          <w:rFonts w:ascii="Times New Roman" w:eastAsia="Malgun Gothic" w:hAnsi="Times New Roman" w:cs="Times New Roman"/>
          <w:sz w:val="24"/>
          <w:szCs w:val="24"/>
        </w:rPr>
        <w:t xml:space="preserve"> </w:t>
      </w:r>
      <w:r>
        <w:rPr>
          <w:rFonts w:ascii="Times New Roman" w:eastAsia="Malgun Gothic" w:hAnsi="Times New Roman" w:cs="Times New Roman"/>
          <w:sz w:val="24"/>
          <w:szCs w:val="24"/>
        </w:rPr>
        <w:t>Phase 2</w:t>
      </w:r>
      <w:r w:rsidRPr="0025669D">
        <w:rPr>
          <w:rFonts w:ascii="Times New Roman" w:eastAsia="Malgun Gothic" w:hAnsi="Times New Roman" w:cs="Times New Roman"/>
          <w:sz w:val="24"/>
          <w:szCs w:val="24"/>
        </w:rPr>
        <w:t xml:space="preserve"> study in 21 children and adolescent patients with active Crohn’s disease, and in a </w:t>
      </w:r>
      <w:proofErr w:type="spellStart"/>
      <w:r w:rsidRPr="0025669D">
        <w:rPr>
          <w:rFonts w:ascii="Times New Roman" w:eastAsia="Malgun Gothic" w:hAnsi="Times New Roman" w:cs="Times New Roman"/>
          <w:sz w:val="24"/>
          <w:szCs w:val="24"/>
        </w:rPr>
        <w:t>randomised</w:t>
      </w:r>
      <w:proofErr w:type="spellEnd"/>
      <w:r w:rsidRPr="0025669D">
        <w:rPr>
          <w:rFonts w:ascii="Times New Roman" w:eastAsia="Malgun Gothic" w:hAnsi="Times New Roman" w:cs="Times New Roman"/>
          <w:sz w:val="24"/>
          <w:szCs w:val="24"/>
        </w:rPr>
        <w:t xml:space="preserve">, multiple dose, open-label, </w:t>
      </w:r>
      <w:proofErr w:type="spellStart"/>
      <w:r w:rsidRPr="0025669D">
        <w:rPr>
          <w:rFonts w:ascii="Times New Roman" w:eastAsia="Malgun Gothic" w:hAnsi="Times New Roman" w:cs="Times New Roman"/>
          <w:sz w:val="24"/>
          <w:szCs w:val="24"/>
        </w:rPr>
        <w:t>multicentre</w:t>
      </w:r>
      <w:proofErr w:type="spellEnd"/>
      <w:r w:rsidRPr="0025669D">
        <w:rPr>
          <w:rFonts w:ascii="Times New Roman" w:eastAsia="Malgun Gothic" w:hAnsi="Times New Roman" w:cs="Times New Roman"/>
          <w:sz w:val="24"/>
          <w:szCs w:val="24"/>
        </w:rPr>
        <w:t xml:space="preserve"> </w:t>
      </w:r>
      <w:r>
        <w:rPr>
          <w:rFonts w:ascii="Times New Roman" w:eastAsia="Malgun Gothic" w:hAnsi="Times New Roman" w:cs="Times New Roman"/>
          <w:sz w:val="24"/>
          <w:szCs w:val="24"/>
        </w:rPr>
        <w:t>Phase 3</w:t>
      </w:r>
      <w:r w:rsidRPr="0025669D">
        <w:rPr>
          <w:rFonts w:ascii="Times New Roman" w:eastAsia="Malgun Gothic" w:hAnsi="Times New Roman" w:cs="Times New Roman"/>
          <w:sz w:val="24"/>
          <w:szCs w:val="24"/>
        </w:rPr>
        <w:t xml:space="preserve"> study in 112 children and adolescent Crohn’s disease patients (the REACH trial). In REACH, all subjects were required to be on a stable dose of </w:t>
      </w:r>
      <w:r w:rsidRPr="00507B14">
        <w:rPr>
          <w:rFonts w:ascii="Times New Roman" w:eastAsia="Malgun Gothic" w:hAnsi="Times New Roman" w:cs="Times New Roman"/>
          <w:bCs/>
          <w:sz w:val="24"/>
          <w:szCs w:val="24"/>
        </w:rPr>
        <w:t xml:space="preserve">6-mercaptopurine (6-MP), azathioprine (AZA) or methotrexate (MTX) (35% were also receiving corticosteroids at baseline). </w:t>
      </w:r>
    </w:p>
    <w:p w14:paraId="5A1AD89C" w14:textId="77777777" w:rsidR="004A10AE" w:rsidRPr="0025669D" w:rsidRDefault="004A10AE" w:rsidP="007947DB">
      <w:pPr>
        <w:spacing w:after="0" w:line="240" w:lineRule="auto"/>
        <w:jc w:val="left"/>
        <w:rPr>
          <w:rFonts w:ascii="Times New Roman" w:eastAsia="Malgun Gothic" w:hAnsi="Times New Roman" w:cs="Times New Roman"/>
          <w:sz w:val="24"/>
          <w:szCs w:val="24"/>
        </w:rPr>
      </w:pPr>
    </w:p>
    <w:p w14:paraId="52F4BC8D" w14:textId="77777777" w:rsidR="004A10AE" w:rsidRPr="0025669D" w:rsidRDefault="004A10AE" w:rsidP="007947DB">
      <w:pPr>
        <w:spacing w:line="240" w:lineRule="auto"/>
        <w:jc w:val="left"/>
        <w:rPr>
          <w:rFonts w:ascii="Times New Roman" w:eastAsia="Malgun Gothic" w:hAnsi="Times New Roman" w:cs="Times New Roman"/>
          <w:sz w:val="24"/>
          <w:szCs w:val="24"/>
        </w:rPr>
      </w:pPr>
      <w:r w:rsidRPr="00933B6F">
        <w:rPr>
          <w:rFonts w:ascii="Times New Roman" w:eastAsia="Malgun Gothic" w:hAnsi="Times New Roman" w:cs="Times New Roman"/>
          <w:sz w:val="24"/>
          <w:szCs w:val="24"/>
        </w:rPr>
        <w:t>In the Phase 2 single-dose trial of 21 patients (11 to 17 years old, median age 15.0 years), all patients achieved a clinical response (decrease in CDAI ≥ 70 points or decrease in PCDAI ≥ 10) at some point in the 20 weeks following the single dose of infliximab, and clinical remission (defined as a reduction in the modified CDAI score to below 150 points or a reduction in the PCDAI to below 10) was achieved by 10 (47.6%) patients. Of the 3 doses</w:t>
      </w:r>
      <w:r w:rsidRPr="0025669D">
        <w:rPr>
          <w:rFonts w:ascii="Times New Roman" w:eastAsia="Malgun Gothic" w:hAnsi="Times New Roman" w:cs="Times New Roman"/>
          <w:sz w:val="24"/>
          <w:szCs w:val="24"/>
        </w:rPr>
        <w:t xml:space="preserve"> administered (1, 5, or 10 mg/kg), the 5 mg/kg and 10 mg/kg treatment groups had a larger proportion of patients achieving clinical remission (16.7% in the 1 mg/kg infliximab treatment group as compared with 57.1% and 62.5% in the 5 mg/kg and 10 mg/kg infliximab treatment groups, respectively). All 7 patients who had </w:t>
      </w:r>
      <w:proofErr w:type="spellStart"/>
      <w:r w:rsidRPr="0025669D">
        <w:rPr>
          <w:rFonts w:ascii="Times New Roman" w:eastAsia="Malgun Gothic" w:hAnsi="Times New Roman" w:cs="Times New Roman"/>
          <w:sz w:val="24"/>
          <w:szCs w:val="24"/>
        </w:rPr>
        <w:t>fistulising</w:t>
      </w:r>
      <w:proofErr w:type="spellEnd"/>
      <w:r w:rsidRPr="0025669D">
        <w:rPr>
          <w:rFonts w:ascii="Times New Roman" w:eastAsia="Malgun Gothic" w:hAnsi="Times New Roman" w:cs="Times New Roman"/>
          <w:sz w:val="24"/>
          <w:szCs w:val="24"/>
        </w:rPr>
        <w:t xml:space="preserve"> disease had their fistulas closed for at least 1 evaluation visit (8 weeks). </w:t>
      </w:r>
    </w:p>
    <w:p w14:paraId="11F24BEF" w14:textId="77777777" w:rsidR="004A10AE" w:rsidRPr="0025669D" w:rsidRDefault="004A10AE" w:rsidP="007947DB">
      <w:pPr>
        <w:spacing w:line="240" w:lineRule="auto"/>
        <w:jc w:val="left"/>
        <w:rPr>
          <w:rFonts w:ascii="Times New Roman" w:eastAsia="Malgun Gothic" w:hAnsi="Times New Roman" w:cs="Times New Roman"/>
          <w:sz w:val="24"/>
          <w:szCs w:val="24"/>
        </w:rPr>
      </w:pPr>
      <w:r w:rsidRPr="0025669D">
        <w:rPr>
          <w:rFonts w:ascii="Times New Roman" w:eastAsia="Malgun Gothic" w:hAnsi="Times New Roman" w:cs="Times New Roman"/>
          <w:sz w:val="24"/>
          <w:szCs w:val="24"/>
        </w:rPr>
        <w:t xml:space="preserve">In the multiple-dose </w:t>
      </w:r>
      <w:r>
        <w:rPr>
          <w:rFonts w:ascii="Times New Roman" w:eastAsia="Malgun Gothic" w:hAnsi="Times New Roman" w:cs="Times New Roman"/>
          <w:sz w:val="24"/>
          <w:szCs w:val="24"/>
        </w:rPr>
        <w:t>Phase 3</w:t>
      </w:r>
      <w:r w:rsidRPr="0025669D">
        <w:rPr>
          <w:rFonts w:ascii="Times New Roman" w:eastAsia="Malgun Gothic" w:hAnsi="Times New Roman" w:cs="Times New Roman"/>
          <w:sz w:val="24"/>
          <w:szCs w:val="24"/>
        </w:rPr>
        <w:t xml:space="preserve"> trial (REACH), 112 patients (6 to 17 years, median age 13.0 years) received 5 mg/kg infliximab at weeks 0, 2, and 6. Patients assessed by the investigator to be in clinical response at week 10 were </w:t>
      </w:r>
      <w:proofErr w:type="spellStart"/>
      <w:r w:rsidRPr="0025669D">
        <w:rPr>
          <w:rFonts w:ascii="Times New Roman" w:eastAsia="Malgun Gothic" w:hAnsi="Times New Roman" w:cs="Times New Roman"/>
          <w:sz w:val="24"/>
          <w:szCs w:val="24"/>
        </w:rPr>
        <w:t>randomised</w:t>
      </w:r>
      <w:proofErr w:type="spellEnd"/>
      <w:r w:rsidRPr="0025669D">
        <w:rPr>
          <w:rFonts w:ascii="Times New Roman" w:eastAsia="Malgun Gothic" w:hAnsi="Times New Roman" w:cs="Times New Roman"/>
          <w:sz w:val="24"/>
          <w:szCs w:val="24"/>
        </w:rPr>
        <w:t xml:space="preserve"> and received either 5 mg/kg infliximab 8-weekly or 12-weekly as a maintenance treatment regimen. If response was lost during maintenance treatment, crossing over to a higher dose or shorter dosing interval was allowed. </w:t>
      </w:r>
    </w:p>
    <w:p w14:paraId="1757DA15" w14:textId="77777777" w:rsidR="004A10AE" w:rsidRPr="00613270" w:rsidRDefault="004A10AE" w:rsidP="007947DB">
      <w:pPr>
        <w:spacing w:line="240" w:lineRule="auto"/>
        <w:jc w:val="left"/>
        <w:rPr>
          <w:rFonts w:ascii="Times New Roman" w:eastAsia="Malgun Gothic" w:hAnsi="Times New Roman" w:cs="Times New Roman"/>
          <w:bCs/>
          <w:sz w:val="24"/>
          <w:szCs w:val="24"/>
          <w:lang w:val="en-GB"/>
        </w:rPr>
      </w:pPr>
      <w:r w:rsidRPr="00613270">
        <w:rPr>
          <w:rFonts w:ascii="Times New Roman" w:eastAsia="Malgun Gothic" w:hAnsi="Times New Roman" w:cs="Times New Roman"/>
          <w:bCs/>
          <w:sz w:val="24"/>
          <w:szCs w:val="24"/>
          <w:lang w:val="en-GB"/>
        </w:rPr>
        <w:t>In REACH, clinical response at Week 10 was 88.4% (99/112) as compared with 66.7% (128/192) in adults (ACCENT 1). Similarly, the proportion of subjects achieving clinical remission at week 10 was 58.9% (66/112) as compared with 39.1% (75/192) in adults (ACCENT 1).</w:t>
      </w:r>
    </w:p>
    <w:p w14:paraId="20560B55" w14:textId="77777777" w:rsidR="004A10AE" w:rsidRPr="0025669D" w:rsidRDefault="004A10AE" w:rsidP="007947DB">
      <w:pPr>
        <w:spacing w:line="240" w:lineRule="auto"/>
        <w:jc w:val="left"/>
        <w:rPr>
          <w:rFonts w:ascii="Times New Roman" w:eastAsia="Malgun Gothic" w:hAnsi="Times New Roman" w:cs="Times New Roman"/>
          <w:sz w:val="24"/>
          <w:szCs w:val="24"/>
        </w:rPr>
      </w:pPr>
      <w:r w:rsidRPr="0025669D">
        <w:rPr>
          <w:rFonts w:ascii="Times New Roman" w:eastAsia="Malgun Gothic" w:hAnsi="Times New Roman" w:cs="Times New Roman"/>
          <w:sz w:val="24"/>
          <w:szCs w:val="24"/>
        </w:rPr>
        <w:t xml:space="preserve">At week 30; the proportion of subjects in clinical response was significantly higher in the 8-weekly (73.1%, 38/52) than in the 12-weekly maintenance treatment group (47.1%, 24/51; p=0.007). At week 54, the proportion of subjects in clinical response was also significantly higher for subjects in the 8-weekly (63.5%, 33/52) than in the 12-weekly maintenance treatment group (33.3%, 17/51; p=0.002). </w:t>
      </w:r>
    </w:p>
    <w:p w14:paraId="1FFD7C18" w14:textId="77777777" w:rsidR="004A10AE" w:rsidRPr="0025669D" w:rsidRDefault="004A10AE" w:rsidP="007947DB">
      <w:pPr>
        <w:spacing w:line="240" w:lineRule="auto"/>
        <w:jc w:val="left"/>
        <w:rPr>
          <w:rFonts w:ascii="Times New Roman" w:eastAsia="Malgun Gothic" w:hAnsi="Times New Roman" w:cs="Times New Roman"/>
          <w:sz w:val="24"/>
          <w:szCs w:val="24"/>
        </w:rPr>
      </w:pPr>
      <w:r w:rsidRPr="0025669D">
        <w:rPr>
          <w:rFonts w:ascii="Times New Roman" w:eastAsia="Malgun Gothic" w:hAnsi="Times New Roman" w:cs="Times New Roman"/>
          <w:sz w:val="24"/>
          <w:szCs w:val="24"/>
        </w:rPr>
        <w:t xml:space="preserve">At week 30, the proportion of patients in clinical remission was significantly higher in the 8-weekly maintenance treatment group (59.6%, 31/52) than in the 12-weekly maintenance treatment group (35.3%, 18/51; p=0.013). At week 54, the proportion of patients in clinical remission was also significantly higher for patients in the 8-weekly (55.8%, 29/52) than in the 12-weekly (23.5%, 12/51; p&lt;0.001) maintenance treatment groups. </w:t>
      </w:r>
    </w:p>
    <w:p w14:paraId="5A8E71BE" w14:textId="77777777" w:rsidR="004A10AE" w:rsidRPr="0025669D" w:rsidRDefault="004A10AE" w:rsidP="007947DB">
      <w:pPr>
        <w:spacing w:line="240" w:lineRule="auto"/>
        <w:jc w:val="left"/>
        <w:rPr>
          <w:rFonts w:ascii="Times New Roman" w:eastAsia="Malgun Gothic" w:hAnsi="Times New Roman" w:cs="Times New Roman"/>
          <w:sz w:val="24"/>
          <w:szCs w:val="24"/>
        </w:rPr>
      </w:pPr>
      <w:r w:rsidRPr="0025669D">
        <w:rPr>
          <w:rFonts w:ascii="Times New Roman" w:eastAsia="Malgun Gothic" w:hAnsi="Times New Roman" w:cs="Times New Roman"/>
          <w:sz w:val="24"/>
          <w:szCs w:val="24"/>
        </w:rPr>
        <w:t xml:space="preserve">In REACH, the change from baseline in average daily corticosteroid use was significant at weeks 10, 30, and 54 (p&lt;0.001). For patients receiving corticosteroids at baseline in REACH, clinical remission achieved with no corticosteroids at week 30 was 45.8% for the 8-weekly and 33.3% for the 12-weekly maintenance treatment group. At week 54, 45.8% of patients in the 8-weekly and 16.7% of subjects in the 12-weekly maintenance treatment group were in clinical remission and not receiving corticosteroids. </w:t>
      </w:r>
    </w:p>
    <w:p w14:paraId="25AE7BBD" w14:textId="77777777" w:rsidR="004A10AE" w:rsidRPr="0025669D" w:rsidRDefault="004A10AE" w:rsidP="007947DB">
      <w:pPr>
        <w:spacing w:line="240" w:lineRule="auto"/>
        <w:jc w:val="left"/>
        <w:rPr>
          <w:rFonts w:ascii="Times New Roman" w:eastAsia="Malgun Gothic" w:hAnsi="Times New Roman" w:cs="Times New Roman"/>
          <w:sz w:val="24"/>
          <w:szCs w:val="24"/>
        </w:rPr>
      </w:pPr>
      <w:r w:rsidRPr="0025669D">
        <w:rPr>
          <w:rFonts w:ascii="Times New Roman" w:eastAsia="Malgun Gothic" w:hAnsi="Times New Roman" w:cs="Times New Roman"/>
          <w:sz w:val="24"/>
          <w:szCs w:val="24"/>
        </w:rPr>
        <w:t xml:space="preserve">Quality of life was assessed using the IMPACT III score (a QOL questionnaire specifically developed and validated for </w:t>
      </w:r>
      <w:proofErr w:type="spellStart"/>
      <w:r w:rsidRPr="0025669D">
        <w:rPr>
          <w:rFonts w:ascii="Times New Roman" w:eastAsia="Malgun Gothic" w:hAnsi="Times New Roman" w:cs="Times New Roman"/>
          <w:sz w:val="24"/>
          <w:szCs w:val="24"/>
        </w:rPr>
        <w:t>paediatric</w:t>
      </w:r>
      <w:proofErr w:type="spellEnd"/>
      <w:r w:rsidRPr="0025669D">
        <w:rPr>
          <w:rFonts w:ascii="Times New Roman" w:eastAsia="Malgun Gothic" w:hAnsi="Times New Roman" w:cs="Times New Roman"/>
          <w:sz w:val="24"/>
          <w:szCs w:val="24"/>
        </w:rPr>
        <w:t xml:space="preserve"> patients with inflammatory bowel disease). It was administered only to subjects in North America. The mean changes (negative change indicates improvement) from baseline of the IMPACT III score at Weeks 10, 30 and 54 (-22.9, -21.1, and -24.3, respectively) were all significant (p&lt;0.001). </w:t>
      </w:r>
    </w:p>
    <w:p w14:paraId="31CDC2D9" w14:textId="3C4F465D" w:rsidR="004A10AE" w:rsidRDefault="004A10AE" w:rsidP="007947DB">
      <w:pPr>
        <w:spacing w:line="240" w:lineRule="auto"/>
        <w:jc w:val="left"/>
        <w:rPr>
          <w:rFonts w:ascii="Times New Roman" w:eastAsia="Malgun Gothic" w:hAnsi="Times New Roman" w:cs="Times New Roman"/>
          <w:sz w:val="24"/>
          <w:szCs w:val="24"/>
        </w:rPr>
      </w:pPr>
      <w:r w:rsidRPr="0025669D">
        <w:rPr>
          <w:rFonts w:ascii="Times New Roman" w:eastAsia="Malgun Gothic" w:hAnsi="Times New Roman" w:cs="Times New Roman"/>
          <w:sz w:val="24"/>
          <w:szCs w:val="24"/>
        </w:rPr>
        <w:lastRenderedPageBreak/>
        <w:t xml:space="preserve">The height z-score is a measure of the deviation of the </w:t>
      </w:r>
      <w:proofErr w:type="spellStart"/>
      <w:r w:rsidRPr="0025669D">
        <w:rPr>
          <w:rFonts w:ascii="Times New Roman" w:eastAsia="Malgun Gothic" w:hAnsi="Times New Roman" w:cs="Times New Roman"/>
          <w:sz w:val="24"/>
          <w:szCs w:val="24"/>
        </w:rPr>
        <w:t>paediatric</w:t>
      </w:r>
      <w:proofErr w:type="spellEnd"/>
      <w:r w:rsidRPr="0025669D">
        <w:rPr>
          <w:rFonts w:ascii="Times New Roman" w:eastAsia="Malgun Gothic" w:hAnsi="Times New Roman" w:cs="Times New Roman"/>
          <w:sz w:val="24"/>
          <w:szCs w:val="24"/>
        </w:rPr>
        <w:t xml:space="preserve"> patient’s height from the expected height for a population of the same age and gender. In the population studied, the median z-score at baseline was –1.6. The median changes from baseline in the z-scores were 0.3 and 0.4 for week 30 and week 54, respectively. The z scores were significantly improved from baseline at both week 30 (p&lt;0.001) and week 54 (p&lt;0.001).</w:t>
      </w:r>
    </w:p>
    <w:p w14:paraId="484B2425" w14:textId="77777777" w:rsidR="00E75073" w:rsidRPr="0025669D" w:rsidRDefault="00E75073" w:rsidP="007947DB">
      <w:pPr>
        <w:spacing w:line="240" w:lineRule="auto"/>
        <w:jc w:val="left"/>
        <w:rPr>
          <w:rFonts w:ascii="Times New Roman" w:eastAsia="Malgun Gothic" w:hAnsi="Times New Roman" w:cs="Times New Roman"/>
          <w:sz w:val="24"/>
          <w:szCs w:val="24"/>
        </w:rPr>
      </w:pPr>
    </w:p>
    <w:p w14:paraId="3DB8D9B8" w14:textId="77777777" w:rsidR="004A10AE" w:rsidRPr="0025669D" w:rsidRDefault="004A10AE" w:rsidP="007947DB">
      <w:pPr>
        <w:pStyle w:val="Heading2"/>
        <w:tabs>
          <w:tab w:val="num" w:pos="1418"/>
        </w:tabs>
        <w:spacing w:after="0"/>
        <w:ind w:left="1702" w:hangingChars="709" w:hanging="1702"/>
        <w:rPr>
          <w:rFonts w:eastAsia="Malgun Gothic" w:cs="Times New Roman"/>
          <w:szCs w:val="24"/>
          <w:lang w:eastAsia="ko-KR"/>
        </w:rPr>
      </w:pPr>
      <w:r w:rsidRPr="0025669D">
        <w:rPr>
          <w:rFonts w:eastAsia="Malgun Gothic" w:cs="Times New Roman"/>
          <w:szCs w:val="24"/>
          <w:lang w:eastAsia="ko-KR"/>
        </w:rPr>
        <w:t xml:space="preserve">• </w:t>
      </w:r>
      <w:r w:rsidRPr="0035249D">
        <w:rPr>
          <w:rFonts w:eastAsia="Malgun Gothic" w:cs="Times New Roman"/>
          <w:szCs w:val="24"/>
          <w:lang w:eastAsia="ko-KR"/>
        </w:rPr>
        <w:t xml:space="preserve">Ulcerative colitis </w:t>
      </w:r>
    </w:p>
    <w:p w14:paraId="77854E58" w14:textId="77777777" w:rsidR="004A10AE" w:rsidRDefault="004A10AE" w:rsidP="007947DB">
      <w:pPr>
        <w:spacing w:after="0" w:line="240" w:lineRule="auto"/>
        <w:jc w:val="left"/>
        <w:rPr>
          <w:rFonts w:ascii="Times New Roman" w:eastAsia="Malgun Gothic" w:hAnsi="Times New Roman" w:cs="Times New Roman"/>
          <w:sz w:val="24"/>
          <w:szCs w:val="24"/>
        </w:rPr>
      </w:pPr>
      <w:r w:rsidRPr="0025669D">
        <w:rPr>
          <w:rFonts w:ascii="Times New Roman" w:eastAsia="Malgun Gothic" w:hAnsi="Times New Roman" w:cs="Times New Roman"/>
          <w:sz w:val="24"/>
          <w:szCs w:val="24"/>
        </w:rPr>
        <w:t xml:space="preserve">The safety and efficacy of infliximab were assessed in two (ACT 1 and ACT 2) </w:t>
      </w:r>
      <w:proofErr w:type="spellStart"/>
      <w:r w:rsidRPr="0025669D">
        <w:rPr>
          <w:rFonts w:ascii="Times New Roman" w:eastAsia="Malgun Gothic" w:hAnsi="Times New Roman" w:cs="Times New Roman"/>
          <w:sz w:val="24"/>
          <w:szCs w:val="24"/>
        </w:rPr>
        <w:t>randomised</w:t>
      </w:r>
      <w:proofErr w:type="spellEnd"/>
      <w:r w:rsidRPr="0025669D">
        <w:rPr>
          <w:rFonts w:ascii="Times New Roman" w:eastAsia="Malgun Gothic" w:hAnsi="Times New Roman" w:cs="Times New Roman"/>
          <w:sz w:val="24"/>
          <w:szCs w:val="24"/>
        </w:rPr>
        <w:t xml:space="preserve">, double-blind, placebo-controlled clinical studies in adult patients with moderately to severely active ulcerative colitis (Mayo score 6 to 12; Endoscopy </w:t>
      </w:r>
      <w:proofErr w:type="spellStart"/>
      <w:r w:rsidRPr="0025669D">
        <w:rPr>
          <w:rFonts w:ascii="Times New Roman" w:eastAsia="Malgun Gothic" w:hAnsi="Times New Roman" w:cs="Times New Roman"/>
          <w:sz w:val="24"/>
          <w:szCs w:val="24"/>
        </w:rPr>
        <w:t>subscore</w:t>
      </w:r>
      <w:proofErr w:type="spellEnd"/>
      <w:r w:rsidRPr="0025669D">
        <w:rPr>
          <w:rFonts w:ascii="Times New Roman" w:eastAsia="Malgun Gothic" w:hAnsi="Times New Roman" w:cs="Times New Roman"/>
          <w:sz w:val="24"/>
          <w:szCs w:val="24"/>
        </w:rPr>
        <w:t xml:space="preserve"> ≥2) with an inadequate response to conventional therapies [oral corticosteroids, </w:t>
      </w:r>
      <w:proofErr w:type="spellStart"/>
      <w:r w:rsidRPr="0025669D">
        <w:rPr>
          <w:rFonts w:ascii="Times New Roman" w:eastAsia="Malgun Gothic" w:hAnsi="Times New Roman" w:cs="Times New Roman"/>
          <w:sz w:val="24"/>
          <w:szCs w:val="24"/>
        </w:rPr>
        <w:t>aminosalicylates</w:t>
      </w:r>
      <w:proofErr w:type="spellEnd"/>
      <w:r w:rsidRPr="0025669D">
        <w:rPr>
          <w:rFonts w:ascii="Times New Roman" w:eastAsia="Malgun Gothic" w:hAnsi="Times New Roman" w:cs="Times New Roman"/>
          <w:sz w:val="24"/>
          <w:szCs w:val="24"/>
        </w:rPr>
        <w:t xml:space="preserve"> and/or </w:t>
      </w:r>
      <w:proofErr w:type="spellStart"/>
      <w:r w:rsidRPr="0025669D">
        <w:rPr>
          <w:rFonts w:ascii="Times New Roman" w:eastAsia="Malgun Gothic" w:hAnsi="Times New Roman" w:cs="Times New Roman"/>
          <w:sz w:val="24"/>
          <w:szCs w:val="24"/>
        </w:rPr>
        <w:t>immunomodulators</w:t>
      </w:r>
      <w:proofErr w:type="spellEnd"/>
      <w:r w:rsidRPr="0025669D">
        <w:rPr>
          <w:rFonts w:ascii="Times New Roman" w:eastAsia="Malgun Gothic" w:hAnsi="Times New Roman" w:cs="Times New Roman"/>
          <w:sz w:val="24"/>
          <w:szCs w:val="24"/>
        </w:rPr>
        <w:t xml:space="preserve"> </w:t>
      </w:r>
      <w:r w:rsidRPr="00507B14">
        <w:rPr>
          <w:rFonts w:ascii="Times New Roman" w:eastAsia="Malgun Gothic" w:hAnsi="Times New Roman" w:cs="Times New Roman"/>
          <w:sz w:val="24"/>
          <w:szCs w:val="24"/>
        </w:rPr>
        <w:t xml:space="preserve">(6-mercaptopurine (6-MP), azathioprine (AZA)]. </w:t>
      </w:r>
      <w:r w:rsidRPr="0025669D">
        <w:rPr>
          <w:rFonts w:ascii="Times New Roman" w:eastAsia="Malgun Gothic" w:hAnsi="Times New Roman" w:cs="Times New Roman"/>
          <w:sz w:val="24"/>
          <w:szCs w:val="24"/>
        </w:rPr>
        <w:t xml:space="preserve">Concomitant stable doses of oral </w:t>
      </w:r>
      <w:proofErr w:type="spellStart"/>
      <w:r w:rsidRPr="0025669D">
        <w:rPr>
          <w:rFonts w:ascii="Times New Roman" w:eastAsia="Malgun Gothic" w:hAnsi="Times New Roman" w:cs="Times New Roman"/>
          <w:sz w:val="24"/>
          <w:szCs w:val="24"/>
        </w:rPr>
        <w:t>aminosalicylates</w:t>
      </w:r>
      <w:proofErr w:type="spellEnd"/>
      <w:r w:rsidRPr="0025669D">
        <w:rPr>
          <w:rFonts w:ascii="Times New Roman" w:eastAsia="Malgun Gothic" w:hAnsi="Times New Roman" w:cs="Times New Roman"/>
          <w:sz w:val="24"/>
          <w:szCs w:val="24"/>
        </w:rPr>
        <w:t xml:space="preserve">, corticosteroids, and/or immunomodulatory agents were permitted. In both studies, patients were </w:t>
      </w:r>
      <w:proofErr w:type="spellStart"/>
      <w:r w:rsidRPr="0025669D">
        <w:rPr>
          <w:rFonts w:ascii="Times New Roman" w:eastAsia="Malgun Gothic" w:hAnsi="Times New Roman" w:cs="Times New Roman"/>
          <w:sz w:val="24"/>
          <w:szCs w:val="24"/>
        </w:rPr>
        <w:t>randomised</w:t>
      </w:r>
      <w:proofErr w:type="spellEnd"/>
      <w:r w:rsidRPr="0025669D">
        <w:rPr>
          <w:rFonts w:ascii="Times New Roman" w:eastAsia="Malgun Gothic" w:hAnsi="Times New Roman" w:cs="Times New Roman"/>
          <w:sz w:val="24"/>
          <w:szCs w:val="24"/>
        </w:rPr>
        <w:t xml:space="preserve"> to receive </w:t>
      </w:r>
      <w:proofErr w:type="gramStart"/>
      <w:r w:rsidRPr="0025669D">
        <w:rPr>
          <w:rFonts w:ascii="Times New Roman" w:eastAsia="Malgun Gothic" w:hAnsi="Times New Roman" w:cs="Times New Roman"/>
          <w:sz w:val="24"/>
          <w:szCs w:val="24"/>
        </w:rPr>
        <w:t>either placebo</w:t>
      </w:r>
      <w:proofErr w:type="gramEnd"/>
      <w:r w:rsidRPr="0025669D">
        <w:rPr>
          <w:rFonts w:ascii="Times New Roman" w:eastAsia="Malgun Gothic" w:hAnsi="Times New Roman" w:cs="Times New Roman"/>
          <w:sz w:val="24"/>
          <w:szCs w:val="24"/>
        </w:rPr>
        <w:t xml:space="preserve">, 5 mg/kg infliximab, or 10 mg/kg infliximab at weeks 0, 2, 6, 14 and 22, and in ACT 1 at weeks 30, 38 and 46. Corticosteroid taper was permitted after week 8. </w:t>
      </w:r>
    </w:p>
    <w:p w14:paraId="501B7264" w14:textId="77777777" w:rsidR="004A10AE" w:rsidRPr="0025669D" w:rsidRDefault="004A10AE" w:rsidP="007947DB">
      <w:pPr>
        <w:spacing w:after="0" w:line="240" w:lineRule="auto"/>
        <w:jc w:val="left"/>
        <w:rPr>
          <w:rFonts w:ascii="Times New Roman" w:eastAsia="Malgun Gothic" w:hAnsi="Times New Roman" w:cs="Times New Roman"/>
          <w:sz w:val="24"/>
          <w:szCs w:val="24"/>
        </w:rPr>
      </w:pPr>
    </w:p>
    <w:p w14:paraId="480039DF" w14:textId="77777777" w:rsidR="004A10AE" w:rsidRPr="0025669D" w:rsidRDefault="004A10AE" w:rsidP="007947DB">
      <w:pPr>
        <w:spacing w:line="240" w:lineRule="auto"/>
        <w:jc w:val="left"/>
        <w:rPr>
          <w:rFonts w:ascii="Times New Roman" w:eastAsia="Malgun Gothic" w:hAnsi="Times New Roman" w:cs="Times New Roman"/>
          <w:sz w:val="24"/>
          <w:szCs w:val="24"/>
        </w:rPr>
      </w:pPr>
      <w:r w:rsidRPr="0025669D">
        <w:rPr>
          <w:rFonts w:ascii="Times New Roman" w:eastAsia="Malgun Gothic" w:hAnsi="Times New Roman" w:cs="Times New Roman"/>
          <w:sz w:val="24"/>
          <w:szCs w:val="24"/>
        </w:rPr>
        <w:t xml:space="preserve">In both studies, clinical response and clinical remission were defined based on the Mayo score, which consists of four </w:t>
      </w:r>
      <w:proofErr w:type="spellStart"/>
      <w:r w:rsidRPr="0025669D">
        <w:rPr>
          <w:rFonts w:ascii="Times New Roman" w:eastAsia="Malgun Gothic" w:hAnsi="Times New Roman" w:cs="Times New Roman"/>
          <w:sz w:val="24"/>
          <w:szCs w:val="24"/>
        </w:rPr>
        <w:t>subscores</w:t>
      </w:r>
      <w:proofErr w:type="spellEnd"/>
      <w:r w:rsidRPr="0025669D">
        <w:rPr>
          <w:rFonts w:ascii="Times New Roman" w:eastAsia="Malgun Gothic" w:hAnsi="Times New Roman" w:cs="Times New Roman"/>
          <w:sz w:val="24"/>
          <w:szCs w:val="24"/>
        </w:rPr>
        <w:t xml:space="preserve">: stool frequency, rectal bleeding, findings of endoscopy, and physician’s global assessment. Each </w:t>
      </w:r>
      <w:proofErr w:type="spellStart"/>
      <w:r w:rsidRPr="0025669D">
        <w:rPr>
          <w:rFonts w:ascii="Times New Roman" w:eastAsia="Malgun Gothic" w:hAnsi="Times New Roman" w:cs="Times New Roman"/>
          <w:sz w:val="24"/>
          <w:szCs w:val="24"/>
        </w:rPr>
        <w:t>subscore</w:t>
      </w:r>
      <w:proofErr w:type="spellEnd"/>
      <w:r w:rsidRPr="0025669D">
        <w:rPr>
          <w:rFonts w:ascii="Times New Roman" w:eastAsia="Malgun Gothic" w:hAnsi="Times New Roman" w:cs="Times New Roman"/>
          <w:sz w:val="24"/>
          <w:szCs w:val="24"/>
        </w:rPr>
        <w:t xml:space="preserve"> is rated on a scale from 0 to 3, indicating normal (0) to severe (3) activity. The Mayo score is the sum of the 4 </w:t>
      </w:r>
      <w:proofErr w:type="spellStart"/>
      <w:r w:rsidRPr="0025669D">
        <w:rPr>
          <w:rFonts w:ascii="Times New Roman" w:eastAsia="Malgun Gothic" w:hAnsi="Times New Roman" w:cs="Times New Roman"/>
          <w:sz w:val="24"/>
          <w:szCs w:val="24"/>
        </w:rPr>
        <w:t>subscores</w:t>
      </w:r>
      <w:proofErr w:type="spellEnd"/>
      <w:r w:rsidRPr="0025669D">
        <w:rPr>
          <w:rFonts w:ascii="Times New Roman" w:eastAsia="Malgun Gothic" w:hAnsi="Times New Roman" w:cs="Times New Roman"/>
          <w:sz w:val="24"/>
          <w:szCs w:val="24"/>
        </w:rPr>
        <w:t xml:space="preserve">. Clinical response was defined as a decrease from baseline in the Mayo score of ≥30% and ≥3 points, accompanied by a decrease in the rectal bleeding </w:t>
      </w:r>
      <w:proofErr w:type="spellStart"/>
      <w:r w:rsidRPr="0025669D">
        <w:rPr>
          <w:rFonts w:ascii="Times New Roman" w:eastAsia="Malgun Gothic" w:hAnsi="Times New Roman" w:cs="Times New Roman"/>
          <w:sz w:val="24"/>
          <w:szCs w:val="24"/>
        </w:rPr>
        <w:t>subscore</w:t>
      </w:r>
      <w:proofErr w:type="spellEnd"/>
      <w:r w:rsidRPr="0025669D">
        <w:rPr>
          <w:rFonts w:ascii="Times New Roman" w:eastAsia="Malgun Gothic" w:hAnsi="Times New Roman" w:cs="Times New Roman"/>
          <w:sz w:val="24"/>
          <w:szCs w:val="24"/>
        </w:rPr>
        <w:t xml:space="preserve"> of ≥1 or </w:t>
      </w:r>
      <w:proofErr w:type="gramStart"/>
      <w:r w:rsidRPr="0025669D">
        <w:rPr>
          <w:rFonts w:ascii="Times New Roman" w:eastAsia="Malgun Gothic" w:hAnsi="Times New Roman" w:cs="Times New Roman"/>
          <w:sz w:val="24"/>
          <w:szCs w:val="24"/>
        </w:rPr>
        <w:t>a rectal</w:t>
      </w:r>
      <w:proofErr w:type="gramEnd"/>
      <w:r w:rsidRPr="0025669D">
        <w:rPr>
          <w:rFonts w:ascii="Times New Roman" w:eastAsia="Malgun Gothic" w:hAnsi="Times New Roman" w:cs="Times New Roman"/>
          <w:sz w:val="24"/>
          <w:szCs w:val="24"/>
        </w:rPr>
        <w:t xml:space="preserve"> bleeding </w:t>
      </w:r>
      <w:proofErr w:type="spellStart"/>
      <w:r w:rsidRPr="0025669D">
        <w:rPr>
          <w:rFonts w:ascii="Times New Roman" w:eastAsia="Malgun Gothic" w:hAnsi="Times New Roman" w:cs="Times New Roman"/>
          <w:sz w:val="24"/>
          <w:szCs w:val="24"/>
        </w:rPr>
        <w:t>subscore</w:t>
      </w:r>
      <w:proofErr w:type="spellEnd"/>
      <w:r w:rsidRPr="0025669D">
        <w:rPr>
          <w:rFonts w:ascii="Times New Roman" w:eastAsia="Malgun Gothic" w:hAnsi="Times New Roman" w:cs="Times New Roman"/>
          <w:sz w:val="24"/>
          <w:szCs w:val="24"/>
        </w:rPr>
        <w:t xml:space="preserve"> of 0 or 1. Clinical remission was defined as a Mayo score ≤2 points, with no individual </w:t>
      </w:r>
      <w:proofErr w:type="spellStart"/>
      <w:r w:rsidRPr="0025669D">
        <w:rPr>
          <w:rFonts w:ascii="Times New Roman" w:eastAsia="Malgun Gothic" w:hAnsi="Times New Roman" w:cs="Times New Roman"/>
          <w:sz w:val="24"/>
          <w:szCs w:val="24"/>
        </w:rPr>
        <w:t>subscore</w:t>
      </w:r>
      <w:proofErr w:type="spellEnd"/>
      <w:r w:rsidRPr="0025669D">
        <w:rPr>
          <w:rFonts w:ascii="Times New Roman" w:eastAsia="Malgun Gothic" w:hAnsi="Times New Roman" w:cs="Times New Roman"/>
          <w:sz w:val="24"/>
          <w:szCs w:val="24"/>
        </w:rPr>
        <w:t xml:space="preserve"> &gt;1. </w:t>
      </w:r>
    </w:p>
    <w:p w14:paraId="4BB90E28" w14:textId="77777777" w:rsidR="004A10AE" w:rsidRDefault="004A10AE" w:rsidP="007947DB">
      <w:pPr>
        <w:spacing w:line="240" w:lineRule="auto"/>
        <w:jc w:val="left"/>
        <w:rPr>
          <w:rFonts w:ascii="Times New Roman" w:eastAsia="Malgun Gothic" w:hAnsi="Times New Roman" w:cs="Times New Roman"/>
          <w:color w:val="000000"/>
          <w:kern w:val="0"/>
          <w:sz w:val="24"/>
          <w:szCs w:val="24"/>
        </w:rPr>
      </w:pPr>
      <w:r w:rsidRPr="0025669D">
        <w:rPr>
          <w:rFonts w:ascii="Times New Roman" w:eastAsia="Malgun Gothic" w:hAnsi="Times New Roman" w:cs="Times New Roman"/>
          <w:sz w:val="24"/>
          <w:szCs w:val="24"/>
        </w:rPr>
        <w:t xml:space="preserve">In both ACT 1 and ACT 2 the primary endpoint was clinical response at Week 8. The major secondary endpoints were clinical response at Week 30, clinical remission at Week 8 and clinical remission at Week 30. The other major secondary endpoint was mucosal healing, which is defined </w:t>
      </w:r>
      <w:proofErr w:type="gramStart"/>
      <w:r w:rsidRPr="0025669D">
        <w:rPr>
          <w:rFonts w:ascii="Times New Roman" w:eastAsia="Malgun Gothic" w:hAnsi="Times New Roman" w:cs="Times New Roman"/>
          <w:sz w:val="24"/>
          <w:szCs w:val="24"/>
        </w:rPr>
        <w:t>as a</w:t>
      </w:r>
      <w:proofErr w:type="gramEnd"/>
      <w:r w:rsidRPr="0025669D">
        <w:rPr>
          <w:rFonts w:ascii="Times New Roman" w:eastAsia="Malgun Gothic" w:hAnsi="Times New Roman" w:cs="Times New Roman"/>
          <w:sz w:val="24"/>
          <w:szCs w:val="24"/>
        </w:rPr>
        <w:t xml:space="preserve"> Mayo endoscopy </w:t>
      </w:r>
      <w:proofErr w:type="spellStart"/>
      <w:r w:rsidRPr="0025669D">
        <w:rPr>
          <w:rFonts w:ascii="Times New Roman" w:eastAsia="Malgun Gothic" w:hAnsi="Times New Roman" w:cs="Times New Roman"/>
          <w:sz w:val="24"/>
          <w:szCs w:val="24"/>
        </w:rPr>
        <w:t>subscore</w:t>
      </w:r>
      <w:proofErr w:type="spellEnd"/>
      <w:r w:rsidRPr="0025669D">
        <w:rPr>
          <w:rFonts w:ascii="Times New Roman" w:eastAsia="Malgun Gothic" w:hAnsi="Times New Roman" w:cs="Times New Roman"/>
          <w:sz w:val="24"/>
          <w:szCs w:val="24"/>
        </w:rPr>
        <w:t xml:space="preserve"> of 0 or 1. Other efficacy endpoints include: corticosteroid endpoint (decrease in median daily corticosteroid dose from baseline to Week 30), sustained response (subjects in clinical response at both Week 8 and Week 30), sustained remission (subjects in clinical remission at both Week 8 and Week 30) and Quality of life, as measured by the IBDQ, SF 36, and EQ-5D.</w:t>
      </w:r>
      <w:r w:rsidRPr="0025669D">
        <w:rPr>
          <w:rFonts w:ascii="Times New Roman" w:eastAsia="Malgun Gothic" w:hAnsi="Times New Roman" w:cs="Times New Roman"/>
          <w:color w:val="000000"/>
          <w:kern w:val="0"/>
          <w:sz w:val="24"/>
          <w:szCs w:val="24"/>
        </w:rPr>
        <w:t xml:space="preserve"> </w:t>
      </w:r>
    </w:p>
    <w:p w14:paraId="1560EED3" w14:textId="4317CB28" w:rsidR="004A10AE" w:rsidRDefault="004A10AE" w:rsidP="007947DB">
      <w:pPr>
        <w:widowControl/>
        <w:wordWrap/>
        <w:autoSpaceDE/>
        <w:autoSpaceDN/>
        <w:spacing w:line="240" w:lineRule="auto"/>
        <w:rPr>
          <w:rFonts w:ascii="Times New Roman" w:eastAsia="Malgun Gothic" w:hAnsi="Times New Roman" w:cs="Times New Roman"/>
          <w:color w:val="000000"/>
          <w:kern w:val="0"/>
          <w:sz w:val="24"/>
          <w:szCs w:val="24"/>
        </w:rPr>
      </w:pPr>
      <w:r>
        <w:rPr>
          <w:rFonts w:ascii="Times New Roman" w:eastAsia="Malgun Gothic" w:hAnsi="Times New Roman" w:cs="Times New Roman"/>
          <w:color w:val="000000"/>
          <w:kern w:val="0"/>
          <w:sz w:val="24"/>
          <w:szCs w:val="24"/>
        </w:rPr>
        <w:br w:type="page"/>
      </w:r>
    </w:p>
    <w:p w14:paraId="42B6C368" w14:textId="77777777" w:rsidR="004A10AE" w:rsidRPr="004A1760" w:rsidRDefault="004A10AE" w:rsidP="007947DB">
      <w:pPr>
        <w:spacing w:after="0" w:line="240" w:lineRule="auto"/>
        <w:jc w:val="left"/>
        <w:rPr>
          <w:rFonts w:ascii="Times New Roman" w:eastAsia="Malgun Gothic" w:hAnsi="Times New Roman" w:cs="Times New Roman"/>
          <w:color w:val="000000"/>
          <w:kern w:val="0"/>
          <w:sz w:val="4"/>
          <w:szCs w:val="4"/>
        </w:rPr>
      </w:pPr>
    </w:p>
    <w:p w14:paraId="787353CE" w14:textId="27ADA105" w:rsidR="004A10AE" w:rsidRPr="00B75374" w:rsidRDefault="004A10AE" w:rsidP="007947DB">
      <w:pPr>
        <w:pStyle w:val="Caption"/>
        <w:keepNext/>
        <w:spacing w:after="0" w:line="240" w:lineRule="auto"/>
        <w:ind w:left="880" w:hangingChars="400" w:hanging="880"/>
        <w:rPr>
          <w:rFonts w:ascii="Times New Roman" w:hAnsi="Times New Roman" w:cs="Times New Roman"/>
          <w:sz w:val="22"/>
          <w:szCs w:val="22"/>
        </w:rPr>
      </w:pPr>
      <w:bookmarkStart w:id="11" w:name="_Ref423969043"/>
      <w:proofErr w:type="gramStart"/>
      <w:r w:rsidRPr="00B75374">
        <w:rPr>
          <w:rFonts w:ascii="Times New Roman" w:hAnsi="Times New Roman" w:cs="Times New Roman"/>
          <w:sz w:val="22"/>
          <w:szCs w:val="22"/>
        </w:rPr>
        <w:t xml:space="preserve">Table </w:t>
      </w:r>
      <w:r w:rsidRPr="00B75374">
        <w:rPr>
          <w:rFonts w:ascii="Times New Roman" w:hAnsi="Times New Roman" w:cs="Times New Roman"/>
          <w:sz w:val="22"/>
          <w:szCs w:val="22"/>
        </w:rPr>
        <w:fldChar w:fldCharType="begin"/>
      </w:r>
      <w:r w:rsidRPr="00B75374">
        <w:rPr>
          <w:rFonts w:ascii="Times New Roman" w:hAnsi="Times New Roman" w:cs="Times New Roman"/>
          <w:sz w:val="22"/>
          <w:szCs w:val="22"/>
        </w:rPr>
        <w:instrText xml:space="preserve"> SEQ Table \* ARABIC </w:instrText>
      </w:r>
      <w:r w:rsidRPr="00B75374">
        <w:rPr>
          <w:rFonts w:ascii="Times New Roman" w:hAnsi="Times New Roman" w:cs="Times New Roman"/>
          <w:sz w:val="22"/>
          <w:szCs w:val="22"/>
        </w:rPr>
        <w:fldChar w:fldCharType="separate"/>
      </w:r>
      <w:r w:rsidR="005A6BF4">
        <w:rPr>
          <w:rFonts w:ascii="Times New Roman" w:hAnsi="Times New Roman" w:cs="Times New Roman"/>
          <w:noProof/>
          <w:sz w:val="22"/>
          <w:szCs w:val="22"/>
        </w:rPr>
        <w:t>9</w:t>
      </w:r>
      <w:r w:rsidRPr="00B75374">
        <w:rPr>
          <w:rFonts w:ascii="Times New Roman" w:hAnsi="Times New Roman" w:cs="Times New Roman"/>
          <w:sz w:val="22"/>
          <w:szCs w:val="22"/>
        </w:rPr>
        <w:fldChar w:fldCharType="end"/>
      </w:r>
      <w:bookmarkEnd w:id="11"/>
      <w:r w:rsidRPr="00B75374">
        <w:rPr>
          <w:rFonts w:ascii="Times New Roman" w:hAnsi="Times New Roman" w:cs="Times New Roman"/>
          <w:sz w:val="22"/>
          <w:szCs w:val="22"/>
        </w:rPr>
        <w:t>.</w:t>
      </w:r>
      <w:proofErr w:type="gramEnd"/>
      <w:r w:rsidRPr="00B75374">
        <w:rPr>
          <w:rFonts w:ascii="Times New Roman" w:hAnsi="Times New Roman" w:cs="Times New Roman"/>
          <w:sz w:val="22"/>
          <w:szCs w:val="22"/>
        </w:rPr>
        <w:t xml:space="preserve"> </w:t>
      </w:r>
      <w:proofErr w:type="gramStart"/>
      <w:r w:rsidRPr="007947DB">
        <w:rPr>
          <w:rFonts w:ascii="Times New Roman" w:hAnsi="Times New Roman" w:cs="Times New Roman"/>
          <w:sz w:val="22"/>
          <w:szCs w:val="22"/>
        </w:rPr>
        <w:t>Effects on clinical response, clinical remission and mucosal healing at Weeks 8 and 30.</w:t>
      </w:r>
      <w:proofErr w:type="gramEnd"/>
      <w:r w:rsidRPr="007947DB">
        <w:rPr>
          <w:rFonts w:ascii="Times New Roman" w:hAnsi="Times New Roman" w:cs="Times New Roman"/>
          <w:sz w:val="22"/>
          <w:szCs w:val="22"/>
        </w:rPr>
        <w:t xml:space="preserve"> Combined data from ACT 1 and ACT 2</w:t>
      </w:r>
    </w:p>
    <w:tbl>
      <w:tblPr>
        <w:tblW w:w="5000" w:type="pct"/>
        <w:tblCellMar>
          <w:left w:w="0" w:type="dxa"/>
          <w:right w:w="0" w:type="dxa"/>
        </w:tblCellMar>
        <w:tblLook w:val="0000" w:firstRow="0" w:lastRow="0" w:firstColumn="0" w:lastColumn="0" w:noHBand="0" w:noVBand="0"/>
      </w:tblPr>
      <w:tblGrid>
        <w:gridCol w:w="3010"/>
        <w:gridCol w:w="62"/>
        <w:gridCol w:w="1380"/>
        <w:gridCol w:w="63"/>
        <w:gridCol w:w="61"/>
        <w:gridCol w:w="1379"/>
        <w:gridCol w:w="63"/>
        <w:gridCol w:w="61"/>
        <w:gridCol w:w="1379"/>
        <w:gridCol w:w="63"/>
        <w:gridCol w:w="61"/>
        <w:gridCol w:w="1444"/>
      </w:tblGrid>
      <w:tr w:rsidR="004A10AE" w:rsidRPr="00500B42" w14:paraId="1B9783A1" w14:textId="77777777" w:rsidTr="005A4B0D">
        <w:trPr>
          <w:cantSplit/>
          <w:tblHeader/>
        </w:trPr>
        <w:tc>
          <w:tcPr>
            <w:tcW w:w="1701" w:type="pct"/>
            <w:gridSpan w:val="2"/>
            <w:tcBorders>
              <w:top w:val="single" w:sz="12" w:space="0" w:color="auto"/>
              <w:left w:val="nil"/>
              <w:right w:val="nil"/>
            </w:tcBorders>
          </w:tcPr>
          <w:p w14:paraId="7B62FCAB" w14:textId="77777777" w:rsidR="004A10AE" w:rsidRPr="00500B42" w:rsidRDefault="004A10AE" w:rsidP="007947DB">
            <w:pPr>
              <w:spacing w:after="0" w:line="240" w:lineRule="auto"/>
              <w:jc w:val="left"/>
              <w:rPr>
                <w:rFonts w:ascii="Times New Roman" w:eastAsia="Malgun Gothic" w:hAnsi="Times New Roman" w:cs="Times New Roman"/>
                <w:color w:val="000000"/>
                <w:kern w:val="0"/>
                <w:sz w:val="22"/>
                <w:lang w:val="en-GB"/>
              </w:rPr>
            </w:pPr>
          </w:p>
        </w:tc>
        <w:tc>
          <w:tcPr>
            <w:tcW w:w="764" w:type="pct"/>
            <w:vMerge w:val="restart"/>
            <w:tcBorders>
              <w:top w:val="single" w:sz="12" w:space="0" w:color="auto"/>
              <w:left w:val="nil"/>
              <w:right w:val="nil"/>
            </w:tcBorders>
            <w:vAlign w:val="bottom"/>
          </w:tcPr>
          <w:p w14:paraId="1F842F79" w14:textId="77777777" w:rsidR="004A10AE" w:rsidRPr="00500B42" w:rsidRDefault="004A10AE" w:rsidP="00821A12">
            <w:pPr>
              <w:spacing w:after="0" w:line="240" w:lineRule="auto"/>
              <w:jc w:val="center"/>
              <w:rPr>
                <w:rFonts w:ascii="Times New Roman" w:eastAsia="Malgun Gothic" w:hAnsi="Times New Roman" w:cs="Times New Roman"/>
                <w:color w:val="000000"/>
                <w:kern w:val="0"/>
                <w:sz w:val="22"/>
                <w:lang w:val="en-GB"/>
              </w:rPr>
            </w:pPr>
            <w:r w:rsidRPr="00500B42">
              <w:rPr>
                <w:rFonts w:ascii="Times New Roman" w:eastAsia="Malgun Gothic" w:hAnsi="Times New Roman" w:cs="Times New Roman"/>
                <w:color w:val="000000"/>
                <w:kern w:val="0"/>
                <w:sz w:val="22"/>
                <w:lang w:val="en-GB"/>
              </w:rPr>
              <w:t>Placebo</w:t>
            </w:r>
          </w:p>
        </w:tc>
        <w:tc>
          <w:tcPr>
            <w:tcW w:w="69" w:type="pct"/>
            <w:gridSpan w:val="2"/>
            <w:tcBorders>
              <w:top w:val="single" w:sz="12" w:space="0" w:color="auto"/>
              <w:left w:val="nil"/>
              <w:right w:val="nil"/>
            </w:tcBorders>
          </w:tcPr>
          <w:p w14:paraId="2D1DF878" w14:textId="77777777" w:rsidR="004A10AE" w:rsidRPr="00500B42" w:rsidRDefault="004A10AE" w:rsidP="00821A12">
            <w:pPr>
              <w:spacing w:after="0" w:line="240" w:lineRule="auto"/>
              <w:jc w:val="center"/>
              <w:rPr>
                <w:rFonts w:ascii="Times New Roman" w:eastAsia="Malgun Gothic" w:hAnsi="Times New Roman" w:cs="Times New Roman"/>
                <w:color w:val="000000"/>
                <w:kern w:val="0"/>
                <w:sz w:val="22"/>
                <w:lang w:val="en-GB"/>
              </w:rPr>
            </w:pPr>
          </w:p>
        </w:tc>
        <w:tc>
          <w:tcPr>
            <w:tcW w:w="2465" w:type="pct"/>
            <w:gridSpan w:val="7"/>
            <w:tcBorders>
              <w:top w:val="single" w:sz="12" w:space="0" w:color="auto"/>
              <w:left w:val="nil"/>
              <w:right w:val="nil"/>
            </w:tcBorders>
            <w:vAlign w:val="center"/>
          </w:tcPr>
          <w:p w14:paraId="71D1E051" w14:textId="77777777" w:rsidR="004A10AE" w:rsidRPr="00500B42" w:rsidRDefault="004A10AE" w:rsidP="00821A12">
            <w:pPr>
              <w:spacing w:after="0" w:line="240" w:lineRule="auto"/>
              <w:jc w:val="center"/>
              <w:rPr>
                <w:rFonts w:ascii="Times New Roman" w:eastAsia="Malgun Gothic" w:hAnsi="Times New Roman" w:cs="Times New Roman"/>
                <w:color w:val="000000"/>
                <w:kern w:val="0"/>
                <w:sz w:val="22"/>
                <w:lang w:val="en-GB"/>
              </w:rPr>
            </w:pPr>
            <w:r w:rsidRPr="00500B42">
              <w:rPr>
                <w:rFonts w:ascii="Times New Roman" w:eastAsia="Malgun Gothic" w:hAnsi="Times New Roman" w:cs="Times New Roman"/>
                <w:color w:val="000000"/>
                <w:kern w:val="0"/>
                <w:sz w:val="22"/>
                <w:lang w:val="en-GB"/>
              </w:rPr>
              <w:t>Infliximab</w:t>
            </w:r>
          </w:p>
        </w:tc>
      </w:tr>
      <w:tr w:rsidR="004A10AE" w:rsidRPr="00500B42" w14:paraId="7295685D" w14:textId="77777777" w:rsidTr="005A4B0D">
        <w:trPr>
          <w:cantSplit/>
          <w:tblHeader/>
        </w:trPr>
        <w:tc>
          <w:tcPr>
            <w:tcW w:w="1701" w:type="pct"/>
            <w:gridSpan w:val="2"/>
            <w:tcBorders>
              <w:left w:val="nil"/>
              <w:bottom w:val="nil"/>
              <w:right w:val="nil"/>
            </w:tcBorders>
          </w:tcPr>
          <w:p w14:paraId="1EA1893D" w14:textId="77777777" w:rsidR="004A10AE" w:rsidRPr="00500B42" w:rsidRDefault="004A10AE" w:rsidP="007947DB">
            <w:pPr>
              <w:spacing w:after="0" w:line="240" w:lineRule="auto"/>
              <w:jc w:val="left"/>
              <w:rPr>
                <w:rFonts w:ascii="Times New Roman" w:eastAsia="Malgun Gothic" w:hAnsi="Times New Roman" w:cs="Times New Roman"/>
                <w:color w:val="000000"/>
                <w:kern w:val="0"/>
                <w:sz w:val="22"/>
                <w:lang w:val="en-GB"/>
              </w:rPr>
            </w:pPr>
          </w:p>
        </w:tc>
        <w:tc>
          <w:tcPr>
            <w:tcW w:w="764" w:type="pct"/>
            <w:vMerge/>
            <w:tcBorders>
              <w:left w:val="nil"/>
              <w:bottom w:val="single" w:sz="6" w:space="0" w:color="auto"/>
              <w:right w:val="nil"/>
            </w:tcBorders>
            <w:vAlign w:val="bottom"/>
          </w:tcPr>
          <w:p w14:paraId="361AA328" w14:textId="77777777" w:rsidR="004A10AE" w:rsidRPr="00500B42" w:rsidRDefault="004A10AE" w:rsidP="00821A12">
            <w:pPr>
              <w:spacing w:after="0" w:line="240" w:lineRule="auto"/>
              <w:jc w:val="center"/>
              <w:rPr>
                <w:rFonts w:ascii="Times New Roman" w:eastAsia="Malgun Gothic" w:hAnsi="Times New Roman" w:cs="Times New Roman"/>
                <w:color w:val="000000"/>
                <w:kern w:val="0"/>
                <w:sz w:val="22"/>
                <w:lang w:val="en-GB"/>
              </w:rPr>
            </w:pPr>
          </w:p>
        </w:tc>
        <w:tc>
          <w:tcPr>
            <w:tcW w:w="69" w:type="pct"/>
            <w:gridSpan w:val="2"/>
            <w:tcBorders>
              <w:left w:val="nil"/>
              <w:bottom w:val="nil"/>
              <w:right w:val="nil"/>
            </w:tcBorders>
          </w:tcPr>
          <w:p w14:paraId="36F1FFA3" w14:textId="77777777" w:rsidR="004A10AE" w:rsidRPr="00500B42" w:rsidRDefault="004A10AE" w:rsidP="00821A12">
            <w:pPr>
              <w:spacing w:after="0" w:line="240" w:lineRule="auto"/>
              <w:jc w:val="center"/>
              <w:rPr>
                <w:rFonts w:ascii="Times New Roman" w:eastAsia="Malgun Gothic" w:hAnsi="Times New Roman" w:cs="Times New Roman"/>
                <w:color w:val="000000"/>
                <w:kern w:val="0"/>
                <w:sz w:val="22"/>
                <w:lang w:val="en-GB"/>
              </w:rPr>
            </w:pPr>
          </w:p>
        </w:tc>
        <w:tc>
          <w:tcPr>
            <w:tcW w:w="764" w:type="pct"/>
            <w:tcBorders>
              <w:left w:val="nil"/>
              <w:bottom w:val="single" w:sz="6" w:space="0" w:color="auto"/>
              <w:right w:val="nil"/>
            </w:tcBorders>
            <w:vAlign w:val="bottom"/>
          </w:tcPr>
          <w:p w14:paraId="7CE8DC57" w14:textId="77777777" w:rsidR="004A10AE" w:rsidRPr="00500B42" w:rsidRDefault="004A10AE" w:rsidP="00821A12">
            <w:pPr>
              <w:spacing w:after="0" w:line="240" w:lineRule="auto"/>
              <w:jc w:val="center"/>
              <w:rPr>
                <w:rFonts w:ascii="Times New Roman" w:eastAsia="Malgun Gothic" w:hAnsi="Times New Roman" w:cs="Times New Roman"/>
                <w:color w:val="000000"/>
                <w:kern w:val="0"/>
                <w:sz w:val="22"/>
                <w:lang w:val="en-GB"/>
              </w:rPr>
            </w:pPr>
            <w:r w:rsidRPr="00500B42">
              <w:rPr>
                <w:rFonts w:ascii="Times New Roman" w:eastAsia="Malgun Gothic" w:hAnsi="Times New Roman" w:cs="Times New Roman"/>
                <w:color w:val="000000"/>
                <w:kern w:val="0"/>
                <w:sz w:val="22"/>
                <w:lang w:val="en-GB"/>
              </w:rPr>
              <w:t>5 mg/kg</w:t>
            </w:r>
          </w:p>
        </w:tc>
        <w:tc>
          <w:tcPr>
            <w:tcW w:w="69" w:type="pct"/>
            <w:gridSpan w:val="2"/>
            <w:tcBorders>
              <w:left w:val="nil"/>
              <w:bottom w:val="nil"/>
              <w:right w:val="nil"/>
            </w:tcBorders>
          </w:tcPr>
          <w:p w14:paraId="0C59E46E" w14:textId="77777777" w:rsidR="004A10AE" w:rsidRPr="00500B42" w:rsidRDefault="004A10AE" w:rsidP="00821A12">
            <w:pPr>
              <w:spacing w:after="0" w:line="240" w:lineRule="auto"/>
              <w:jc w:val="center"/>
              <w:rPr>
                <w:rFonts w:ascii="Times New Roman" w:eastAsia="Malgun Gothic" w:hAnsi="Times New Roman" w:cs="Times New Roman"/>
                <w:color w:val="000000"/>
                <w:kern w:val="0"/>
                <w:sz w:val="22"/>
                <w:lang w:val="en-GB"/>
              </w:rPr>
            </w:pPr>
          </w:p>
        </w:tc>
        <w:tc>
          <w:tcPr>
            <w:tcW w:w="764" w:type="pct"/>
            <w:tcBorders>
              <w:left w:val="nil"/>
              <w:bottom w:val="single" w:sz="6" w:space="0" w:color="auto"/>
              <w:right w:val="nil"/>
            </w:tcBorders>
            <w:vAlign w:val="bottom"/>
          </w:tcPr>
          <w:p w14:paraId="6F9CF5F2" w14:textId="77777777" w:rsidR="004A10AE" w:rsidRPr="00500B42" w:rsidRDefault="004A10AE" w:rsidP="00821A12">
            <w:pPr>
              <w:spacing w:after="0" w:line="240" w:lineRule="auto"/>
              <w:jc w:val="center"/>
              <w:rPr>
                <w:rFonts w:ascii="Times New Roman" w:eastAsia="Malgun Gothic" w:hAnsi="Times New Roman" w:cs="Times New Roman"/>
                <w:color w:val="000000"/>
                <w:kern w:val="0"/>
                <w:sz w:val="22"/>
                <w:lang w:val="en-GB"/>
              </w:rPr>
            </w:pPr>
            <w:r w:rsidRPr="00500B42">
              <w:rPr>
                <w:rFonts w:ascii="Times New Roman" w:eastAsia="Malgun Gothic" w:hAnsi="Times New Roman" w:cs="Times New Roman"/>
                <w:color w:val="000000"/>
                <w:kern w:val="0"/>
                <w:sz w:val="22"/>
                <w:lang w:val="en-GB"/>
              </w:rPr>
              <w:t>10 mg/kg</w:t>
            </w:r>
          </w:p>
        </w:tc>
        <w:tc>
          <w:tcPr>
            <w:tcW w:w="69" w:type="pct"/>
            <w:gridSpan w:val="2"/>
            <w:tcBorders>
              <w:left w:val="nil"/>
              <w:bottom w:val="nil"/>
              <w:right w:val="nil"/>
            </w:tcBorders>
          </w:tcPr>
          <w:p w14:paraId="739448A3" w14:textId="77777777" w:rsidR="004A10AE" w:rsidRPr="00500B42" w:rsidRDefault="004A10AE" w:rsidP="00821A12">
            <w:pPr>
              <w:spacing w:after="0" w:line="240" w:lineRule="auto"/>
              <w:jc w:val="center"/>
              <w:rPr>
                <w:rFonts w:ascii="Times New Roman" w:eastAsia="Malgun Gothic" w:hAnsi="Times New Roman" w:cs="Times New Roman"/>
                <w:color w:val="000000"/>
                <w:kern w:val="0"/>
                <w:sz w:val="22"/>
                <w:lang w:val="en-GB"/>
              </w:rPr>
            </w:pPr>
          </w:p>
        </w:tc>
        <w:tc>
          <w:tcPr>
            <w:tcW w:w="799" w:type="pct"/>
            <w:tcBorders>
              <w:left w:val="nil"/>
              <w:bottom w:val="single" w:sz="6" w:space="0" w:color="auto"/>
              <w:right w:val="nil"/>
            </w:tcBorders>
            <w:vAlign w:val="bottom"/>
          </w:tcPr>
          <w:p w14:paraId="1AB37B7F" w14:textId="77777777" w:rsidR="004A10AE" w:rsidRPr="00500B42" w:rsidRDefault="004A10AE" w:rsidP="00821A12">
            <w:pPr>
              <w:spacing w:after="0" w:line="240" w:lineRule="auto"/>
              <w:jc w:val="center"/>
              <w:rPr>
                <w:rFonts w:ascii="Times New Roman" w:eastAsia="Malgun Gothic" w:hAnsi="Times New Roman" w:cs="Times New Roman"/>
                <w:color w:val="000000"/>
                <w:kern w:val="0"/>
                <w:sz w:val="22"/>
                <w:lang w:val="en-GB"/>
              </w:rPr>
            </w:pPr>
            <w:r w:rsidRPr="00500B42">
              <w:rPr>
                <w:rFonts w:ascii="Times New Roman" w:eastAsia="Malgun Gothic" w:hAnsi="Times New Roman" w:cs="Times New Roman"/>
                <w:color w:val="000000"/>
                <w:kern w:val="0"/>
                <w:sz w:val="22"/>
                <w:lang w:val="en-GB"/>
              </w:rPr>
              <w:t>Combined</w:t>
            </w:r>
          </w:p>
        </w:tc>
      </w:tr>
      <w:tr w:rsidR="004A10AE" w:rsidRPr="00500B42" w14:paraId="562C7CF1" w14:textId="77777777" w:rsidTr="005A4B0D">
        <w:trPr>
          <w:cantSplit/>
        </w:trPr>
        <w:tc>
          <w:tcPr>
            <w:tcW w:w="1667" w:type="pct"/>
            <w:tcBorders>
              <w:top w:val="nil"/>
              <w:left w:val="nil"/>
              <w:bottom w:val="nil"/>
              <w:right w:val="nil"/>
            </w:tcBorders>
            <w:vAlign w:val="bottom"/>
          </w:tcPr>
          <w:p w14:paraId="68D19E96" w14:textId="77777777" w:rsidR="004A10AE" w:rsidRPr="00500B42" w:rsidRDefault="004A10AE" w:rsidP="007947DB">
            <w:pPr>
              <w:spacing w:after="0" w:line="240" w:lineRule="auto"/>
              <w:jc w:val="left"/>
              <w:rPr>
                <w:rFonts w:ascii="Times New Roman" w:eastAsia="Malgun Gothic" w:hAnsi="Times New Roman" w:cs="Times New Roman"/>
                <w:color w:val="000000"/>
                <w:kern w:val="0"/>
                <w:sz w:val="22"/>
                <w:lang w:val="en-GB"/>
              </w:rPr>
            </w:pPr>
            <w:r w:rsidRPr="00500B42">
              <w:rPr>
                <w:rFonts w:ascii="Times New Roman" w:eastAsia="Malgun Gothic" w:hAnsi="Times New Roman" w:cs="Times New Roman"/>
                <w:color w:val="000000"/>
                <w:kern w:val="0"/>
                <w:sz w:val="22"/>
                <w:lang w:val="en-GB"/>
              </w:rPr>
              <w:t>Subjects randomised</w:t>
            </w:r>
          </w:p>
        </w:tc>
        <w:tc>
          <w:tcPr>
            <w:tcW w:w="833" w:type="pct"/>
            <w:gridSpan w:val="3"/>
            <w:tcBorders>
              <w:top w:val="nil"/>
              <w:left w:val="nil"/>
              <w:bottom w:val="nil"/>
              <w:right w:val="nil"/>
            </w:tcBorders>
            <w:vAlign w:val="center"/>
          </w:tcPr>
          <w:p w14:paraId="4CBDC26C" w14:textId="77777777" w:rsidR="004A10AE" w:rsidRPr="00500B42" w:rsidRDefault="004A10AE" w:rsidP="00821A12">
            <w:pPr>
              <w:spacing w:after="0" w:line="240" w:lineRule="auto"/>
              <w:jc w:val="center"/>
              <w:rPr>
                <w:rFonts w:ascii="Times New Roman" w:eastAsia="Malgun Gothic" w:hAnsi="Times New Roman" w:cs="Times New Roman"/>
                <w:color w:val="000000"/>
                <w:kern w:val="0"/>
                <w:sz w:val="22"/>
                <w:lang w:val="en-GB"/>
              </w:rPr>
            </w:pPr>
            <w:r w:rsidRPr="00500B42">
              <w:rPr>
                <w:rFonts w:ascii="Times New Roman" w:eastAsia="Malgun Gothic" w:hAnsi="Times New Roman" w:cs="Times New Roman"/>
                <w:color w:val="000000"/>
                <w:kern w:val="0"/>
                <w:sz w:val="22"/>
                <w:lang w:val="en-GB"/>
              </w:rPr>
              <w:t>244</w:t>
            </w:r>
          </w:p>
        </w:tc>
        <w:tc>
          <w:tcPr>
            <w:tcW w:w="833" w:type="pct"/>
            <w:gridSpan w:val="3"/>
            <w:tcBorders>
              <w:top w:val="nil"/>
              <w:left w:val="nil"/>
              <w:bottom w:val="nil"/>
              <w:right w:val="nil"/>
            </w:tcBorders>
            <w:vAlign w:val="center"/>
          </w:tcPr>
          <w:p w14:paraId="26D89296" w14:textId="77777777" w:rsidR="004A10AE" w:rsidRPr="00500B42" w:rsidRDefault="004A10AE" w:rsidP="00821A12">
            <w:pPr>
              <w:spacing w:after="0" w:line="240" w:lineRule="auto"/>
              <w:jc w:val="center"/>
              <w:rPr>
                <w:rFonts w:ascii="Times New Roman" w:eastAsia="Malgun Gothic" w:hAnsi="Times New Roman" w:cs="Times New Roman"/>
                <w:color w:val="000000"/>
                <w:kern w:val="0"/>
                <w:sz w:val="22"/>
                <w:lang w:val="en-GB"/>
              </w:rPr>
            </w:pPr>
            <w:r w:rsidRPr="00500B42">
              <w:rPr>
                <w:rFonts w:ascii="Times New Roman" w:eastAsia="Malgun Gothic" w:hAnsi="Times New Roman" w:cs="Times New Roman"/>
                <w:color w:val="000000"/>
                <w:kern w:val="0"/>
                <w:sz w:val="22"/>
                <w:lang w:val="en-GB"/>
              </w:rPr>
              <w:t>242</w:t>
            </w:r>
          </w:p>
        </w:tc>
        <w:tc>
          <w:tcPr>
            <w:tcW w:w="833" w:type="pct"/>
            <w:gridSpan w:val="3"/>
            <w:tcBorders>
              <w:top w:val="nil"/>
              <w:left w:val="nil"/>
              <w:bottom w:val="nil"/>
              <w:right w:val="nil"/>
            </w:tcBorders>
            <w:vAlign w:val="center"/>
          </w:tcPr>
          <w:p w14:paraId="5D7C46CD" w14:textId="77777777" w:rsidR="004A10AE" w:rsidRPr="00500B42" w:rsidRDefault="004A10AE" w:rsidP="00821A12">
            <w:pPr>
              <w:spacing w:after="0" w:line="240" w:lineRule="auto"/>
              <w:jc w:val="center"/>
              <w:rPr>
                <w:rFonts w:ascii="Times New Roman" w:eastAsia="Malgun Gothic" w:hAnsi="Times New Roman" w:cs="Times New Roman"/>
                <w:color w:val="000000"/>
                <w:kern w:val="0"/>
                <w:sz w:val="22"/>
                <w:lang w:val="en-GB"/>
              </w:rPr>
            </w:pPr>
            <w:r w:rsidRPr="00500B42">
              <w:rPr>
                <w:rFonts w:ascii="Times New Roman" w:eastAsia="Malgun Gothic" w:hAnsi="Times New Roman" w:cs="Times New Roman"/>
                <w:color w:val="000000"/>
                <w:kern w:val="0"/>
                <w:sz w:val="22"/>
                <w:lang w:val="en-GB"/>
              </w:rPr>
              <w:t>242</w:t>
            </w:r>
          </w:p>
        </w:tc>
        <w:tc>
          <w:tcPr>
            <w:tcW w:w="833" w:type="pct"/>
            <w:gridSpan w:val="2"/>
            <w:tcBorders>
              <w:top w:val="nil"/>
              <w:left w:val="nil"/>
              <w:bottom w:val="nil"/>
              <w:right w:val="nil"/>
            </w:tcBorders>
            <w:vAlign w:val="center"/>
          </w:tcPr>
          <w:p w14:paraId="03B51D2A" w14:textId="77777777" w:rsidR="004A10AE" w:rsidRPr="00500B42" w:rsidRDefault="004A10AE" w:rsidP="00821A12">
            <w:pPr>
              <w:spacing w:after="0" w:line="240" w:lineRule="auto"/>
              <w:jc w:val="center"/>
              <w:rPr>
                <w:rFonts w:ascii="Times New Roman" w:eastAsia="Malgun Gothic" w:hAnsi="Times New Roman" w:cs="Times New Roman"/>
                <w:color w:val="000000"/>
                <w:kern w:val="0"/>
                <w:sz w:val="22"/>
                <w:lang w:val="en-GB"/>
              </w:rPr>
            </w:pPr>
            <w:r w:rsidRPr="00500B42">
              <w:rPr>
                <w:rFonts w:ascii="Times New Roman" w:eastAsia="Malgun Gothic" w:hAnsi="Times New Roman" w:cs="Times New Roman"/>
                <w:color w:val="000000"/>
                <w:kern w:val="0"/>
                <w:sz w:val="22"/>
                <w:lang w:val="en-GB"/>
              </w:rPr>
              <w:t>484</w:t>
            </w:r>
          </w:p>
        </w:tc>
      </w:tr>
      <w:tr w:rsidR="004A10AE" w:rsidRPr="00500B42" w14:paraId="48A95B3A" w14:textId="77777777" w:rsidTr="005A4B0D">
        <w:trPr>
          <w:cantSplit/>
        </w:trPr>
        <w:tc>
          <w:tcPr>
            <w:tcW w:w="5000" w:type="pct"/>
            <w:gridSpan w:val="12"/>
            <w:tcBorders>
              <w:top w:val="nil"/>
              <w:left w:val="nil"/>
              <w:bottom w:val="nil"/>
              <w:right w:val="nil"/>
            </w:tcBorders>
            <w:vAlign w:val="bottom"/>
          </w:tcPr>
          <w:p w14:paraId="03C21B98" w14:textId="77777777" w:rsidR="004A10AE" w:rsidRPr="00500B42" w:rsidRDefault="004A10AE" w:rsidP="007947DB">
            <w:pPr>
              <w:spacing w:after="0" w:line="240" w:lineRule="auto"/>
              <w:jc w:val="left"/>
              <w:rPr>
                <w:rFonts w:ascii="Times New Roman" w:eastAsia="Malgun Gothic" w:hAnsi="Times New Roman" w:cs="Times New Roman"/>
                <w:b/>
                <w:bCs/>
                <w:color w:val="000000"/>
                <w:kern w:val="0"/>
                <w:sz w:val="22"/>
                <w:lang w:val="en-GB"/>
              </w:rPr>
            </w:pPr>
            <w:r w:rsidRPr="00500B42">
              <w:rPr>
                <w:rFonts w:ascii="Times New Roman" w:eastAsia="Malgun Gothic" w:hAnsi="Times New Roman" w:cs="Times New Roman"/>
                <w:b/>
                <w:bCs/>
                <w:color w:val="000000"/>
                <w:kern w:val="0"/>
                <w:sz w:val="22"/>
                <w:lang w:val="en-GB"/>
              </w:rPr>
              <w:t>Percentage of subjects in clinical response and in sustained clinical response</w:t>
            </w:r>
          </w:p>
        </w:tc>
      </w:tr>
      <w:tr w:rsidR="004A10AE" w:rsidRPr="00500B42" w14:paraId="72AD7EC5" w14:textId="77777777" w:rsidTr="005A4B0D">
        <w:trPr>
          <w:cantSplit/>
        </w:trPr>
        <w:tc>
          <w:tcPr>
            <w:tcW w:w="1667" w:type="pct"/>
            <w:tcBorders>
              <w:top w:val="nil"/>
              <w:left w:val="nil"/>
              <w:bottom w:val="nil"/>
              <w:right w:val="nil"/>
            </w:tcBorders>
            <w:vAlign w:val="bottom"/>
          </w:tcPr>
          <w:p w14:paraId="241DA513" w14:textId="77777777" w:rsidR="004A10AE" w:rsidRPr="00500B42" w:rsidRDefault="004A10AE" w:rsidP="007947DB">
            <w:pPr>
              <w:spacing w:after="0" w:line="240" w:lineRule="auto"/>
              <w:jc w:val="left"/>
              <w:rPr>
                <w:rFonts w:ascii="Times New Roman" w:eastAsia="Malgun Gothic" w:hAnsi="Times New Roman" w:cs="Times New Roman"/>
                <w:color w:val="000000"/>
                <w:kern w:val="0"/>
                <w:sz w:val="22"/>
                <w:lang w:val="en-GB"/>
              </w:rPr>
            </w:pPr>
            <w:r w:rsidRPr="00500B42">
              <w:rPr>
                <w:rFonts w:ascii="Times New Roman" w:eastAsia="Malgun Gothic" w:hAnsi="Times New Roman" w:cs="Times New Roman"/>
                <w:color w:val="000000"/>
                <w:kern w:val="0"/>
                <w:sz w:val="22"/>
                <w:lang w:val="en-GB"/>
              </w:rPr>
              <w:t>Clinical response at Week 8</w:t>
            </w:r>
            <w:r w:rsidRPr="00500B42">
              <w:rPr>
                <w:rFonts w:ascii="Times New Roman" w:eastAsia="Malgun Gothic" w:hAnsi="Times New Roman" w:cs="Times New Roman"/>
                <w:color w:val="000000"/>
                <w:kern w:val="0"/>
                <w:sz w:val="22"/>
                <w:vertAlign w:val="superscript"/>
                <w:lang w:val="en-GB"/>
              </w:rPr>
              <w:t>a</w:t>
            </w:r>
          </w:p>
        </w:tc>
        <w:tc>
          <w:tcPr>
            <w:tcW w:w="833" w:type="pct"/>
            <w:gridSpan w:val="3"/>
            <w:tcBorders>
              <w:top w:val="nil"/>
              <w:left w:val="nil"/>
              <w:bottom w:val="nil"/>
              <w:right w:val="nil"/>
            </w:tcBorders>
            <w:vAlign w:val="center"/>
          </w:tcPr>
          <w:p w14:paraId="20529E0D" w14:textId="77777777" w:rsidR="004A10AE" w:rsidRPr="00500B42" w:rsidRDefault="004A10AE" w:rsidP="007947DB">
            <w:pPr>
              <w:spacing w:after="0" w:line="240" w:lineRule="auto"/>
              <w:jc w:val="center"/>
              <w:rPr>
                <w:rFonts w:ascii="Times New Roman" w:eastAsia="Malgun Gothic" w:hAnsi="Times New Roman" w:cs="Times New Roman"/>
                <w:color w:val="000000"/>
                <w:kern w:val="0"/>
                <w:sz w:val="22"/>
                <w:lang w:val="en-GB"/>
              </w:rPr>
            </w:pPr>
            <w:r w:rsidRPr="00500B42">
              <w:rPr>
                <w:rFonts w:ascii="Times New Roman" w:eastAsia="Malgun Gothic" w:hAnsi="Times New Roman" w:cs="Times New Roman"/>
                <w:color w:val="000000"/>
                <w:kern w:val="0"/>
                <w:sz w:val="22"/>
                <w:lang w:val="en-GB"/>
              </w:rPr>
              <w:t>33.2%</w:t>
            </w:r>
          </w:p>
        </w:tc>
        <w:tc>
          <w:tcPr>
            <w:tcW w:w="833" w:type="pct"/>
            <w:gridSpan w:val="3"/>
            <w:tcBorders>
              <w:top w:val="nil"/>
              <w:left w:val="nil"/>
              <w:bottom w:val="nil"/>
              <w:right w:val="nil"/>
            </w:tcBorders>
            <w:vAlign w:val="center"/>
          </w:tcPr>
          <w:p w14:paraId="1C860B87" w14:textId="77777777" w:rsidR="004A10AE" w:rsidRPr="00500B42" w:rsidRDefault="004A10AE" w:rsidP="007947DB">
            <w:pPr>
              <w:spacing w:after="0" w:line="240" w:lineRule="auto"/>
              <w:jc w:val="center"/>
              <w:rPr>
                <w:rFonts w:ascii="Times New Roman" w:eastAsia="Malgun Gothic" w:hAnsi="Times New Roman" w:cs="Times New Roman"/>
                <w:color w:val="000000"/>
                <w:kern w:val="0"/>
                <w:sz w:val="22"/>
                <w:lang w:val="en-GB"/>
              </w:rPr>
            </w:pPr>
            <w:r w:rsidRPr="00500B42">
              <w:rPr>
                <w:rFonts w:ascii="Times New Roman" w:eastAsia="Malgun Gothic" w:hAnsi="Times New Roman" w:cs="Times New Roman"/>
                <w:color w:val="000000"/>
                <w:kern w:val="0"/>
                <w:sz w:val="22"/>
                <w:lang w:val="en-GB"/>
              </w:rPr>
              <w:t>66.9%</w:t>
            </w:r>
          </w:p>
        </w:tc>
        <w:tc>
          <w:tcPr>
            <w:tcW w:w="833" w:type="pct"/>
            <w:gridSpan w:val="3"/>
            <w:tcBorders>
              <w:top w:val="nil"/>
              <w:left w:val="nil"/>
              <w:bottom w:val="nil"/>
              <w:right w:val="nil"/>
            </w:tcBorders>
            <w:vAlign w:val="center"/>
          </w:tcPr>
          <w:p w14:paraId="5D74F35D" w14:textId="77777777" w:rsidR="004A10AE" w:rsidRPr="00500B42" w:rsidRDefault="004A10AE" w:rsidP="007947DB">
            <w:pPr>
              <w:spacing w:after="0" w:line="240" w:lineRule="auto"/>
              <w:jc w:val="center"/>
              <w:rPr>
                <w:rFonts w:ascii="Times New Roman" w:eastAsia="Malgun Gothic" w:hAnsi="Times New Roman" w:cs="Times New Roman"/>
                <w:color w:val="000000"/>
                <w:kern w:val="0"/>
                <w:sz w:val="22"/>
                <w:lang w:val="en-GB"/>
              </w:rPr>
            </w:pPr>
            <w:r w:rsidRPr="00500B42">
              <w:rPr>
                <w:rFonts w:ascii="Times New Roman" w:eastAsia="Malgun Gothic" w:hAnsi="Times New Roman" w:cs="Times New Roman"/>
                <w:color w:val="000000"/>
                <w:kern w:val="0"/>
                <w:sz w:val="22"/>
                <w:lang w:val="en-GB"/>
              </w:rPr>
              <w:t>65.3%</w:t>
            </w:r>
          </w:p>
        </w:tc>
        <w:tc>
          <w:tcPr>
            <w:tcW w:w="833" w:type="pct"/>
            <w:gridSpan w:val="2"/>
            <w:tcBorders>
              <w:top w:val="nil"/>
              <w:left w:val="nil"/>
              <w:bottom w:val="nil"/>
              <w:right w:val="nil"/>
            </w:tcBorders>
            <w:vAlign w:val="center"/>
          </w:tcPr>
          <w:p w14:paraId="6AA90EE6" w14:textId="77777777" w:rsidR="004A10AE" w:rsidRPr="00500B42" w:rsidRDefault="004A10AE" w:rsidP="007947DB">
            <w:pPr>
              <w:spacing w:after="0" w:line="240" w:lineRule="auto"/>
              <w:jc w:val="center"/>
              <w:rPr>
                <w:rFonts w:ascii="Times New Roman" w:eastAsia="Malgun Gothic" w:hAnsi="Times New Roman" w:cs="Times New Roman"/>
                <w:color w:val="000000"/>
                <w:kern w:val="0"/>
                <w:sz w:val="22"/>
                <w:lang w:val="en-GB"/>
              </w:rPr>
            </w:pPr>
            <w:r w:rsidRPr="00500B42">
              <w:rPr>
                <w:rFonts w:ascii="Times New Roman" w:eastAsia="Malgun Gothic" w:hAnsi="Times New Roman" w:cs="Times New Roman"/>
                <w:color w:val="000000"/>
                <w:kern w:val="0"/>
                <w:sz w:val="22"/>
                <w:lang w:val="en-GB"/>
              </w:rPr>
              <w:t>66.1%</w:t>
            </w:r>
          </w:p>
        </w:tc>
      </w:tr>
      <w:tr w:rsidR="004A10AE" w:rsidRPr="00500B42" w14:paraId="7787614C" w14:textId="77777777" w:rsidTr="005A4B0D">
        <w:trPr>
          <w:cantSplit/>
        </w:trPr>
        <w:tc>
          <w:tcPr>
            <w:tcW w:w="1667" w:type="pct"/>
            <w:tcBorders>
              <w:top w:val="nil"/>
              <w:left w:val="nil"/>
              <w:bottom w:val="nil"/>
              <w:right w:val="nil"/>
            </w:tcBorders>
            <w:vAlign w:val="bottom"/>
          </w:tcPr>
          <w:p w14:paraId="04E53704" w14:textId="77777777" w:rsidR="004A10AE" w:rsidRPr="00500B42" w:rsidRDefault="004A10AE" w:rsidP="007947DB">
            <w:pPr>
              <w:spacing w:after="0" w:line="240" w:lineRule="auto"/>
              <w:jc w:val="left"/>
              <w:rPr>
                <w:rFonts w:ascii="Times New Roman" w:eastAsia="Malgun Gothic" w:hAnsi="Times New Roman" w:cs="Times New Roman"/>
                <w:color w:val="000000"/>
                <w:kern w:val="0"/>
                <w:sz w:val="22"/>
                <w:lang w:val="en-GB"/>
              </w:rPr>
            </w:pPr>
            <w:r w:rsidRPr="00500B42">
              <w:rPr>
                <w:rFonts w:ascii="Times New Roman" w:eastAsia="Malgun Gothic" w:hAnsi="Times New Roman" w:cs="Times New Roman"/>
                <w:color w:val="000000"/>
                <w:kern w:val="0"/>
                <w:sz w:val="22"/>
                <w:lang w:val="en-GB"/>
              </w:rPr>
              <w:t>Clinical response at Week 30</w:t>
            </w:r>
            <w:r w:rsidRPr="00500B42">
              <w:rPr>
                <w:rFonts w:ascii="Times New Roman" w:eastAsia="Malgun Gothic" w:hAnsi="Times New Roman" w:cs="Times New Roman"/>
                <w:color w:val="000000"/>
                <w:kern w:val="0"/>
                <w:sz w:val="22"/>
                <w:vertAlign w:val="superscript"/>
                <w:lang w:val="en-GB"/>
              </w:rPr>
              <w:t>a</w:t>
            </w:r>
          </w:p>
        </w:tc>
        <w:tc>
          <w:tcPr>
            <w:tcW w:w="833" w:type="pct"/>
            <w:gridSpan w:val="3"/>
            <w:tcBorders>
              <w:top w:val="nil"/>
              <w:left w:val="nil"/>
              <w:bottom w:val="nil"/>
              <w:right w:val="nil"/>
            </w:tcBorders>
            <w:vAlign w:val="center"/>
          </w:tcPr>
          <w:p w14:paraId="687C5A0F" w14:textId="77777777" w:rsidR="004A10AE" w:rsidRPr="00500B42" w:rsidRDefault="004A10AE" w:rsidP="007947DB">
            <w:pPr>
              <w:spacing w:after="0" w:line="240" w:lineRule="auto"/>
              <w:jc w:val="center"/>
              <w:rPr>
                <w:rFonts w:ascii="Times New Roman" w:eastAsia="Malgun Gothic" w:hAnsi="Times New Roman" w:cs="Times New Roman"/>
                <w:color w:val="000000"/>
                <w:kern w:val="0"/>
                <w:sz w:val="22"/>
                <w:lang w:val="en-GB"/>
              </w:rPr>
            </w:pPr>
            <w:r w:rsidRPr="00500B42">
              <w:rPr>
                <w:rFonts w:ascii="Times New Roman" w:eastAsia="Malgun Gothic" w:hAnsi="Times New Roman" w:cs="Times New Roman"/>
                <w:color w:val="000000"/>
                <w:kern w:val="0"/>
                <w:sz w:val="22"/>
                <w:lang w:val="en-GB"/>
              </w:rPr>
              <w:t>27.9%</w:t>
            </w:r>
          </w:p>
        </w:tc>
        <w:tc>
          <w:tcPr>
            <w:tcW w:w="833" w:type="pct"/>
            <w:gridSpan w:val="3"/>
            <w:tcBorders>
              <w:top w:val="nil"/>
              <w:left w:val="nil"/>
              <w:bottom w:val="nil"/>
              <w:right w:val="nil"/>
            </w:tcBorders>
            <w:vAlign w:val="center"/>
          </w:tcPr>
          <w:p w14:paraId="0597E7D7" w14:textId="77777777" w:rsidR="004A10AE" w:rsidRPr="00500B42" w:rsidRDefault="004A10AE" w:rsidP="007947DB">
            <w:pPr>
              <w:spacing w:after="0" w:line="240" w:lineRule="auto"/>
              <w:jc w:val="center"/>
              <w:rPr>
                <w:rFonts w:ascii="Times New Roman" w:eastAsia="Malgun Gothic" w:hAnsi="Times New Roman" w:cs="Times New Roman"/>
                <w:color w:val="000000"/>
                <w:kern w:val="0"/>
                <w:sz w:val="22"/>
                <w:lang w:val="en-GB"/>
              </w:rPr>
            </w:pPr>
            <w:r w:rsidRPr="00500B42">
              <w:rPr>
                <w:rFonts w:ascii="Times New Roman" w:eastAsia="Malgun Gothic" w:hAnsi="Times New Roman" w:cs="Times New Roman"/>
                <w:color w:val="000000"/>
                <w:kern w:val="0"/>
                <w:sz w:val="22"/>
                <w:lang w:val="en-GB"/>
              </w:rPr>
              <w:t>49.6%</w:t>
            </w:r>
          </w:p>
        </w:tc>
        <w:tc>
          <w:tcPr>
            <w:tcW w:w="833" w:type="pct"/>
            <w:gridSpan w:val="3"/>
            <w:tcBorders>
              <w:top w:val="nil"/>
              <w:left w:val="nil"/>
              <w:bottom w:val="nil"/>
              <w:right w:val="nil"/>
            </w:tcBorders>
            <w:vAlign w:val="center"/>
          </w:tcPr>
          <w:p w14:paraId="2FA5D648" w14:textId="77777777" w:rsidR="004A10AE" w:rsidRPr="00500B42" w:rsidRDefault="004A10AE" w:rsidP="007947DB">
            <w:pPr>
              <w:spacing w:after="0" w:line="240" w:lineRule="auto"/>
              <w:jc w:val="center"/>
              <w:rPr>
                <w:rFonts w:ascii="Times New Roman" w:eastAsia="Malgun Gothic" w:hAnsi="Times New Roman" w:cs="Times New Roman"/>
                <w:color w:val="000000"/>
                <w:kern w:val="0"/>
                <w:sz w:val="22"/>
                <w:lang w:val="en-GB"/>
              </w:rPr>
            </w:pPr>
            <w:r w:rsidRPr="00500B42">
              <w:rPr>
                <w:rFonts w:ascii="Times New Roman" w:eastAsia="Malgun Gothic" w:hAnsi="Times New Roman" w:cs="Times New Roman"/>
                <w:color w:val="000000"/>
                <w:kern w:val="0"/>
                <w:sz w:val="22"/>
                <w:lang w:val="en-GB"/>
              </w:rPr>
              <w:t>55.4%</w:t>
            </w:r>
          </w:p>
        </w:tc>
        <w:tc>
          <w:tcPr>
            <w:tcW w:w="833" w:type="pct"/>
            <w:gridSpan w:val="2"/>
            <w:tcBorders>
              <w:top w:val="nil"/>
              <w:left w:val="nil"/>
              <w:bottom w:val="nil"/>
              <w:right w:val="nil"/>
            </w:tcBorders>
            <w:vAlign w:val="center"/>
          </w:tcPr>
          <w:p w14:paraId="081A6452" w14:textId="77777777" w:rsidR="004A10AE" w:rsidRPr="00500B42" w:rsidRDefault="004A10AE" w:rsidP="007947DB">
            <w:pPr>
              <w:spacing w:after="0" w:line="240" w:lineRule="auto"/>
              <w:jc w:val="center"/>
              <w:rPr>
                <w:rFonts w:ascii="Times New Roman" w:eastAsia="Malgun Gothic" w:hAnsi="Times New Roman" w:cs="Times New Roman"/>
                <w:color w:val="000000"/>
                <w:kern w:val="0"/>
                <w:sz w:val="22"/>
                <w:lang w:val="en-GB"/>
              </w:rPr>
            </w:pPr>
            <w:r w:rsidRPr="00500B42">
              <w:rPr>
                <w:rFonts w:ascii="Times New Roman" w:eastAsia="Malgun Gothic" w:hAnsi="Times New Roman" w:cs="Times New Roman"/>
                <w:color w:val="000000"/>
                <w:kern w:val="0"/>
                <w:sz w:val="22"/>
                <w:lang w:val="en-GB"/>
              </w:rPr>
              <w:t>52.5%</w:t>
            </w:r>
          </w:p>
        </w:tc>
      </w:tr>
      <w:tr w:rsidR="004A10AE" w:rsidRPr="00500B42" w14:paraId="210538CC" w14:textId="77777777" w:rsidTr="005A4B0D">
        <w:trPr>
          <w:cantSplit/>
        </w:trPr>
        <w:tc>
          <w:tcPr>
            <w:tcW w:w="1667" w:type="pct"/>
            <w:tcBorders>
              <w:top w:val="nil"/>
              <w:left w:val="nil"/>
              <w:bottom w:val="nil"/>
              <w:right w:val="nil"/>
            </w:tcBorders>
            <w:vAlign w:val="bottom"/>
          </w:tcPr>
          <w:p w14:paraId="1FAC93B4" w14:textId="77777777" w:rsidR="004A10AE" w:rsidRPr="00500B42" w:rsidRDefault="004A10AE" w:rsidP="007947DB">
            <w:pPr>
              <w:spacing w:after="0" w:line="240" w:lineRule="auto"/>
              <w:jc w:val="left"/>
              <w:rPr>
                <w:rFonts w:ascii="Times New Roman" w:eastAsia="Malgun Gothic" w:hAnsi="Times New Roman" w:cs="Times New Roman"/>
                <w:color w:val="000000"/>
                <w:kern w:val="0"/>
                <w:sz w:val="22"/>
                <w:lang w:val="en-GB"/>
              </w:rPr>
            </w:pPr>
            <w:r w:rsidRPr="00500B42">
              <w:rPr>
                <w:rFonts w:ascii="Times New Roman" w:eastAsia="Malgun Gothic" w:hAnsi="Times New Roman" w:cs="Times New Roman"/>
                <w:color w:val="000000"/>
                <w:kern w:val="0"/>
                <w:sz w:val="22"/>
                <w:lang w:val="en-GB"/>
              </w:rPr>
              <w:t>Sustained response</w:t>
            </w:r>
          </w:p>
          <w:p w14:paraId="3AAB13DE" w14:textId="77777777" w:rsidR="004A10AE" w:rsidRPr="00500B42" w:rsidRDefault="004A10AE" w:rsidP="007947DB">
            <w:pPr>
              <w:spacing w:after="0" w:line="240" w:lineRule="auto"/>
              <w:jc w:val="left"/>
              <w:rPr>
                <w:rFonts w:ascii="Times New Roman" w:eastAsia="Malgun Gothic" w:hAnsi="Times New Roman" w:cs="Times New Roman"/>
                <w:color w:val="000000"/>
                <w:kern w:val="0"/>
                <w:sz w:val="22"/>
                <w:lang w:val="en-GB"/>
              </w:rPr>
            </w:pPr>
            <w:r w:rsidRPr="00500B42">
              <w:rPr>
                <w:rFonts w:ascii="Times New Roman" w:eastAsia="Malgun Gothic" w:hAnsi="Times New Roman" w:cs="Times New Roman"/>
                <w:color w:val="000000"/>
                <w:kern w:val="0"/>
                <w:sz w:val="22"/>
                <w:lang w:val="en-GB"/>
              </w:rPr>
              <w:t>(clinical response at both</w:t>
            </w:r>
          </w:p>
          <w:p w14:paraId="5025FD52" w14:textId="77777777" w:rsidR="004A10AE" w:rsidRPr="00500B42" w:rsidRDefault="004A10AE" w:rsidP="007947DB">
            <w:pPr>
              <w:spacing w:after="0" w:line="240" w:lineRule="auto"/>
              <w:jc w:val="left"/>
              <w:rPr>
                <w:rFonts w:ascii="Times New Roman" w:eastAsia="Malgun Gothic" w:hAnsi="Times New Roman" w:cs="Times New Roman"/>
                <w:color w:val="000000"/>
                <w:kern w:val="0"/>
                <w:sz w:val="22"/>
                <w:lang w:val="en-GB"/>
              </w:rPr>
            </w:pPr>
            <w:r w:rsidRPr="00500B42">
              <w:rPr>
                <w:rFonts w:ascii="Times New Roman" w:eastAsia="Malgun Gothic" w:hAnsi="Times New Roman" w:cs="Times New Roman"/>
                <w:color w:val="000000"/>
                <w:kern w:val="0"/>
                <w:sz w:val="22"/>
                <w:lang w:val="en-GB"/>
              </w:rPr>
              <w:t>Week 8 and Week 30)</w:t>
            </w:r>
            <w:r w:rsidRPr="00500B42">
              <w:rPr>
                <w:rFonts w:ascii="Times New Roman" w:eastAsia="Malgun Gothic" w:hAnsi="Times New Roman" w:cs="Times New Roman"/>
                <w:color w:val="000000"/>
                <w:kern w:val="0"/>
                <w:sz w:val="22"/>
                <w:vertAlign w:val="superscript"/>
                <w:lang w:val="en-GB"/>
              </w:rPr>
              <w:t>a</w:t>
            </w:r>
          </w:p>
        </w:tc>
        <w:tc>
          <w:tcPr>
            <w:tcW w:w="833" w:type="pct"/>
            <w:gridSpan w:val="3"/>
            <w:tcBorders>
              <w:top w:val="nil"/>
              <w:left w:val="nil"/>
              <w:bottom w:val="nil"/>
              <w:right w:val="nil"/>
            </w:tcBorders>
            <w:vAlign w:val="center"/>
          </w:tcPr>
          <w:p w14:paraId="5C740C2D" w14:textId="77777777" w:rsidR="004A10AE" w:rsidRPr="00500B42" w:rsidRDefault="004A10AE" w:rsidP="007947DB">
            <w:pPr>
              <w:spacing w:after="0" w:line="240" w:lineRule="auto"/>
              <w:jc w:val="center"/>
              <w:rPr>
                <w:rFonts w:ascii="Times New Roman" w:eastAsia="Malgun Gothic" w:hAnsi="Times New Roman" w:cs="Times New Roman"/>
                <w:color w:val="000000"/>
                <w:kern w:val="0"/>
                <w:sz w:val="22"/>
                <w:lang w:val="en-GB"/>
              </w:rPr>
            </w:pPr>
            <w:r w:rsidRPr="00500B42">
              <w:rPr>
                <w:rFonts w:ascii="Times New Roman" w:eastAsia="Malgun Gothic" w:hAnsi="Times New Roman" w:cs="Times New Roman"/>
                <w:color w:val="000000"/>
                <w:kern w:val="0"/>
                <w:sz w:val="22"/>
                <w:lang w:val="en-GB"/>
              </w:rPr>
              <w:t>19.3%</w:t>
            </w:r>
          </w:p>
        </w:tc>
        <w:tc>
          <w:tcPr>
            <w:tcW w:w="833" w:type="pct"/>
            <w:gridSpan w:val="3"/>
            <w:tcBorders>
              <w:top w:val="nil"/>
              <w:left w:val="nil"/>
              <w:bottom w:val="nil"/>
              <w:right w:val="nil"/>
            </w:tcBorders>
            <w:vAlign w:val="center"/>
          </w:tcPr>
          <w:p w14:paraId="6B040EEF" w14:textId="77777777" w:rsidR="004A10AE" w:rsidRPr="00500B42" w:rsidRDefault="004A10AE" w:rsidP="007947DB">
            <w:pPr>
              <w:spacing w:after="0" w:line="240" w:lineRule="auto"/>
              <w:jc w:val="center"/>
              <w:rPr>
                <w:rFonts w:ascii="Times New Roman" w:eastAsia="Malgun Gothic" w:hAnsi="Times New Roman" w:cs="Times New Roman"/>
                <w:color w:val="000000"/>
                <w:kern w:val="0"/>
                <w:sz w:val="22"/>
                <w:lang w:val="en-GB"/>
              </w:rPr>
            </w:pPr>
            <w:r w:rsidRPr="00500B42">
              <w:rPr>
                <w:rFonts w:ascii="Times New Roman" w:eastAsia="Malgun Gothic" w:hAnsi="Times New Roman" w:cs="Times New Roman"/>
                <w:color w:val="000000"/>
                <w:kern w:val="0"/>
                <w:sz w:val="22"/>
                <w:lang w:val="en-GB"/>
              </w:rPr>
              <w:t>45.0%</w:t>
            </w:r>
          </w:p>
        </w:tc>
        <w:tc>
          <w:tcPr>
            <w:tcW w:w="833" w:type="pct"/>
            <w:gridSpan w:val="3"/>
            <w:tcBorders>
              <w:top w:val="nil"/>
              <w:left w:val="nil"/>
              <w:bottom w:val="nil"/>
              <w:right w:val="nil"/>
            </w:tcBorders>
            <w:vAlign w:val="center"/>
          </w:tcPr>
          <w:p w14:paraId="15BDD8F1" w14:textId="77777777" w:rsidR="004A10AE" w:rsidRPr="00500B42" w:rsidRDefault="004A10AE" w:rsidP="007947DB">
            <w:pPr>
              <w:spacing w:after="0" w:line="240" w:lineRule="auto"/>
              <w:jc w:val="center"/>
              <w:rPr>
                <w:rFonts w:ascii="Times New Roman" w:eastAsia="Malgun Gothic" w:hAnsi="Times New Roman" w:cs="Times New Roman"/>
                <w:color w:val="000000"/>
                <w:kern w:val="0"/>
                <w:sz w:val="22"/>
                <w:lang w:val="en-GB"/>
              </w:rPr>
            </w:pPr>
            <w:r w:rsidRPr="00500B42">
              <w:rPr>
                <w:rFonts w:ascii="Times New Roman" w:eastAsia="Malgun Gothic" w:hAnsi="Times New Roman" w:cs="Times New Roman"/>
                <w:color w:val="000000"/>
                <w:kern w:val="0"/>
                <w:sz w:val="22"/>
                <w:lang w:val="en-GB"/>
              </w:rPr>
              <w:t>49.6%</w:t>
            </w:r>
          </w:p>
        </w:tc>
        <w:tc>
          <w:tcPr>
            <w:tcW w:w="833" w:type="pct"/>
            <w:gridSpan w:val="2"/>
            <w:tcBorders>
              <w:top w:val="nil"/>
              <w:left w:val="nil"/>
              <w:bottom w:val="nil"/>
              <w:right w:val="nil"/>
            </w:tcBorders>
            <w:vAlign w:val="center"/>
          </w:tcPr>
          <w:p w14:paraId="2F38619B" w14:textId="77777777" w:rsidR="004A10AE" w:rsidRPr="00500B42" w:rsidRDefault="004A10AE" w:rsidP="007947DB">
            <w:pPr>
              <w:spacing w:after="0" w:line="240" w:lineRule="auto"/>
              <w:jc w:val="center"/>
              <w:rPr>
                <w:rFonts w:ascii="Times New Roman" w:eastAsia="Malgun Gothic" w:hAnsi="Times New Roman" w:cs="Times New Roman"/>
                <w:color w:val="000000"/>
                <w:kern w:val="0"/>
                <w:sz w:val="22"/>
                <w:lang w:val="en-GB"/>
              </w:rPr>
            </w:pPr>
            <w:r w:rsidRPr="00500B42">
              <w:rPr>
                <w:rFonts w:ascii="Times New Roman" w:eastAsia="Malgun Gothic" w:hAnsi="Times New Roman" w:cs="Times New Roman"/>
                <w:color w:val="000000"/>
                <w:kern w:val="0"/>
                <w:sz w:val="22"/>
                <w:lang w:val="en-GB"/>
              </w:rPr>
              <w:t>47.3%</w:t>
            </w:r>
          </w:p>
        </w:tc>
      </w:tr>
      <w:tr w:rsidR="004A10AE" w:rsidRPr="00500B42" w14:paraId="79DFE33E" w14:textId="77777777" w:rsidTr="005A4B0D">
        <w:trPr>
          <w:cantSplit/>
          <w:tblHeader/>
        </w:trPr>
        <w:tc>
          <w:tcPr>
            <w:tcW w:w="5000" w:type="pct"/>
            <w:gridSpan w:val="12"/>
            <w:tcBorders>
              <w:top w:val="single" w:sz="6" w:space="0" w:color="auto"/>
              <w:left w:val="nil"/>
              <w:bottom w:val="nil"/>
              <w:right w:val="nil"/>
            </w:tcBorders>
            <w:vAlign w:val="bottom"/>
          </w:tcPr>
          <w:p w14:paraId="6060BA81" w14:textId="77777777" w:rsidR="004A10AE" w:rsidRPr="00500B42" w:rsidRDefault="004A10AE" w:rsidP="007947DB">
            <w:pPr>
              <w:spacing w:after="0" w:line="240" w:lineRule="auto"/>
              <w:jc w:val="left"/>
              <w:rPr>
                <w:rFonts w:ascii="Times New Roman" w:eastAsia="Malgun Gothic" w:hAnsi="Times New Roman" w:cs="Times New Roman"/>
                <w:b/>
                <w:bCs/>
                <w:color w:val="000000"/>
                <w:kern w:val="0"/>
                <w:sz w:val="22"/>
                <w:lang w:val="en-GB"/>
              </w:rPr>
            </w:pPr>
            <w:r w:rsidRPr="00500B42">
              <w:rPr>
                <w:rFonts w:ascii="Times New Roman" w:eastAsia="Malgun Gothic" w:hAnsi="Times New Roman" w:cs="Times New Roman"/>
                <w:b/>
                <w:color w:val="000000"/>
                <w:kern w:val="0"/>
                <w:sz w:val="22"/>
                <w:lang w:val="en-GB"/>
              </w:rPr>
              <w:t>Percentage of subjects in clinical remission, sustained remission, and in remission without corticosteroids</w:t>
            </w:r>
          </w:p>
        </w:tc>
      </w:tr>
      <w:tr w:rsidR="004A10AE" w:rsidRPr="00500B42" w14:paraId="076330A2" w14:textId="77777777" w:rsidTr="005A4B0D">
        <w:trPr>
          <w:cantSplit/>
        </w:trPr>
        <w:tc>
          <w:tcPr>
            <w:tcW w:w="1667" w:type="pct"/>
            <w:tcBorders>
              <w:top w:val="nil"/>
              <w:left w:val="nil"/>
              <w:bottom w:val="nil"/>
              <w:right w:val="nil"/>
            </w:tcBorders>
            <w:vAlign w:val="bottom"/>
          </w:tcPr>
          <w:p w14:paraId="1D1DAF72" w14:textId="77777777" w:rsidR="004A10AE" w:rsidRDefault="004A10AE" w:rsidP="007947DB">
            <w:pPr>
              <w:spacing w:after="0" w:line="240" w:lineRule="auto"/>
              <w:jc w:val="left"/>
              <w:rPr>
                <w:rFonts w:ascii="Times New Roman" w:eastAsia="Malgun Gothic" w:hAnsi="Times New Roman" w:cs="Times New Roman"/>
                <w:color w:val="000000"/>
                <w:kern w:val="0"/>
                <w:sz w:val="22"/>
                <w:lang w:val="en-GB"/>
              </w:rPr>
            </w:pPr>
          </w:p>
          <w:p w14:paraId="16E06DE0" w14:textId="77777777" w:rsidR="004A10AE" w:rsidRPr="00500B42" w:rsidRDefault="004A10AE" w:rsidP="007947DB">
            <w:pPr>
              <w:spacing w:after="0" w:line="240" w:lineRule="auto"/>
              <w:jc w:val="left"/>
              <w:rPr>
                <w:rFonts w:ascii="Times New Roman" w:eastAsia="Malgun Gothic" w:hAnsi="Times New Roman" w:cs="Times New Roman"/>
                <w:color w:val="000000"/>
                <w:kern w:val="0"/>
                <w:sz w:val="22"/>
                <w:lang w:val="en-GB"/>
              </w:rPr>
            </w:pPr>
            <w:r w:rsidRPr="00500B42">
              <w:rPr>
                <w:rFonts w:ascii="Times New Roman" w:eastAsia="Malgun Gothic" w:hAnsi="Times New Roman" w:cs="Times New Roman"/>
                <w:color w:val="000000"/>
                <w:kern w:val="0"/>
                <w:sz w:val="22"/>
                <w:lang w:val="en-GB"/>
              </w:rPr>
              <w:t>Clinical remission at Week 8</w:t>
            </w:r>
            <w:r w:rsidRPr="00500B42">
              <w:rPr>
                <w:rFonts w:ascii="Times New Roman" w:eastAsia="Malgun Gothic" w:hAnsi="Times New Roman" w:cs="Times New Roman"/>
                <w:color w:val="000000"/>
                <w:kern w:val="0"/>
                <w:sz w:val="22"/>
                <w:vertAlign w:val="superscript"/>
                <w:lang w:val="en-GB"/>
              </w:rPr>
              <w:t>a</w:t>
            </w:r>
          </w:p>
        </w:tc>
        <w:tc>
          <w:tcPr>
            <w:tcW w:w="833" w:type="pct"/>
            <w:gridSpan w:val="3"/>
            <w:tcBorders>
              <w:top w:val="nil"/>
              <w:left w:val="nil"/>
              <w:bottom w:val="nil"/>
              <w:right w:val="nil"/>
            </w:tcBorders>
            <w:vAlign w:val="center"/>
          </w:tcPr>
          <w:p w14:paraId="3AE3EC76" w14:textId="77777777" w:rsidR="004A10AE" w:rsidRPr="00500B42" w:rsidRDefault="004A10AE" w:rsidP="007947DB">
            <w:pPr>
              <w:spacing w:after="0" w:line="240" w:lineRule="auto"/>
              <w:jc w:val="center"/>
              <w:rPr>
                <w:rFonts w:ascii="Times New Roman" w:eastAsia="Malgun Gothic" w:hAnsi="Times New Roman" w:cs="Times New Roman"/>
                <w:color w:val="000000"/>
                <w:kern w:val="0"/>
                <w:sz w:val="22"/>
                <w:lang w:val="en-GB"/>
              </w:rPr>
            </w:pPr>
            <w:r w:rsidRPr="00500B42">
              <w:rPr>
                <w:rFonts w:ascii="Times New Roman" w:eastAsia="Malgun Gothic" w:hAnsi="Times New Roman" w:cs="Times New Roman"/>
                <w:color w:val="000000"/>
                <w:kern w:val="0"/>
                <w:sz w:val="22"/>
                <w:lang w:val="en-GB"/>
              </w:rPr>
              <w:t>10.2%</w:t>
            </w:r>
          </w:p>
        </w:tc>
        <w:tc>
          <w:tcPr>
            <w:tcW w:w="833" w:type="pct"/>
            <w:gridSpan w:val="3"/>
            <w:tcBorders>
              <w:top w:val="nil"/>
              <w:left w:val="nil"/>
              <w:bottom w:val="nil"/>
              <w:right w:val="nil"/>
            </w:tcBorders>
            <w:vAlign w:val="center"/>
          </w:tcPr>
          <w:p w14:paraId="54F34CA6" w14:textId="77777777" w:rsidR="004A10AE" w:rsidRPr="00500B42" w:rsidRDefault="004A10AE" w:rsidP="007947DB">
            <w:pPr>
              <w:spacing w:after="0" w:line="240" w:lineRule="auto"/>
              <w:jc w:val="center"/>
              <w:rPr>
                <w:rFonts w:ascii="Times New Roman" w:eastAsia="Malgun Gothic" w:hAnsi="Times New Roman" w:cs="Times New Roman"/>
                <w:color w:val="000000"/>
                <w:kern w:val="0"/>
                <w:sz w:val="22"/>
                <w:lang w:val="en-GB"/>
              </w:rPr>
            </w:pPr>
            <w:r w:rsidRPr="00500B42">
              <w:rPr>
                <w:rFonts w:ascii="Times New Roman" w:eastAsia="Malgun Gothic" w:hAnsi="Times New Roman" w:cs="Times New Roman"/>
                <w:color w:val="000000"/>
                <w:kern w:val="0"/>
                <w:sz w:val="22"/>
                <w:lang w:val="en-GB"/>
              </w:rPr>
              <w:t>36.4%</w:t>
            </w:r>
          </w:p>
        </w:tc>
        <w:tc>
          <w:tcPr>
            <w:tcW w:w="833" w:type="pct"/>
            <w:gridSpan w:val="3"/>
            <w:tcBorders>
              <w:top w:val="nil"/>
              <w:left w:val="nil"/>
              <w:bottom w:val="nil"/>
              <w:right w:val="nil"/>
            </w:tcBorders>
            <w:vAlign w:val="center"/>
          </w:tcPr>
          <w:p w14:paraId="14D057B8" w14:textId="77777777" w:rsidR="004A10AE" w:rsidRPr="00500B42" w:rsidRDefault="004A10AE" w:rsidP="007947DB">
            <w:pPr>
              <w:spacing w:after="0" w:line="240" w:lineRule="auto"/>
              <w:jc w:val="center"/>
              <w:rPr>
                <w:rFonts w:ascii="Times New Roman" w:eastAsia="Malgun Gothic" w:hAnsi="Times New Roman" w:cs="Times New Roman"/>
                <w:color w:val="000000"/>
                <w:kern w:val="0"/>
                <w:sz w:val="22"/>
                <w:lang w:val="en-GB"/>
              </w:rPr>
            </w:pPr>
            <w:r w:rsidRPr="00500B42">
              <w:rPr>
                <w:rFonts w:ascii="Times New Roman" w:eastAsia="Malgun Gothic" w:hAnsi="Times New Roman" w:cs="Times New Roman"/>
                <w:color w:val="000000"/>
                <w:kern w:val="0"/>
                <w:sz w:val="22"/>
                <w:lang w:val="en-GB"/>
              </w:rPr>
              <w:t>29.8%</w:t>
            </w:r>
          </w:p>
        </w:tc>
        <w:tc>
          <w:tcPr>
            <w:tcW w:w="833" w:type="pct"/>
            <w:gridSpan w:val="2"/>
            <w:tcBorders>
              <w:top w:val="nil"/>
              <w:left w:val="nil"/>
              <w:bottom w:val="nil"/>
              <w:right w:val="nil"/>
            </w:tcBorders>
            <w:vAlign w:val="center"/>
          </w:tcPr>
          <w:p w14:paraId="17C1F866" w14:textId="77777777" w:rsidR="004A10AE" w:rsidRPr="00500B42" w:rsidRDefault="004A10AE" w:rsidP="007947DB">
            <w:pPr>
              <w:spacing w:after="0" w:line="240" w:lineRule="auto"/>
              <w:jc w:val="center"/>
              <w:rPr>
                <w:rFonts w:ascii="Times New Roman" w:eastAsia="Malgun Gothic" w:hAnsi="Times New Roman" w:cs="Times New Roman"/>
                <w:color w:val="000000"/>
                <w:kern w:val="0"/>
                <w:sz w:val="22"/>
                <w:lang w:val="en-GB"/>
              </w:rPr>
            </w:pPr>
            <w:r w:rsidRPr="00500B42">
              <w:rPr>
                <w:rFonts w:ascii="Times New Roman" w:eastAsia="Malgun Gothic" w:hAnsi="Times New Roman" w:cs="Times New Roman"/>
                <w:color w:val="000000"/>
                <w:kern w:val="0"/>
                <w:sz w:val="22"/>
                <w:lang w:val="en-GB"/>
              </w:rPr>
              <w:t>33.1%</w:t>
            </w:r>
          </w:p>
        </w:tc>
      </w:tr>
      <w:tr w:rsidR="004A10AE" w:rsidRPr="00500B42" w14:paraId="79ACFFE1" w14:textId="77777777" w:rsidTr="005A4B0D">
        <w:trPr>
          <w:cantSplit/>
        </w:trPr>
        <w:tc>
          <w:tcPr>
            <w:tcW w:w="1667" w:type="pct"/>
            <w:tcBorders>
              <w:top w:val="nil"/>
              <w:left w:val="nil"/>
              <w:bottom w:val="nil"/>
              <w:right w:val="nil"/>
            </w:tcBorders>
            <w:vAlign w:val="bottom"/>
          </w:tcPr>
          <w:p w14:paraId="034D6696" w14:textId="77777777" w:rsidR="004A10AE" w:rsidRPr="00500B42" w:rsidRDefault="004A10AE" w:rsidP="007947DB">
            <w:pPr>
              <w:spacing w:after="0" w:line="240" w:lineRule="auto"/>
              <w:jc w:val="left"/>
              <w:rPr>
                <w:rFonts w:ascii="Times New Roman" w:eastAsia="Malgun Gothic" w:hAnsi="Times New Roman" w:cs="Times New Roman"/>
                <w:color w:val="000000"/>
                <w:kern w:val="0"/>
                <w:sz w:val="22"/>
                <w:lang w:val="en-GB"/>
              </w:rPr>
            </w:pPr>
            <w:r w:rsidRPr="00500B42">
              <w:rPr>
                <w:rFonts w:ascii="Times New Roman" w:eastAsia="Malgun Gothic" w:hAnsi="Times New Roman" w:cs="Times New Roman"/>
                <w:color w:val="000000"/>
                <w:kern w:val="0"/>
                <w:sz w:val="22"/>
                <w:lang w:val="en-GB"/>
              </w:rPr>
              <w:t>Clinical remission at Week 30</w:t>
            </w:r>
            <w:r w:rsidRPr="00500B42">
              <w:rPr>
                <w:rFonts w:ascii="Times New Roman" w:eastAsia="Malgun Gothic" w:hAnsi="Times New Roman" w:cs="Times New Roman"/>
                <w:color w:val="000000"/>
                <w:kern w:val="0"/>
                <w:sz w:val="22"/>
                <w:vertAlign w:val="superscript"/>
                <w:lang w:val="en-GB"/>
              </w:rPr>
              <w:t>a</w:t>
            </w:r>
          </w:p>
        </w:tc>
        <w:tc>
          <w:tcPr>
            <w:tcW w:w="833" w:type="pct"/>
            <w:gridSpan w:val="3"/>
            <w:tcBorders>
              <w:top w:val="nil"/>
              <w:left w:val="nil"/>
              <w:bottom w:val="nil"/>
              <w:right w:val="nil"/>
            </w:tcBorders>
            <w:vAlign w:val="center"/>
          </w:tcPr>
          <w:p w14:paraId="4B6530A7" w14:textId="77777777" w:rsidR="004A10AE" w:rsidRPr="00500B42" w:rsidRDefault="004A10AE" w:rsidP="007947DB">
            <w:pPr>
              <w:spacing w:after="0" w:line="240" w:lineRule="auto"/>
              <w:jc w:val="center"/>
              <w:rPr>
                <w:rFonts w:ascii="Times New Roman" w:eastAsia="Malgun Gothic" w:hAnsi="Times New Roman" w:cs="Times New Roman"/>
                <w:color w:val="000000"/>
                <w:kern w:val="0"/>
                <w:sz w:val="22"/>
                <w:lang w:val="en-GB"/>
              </w:rPr>
            </w:pPr>
            <w:r w:rsidRPr="00500B42">
              <w:rPr>
                <w:rFonts w:ascii="Times New Roman" w:eastAsia="Malgun Gothic" w:hAnsi="Times New Roman" w:cs="Times New Roman"/>
                <w:color w:val="000000"/>
                <w:kern w:val="0"/>
                <w:sz w:val="22"/>
                <w:lang w:val="en-GB"/>
              </w:rPr>
              <w:t>13.1%</w:t>
            </w:r>
          </w:p>
        </w:tc>
        <w:tc>
          <w:tcPr>
            <w:tcW w:w="833" w:type="pct"/>
            <w:gridSpan w:val="3"/>
            <w:tcBorders>
              <w:top w:val="nil"/>
              <w:left w:val="nil"/>
              <w:bottom w:val="nil"/>
              <w:right w:val="nil"/>
            </w:tcBorders>
            <w:vAlign w:val="center"/>
          </w:tcPr>
          <w:p w14:paraId="04085E4D" w14:textId="77777777" w:rsidR="004A10AE" w:rsidRPr="00500B42" w:rsidRDefault="004A10AE" w:rsidP="007947DB">
            <w:pPr>
              <w:spacing w:after="0" w:line="240" w:lineRule="auto"/>
              <w:jc w:val="center"/>
              <w:rPr>
                <w:rFonts w:ascii="Times New Roman" w:eastAsia="Malgun Gothic" w:hAnsi="Times New Roman" w:cs="Times New Roman"/>
                <w:color w:val="000000"/>
                <w:kern w:val="0"/>
                <w:sz w:val="22"/>
                <w:lang w:val="en-GB"/>
              </w:rPr>
            </w:pPr>
            <w:r w:rsidRPr="00500B42">
              <w:rPr>
                <w:rFonts w:ascii="Times New Roman" w:eastAsia="Malgun Gothic" w:hAnsi="Times New Roman" w:cs="Times New Roman"/>
                <w:color w:val="000000"/>
                <w:kern w:val="0"/>
                <w:sz w:val="22"/>
                <w:lang w:val="en-GB"/>
              </w:rPr>
              <w:t>29.8%</w:t>
            </w:r>
          </w:p>
        </w:tc>
        <w:tc>
          <w:tcPr>
            <w:tcW w:w="833" w:type="pct"/>
            <w:gridSpan w:val="3"/>
            <w:tcBorders>
              <w:top w:val="nil"/>
              <w:left w:val="nil"/>
              <w:bottom w:val="nil"/>
              <w:right w:val="nil"/>
            </w:tcBorders>
            <w:vAlign w:val="center"/>
          </w:tcPr>
          <w:p w14:paraId="50165C1B" w14:textId="77777777" w:rsidR="004A10AE" w:rsidRPr="00500B42" w:rsidRDefault="004A10AE" w:rsidP="007947DB">
            <w:pPr>
              <w:spacing w:after="0" w:line="240" w:lineRule="auto"/>
              <w:jc w:val="center"/>
              <w:rPr>
                <w:rFonts w:ascii="Times New Roman" w:eastAsia="Malgun Gothic" w:hAnsi="Times New Roman" w:cs="Times New Roman"/>
                <w:color w:val="000000"/>
                <w:kern w:val="0"/>
                <w:sz w:val="22"/>
                <w:lang w:val="en-GB"/>
              </w:rPr>
            </w:pPr>
            <w:r w:rsidRPr="00500B42">
              <w:rPr>
                <w:rFonts w:ascii="Times New Roman" w:eastAsia="Malgun Gothic" w:hAnsi="Times New Roman" w:cs="Times New Roman"/>
                <w:color w:val="000000"/>
                <w:kern w:val="0"/>
                <w:sz w:val="22"/>
                <w:lang w:val="en-GB"/>
              </w:rPr>
              <w:t>36.4%</w:t>
            </w:r>
          </w:p>
        </w:tc>
        <w:tc>
          <w:tcPr>
            <w:tcW w:w="833" w:type="pct"/>
            <w:gridSpan w:val="2"/>
            <w:tcBorders>
              <w:top w:val="nil"/>
              <w:left w:val="nil"/>
              <w:bottom w:val="nil"/>
              <w:right w:val="nil"/>
            </w:tcBorders>
            <w:vAlign w:val="center"/>
          </w:tcPr>
          <w:p w14:paraId="04D85121" w14:textId="77777777" w:rsidR="004A10AE" w:rsidRPr="00500B42" w:rsidRDefault="004A10AE" w:rsidP="007947DB">
            <w:pPr>
              <w:spacing w:after="0" w:line="240" w:lineRule="auto"/>
              <w:jc w:val="center"/>
              <w:rPr>
                <w:rFonts w:ascii="Times New Roman" w:eastAsia="Malgun Gothic" w:hAnsi="Times New Roman" w:cs="Times New Roman"/>
                <w:color w:val="000000"/>
                <w:kern w:val="0"/>
                <w:sz w:val="22"/>
                <w:lang w:val="en-GB"/>
              </w:rPr>
            </w:pPr>
            <w:r w:rsidRPr="00500B42">
              <w:rPr>
                <w:rFonts w:ascii="Times New Roman" w:eastAsia="Malgun Gothic" w:hAnsi="Times New Roman" w:cs="Times New Roman"/>
                <w:color w:val="000000"/>
                <w:kern w:val="0"/>
                <w:sz w:val="22"/>
                <w:lang w:val="en-GB"/>
              </w:rPr>
              <w:t>33.1%</w:t>
            </w:r>
          </w:p>
        </w:tc>
      </w:tr>
      <w:tr w:rsidR="004A10AE" w:rsidRPr="00500B42" w14:paraId="04DF45AF" w14:textId="77777777" w:rsidTr="005A4B0D">
        <w:trPr>
          <w:cantSplit/>
        </w:trPr>
        <w:tc>
          <w:tcPr>
            <w:tcW w:w="1667" w:type="pct"/>
            <w:tcBorders>
              <w:top w:val="nil"/>
              <w:left w:val="nil"/>
              <w:bottom w:val="nil"/>
              <w:right w:val="nil"/>
            </w:tcBorders>
            <w:vAlign w:val="bottom"/>
          </w:tcPr>
          <w:p w14:paraId="7CE150F9" w14:textId="77777777" w:rsidR="004A10AE" w:rsidRPr="00500B42" w:rsidRDefault="004A10AE" w:rsidP="007947DB">
            <w:pPr>
              <w:spacing w:after="0" w:line="240" w:lineRule="auto"/>
              <w:jc w:val="left"/>
              <w:rPr>
                <w:rFonts w:ascii="Times New Roman" w:eastAsia="Malgun Gothic" w:hAnsi="Times New Roman" w:cs="Times New Roman"/>
                <w:color w:val="000000"/>
                <w:kern w:val="0"/>
                <w:sz w:val="22"/>
                <w:lang w:val="en-GB"/>
              </w:rPr>
            </w:pPr>
            <w:r w:rsidRPr="00500B42">
              <w:rPr>
                <w:rFonts w:ascii="Times New Roman" w:eastAsia="Malgun Gothic" w:hAnsi="Times New Roman" w:cs="Times New Roman"/>
                <w:color w:val="000000"/>
                <w:kern w:val="0"/>
                <w:sz w:val="22"/>
                <w:lang w:val="en-GB"/>
              </w:rPr>
              <w:t>Sustained remission</w:t>
            </w:r>
          </w:p>
          <w:p w14:paraId="6AEC526C" w14:textId="77777777" w:rsidR="004A10AE" w:rsidRPr="00500B42" w:rsidRDefault="004A10AE" w:rsidP="007947DB">
            <w:pPr>
              <w:spacing w:after="0" w:line="240" w:lineRule="auto"/>
              <w:jc w:val="left"/>
              <w:rPr>
                <w:rFonts w:ascii="Times New Roman" w:eastAsia="Malgun Gothic" w:hAnsi="Times New Roman" w:cs="Times New Roman"/>
                <w:color w:val="000000"/>
                <w:kern w:val="0"/>
                <w:sz w:val="22"/>
                <w:lang w:val="en-GB"/>
              </w:rPr>
            </w:pPr>
            <w:r w:rsidRPr="00500B42">
              <w:rPr>
                <w:rFonts w:ascii="Times New Roman" w:eastAsia="Malgun Gothic" w:hAnsi="Times New Roman" w:cs="Times New Roman"/>
                <w:color w:val="000000"/>
                <w:kern w:val="0"/>
                <w:sz w:val="22"/>
                <w:lang w:val="en-GB"/>
              </w:rPr>
              <w:t>(in remission at both</w:t>
            </w:r>
          </w:p>
          <w:p w14:paraId="0722DDB8" w14:textId="77777777" w:rsidR="004A10AE" w:rsidRPr="00500B42" w:rsidRDefault="004A10AE" w:rsidP="007947DB">
            <w:pPr>
              <w:spacing w:after="0" w:line="240" w:lineRule="auto"/>
              <w:jc w:val="left"/>
              <w:rPr>
                <w:rFonts w:ascii="Times New Roman" w:eastAsia="Malgun Gothic" w:hAnsi="Times New Roman" w:cs="Times New Roman"/>
                <w:color w:val="000000"/>
                <w:kern w:val="0"/>
                <w:sz w:val="22"/>
                <w:lang w:val="en-GB"/>
              </w:rPr>
            </w:pPr>
            <w:r w:rsidRPr="00500B42">
              <w:rPr>
                <w:rFonts w:ascii="Times New Roman" w:eastAsia="Malgun Gothic" w:hAnsi="Times New Roman" w:cs="Times New Roman"/>
                <w:color w:val="000000"/>
                <w:kern w:val="0"/>
                <w:sz w:val="22"/>
                <w:lang w:val="en-GB"/>
              </w:rPr>
              <w:t>Week 8 and Week 30)</w:t>
            </w:r>
            <w:r w:rsidRPr="00500B42">
              <w:rPr>
                <w:rFonts w:ascii="Times New Roman" w:eastAsia="Malgun Gothic" w:hAnsi="Times New Roman" w:cs="Times New Roman"/>
                <w:color w:val="000000"/>
                <w:kern w:val="0"/>
                <w:sz w:val="22"/>
                <w:vertAlign w:val="superscript"/>
                <w:lang w:val="en-GB"/>
              </w:rPr>
              <w:t>a</w:t>
            </w:r>
          </w:p>
        </w:tc>
        <w:tc>
          <w:tcPr>
            <w:tcW w:w="833" w:type="pct"/>
            <w:gridSpan w:val="3"/>
            <w:tcBorders>
              <w:top w:val="nil"/>
              <w:left w:val="nil"/>
              <w:bottom w:val="nil"/>
              <w:right w:val="nil"/>
            </w:tcBorders>
            <w:vAlign w:val="center"/>
          </w:tcPr>
          <w:p w14:paraId="5FA07F49" w14:textId="77777777" w:rsidR="004A10AE" w:rsidRPr="00500B42" w:rsidRDefault="004A10AE" w:rsidP="007947DB">
            <w:pPr>
              <w:spacing w:after="0" w:line="240" w:lineRule="auto"/>
              <w:jc w:val="center"/>
              <w:rPr>
                <w:rFonts w:ascii="Times New Roman" w:eastAsia="Malgun Gothic" w:hAnsi="Times New Roman" w:cs="Times New Roman"/>
                <w:color w:val="000000"/>
                <w:kern w:val="0"/>
                <w:sz w:val="22"/>
                <w:lang w:val="en-GB"/>
              </w:rPr>
            </w:pPr>
            <w:r w:rsidRPr="00500B42">
              <w:rPr>
                <w:rFonts w:ascii="Times New Roman" w:eastAsia="Malgun Gothic" w:hAnsi="Times New Roman" w:cs="Times New Roman"/>
                <w:color w:val="000000"/>
                <w:kern w:val="0"/>
                <w:sz w:val="22"/>
                <w:lang w:val="en-GB"/>
              </w:rPr>
              <w:t>5.3%</w:t>
            </w:r>
          </w:p>
        </w:tc>
        <w:tc>
          <w:tcPr>
            <w:tcW w:w="833" w:type="pct"/>
            <w:gridSpan w:val="3"/>
            <w:tcBorders>
              <w:top w:val="nil"/>
              <w:left w:val="nil"/>
              <w:bottom w:val="nil"/>
              <w:right w:val="nil"/>
            </w:tcBorders>
            <w:vAlign w:val="center"/>
          </w:tcPr>
          <w:p w14:paraId="2B3FEA23" w14:textId="77777777" w:rsidR="004A10AE" w:rsidRPr="00500B42" w:rsidRDefault="004A10AE" w:rsidP="007947DB">
            <w:pPr>
              <w:spacing w:after="0" w:line="240" w:lineRule="auto"/>
              <w:jc w:val="center"/>
              <w:rPr>
                <w:rFonts w:ascii="Times New Roman" w:eastAsia="Malgun Gothic" w:hAnsi="Times New Roman" w:cs="Times New Roman"/>
                <w:color w:val="000000"/>
                <w:kern w:val="0"/>
                <w:sz w:val="22"/>
                <w:lang w:val="en-GB"/>
              </w:rPr>
            </w:pPr>
            <w:r w:rsidRPr="00500B42">
              <w:rPr>
                <w:rFonts w:ascii="Times New Roman" w:eastAsia="Malgun Gothic" w:hAnsi="Times New Roman" w:cs="Times New Roman"/>
                <w:color w:val="000000"/>
                <w:kern w:val="0"/>
                <w:sz w:val="22"/>
                <w:lang w:val="en-GB"/>
              </w:rPr>
              <w:t>19.0%</w:t>
            </w:r>
          </w:p>
        </w:tc>
        <w:tc>
          <w:tcPr>
            <w:tcW w:w="833" w:type="pct"/>
            <w:gridSpan w:val="3"/>
            <w:tcBorders>
              <w:top w:val="nil"/>
              <w:left w:val="nil"/>
              <w:bottom w:val="nil"/>
              <w:right w:val="nil"/>
            </w:tcBorders>
            <w:vAlign w:val="center"/>
          </w:tcPr>
          <w:p w14:paraId="4E0619A7" w14:textId="77777777" w:rsidR="004A10AE" w:rsidRPr="00500B42" w:rsidRDefault="004A10AE" w:rsidP="007947DB">
            <w:pPr>
              <w:spacing w:after="0" w:line="240" w:lineRule="auto"/>
              <w:jc w:val="center"/>
              <w:rPr>
                <w:rFonts w:ascii="Times New Roman" w:eastAsia="Malgun Gothic" w:hAnsi="Times New Roman" w:cs="Times New Roman"/>
                <w:color w:val="000000"/>
                <w:kern w:val="0"/>
                <w:sz w:val="22"/>
                <w:lang w:val="en-GB"/>
              </w:rPr>
            </w:pPr>
            <w:r w:rsidRPr="00500B42">
              <w:rPr>
                <w:rFonts w:ascii="Times New Roman" w:eastAsia="Malgun Gothic" w:hAnsi="Times New Roman" w:cs="Times New Roman"/>
                <w:color w:val="000000"/>
                <w:kern w:val="0"/>
                <w:sz w:val="22"/>
                <w:lang w:val="en-GB"/>
              </w:rPr>
              <w:t>24.4%</w:t>
            </w:r>
          </w:p>
        </w:tc>
        <w:tc>
          <w:tcPr>
            <w:tcW w:w="833" w:type="pct"/>
            <w:gridSpan w:val="2"/>
            <w:tcBorders>
              <w:top w:val="nil"/>
              <w:left w:val="nil"/>
              <w:bottom w:val="nil"/>
              <w:right w:val="nil"/>
            </w:tcBorders>
            <w:vAlign w:val="center"/>
          </w:tcPr>
          <w:p w14:paraId="5B130CCF" w14:textId="77777777" w:rsidR="004A10AE" w:rsidRPr="00500B42" w:rsidRDefault="004A10AE" w:rsidP="007947DB">
            <w:pPr>
              <w:spacing w:after="0" w:line="240" w:lineRule="auto"/>
              <w:jc w:val="center"/>
              <w:rPr>
                <w:rFonts w:ascii="Times New Roman" w:eastAsia="Malgun Gothic" w:hAnsi="Times New Roman" w:cs="Times New Roman"/>
                <w:color w:val="000000"/>
                <w:kern w:val="0"/>
                <w:sz w:val="22"/>
                <w:lang w:val="en-GB"/>
              </w:rPr>
            </w:pPr>
            <w:r w:rsidRPr="00500B42">
              <w:rPr>
                <w:rFonts w:ascii="Times New Roman" w:eastAsia="Malgun Gothic" w:hAnsi="Times New Roman" w:cs="Times New Roman"/>
                <w:color w:val="000000"/>
                <w:kern w:val="0"/>
                <w:sz w:val="22"/>
                <w:lang w:val="en-GB"/>
              </w:rPr>
              <w:t>21.7%</w:t>
            </w:r>
          </w:p>
        </w:tc>
      </w:tr>
      <w:tr w:rsidR="004A10AE" w:rsidRPr="00500B42" w14:paraId="6F4C8227" w14:textId="77777777" w:rsidTr="005A4B0D">
        <w:trPr>
          <w:cantSplit/>
        </w:trPr>
        <w:tc>
          <w:tcPr>
            <w:tcW w:w="1667" w:type="pct"/>
            <w:tcBorders>
              <w:top w:val="nil"/>
              <w:left w:val="nil"/>
              <w:bottom w:val="nil"/>
              <w:right w:val="nil"/>
            </w:tcBorders>
            <w:vAlign w:val="bottom"/>
          </w:tcPr>
          <w:p w14:paraId="0480EDF2" w14:textId="77777777" w:rsidR="004A10AE" w:rsidRPr="00500B42" w:rsidRDefault="004A10AE" w:rsidP="007947DB">
            <w:pPr>
              <w:spacing w:after="0" w:line="240" w:lineRule="auto"/>
              <w:jc w:val="left"/>
              <w:rPr>
                <w:rFonts w:ascii="Times New Roman" w:eastAsia="Malgun Gothic" w:hAnsi="Times New Roman" w:cs="Times New Roman"/>
                <w:color w:val="000000"/>
                <w:kern w:val="0"/>
                <w:sz w:val="22"/>
                <w:lang w:val="en-GB"/>
              </w:rPr>
            </w:pPr>
            <w:r w:rsidRPr="00500B42">
              <w:rPr>
                <w:rFonts w:ascii="Times New Roman" w:eastAsia="Malgun Gothic" w:hAnsi="Times New Roman" w:cs="Times New Roman"/>
                <w:color w:val="000000"/>
                <w:kern w:val="0"/>
                <w:sz w:val="22"/>
                <w:lang w:val="en-GB"/>
              </w:rPr>
              <w:t>Randomised subjects with corticosteroids at baseline</w:t>
            </w:r>
          </w:p>
        </w:tc>
        <w:tc>
          <w:tcPr>
            <w:tcW w:w="833" w:type="pct"/>
            <w:gridSpan w:val="3"/>
            <w:tcBorders>
              <w:top w:val="nil"/>
              <w:left w:val="nil"/>
              <w:bottom w:val="nil"/>
              <w:right w:val="nil"/>
            </w:tcBorders>
            <w:vAlign w:val="center"/>
          </w:tcPr>
          <w:p w14:paraId="61350633" w14:textId="77777777" w:rsidR="004A10AE" w:rsidRPr="00500B42" w:rsidRDefault="004A10AE" w:rsidP="007947DB">
            <w:pPr>
              <w:spacing w:after="0" w:line="240" w:lineRule="auto"/>
              <w:jc w:val="center"/>
              <w:rPr>
                <w:rFonts w:ascii="Times New Roman" w:eastAsia="Malgun Gothic" w:hAnsi="Times New Roman" w:cs="Times New Roman"/>
                <w:color w:val="000000"/>
                <w:kern w:val="0"/>
                <w:sz w:val="22"/>
                <w:lang w:val="en-GB"/>
              </w:rPr>
            </w:pPr>
            <w:r w:rsidRPr="00500B42">
              <w:rPr>
                <w:rFonts w:ascii="Times New Roman" w:eastAsia="Malgun Gothic" w:hAnsi="Times New Roman" w:cs="Times New Roman"/>
                <w:color w:val="000000"/>
                <w:kern w:val="0"/>
                <w:sz w:val="22"/>
                <w:lang w:val="en-GB"/>
              </w:rPr>
              <w:t>139</w:t>
            </w:r>
          </w:p>
        </w:tc>
        <w:tc>
          <w:tcPr>
            <w:tcW w:w="833" w:type="pct"/>
            <w:gridSpan w:val="3"/>
            <w:tcBorders>
              <w:top w:val="nil"/>
              <w:left w:val="nil"/>
              <w:bottom w:val="nil"/>
              <w:right w:val="nil"/>
            </w:tcBorders>
            <w:vAlign w:val="center"/>
          </w:tcPr>
          <w:p w14:paraId="4A3BAF97" w14:textId="77777777" w:rsidR="004A10AE" w:rsidRPr="00500B42" w:rsidRDefault="004A10AE" w:rsidP="007947DB">
            <w:pPr>
              <w:spacing w:after="0" w:line="240" w:lineRule="auto"/>
              <w:jc w:val="center"/>
              <w:rPr>
                <w:rFonts w:ascii="Times New Roman" w:eastAsia="Malgun Gothic" w:hAnsi="Times New Roman" w:cs="Times New Roman"/>
                <w:color w:val="000000"/>
                <w:kern w:val="0"/>
                <w:sz w:val="22"/>
                <w:lang w:val="en-GB"/>
              </w:rPr>
            </w:pPr>
            <w:r w:rsidRPr="00500B42">
              <w:rPr>
                <w:rFonts w:ascii="Times New Roman" w:eastAsia="Malgun Gothic" w:hAnsi="Times New Roman" w:cs="Times New Roman"/>
                <w:color w:val="000000"/>
                <w:kern w:val="0"/>
                <w:sz w:val="22"/>
                <w:lang w:val="en-GB"/>
              </w:rPr>
              <w:t>130</w:t>
            </w:r>
          </w:p>
        </w:tc>
        <w:tc>
          <w:tcPr>
            <w:tcW w:w="833" w:type="pct"/>
            <w:gridSpan w:val="3"/>
            <w:tcBorders>
              <w:top w:val="nil"/>
              <w:left w:val="nil"/>
              <w:bottom w:val="nil"/>
              <w:right w:val="nil"/>
            </w:tcBorders>
            <w:vAlign w:val="center"/>
          </w:tcPr>
          <w:p w14:paraId="6ECBFE42" w14:textId="77777777" w:rsidR="004A10AE" w:rsidRPr="00500B42" w:rsidRDefault="004A10AE" w:rsidP="007947DB">
            <w:pPr>
              <w:spacing w:after="0" w:line="240" w:lineRule="auto"/>
              <w:jc w:val="center"/>
              <w:rPr>
                <w:rFonts w:ascii="Times New Roman" w:eastAsia="Malgun Gothic" w:hAnsi="Times New Roman" w:cs="Times New Roman"/>
                <w:color w:val="000000"/>
                <w:kern w:val="0"/>
                <w:sz w:val="22"/>
                <w:lang w:val="en-GB"/>
              </w:rPr>
            </w:pPr>
            <w:r w:rsidRPr="00500B42">
              <w:rPr>
                <w:rFonts w:ascii="Times New Roman" w:eastAsia="Malgun Gothic" w:hAnsi="Times New Roman" w:cs="Times New Roman"/>
                <w:color w:val="000000"/>
                <w:kern w:val="0"/>
                <w:sz w:val="22"/>
                <w:lang w:val="en-GB"/>
              </w:rPr>
              <w:t>139</w:t>
            </w:r>
          </w:p>
        </w:tc>
        <w:tc>
          <w:tcPr>
            <w:tcW w:w="833" w:type="pct"/>
            <w:gridSpan w:val="2"/>
            <w:tcBorders>
              <w:top w:val="nil"/>
              <w:left w:val="nil"/>
              <w:bottom w:val="nil"/>
              <w:right w:val="nil"/>
            </w:tcBorders>
            <w:vAlign w:val="center"/>
          </w:tcPr>
          <w:p w14:paraId="22E611FB" w14:textId="77777777" w:rsidR="004A10AE" w:rsidRPr="00500B42" w:rsidRDefault="004A10AE" w:rsidP="007947DB">
            <w:pPr>
              <w:spacing w:after="0" w:line="240" w:lineRule="auto"/>
              <w:jc w:val="center"/>
              <w:rPr>
                <w:rFonts w:ascii="Times New Roman" w:eastAsia="Malgun Gothic" w:hAnsi="Times New Roman" w:cs="Times New Roman"/>
                <w:color w:val="000000"/>
                <w:kern w:val="0"/>
                <w:sz w:val="22"/>
                <w:lang w:val="en-GB"/>
              </w:rPr>
            </w:pPr>
            <w:r w:rsidRPr="00500B42">
              <w:rPr>
                <w:rFonts w:ascii="Times New Roman" w:eastAsia="Malgun Gothic" w:hAnsi="Times New Roman" w:cs="Times New Roman"/>
                <w:color w:val="000000"/>
                <w:kern w:val="0"/>
                <w:sz w:val="22"/>
                <w:lang w:val="en-GB"/>
              </w:rPr>
              <w:t>269</w:t>
            </w:r>
          </w:p>
        </w:tc>
      </w:tr>
      <w:tr w:rsidR="004A10AE" w:rsidRPr="00500B42" w14:paraId="7E0EA703" w14:textId="77777777" w:rsidTr="005A4B0D">
        <w:trPr>
          <w:cantSplit/>
        </w:trPr>
        <w:tc>
          <w:tcPr>
            <w:tcW w:w="1667" w:type="pct"/>
            <w:tcBorders>
              <w:top w:val="nil"/>
              <w:left w:val="nil"/>
              <w:bottom w:val="nil"/>
              <w:right w:val="nil"/>
            </w:tcBorders>
            <w:vAlign w:val="bottom"/>
          </w:tcPr>
          <w:p w14:paraId="652A064E" w14:textId="77777777" w:rsidR="004A10AE" w:rsidRPr="00500B42" w:rsidRDefault="004A10AE" w:rsidP="007947DB">
            <w:pPr>
              <w:spacing w:after="0" w:line="240" w:lineRule="auto"/>
              <w:jc w:val="left"/>
              <w:rPr>
                <w:rFonts w:ascii="Times New Roman" w:eastAsia="Malgun Gothic" w:hAnsi="Times New Roman" w:cs="Times New Roman"/>
                <w:color w:val="000000"/>
                <w:kern w:val="0"/>
                <w:sz w:val="22"/>
                <w:lang w:val="en-GB"/>
              </w:rPr>
            </w:pPr>
            <w:r w:rsidRPr="00500B42">
              <w:rPr>
                <w:rFonts w:ascii="Times New Roman" w:eastAsia="Malgun Gothic" w:hAnsi="Times New Roman" w:cs="Times New Roman"/>
                <w:color w:val="000000"/>
                <w:kern w:val="0"/>
                <w:sz w:val="22"/>
                <w:lang w:val="en-GB"/>
              </w:rPr>
              <w:t>Subjects without corticosteroids and in clinical remission at Week 30</w:t>
            </w:r>
            <w:r w:rsidRPr="00500B42">
              <w:rPr>
                <w:rFonts w:ascii="Times New Roman" w:eastAsia="Malgun Gothic" w:hAnsi="Times New Roman" w:cs="Times New Roman"/>
                <w:color w:val="000000"/>
                <w:kern w:val="0"/>
                <w:sz w:val="22"/>
                <w:vertAlign w:val="superscript"/>
                <w:lang w:val="en-GB"/>
              </w:rPr>
              <w:t>b</w:t>
            </w:r>
          </w:p>
        </w:tc>
        <w:tc>
          <w:tcPr>
            <w:tcW w:w="833" w:type="pct"/>
            <w:gridSpan w:val="3"/>
            <w:tcBorders>
              <w:top w:val="nil"/>
              <w:left w:val="nil"/>
              <w:bottom w:val="nil"/>
              <w:right w:val="nil"/>
            </w:tcBorders>
            <w:vAlign w:val="center"/>
          </w:tcPr>
          <w:p w14:paraId="1840CD02" w14:textId="77777777" w:rsidR="004A10AE" w:rsidRPr="00500B42" w:rsidRDefault="004A10AE" w:rsidP="007947DB">
            <w:pPr>
              <w:spacing w:after="0" w:line="240" w:lineRule="auto"/>
              <w:jc w:val="center"/>
              <w:rPr>
                <w:rFonts w:ascii="Times New Roman" w:eastAsia="Malgun Gothic" w:hAnsi="Times New Roman" w:cs="Times New Roman"/>
                <w:color w:val="000000"/>
                <w:kern w:val="0"/>
                <w:sz w:val="22"/>
                <w:lang w:val="en-GB"/>
              </w:rPr>
            </w:pPr>
            <w:r w:rsidRPr="00500B42">
              <w:rPr>
                <w:rFonts w:ascii="Times New Roman" w:eastAsia="Malgun Gothic" w:hAnsi="Times New Roman" w:cs="Times New Roman"/>
                <w:color w:val="000000"/>
                <w:kern w:val="0"/>
                <w:sz w:val="22"/>
                <w:lang w:val="en-GB"/>
              </w:rPr>
              <w:t>7.2%</w:t>
            </w:r>
          </w:p>
        </w:tc>
        <w:tc>
          <w:tcPr>
            <w:tcW w:w="833" w:type="pct"/>
            <w:gridSpan w:val="3"/>
            <w:tcBorders>
              <w:top w:val="nil"/>
              <w:left w:val="nil"/>
              <w:bottom w:val="nil"/>
              <w:right w:val="nil"/>
            </w:tcBorders>
            <w:vAlign w:val="center"/>
          </w:tcPr>
          <w:p w14:paraId="09058412" w14:textId="77777777" w:rsidR="004A10AE" w:rsidRPr="00500B42" w:rsidRDefault="004A10AE" w:rsidP="007947DB">
            <w:pPr>
              <w:spacing w:after="0" w:line="240" w:lineRule="auto"/>
              <w:jc w:val="center"/>
              <w:rPr>
                <w:rFonts w:ascii="Times New Roman" w:eastAsia="Malgun Gothic" w:hAnsi="Times New Roman" w:cs="Times New Roman"/>
                <w:color w:val="000000"/>
                <w:kern w:val="0"/>
                <w:sz w:val="22"/>
                <w:lang w:val="en-GB"/>
              </w:rPr>
            </w:pPr>
            <w:r w:rsidRPr="00500B42">
              <w:rPr>
                <w:rFonts w:ascii="Times New Roman" w:eastAsia="Malgun Gothic" w:hAnsi="Times New Roman" w:cs="Times New Roman"/>
                <w:color w:val="000000"/>
                <w:kern w:val="0"/>
                <w:sz w:val="22"/>
                <w:lang w:val="en-GB"/>
              </w:rPr>
              <w:t>21.5%</w:t>
            </w:r>
          </w:p>
        </w:tc>
        <w:tc>
          <w:tcPr>
            <w:tcW w:w="833" w:type="pct"/>
            <w:gridSpan w:val="3"/>
            <w:tcBorders>
              <w:top w:val="nil"/>
              <w:left w:val="nil"/>
              <w:bottom w:val="nil"/>
              <w:right w:val="nil"/>
            </w:tcBorders>
            <w:vAlign w:val="center"/>
          </w:tcPr>
          <w:p w14:paraId="33A85ED0" w14:textId="77777777" w:rsidR="004A10AE" w:rsidRPr="00500B42" w:rsidRDefault="004A10AE" w:rsidP="007947DB">
            <w:pPr>
              <w:spacing w:after="0" w:line="240" w:lineRule="auto"/>
              <w:jc w:val="center"/>
              <w:rPr>
                <w:rFonts w:ascii="Times New Roman" w:eastAsia="Malgun Gothic" w:hAnsi="Times New Roman" w:cs="Times New Roman"/>
                <w:color w:val="000000"/>
                <w:kern w:val="0"/>
                <w:sz w:val="22"/>
                <w:lang w:val="en-GB"/>
              </w:rPr>
            </w:pPr>
            <w:r w:rsidRPr="00500B42">
              <w:rPr>
                <w:rFonts w:ascii="Times New Roman" w:eastAsia="Malgun Gothic" w:hAnsi="Times New Roman" w:cs="Times New Roman"/>
                <w:color w:val="000000"/>
                <w:kern w:val="0"/>
                <w:sz w:val="22"/>
                <w:lang w:val="en-GB"/>
              </w:rPr>
              <w:t>23.0%</w:t>
            </w:r>
          </w:p>
        </w:tc>
        <w:tc>
          <w:tcPr>
            <w:tcW w:w="833" w:type="pct"/>
            <w:gridSpan w:val="2"/>
            <w:tcBorders>
              <w:top w:val="nil"/>
              <w:left w:val="nil"/>
              <w:bottom w:val="nil"/>
              <w:right w:val="nil"/>
            </w:tcBorders>
            <w:vAlign w:val="center"/>
          </w:tcPr>
          <w:p w14:paraId="5D4A14D9" w14:textId="77777777" w:rsidR="004A10AE" w:rsidRPr="00500B42" w:rsidRDefault="004A10AE" w:rsidP="007947DB">
            <w:pPr>
              <w:spacing w:after="0" w:line="240" w:lineRule="auto"/>
              <w:jc w:val="center"/>
              <w:rPr>
                <w:rFonts w:ascii="Times New Roman" w:eastAsia="Malgun Gothic" w:hAnsi="Times New Roman" w:cs="Times New Roman"/>
                <w:color w:val="000000"/>
                <w:kern w:val="0"/>
                <w:sz w:val="22"/>
                <w:lang w:val="en-GB"/>
              </w:rPr>
            </w:pPr>
            <w:r w:rsidRPr="00500B42">
              <w:rPr>
                <w:rFonts w:ascii="Times New Roman" w:eastAsia="Malgun Gothic" w:hAnsi="Times New Roman" w:cs="Times New Roman"/>
                <w:color w:val="000000"/>
                <w:kern w:val="0"/>
                <w:sz w:val="22"/>
                <w:lang w:val="en-GB"/>
              </w:rPr>
              <w:t>22.3%</w:t>
            </w:r>
          </w:p>
        </w:tc>
      </w:tr>
      <w:tr w:rsidR="004A10AE" w:rsidRPr="00500B42" w14:paraId="53B33F94" w14:textId="77777777" w:rsidTr="005A4B0D">
        <w:trPr>
          <w:cantSplit/>
          <w:tblHeader/>
        </w:trPr>
        <w:tc>
          <w:tcPr>
            <w:tcW w:w="5000" w:type="pct"/>
            <w:gridSpan w:val="12"/>
            <w:tcBorders>
              <w:top w:val="single" w:sz="6" w:space="0" w:color="auto"/>
              <w:left w:val="nil"/>
              <w:bottom w:val="nil"/>
              <w:right w:val="nil"/>
            </w:tcBorders>
            <w:vAlign w:val="bottom"/>
          </w:tcPr>
          <w:p w14:paraId="132A2AA9" w14:textId="77777777" w:rsidR="004A10AE" w:rsidRPr="00500B42" w:rsidRDefault="004A10AE" w:rsidP="007947DB">
            <w:pPr>
              <w:spacing w:after="0" w:line="240" w:lineRule="auto"/>
              <w:jc w:val="left"/>
              <w:rPr>
                <w:rFonts w:ascii="Times New Roman" w:eastAsia="Malgun Gothic" w:hAnsi="Times New Roman" w:cs="Times New Roman"/>
                <w:b/>
                <w:bCs/>
                <w:color w:val="000000"/>
                <w:kern w:val="0"/>
                <w:sz w:val="22"/>
                <w:lang w:val="en-GB"/>
              </w:rPr>
            </w:pPr>
            <w:r w:rsidRPr="00500B42">
              <w:rPr>
                <w:rFonts w:ascii="Times New Roman" w:eastAsia="Malgun Gothic" w:hAnsi="Times New Roman" w:cs="Times New Roman"/>
                <w:b/>
                <w:color w:val="000000"/>
                <w:kern w:val="0"/>
                <w:sz w:val="22"/>
                <w:lang w:val="en-GB"/>
              </w:rPr>
              <w:t>Percentage of subjects with mucosal healing</w:t>
            </w:r>
          </w:p>
        </w:tc>
      </w:tr>
      <w:tr w:rsidR="004A10AE" w:rsidRPr="00500B42" w14:paraId="755B22BD" w14:textId="77777777" w:rsidTr="005A4B0D">
        <w:trPr>
          <w:cantSplit/>
        </w:trPr>
        <w:tc>
          <w:tcPr>
            <w:tcW w:w="1667" w:type="pct"/>
            <w:tcBorders>
              <w:top w:val="nil"/>
              <w:left w:val="nil"/>
              <w:bottom w:val="nil"/>
              <w:right w:val="nil"/>
            </w:tcBorders>
            <w:vAlign w:val="bottom"/>
          </w:tcPr>
          <w:p w14:paraId="1E9AF4B9" w14:textId="77777777" w:rsidR="004A10AE" w:rsidRPr="00500B42" w:rsidRDefault="004A10AE" w:rsidP="007947DB">
            <w:pPr>
              <w:spacing w:after="0" w:line="240" w:lineRule="auto"/>
              <w:jc w:val="left"/>
              <w:rPr>
                <w:rFonts w:ascii="Times New Roman" w:eastAsia="Malgun Gothic" w:hAnsi="Times New Roman" w:cs="Times New Roman"/>
                <w:color w:val="000000"/>
                <w:kern w:val="0"/>
                <w:sz w:val="22"/>
                <w:lang w:val="en-GB"/>
              </w:rPr>
            </w:pPr>
            <w:r w:rsidRPr="00500B42">
              <w:rPr>
                <w:rFonts w:ascii="Times New Roman" w:eastAsia="Malgun Gothic" w:hAnsi="Times New Roman" w:cs="Times New Roman"/>
                <w:color w:val="000000"/>
                <w:kern w:val="0"/>
                <w:sz w:val="22"/>
                <w:lang w:val="en-GB"/>
              </w:rPr>
              <w:t>Mucosal healing at Week 8</w:t>
            </w:r>
            <w:r w:rsidRPr="00500B42">
              <w:rPr>
                <w:rFonts w:ascii="Times New Roman" w:eastAsia="Malgun Gothic" w:hAnsi="Times New Roman" w:cs="Times New Roman"/>
                <w:color w:val="000000"/>
                <w:kern w:val="0"/>
                <w:sz w:val="22"/>
                <w:vertAlign w:val="superscript"/>
                <w:lang w:val="en-GB"/>
              </w:rPr>
              <w:t>a</w:t>
            </w:r>
          </w:p>
        </w:tc>
        <w:tc>
          <w:tcPr>
            <w:tcW w:w="833" w:type="pct"/>
            <w:gridSpan w:val="3"/>
            <w:tcBorders>
              <w:top w:val="nil"/>
              <w:left w:val="nil"/>
              <w:bottom w:val="nil"/>
              <w:right w:val="nil"/>
            </w:tcBorders>
            <w:vAlign w:val="center"/>
          </w:tcPr>
          <w:p w14:paraId="39AB1C86" w14:textId="77777777" w:rsidR="004A10AE" w:rsidRPr="00500B42" w:rsidRDefault="004A10AE" w:rsidP="007947DB">
            <w:pPr>
              <w:spacing w:after="0" w:line="240" w:lineRule="auto"/>
              <w:jc w:val="center"/>
              <w:rPr>
                <w:rFonts w:ascii="Times New Roman" w:eastAsia="Malgun Gothic" w:hAnsi="Times New Roman" w:cs="Times New Roman"/>
                <w:color w:val="000000"/>
                <w:kern w:val="0"/>
                <w:sz w:val="22"/>
                <w:lang w:val="en-GB"/>
              </w:rPr>
            </w:pPr>
            <w:r w:rsidRPr="00500B42">
              <w:rPr>
                <w:rFonts w:ascii="Times New Roman" w:eastAsia="Malgun Gothic" w:hAnsi="Times New Roman" w:cs="Times New Roman"/>
                <w:color w:val="000000"/>
                <w:kern w:val="0"/>
                <w:sz w:val="22"/>
                <w:lang w:val="en-GB"/>
              </w:rPr>
              <w:t>32.4%</w:t>
            </w:r>
          </w:p>
        </w:tc>
        <w:tc>
          <w:tcPr>
            <w:tcW w:w="833" w:type="pct"/>
            <w:gridSpan w:val="3"/>
            <w:tcBorders>
              <w:top w:val="nil"/>
              <w:left w:val="nil"/>
              <w:bottom w:val="nil"/>
              <w:right w:val="nil"/>
            </w:tcBorders>
            <w:vAlign w:val="center"/>
          </w:tcPr>
          <w:p w14:paraId="747206CF" w14:textId="77777777" w:rsidR="004A10AE" w:rsidRPr="00500B42" w:rsidRDefault="004A10AE" w:rsidP="007947DB">
            <w:pPr>
              <w:spacing w:after="0" w:line="240" w:lineRule="auto"/>
              <w:jc w:val="center"/>
              <w:rPr>
                <w:rFonts w:ascii="Times New Roman" w:eastAsia="Malgun Gothic" w:hAnsi="Times New Roman" w:cs="Times New Roman"/>
                <w:color w:val="000000"/>
                <w:kern w:val="0"/>
                <w:sz w:val="22"/>
                <w:lang w:val="en-GB"/>
              </w:rPr>
            </w:pPr>
            <w:r w:rsidRPr="00500B42">
              <w:rPr>
                <w:rFonts w:ascii="Times New Roman" w:eastAsia="Malgun Gothic" w:hAnsi="Times New Roman" w:cs="Times New Roman"/>
                <w:color w:val="000000"/>
                <w:kern w:val="0"/>
                <w:sz w:val="22"/>
                <w:lang w:val="en-GB"/>
              </w:rPr>
              <w:t>61.2%</w:t>
            </w:r>
          </w:p>
        </w:tc>
        <w:tc>
          <w:tcPr>
            <w:tcW w:w="833" w:type="pct"/>
            <w:gridSpan w:val="3"/>
            <w:tcBorders>
              <w:top w:val="nil"/>
              <w:left w:val="nil"/>
              <w:bottom w:val="nil"/>
              <w:right w:val="nil"/>
            </w:tcBorders>
            <w:vAlign w:val="center"/>
          </w:tcPr>
          <w:p w14:paraId="557C3400" w14:textId="77777777" w:rsidR="004A10AE" w:rsidRPr="00500B42" w:rsidRDefault="004A10AE" w:rsidP="007947DB">
            <w:pPr>
              <w:spacing w:after="0" w:line="240" w:lineRule="auto"/>
              <w:jc w:val="center"/>
              <w:rPr>
                <w:rFonts w:ascii="Times New Roman" w:eastAsia="Malgun Gothic" w:hAnsi="Times New Roman" w:cs="Times New Roman"/>
                <w:color w:val="000000"/>
                <w:kern w:val="0"/>
                <w:sz w:val="22"/>
                <w:lang w:val="en-GB"/>
              </w:rPr>
            </w:pPr>
            <w:r w:rsidRPr="00500B42">
              <w:rPr>
                <w:rFonts w:ascii="Times New Roman" w:eastAsia="Malgun Gothic" w:hAnsi="Times New Roman" w:cs="Times New Roman"/>
                <w:color w:val="000000"/>
                <w:kern w:val="0"/>
                <w:sz w:val="22"/>
                <w:lang w:val="en-GB"/>
              </w:rPr>
              <w:t>60.3%</w:t>
            </w:r>
          </w:p>
        </w:tc>
        <w:tc>
          <w:tcPr>
            <w:tcW w:w="833" w:type="pct"/>
            <w:gridSpan w:val="2"/>
            <w:tcBorders>
              <w:top w:val="nil"/>
              <w:left w:val="nil"/>
              <w:bottom w:val="nil"/>
              <w:right w:val="nil"/>
            </w:tcBorders>
            <w:vAlign w:val="center"/>
          </w:tcPr>
          <w:p w14:paraId="18E3C722" w14:textId="77777777" w:rsidR="004A10AE" w:rsidRPr="00500B42" w:rsidRDefault="004A10AE" w:rsidP="007947DB">
            <w:pPr>
              <w:spacing w:after="0" w:line="240" w:lineRule="auto"/>
              <w:jc w:val="center"/>
              <w:rPr>
                <w:rFonts w:ascii="Times New Roman" w:eastAsia="Malgun Gothic" w:hAnsi="Times New Roman" w:cs="Times New Roman"/>
                <w:color w:val="000000"/>
                <w:kern w:val="0"/>
                <w:sz w:val="22"/>
                <w:lang w:val="en-GB"/>
              </w:rPr>
            </w:pPr>
            <w:r w:rsidRPr="00500B42">
              <w:rPr>
                <w:rFonts w:ascii="Times New Roman" w:eastAsia="Malgun Gothic" w:hAnsi="Times New Roman" w:cs="Times New Roman"/>
                <w:color w:val="000000"/>
                <w:kern w:val="0"/>
                <w:sz w:val="22"/>
                <w:lang w:val="en-GB"/>
              </w:rPr>
              <w:t>60.7%</w:t>
            </w:r>
          </w:p>
        </w:tc>
      </w:tr>
      <w:tr w:rsidR="004A10AE" w:rsidRPr="00500B42" w14:paraId="68ECB2E0" w14:textId="77777777" w:rsidTr="005A4B0D">
        <w:trPr>
          <w:cantSplit/>
        </w:trPr>
        <w:tc>
          <w:tcPr>
            <w:tcW w:w="1667" w:type="pct"/>
            <w:tcBorders>
              <w:top w:val="nil"/>
              <w:left w:val="nil"/>
              <w:bottom w:val="nil"/>
              <w:right w:val="nil"/>
            </w:tcBorders>
            <w:vAlign w:val="bottom"/>
          </w:tcPr>
          <w:p w14:paraId="4450A020" w14:textId="77777777" w:rsidR="004A10AE" w:rsidRPr="00500B42" w:rsidRDefault="004A10AE" w:rsidP="007947DB">
            <w:pPr>
              <w:spacing w:after="0" w:line="240" w:lineRule="auto"/>
              <w:jc w:val="left"/>
              <w:rPr>
                <w:rFonts w:ascii="Times New Roman" w:eastAsia="Malgun Gothic" w:hAnsi="Times New Roman" w:cs="Times New Roman"/>
                <w:color w:val="000000"/>
                <w:kern w:val="0"/>
                <w:sz w:val="22"/>
                <w:lang w:val="en-GB"/>
              </w:rPr>
            </w:pPr>
            <w:r w:rsidRPr="00500B42">
              <w:rPr>
                <w:rFonts w:ascii="Times New Roman" w:eastAsia="Malgun Gothic" w:hAnsi="Times New Roman" w:cs="Times New Roman"/>
                <w:color w:val="000000"/>
                <w:kern w:val="0"/>
                <w:sz w:val="22"/>
                <w:lang w:val="en-GB"/>
              </w:rPr>
              <w:t>Mucosal healing at Week 30</w:t>
            </w:r>
            <w:r w:rsidRPr="00500B42">
              <w:rPr>
                <w:rFonts w:ascii="Times New Roman" w:eastAsia="Malgun Gothic" w:hAnsi="Times New Roman" w:cs="Times New Roman"/>
                <w:color w:val="000000"/>
                <w:kern w:val="0"/>
                <w:sz w:val="22"/>
                <w:vertAlign w:val="superscript"/>
                <w:lang w:val="en-GB"/>
              </w:rPr>
              <w:t>a</w:t>
            </w:r>
          </w:p>
        </w:tc>
        <w:tc>
          <w:tcPr>
            <w:tcW w:w="833" w:type="pct"/>
            <w:gridSpan w:val="3"/>
            <w:tcBorders>
              <w:top w:val="nil"/>
              <w:left w:val="nil"/>
              <w:bottom w:val="nil"/>
              <w:right w:val="nil"/>
            </w:tcBorders>
            <w:vAlign w:val="center"/>
          </w:tcPr>
          <w:p w14:paraId="641BC204" w14:textId="77777777" w:rsidR="004A10AE" w:rsidRPr="00500B42" w:rsidRDefault="004A10AE" w:rsidP="007947DB">
            <w:pPr>
              <w:spacing w:after="0" w:line="240" w:lineRule="auto"/>
              <w:jc w:val="center"/>
              <w:rPr>
                <w:rFonts w:ascii="Times New Roman" w:eastAsia="Malgun Gothic" w:hAnsi="Times New Roman" w:cs="Times New Roman"/>
                <w:color w:val="000000"/>
                <w:kern w:val="0"/>
                <w:sz w:val="22"/>
                <w:lang w:val="en-GB"/>
              </w:rPr>
            </w:pPr>
            <w:r w:rsidRPr="00500B42">
              <w:rPr>
                <w:rFonts w:ascii="Times New Roman" w:eastAsia="Malgun Gothic" w:hAnsi="Times New Roman" w:cs="Times New Roman"/>
                <w:color w:val="000000"/>
                <w:kern w:val="0"/>
                <w:sz w:val="22"/>
                <w:lang w:val="en-GB"/>
              </w:rPr>
              <w:t>27.5%</w:t>
            </w:r>
          </w:p>
        </w:tc>
        <w:tc>
          <w:tcPr>
            <w:tcW w:w="833" w:type="pct"/>
            <w:gridSpan w:val="3"/>
            <w:tcBorders>
              <w:top w:val="nil"/>
              <w:left w:val="nil"/>
              <w:bottom w:val="nil"/>
              <w:right w:val="nil"/>
            </w:tcBorders>
            <w:vAlign w:val="center"/>
          </w:tcPr>
          <w:p w14:paraId="17EEFDDB" w14:textId="77777777" w:rsidR="004A10AE" w:rsidRPr="00500B42" w:rsidRDefault="004A10AE" w:rsidP="007947DB">
            <w:pPr>
              <w:spacing w:after="0" w:line="240" w:lineRule="auto"/>
              <w:jc w:val="center"/>
              <w:rPr>
                <w:rFonts w:ascii="Times New Roman" w:eastAsia="Malgun Gothic" w:hAnsi="Times New Roman" w:cs="Times New Roman"/>
                <w:color w:val="000000"/>
                <w:kern w:val="0"/>
                <w:sz w:val="22"/>
                <w:lang w:val="en-GB"/>
              </w:rPr>
            </w:pPr>
            <w:r w:rsidRPr="00500B42">
              <w:rPr>
                <w:rFonts w:ascii="Times New Roman" w:eastAsia="Malgun Gothic" w:hAnsi="Times New Roman" w:cs="Times New Roman"/>
                <w:color w:val="000000"/>
                <w:kern w:val="0"/>
                <w:sz w:val="22"/>
                <w:lang w:val="en-GB"/>
              </w:rPr>
              <w:t>48.3%</w:t>
            </w:r>
          </w:p>
        </w:tc>
        <w:tc>
          <w:tcPr>
            <w:tcW w:w="833" w:type="pct"/>
            <w:gridSpan w:val="3"/>
            <w:tcBorders>
              <w:top w:val="nil"/>
              <w:left w:val="nil"/>
              <w:bottom w:val="nil"/>
              <w:right w:val="nil"/>
            </w:tcBorders>
            <w:vAlign w:val="center"/>
          </w:tcPr>
          <w:p w14:paraId="468D6B56" w14:textId="77777777" w:rsidR="004A10AE" w:rsidRPr="00500B42" w:rsidRDefault="004A10AE" w:rsidP="007947DB">
            <w:pPr>
              <w:spacing w:after="0" w:line="240" w:lineRule="auto"/>
              <w:jc w:val="center"/>
              <w:rPr>
                <w:rFonts w:ascii="Times New Roman" w:eastAsia="Malgun Gothic" w:hAnsi="Times New Roman" w:cs="Times New Roman"/>
                <w:color w:val="000000"/>
                <w:kern w:val="0"/>
                <w:sz w:val="22"/>
                <w:lang w:val="en-GB"/>
              </w:rPr>
            </w:pPr>
            <w:r w:rsidRPr="00500B42">
              <w:rPr>
                <w:rFonts w:ascii="Times New Roman" w:eastAsia="Malgun Gothic" w:hAnsi="Times New Roman" w:cs="Times New Roman"/>
                <w:color w:val="000000"/>
                <w:kern w:val="0"/>
                <w:sz w:val="22"/>
                <w:lang w:val="en-GB"/>
              </w:rPr>
              <w:t>52.9%</w:t>
            </w:r>
          </w:p>
        </w:tc>
        <w:tc>
          <w:tcPr>
            <w:tcW w:w="833" w:type="pct"/>
            <w:gridSpan w:val="2"/>
            <w:tcBorders>
              <w:top w:val="nil"/>
              <w:left w:val="nil"/>
              <w:bottom w:val="nil"/>
              <w:right w:val="nil"/>
            </w:tcBorders>
            <w:vAlign w:val="center"/>
          </w:tcPr>
          <w:p w14:paraId="3A5BA599" w14:textId="77777777" w:rsidR="004A10AE" w:rsidRPr="00500B42" w:rsidRDefault="004A10AE" w:rsidP="007947DB">
            <w:pPr>
              <w:spacing w:after="0" w:line="240" w:lineRule="auto"/>
              <w:jc w:val="center"/>
              <w:rPr>
                <w:rFonts w:ascii="Times New Roman" w:eastAsia="Malgun Gothic" w:hAnsi="Times New Roman" w:cs="Times New Roman"/>
                <w:color w:val="000000"/>
                <w:kern w:val="0"/>
                <w:sz w:val="22"/>
                <w:lang w:val="en-GB"/>
              </w:rPr>
            </w:pPr>
            <w:r w:rsidRPr="00500B42">
              <w:rPr>
                <w:rFonts w:ascii="Times New Roman" w:eastAsia="Malgun Gothic" w:hAnsi="Times New Roman" w:cs="Times New Roman"/>
                <w:color w:val="000000"/>
                <w:kern w:val="0"/>
                <w:sz w:val="22"/>
                <w:lang w:val="en-GB"/>
              </w:rPr>
              <w:t>50.6%</w:t>
            </w:r>
          </w:p>
        </w:tc>
      </w:tr>
      <w:tr w:rsidR="004A10AE" w:rsidRPr="00500B42" w14:paraId="6FD606B4" w14:textId="77777777" w:rsidTr="005A4B0D">
        <w:trPr>
          <w:cantSplit/>
        </w:trPr>
        <w:tc>
          <w:tcPr>
            <w:tcW w:w="5000" w:type="pct"/>
            <w:gridSpan w:val="12"/>
            <w:tcBorders>
              <w:top w:val="single" w:sz="4" w:space="0" w:color="auto"/>
              <w:left w:val="nil"/>
              <w:bottom w:val="nil"/>
              <w:right w:val="nil"/>
            </w:tcBorders>
          </w:tcPr>
          <w:p w14:paraId="5B97227A" w14:textId="77777777" w:rsidR="004A10AE" w:rsidRPr="00500B42" w:rsidRDefault="004A10AE" w:rsidP="007947DB">
            <w:pPr>
              <w:pStyle w:val="NoSpacing"/>
              <w:jc w:val="left"/>
              <w:rPr>
                <w:rFonts w:ascii="Times New Roman" w:hAnsi="Times New Roman" w:cs="Times New Roman"/>
                <w:szCs w:val="20"/>
                <w:lang w:val="en-AU"/>
              </w:rPr>
            </w:pPr>
            <w:r w:rsidRPr="00500B42">
              <w:rPr>
                <w:rFonts w:ascii="Times New Roman" w:hAnsi="Times New Roman" w:cs="Times New Roman"/>
                <w:szCs w:val="20"/>
                <w:lang w:val="en-AU"/>
              </w:rPr>
              <w:t>a: p &lt; 0.001, for each infliximab treatment group vs. placebo</w:t>
            </w:r>
          </w:p>
          <w:p w14:paraId="501279C3" w14:textId="77777777" w:rsidR="004A10AE" w:rsidRPr="00500B42" w:rsidRDefault="004A10AE" w:rsidP="007947DB">
            <w:pPr>
              <w:pStyle w:val="NoSpacing"/>
              <w:jc w:val="left"/>
              <w:rPr>
                <w:rFonts w:ascii="Times New Roman" w:hAnsi="Times New Roman" w:cs="Times New Roman"/>
                <w:sz w:val="22"/>
                <w:lang w:val="en-GB"/>
              </w:rPr>
            </w:pPr>
            <w:r w:rsidRPr="00500B42">
              <w:rPr>
                <w:rFonts w:ascii="Times New Roman" w:hAnsi="Times New Roman" w:cs="Times New Roman"/>
                <w:szCs w:val="20"/>
                <w:lang w:val="en-AU"/>
              </w:rPr>
              <w:t>b: p ≤ 0.001, for each infliximab treatment group vs. placebo</w:t>
            </w:r>
          </w:p>
        </w:tc>
      </w:tr>
    </w:tbl>
    <w:p w14:paraId="00CC1191" w14:textId="77777777" w:rsidR="004A10AE" w:rsidRPr="0025669D" w:rsidRDefault="004A10AE" w:rsidP="007947DB">
      <w:pPr>
        <w:spacing w:line="240" w:lineRule="auto"/>
        <w:jc w:val="left"/>
        <w:rPr>
          <w:rFonts w:ascii="Times New Roman" w:eastAsia="Malgun Gothic" w:hAnsi="Times New Roman" w:cs="Times New Roman"/>
          <w:b/>
          <w:color w:val="000000"/>
          <w:kern w:val="0"/>
          <w:sz w:val="22"/>
          <w:lang w:val="en-GB"/>
        </w:rPr>
      </w:pPr>
    </w:p>
    <w:p w14:paraId="2FCAA9FD" w14:textId="2E90BDBC" w:rsidR="004A10AE" w:rsidRPr="0025669D" w:rsidRDefault="004A10AE" w:rsidP="007947DB">
      <w:pPr>
        <w:spacing w:line="240" w:lineRule="auto"/>
        <w:jc w:val="left"/>
        <w:rPr>
          <w:rFonts w:ascii="Times New Roman" w:eastAsia="Malgun Gothic" w:hAnsi="Times New Roman" w:cs="Times New Roman"/>
          <w:sz w:val="24"/>
          <w:szCs w:val="24"/>
        </w:rPr>
      </w:pPr>
      <w:r w:rsidRPr="0025669D">
        <w:rPr>
          <w:rFonts w:ascii="Times New Roman" w:eastAsia="Malgun Gothic" w:hAnsi="Times New Roman" w:cs="Times New Roman"/>
          <w:sz w:val="24"/>
          <w:szCs w:val="24"/>
        </w:rPr>
        <w:t xml:space="preserve">In both studies, a significantly greater percentage of patients in the infliximab groups were in clinical response and clinical remission at week 8 when compared to placebo. Furthermore, in both ACT 1 and ACT 2, a significantly greater proportion of patients treated with 5 mg/kg or 10 mg/kg infliximab experienced clinical response and clinical remission at week 30 compared to placebo treatment. In addition, the proportion of patients in sustained response (i.e., were in clinical response at both week 8 and week 30) in the infliximab groups was at least twice as large as in the placebo group. Results from weeks 8 and 30 are shown in </w:t>
      </w:r>
      <w:r w:rsidRPr="00160472">
        <w:rPr>
          <w:rFonts w:ascii="Times New Roman" w:eastAsia="Malgun Gothic" w:hAnsi="Times New Roman" w:cs="Times New Roman"/>
          <w:sz w:val="24"/>
          <w:szCs w:val="24"/>
        </w:rPr>
        <w:fldChar w:fldCharType="begin"/>
      </w:r>
      <w:r w:rsidRPr="00160472">
        <w:rPr>
          <w:rFonts w:ascii="Times New Roman" w:eastAsia="Malgun Gothic" w:hAnsi="Times New Roman" w:cs="Times New Roman"/>
          <w:sz w:val="24"/>
          <w:szCs w:val="24"/>
        </w:rPr>
        <w:instrText xml:space="preserve"> REF _Ref423969043 \h </w:instrText>
      </w:r>
      <w:r>
        <w:rPr>
          <w:rFonts w:ascii="Times New Roman" w:eastAsia="Malgun Gothic" w:hAnsi="Times New Roman" w:cs="Times New Roman"/>
          <w:sz w:val="24"/>
          <w:szCs w:val="24"/>
        </w:rPr>
        <w:instrText xml:space="preserve"> \* MERGEFORMAT </w:instrText>
      </w:r>
      <w:r w:rsidRPr="00160472">
        <w:rPr>
          <w:rFonts w:ascii="Times New Roman" w:eastAsia="Malgun Gothic" w:hAnsi="Times New Roman" w:cs="Times New Roman"/>
          <w:sz w:val="24"/>
          <w:szCs w:val="24"/>
        </w:rPr>
      </w:r>
      <w:r w:rsidRPr="00160472">
        <w:rPr>
          <w:rFonts w:ascii="Times New Roman" w:eastAsia="Malgun Gothic" w:hAnsi="Times New Roman" w:cs="Times New Roman"/>
          <w:sz w:val="24"/>
          <w:szCs w:val="24"/>
        </w:rPr>
        <w:fldChar w:fldCharType="separate"/>
      </w:r>
      <w:r w:rsidR="005A6BF4" w:rsidRPr="005A6BF4">
        <w:rPr>
          <w:rFonts w:ascii="Times New Roman" w:hAnsi="Times New Roman" w:cs="Times New Roman"/>
          <w:sz w:val="24"/>
          <w:szCs w:val="24"/>
        </w:rPr>
        <w:t xml:space="preserve">Table </w:t>
      </w:r>
      <w:r w:rsidR="005A6BF4" w:rsidRPr="005A6BF4">
        <w:rPr>
          <w:rFonts w:ascii="Times New Roman" w:hAnsi="Times New Roman" w:cs="Times New Roman"/>
          <w:noProof/>
          <w:sz w:val="24"/>
          <w:szCs w:val="24"/>
        </w:rPr>
        <w:t>9</w:t>
      </w:r>
      <w:r w:rsidRPr="00160472">
        <w:rPr>
          <w:rFonts w:ascii="Times New Roman" w:eastAsia="Malgun Gothic" w:hAnsi="Times New Roman" w:cs="Times New Roman"/>
          <w:sz w:val="24"/>
          <w:szCs w:val="24"/>
        </w:rPr>
        <w:fldChar w:fldCharType="end"/>
      </w:r>
      <w:r w:rsidRPr="00160472">
        <w:rPr>
          <w:rFonts w:ascii="Times New Roman" w:eastAsia="Malgun Gothic" w:hAnsi="Times New Roman" w:cs="Times New Roman"/>
          <w:sz w:val="24"/>
          <w:szCs w:val="24"/>
        </w:rPr>
        <w:t>.</w:t>
      </w:r>
      <w:r w:rsidRPr="0025669D">
        <w:rPr>
          <w:rFonts w:ascii="Times New Roman" w:eastAsia="Malgun Gothic" w:hAnsi="Times New Roman" w:cs="Times New Roman"/>
          <w:sz w:val="24"/>
          <w:szCs w:val="24"/>
        </w:rPr>
        <w:t xml:space="preserve"> </w:t>
      </w:r>
    </w:p>
    <w:p w14:paraId="0CE81F3D" w14:textId="21289469" w:rsidR="004A10AE" w:rsidRPr="0025669D" w:rsidRDefault="004A10AE" w:rsidP="007947DB">
      <w:pPr>
        <w:spacing w:line="240" w:lineRule="auto"/>
        <w:jc w:val="left"/>
        <w:rPr>
          <w:rFonts w:ascii="Times New Roman" w:eastAsia="Malgun Gothic" w:hAnsi="Times New Roman" w:cs="Times New Roman"/>
          <w:sz w:val="24"/>
          <w:szCs w:val="24"/>
        </w:rPr>
      </w:pPr>
      <w:r w:rsidRPr="0025669D">
        <w:rPr>
          <w:rFonts w:ascii="Times New Roman" w:eastAsia="Malgun Gothic" w:hAnsi="Times New Roman" w:cs="Times New Roman"/>
          <w:sz w:val="24"/>
          <w:szCs w:val="24"/>
        </w:rPr>
        <w:t xml:space="preserve">Of patients treated with corticosteroids at baseline, a significantly greater proportion of patients in the infliximab-treated groups were in clinical remission at week 30 and able to discontinue corticosteroids compared to the placebo-treated patients (22.3% versus 7.2%, respectively, </w:t>
      </w:r>
      <w:r w:rsidRPr="00160472">
        <w:rPr>
          <w:rFonts w:ascii="Times New Roman" w:eastAsia="Malgun Gothic" w:hAnsi="Times New Roman" w:cs="Times New Roman"/>
          <w:sz w:val="24"/>
          <w:szCs w:val="24"/>
        </w:rPr>
        <w:t xml:space="preserve">see </w:t>
      </w:r>
      <w:r w:rsidRPr="00160472">
        <w:rPr>
          <w:rFonts w:ascii="Times New Roman" w:eastAsia="Malgun Gothic" w:hAnsi="Times New Roman" w:cs="Times New Roman"/>
          <w:sz w:val="24"/>
          <w:szCs w:val="24"/>
        </w:rPr>
        <w:fldChar w:fldCharType="begin"/>
      </w:r>
      <w:r w:rsidRPr="00160472">
        <w:rPr>
          <w:rFonts w:ascii="Times New Roman" w:eastAsia="Malgun Gothic" w:hAnsi="Times New Roman" w:cs="Times New Roman"/>
          <w:sz w:val="24"/>
          <w:szCs w:val="24"/>
        </w:rPr>
        <w:instrText xml:space="preserve"> REF _Ref423969043 \h </w:instrText>
      </w:r>
      <w:r>
        <w:rPr>
          <w:rFonts w:ascii="Times New Roman" w:eastAsia="Malgun Gothic" w:hAnsi="Times New Roman" w:cs="Times New Roman"/>
          <w:sz w:val="24"/>
          <w:szCs w:val="24"/>
        </w:rPr>
        <w:instrText xml:space="preserve"> \* MERGEFORMAT </w:instrText>
      </w:r>
      <w:r w:rsidRPr="00160472">
        <w:rPr>
          <w:rFonts w:ascii="Times New Roman" w:eastAsia="Malgun Gothic" w:hAnsi="Times New Roman" w:cs="Times New Roman"/>
          <w:sz w:val="24"/>
          <w:szCs w:val="24"/>
        </w:rPr>
      </w:r>
      <w:r w:rsidRPr="00160472">
        <w:rPr>
          <w:rFonts w:ascii="Times New Roman" w:eastAsia="Malgun Gothic" w:hAnsi="Times New Roman" w:cs="Times New Roman"/>
          <w:sz w:val="24"/>
          <w:szCs w:val="24"/>
        </w:rPr>
        <w:fldChar w:fldCharType="separate"/>
      </w:r>
      <w:r w:rsidR="005A6BF4" w:rsidRPr="005A6BF4">
        <w:rPr>
          <w:rFonts w:ascii="Times New Roman" w:hAnsi="Times New Roman" w:cs="Times New Roman"/>
          <w:sz w:val="24"/>
          <w:szCs w:val="24"/>
        </w:rPr>
        <w:t xml:space="preserve">Table </w:t>
      </w:r>
      <w:r w:rsidR="005A6BF4" w:rsidRPr="005A6BF4">
        <w:rPr>
          <w:rFonts w:ascii="Times New Roman" w:hAnsi="Times New Roman" w:cs="Times New Roman"/>
          <w:noProof/>
          <w:sz w:val="24"/>
          <w:szCs w:val="24"/>
        </w:rPr>
        <w:t>9</w:t>
      </w:r>
      <w:r w:rsidRPr="00160472">
        <w:rPr>
          <w:rFonts w:ascii="Times New Roman" w:eastAsia="Malgun Gothic" w:hAnsi="Times New Roman" w:cs="Times New Roman"/>
          <w:sz w:val="24"/>
          <w:szCs w:val="24"/>
        </w:rPr>
        <w:fldChar w:fldCharType="end"/>
      </w:r>
      <w:r w:rsidRPr="00160472">
        <w:rPr>
          <w:rFonts w:ascii="Times New Roman" w:eastAsia="Malgun Gothic" w:hAnsi="Times New Roman" w:cs="Times New Roman"/>
          <w:sz w:val="24"/>
          <w:szCs w:val="24"/>
        </w:rPr>
        <w:t>).</w:t>
      </w:r>
      <w:r w:rsidRPr="0025669D">
        <w:rPr>
          <w:rFonts w:ascii="Times New Roman" w:eastAsia="Malgun Gothic" w:hAnsi="Times New Roman" w:cs="Times New Roman"/>
          <w:sz w:val="24"/>
          <w:szCs w:val="24"/>
        </w:rPr>
        <w:t xml:space="preserve"> </w:t>
      </w:r>
    </w:p>
    <w:p w14:paraId="40031B59" w14:textId="0223F2F1" w:rsidR="004A10AE" w:rsidRDefault="004A10AE" w:rsidP="007947DB">
      <w:pPr>
        <w:spacing w:line="240" w:lineRule="auto"/>
        <w:jc w:val="left"/>
        <w:rPr>
          <w:rFonts w:ascii="Times New Roman" w:eastAsia="Malgun Gothic" w:hAnsi="Times New Roman" w:cs="Times New Roman"/>
          <w:sz w:val="24"/>
          <w:szCs w:val="24"/>
        </w:rPr>
      </w:pPr>
      <w:r w:rsidRPr="0025669D">
        <w:rPr>
          <w:rFonts w:ascii="Times New Roman" w:eastAsia="Malgun Gothic" w:hAnsi="Times New Roman" w:cs="Times New Roman"/>
          <w:sz w:val="24"/>
          <w:szCs w:val="24"/>
        </w:rPr>
        <w:t xml:space="preserve">Additionally, at weeks 8 and 30, a significantly greater proportion of patients in the 5 mg/kg and 10 mg/kg dose groups in ACT 1 and ACT 2 achieved mucosal healing compared to patients in the placebo group. The proportion of subjects with mucosal healing was similar </w:t>
      </w:r>
      <w:r w:rsidRPr="0025669D">
        <w:rPr>
          <w:rFonts w:ascii="Times New Roman" w:eastAsia="Malgun Gothic" w:hAnsi="Times New Roman" w:cs="Times New Roman"/>
          <w:sz w:val="24"/>
          <w:szCs w:val="24"/>
        </w:rPr>
        <w:lastRenderedPageBreak/>
        <w:t xml:space="preserve">between the 2 infliximab dose groups in the two </w:t>
      </w:r>
      <w:r w:rsidRPr="00160472">
        <w:rPr>
          <w:rFonts w:ascii="Times New Roman" w:eastAsia="Malgun Gothic" w:hAnsi="Times New Roman" w:cs="Times New Roman"/>
          <w:sz w:val="24"/>
          <w:szCs w:val="24"/>
        </w:rPr>
        <w:t xml:space="preserve">studies (see </w:t>
      </w:r>
      <w:r w:rsidRPr="00160472">
        <w:rPr>
          <w:rFonts w:ascii="Times New Roman" w:eastAsia="Malgun Gothic" w:hAnsi="Times New Roman" w:cs="Times New Roman"/>
          <w:sz w:val="24"/>
          <w:szCs w:val="24"/>
        </w:rPr>
        <w:fldChar w:fldCharType="begin"/>
      </w:r>
      <w:r w:rsidRPr="00160472">
        <w:rPr>
          <w:rFonts w:ascii="Times New Roman" w:eastAsia="Malgun Gothic" w:hAnsi="Times New Roman" w:cs="Times New Roman"/>
          <w:sz w:val="24"/>
          <w:szCs w:val="24"/>
        </w:rPr>
        <w:instrText xml:space="preserve"> REF _Ref423969043 \h </w:instrText>
      </w:r>
      <w:r>
        <w:rPr>
          <w:rFonts w:ascii="Times New Roman" w:eastAsia="Malgun Gothic" w:hAnsi="Times New Roman" w:cs="Times New Roman"/>
          <w:sz w:val="24"/>
          <w:szCs w:val="24"/>
        </w:rPr>
        <w:instrText xml:space="preserve"> \* MERGEFORMAT </w:instrText>
      </w:r>
      <w:r w:rsidRPr="00160472">
        <w:rPr>
          <w:rFonts w:ascii="Times New Roman" w:eastAsia="Malgun Gothic" w:hAnsi="Times New Roman" w:cs="Times New Roman"/>
          <w:sz w:val="24"/>
          <w:szCs w:val="24"/>
        </w:rPr>
      </w:r>
      <w:r w:rsidRPr="00160472">
        <w:rPr>
          <w:rFonts w:ascii="Times New Roman" w:eastAsia="Malgun Gothic" w:hAnsi="Times New Roman" w:cs="Times New Roman"/>
          <w:sz w:val="24"/>
          <w:szCs w:val="24"/>
        </w:rPr>
        <w:fldChar w:fldCharType="separate"/>
      </w:r>
      <w:r w:rsidR="005A6BF4" w:rsidRPr="005A6BF4">
        <w:rPr>
          <w:rFonts w:ascii="Times New Roman" w:hAnsi="Times New Roman" w:cs="Times New Roman"/>
          <w:sz w:val="24"/>
          <w:szCs w:val="24"/>
        </w:rPr>
        <w:t xml:space="preserve">Table </w:t>
      </w:r>
      <w:r w:rsidR="005A6BF4" w:rsidRPr="005A6BF4">
        <w:rPr>
          <w:rFonts w:ascii="Times New Roman" w:hAnsi="Times New Roman" w:cs="Times New Roman"/>
          <w:noProof/>
          <w:sz w:val="24"/>
          <w:szCs w:val="24"/>
        </w:rPr>
        <w:t>9</w:t>
      </w:r>
      <w:r w:rsidRPr="00160472">
        <w:rPr>
          <w:rFonts w:ascii="Times New Roman" w:eastAsia="Malgun Gothic" w:hAnsi="Times New Roman" w:cs="Times New Roman"/>
          <w:sz w:val="24"/>
          <w:szCs w:val="24"/>
        </w:rPr>
        <w:fldChar w:fldCharType="end"/>
      </w:r>
      <w:r w:rsidRPr="00160472">
        <w:rPr>
          <w:rFonts w:ascii="Times New Roman" w:eastAsia="Malgun Gothic" w:hAnsi="Times New Roman" w:cs="Times New Roman"/>
          <w:sz w:val="24"/>
          <w:szCs w:val="24"/>
        </w:rPr>
        <w:t>).</w:t>
      </w:r>
      <w:r w:rsidRPr="0025669D">
        <w:rPr>
          <w:rFonts w:ascii="Times New Roman" w:eastAsia="Malgun Gothic" w:hAnsi="Times New Roman" w:cs="Times New Roman"/>
          <w:sz w:val="24"/>
          <w:szCs w:val="24"/>
        </w:rPr>
        <w:t xml:space="preserve"> </w:t>
      </w:r>
    </w:p>
    <w:p w14:paraId="382BC97D" w14:textId="77777777" w:rsidR="00E75073" w:rsidRPr="0025669D" w:rsidRDefault="00E75073" w:rsidP="007947DB">
      <w:pPr>
        <w:spacing w:line="240" w:lineRule="auto"/>
        <w:jc w:val="left"/>
        <w:rPr>
          <w:rFonts w:ascii="Times New Roman" w:eastAsia="Malgun Gothic" w:hAnsi="Times New Roman" w:cs="Times New Roman"/>
          <w:sz w:val="24"/>
          <w:szCs w:val="24"/>
        </w:rPr>
      </w:pPr>
    </w:p>
    <w:p w14:paraId="523CFFA8" w14:textId="77777777" w:rsidR="004A10AE" w:rsidRPr="0025669D" w:rsidRDefault="004A10AE" w:rsidP="007947DB">
      <w:pPr>
        <w:spacing w:line="240" w:lineRule="auto"/>
        <w:jc w:val="left"/>
        <w:rPr>
          <w:rFonts w:ascii="Times New Roman" w:eastAsia="Malgun Gothic" w:hAnsi="Times New Roman" w:cs="Times New Roman"/>
          <w:sz w:val="24"/>
          <w:szCs w:val="24"/>
        </w:rPr>
      </w:pPr>
      <w:r w:rsidRPr="0025669D">
        <w:rPr>
          <w:rFonts w:ascii="Times New Roman" w:eastAsia="Malgun Gothic" w:hAnsi="Times New Roman" w:cs="Times New Roman"/>
          <w:sz w:val="24"/>
          <w:szCs w:val="24"/>
        </w:rPr>
        <w:t>The efficacy of infliximab through week 54 was assessed in the ACT 1 trial.</w:t>
      </w:r>
    </w:p>
    <w:p w14:paraId="0928BBDB" w14:textId="77777777" w:rsidR="004A10AE" w:rsidRPr="0025669D" w:rsidRDefault="004A10AE" w:rsidP="007947DB">
      <w:pPr>
        <w:spacing w:line="240" w:lineRule="auto"/>
        <w:jc w:val="left"/>
        <w:rPr>
          <w:rFonts w:ascii="Times New Roman" w:eastAsia="Malgun Gothic" w:hAnsi="Times New Roman" w:cs="Times New Roman"/>
          <w:sz w:val="24"/>
          <w:szCs w:val="24"/>
        </w:rPr>
      </w:pPr>
      <w:r w:rsidRPr="0025669D">
        <w:rPr>
          <w:rFonts w:ascii="Times New Roman" w:eastAsia="Malgun Gothic" w:hAnsi="Times New Roman" w:cs="Times New Roman"/>
          <w:sz w:val="24"/>
          <w:szCs w:val="24"/>
        </w:rPr>
        <w:t xml:space="preserve">At 54 weeks, 44.9% of patients in the combined infliximab treatment group were in clinical response compared to 19.8% in the placebo treatment group (p&lt;0.001). Clinical remission and mucosal healing occurred in a greater proportion of patients in the combined infliximab treatment group compared to the placebo treatment group at week 54 (34.6% vs. 16.5%, p&lt;0.001 and 46.1% vs. 18.2%, p&lt;0.001, respectively). The proportions of patients in sustained response and sustained remission at week 54 were greater in the combined infliximab treatment group than in the placebo treatment group (37.9% vs. 14.0%, p&lt;0.001; and 20.2% vs. 6.6%, p&lt;0.001, respectively). </w:t>
      </w:r>
    </w:p>
    <w:p w14:paraId="7ABB82A4" w14:textId="1B4BDB00" w:rsidR="004A10AE" w:rsidRPr="0025669D" w:rsidRDefault="004A10AE" w:rsidP="007947DB">
      <w:pPr>
        <w:spacing w:line="240" w:lineRule="auto"/>
        <w:jc w:val="left"/>
        <w:rPr>
          <w:rFonts w:ascii="Times New Roman" w:eastAsia="Malgun Gothic" w:hAnsi="Times New Roman" w:cs="Times New Roman"/>
          <w:sz w:val="24"/>
          <w:szCs w:val="24"/>
        </w:rPr>
      </w:pPr>
      <w:r w:rsidRPr="0025669D">
        <w:rPr>
          <w:rFonts w:ascii="Times New Roman" w:eastAsia="Malgun Gothic" w:hAnsi="Times New Roman" w:cs="Times New Roman"/>
          <w:sz w:val="24"/>
          <w:szCs w:val="24"/>
        </w:rPr>
        <w:t xml:space="preserve">A greater proportion of patients in the combined infliximab treatment group were able to discontinue corticosteroids while remaining in clinical remission compared to the placebo treatment group at both week 30 (22.3% vs. 7.2%, p ≤0.001, </w:t>
      </w:r>
      <w:r w:rsidRPr="00160472">
        <w:rPr>
          <w:rFonts w:ascii="Times New Roman" w:eastAsia="Malgun Gothic" w:hAnsi="Times New Roman" w:cs="Times New Roman"/>
          <w:sz w:val="24"/>
          <w:szCs w:val="24"/>
        </w:rPr>
        <w:t xml:space="preserve">see </w:t>
      </w:r>
      <w:r w:rsidRPr="00160472">
        <w:rPr>
          <w:rFonts w:ascii="Times New Roman" w:eastAsia="Malgun Gothic" w:hAnsi="Times New Roman" w:cs="Times New Roman"/>
          <w:sz w:val="24"/>
          <w:szCs w:val="24"/>
        </w:rPr>
        <w:fldChar w:fldCharType="begin"/>
      </w:r>
      <w:r w:rsidRPr="00160472">
        <w:rPr>
          <w:rFonts w:ascii="Times New Roman" w:eastAsia="Malgun Gothic" w:hAnsi="Times New Roman" w:cs="Times New Roman"/>
          <w:sz w:val="24"/>
          <w:szCs w:val="24"/>
        </w:rPr>
        <w:instrText xml:space="preserve"> REF _Ref423969043 \h </w:instrText>
      </w:r>
      <w:r>
        <w:rPr>
          <w:rFonts w:ascii="Times New Roman" w:eastAsia="Malgun Gothic" w:hAnsi="Times New Roman" w:cs="Times New Roman"/>
          <w:sz w:val="24"/>
          <w:szCs w:val="24"/>
        </w:rPr>
        <w:instrText xml:space="preserve"> \* MERGEFORMAT </w:instrText>
      </w:r>
      <w:r w:rsidRPr="00160472">
        <w:rPr>
          <w:rFonts w:ascii="Times New Roman" w:eastAsia="Malgun Gothic" w:hAnsi="Times New Roman" w:cs="Times New Roman"/>
          <w:sz w:val="24"/>
          <w:szCs w:val="24"/>
        </w:rPr>
      </w:r>
      <w:r w:rsidRPr="00160472">
        <w:rPr>
          <w:rFonts w:ascii="Times New Roman" w:eastAsia="Malgun Gothic" w:hAnsi="Times New Roman" w:cs="Times New Roman"/>
          <w:sz w:val="24"/>
          <w:szCs w:val="24"/>
        </w:rPr>
        <w:fldChar w:fldCharType="separate"/>
      </w:r>
      <w:r w:rsidR="005A6BF4" w:rsidRPr="005A6BF4">
        <w:rPr>
          <w:rFonts w:ascii="Times New Roman" w:hAnsi="Times New Roman" w:cs="Times New Roman"/>
          <w:sz w:val="24"/>
          <w:szCs w:val="24"/>
        </w:rPr>
        <w:t xml:space="preserve">Table </w:t>
      </w:r>
      <w:r w:rsidR="005A6BF4" w:rsidRPr="005A6BF4">
        <w:rPr>
          <w:rFonts w:ascii="Times New Roman" w:hAnsi="Times New Roman" w:cs="Times New Roman"/>
          <w:noProof/>
          <w:sz w:val="24"/>
          <w:szCs w:val="24"/>
        </w:rPr>
        <w:t>9</w:t>
      </w:r>
      <w:r w:rsidRPr="00160472">
        <w:rPr>
          <w:rFonts w:ascii="Times New Roman" w:eastAsia="Malgun Gothic" w:hAnsi="Times New Roman" w:cs="Times New Roman"/>
          <w:sz w:val="24"/>
          <w:szCs w:val="24"/>
        </w:rPr>
        <w:fldChar w:fldCharType="end"/>
      </w:r>
      <w:r w:rsidRPr="00160472">
        <w:rPr>
          <w:rFonts w:ascii="Times New Roman" w:eastAsia="Malgun Gothic" w:hAnsi="Times New Roman" w:cs="Times New Roman"/>
          <w:sz w:val="24"/>
          <w:szCs w:val="24"/>
        </w:rPr>
        <w:t>)</w:t>
      </w:r>
      <w:r w:rsidRPr="0025669D">
        <w:rPr>
          <w:rFonts w:ascii="Times New Roman" w:eastAsia="Malgun Gothic" w:hAnsi="Times New Roman" w:cs="Times New Roman"/>
          <w:sz w:val="24"/>
          <w:szCs w:val="24"/>
        </w:rPr>
        <w:t xml:space="preserve"> and week 54 (21.0% vs. 8.9%, p=0.022). </w:t>
      </w:r>
    </w:p>
    <w:p w14:paraId="068FD5BA" w14:textId="77777777" w:rsidR="004A10AE" w:rsidRPr="0025669D" w:rsidRDefault="004A10AE" w:rsidP="007947DB">
      <w:pPr>
        <w:spacing w:line="240" w:lineRule="auto"/>
        <w:jc w:val="left"/>
        <w:rPr>
          <w:rFonts w:ascii="Times New Roman" w:eastAsia="Malgun Gothic" w:hAnsi="Times New Roman" w:cs="Times New Roman"/>
          <w:sz w:val="24"/>
          <w:szCs w:val="24"/>
        </w:rPr>
      </w:pPr>
      <w:r w:rsidRPr="0025669D">
        <w:rPr>
          <w:rFonts w:ascii="Times New Roman" w:eastAsia="Malgun Gothic" w:hAnsi="Times New Roman" w:cs="Times New Roman"/>
          <w:sz w:val="24"/>
          <w:szCs w:val="24"/>
        </w:rPr>
        <w:t xml:space="preserve">Infliximab improved Quality of Life, confirmed by statistically and clinically significant improvement in both disease specific measure, IBDQ, and by improvement in the generic 36-item short form survey SF-36. </w:t>
      </w:r>
    </w:p>
    <w:p w14:paraId="5706F5B2" w14:textId="77777777" w:rsidR="004A10AE" w:rsidRPr="0025669D" w:rsidRDefault="004A10AE" w:rsidP="007947DB">
      <w:pPr>
        <w:spacing w:line="240" w:lineRule="auto"/>
        <w:jc w:val="left"/>
        <w:rPr>
          <w:rFonts w:ascii="Times New Roman" w:eastAsia="Malgun Gothic" w:hAnsi="Times New Roman" w:cs="Times New Roman"/>
          <w:sz w:val="24"/>
          <w:szCs w:val="24"/>
        </w:rPr>
      </w:pPr>
      <w:r w:rsidRPr="0025669D">
        <w:rPr>
          <w:rFonts w:ascii="Times New Roman" w:eastAsia="Malgun Gothic" w:hAnsi="Times New Roman" w:cs="Times New Roman"/>
          <w:sz w:val="24"/>
          <w:szCs w:val="24"/>
        </w:rPr>
        <w:t xml:space="preserve">From baseline through week 30 in the pooled data from ACT 1 and ACT 2, the mean number of </w:t>
      </w:r>
      <w:proofErr w:type="spellStart"/>
      <w:r w:rsidRPr="0025669D">
        <w:rPr>
          <w:rFonts w:ascii="Times New Roman" w:eastAsia="Malgun Gothic" w:hAnsi="Times New Roman" w:cs="Times New Roman"/>
          <w:sz w:val="24"/>
          <w:szCs w:val="24"/>
        </w:rPr>
        <w:t>hospitalisations</w:t>
      </w:r>
      <w:proofErr w:type="spellEnd"/>
      <w:r w:rsidRPr="0025669D">
        <w:rPr>
          <w:rFonts w:ascii="Times New Roman" w:eastAsia="Malgun Gothic" w:hAnsi="Times New Roman" w:cs="Times New Roman"/>
          <w:sz w:val="24"/>
          <w:szCs w:val="24"/>
        </w:rPr>
        <w:t xml:space="preserve"> was 50% lower in the combined infliximab treatment group than in the placebo treatment group (9 versus 18 </w:t>
      </w:r>
      <w:proofErr w:type="spellStart"/>
      <w:r w:rsidRPr="0025669D">
        <w:rPr>
          <w:rFonts w:ascii="Times New Roman" w:eastAsia="Malgun Gothic" w:hAnsi="Times New Roman" w:cs="Times New Roman"/>
          <w:sz w:val="24"/>
          <w:szCs w:val="24"/>
        </w:rPr>
        <w:t>hospitalisations</w:t>
      </w:r>
      <w:proofErr w:type="spellEnd"/>
      <w:r w:rsidRPr="0025669D">
        <w:rPr>
          <w:rFonts w:ascii="Times New Roman" w:eastAsia="Malgun Gothic" w:hAnsi="Times New Roman" w:cs="Times New Roman"/>
          <w:sz w:val="24"/>
          <w:szCs w:val="24"/>
        </w:rPr>
        <w:t xml:space="preserve"> per 100 subjects, p = 0.005). No notable differences were observed between the 5 mg/kg and 10 mg/kg infliximab treatment groups. </w:t>
      </w:r>
    </w:p>
    <w:p w14:paraId="410C7F30" w14:textId="77777777" w:rsidR="004A10AE" w:rsidRPr="0025669D" w:rsidRDefault="004A10AE" w:rsidP="007947DB">
      <w:pPr>
        <w:pStyle w:val="Heading2"/>
        <w:tabs>
          <w:tab w:val="num" w:pos="1418"/>
        </w:tabs>
        <w:spacing w:after="0"/>
        <w:ind w:left="1702" w:hangingChars="709" w:hanging="1702"/>
        <w:rPr>
          <w:rFonts w:eastAsia="Malgun Gothic" w:cs="Times New Roman"/>
          <w:szCs w:val="24"/>
          <w:lang w:eastAsia="ko-KR"/>
        </w:rPr>
      </w:pPr>
      <w:r w:rsidRPr="0025669D">
        <w:rPr>
          <w:rFonts w:eastAsia="Malgun Gothic" w:cs="Times New Roman"/>
          <w:szCs w:val="24"/>
          <w:lang w:eastAsia="ko-KR"/>
        </w:rPr>
        <w:t xml:space="preserve">• </w:t>
      </w:r>
      <w:r w:rsidRPr="0035249D">
        <w:rPr>
          <w:rFonts w:eastAsia="Malgun Gothic" w:cs="Times New Roman"/>
          <w:szCs w:val="24"/>
          <w:lang w:eastAsia="ko-KR"/>
        </w:rPr>
        <w:t xml:space="preserve">Paediatric Ulcerative Colitis (6 through 17 Years) </w:t>
      </w:r>
    </w:p>
    <w:p w14:paraId="17781FE5" w14:textId="77777777" w:rsidR="004A10AE" w:rsidRDefault="004A10AE" w:rsidP="007947DB">
      <w:pPr>
        <w:spacing w:after="0" w:line="240" w:lineRule="auto"/>
        <w:jc w:val="left"/>
        <w:rPr>
          <w:rFonts w:ascii="Times New Roman" w:eastAsia="Malgun Gothic" w:hAnsi="Times New Roman" w:cs="Times New Roman"/>
          <w:sz w:val="24"/>
          <w:szCs w:val="24"/>
        </w:rPr>
      </w:pPr>
      <w:r w:rsidRPr="0025669D">
        <w:rPr>
          <w:rFonts w:ascii="Times New Roman" w:eastAsia="Malgun Gothic" w:hAnsi="Times New Roman" w:cs="Times New Roman"/>
          <w:sz w:val="24"/>
          <w:szCs w:val="24"/>
        </w:rPr>
        <w:t xml:space="preserve">The efficacy and safety of induction and maintenance infliximab were assessed in a </w:t>
      </w:r>
      <w:proofErr w:type="spellStart"/>
      <w:r w:rsidRPr="0025669D">
        <w:rPr>
          <w:rFonts w:ascii="Times New Roman" w:eastAsia="Malgun Gothic" w:hAnsi="Times New Roman" w:cs="Times New Roman"/>
          <w:sz w:val="24"/>
          <w:szCs w:val="24"/>
        </w:rPr>
        <w:t>multicentre</w:t>
      </w:r>
      <w:proofErr w:type="spellEnd"/>
      <w:r w:rsidRPr="0025669D">
        <w:rPr>
          <w:rFonts w:ascii="Times New Roman" w:eastAsia="Malgun Gothic" w:hAnsi="Times New Roman" w:cs="Times New Roman"/>
          <w:sz w:val="24"/>
          <w:szCs w:val="24"/>
        </w:rPr>
        <w:t xml:space="preserve">, </w:t>
      </w:r>
      <w:proofErr w:type="spellStart"/>
      <w:r w:rsidRPr="0025669D">
        <w:rPr>
          <w:rFonts w:ascii="Times New Roman" w:eastAsia="Malgun Gothic" w:hAnsi="Times New Roman" w:cs="Times New Roman"/>
          <w:sz w:val="24"/>
          <w:szCs w:val="24"/>
        </w:rPr>
        <w:t>randomised</w:t>
      </w:r>
      <w:proofErr w:type="spellEnd"/>
      <w:r w:rsidRPr="0025669D">
        <w:rPr>
          <w:rFonts w:ascii="Times New Roman" w:eastAsia="Malgun Gothic" w:hAnsi="Times New Roman" w:cs="Times New Roman"/>
          <w:sz w:val="24"/>
          <w:szCs w:val="24"/>
        </w:rPr>
        <w:t xml:space="preserve">, open-label, parallel group clinical study (C0168T72) in 60 </w:t>
      </w:r>
      <w:proofErr w:type="spellStart"/>
      <w:r w:rsidRPr="0025669D">
        <w:rPr>
          <w:rFonts w:ascii="Times New Roman" w:eastAsia="Malgun Gothic" w:hAnsi="Times New Roman" w:cs="Times New Roman"/>
          <w:sz w:val="24"/>
          <w:szCs w:val="24"/>
        </w:rPr>
        <w:t>paediatric</w:t>
      </w:r>
      <w:proofErr w:type="spellEnd"/>
      <w:r w:rsidRPr="0025669D">
        <w:rPr>
          <w:rFonts w:ascii="Times New Roman" w:eastAsia="Malgun Gothic" w:hAnsi="Times New Roman" w:cs="Times New Roman"/>
          <w:sz w:val="24"/>
          <w:szCs w:val="24"/>
        </w:rPr>
        <w:t xml:space="preserve"> patients aged 6 through 17 years (median age 14.5 years) with moderately to severe active ulcerative colitis (Mayo score of 6 to 12; endoscopic </w:t>
      </w:r>
      <w:proofErr w:type="spellStart"/>
      <w:r w:rsidRPr="0025669D">
        <w:rPr>
          <w:rFonts w:ascii="Times New Roman" w:eastAsia="Malgun Gothic" w:hAnsi="Times New Roman" w:cs="Times New Roman"/>
          <w:sz w:val="24"/>
          <w:szCs w:val="24"/>
        </w:rPr>
        <w:t>subscore</w:t>
      </w:r>
      <w:proofErr w:type="spellEnd"/>
      <w:r w:rsidRPr="0025669D">
        <w:rPr>
          <w:rFonts w:ascii="Times New Roman" w:eastAsia="Malgun Gothic" w:hAnsi="Times New Roman" w:cs="Times New Roman"/>
          <w:sz w:val="24"/>
          <w:szCs w:val="24"/>
        </w:rPr>
        <w:t xml:space="preserve"> &gt;2) with an inadequate response to conventional therapies. At baseline, 53% of patients were receiving </w:t>
      </w:r>
      <w:proofErr w:type="spellStart"/>
      <w:r w:rsidRPr="0025669D">
        <w:rPr>
          <w:rFonts w:ascii="Times New Roman" w:eastAsia="Malgun Gothic" w:hAnsi="Times New Roman" w:cs="Times New Roman"/>
          <w:sz w:val="24"/>
          <w:szCs w:val="24"/>
        </w:rPr>
        <w:t>aminosalicylates</w:t>
      </w:r>
      <w:proofErr w:type="spellEnd"/>
      <w:r w:rsidRPr="0025669D">
        <w:rPr>
          <w:rFonts w:ascii="Times New Roman" w:eastAsia="Malgun Gothic" w:hAnsi="Times New Roman" w:cs="Times New Roman"/>
          <w:sz w:val="24"/>
          <w:szCs w:val="24"/>
        </w:rPr>
        <w:t xml:space="preserve">, 53% were receiving </w:t>
      </w:r>
      <w:proofErr w:type="spellStart"/>
      <w:r w:rsidRPr="0025669D">
        <w:rPr>
          <w:rFonts w:ascii="Times New Roman" w:eastAsia="Malgun Gothic" w:hAnsi="Times New Roman" w:cs="Times New Roman"/>
          <w:sz w:val="24"/>
          <w:szCs w:val="24"/>
        </w:rPr>
        <w:t>immunomodulator</w:t>
      </w:r>
      <w:proofErr w:type="spellEnd"/>
      <w:r w:rsidRPr="0025669D">
        <w:rPr>
          <w:rFonts w:ascii="Times New Roman" w:eastAsia="Malgun Gothic" w:hAnsi="Times New Roman" w:cs="Times New Roman"/>
          <w:sz w:val="24"/>
          <w:szCs w:val="24"/>
        </w:rPr>
        <w:t xml:space="preserve"> therapy </w:t>
      </w:r>
      <w:r w:rsidRPr="00F1609D">
        <w:rPr>
          <w:rFonts w:ascii="Times New Roman" w:eastAsia="Malgun Gothic" w:hAnsi="Times New Roman" w:cs="Times New Roman"/>
          <w:sz w:val="24"/>
          <w:szCs w:val="24"/>
        </w:rPr>
        <w:t xml:space="preserve">(6-mercaptopurine (6-MP), azathioprine (AZA) and /or methotrexate (MTX)) </w:t>
      </w:r>
      <w:r w:rsidRPr="0025669D">
        <w:rPr>
          <w:rFonts w:ascii="Times New Roman" w:eastAsia="Malgun Gothic" w:hAnsi="Times New Roman" w:cs="Times New Roman"/>
          <w:sz w:val="24"/>
          <w:szCs w:val="24"/>
        </w:rPr>
        <w:t xml:space="preserve">and 62% of patients were receiving corticosteroids. Discontinuation of </w:t>
      </w:r>
      <w:proofErr w:type="spellStart"/>
      <w:r w:rsidRPr="0025669D">
        <w:rPr>
          <w:rFonts w:ascii="Times New Roman" w:eastAsia="Malgun Gothic" w:hAnsi="Times New Roman" w:cs="Times New Roman"/>
          <w:sz w:val="24"/>
          <w:szCs w:val="24"/>
        </w:rPr>
        <w:t>immunomodulators</w:t>
      </w:r>
      <w:proofErr w:type="spellEnd"/>
      <w:r w:rsidRPr="0025669D">
        <w:rPr>
          <w:rFonts w:ascii="Times New Roman" w:eastAsia="Malgun Gothic" w:hAnsi="Times New Roman" w:cs="Times New Roman"/>
          <w:sz w:val="24"/>
          <w:szCs w:val="24"/>
        </w:rPr>
        <w:t xml:space="preserve"> and corticosteroid taper were permitted after week 0. 77% of patients had extensive disease as indicated by endoscopy. </w:t>
      </w:r>
    </w:p>
    <w:p w14:paraId="766C444B" w14:textId="77777777" w:rsidR="004A10AE" w:rsidRPr="0025669D" w:rsidRDefault="004A10AE" w:rsidP="007947DB">
      <w:pPr>
        <w:spacing w:after="0" w:line="240" w:lineRule="auto"/>
        <w:jc w:val="left"/>
        <w:rPr>
          <w:rFonts w:ascii="Times New Roman" w:eastAsia="Malgun Gothic" w:hAnsi="Times New Roman" w:cs="Times New Roman"/>
          <w:sz w:val="24"/>
          <w:szCs w:val="24"/>
        </w:rPr>
      </w:pPr>
    </w:p>
    <w:p w14:paraId="3284E29D" w14:textId="77777777" w:rsidR="004A10AE" w:rsidRPr="0025669D" w:rsidRDefault="004A10AE" w:rsidP="007947DB">
      <w:pPr>
        <w:spacing w:line="240" w:lineRule="auto"/>
        <w:jc w:val="left"/>
        <w:rPr>
          <w:rFonts w:ascii="Times New Roman" w:eastAsia="Malgun Gothic" w:hAnsi="Times New Roman" w:cs="Times New Roman"/>
          <w:sz w:val="24"/>
          <w:szCs w:val="24"/>
        </w:rPr>
      </w:pPr>
      <w:r w:rsidRPr="0025669D">
        <w:rPr>
          <w:rFonts w:ascii="Times New Roman" w:eastAsia="Malgun Gothic" w:hAnsi="Times New Roman" w:cs="Times New Roman"/>
          <w:sz w:val="24"/>
          <w:szCs w:val="24"/>
        </w:rPr>
        <w:t xml:space="preserve">All patients received an induction regimen of 5 mg/kg infliximab at Weeks 0, 2, and 6. Patients who did not respond to infliximab at Week 8 (n=15) received no further drug and returned for safety follow-up. At week 8, 45 patients were </w:t>
      </w:r>
      <w:proofErr w:type="spellStart"/>
      <w:r w:rsidRPr="0025669D">
        <w:rPr>
          <w:rFonts w:ascii="Times New Roman" w:eastAsia="Malgun Gothic" w:hAnsi="Times New Roman" w:cs="Times New Roman"/>
          <w:sz w:val="24"/>
          <w:szCs w:val="24"/>
        </w:rPr>
        <w:t>randomised</w:t>
      </w:r>
      <w:proofErr w:type="spellEnd"/>
      <w:r w:rsidRPr="0025669D">
        <w:rPr>
          <w:rFonts w:ascii="Times New Roman" w:eastAsia="Malgun Gothic" w:hAnsi="Times New Roman" w:cs="Times New Roman"/>
          <w:sz w:val="24"/>
          <w:szCs w:val="24"/>
        </w:rPr>
        <w:t xml:space="preserve"> and received 5 mg/kg infliximab at either every 8 weeks or every 12 weeks as a maintenance treatment regimen. </w:t>
      </w:r>
    </w:p>
    <w:p w14:paraId="2EF67422" w14:textId="3468FADE" w:rsidR="004A10AE" w:rsidRDefault="004A10AE" w:rsidP="007947DB">
      <w:pPr>
        <w:spacing w:line="240" w:lineRule="auto"/>
        <w:jc w:val="left"/>
        <w:rPr>
          <w:rFonts w:ascii="Times New Roman" w:eastAsia="Malgun Gothic" w:hAnsi="Times New Roman" w:cs="Times New Roman"/>
          <w:sz w:val="24"/>
          <w:szCs w:val="24"/>
        </w:rPr>
      </w:pPr>
      <w:r w:rsidRPr="0025669D">
        <w:rPr>
          <w:rFonts w:ascii="Times New Roman" w:eastAsia="Malgun Gothic" w:hAnsi="Times New Roman" w:cs="Times New Roman"/>
          <w:sz w:val="24"/>
          <w:szCs w:val="24"/>
        </w:rPr>
        <w:t xml:space="preserve">The primary endpoint was clinical response at Week 8, defined as a decrease from baseline in </w:t>
      </w:r>
      <w:r w:rsidRPr="0025669D">
        <w:rPr>
          <w:rFonts w:ascii="Times New Roman" w:eastAsia="Malgun Gothic" w:hAnsi="Times New Roman" w:cs="Times New Roman"/>
          <w:sz w:val="24"/>
          <w:szCs w:val="24"/>
        </w:rPr>
        <w:lastRenderedPageBreak/>
        <w:t xml:space="preserve">the Mayo score by ≥ 30% and ≥ 3 points, including a decrease in the rectal bleeding </w:t>
      </w:r>
      <w:proofErr w:type="spellStart"/>
      <w:r w:rsidRPr="0025669D">
        <w:rPr>
          <w:rFonts w:ascii="Times New Roman" w:eastAsia="Malgun Gothic" w:hAnsi="Times New Roman" w:cs="Times New Roman"/>
          <w:sz w:val="24"/>
          <w:szCs w:val="24"/>
        </w:rPr>
        <w:t>subscore</w:t>
      </w:r>
      <w:proofErr w:type="spellEnd"/>
      <w:r w:rsidRPr="0025669D">
        <w:rPr>
          <w:rFonts w:ascii="Times New Roman" w:eastAsia="Malgun Gothic" w:hAnsi="Times New Roman" w:cs="Times New Roman"/>
          <w:sz w:val="24"/>
          <w:szCs w:val="24"/>
        </w:rPr>
        <w:t xml:space="preserve"> by ≥ 1 points or achievement </w:t>
      </w:r>
      <w:proofErr w:type="gramStart"/>
      <w:r w:rsidRPr="0025669D">
        <w:rPr>
          <w:rFonts w:ascii="Times New Roman" w:eastAsia="Malgun Gothic" w:hAnsi="Times New Roman" w:cs="Times New Roman"/>
          <w:sz w:val="24"/>
          <w:szCs w:val="24"/>
        </w:rPr>
        <w:t>of a</w:t>
      </w:r>
      <w:proofErr w:type="gramEnd"/>
      <w:r w:rsidRPr="0025669D">
        <w:rPr>
          <w:rFonts w:ascii="Times New Roman" w:eastAsia="Malgun Gothic" w:hAnsi="Times New Roman" w:cs="Times New Roman"/>
          <w:sz w:val="24"/>
          <w:szCs w:val="24"/>
        </w:rPr>
        <w:t xml:space="preserve"> rectal bleeding </w:t>
      </w:r>
      <w:proofErr w:type="spellStart"/>
      <w:r w:rsidRPr="0025669D">
        <w:rPr>
          <w:rFonts w:ascii="Times New Roman" w:eastAsia="Malgun Gothic" w:hAnsi="Times New Roman" w:cs="Times New Roman"/>
          <w:sz w:val="24"/>
          <w:szCs w:val="24"/>
        </w:rPr>
        <w:t>subscore</w:t>
      </w:r>
      <w:proofErr w:type="spellEnd"/>
      <w:r w:rsidRPr="0025669D">
        <w:rPr>
          <w:rFonts w:ascii="Times New Roman" w:eastAsia="Malgun Gothic" w:hAnsi="Times New Roman" w:cs="Times New Roman"/>
          <w:sz w:val="24"/>
          <w:szCs w:val="24"/>
        </w:rPr>
        <w:t xml:space="preserve"> of 0 or 1. The proportion of patients in clinical response at week 8 was 73.3% (44/60). Clinical response at week 8 was similar between those with or without concomitant </w:t>
      </w:r>
      <w:proofErr w:type="spellStart"/>
      <w:r w:rsidRPr="0025669D">
        <w:rPr>
          <w:rFonts w:ascii="Times New Roman" w:eastAsia="Malgun Gothic" w:hAnsi="Times New Roman" w:cs="Times New Roman"/>
          <w:sz w:val="24"/>
          <w:szCs w:val="24"/>
        </w:rPr>
        <w:t>immunomodulator</w:t>
      </w:r>
      <w:proofErr w:type="spellEnd"/>
      <w:r w:rsidRPr="0025669D">
        <w:rPr>
          <w:rFonts w:ascii="Times New Roman" w:eastAsia="Malgun Gothic" w:hAnsi="Times New Roman" w:cs="Times New Roman"/>
          <w:sz w:val="24"/>
          <w:szCs w:val="24"/>
        </w:rPr>
        <w:t xml:space="preserve"> use at baseline. </w:t>
      </w:r>
    </w:p>
    <w:p w14:paraId="3A6CE7F2" w14:textId="77777777" w:rsidR="00E75073" w:rsidRPr="0025669D" w:rsidRDefault="00E75073" w:rsidP="007947DB">
      <w:pPr>
        <w:spacing w:line="240" w:lineRule="auto"/>
        <w:jc w:val="left"/>
        <w:rPr>
          <w:rFonts w:ascii="Times New Roman" w:eastAsia="Malgun Gothic" w:hAnsi="Times New Roman" w:cs="Times New Roman"/>
          <w:sz w:val="24"/>
          <w:szCs w:val="24"/>
        </w:rPr>
      </w:pPr>
    </w:p>
    <w:p w14:paraId="3FD200B0" w14:textId="77777777" w:rsidR="004A10AE" w:rsidRPr="0025669D" w:rsidRDefault="004A10AE" w:rsidP="007947DB">
      <w:pPr>
        <w:spacing w:line="240" w:lineRule="auto"/>
        <w:jc w:val="left"/>
        <w:rPr>
          <w:rFonts w:ascii="Times New Roman" w:eastAsia="Malgun Gothic" w:hAnsi="Times New Roman" w:cs="Times New Roman"/>
          <w:sz w:val="24"/>
          <w:szCs w:val="24"/>
        </w:rPr>
      </w:pPr>
      <w:r w:rsidRPr="0025669D">
        <w:rPr>
          <w:rFonts w:ascii="Times New Roman" w:eastAsia="Malgun Gothic" w:hAnsi="Times New Roman" w:cs="Times New Roman"/>
          <w:sz w:val="24"/>
          <w:szCs w:val="24"/>
        </w:rPr>
        <w:t xml:space="preserve">Clinical remission at Week 8 was measured by the Mayo score, defined as a Mayo score of ≤2 points with no individual </w:t>
      </w:r>
      <w:proofErr w:type="spellStart"/>
      <w:r w:rsidRPr="0025669D">
        <w:rPr>
          <w:rFonts w:ascii="Times New Roman" w:eastAsia="Malgun Gothic" w:hAnsi="Times New Roman" w:cs="Times New Roman"/>
          <w:sz w:val="24"/>
          <w:szCs w:val="24"/>
        </w:rPr>
        <w:t>subscore</w:t>
      </w:r>
      <w:proofErr w:type="spellEnd"/>
      <w:r w:rsidRPr="0025669D">
        <w:rPr>
          <w:rFonts w:ascii="Times New Roman" w:eastAsia="Malgun Gothic" w:hAnsi="Times New Roman" w:cs="Times New Roman"/>
          <w:sz w:val="24"/>
          <w:szCs w:val="24"/>
        </w:rPr>
        <w:t xml:space="preserve"> &gt;1. Clinical remission was also assessed at Week 8 and Week 54 using the </w:t>
      </w:r>
      <w:proofErr w:type="spellStart"/>
      <w:r w:rsidRPr="0025669D">
        <w:rPr>
          <w:rFonts w:ascii="Times New Roman" w:eastAsia="Malgun Gothic" w:hAnsi="Times New Roman" w:cs="Times New Roman"/>
          <w:sz w:val="24"/>
          <w:szCs w:val="24"/>
        </w:rPr>
        <w:t>Paediatric</w:t>
      </w:r>
      <w:proofErr w:type="spellEnd"/>
      <w:r w:rsidRPr="0025669D">
        <w:rPr>
          <w:rFonts w:ascii="Times New Roman" w:eastAsia="Malgun Gothic" w:hAnsi="Times New Roman" w:cs="Times New Roman"/>
          <w:sz w:val="24"/>
          <w:szCs w:val="24"/>
        </w:rPr>
        <w:t xml:space="preserve"> Ulcerative Colitis Activity Index (PUCAI) score and was defined by a PUCAI score of &lt;10 points. Clinical remission at week 8 was 40% (24/60) as measured by the Mayo score and 33.3% (17/51) as measured by the PUCAI score. </w:t>
      </w:r>
    </w:p>
    <w:p w14:paraId="76712C96" w14:textId="77777777" w:rsidR="004A10AE" w:rsidRPr="0025669D" w:rsidRDefault="004A10AE" w:rsidP="007947DB">
      <w:pPr>
        <w:spacing w:line="240" w:lineRule="auto"/>
        <w:jc w:val="left"/>
        <w:rPr>
          <w:rFonts w:ascii="Times New Roman" w:eastAsia="Malgun Gothic" w:hAnsi="Times New Roman" w:cs="Times New Roman"/>
          <w:sz w:val="24"/>
          <w:szCs w:val="24"/>
        </w:rPr>
      </w:pPr>
      <w:r w:rsidRPr="0025669D">
        <w:rPr>
          <w:rFonts w:ascii="Times New Roman" w:eastAsia="Malgun Gothic" w:hAnsi="Times New Roman" w:cs="Times New Roman"/>
          <w:sz w:val="24"/>
          <w:szCs w:val="24"/>
        </w:rPr>
        <w:t xml:space="preserve">At week 54, the proportion of patients in clinical remission as measured by the PUCAI score was 38% (8/21) in the every 8 weeks maintenance group and 18% (4/22) in the every 12 weeks maintenance treatment group. For patients receiving corticosteroids at baseline, the proportion of patients in remission and not receiving corticosteroids at Week 54 was 38.5% (5/13) for the every 8 weeks and 0% (0/13) for the every 12 weeks maintenance treatment group. </w:t>
      </w:r>
    </w:p>
    <w:p w14:paraId="6EC86FB9" w14:textId="77777777" w:rsidR="004A10AE" w:rsidRPr="0025669D" w:rsidRDefault="004A10AE" w:rsidP="007947DB">
      <w:pPr>
        <w:spacing w:line="240" w:lineRule="auto"/>
        <w:jc w:val="left"/>
        <w:rPr>
          <w:rFonts w:ascii="Times New Roman" w:eastAsia="Malgun Gothic" w:hAnsi="Times New Roman" w:cs="Times New Roman"/>
          <w:sz w:val="24"/>
          <w:szCs w:val="24"/>
        </w:rPr>
      </w:pPr>
      <w:r w:rsidRPr="0025669D">
        <w:rPr>
          <w:rFonts w:ascii="Times New Roman" w:eastAsia="Malgun Gothic" w:hAnsi="Times New Roman" w:cs="Times New Roman"/>
          <w:sz w:val="24"/>
          <w:szCs w:val="24"/>
        </w:rPr>
        <w:t xml:space="preserve">Mucosal healing was defined </w:t>
      </w:r>
      <w:proofErr w:type="gramStart"/>
      <w:r w:rsidRPr="0025669D">
        <w:rPr>
          <w:rFonts w:ascii="Times New Roman" w:eastAsia="Malgun Gothic" w:hAnsi="Times New Roman" w:cs="Times New Roman"/>
          <w:sz w:val="24"/>
          <w:szCs w:val="24"/>
        </w:rPr>
        <w:t>as an</w:t>
      </w:r>
      <w:proofErr w:type="gramEnd"/>
      <w:r w:rsidRPr="0025669D">
        <w:rPr>
          <w:rFonts w:ascii="Times New Roman" w:eastAsia="Malgun Gothic" w:hAnsi="Times New Roman" w:cs="Times New Roman"/>
          <w:sz w:val="24"/>
          <w:szCs w:val="24"/>
        </w:rPr>
        <w:t xml:space="preserve"> endoscopy </w:t>
      </w:r>
      <w:proofErr w:type="spellStart"/>
      <w:r w:rsidRPr="0025669D">
        <w:rPr>
          <w:rFonts w:ascii="Times New Roman" w:eastAsia="Malgun Gothic" w:hAnsi="Times New Roman" w:cs="Times New Roman"/>
          <w:sz w:val="24"/>
          <w:szCs w:val="24"/>
        </w:rPr>
        <w:t>subscore</w:t>
      </w:r>
      <w:proofErr w:type="spellEnd"/>
      <w:r w:rsidRPr="0025669D">
        <w:rPr>
          <w:rFonts w:ascii="Times New Roman" w:eastAsia="Malgun Gothic" w:hAnsi="Times New Roman" w:cs="Times New Roman"/>
          <w:sz w:val="24"/>
          <w:szCs w:val="24"/>
        </w:rPr>
        <w:t xml:space="preserve"> (from the Mayo score) of 0 or 1. The proportion of patients with mucosal healing at week 8 was 68.3% (41/60) of which 33% (20/60) of patients achieved complete mucosal healing defined as having </w:t>
      </w:r>
      <w:proofErr w:type="gramStart"/>
      <w:r w:rsidRPr="0025669D">
        <w:rPr>
          <w:rFonts w:ascii="Times New Roman" w:eastAsia="Malgun Gothic" w:hAnsi="Times New Roman" w:cs="Times New Roman"/>
          <w:sz w:val="24"/>
          <w:szCs w:val="24"/>
        </w:rPr>
        <w:t>an endoscopy</w:t>
      </w:r>
      <w:proofErr w:type="gramEnd"/>
      <w:r w:rsidRPr="0025669D">
        <w:rPr>
          <w:rFonts w:ascii="Times New Roman" w:eastAsia="Malgun Gothic" w:hAnsi="Times New Roman" w:cs="Times New Roman"/>
          <w:sz w:val="24"/>
          <w:szCs w:val="24"/>
        </w:rPr>
        <w:t xml:space="preserve"> </w:t>
      </w:r>
      <w:proofErr w:type="spellStart"/>
      <w:r w:rsidRPr="0025669D">
        <w:rPr>
          <w:rFonts w:ascii="Times New Roman" w:eastAsia="Malgun Gothic" w:hAnsi="Times New Roman" w:cs="Times New Roman"/>
          <w:sz w:val="24"/>
          <w:szCs w:val="24"/>
        </w:rPr>
        <w:t>subscore</w:t>
      </w:r>
      <w:proofErr w:type="spellEnd"/>
      <w:r w:rsidRPr="0025669D">
        <w:rPr>
          <w:rFonts w:ascii="Times New Roman" w:eastAsia="Malgun Gothic" w:hAnsi="Times New Roman" w:cs="Times New Roman"/>
          <w:sz w:val="24"/>
          <w:szCs w:val="24"/>
        </w:rPr>
        <w:t xml:space="preserve"> of 0. </w:t>
      </w:r>
    </w:p>
    <w:p w14:paraId="1A73085E" w14:textId="77777777" w:rsidR="004A10AE" w:rsidRPr="0025669D" w:rsidRDefault="004A10AE" w:rsidP="007947DB">
      <w:pPr>
        <w:spacing w:line="240" w:lineRule="auto"/>
        <w:jc w:val="left"/>
        <w:rPr>
          <w:rFonts w:ascii="Times New Roman" w:eastAsia="Malgun Gothic" w:hAnsi="Times New Roman" w:cs="Times New Roman"/>
          <w:sz w:val="24"/>
          <w:szCs w:val="24"/>
        </w:rPr>
      </w:pPr>
      <w:r w:rsidRPr="0025669D">
        <w:rPr>
          <w:rFonts w:ascii="Times New Roman" w:eastAsia="Malgun Gothic" w:hAnsi="Times New Roman" w:cs="Times New Roman"/>
          <w:sz w:val="24"/>
          <w:szCs w:val="24"/>
        </w:rPr>
        <w:t>Although endoscopy was optional at week 54, 9 patients who had mucosal healing at week 8 had endoscopies at week 54. 89% (8/9) of these patients were still in mucosal healing.</w:t>
      </w:r>
    </w:p>
    <w:p w14:paraId="4A14B0E0" w14:textId="77777777" w:rsidR="004A10AE" w:rsidRDefault="004A10AE" w:rsidP="007947DB">
      <w:pPr>
        <w:pStyle w:val="Heading2"/>
        <w:tabs>
          <w:tab w:val="num" w:pos="1418"/>
        </w:tabs>
        <w:spacing w:after="120"/>
        <w:ind w:left="1702" w:hangingChars="709" w:hanging="1702"/>
        <w:rPr>
          <w:rFonts w:eastAsia="Malgun Gothic" w:cs="Times New Roman"/>
          <w:i/>
          <w:szCs w:val="24"/>
          <w:vertAlign w:val="superscript"/>
          <w:lang w:eastAsia="ko-KR"/>
        </w:rPr>
      </w:pPr>
      <w:r w:rsidRPr="0025669D">
        <w:rPr>
          <w:rFonts w:eastAsia="Malgun Gothic" w:cs="Times New Roman"/>
          <w:i/>
          <w:szCs w:val="24"/>
          <w:lang w:eastAsia="ko-KR"/>
        </w:rPr>
        <w:t xml:space="preserve">Comparability of </w:t>
      </w:r>
      <w:r>
        <w:rPr>
          <w:rFonts w:eastAsia="Malgun Gothic" w:cs="Times New Roman"/>
          <w:i/>
          <w:szCs w:val="24"/>
          <w:lang w:eastAsia="ko-KR"/>
        </w:rPr>
        <w:t>RENFLEXIS</w:t>
      </w:r>
      <w:r w:rsidRPr="0025669D">
        <w:rPr>
          <w:rFonts w:eastAsia="Malgun Gothic" w:cs="Times New Roman"/>
          <w:i/>
          <w:szCs w:val="24"/>
          <w:lang w:eastAsia="ko-KR"/>
        </w:rPr>
        <w:t xml:space="preserve"> with </w:t>
      </w:r>
      <w:proofErr w:type="spellStart"/>
      <w:r w:rsidRPr="0025669D">
        <w:rPr>
          <w:rFonts w:eastAsia="Malgun Gothic" w:cs="Times New Roman"/>
          <w:i/>
          <w:szCs w:val="24"/>
          <w:lang w:eastAsia="ko-KR"/>
        </w:rPr>
        <w:t>Remicade</w:t>
      </w:r>
      <w:proofErr w:type="spellEnd"/>
      <w:r w:rsidRPr="0025669D">
        <w:rPr>
          <w:rFonts w:eastAsia="Malgun Gothic" w:cs="Times New Roman"/>
          <w:i/>
          <w:szCs w:val="24"/>
          <w:vertAlign w:val="superscript"/>
          <w:lang w:eastAsia="ko-KR"/>
        </w:rPr>
        <w:t>®</w:t>
      </w:r>
    </w:p>
    <w:p w14:paraId="2722F258" w14:textId="22D1F5A0" w:rsidR="00F4450B" w:rsidRDefault="00E71459" w:rsidP="00724C42">
      <w:pPr>
        <w:spacing w:line="240" w:lineRule="auto"/>
        <w:jc w:val="left"/>
        <w:rPr>
          <w:rFonts w:ascii="Times New Roman" w:eastAsia="Malgun Gothic" w:hAnsi="Times New Roman" w:cs="Times New Roman"/>
          <w:sz w:val="24"/>
          <w:szCs w:val="24"/>
          <w:lang w:val="en-GB"/>
        </w:rPr>
      </w:pPr>
      <w:r>
        <w:rPr>
          <w:rFonts w:ascii="Times New Roman" w:eastAsia="Malgun Gothic" w:hAnsi="Times New Roman" w:cs="Times New Roman" w:hint="eastAsia"/>
          <w:sz w:val="24"/>
          <w:szCs w:val="24"/>
          <w:lang w:val="en-GB"/>
        </w:rPr>
        <w:t xml:space="preserve">The comparability of RENFLEXIS and EU </w:t>
      </w:r>
      <w:proofErr w:type="spellStart"/>
      <w:r>
        <w:rPr>
          <w:rFonts w:ascii="Times New Roman" w:eastAsia="Malgun Gothic" w:hAnsi="Times New Roman" w:cs="Times New Roman" w:hint="eastAsia"/>
          <w:sz w:val="24"/>
          <w:szCs w:val="24"/>
          <w:lang w:val="en-GB"/>
        </w:rPr>
        <w:t>Remicade</w:t>
      </w:r>
      <w:proofErr w:type="spellEnd"/>
      <w:r w:rsidRPr="004F7B5B">
        <w:rPr>
          <w:rFonts w:ascii="Times New Roman" w:eastAsia="Malgun Gothic" w:hAnsi="Times New Roman" w:cs="Times New Roman"/>
          <w:sz w:val="24"/>
          <w:szCs w:val="24"/>
          <w:vertAlign w:val="superscript"/>
          <w:lang w:val="en-GB"/>
        </w:rPr>
        <w:t>®</w:t>
      </w:r>
      <w:r>
        <w:rPr>
          <w:rFonts w:ascii="Times New Roman" w:eastAsia="Malgun Gothic" w:hAnsi="Times New Roman" w:cs="Times New Roman" w:hint="eastAsia"/>
          <w:sz w:val="24"/>
          <w:szCs w:val="24"/>
          <w:lang w:val="en-GB"/>
        </w:rPr>
        <w:t xml:space="preserve"> </w:t>
      </w:r>
      <w:r w:rsidR="00F4450B" w:rsidRPr="00F4450B">
        <w:rPr>
          <w:rFonts w:ascii="Times New Roman" w:eastAsia="Malgun Gothic" w:hAnsi="Times New Roman" w:cs="Times New Roman"/>
          <w:sz w:val="24"/>
          <w:szCs w:val="24"/>
          <w:lang w:val="en-GB"/>
        </w:rPr>
        <w:t xml:space="preserve">was </w:t>
      </w:r>
      <w:r>
        <w:rPr>
          <w:rFonts w:ascii="Times New Roman" w:eastAsia="Malgun Gothic" w:hAnsi="Times New Roman" w:cs="Times New Roman" w:hint="eastAsia"/>
          <w:sz w:val="24"/>
          <w:szCs w:val="24"/>
          <w:lang w:val="en-GB"/>
        </w:rPr>
        <w:t xml:space="preserve">assessed in </w:t>
      </w:r>
      <w:r w:rsidR="00F4450B" w:rsidRPr="00F4450B">
        <w:rPr>
          <w:rFonts w:ascii="Times New Roman" w:eastAsia="Malgun Gothic" w:hAnsi="Times New Roman" w:cs="Times New Roman"/>
          <w:sz w:val="24"/>
          <w:szCs w:val="24"/>
          <w:lang w:val="en-GB"/>
        </w:rPr>
        <w:t>a randomi</w:t>
      </w:r>
      <w:r w:rsidR="00FA2BA8">
        <w:rPr>
          <w:rFonts w:ascii="Times New Roman" w:eastAsia="Malgun Gothic" w:hAnsi="Times New Roman" w:cs="Times New Roman" w:hint="eastAsia"/>
          <w:sz w:val="24"/>
          <w:szCs w:val="24"/>
          <w:lang w:val="en-GB"/>
        </w:rPr>
        <w:t>s</w:t>
      </w:r>
      <w:r w:rsidR="00F4450B" w:rsidRPr="00F4450B">
        <w:rPr>
          <w:rFonts w:ascii="Times New Roman" w:eastAsia="Malgun Gothic" w:hAnsi="Times New Roman" w:cs="Times New Roman"/>
          <w:sz w:val="24"/>
          <w:szCs w:val="24"/>
          <w:lang w:val="en-GB"/>
        </w:rPr>
        <w:t xml:space="preserve">ed, double-blind, </w:t>
      </w:r>
      <w:proofErr w:type="gramStart"/>
      <w:r w:rsidR="00F4450B" w:rsidRPr="00F4450B">
        <w:rPr>
          <w:rFonts w:ascii="Times New Roman" w:eastAsia="Malgun Gothic" w:hAnsi="Times New Roman" w:cs="Times New Roman"/>
          <w:sz w:val="24"/>
          <w:szCs w:val="24"/>
          <w:lang w:val="en-GB"/>
        </w:rPr>
        <w:t>parallel</w:t>
      </w:r>
      <w:proofErr w:type="gramEnd"/>
      <w:r w:rsidR="00F4450B" w:rsidRPr="00F4450B">
        <w:rPr>
          <w:rFonts w:ascii="Times New Roman" w:eastAsia="Malgun Gothic" w:hAnsi="Times New Roman" w:cs="Times New Roman"/>
          <w:sz w:val="24"/>
          <w:szCs w:val="24"/>
          <w:lang w:val="en-GB"/>
        </w:rPr>
        <w:t xml:space="preserve"> group, multicent</w:t>
      </w:r>
      <w:r>
        <w:rPr>
          <w:rFonts w:ascii="Times New Roman" w:eastAsia="Malgun Gothic" w:hAnsi="Times New Roman" w:cs="Times New Roman" w:hint="eastAsia"/>
          <w:sz w:val="24"/>
          <w:szCs w:val="24"/>
          <w:lang w:val="en-GB"/>
        </w:rPr>
        <w:t>re,</w:t>
      </w:r>
      <w:r w:rsidR="00F4450B" w:rsidRPr="00F4450B">
        <w:rPr>
          <w:rFonts w:ascii="Times New Roman" w:eastAsia="Malgun Gothic" w:hAnsi="Times New Roman" w:cs="Times New Roman"/>
          <w:sz w:val="24"/>
          <w:szCs w:val="24"/>
          <w:lang w:val="en-GB"/>
        </w:rPr>
        <w:t xml:space="preserve"> clinical Phase III study in patients with moderate to severe </w:t>
      </w:r>
      <w:r w:rsidR="006847F5">
        <w:rPr>
          <w:rFonts w:ascii="Times New Roman" w:eastAsia="Malgun Gothic" w:hAnsi="Times New Roman" w:cs="Times New Roman" w:hint="eastAsia"/>
          <w:sz w:val="24"/>
          <w:szCs w:val="24"/>
          <w:lang w:val="en-GB"/>
        </w:rPr>
        <w:t>rheumatoid arthritis</w:t>
      </w:r>
      <w:r w:rsidR="00F4450B" w:rsidRPr="00F4450B">
        <w:rPr>
          <w:rFonts w:ascii="Times New Roman" w:eastAsia="Malgun Gothic" w:hAnsi="Times New Roman" w:cs="Times New Roman"/>
          <w:sz w:val="24"/>
          <w:szCs w:val="24"/>
          <w:lang w:val="en-GB"/>
        </w:rPr>
        <w:t xml:space="preserve"> despite methotrexate therapy</w:t>
      </w:r>
      <w:r>
        <w:rPr>
          <w:rFonts w:ascii="Times New Roman" w:eastAsia="Malgun Gothic" w:hAnsi="Times New Roman" w:cs="Times New Roman" w:hint="eastAsia"/>
          <w:sz w:val="24"/>
          <w:szCs w:val="24"/>
          <w:lang w:val="en-GB"/>
        </w:rPr>
        <w:t xml:space="preserve"> (Study SB2-G31-RA)</w:t>
      </w:r>
      <w:r w:rsidR="00F4450B" w:rsidRPr="00F4450B">
        <w:rPr>
          <w:rFonts w:ascii="Times New Roman" w:eastAsia="Malgun Gothic" w:hAnsi="Times New Roman" w:cs="Times New Roman"/>
          <w:sz w:val="24"/>
          <w:szCs w:val="24"/>
          <w:lang w:val="en-GB"/>
        </w:rPr>
        <w:t xml:space="preserve">. </w:t>
      </w:r>
    </w:p>
    <w:p w14:paraId="3C108744" w14:textId="16AD38AD" w:rsidR="00F4450B" w:rsidRPr="00FA2BA8" w:rsidRDefault="0051221E" w:rsidP="00FA2BA8">
      <w:pPr>
        <w:spacing w:line="240" w:lineRule="auto"/>
        <w:jc w:val="left"/>
        <w:rPr>
          <w:rFonts w:ascii="Times New Roman" w:eastAsia="Malgun Gothic" w:hAnsi="Times New Roman" w:cs="Times New Roman"/>
          <w:sz w:val="24"/>
          <w:szCs w:val="24"/>
          <w:lang w:val="en-GB"/>
        </w:rPr>
      </w:pPr>
      <w:r>
        <w:rPr>
          <w:rFonts w:ascii="Times New Roman" w:eastAsia="Malgun Gothic" w:hAnsi="Times New Roman" w:cs="Times New Roman" w:hint="eastAsia"/>
          <w:sz w:val="24"/>
          <w:szCs w:val="24"/>
          <w:lang w:val="en-GB"/>
        </w:rPr>
        <w:t xml:space="preserve">The study evaluated 584 patients who were 18-75 years old with moderate to severe active disease despite MTX therapy. Patients were randomised in a 1:1 ratio to receive either RENFLEXIS 3mg/kg (n=291) or </w:t>
      </w:r>
      <w:r w:rsidRPr="004F7B5B">
        <w:rPr>
          <w:rFonts w:ascii="Times New Roman" w:eastAsia="Malgun Gothic" w:hAnsi="Times New Roman" w:cs="Times New Roman"/>
          <w:sz w:val="24"/>
          <w:szCs w:val="24"/>
          <w:lang w:val="en-GB"/>
        </w:rPr>
        <w:t xml:space="preserve">EU </w:t>
      </w:r>
      <w:proofErr w:type="spellStart"/>
      <w:r w:rsidRPr="004F7B5B">
        <w:rPr>
          <w:rFonts w:ascii="Times New Roman" w:eastAsia="Malgun Gothic" w:hAnsi="Times New Roman" w:cs="Times New Roman"/>
          <w:sz w:val="24"/>
          <w:szCs w:val="24"/>
          <w:lang w:val="en-GB"/>
        </w:rPr>
        <w:t>Remicade</w:t>
      </w:r>
      <w:proofErr w:type="spellEnd"/>
      <w:r w:rsidRPr="004F7B5B">
        <w:rPr>
          <w:rFonts w:ascii="Times New Roman" w:eastAsia="Malgun Gothic" w:hAnsi="Times New Roman" w:cs="Times New Roman"/>
          <w:sz w:val="24"/>
          <w:szCs w:val="24"/>
          <w:vertAlign w:val="superscript"/>
          <w:lang w:val="en-GB"/>
        </w:rPr>
        <w:t>®</w:t>
      </w:r>
      <w:r>
        <w:rPr>
          <w:rFonts w:ascii="Times New Roman" w:eastAsia="Malgun Gothic" w:hAnsi="Times New Roman" w:cs="Times New Roman" w:hint="eastAsia"/>
          <w:sz w:val="24"/>
          <w:szCs w:val="24"/>
          <w:lang w:val="en-GB"/>
        </w:rPr>
        <w:t xml:space="preserve"> 3 mg/kg (n=293), where dosing occurred </w:t>
      </w:r>
      <w:r w:rsidR="00FD17E4">
        <w:rPr>
          <w:rFonts w:ascii="Times New Roman" w:eastAsia="Malgun Gothic" w:hAnsi="Times New Roman" w:cs="Times New Roman" w:hint="eastAsia"/>
          <w:sz w:val="24"/>
          <w:szCs w:val="24"/>
          <w:lang w:val="en-GB"/>
        </w:rPr>
        <w:t xml:space="preserve">for </w:t>
      </w:r>
      <w:r>
        <w:rPr>
          <w:rFonts w:ascii="Times New Roman" w:eastAsia="Malgun Gothic" w:hAnsi="Times New Roman" w:cs="Times New Roman" w:hint="eastAsia"/>
          <w:sz w:val="24"/>
          <w:szCs w:val="24"/>
          <w:lang w:val="en-GB"/>
        </w:rPr>
        <w:t xml:space="preserve">2 hours via intravenous infusion, at Week 0, 2, 6 and then every 8 weeks with last dose at Week 46. </w:t>
      </w:r>
      <w:r w:rsidR="00F4450B">
        <w:rPr>
          <w:rFonts w:ascii="Times New Roman" w:eastAsia="Malgun Gothic" w:hAnsi="Times New Roman" w:cs="Times New Roman" w:hint="eastAsia"/>
          <w:sz w:val="24"/>
          <w:szCs w:val="24"/>
          <w:lang w:val="en-GB"/>
        </w:rPr>
        <w:t xml:space="preserve">From Week 30, the dose could be increased by 1.5 mg/kg up to maximum of 7.5 mg/kg. </w:t>
      </w:r>
      <w:r w:rsidR="00F4450B" w:rsidRPr="002D4B9C">
        <w:rPr>
          <w:rFonts w:ascii="Times New Roman" w:eastAsia="Malgun Gothic" w:hAnsi="Times New Roman" w:cs="Times New Roman"/>
          <w:sz w:val="24"/>
          <w:szCs w:val="24"/>
          <w:lang w:val="en-GB"/>
        </w:rPr>
        <w:t>In addition to infliximab, each patient also took a stable dose of oral or parenteral MTX (10-25 mg weekly) and was required to take folic acid 5-10 mg weekly while taking MTX.</w:t>
      </w:r>
    </w:p>
    <w:p w14:paraId="7C1EFB1E" w14:textId="4CEC7493" w:rsidR="005B6103" w:rsidRDefault="004A10AE" w:rsidP="00863ADB">
      <w:pPr>
        <w:spacing w:line="240" w:lineRule="auto"/>
        <w:jc w:val="left"/>
        <w:rPr>
          <w:rFonts w:ascii="Times New Roman" w:eastAsia="Malgun Gothic" w:hAnsi="Times New Roman" w:cs="Times New Roman"/>
          <w:sz w:val="24"/>
          <w:szCs w:val="24"/>
          <w:lang w:val="en-GB"/>
        </w:rPr>
      </w:pPr>
      <w:r w:rsidRPr="004F7B5B">
        <w:rPr>
          <w:rFonts w:ascii="Times New Roman" w:eastAsia="Malgun Gothic" w:hAnsi="Times New Roman" w:cs="Times New Roman"/>
          <w:sz w:val="24"/>
          <w:szCs w:val="24"/>
          <w:lang w:val="en-GB"/>
        </w:rPr>
        <w:t xml:space="preserve">The </w:t>
      </w:r>
      <w:r w:rsidR="005B6103">
        <w:rPr>
          <w:rFonts w:ascii="Times New Roman" w:eastAsia="Malgun Gothic" w:hAnsi="Times New Roman" w:cs="Times New Roman" w:hint="eastAsia"/>
          <w:sz w:val="24"/>
          <w:szCs w:val="24"/>
          <w:lang w:val="en-GB"/>
        </w:rPr>
        <w:t xml:space="preserve">primary objective was to demonstrate </w:t>
      </w:r>
      <w:r w:rsidRPr="004F7B5B">
        <w:rPr>
          <w:rFonts w:ascii="Times New Roman" w:eastAsia="Malgun Gothic" w:hAnsi="Times New Roman" w:cs="Times New Roman"/>
          <w:sz w:val="24"/>
          <w:szCs w:val="24"/>
          <w:lang w:val="en-GB"/>
        </w:rPr>
        <w:t xml:space="preserve">equivalence </w:t>
      </w:r>
      <w:r w:rsidR="005B6103">
        <w:rPr>
          <w:rFonts w:ascii="Times New Roman" w:eastAsia="Malgun Gothic" w:hAnsi="Times New Roman" w:cs="Times New Roman" w:hint="eastAsia"/>
          <w:sz w:val="24"/>
          <w:szCs w:val="24"/>
          <w:lang w:val="en-GB"/>
        </w:rPr>
        <w:t>of</w:t>
      </w:r>
      <w:r w:rsidRPr="004F7B5B">
        <w:rPr>
          <w:rFonts w:ascii="Times New Roman" w:eastAsia="Malgun Gothic" w:hAnsi="Times New Roman" w:cs="Times New Roman"/>
          <w:sz w:val="24"/>
          <w:szCs w:val="24"/>
          <w:lang w:val="en-GB"/>
        </w:rPr>
        <w:t xml:space="preserve"> RENFLEXIS and EU </w:t>
      </w:r>
      <w:proofErr w:type="spellStart"/>
      <w:r w:rsidRPr="004F7B5B">
        <w:rPr>
          <w:rFonts w:ascii="Times New Roman" w:eastAsia="Malgun Gothic" w:hAnsi="Times New Roman" w:cs="Times New Roman"/>
          <w:sz w:val="24"/>
          <w:szCs w:val="24"/>
          <w:lang w:val="en-GB"/>
        </w:rPr>
        <w:t>Remicade</w:t>
      </w:r>
      <w:proofErr w:type="spellEnd"/>
      <w:r w:rsidRPr="004F7B5B">
        <w:rPr>
          <w:rFonts w:ascii="Times New Roman" w:eastAsia="Malgun Gothic" w:hAnsi="Times New Roman" w:cs="Times New Roman"/>
          <w:sz w:val="24"/>
          <w:szCs w:val="24"/>
          <w:vertAlign w:val="superscript"/>
          <w:lang w:val="en-GB"/>
        </w:rPr>
        <w:t xml:space="preserve">® </w:t>
      </w:r>
      <w:r w:rsidR="005B6103">
        <w:rPr>
          <w:rFonts w:ascii="Times New Roman" w:eastAsia="Malgun Gothic" w:hAnsi="Times New Roman" w:cs="Times New Roman" w:hint="eastAsia"/>
          <w:sz w:val="24"/>
          <w:szCs w:val="24"/>
          <w:lang w:val="en-GB"/>
        </w:rPr>
        <w:t>at Week 30 in terms of the</w:t>
      </w:r>
      <w:r w:rsidRPr="004F7B5B">
        <w:rPr>
          <w:rFonts w:ascii="Times New Roman" w:eastAsia="Malgun Gothic" w:hAnsi="Times New Roman" w:cs="Times New Roman"/>
          <w:sz w:val="24"/>
          <w:szCs w:val="24"/>
          <w:lang w:val="en-GB"/>
        </w:rPr>
        <w:t xml:space="preserve"> American College of Rheumatology 20% response criteria (ACR20)</w:t>
      </w:r>
      <w:r w:rsidR="005B6103">
        <w:rPr>
          <w:rFonts w:ascii="Times New Roman" w:eastAsia="Malgun Gothic" w:hAnsi="Times New Roman" w:cs="Times New Roman" w:hint="eastAsia"/>
          <w:sz w:val="24"/>
          <w:szCs w:val="24"/>
          <w:lang w:val="en-GB"/>
        </w:rPr>
        <w:t xml:space="preserve">. To declare the equivalence between the treatment groups, the 2-sided 95% confidence interval of the difference in ACR20 response rates between the treatment groups should be contained within the pre-defined equivalence margin of </w:t>
      </w:r>
      <w:r w:rsidR="005B6103" w:rsidRPr="00D86EF3">
        <w:rPr>
          <w:rFonts w:ascii="Times New Roman" w:eastAsia="Malgun Gothic" w:hAnsi="Times New Roman" w:cs="Times New Roman"/>
          <w:sz w:val="24"/>
          <w:szCs w:val="24"/>
          <w:lang w:val="en-GB"/>
        </w:rPr>
        <w:t>[−15%, 15%]</w:t>
      </w:r>
      <w:r w:rsidR="005B6103">
        <w:rPr>
          <w:rFonts w:ascii="Times New Roman" w:eastAsia="Malgun Gothic" w:hAnsi="Times New Roman" w:cs="Times New Roman" w:hint="eastAsia"/>
          <w:sz w:val="24"/>
          <w:szCs w:val="24"/>
          <w:lang w:val="en-GB"/>
        </w:rPr>
        <w:t xml:space="preserve">. Secondary objectives </w:t>
      </w:r>
      <w:r w:rsidR="005B6103">
        <w:rPr>
          <w:rFonts w:ascii="Times New Roman" w:eastAsia="Malgun Gothic" w:hAnsi="Times New Roman" w:cs="Times New Roman" w:hint="eastAsia"/>
          <w:sz w:val="24"/>
          <w:szCs w:val="24"/>
          <w:lang w:val="en-GB"/>
        </w:rPr>
        <w:lastRenderedPageBreak/>
        <w:t xml:space="preserve">were to evaluate efficacy using relevant efficacy endpoints other than ACR20 at Week 30, and to evaluate safety / tolerability, PK, and immunogenicity of RENFLEXIS compared to </w:t>
      </w:r>
      <w:r w:rsidR="005B6103" w:rsidRPr="004F7B5B">
        <w:rPr>
          <w:rFonts w:ascii="Times New Roman" w:eastAsia="Malgun Gothic" w:hAnsi="Times New Roman" w:cs="Times New Roman"/>
          <w:sz w:val="24"/>
          <w:szCs w:val="24"/>
          <w:lang w:val="en-GB"/>
        </w:rPr>
        <w:t xml:space="preserve">EU </w:t>
      </w:r>
      <w:proofErr w:type="spellStart"/>
      <w:r w:rsidR="005B6103" w:rsidRPr="004F7B5B">
        <w:rPr>
          <w:rFonts w:ascii="Times New Roman" w:eastAsia="Malgun Gothic" w:hAnsi="Times New Roman" w:cs="Times New Roman"/>
          <w:sz w:val="24"/>
          <w:szCs w:val="24"/>
          <w:lang w:val="en-GB"/>
        </w:rPr>
        <w:t>Remicade</w:t>
      </w:r>
      <w:proofErr w:type="spellEnd"/>
      <w:r w:rsidR="005B6103">
        <w:rPr>
          <w:rFonts w:ascii="Times New Roman" w:eastAsia="Malgun Gothic" w:hAnsi="Times New Roman" w:cs="Times New Roman"/>
          <w:sz w:val="24"/>
          <w:szCs w:val="24"/>
          <w:vertAlign w:val="superscript"/>
          <w:lang w:val="en-GB"/>
        </w:rPr>
        <w:t>®</w:t>
      </w:r>
      <w:r w:rsidR="005B6103">
        <w:rPr>
          <w:rFonts w:ascii="Times New Roman" w:eastAsia="Malgun Gothic" w:hAnsi="Times New Roman" w:cs="Times New Roman" w:hint="eastAsia"/>
          <w:sz w:val="24"/>
          <w:szCs w:val="24"/>
          <w:lang w:val="en-GB"/>
        </w:rPr>
        <w:t xml:space="preserve">. </w:t>
      </w:r>
    </w:p>
    <w:p w14:paraId="2883E7AF" w14:textId="0B537512" w:rsidR="006E2E16" w:rsidRPr="00863ADB" w:rsidRDefault="005B6103" w:rsidP="00863ADB">
      <w:pPr>
        <w:spacing w:line="240" w:lineRule="auto"/>
        <w:jc w:val="left"/>
        <w:rPr>
          <w:rFonts w:ascii="Times New Roman" w:eastAsia="Malgun Gothic" w:hAnsi="Times New Roman" w:cs="Times New Roman"/>
          <w:sz w:val="24"/>
          <w:szCs w:val="24"/>
          <w:lang w:val="en-GB"/>
        </w:rPr>
      </w:pPr>
      <w:r>
        <w:rPr>
          <w:rFonts w:ascii="Times New Roman" w:eastAsia="Malgun Gothic" w:hAnsi="Times New Roman" w:cs="Times New Roman" w:hint="eastAsia"/>
          <w:sz w:val="24"/>
          <w:szCs w:val="24"/>
          <w:lang w:val="en-GB"/>
        </w:rPr>
        <w:t>The ACR20</w:t>
      </w:r>
      <w:r w:rsidR="004A10AE" w:rsidRPr="004F7B5B">
        <w:rPr>
          <w:rFonts w:ascii="Times New Roman" w:eastAsia="Malgun Gothic" w:hAnsi="Times New Roman" w:cs="Times New Roman"/>
          <w:sz w:val="24"/>
          <w:szCs w:val="24"/>
          <w:lang w:val="en-GB"/>
        </w:rPr>
        <w:t xml:space="preserve"> response rate at Week 30 </w:t>
      </w:r>
      <w:r w:rsidR="006847F5">
        <w:rPr>
          <w:rFonts w:ascii="Times New Roman" w:eastAsia="Malgun Gothic" w:hAnsi="Times New Roman" w:cs="Times New Roman" w:hint="eastAsia"/>
          <w:sz w:val="24"/>
          <w:szCs w:val="24"/>
          <w:lang w:val="en-GB"/>
        </w:rPr>
        <w:t xml:space="preserve">(primary efficacy endpoint) </w:t>
      </w:r>
      <w:r w:rsidR="004A10AE" w:rsidRPr="004F7B5B">
        <w:rPr>
          <w:rFonts w:ascii="Times New Roman" w:eastAsia="Malgun Gothic" w:hAnsi="Times New Roman" w:cs="Times New Roman"/>
          <w:sz w:val="24"/>
          <w:szCs w:val="24"/>
          <w:lang w:val="en-GB"/>
        </w:rPr>
        <w:t xml:space="preserve">was equivalent between RENFLEXIS and EU </w:t>
      </w:r>
      <w:proofErr w:type="spellStart"/>
      <w:r w:rsidR="004A10AE" w:rsidRPr="004F7B5B">
        <w:rPr>
          <w:rFonts w:ascii="Times New Roman" w:eastAsia="Malgun Gothic" w:hAnsi="Times New Roman" w:cs="Times New Roman"/>
          <w:sz w:val="24"/>
          <w:szCs w:val="24"/>
          <w:lang w:val="en-GB"/>
        </w:rPr>
        <w:t>Remicade</w:t>
      </w:r>
      <w:proofErr w:type="spellEnd"/>
      <w:r w:rsidR="004A10AE" w:rsidRPr="004F7B5B">
        <w:rPr>
          <w:rFonts w:ascii="Times New Roman" w:eastAsia="Malgun Gothic" w:hAnsi="Times New Roman" w:cs="Times New Roman"/>
          <w:sz w:val="24"/>
          <w:szCs w:val="24"/>
          <w:vertAlign w:val="superscript"/>
          <w:lang w:val="en-GB"/>
        </w:rPr>
        <w:t>®</w:t>
      </w:r>
      <w:r w:rsidR="0006231A">
        <w:rPr>
          <w:rFonts w:ascii="Times New Roman" w:eastAsia="Malgun Gothic" w:hAnsi="Times New Roman" w:cs="Times New Roman" w:hint="eastAsia"/>
          <w:sz w:val="24"/>
          <w:szCs w:val="24"/>
          <w:lang w:val="en-GB"/>
        </w:rPr>
        <w:t xml:space="preserve"> in the per-protocol set 1 (PPS1)</w:t>
      </w:r>
      <w:r w:rsidR="00945FBD">
        <w:rPr>
          <w:rFonts w:ascii="Times New Roman" w:eastAsia="Malgun Gothic" w:hAnsi="Times New Roman" w:cs="Times New Roman" w:hint="eastAsia"/>
          <w:sz w:val="24"/>
          <w:szCs w:val="24"/>
          <w:lang w:val="en-GB"/>
        </w:rPr>
        <w:t xml:space="preserve">. </w:t>
      </w:r>
      <w:r w:rsidR="0006231A">
        <w:rPr>
          <w:rFonts w:ascii="Times New Roman" w:eastAsia="Malgun Gothic" w:hAnsi="Times New Roman" w:cs="Times New Roman" w:hint="eastAsia"/>
          <w:sz w:val="24"/>
          <w:szCs w:val="24"/>
          <w:lang w:val="en-GB"/>
        </w:rPr>
        <w:t xml:space="preserve">The proportion of patients achieving ACR20 response in the PPS1 was 64.1% (148/231) and 66.0% (163/247) in the RENFLEXIS and </w:t>
      </w:r>
      <w:r w:rsidR="0006231A" w:rsidRPr="00D86EF3">
        <w:rPr>
          <w:rFonts w:ascii="Times New Roman" w:eastAsia="Malgun Gothic" w:hAnsi="Times New Roman" w:cs="Times New Roman"/>
          <w:sz w:val="24"/>
          <w:szCs w:val="24"/>
          <w:lang w:val="en-GB"/>
        </w:rPr>
        <w:t xml:space="preserve">EU </w:t>
      </w:r>
      <w:proofErr w:type="spellStart"/>
      <w:r w:rsidR="0006231A" w:rsidRPr="00D86EF3">
        <w:rPr>
          <w:rFonts w:ascii="Times New Roman" w:eastAsia="Malgun Gothic" w:hAnsi="Times New Roman" w:cs="Times New Roman"/>
          <w:sz w:val="24"/>
          <w:szCs w:val="24"/>
          <w:lang w:val="en-GB"/>
        </w:rPr>
        <w:t>Remicade</w:t>
      </w:r>
      <w:proofErr w:type="spellEnd"/>
      <w:r w:rsidR="0006231A" w:rsidRPr="00D86EF3">
        <w:rPr>
          <w:rFonts w:ascii="Times New Roman" w:eastAsia="Malgun Gothic" w:hAnsi="Times New Roman" w:cs="Times New Roman"/>
          <w:sz w:val="24"/>
          <w:szCs w:val="24"/>
          <w:vertAlign w:val="superscript"/>
          <w:lang w:val="en-GB"/>
        </w:rPr>
        <w:t>®</w:t>
      </w:r>
      <w:r w:rsidR="0006231A">
        <w:rPr>
          <w:rFonts w:ascii="Times New Roman" w:eastAsia="Malgun Gothic" w:hAnsi="Times New Roman" w:cs="Times New Roman" w:hint="eastAsia"/>
          <w:sz w:val="24"/>
          <w:szCs w:val="24"/>
          <w:lang w:val="en-GB"/>
        </w:rPr>
        <w:t xml:space="preserve"> treatment groups, re</w:t>
      </w:r>
      <w:r w:rsidR="000F3F03">
        <w:rPr>
          <w:rFonts w:ascii="Times New Roman" w:eastAsia="Malgun Gothic" w:hAnsi="Times New Roman" w:cs="Times New Roman" w:hint="eastAsia"/>
          <w:sz w:val="24"/>
          <w:szCs w:val="24"/>
          <w:lang w:val="en-GB"/>
        </w:rPr>
        <w:t>s</w:t>
      </w:r>
      <w:r w:rsidR="0006231A">
        <w:rPr>
          <w:rFonts w:ascii="Times New Roman" w:eastAsia="Malgun Gothic" w:hAnsi="Times New Roman" w:cs="Times New Roman" w:hint="eastAsia"/>
          <w:sz w:val="24"/>
          <w:szCs w:val="24"/>
          <w:lang w:val="en-GB"/>
        </w:rPr>
        <w:t>pectively</w:t>
      </w:r>
      <w:r w:rsidR="00E379CF">
        <w:rPr>
          <w:rFonts w:ascii="Times New Roman" w:eastAsia="Malgun Gothic" w:hAnsi="Times New Roman" w:cs="Times New Roman" w:hint="eastAsia"/>
          <w:sz w:val="24"/>
          <w:szCs w:val="24"/>
          <w:lang w:val="en-GB"/>
        </w:rPr>
        <w:t>.</w:t>
      </w:r>
      <w:r w:rsidR="0006231A">
        <w:rPr>
          <w:rFonts w:ascii="Times New Roman" w:eastAsia="Malgun Gothic" w:hAnsi="Times New Roman" w:cs="Times New Roman" w:hint="eastAsia"/>
          <w:sz w:val="24"/>
          <w:szCs w:val="24"/>
          <w:lang w:val="en-GB"/>
        </w:rPr>
        <w:t xml:space="preserve"> </w:t>
      </w:r>
      <w:r w:rsidR="00945FBD" w:rsidRPr="004F7B5B">
        <w:rPr>
          <w:rFonts w:ascii="Times New Roman" w:eastAsia="Malgun Gothic" w:hAnsi="Times New Roman" w:cs="Times New Roman"/>
          <w:sz w:val="24"/>
          <w:szCs w:val="24"/>
          <w:lang w:val="en-GB"/>
        </w:rPr>
        <w:t xml:space="preserve">The 95% CI of the difference in ACR20 response rate between RENFLEXIS and </w:t>
      </w:r>
      <w:proofErr w:type="spellStart"/>
      <w:r w:rsidR="00945FBD" w:rsidRPr="004F7B5B">
        <w:rPr>
          <w:rFonts w:ascii="Times New Roman" w:eastAsia="Malgun Gothic" w:hAnsi="Times New Roman" w:cs="Times New Roman"/>
          <w:sz w:val="24"/>
          <w:szCs w:val="24"/>
          <w:lang w:val="en-GB"/>
        </w:rPr>
        <w:t>Remicade</w:t>
      </w:r>
      <w:proofErr w:type="spellEnd"/>
      <w:r w:rsidR="00945FBD" w:rsidRPr="00D86EF3">
        <w:rPr>
          <w:rFonts w:ascii="Times New Roman" w:eastAsia="Malgun Gothic" w:hAnsi="Times New Roman" w:cs="Times New Roman"/>
          <w:sz w:val="24"/>
          <w:szCs w:val="24"/>
          <w:vertAlign w:val="superscript"/>
          <w:lang w:val="en-GB"/>
        </w:rPr>
        <w:t>®</w:t>
      </w:r>
      <w:r w:rsidR="004A10AE" w:rsidRPr="00D86EF3">
        <w:rPr>
          <w:rFonts w:ascii="Times New Roman" w:eastAsia="Malgun Gothic" w:hAnsi="Times New Roman" w:cs="Times New Roman"/>
          <w:sz w:val="24"/>
          <w:szCs w:val="24"/>
          <w:lang w:val="en-GB"/>
        </w:rPr>
        <w:t xml:space="preserve"> was completely within the pre-defined equivalence margin of [−15%, 15%] (</w:t>
      </w:r>
      <w:r w:rsidR="00DE124E" w:rsidRPr="00DE124E">
        <w:rPr>
          <w:rFonts w:ascii="Times New Roman" w:eastAsia="Malgun Gothic" w:hAnsi="Times New Roman" w:cs="Times New Roman"/>
          <w:sz w:val="24"/>
          <w:szCs w:val="24"/>
          <w:lang w:val="en-GB"/>
        </w:rPr>
        <w:fldChar w:fldCharType="begin"/>
      </w:r>
      <w:r w:rsidR="00DE124E" w:rsidRPr="00DE124E">
        <w:rPr>
          <w:rFonts w:ascii="Times New Roman" w:eastAsia="Malgun Gothic" w:hAnsi="Times New Roman" w:cs="Times New Roman"/>
          <w:sz w:val="24"/>
          <w:szCs w:val="24"/>
          <w:lang w:val="en-GB"/>
        </w:rPr>
        <w:instrText xml:space="preserve"> REF _Ref461471977 \h  \* MERGEFORMAT </w:instrText>
      </w:r>
      <w:r w:rsidR="00DE124E" w:rsidRPr="00DE124E">
        <w:rPr>
          <w:rFonts w:ascii="Times New Roman" w:eastAsia="Malgun Gothic" w:hAnsi="Times New Roman" w:cs="Times New Roman"/>
          <w:sz w:val="24"/>
          <w:szCs w:val="24"/>
          <w:lang w:val="en-GB"/>
        </w:rPr>
      </w:r>
      <w:r w:rsidR="00DE124E" w:rsidRPr="00DE124E">
        <w:rPr>
          <w:rFonts w:ascii="Times New Roman" w:eastAsia="Malgun Gothic" w:hAnsi="Times New Roman" w:cs="Times New Roman"/>
          <w:sz w:val="24"/>
          <w:szCs w:val="24"/>
          <w:lang w:val="en-GB"/>
        </w:rPr>
        <w:fldChar w:fldCharType="separate"/>
      </w:r>
      <w:r w:rsidR="005A6BF4" w:rsidRPr="005A6BF4">
        <w:rPr>
          <w:rFonts w:ascii="Times New Roman" w:hAnsi="Times New Roman" w:cs="Times New Roman"/>
          <w:sz w:val="24"/>
          <w:szCs w:val="24"/>
        </w:rPr>
        <w:t xml:space="preserve">Table </w:t>
      </w:r>
      <w:r w:rsidR="005A6BF4" w:rsidRPr="005A6BF4">
        <w:rPr>
          <w:rFonts w:ascii="Times New Roman" w:hAnsi="Times New Roman" w:cs="Times New Roman"/>
          <w:noProof/>
          <w:sz w:val="24"/>
          <w:szCs w:val="24"/>
        </w:rPr>
        <w:t>10</w:t>
      </w:r>
      <w:r w:rsidR="00DE124E" w:rsidRPr="00DE124E">
        <w:rPr>
          <w:rFonts w:ascii="Times New Roman" w:eastAsia="Malgun Gothic" w:hAnsi="Times New Roman" w:cs="Times New Roman"/>
          <w:sz w:val="24"/>
          <w:szCs w:val="24"/>
          <w:lang w:val="en-GB"/>
        </w:rPr>
        <w:fldChar w:fldCharType="end"/>
      </w:r>
      <w:r w:rsidR="004A10AE" w:rsidRPr="00DE124E">
        <w:rPr>
          <w:rFonts w:ascii="Times New Roman" w:eastAsia="Malgun Gothic" w:hAnsi="Times New Roman" w:cs="Times New Roman"/>
          <w:sz w:val="24"/>
          <w:szCs w:val="24"/>
          <w:lang w:val="en-GB"/>
        </w:rPr>
        <w:t>)</w:t>
      </w:r>
      <w:r w:rsidR="004A10AE" w:rsidRPr="00D86EF3">
        <w:rPr>
          <w:rFonts w:ascii="Times New Roman" w:eastAsia="Malgun Gothic" w:hAnsi="Times New Roman" w:cs="Times New Roman"/>
          <w:sz w:val="24"/>
          <w:szCs w:val="24"/>
          <w:lang w:val="en-GB"/>
        </w:rPr>
        <w:t>.</w:t>
      </w:r>
      <w:r w:rsidR="006E2E16" w:rsidRPr="00863ADB">
        <w:rPr>
          <w:rFonts w:ascii="Times New Roman" w:eastAsia="Malgun Gothic" w:hAnsi="Times New Roman" w:cs="Times New Roman" w:hint="eastAsia"/>
          <w:sz w:val="24"/>
          <w:szCs w:val="24"/>
          <w:lang w:val="en-GB"/>
        </w:rPr>
        <w:t xml:space="preserve"> Furthermore, with non-responder imputation, the ACR20 response rates of RENFLEXIS and </w:t>
      </w:r>
      <w:r w:rsidR="006E2E16" w:rsidRPr="00863ADB">
        <w:rPr>
          <w:rFonts w:ascii="Times New Roman" w:eastAsia="Malgun Gothic" w:hAnsi="Times New Roman" w:cs="Times New Roman"/>
          <w:sz w:val="24"/>
          <w:szCs w:val="24"/>
          <w:lang w:val="en-GB"/>
        </w:rPr>
        <w:t xml:space="preserve">EU </w:t>
      </w:r>
      <w:proofErr w:type="spellStart"/>
      <w:r w:rsidR="006E2E16" w:rsidRPr="00863ADB">
        <w:rPr>
          <w:rFonts w:ascii="Times New Roman" w:eastAsia="Malgun Gothic" w:hAnsi="Times New Roman" w:cs="Times New Roman"/>
          <w:sz w:val="24"/>
          <w:szCs w:val="24"/>
          <w:lang w:val="en-GB"/>
        </w:rPr>
        <w:t>Remicade</w:t>
      </w:r>
      <w:proofErr w:type="spellEnd"/>
      <w:r w:rsidR="006E2E16" w:rsidRPr="00863ADB">
        <w:rPr>
          <w:rFonts w:ascii="Times New Roman" w:eastAsia="Malgun Gothic" w:hAnsi="Times New Roman" w:cs="Times New Roman"/>
          <w:sz w:val="24"/>
          <w:szCs w:val="24"/>
          <w:vertAlign w:val="superscript"/>
          <w:lang w:val="en-GB"/>
        </w:rPr>
        <w:t>®</w:t>
      </w:r>
      <w:r w:rsidR="006E2E16" w:rsidRPr="00863ADB">
        <w:rPr>
          <w:rFonts w:ascii="Times New Roman" w:eastAsia="Malgun Gothic" w:hAnsi="Times New Roman" w:cs="Times New Roman" w:hint="eastAsia"/>
          <w:sz w:val="24"/>
          <w:szCs w:val="24"/>
          <w:lang w:val="en-GB"/>
        </w:rPr>
        <w:t xml:space="preserve"> were equivalent at Week 30 for the full analysis set</w:t>
      </w:r>
      <w:r w:rsidR="008768D8">
        <w:rPr>
          <w:rFonts w:ascii="Times New Roman" w:eastAsia="Malgun Gothic" w:hAnsi="Times New Roman" w:cs="Times New Roman" w:hint="eastAsia"/>
          <w:sz w:val="24"/>
          <w:szCs w:val="24"/>
          <w:lang w:val="en-GB"/>
        </w:rPr>
        <w:t xml:space="preserve"> (FAS)</w:t>
      </w:r>
      <w:r w:rsidR="006E2E16" w:rsidRPr="00863ADB">
        <w:rPr>
          <w:rFonts w:ascii="Times New Roman" w:eastAsia="Malgun Gothic" w:hAnsi="Times New Roman" w:cs="Times New Roman" w:hint="eastAsia"/>
          <w:sz w:val="24"/>
          <w:szCs w:val="24"/>
          <w:lang w:val="en-GB"/>
        </w:rPr>
        <w:t xml:space="preserve">; 55.5% of the RENFLEXIS patients and </w:t>
      </w:r>
      <w:r w:rsidR="00863ADB" w:rsidRPr="00863ADB">
        <w:rPr>
          <w:rFonts w:ascii="Times New Roman" w:eastAsia="Malgun Gothic" w:hAnsi="Times New Roman" w:cs="Times New Roman" w:hint="eastAsia"/>
          <w:sz w:val="24"/>
          <w:szCs w:val="24"/>
          <w:lang w:val="en-GB"/>
        </w:rPr>
        <w:t xml:space="preserve">59.0% of the </w:t>
      </w:r>
      <w:r w:rsidR="00863ADB" w:rsidRPr="00863ADB">
        <w:rPr>
          <w:rFonts w:ascii="Times New Roman" w:eastAsia="Malgun Gothic" w:hAnsi="Times New Roman" w:cs="Times New Roman"/>
          <w:sz w:val="24"/>
          <w:szCs w:val="24"/>
          <w:lang w:val="en-GB"/>
        </w:rPr>
        <w:t xml:space="preserve">EU </w:t>
      </w:r>
      <w:proofErr w:type="spellStart"/>
      <w:r w:rsidR="00863ADB" w:rsidRPr="00863ADB">
        <w:rPr>
          <w:rFonts w:ascii="Times New Roman" w:eastAsia="Malgun Gothic" w:hAnsi="Times New Roman" w:cs="Times New Roman"/>
          <w:sz w:val="24"/>
          <w:szCs w:val="24"/>
          <w:lang w:val="en-GB"/>
        </w:rPr>
        <w:t>Remicade</w:t>
      </w:r>
      <w:proofErr w:type="spellEnd"/>
      <w:r w:rsidR="00863ADB" w:rsidRPr="00863ADB">
        <w:rPr>
          <w:rFonts w:ascii="Times New Roman" w:eastAsia="Malgun Gothic" w:hAnsi="Times New Roman" w:cs="Times New Roman"/>
          <w:sz w:val="24"/>
          <w:szCs w:val="24"/>
          <w:vertAlign w:val="superscript"/>
          <w:lang w:val="en-GB"/>
        </w:rPr>
        <w:t>®</w:t>
      </w:r>
      <w:r w:rsidR="00863ADB" w:rsidRPr="00863ADB">
        <w:rPr>
          <w:rFonts w:ascii="Times New Roman" w:eastAsia="Malgun Gothic" w:hAnsi="Times New Roman" w:cs="Times New Roman" w:hint="eastAsia"/>
          <w:sz w:val="24"/>
          <w:szCs w:val="24"/>
          <w:lang w:val="en-GB"/>
        </w:rPr>
        <w:t xml:space="preserve"> patients achieved the ACR20 response </w:t>
      </w:r>
      <w:r w:rsidR="00863ADB" w:rsidRPr="005B5EA3">
        <w:rPr>
          <w:rFonts w:ascii="Times New Roman" w:eastAsia="Malgun Gothic" w:hAnsi="Times New Roman" w:cs="Times New Roman" w:hint="eastAsia"/>
          <w:sz w:val="24"/>
          <w:szCs w:val="24"/>
          <w:lang w:val="en-GB"/>
        </w:rPr>
        <w:t>rates at Week 30.</w:t>
      </w:r>
    </w:p>
    <w:p w14:paraId="6DCB2F75" w14:textId="60485330" w:rsidR="0006231A" w:rsidRDefault="0006231A" w:rsidP="0006231A">
      <w:pPr>
        <w:pStyle w:val="Caption"/>
        <w:keepNext/>
        <w:spacing w:after="0" w:line="240" w:lineRule="auto"/>
        <w:ind w:left="880" w:hangingChars="400" w:hanging="880"/>
        <w:rPr>
          <w:rFonts w:ascii="Times New Roman" w:hAnsi="Times New Roman" w:cs="Times New Roman"/>
          <w:sz w:val="22"/>
          <w:szCs w:val="22"/>
        </w:rPr>
      </w:pPr>
      <w:bookmarkStart w:id="12" w:name="_Ref461471977"/>
      <w:proofErr w:type="gramStart"/>
      <w:r w:rsidRPr="007947DB">
        <w:rPr>
          <w:rFonts w:ascii="Times New Roman" w:hAnsi="Times New Roman" w:cs="Times New Roman"/>
          <w:sz w:val="22"/>
          <w:szCs w:val="22"/>
        </w:rPr>
        <w:t xml:space="preserve">Table </w:t>
      </w:r>
      <w:r w:rsidRPr="007947DB">
        <w:rPr>
          <w:rFonts w:ascii="Times New Roman" w:hAnsi="Times New Roman" w:cs="Times New Roman"/>
          <w:sz w:val="22"/>
          <w:szCs w:val="22"/>
        </w:rPr>
        <w:fldChar w:fldCharType="begin"/>
      </w:r>
      <w:r w:rsidRPr="007947DB">
        <w:rPr>
          <w:rFonts w:ascii="Times New Roman" w:hAnsi="Times New Roman" w:cs="Times New Roman"/>
          <w:sz w:val="22"/>
          <w:szCs w:val="22"/>
        </w:rPr>
        <w:instrText xml:space="preserve"> SEQ Table \* ARABIC </w:instrText>
      </w:r>
      <w:r w:rsidRPr="007947DB">
        <w:rPr>
          <w:rFonts w:ascii="Times New Roman" w:hAnsi="Times New Roman" w:cs="Times New Roman"/>
          <w:sz w:val="22"/>
          <w:szCs w:val="22"/>
        </w:rPr>
        <w:fldChar w:fldCharType="separate"/>
      </w:r>
      <w:r w:rsidR="005A6BF4">
        <w:rPr>
          <w:rFonts w:ascii="Times New Roman" w:hAnsi="Times New Roman" w:cs="Times New Roman"/>
          <w:noProof/>
          <w:sz w:val="22"/>
          <w:szCs w:val="22"/>
        </w:rPr>
        <w:t>10</w:t>
      </w:r>
      <w:r w:rsidRPr="007947DB">
        <w:rPr>
          <w:rFonts w:ascii="Times New Roman" w:hAnsi="Times New Roman" w:cs="Times New Roman"/>
          <w:sz w:val="22"/>
          <w:szCs w:val="22"/>
        </w:rPr>
        <w:fldChar w:fldCharType="end"/>
      </w:r>
      <w:bookmarkEnd w:id="12"/>
      <w:r w:rsidRPr="007947DB">
        <w:rPr>
          <w:rFonts w:ascii="Times New Roman" w:hAnsi="Times New Roman" w:cs="Times New Roman"/>
          <w:sz w:val="22"/>
          <w:szCs w:val="22"/>
        </w:rPr>
        <w:t>.</w:t>
      </w:r>
      <w:proofErr w:type="gramEnd"/>
      <w:r w:rsidRPr="007947DB">
        <w:rPr>
          <w:rFonts w:ascii="Times New Roman" w:hAnsi="Times New Roman" w:cs="Times New Roman"/>
          <w:sz w:val="22"/>
          <w:szCs w:val="22"/>
        </w:rPr>
        <w:t xml:space="preserve"> Analysis of ACR Response Rates; Per-protocol Set</w:t>
      </w:r>
      <w:r>
        <w:rPr>
          <w:rFonts w:ascii="Times New Roman" w:hAnsi="Times New Roman" w:cs="Times New Roman" w:hint="eastAsia"/>
          <w:sz w:val="22"/>
          <w:szCs w:val="22"/>
        </w:rPr>
        <w:t>s</w:t>
      </w:r>
      <w:r w:rsidRPr="007947DB">
        <w:rPr>
          <w:rFonts w:ascii="Times New Roman" w:hAnsi="Times New Roman" w:cs="Times New Roman"/>
          <w:sz w:val="22"/>
          <w:szCs w:val="22"/>
        </w:rPr>
        <w:t xml:space="preserve"> (Study SB2-G31-RA)</w:t>
      </w:r>
    </w:p>
    <w:tbl>
      <w:tblPr>
        <w:tblStyle w:val="3"/>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7"/>
        <w:gridCol w:w="1121"/>
        <w:gridCol w:w="2590"/>
        <w:gridCol w:w="853"/>
        <w:gridCol w:w="831"/>
        <w:gridCol w:w="1117"/>
        <w:gridCol w:w="1593"/>
      </w:tblGrid>
      <w:tr w:rsidR="0006231A" w:rsidRPr="00522CE2" w14:paraId="3CE44F18" w14:textId="77777777" w:rsidTr="00BC66F4">
        <w:trPr>
          <w:tblHeader/>
        </w:trPr>
        <w:tc>
          <w:tcPr>
            <w:tcW w:w="553"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6E87D4A" w14:textId="77777777" w:rsidR="0006231A" w:rsidRPr="00522CE2" w:rsidRDefault="0006231A" w:rsidP="00BC66F4">
            <w:pPr>
              <w:keepNext/>
              <w:keepLines/>
              <w:wordWrap/>
              <w:spacing w:before="0" w:after="0"/>
              <w:jc w:val="center"/>
              <w:rPr>
                <w:b/>
                <w:sz w:val="22"/>
                <w:szCs w:val="22"/>
                <w:lang w:val="en-GB"/>
              </w:rPr>
            </w:pPr>
            <w:r w:rsidRPr="00522CE2">
              <w:rPr>
                <w:b/>
                <w:sz w:val="22"/>
                <w:szCs w:val="22"/>
                <w:lang w:val="en-GB"/>
              </w:rPr>
              <w:t>ACR Response</w:t>
            </w:r>
          </w:p>
        </w:tc>
        <w:tc>
          <w:tcPr>
            <w:tcW w:w="615" w:type="pct"/>
            <w:tcBorders>
              <w:top w:val="single" w:sz="4" w:space="0" w:color="auto"/>
              <w:left w:val="single" w:sz="4" w:space="0" w:color="auto"/>
              <w:bottom w:val="single" w:sz="4" w:space="0" w:color="auto"/>
              <w:right w:val="single" w:sz="4" w:space="0" w:color="auto"/>
            </w:tcBorders>
            <w:vAlign w:val="center"/>
          </w:tcPr>
          <w:p w14:paraId="401B4BEF" w14:textId="77777777" w:rsidR="0006231A" w:rsidRPr="00522CE2" w:rsidRDefault="0006231A" w:rsidP="00BC66F4">
            <w:pPr>
              <w:keepNext/>
              <w:keepLines/>
              <w:wordWrap/>
              <w:spacing w:before="0" w:after="0"/>
              <w:jc w:val="center"/>
              <w:rPr>
                <w:b/>
                <w:sz w:val="22"/>
                <w:szCs w:val="22"/>
                <w:lang w:val="en-GB"/>
              </w:rPr>
            </w:pPr>
            <w:proofErr w:type="spellStart"/>
            <w:r w:rsidRPr="00522CE2">
              <w:rPr>
                <w:b/>
                <w:sz w:val="22"/>
                <w:szCs w:val="22"/>
                <w:lang w:val="en-GB"/>
              </w:rPr>
              <w:t>Timepoint</w:t>
            </w:r>
            <w:proofErr w:type="spellEnd"/>
          </w:p>
        </w:tc>
        <w:tc>
          <w:tcPr>
            <w:tcW w:w="1421" w:type="pct"/>
            <w:tcBorders>
              <w:top w:val="single" w:sz="4" w:space="0" w:color="auto"/>
              <w:left w:val="single" w:sz="4" w:space="0" w:color="auto"/>
              <w:bottom w:val="single" w:sz="4" w:space="0" w:color="auto"/>
              <w:right w:val="single" w:sz="4" w:space="0" w:color="auto"/>
            </w:tcBorders>
            <w:vAlign w:val="center"/>
          </w:tcPr>
          <w:p w14:paraId="723CF7AC" w14:textId="77777777" w:rsidR="0006231A" w:rsidRPr="00522CE2" w:rsidRDefault="0006231A" w:rsidP="00BC66F4">
            <w:pPr>
              <w:keepNext/>
              <w:keepLines/>
              <w:wordWrap/>
              <w:spacing w:before="0" w:after="0"/>
              <w:jc w:val="center"/>
              <w:rPr>
                <w:b/>
                <w:sz w:val="22"/>
                <w:szCs w:val="22"/>
                <w:lang w:val="en-GB"/>
              </w:rPr>
            </w:pPr>
            <w:r w:rsidRPr="00522CE2">
              <w:rPr>
                <w:b/>
                <w:sz w:val="22"/>
                <w:szCs w:val="22"/>
                <w:lang w:val="en-GB"/>
              </w:rPr>
              <w:t>Treatment</w:t>
            </w:r>
          </w:p>
        </w:tc>
        <w:tc>
          <w:tcPr>
            <w:tcW w:w="468" w:type="pct"/>
            <w:tcBorders>
              <w:top w:val="single" w:sz="4" w:space="0" w:color="auto"/>
              <w:left w:val="single" w:sz="4" w:space="0" w:color="auto"/>
              <w:bottom w:val="single" w:sz="4" w:space="0" w:color="auto"/>
              <w:right w:val="single" w:sz="4" w:space="0" w:color="auto"/>
            </w:tcBorders>
            <w:vAlign w:val="center"/>
          </w:tcPr>
          <w:p w14:paraId="27F6783F" w14:textId="77777777" w:rsidR="0006231A" w:rsidRPr="00522CE2" w:rsidRDefault="0006231A" w:rsidP="00BC66F4">
            <w:pPr>
              <w:keepNext/>
              <w:keepLines/>
              <w:wordWrap/>
              <w:spacing w:before="0" w:after="0"/>
              <w:jc w:val="center"/>
              <w:rPr>
                <w:sz w:val="22"/>
                <w:szCs w:val="22"/>
                <w:lang w:val="en-GB"/>
              </w:rPr>
            </w:pPr>
            <w:r w:rsidRPr="00522CE2">
              <w:rPr>
                <w:b/>
                <w:sz w:val="22"/>
                <w:szCs w:val="22"/>
                <w:lang w:val="en-GB"/>
              </w:rPr>
              <w:t>n/n’</w:t>
            </w:r>
          </w:p>
        </w:tc>
        <w:tc>
          <w:tcPr>
            <w:tcW w:w="456" w:type="pct"/>
            <w:tcBorders>
              <w:top w:val="single" w:sz="4" w:space="0" w:color="auto"/>
              <w:left w:val="single" w:sz="4" w:space="0" w:color="auto"/>
              <w:bottom w:val="single" w:sz="4" w:space="0" w:color="auto"/>
              <w:right w:val="single" w:sz="4" w:space="0" w:color="auto"/>
            </w:tcBorders>
            <w:vAlign w:val="center"/>
          </w:tcPr>
          <w:p w14:paraId="356FDEFB" w14:textId="77777777" w:rsidR="0006231A" w:rsidRPr="00522CE2" w:rsidRDefault="0006231A" w:rsidP="00BC66F4">
            <w:pPr>
              <w:keepNext/>
              <w:keepLines/>
              <w:wordWrap/>
              <w:spacing w:before="0" w:after="0"/>
              <w:jc w:val="center"/>
              <w:rPr>
                <w:sz w:val="22"/>
                <w:szCs w:val="22"/>
                <w:lang w:val="en-GB"/>
              </w:rPr>
            </w:pPr>
            <w:r w:rsidRPr="00522CE2">
              <w:rPr>
                <w:b/>
                <w:sz w:val="22"/>
                <w:szCs w:val="22"/>
                <w:lang w:val="en-GB"/>
              </w:rPr>
              <w:t>(%)</w:t>
            </w:r>
          </w:p>
        </w:tc>
        <w:tc>
          <w:tcPr>
            <w:tcW w:w="61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FCA11B6" w14:textId="77777777" w:rsidR="0006231A" w:rsidRPr="00522CE2" w:rsidRDefault="0006231A" w:rsidP="00BC66F4">
            <w:pPr>
              <w:keepNext/>
              <w:keepLines/>
              <w:wordWrap/>
              <w:spacing w:before="0" w:after="0"/>
              <w:jc w:val="center"/>
              <w:rPr>
                <w:sz w:val="22"/>
                <w:szCs w:val="22"/>
                <w:lang w:val="en-GB"/>
              </w:rPr>
            </w:pPr>
            <w:r w:rsidRPr="00522CE2">
              <w:rPr>
                <w:b/>
                <w:sz w:val="22"/>
                <w:szCs w:val="22"/>
                <w:lang w:val="en-GB"/>
              </w:rPr>
              <w:t>Adjusted Difference Rate</w:t>
            </w:r>
          </w:p>
        </w:tc>
        <w:tc>
          <w:tcPr>
            <w:tcW w:w="874" w:type="pct"/>
            <w:tcBorders>
              <w:top w:val="single" w:sz="4" w:space="0" w:color="auto"/>
              <w:left w:val="single" w:sz="4" w:space="0" w:color="auto"/>
              <w:bottom w:val="single" w:sz="4" w:space="0" w:color="auto"/>
              <w:right w:val="single" w:sz="4" w:space="0" w:color="auto"/>
            </w:tcBorders>
            <w:vAlign w:val="center"/>
          </w:tcPr>
          <w:p w14:paraId="26163462" w14:textId="77777777" w:rsidR="0006231A" w:rsidRPr="00522CE2" w:rsidRDefault="0006231A" w:rsidP="00BC66F4">
            <w:pPr>
              <w:keepNext/>
              <w:keepLines/>
              <w:wordWrap/>
              <w:spacing w:before="0" w:after="0"/>
              <w:jc w:val="center"/>
              <w:rPr>
                <w:b/>
                <w:sz w:val="22"/>
                <w:szCs w:val="22"/>
                <w:lang w:val="en-GB"/>
              </w:rPr>
            </w:pPr>
            <w:r w:rsidRPr="00522CE2">
              <w:rPr>
                <w:b/>
                <w:sz w:val="22"/>
                <w:szCs w:val="22"/>
                <w:lang w:val="en-GB"/>
              </w:rPr>
              <w:t>95% CI</w:t>
            </w:r>
          </w:p>
        </w:tc>
      </w:tr>
      <w:tr w:rsidR="0006231A" w:rsidRPr="00522CE2" w14:paraId="265C645F" w14:textId="77777777" w:rsidTr="00BC66F4">
        <w:tc>
          <w:tcPr>
            <w:tcW w:w="553" w:type="pct"/>
            <w:vMerge w:val="restart"/>
            <w:tcBorders>
              <w:top w:val="single" w:sz="4" w:space="0" w:color="auto"/>
              <w:left w:val="single" w:sz="4" w:space="0" w:color="auto"/>
              <w:right w:val="single" w:sz="4" w:space="0" w:color="auto"/>
            </w:tcBorders>
            <w:tcMar>
              <w:left w:w="28" w:type="dxa"/>
              <w:right w:w="28" w:type="dxa"/>
            </w:tcMar>
            <w:vAlign w:val="center"/>
          </w:tcPr>
          <w:p w14:paraId="1DBB2E1A" w14:textId="77777777" w:rsidR="0006231A" w:rsidRPr="00522CE2" w:rsidRDefault="0006231A" w:rsidP="00BC66F4">
            <w:pPr>
              <w:wordWrap/>
              <w:spacing w:before="0" w:after="0"/>
              <w:rPr>
                <w:sz w:val="22"/>
                <w:szCs w:val="22"/>
              </w:rPr>
            </w:pPr>
            <w:r w:rsidRPr="00522CE2">
              <w:rPr>
                <w:sz w:val="22"/>
                <w:szCs w:val="22"/>
              </w:rPr>
              <w:t>ACR20</w:t>
            </w:r>
          </w:p>
        </w:tc>
        <w:tc>
          <w:tcPr>
            <w:tcW w:w="615" w:type="pct"/>
            <w:vMerge w:val="restart"/>
            <w:tcBorders>
              <w:top w:val="single" w:sz="4" w:space="0" w:color="auto"/>
              <w:left w:val="single" w:sz="4" w:space="0" w:color="auto"/>
              <w:bottom w:val="single" w:sz="4" w:space="0" w:color="auto"/>
              <w:right w:val="single" w:sz="4" w:space="0" w:color="auto"/>
            </w:tcBorders>
            <w:vAlign w:val="center"/>
          </w:tcPr>
          <w:p w14:paraId="30E461E1" w14:textId="77777777" w:rsidR="0006231A" w:rsidRPr="00522CE2" w:rsidRDefault="0006231A" w:rsidP="00BC66F4">
            <w:pPr>
              <w:wordWrap/>
              <w:spacing w:before="0" w:after="0"/>
              <w:rPr>
                <w:sz w:val="22"/>
                <w:szCs w:val="22"/>
                <w:vertAlign w:val="superscript"/>
              </w:rPr>
            </w:pPr>
            <w:r w:rsidRPr="00522CE2">
              <w:rPr>
                <w:sz w:val="22"/>
                <w:szCs w:val="22"/>
              </w:rPr>
              <w:t>Week 30</w:t>
            </w:r>
            <w:r w:rsidRPr="00522CE2">
              <w:rPr>
                <w:sz w:val="22"/>
                <w:szCs w:val="22"/>
                <w:vertAlign w:val="superscript"/>
              </w:rPr>
              <w:t xml:space="preserve"> a</w:t>
            </w:r>
          </w:p>
        </w:tc>
        <w:tc>
          <w:tcPr>
            <w:tcW w:w="1421" w:type="pct"/>
            <w:tcBorders>
              <w:top w:val="single" w:sz="4" w:space="0" w:color="auto"/>
              <w:left w:val="single" w:sz="4" w:space="0" w:color="auto"/>
              <w:bottom w:val="single" w:sz="4" w:space="0" w:color="auto"/>
              <w:right w:val="single" w:sz="4" w:space="0" w:color="auto"/>
            </w:tcBorders>
            <w:vAlign w:val="center"/>
          </w:tcPr>
          <w:p w14:paraId="448BC4B0" w14:textId="77777777" w:rsidR="0006231A" w:rsidRPr="00522CE2" w:rsidRDefault="0006231A" w:rsidP="00BC66F4">
            <w:pPr>
              <w:keepNext/>
              <w:keepLines/>
              <w:wordWrap/>
              <w:spacing w:before="0" w:after="0"/>
              <w:rPr>
                <w:b/>
                <w:sz w:val="22"/>
                <w:szCs w:val="22"/>
                <w:lang w:val="en-GB"/>
              </w:rPr>
            </w:pPr>
            <w:r w:rsidRPr="00522CE2">
              <w:rPr>
                <w:sz w:val="22"/>
                <w:szCs w:val="22"/>
                <w:lang w:val="en-GB"/>
              </w:rPr>
              <w:t>RENFLEXIS</w:t>
            </w:r>
            <w:r w:rsidRPr="00522CE2">
              <w:rPr>
                <w:sz w:val="22"/>
                <w:szCs w:val="22"/>
                <w:lang w:val="en-GB" w:eastAsia="en-AU"/>
              </w:rPr>
              <w:t xml:space="preserve"> (N=2</w:t>
            </w:r>
            <w:r w:rsidRPr="00522CE2">
              <w:rPr>
                <w:sz w:val="22"/>
                <w:szCs w:val="22"/>
                <w:lang w:val="en-GB"/>
              </w:rPr>
              <w:t>31</w:t>
            </w:r>
            <w:r w:rsidRPr="00522CE2">
              <w:rPr>
                <w:sz w:val="22"/>
                <w:szCs w:val="22"/>
                <w:lang w:val="en-GB" w:eastAsia="en-AU"/>
              </w:rPr>
              <w:t>)</w:t>
            </w:r>
          </w:p>
        </w:tc>
        <w:tc>
          <w:tcPr>
            <w:tcW w:w="468" w:type="pct"/>
            <w:tcBorders>
              <w:top w:val="single" w:sz="4" w:space="0" w:color="auto"/>
              <w:left w:val="single" w:sz="4" w:space="0" w:color="auto"/>
              <w:bottom w:val="single" w:sz="4" w:space="0" w:color="auto"/>
              <w:right w:val="single" w:sz="4" w:space="0" w:color="auto"/>
            </w:tcBorders>
            <w:vAlign w:val="center"/>
          </w:tcPr>
          <w:p w14:paraId="41056682" w14:textId="77777777" w:rsidR="0006231A" w:rsidRPr="00522CE2" w:rsidRDefault="0006231A" w:rsidP="00BC66F4">
            <w:pPr>
              <w:keepNext/>
              <w:keepLines/>
              <w:wordWrap/>
              <w:spacing w:before="0" w:after="0"/>
              <w:jc w:val="center"/>
              <w:rPr>
                <w:b/>
                <w:sz w:val="22"/>
                <w:szCs w:val="22"/>
                <w:lang w:val="en-GB"/>
              </w:rPr>
            </w:pPr>
            <w:r w:rsidRPr="00522CE2">
              <w:rPr>
                <w:sz w:val="22"/>
                <w:szCs w:val="22"/>
                <w:lang w:val="en-GB" w:eastAsia="en-AU"/>
              </w:rPr>
              <w:t>148/2</w:t>
            </w:r>
            <w:r w:rsidRPr="00522CE2">
              <w:rPr>
                <w:sz w:val="22"/>
                <w:szCs w:val="22"/>
                <w:lang w:val="en-GB"/>
              </w:rPr>
              <w:t>31</w:t>
            </w:r>
          </w:p>
        </w:tc>
        <w:tc>
          <w:tcPr>
            <w:tcW w:w="456" w:type="pct"/>
            <w:tcBorders>
              <w:top w:val="single" w:sz="4" w:space="0" w:color="auto"/>
              <w:left w:val="single" w:sz="4" w:space="0" w:color="auto"/>
              <w:bottom w:val="single" w:sz="4" w:space="0" w:color="auto"/>
              <w:right w:val="single" w:sz="4" w:space="0" w:color="auto"/>
            </w:tcBorders>
          </w:tcPr>
          <w:p w14:paraId="073A6983" w14:textId="77777777" w:rsidR="0006231A" w:rsidRPr="00522CE2" w:rsidRDefault="0006231A" w:rsidP="00BC66F4">
            <w:pPr>
              <w:keepNext/>
              <w:keepLines/>
              <w:wordWrap/>
              <w:spacing w:before="0" w:after="0"/>
              <w:jc w:val="center"/>
              <w:rPr>
                <w:b/>
                <w:sz w:val="22"/>
                <w:szCs w:val="22"/>
                <w:lang w:val="en-GB"/>
              </w:rPr>
            </w:pPr>
            <w:r w:rsidRPr="00522CE2">
              <w:rPr>
                <w:sz w:val="22"/>
                <w:szCs w:val="22"/>
                <w:lang w:val="en-GB" w:eastAsia="en-AU"/>
              </w:rPr>
              <w:t>(64.</w:t>
            </w:r>
            <w:r w:rsidRPr="00522CE2">
              <w:rPr>
                <w:sz w:val="22"/>
                <w:szCs w:val="22"/>
                <w:lang w:val="en-GB"/>
              </w:rPr>
              <w:t>1</w:t>
            </w:r>
            <w:r w:rsidRPr="00522CE2">
              <w:rPr>
                <w:sz w:val="22"/>
                <w:szCs w:val="22"/>
                <w:lang w:val="en-GB" w:eastAsia="en-AU"/>
              </w:rPr>
              <w:t>%)</w:t>
            </w:r>
          </w:p>
        </w:tc>
        <w:tc>
          <w:tcPr>
            <w:tcW w:w="613" w:type="pct"/>
            <w:vMerge w:val="restar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6EE89B9" w14:textId="77777777" w:rsidR="0006231A" w:rsidRPr="00522CE2" w:rsidRDefault="0006231A" w:rsidP="00BC66F4">
            <w:pPr>
              <w:keepNext/>
              <w:keepLines/>
              <w:wordWrap/>
              <w:spacing w:before="0" w:after="0"/>
              <w:jc w:val="center"/>
              <w:rPr>
                <w:sz w:val="22"/>
                <w:szCs w:val="22"/>
              </w:rPr>
            </w:pPr>
            <w:r w:rsidRPr="00522CE2">
              <w:rPr>
                <w:sz w:val="22"/>
                <w:szCs w:val="22"/>
              </w:rPr>
              <w:t>–1.88%</w:t>
            </w:r>
          </w:p>
        </w:tc>
        <w:tc>
          <w:tcPr>
            <w:tcW w:w="874" w:type="pct"/>
            <w:vMerge w:val="restart"/>
            <w:tcBorders>
              <w:top w:val="single" w:sz="4" w:space="0" w:color="auto"/>
              <w:left w:val="single" w:sz="4" w:space="0" w:color="auto"/>
              <w:bottom w:val="single" w:sz="4" w:space="0" w:color="auto"/>
              <w:right w:val="single" w:sz="4" w:space="0" w:color="auto"/>
            </w:tcBorders>
            <w:vAlign w:val="center"/>
          </w:tcPr>
          <w:p w14:paraId="682674D1" w14:textId="77777777" w:rsidR="0006231A" w:rsidRPr="00522CE2" w:rsidRDefault="0006231A" w:rsidP="00BC66F4">
            <w:pPr>
              <w:keepNext/>
              <w:keepLines/>
              <w:wordWrap/>
              <w:spacing w:before="0" w:after="0"/>
              <w:jc w:val="both"/>
              <w:rPr>
                <w:b/>
                <w:lang w:val="en-GB"/>
              </w:rPr>
            </w:pPr>
            <w:r w:rsidRPr="00522CE2">
              <w:t>−10.26%, 6.51%</w:t>
            </w:r>
          </w:p>
        </w:tc>
      </w:tr>
      <w:tr w:rsidR="0006231A" w:rsidRPr="00522CE2" w14:paraId="029E72DC" w14:textId="77777777" w:rsidTr="00BC66F4">
        <w:tc>
          <w:tcPr>
            <w:tcW w:w="553" w:type="pct"/>
            <w:vMerge/>
            <w:tcBorders>
              <w:left w:val="single" w:sz="4" w:space="0" w:color="auto"/>
              <w:right w:val="single" w:sz="4" w:space="0" w:color="auto"/>
            </w:tcBorders>
            <w:tcMar>
              <w:left w:w="28" w:type="dxa"/>
              <w:right w:w="28" w:type="dxa"/>
            </w:tcMar>
            <w:vAlign w:val="center"/>
          </w:tcPr>
          <w:p w14:paraId="41836050" w14:textId="77777777" w:rsidR="0006231A" w:rsidRPr="00522CE2" w:rsidRDefault="0006231A" w:rsidP="00BC66F4">
            <w:pPr>
              <w:wordWrap/>
              <w:spacing w:before="0" w:after="0"/>
              <w:rPr>
                <w:sz w:val="22"/>
                <w:szCs w:val="22"/>
              </w:rPr>
            </w:pPr>
          </w:p>
        </w:tc>
        <w:tc>
          <w:tcPr>
            <w:tcW w:w="615" w:type="pct"/>
            <w:vMerge/>
            <w:tcBorders>
              <w:top w:val="single" w:sz="4" w:space="0" w:color="auto"/>
              <w:left w:val="single" w:sz="4" w:space="0" w:color="auto"/>
              <w:bottom w:val="single" w:sz="4" w:space="0" w:color="auto"/>
              <w:right w:val="single" w:sz="4" w:space="0" w:color="auto"/>
            </w:tcBorders>
            <w:vAlign w:val="center"/>
          </w:tcPr>
          <w:p w14:paraId="6812A1B2" w14:textId="77777777" w:rsidR="0006231A" w:rsidRPr="00522CE2" w:rsidRDefault="0006231A" w:rsidP="00BC66F4">
            <w:pPr>
              <w:wordWrap/>
              <w:spacing w:before="0" w:after="0"/>
              <w:rPr>
                <w:sz w:val="22"/>
                <w:szCs w:val="22"/>
              </w:rPr>
            </w:pPr>
          </w:p>
        </w:tc>
        <w:tc>
          <w:tcPr>
            <w:tcW w:w="1421" w:type="pct"/>
            <w:tcBorders>
              <w:top w:val="single" w:sz="4" w:space="0" w:color="auto"/>
              <w:left w:val="single" w:sz="4" w:space="0" w:color="auto"/>
              <w:bottom w:val="single" w:sz="4" w:space="0" w:color="auto"/>
              <w:right w:val="single" w:sz="4" w:space="0" w:color="auto"/>
            </w:tcBorders>
            <w:vAlign w:val="center"/>
          </w:tcPr>
          <w:p w14:paraId="2DD21231" w14:textId="77777777" w:rsidR="0006231A" w:rsidRPr="00522CE2" w:rsidRDefault="0006231A" w:rsidP="00BC66F4">
            <w:pPr>
              <w:keepNext/>
              <w:keepLines/>
              <w:wordWrap/>
              <w:spacing w:before="0" w:after="0"/>
              <w:rPr>
                <w:b/>
                <w:sz w:val="22"/>
                <w:szCs w:val="22"/>
                <w:lang w:val="en-GB"/>
              </w:rPr>
            </w:pPr>
            <w:proofErr w:type="spellStart"/>
            <w:r w:rsidRPr="00522CE2">
              <w:rPr>
                <w:sz w:val="22"/>
                <w:szCs w:val="22"/>
                <w:lang w:val="en-GB"/>
              </w:rPr>
              <w:t>Remicade</w:t>
            </w:r>
            <w:proofErr w:type="spellEnd"/>
            <w:r w:rsidRPr="00522CE2">
              <w:rPr>
                <w:sz w:val="22"/>
                <w:szCs w:val="22"/>
                <w:vertAlign w:val="superscript"/>
                <w:lang w:val="en-GB" w:eastAsia="en-AU"/>
              </w:rPr>
              <w:t>®</w:t>
            </w:r>
            <w:r w:rsidRPr="00522CE2">
              <w:rPr>
                <w:sz w:val="22"/>
                <w:szCs w:val="22"/>
                <w:lang w:val="en-GB" w:eastAsia="en-AU"/>
              </w:rPr>
              <w:t xml:space="preserve"> (N=2</w:t>
            </w:r>
            <w:r w:rsidRPr="00522CE2">
              <w:rPr>
                <w:sz w:val="22"/>
                <w:szCs w:val="22"/>
                <w:lang w:val="en-GB"/>
              </w:rPr>
              <w:t>47</w:t>
            </w:r>
            <w:r w:rsidRPr="00522CE2">
              <w:rPr>
                <w:sz w:val="22"/>
                <w:szCs w:val="22"/>
                <w:lang w:val="en-GB" w:eastAsia="en-AU"/>
              </w:rPr>
              <w:t>)</w:t>
            </w:r>
          </w:p>
        </w:tc>
        <w:tc>
          <w:tcPr>
            <w:tcW w:w="468" w:type="pct"/>
            <w:tcBorders>
              <w:top w:val="single" w:sz="4" w:space="0" w:color="auto"/>
              <w:left w:val="single" w:sz="4" w:space="0" w:color="auto"/>
              <w:bottom w:val="single" w:sz="4" w:space="0" w:color="auto"/>
              <w:right w:val="single" w:sz="4" w:space="0" w:color="auto"/>
            </w:tcBorders>
            <w:vAlign w:val="center"/>
          </w:tcPr>
          <w:p w14:paraId="6F10A42F" w14:textId="77777777" w:rsidR="0006231A" w:rsidRPr="00522CE2" w:rsidRDefault="0006231A" w:rsidP="00BC66F4">
            <w:pPr>
              <w:keepNext/>
              <w:keepLines/>
              <w:wordWrap/>
              <w:spacing w:before="0" w:after="0"/>
              <w:jc w:val="center"/>
              <w:rPr>
                <w:b/>
                <w:sz w:val="22"/>
                <w:szCs w:val="22"/>
                <w:lang w:val="en-GB"/>
              </w:rPr>
            </w:pPr>
            <w:r w:rsidRPr="00522CE2">
              <w:rPr>
                <w:sz w:val="22"/>
                <w:szCs w:val="22"/>
                <w:lang w:val="en-GB" w:eastAsia="en-AU"/>
              </w:rPr>
              <w:t>1</w:t>
            </w:r>
            <w:r w:rsidRPr="00522CE2">
              <w:rPr>
                <w:sz w:val="22"/>
                <w:szCs w:val="22"/>
                <w:lang w:val="en-GB"/>
              </w:rPr>
              <w:t>63</w:t>
            </w:r>
            <w:r w:rsidRPr="00522CE2">
              <w:rPr>
                <w:sz w:val="22"/>
                <w:szCs w:val="22"/>
                <w:lang w:val="en-GB" w:eastAsia="en-AU"/>
              </w:rPr>
              <w:t>/24</w:t>
            </w:r>
            <w:r w:rsidRPr="00522CE2">
              <w:rPr>
                <w:sz w:val="22"/>
                <w:szCs w:val="22"/>
                <w:lang w:val="en-GB"/>
              </w:rPr>
              <w:t>7</w:t>
            </w:r>
          </w:p>
        </w:tc>
        <w:tc>
          <w:tcPr>
            <w:tcW w:w="456" w:type="pct"/>
            <w:tcBorders>
              <w:top w:val="single" w:sz="4" w:space="0" w:color="auto"/>
              <w:left w:val="single" w:sz="4" w:space="0" w:color="auto"/>
              <w:bottom w:val="single" w:sz="4" w:space="0" w:color="auto"/>
              <w:right w:val="single" w:sz="4" w:space="0" w:color="auto"/>
            </w:tcBorders>
          </w:tcPr>
          <w:p w14:paraId="6C779CBA" w14:textId="77777777" w:rsidR="0006231A" w:rsidRPr="00522CE2" w:rsidRDefault="0006231A" w:rsidP="00BC66F4">
            <w:pPr>
              <w:keepNext/>
              <w:keepLines/>
              <w:wordWrap/>
              <w:spacing w:before="0" w:after="0"/>
              <w:jc w:val="center"/>
              <w:rPr>
                <w:b/>
                <w:sz w:val="22"/>
                <w:szCs w:val="22"/>
                <w:lang w:val="en-GB"/>
              </w:rPr>
            </w:pPr>
            <w:r w:rsidRPr="00522CE2">
              <w:rPr>
                <w:sz w:val="22"/>
                <w:szCs w:val="22"/>
                <w:lang w:val="en-GB" w:eastAsia="en-AU"/>
              </w:rPr>
              <w:t>(66.0%)</w:t>
            </w:r>
          </w:p>
        </w:tc>
        <w:tc>
          <w:tcPr>
            <w:tcW w:w="613" w:type="pct"/>
            <w:vMerge/>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3C47CF0" w14:textId="77777777" w:rsidR="0006231A" w:rsidRPr="00522CE2" w:rsidRDefault="0006231A" w:rsidP="00BC66F4">
            <w:pPr>
              <w:keepNext/>
              <w:keepLines/>
              <w:wordWrap/>
              <w:spacing w:before="0" w:after="0"/>
              <w:jc w:val="center"/>
              <w:rPr>
                <w:b/>
                <w:sz w:val="22"/>
                <w:szCs w:val="22"/>
                <w:lang w:val="en-GB"/>
              </w:rPr>
            </w:pPr>
          </w:p>
        </w:tc>
        <w:tc>
          <w:tcPr>
            <w:tcW w:w="874" w:type="pct"/>
            <w:vMerge/>
            <w:tcBorders>
              <w:top w:val="single" w:sz="4" w:space="0" w:color="auto"/>
              <w:left w:val="single" w:sz="4" w:space="0" w:color="auto"/>
              <w:bottom w:val="single" w:sz="4" w:space="0" w:color="auto"/>
              <w:right w:val="single" w:sz="4" w:space="0" w:color="auto"/>
            </w:tcBorders>
            <w:vAlign w:val="center"/>
          </w:tcPr>
          <w:p w14:paraId="63F9D648" w14:textId="77777777" w:rsidR="0006231A" w:rsidRPr="00522CE2" w:rsidRDefault="0006231A" w:rsidP="00BC66F4">
            <w:pPr>
              <w:keepNext/>
              <w:keepLines/>
              <w:wordWrap/>
              <w:spacing w:before="0" w:after="0"/>
              <w:jc w:val="center"/>
              <w:rPr>
                <w:b/>
                <w:sz w:val="22"/>
                <w:szCs w:val="22"/>
                <w:lang w:val="en-GB"/>
              </w:rPr>
            </w:pPr>
          </w:p>
        </w:tc>
      </w:tr>
      <w:tr w:rsidR="0006231A" w:rsidRPr="00522CE2" w14:paraId="6544C295" w14:textId="77777777" w:rsidTr="00BC66F4">
        <w:tc>
          <w:tcPr>
            <w:tcW w:w="553" w:type="pct"/>
            <w:vMerge/>
            <w:tcBorders>
              <w:left w:val="single" w:sz="4" w:space="0" w:color="auto"/>
              <w:right w:val="single" w:sz="4" w:space="0" w:color="auto"/>
            </w:tcBorders>
            <w:tcMar>
              <w:left w:w="28" w:type="dxa"/>
              <w:right w:w="28" w:type="dxa"/>
            </w:tcMar>
            <w:vAlign w:val="center"/>
          </w:tcPr>
          <w:p w14:paraId="13A90837" w14:textId="77777777" w:rsidR="0006231A" w:rsidRPr="00522CE2" w:rsidRDefault="0006231A" w:rsidP="00BC66F4">
            <w:pPr>
              <w:wordWrap/>
              <w:spacing w:before="0" w:after="0"/>
              <w:rPr>
                <w:sz w:val="22"/>
                <w:szCs w:val="22"/>
              </w:rPr>
            </w:pPr>
          </w:p>
        </w:tc>
        <w:tc>
          <w:tcPr>
            <w:tcW w:w="615" w:type="pct"/>
            <w:vMerge w:val="restart"/>
            <w:tcBorders>
              <w:top w:val="single" w:sz="4" w:space="0" w:color="auto"/>
              <w:left w:val="single" w:sz="4" w:space="0" w:color="auto"/>
              <w:right w:val="single" w:sz="4" w:space="0" w:color="auto"/>
            </w:tcBorders>
            <w:vAlign w:val="center"/>
          </w:tcPr>
          <w:p w14:paraId="56ACD27D" w14:textId="77777777" w:rsidR="0006231A" w:rsidRPr="00522CE2" w:rsidRDefault="0006231A" w:rsidP="00BC66F4">
            <w:pPr>
              <w:wordWrap/>
              <w:spacing w:before="0" w:after="0"/>
              <w:rPr>
                <w:sz w:val="22"/>
                <w:szCs w:val="22"/>
              </w:rPr>
            </w:pPr>
            <w:r w:rsidRPr="00522CE2">
              <w:rPr>
                <w:sz w:val="22"/>
                <w:szCs w:val="22"/>
              </w:rPr>
              <w:t>Week 54</w:t>
            </w:r>
            <w:r w:rsidRPr="00522CE2">
              <w:rPr>
                <w:sz w:val="22"/>
                <w:szCs w:val="22"/>
                <w:vertAlign w:val="superscript"/>
              </w:rPr>
              <w:t xml:space="preserve"> b</w:t>
            </w:r>
          </w:p>
        </w:tc>
        <w:tc>
          <w:tcPr>
            <w:tcW w:w="1421" w:type="pct"/>
            <w:tcBorders>
              <w:top w:val="single" w:sz="4" w:space="0" w:color="auto"/>
              <w:left w:val="single" w:sz="4" w:space="0" w:color="auto"/>
              <w:bottom w:val="single" w:sz="4" w:space="0" w:color="auto"/>
              <w:right w:val="single" w:sz="4" w:space="0" w:color="auto"/>
            </w:tcBorders>
            <w:vAlign w:val="center"/>
          </w:tcPr>
          <w:p w14:paraId="3F13F235" w14:textId="38415727" w:rsidR="0006231A" w:rsidRPr="00522CE2" w:rsidRDefault="0006231A" w:rsidP="00DE124E">
            <w:pPr>
              <w:keepNext/>
              <w:keepLines/>
              <w:wordWrap/>
              <w:spacing w:before="0" w:after="0"/>
              <w:rPr>
                <w:sz w:val="22"/>
                <w:szCs w:val="22"/>
                <w:lang w:val="en-GB"/>
              </w:rPr>
            </w:pPr>
            <w:r w:rsidRPr="00522CE2">
              <w:rPr>
                <w:sz w:val="22"/>
                <w:szCs w:val="22"/>
                <w:lang w:val="en-GB"/>
              </w:rPr>
              <w:t>RENFLEXIS</w:t>
            </w:r>
            <w:r w:rsidRPr="00522CE2">
              <w:rPr>
                <w:sz w:val="22"/>
                <w:szCs w:val="22"/>
                <w:lang w:val="en-GB" w:eastAsia="en-AU"/>
              </w:rPr>
              <w:t xml:space="preserve"> (N=</w:t>
            </w:r>
            <w:r w:rsidR="00DE124E">
              <w:rPr>
                <w:rFonts w:hint="eastAsia"/>
                <w:sz w:val="22"/>
                <w:szCs w:val="22"/>
                <w:lang w:val="en-GB"/>
              </w:rPr>
              <w:t>202</w:t>
            </w:r>
            <w:r w:rsidRPr="00522CE2">
              <w:rPr>
                <w:sz w:val="22"/>
                <w:szCs w:val="22"/>
                <w:lang w:val="en-GB" w:eastAsia="en-AU"/>
              </w:rPr>
              <w:t>)</w:t>
            </w:r>
          </w:p>
        </w:tc>
        <w:tc>
          <w:tcPr>
            <w:tcW w:w="468" w:type="pct"/>
            <w:tcBorders>
              <w:top w:val="single" w:sz="4" w:space="0" w:color="auto"/>
              <w:left w:val="single" w:sz="4" w:space="0" w:color="auto"/>
              <w:bottom w:val="single" w:sz="4" w:space="0" w:color="auto"/>
              <w:right w:val="single" w:sz="4" w:space="0" w:color="auto"/>
            </w:tcBorders>
            <w:vAlign w:val="bottom"/>
          </w:tcPr>
          <w:p w14:paraId="7B3FAB33" w14:textId="77777777" w:rsidR="0006231A" w:rsidRPr="00522CE2" w:rsidRDefault="0006231A" w:rsidP="00BC66F4">
            <w:pPr>
              <w:keepNext/>
              <w:keepLines/>
              <w:wordWrap/>
              <w:spacing w:before="0" w:after="0"/>
              <w:jc w:val="center"/>
              <w:rPr>
                <w:sz w:val="22"/>
                <w:szCs w:val="22"/>
                <w:lang w:val="en-GB"/>
              </w:rPr>
            </w:pPr>
            <w:r w:rsidRPr="00522CE2">
              <w:rPr>
                <w:sz w:val="22"/>
                <w:szCs w:val="22"/>
              </w:rPr>
              <w:t>1</w:t>
            </w:r>
            <w:r w:rsidRPr="00522CE2">
              <w:rPr>
                <w:color w:val="000000"/>
                <w:sz w:val="22"/>
                <w:szCs w:val="22"/>
              </w:rPr>
              <w:t>32</w:t>
            </w:r>
            <w:r w:rsidRPr="00522CE2">
              <w:rPr>
                <w:sz w:val="22"/>
                <w:szCs w:val="22"/>
              </w:rPr>
              <w:t>/</w:t>
            </w:r>
            <w:r w:rsidRPr="00522CE2">
              <w:rPr>
                <w:color w:val="000000"/>
                <w:sz w:val="22"/>
                <w:szCs w:val="22"/>
              </w:rPr>
              <w:t>202</w:t>
            </w:r>
          </w:p>
        </w:tc>
        <w:tc>
          <w:tcPr>
            <w:tcW w:w="456" w:type="pct"/>
            <w:tcBorders>
              <w:top w:val="single" w:sz="4" w:space="0" w:color="auto"/>
              <w:left w:val="single" w:sz="4" w:space="0" w:color="auto"/>
              <w:bottom w:val="single" w:sz="4" w:space="0" w:color="auto"/>
              <w:right w:val="single" w:sz="4" w:space="0" w:color="auto"/>
            </w:tcBorders>
            <w:vAlign w:val="bottom"/>
          </w:tcPr>
          <w:p w14:paraId="5497BC76" w14:textId="77777777" w:rsidR="0006231A" w:rsidRPr="00522CE2" w:rsidRDefault="0006231A" w:rsidP="00BC66F4">
            <w:pPr>
              <w:keepNext/>
              <w:keepLines/>
              <w:wordWrap/>
              <w:spacing w:before="0" w:after="0"/>
              <w:jc w:val="center"/>
              <w:rPr>
                <w:sz w:val="22"/>
                <w:szCs w:val="22"/>
                <w:lang w:val="en-GB"/>
              </w:rPr>
            </w:pPr>
            <w:r w:rsidRPr="00522CE2">
              <w:rPr>
                <w:sz w:val="22"/>
                <w:szCs w:val="22"/>
              </w:rPr>
              <w:t>(</w:t>
            </w:r>
            <w:r w:rsidRPr="00522CE2">
              <w:rPr>
                <w:color w:val="000000"/>
                <w:sz w:val="22"/>
                <w:szCs w:val="22"/>
              </w:rPr>
              <w:t>65.3</w:t>
            </w:r>
            <w:r w:rsidRPr="00522CE2">
              <w:rPr>
                <w:sz w:val="22"/>
                <w:szCs w:val="22"/>
              </w:rPr>
              <w:t>)</w:t>
            </w:r>
          </w:p>
        </w:tc>
        <w:tc>
          <w:tcPr>
            <w:tcW w:w="613" w:type="pct"/>
            <w:vMerge w:val="restart"/>
            <w:tcBorders>
              <w:top w:val="single" w:sz="4" w:space="0" w:color="auto"/>
              <w:left w:val="single" w:sz="4" w:space="0" w:color="auto"/>
              <w:right w:val="single" w:sz="4" w:space="0" w:color="auto"/>
            </w:tcBorders>
            <w:tcMar>
              <w:left w:w="57" w:type="dxa"/>
              <w:right w:w="57" w:type="dxa"/>
            </w:tcMar>
            <w:vAlign w:val="center"/>
          </w:tcPr>
          <w:p w14:paraId="5C25DB26" w14:textId="77777777" w:rsidR="0006231A" w:rsidRPr="00522CE2" w:rsidRDefault="0006231A" w:rsidP="00BC66F4">
            <w:pPr>
              <w:keepNext/>
              <w:keepLines/>
              <w:wordWrap/>
              <w:spacing w:before="0" w:after="0"/>
              <w:jc w:val="center"/>
              <w:rPr>
                <w:b/>
                <w:sz w:val="22"/>
                <w:szCs w:val="22"/>
                <w:lang w:val="en-GB"/>
              </w:rPr>
            </w:pPr>
            <w:r w:rsidRPr="00522CE2">
              <w:rPr>
                <w:color w:val="000000"/>
                <w:sz w:val="22"/>
                <w:szCs w:val="22"/>
              </w:rPr>
              <w:t>−3.07%</w:t>
            </w:r>
          </w:p>
        </w:tc>
        <w:tc>
          <w:tcPr>
            <w:tcW w:w="874" w:type="pct"/>
            <w:vMerge w:val="restart"/>
            <w:tcBorders>
              <w:top w:val="single" w:sz="4" w:space="0" w:color="auto"/>
              <w:left w:val="single" w:sz="4" w:space="0" w:color="auto"/>
              <w:right w:val="single" w:sz="4" w:space="0" w:color="auto"/>
            </w:tcBorders>
            <w:vAlign w:val="center"/>
          </w:tcPr>
          <w:p w14:paraId="33552A4E" w14:textId="77777777" w:rsidR="0006231A" w:rsidRPr="00522CE2" w:rsidRDefault="0006231A" w:rsidP="00BC66F4">
            <w:pPr>
              <w:keepNext/>
              <w:keepLines/>
              <w:wordWrap/>
              <w:spacing w:before="0" w:after="0"/>
              <w:jc w:val="both"/>
              <w:rPr>
                <w:b/>
                <w:lang w:val="en-GB"/>
              </w:rPr>
            </w:pPr>
            <w:r w:rsidRPr="00522CE2">
              <w:rPr>
                <w:rFonts w:eastAsia="Batang"/>
              </w:rPr>
              <w:t>−</w:t>
            </w:r>
            <w:r w:rsidRPr="00522CE2">
              <w:t>12.00%, 5.86%</w:t>
            </w:r>
          </w:p>
        </w:tc>
      </w:tr>
      <w:tr w:rsidR="0006231A" w:rsidRPr="00522CE2" w14:paraId="6AC73E9A" w14:textId="77777777" w:rsidTr="00BC66F4">
        <w:tc>
          <w:tcPr>
            <w:tcW w:w="553" w:type="pct"/>
            <w:vMerge/>
            <w:tcBorders>
              <w:left w:val="single" w:sz="4" w:space="0" w:color="auto"/>
              <w:bottom w:val="single" w:sz="4" w:space="0" w:color="auto"/>
              <w:right w:val="single" w:sz="4" w:space="0" w:color="auto"/>
            </w:tcBorders>
            <w:tcMar>
              <w:left w:w="28" w:type="dxa"/>
              <w:right w:w="28" w:type="dxa"/>
            </w:tcMar>
            <w:vAlign w:val="center"/>
          </w:tcPr>
          <w:p w14:paraId="19E9BC93" w14:textId="77777777" w:rsidR="0006231A" w:rsidRPr="00522CE2" w:rsidRDefault="0006231A" w:rsidP="00BC66F4">
            <w:pPr>
              <w:wordWrap/>
              <w:spacing w:before="0" w:after="0"/>
              <w:rPr>
                <w:sz w:val="22"/>
                <w:szCs w:val="22"/>
              </w:rPr>
            </w:pPr>
          </w:p>
        </w:tc>
        <w:tc>
          <w:tcPr>
            <w:tcW w:w="615" w:type="pct"/>
            <w:vMerge/>
            <w:tcBorders>
              <w:left w:val="single" w:sz="4" w:space="0" w:color="auto"/>
              <w:bottom w:val="single" w:sz="4" w:space="0" w:color="auto"/>
              <w:right w:val="single" w:sz="4" w:space="0" w:color="auto"/>
            </w:tcBorders>
            <w:vAlign w:val="center"/>
          </w:tcPr>
          <w:p w14:paraId="36F42334" w14:textId="77777777" w:rsidR="0006231A" w:rsidRPr="00522CE2" w:rsidRDefault="0006231A" w:rsidP="00BC66F4">
            <w:pPr>
              <w:wordWrap/>
              <w:spacing w:before="0" w:after="0"/>
              <w:rPr>
                <w:sz w:val="22"/>
                <w:szCs w:val="22"/>
              </w:rPr>
            </w:pPr>
          </w:p>
        </w:tc>
        <w:tc>
          <w:tcPr>
            <w:tcW w:w="1421" w:type="pct"/>
            <w:tcBorders>
              <w:top w:val="single" w:sz="4" w:space="0" w:color="auto"/>
              <w:left w:val="single" w:sz="4" w:space="0" w:color="auto"/>
              <w:bottom w:val="single" w:sz="4" w:space="0" w:color="auto"/>
              <w:right w:val="single" w:sz="4" w:space="0" w:color="auto"/>
            </w:tcBorders>
            <w:vAlign w:val="center"/>
          </w:tcPr>
          <w:p w14:paraId="4EF74686" w14:textId="3DB9430B" w:rsidR="0006231A" w:rsidRPr="00522CE2" w:rsidRDefault="0006231A" w:rsidP="00DE124E">
            <w:pPr>
              <w:keepNext/>
              <w:keepLines/>
              <w:wordWrap/>
              <w:spacing w:before="0" w:after="0"/>
              <w:rPr>
                <w:sz w:val="22"/>
                <w:szCs w:val="22"/>
                <w:lang w:val="en-GB"/>
              </w:rPr>
            </w:pPr>
            <w:proofErr w:type="spellStart"/>
            <w:r w:rsidRPr="00522CE2">
              <w:rPr>
                <w:sz w:val="22"/>
                <w:szCs w:val="22"/>
                <w:lang w:val="en-GB"/>
              </w:rPr>
              <w:t>Remicade</w:t>
            </w:r>
            <w:proofErr w:type="spellEnd"/>
            <w:r w:rsidRPr="00522CE2">
              <w:rPr>
                <w:sz w:val="22"/>
                <w:szCs w:val="22"/>
                <w:vertAlign w:val="superscript"/>
                <w:lang w:val="en-GB" w:eastAsia="en-AU"/>
              </w:rPr>
              <w:t>®</w:t>
            </w:r>
            <w:r w:rsidRPr="00522CE2">
              <w:rPr>
                <w:sz w:val="22"/>
                <w:szCs w:val="22"/>
                <w:lang w:val="en-GB" w:eastAsia="en-AU"/>
              </w:rPr>
              <w:t xml:space="preserve"> (N=2</w:t>
            </w:r>
            <w:r w:rsidR="00DE124E">
              <w:rPr>
                <w:rFonts w:hint="eastAsia"/>
                <w:sz w:val="22"/>
                <w:szCs w:val="22"/>
                <w:lang w:val="en-GB"/>
              </w:rPr>
              <w:t>08</w:t>
            </w:r>
            <w:r w:rsidRPr="00522CE2">
              <w:rPr>
                <w:sz w:val="22"/>
                <w:szCs w:val="22"/>
                <w:lang w:val="en-GB" w:eastAsia="en-AU"/>
              </w:rPr>
              <w:t>)</w:t>
            </w:r>
          </w:p>
        </w:tc>
        <w:tc>
          <w:tcPr>
            <w:tcW w:w="468" w:type="pct"/>
            <w:tcBorders>
              <w:top w:val="single" w:sz="4" w:space="0" w:color="auto"/>
              <w:left w:val="single" w:sz="4" w:space="0" w:color="auto"/>
              <w:bottom w:val="single" w:sz="4" w:space="0" w:color="auto"/>
              <w:right w:val="single" w:sz="4" w:space="0" w:color="auto"/>
            </w:tcBorders>
            <w:vAlign w:val="center"/>
          </w:tcPr>
          <w:p w14:paraId="7F596B33" w14:textId="77777777" w:rsidR="0006231A" w:rsidRPr="00522CE2" w:rsidRDefault="0006231A" w:rsidP="00BC66F4">
            <w:pPr>
              <w:keepNext/>
              <w:keepLines/>
              <w:wordWrap/>
              <w:spacing w:before="0" w:after="0"/>
              <w:jc w:val="center"/>
              <w:rPr>
                <w:sz w:val="22"/>
                <w:szCs w:val="22"/>
                <w:lang w:val="en-GB"/>
              </w:rPr>
            </w:pPr>
            <w:r w:rsidRPr="00522CE2">
              <w:rPr>
                <w:color w:val="000000"/>
                <w:sz w:val="22"/>
                <w:szCs w:val="22"/>
              </w:rPr>
              <w:t>144</w:t>
            </w:r>
            <w:r w:rsidRPr="00522CE2">
              <w:rPr>
                <w:sz w:val="22"/>
                <w:szCs w:val="22"/>
              </w:rPr>
              <w:t>/</w:t>
            </w:r>
            <w:r w:rsidRPr="00522CE2">
              <w:rPr>
                <w:color w:val="000000"/>
                <w:sz w:val="22"/>
                <w:szCs w:val="22"/>
              </w:rPr>
              <w:t>208</w:t>
            </w:r>
          </w:p>
        </w:tc>
        <w:tc>
          <w:tcPr>
            <w:tcW w:w="456" w:type="pct"/>
            <w:tcBorders>
              <w:top w:val="single" w:sz="4" w:space="0" w:color="auto"/>
              <w:left w:val="single" w:sz="4" w:space="0" w:color="auto"/>
              <w:bottom w:val="single" w:sz="4" w:space="0" w:color="auto"/>
              <w:right w:val="single" w:sz="4" w:space="0" w:color="auto"/>
            </w:tcBorders>
            <w:vAlign w:val="center"/>
          </w:tcPr>
          <w:p w14:paraId="247292A4" w14:textId="77777777" w:rsidR="0006231A" w:rsidRPr="00522CE2" w:rsidRDefault="0006231A" w:rsidP="00BC66F4">
            <w:pPr>
              <w:keepNext/>
              <w:keepLines/>
              <w:wordWrap/>
              <w:spacing w:before="0" w:after="0"/>
              <w:jc w:val="center"/>
              <w:rPr>
                <w:sz w:val="22"/>
                <w:szCs w:val="22"/>
                <w:lang w:val="en-GB"/>
              </w:rPr>
            </w:pPr>
            <w:r w:rsidRPr="00522CE2">
              <w:rPr>
                <w:color w:val="000000"/>
                <w:sz w:val="22"/>
                <w:szCs w:val="22"/>
              </w:rPr>
              <w:t>(69.2)</w:t>
            </w:r>
          </w:p>
        </w:tc>
        <w:tc>
          <w:tcPr>
            <w:tcW w:w="613" w:type="pct"/>
            <w:vMerge/>
            <w:tcBorders>
              <w:left w:val="single" w:sz="4" w:space="0" w:color="auto"/>
              <w:bottom w:val="single" w:sz="4" w:space="0" w:color="auto"/>
              <w:right w:val="single" w:sz="4" w:space="0" w:color="auto"/>
            </w:tcBorders>
            <w:tcMar>
              <w:left w:w="57" w:type="dxa"/>
              <w:right w:w="57" w:type="dxa"/>
            </w:tcMar>
            <w:vAlign w:val="center"/>
          </w:tcPr>
          <w:p w14:paraId="5A7074DE" w14:textId="77777777" w:rsidR="0006231A" w:rsidRPr="00522CE2" w:rsidRDefault="0006231A" w:rsidP="00BC66F4">
            <w:pPr>
              <w:keepNext/>
              <w:keepLines/>
              <w:wordWrap/>
              <w:spacing w:before="0" w:after="0"/>
              <w:jc w:val="center"/>
              <w:rPr>
                <w:b/>
                <w:sz w:val="22"/>
                <w:szCs w:val="22"/>
                <w:lang w:val="en-GB"/>
              </w:rPr>
            </w:pPr>
          </w:p>
        </w:tc>
        <w:tc>
          <w:tcPr>
            <w:tcW w:w="874" w:type="pct"/>
            <w:vMerge/>
            <w:tcBorders>
              <w:left w:val="single" w:sz="4" w:space="0" w:color="auto"/>
              <w:bottom w:val="single" w:sz="4" w:space="0" w:color="auto"/>
              <w:right w:val="single" w:sz="4" w:space="0" w:color="auto"/>
            </w:tcBorders>
          </w:tcPr>
          <w:p w14:paraId="274059F1" w14:textId="77777777" w:rsidR="0006231A" w:rsidRPr="00522CE2" w:rsidRDefault="0006231A" w:rsidP="00BC66F4">
            <w:pPr>
              <w:keepNext/>
              <w:keepLines/>
              <w:wordWrap/>
              <w:spacing w:before="0" w:after="0"/>
              <w:jc w:val="center"/>
              <w:rPr>
                <w:b/>
                <w:sz w:val="22"/>
                <w:szCs w:val="22"/>
                <w:lang w:val="en-GB"/>
              </w:rPr>
            </w:pPr>
          </w:p>
        </w:tc>
      </w:tr>
      <w:tr w:rsidR="0006231A" w:rsidRPr="00522CE2" w14:paraId="34DC1ECA" w14:textId="77777777" w:rsidTr="00BC66F4">
        <w:tc>
          <w:tcPr>
            <w:tcW w:w="553" w:type="pct"/>
            <w:vMerge w:val="restart"/>
            <w:tcBorders>
              <w:left w:val="single" w:sz="4" w:space="0" w:color="auto"/>
              <w:right w:val="single" w:sz="4" w:space="0" w:color="auto"/>
            </w:tcBorders>
            <w:tcMar>
              <w:left w:w="28" w:type="dxa"/>
              <w:right w:w="28" w:type="dxa"/>
            </w:tcMar>
            <w:vAlign w:val="center"/>
          </w:tcPr>
          <w:p w14:paraId="78B981CB" w14:textId="77777777" w:rsidR="0006231A" w:rsidRPr="00522CE2" w:rsidRDefault="0006231A" w:rsidP="00BC66F4">
            <w:pPr>
              <w:wordWrap/>
              <w:spacing w:before="0" w:after="0"/>
              <w:rPr>
                <w:sz w:val="22"/>
                <w:szCs w:val="22"/>
              </w:rPr>
            </w:pPr>
            <w:r w:rsidRPr="00522CE2">
              <w:rPr>
                <w:sz w:val="22"/>
                <w:szCs w:val="22"/>
              </w:rPr>
              <w:t>ACR50</w:t>
            </w:r>
          </w:p>
        </w:tc>
        <w:tc>
          <w:tcPr>
            <w:tcW w:w="615" w:type="pct"/>
            <w:vMerge w:val="restart"/>
            <w:tcBorders>
              <w:left w:val="single" w:sz="4" w:space="0" w:color="auto"/>
              <w:right w:val="single" w:sz="4" w:space="0" w:color="auto"/>
            </w:tcBorders>
            <w:vAlign w:val="center"/>
          </w:tcPr>
          <w:p w14:paraId="7FB53F81" w14:textId="77777777" w:rsidR="0006231A" w:rsidRPr="00522CE2" w:rsidRDefault="0006231A" w:rsidP="00BC66F4">
            <w:pPr>
              <w:wordWrap/>
              <w:spacing w:before="0" w:after="0"/>
              <w:rPr>
                <w:sz w:val="22"/>
                <w:szCs w:val="22"/>
              </w:rPr>
            </w:pPr>
            <w:r w:rsidRPr="00522CE2">
              <w:rPr>
                <w:sz w:val="22"/>
                <w:szCs w:val="22"/>
              </w:rPr>
              <w:t>Week 30</w:t>
            </w:r>
            <w:r w:rsidRPr="00522CE2">
              <w:rPr>
                <w:sz w:val="22"/>
                <w:szCs w:val="22"/>
                <w:vertAlign w:val="superscript"/>
              </w:rPr>
              <w:t xml:space="preserve"> a</w:t>
            </w:r>
          </w:p>
        </w:tc>
        <w:tc>
          <w:tcPr>
            <w:tcW w:w="1421" w:type="pct"/>
            <w:tcBorders>
              <w:top w:val="single" w:sz="4" w:space="0" w:color="auto"/>
              <w:left w:val="single" w:sz="4" w:space="0" w:color="auto"/>
              <w:bottom w:val="single" w:sz="4" w:space="0" w:color="auto"/>
              <w:right w:val="single" w:sz="4" w:space="0" w:color="auto"/>
            </w:tcBorders>
            <w:vAlign w:val="center"/>
          </w:tcPr>
          <w:p w14:paraId="67523451" w14:textId="77777777" w:rsidR="0006231A" w:rsidRPr="00522CE2" w:rsidRDefault="0006231A" w:rsidP="00BC66F4">
            <w:pPr>
              <w:keepNext/>
              <w:keepLines/>
              <w:wordWrap/>
              <w:spacing w:before="0" w:after="0"/>
              <w:rPr>
                <w:sz w:val="22"/>
                <w:szCs w:val="22"/>
              </w:rPr>
            </w:pPr>
            <w:r w:rsidRPr="00522CE2">
              <w:rPr>
                <w:sz w:val="22"/>
                <w:szCs w:val="22"/>
                <w:lang w:val="en-GB"/>
              </w:rPr>
              <w:t>RENFLEXIS</w:t>
            </w:r>
            <w:r w:rsidRPr="00522CE2">
              <w:rPr>
                <w:sz w:val="22"/>
                <w:szCs w:val="22"/>
                <w:lang w:val="en-GB" w:eastAsia="en-AU"/>
              </w:rPr>
              <w:t xml:space="preserve"> (N=2</w:t>
            </w:r>
            <w:r w:rsidRPr="00522CE2">
              <w:rPr>
                <w:sz w:val="22"/>
                <w:szCs w:val="22"/>
                <w:lang w:val="en-GB"/>
              </w:rPr>
              <w:t>31</w:t>
            </w:r>
            <w:r w:rsidRPr="00522CE2">
              <w:rPr>
                <w:sz w:val="22"/>
                <w:szCs w:val="22"/>
                <w:lang w:val="en-GB" w:eastAsia="en-AU"/>
              </w:rPr>
              <w:t>)</w:t>
            </w:r>
          </w:p>
        </w:tc>
        <w:tc>
          <w:tcPr>
            <w:tcW w:w="468" w:type="pct"/>
            <w:tcBorders>
              <w:top w:val="single" w:sz="4" w:space="0" w:color="auto"/>
              <w:left w:val="single" w:sz="4" w:space="0" w:color="auto"/>
              <w:bottom w:val="single" w:sz="4" w:space="0" w:color="auto"/>
              <w:right w:val="single" w:sz="4" w:space="0" w:color="auto"/>
            </w:tcBorders>
            <w:vAlign w:val="bottom"/>
          </w:tcPr>
          <w:p w14:paraId="57ADFC63" w14:textId="77777777" w:rsidR="0006231A" w:rsidRPr="00522CE2" w:rsidRDefault="0006231A" w:rsidP="00BC66F4">
            <w:pPr>
              <w:keepNext/>
              <w:keepLines/>
              <w:wordWrap/>
              <w:spacing w:before="0" w:after="0"/>
              <w:jc w:val="center"/>
              <w:rPr>
                <w:sz w:val="22"/>
                <w:szCs w:val="22"/>
              </w:rPr>
            </w:pPr>
            <w:r w:rsidRPr="00522CE2">
              <w:rPr>
                <w:color w:val="000000"/>
                <w:sz w:val="22"/>
                <w:szCs w:val="22"/>
              </w:rPr>
              <w:t>82/231</w:t>
            </w:r>
          </w:p>
        </w:tc>
        <w:tc>
          <w:tcPr>
            <w:tcW w:w="456" w:type="pct"/>
            <w:tcBorders>
              <w:top w:val="single" w:sz="4" w:space="0" w:color="auto"/>
              <w:left w:val="single" w:sz="4" w:space="0" w:color="auto"/>
              <w:bottom w:val="single" w:sz="4" w:space="0" w:color="auto"/>
              <w:right w:val="single" w:sz="4" w:space="0" w:color="auto"/>
            </w:tcBorders>
            <w:vAlign w:val="bottom"/>
          </w:tcPr>
          <w:p w14:paraId="48B8508F" w14:textId="77777777" w:rsidR="0006231A" w:rsidRPr="00522CE2" w:rsidRDefault="0006231A" w:rsidP="00BC66F4">
            <w:pPr>
              <w:keepNext/>
              <w:keepLines/>
              <w:wordWrap/>
              <w:spacing w:before="0" w:after="0"/>
              <w:jc w:val="center"/>
              <w:rPr>
                <w:sz w:val="22"/>
                <w:szCs w:val="22"/>
              </w:rPr>
            </w:pPr>
            <w:r w:rsidRPr="00522CE2">
              <w:rPr>
                <w:color w:val="000000"/>
                <w:sz w:val="22"/>
                <w:szCs w:val="22"/>
              </w:rPr>
              <w:t>(35.5)</w:t>
            </w:r>
          </w:p>
        </w:tc>
        <w:tc>
          <w:tcPr>
            <w:tcW w:w="613" w:type="pct"/>
            <w:vMerge w:val="restart"/>
            <w:tcBorders>
              <w:left w:val="single" w:sz="4" w:space="0" w:color="auto"/>
              <w:right w:val="single" w:sz="4" w:space="0" w:color="auto"/>
            </w:tcBorders>
            <w:tcMar>
              <w:left w:w="57" w:type="dxa"/>
              <w:right w:w="57" w:type="dxa"/>
            </w:tcMar>
            <w:vAlign w:val="center"/>
          </w:tcPr>
          <w:p w14:paraId="61F75BAF" w14:textId="77777777" w:rsidR="0006231A" w:rsidRPr="00522CE2" w:rsidRDefault="0006231A" w:rsidP="00BC66F4">
            <w:pPr>
              <w:keepNext/>
              <w:keepLines/>
              <w:wordWrap/>
              <w:spacing w:before="0" w:after="0"/>
              <w:jc w:val="center"/>
              <w:rPr>
                <w:sz w:val="22"/>
                <w:szCs w:val="22"/>
              </w:rPr>
            </w:pPr>
            <w:r w:rsidRPr="00522CE2">
              <w:rPr>
                <w:sz w:val="22"/>
                <w:szCs w:val="22"/>
              </w:rPr>
              <w:t>–2.13%</w:t>
            </w:r>
          </w:p>
        </w:tc>
        <w:tc>
          <w:tcPr>
            <w:tcW w:w="874" w:type="pct"/>
            <w:vMerge w:val="restart"/>
            <w:tcBorders>
              <w:left w:val="single" w:sz="4" w:space="0" w:color="auto"/>
              <w:right w:val="single" w:sz="4" w:space="0" w:color="auto"/>
            </w:tcBorders>
            <w:vAlign w:val="center"/>
          </w:tcPr>
          <w:p w14:paraId="69852B54" w14:textId="77777777" w:rsidR="0006231A" w:rsidRPr="00522CE2" w:rsidRDefault="0006231A" w:rsidP="00BC66F4">
            <w:pPr>
              <w:keepNext/>
              <w:keepLines/>
              <w:tabs>
                <w:tab w:val="left" w:pos="433"/>
                <w:tab w:val="center" w:pos="727"/>
              </w:tabs>
              <w:wordWrap/>
              <w:spacing w:before="0" w:after="0"/>
              <w:rPr>
                <w:b/>
                <w:sz w:val="22"/>
                <w:szCs w:val="22"/>
                <w:lang w:val="en-GB"/>
              </w:rPr>
            </w:pPr>
            <w:r w:rsidRPr="00522CE2">
              <w:rPr>
                <w:color w:val="000000"/>
              </w:rPr>
              <w:t>−10.69%, 6.43%</w:t>
            </w:r>
          </w:p>
        </w:tc>
      </w:tr>
      <w:tr w:rsidR="0006231A" w:rsidRPr="00522CE2" w14:paraId="182F61EB" w14:textId="77777777" w:rsidTr="00BC66F4">
        <w:tc>
          <w:tcPr>
            <w:tcW w:w="553" w:type="pct"/>
            <w:vMerge/>
            <w:tcBorders>
              <w:left w:val="single" w:sz="4" w:space="0" w:color="auto"/>
              <w:right w:val="single" w:sz="4" w:space="0" w:color="auto"/>
            </w:tcBorders>
            <w:tcMar>
              <w:left w:w="28" w:type="dxa"/>
              <w:right w:w="28" w:type="dxa"/>
            </w:tcMar>
            <w:vAlign w:val="center"/>
          </w:tcPr>
          <w:p w14:paraId="7B960D16" w14:textId="77777777" w:rsidR="0006231A" w:rsidRPr="00522CE2" w:rsidRDefault="0006231A" w:rsidP="00BC66F4">
            <w:pPr>
              <w:wordWrap/>
              <w:spacing w:before="0" w:after="0"/>
              <w:rPr>
                <w:sz w:val="22"/>
                <w:szCs w:val="22"/>
              </w:rPr>
            </w:pPr>
          </w:p>
        </w:tc>
        <w:tc>
          <w:tcPr>
            <w:tcW w:w="615" w:type="pct"/>
            <w:vMerge/>
            <w:tcBorders>
              <w:left w:val="single" w:sz="4" w:space="0" w:color="auto"/>
              <w:bottom w:val="single" w:sz="4" w:space="0" w:color="auto"/>
              <w:right w:val="single" w:sz="4" w:space="0" w:color="auto"/>
            </w:tcBorders>
            <w:vAlign w:val="center"/>
          </w:tcPr>
          <w:p w14:paraId="4680FFCD" w14:textId="77777777" w:rsidR="0006231A" w:rsidRPr="00522CE2" w:rsidRDefault="0006231A" w:rsidP="00BC66F4">
            <w:pPr>
              <w:wordWrap/>
              <w:spacing w:before="0" w:after="0"/>
              <w:rPr>
                <w:sz w:val="22"/>
                <w:szCs w:val="22"/>
              </w:rPr>
            </w:pPr>
          </w:p>
        </w:tc>
        <w:tc>
          <w:tcPr>
            <w:tcW w:w="1421" w:type="pct"/>
            <w:tcBorders>
              <w:top w:val="single" w:sz="4" w:space="0" w:color="auto"/>
              <w:left w:val="single" w:sz="4" w:space="0" w:color="auto"/>
              <w:bottom w:val="single" w:sz="4" w:space="0" w:color="auto"/>
              <w:right w:val="single" w:sz="4" w:space="0" w:color="auto"/>
            </w:tcBorders>
            <w:vAlign w:val="center"/>
          </w:tcPr>
          <w:p w14:paraId="5DE22A39" w14:textId="77777777" w:rsidR="0006231A" w:rsidRPr="00522CE2" w:rsidRDefault="0006231A" w:rsidP="00BC66F4">
            <w:pPr>
              <w:keepNext/>
              <w:keepLines/>
              <w:wordWrap/>
              <w:spacing w:before="0" w:after="0"/>
              <w:rPr>
                <w:sz w:val="22"/>
                <w:szCs w:val="22"/>
              </w:rPr>
            </w:pPr>
            <w:proofErr w:type="spellStart"/>
            <w:r w:rsidRPr="00522CE2">
              <w:rPr>
                <w:sz w:val="22"/>
                <w:szCs w:val="22"/>
                <w:lang w:val="en-GB"/>
              </w:rPr>
              <w:t>Remicade</w:t>
            </w:r>
            <w:proofErr w:type="spellEnd"/>
            <w:r w:rsidRPr="00522CE2">
              <w:rPr>
                <w:sz w:val="22"/>
                <w:szCs w:val="22"/>
                <w:vertAlign w:val="superscript"/>
                <w:lang w:val="en-GB" w:eastAsia="en-AU"/>
              </w:rPr>
              <w:t>®</w:t>
            </w:r>
            <w:r w:rsidRPr="00522CE2">
              <w:rPr>
                <w:sz w:val="22"/>
                <w:szCs w:val="22"/>
                <w:lang w:val="en-GB" w:eastAsia="en-AU"/>
              </w:rPr>
              <w:t xml:space="preserve"> (N=2</w:t>
            </w:r>
            <w:r w:rsidRPr="00522CE2">
              <w:rPr>
                <w:sz w:val="22"/>
                <w:szCs w:val="22"/>
                <w:lang w:val="en-GB"/>
              </w:rPr>
              <w:t>47</w:t>
            </w:r>
            <w:r w:rsidRPr="00522CE2">
              <w:rPr>
                <w:sz w:val="22"/>
                <w:szCs w:val="22"/>
                <w:lang w:val="en-GB" w:eastAsia="en-AU"/>
              </w:rPr>
              <w:t>)</w:t>
            </w:r>
          </w:p>
        </w:tc>
        <w:tc>
          <w:tcPr>
            <w:tcW w:w="468" w:type="pct"/>
            <w:tcBorders>
              <w:top w:val="single" w:sz="4" w:space="0" w:color="auto"/>
              <w:left w:val="single" w:sz="4" w:space="0" w:color="auto"/>
              <w:bottom w:val="single" w:sz="4" w:space="0" w:color="auto"/>
              <w:right w:val="single" w:sz="4" w:space="0" w:color="auto"/>
            </w:tcBorders>
            <w:vAlign w:val="center"/>
          </w:tcPr>
          <w:p w14:paraId="487AA2E0" w14:textId="77777777" w:rsidR="0006231A" w:rsidRPr="00522CE2" w:rsidRDefault="0006231A" w:rsidP="00BC66F4">
            <w:pPr>
              <w:keepNext/>
              <w:keepLines/>
              <w:wordWrap/>
              <w:spacing w:before="0" w:after="0"/>
              <w:jc w:val="center"/>
              <w:rPr>
                <w:sz w:val="22"/>
                <w:szCs w:val="22"/>
              </w:rPr>
            </w:pPr>
            <w:r w:rsidRPr="00522CE2">
              <w:rPr>
                <w:color w:val="000000"/>
                <w:sz w:val="22"/>
                <w:szCs w:val="22"/>
              </w:rPr>
              <w:t>94/247</w:t>
            </w:r>
          </w:p>
        </w:tc>
        <w:tc>
          <w:tcPr>
            <w:tcW w:w="456" w:type="pct"/>
            <w:tcBorders>
              <w:top w:val="single" w:sz="4" w:space="0" w:color="auto"/>
              <w:left w:val="single" w:sz="4" w:space="0" w:color="auto"/>
              <w:bottom w:val="single" w:sz="4" w:space="0" w:color="auto"/>
              <w:right w:val="single" w:sz="4" w:space="0" w:color="auto"/>
            </w:tcBorders>
            <w:vAlign w:val="center"/>
          </w:tcPr>
          <w:p w14:paraId="23C740DF" w14:textId="77777777" w:rsidR="0006231A" w:rsidRPr="00522CE2" w:rsidRDefault="0006231A" w:rsidP="00BC66F4">
            <w:pPr>
              <w:keepNext/>
              <w:keepLines/>
              <w:wordWrap/>
              <w:spacing w:before="0" w:after="0"/>
              <w:jc w:val="center"/>
              <w:rPr>
                <w:sz w:val="22"/>
                <w:szCs w:val="22"/>
              </w:rPr>
            </w:pPr>
            <w:r w:rsidRPr="00522CE2">
              <w:rPr>
                <w:color w:val="000000"/>
                <w:sz w:val="22"/>
                <w:szCs w:val="22"/>
              </w:rPr>
              <w:t>(38.1)</w:t>
            </w:r>
          </w:p>
        </w:tc>
        <w:tc>
          <w:tcPr>
            <w:tcW w:w="613" w:type="pct"/>
            <w:vMerge/>
            <w:tcBorders>
              <w:left w:val="single" w:sz="4" w:space="0" w:color="auto"/>
              <w:bottom w:val="single" w:sz="4" w:space="0" w:color="auto"/>
              <w:right w:val="single" w:sz="4" w:space="0" w:color="auto"/>
            </w:tcBorders>
            <w:tcMar>
              <w:left w:w="57" w:type="dxa"/>
              <w:right w:w="57" w:type="dxa"/>
            </w:tcMar>
            <w:vAlign w:val="center"/>
          </w:tcPr>
          <w:p w14:paraId="2E106828" w14:textId="77777777" w:rsidR="0006231A" w:rsidRPr="00522CE2" w:rsidRDefault="0006231A" w:rsidP="00BC66F4">
            <w:pPr>
              <w:keepNext/>
              <w:keepLines/>
              <w:wordWrap/>
              <w:spacing w:before="0" w:after="0"/>
              <w:jc w:val="center"/>
              <w:rPr>
                <w:b/>
                <w:sz w:val="22"/>
                <w:szCs w:val="22"/>
                <w:lang w:val="en-GB"/>
              </w:rPr>
            </w:pPr>
          </w:p>
        </w:tc>
        <w:tc>
          <w:tcPr>
            <w:tcW w:w="874" w:type="pct"/>
            <w:vMerge/>
            <w:tcBorders>
              <w:left w:val="single" w:sz="4" w:space="0" w:color="auto"/>
              <w:bottom w:val="single" w:sz="4" w:space="0" w:color="auto"/>
              <w:right w:val="single" w:sz="4" w:space="0" w:color="auto"/>
            </w:tcBorders>
          </w:tcPr>
          <w:p w14:paraId="46788266" w14:textId="77777777" w:rsidR="0006231A" w:rsidRPr="00522CE2" w:rsidRDefault="0006231A" w:rsidP="00BC66F4">
            <w:pPr>
              <w:keepNext/>
              <w:keepLines/>
              <w:wordWrap/>
              <w:spacing w:before="0" w:after="0"/>
              <w:jc w:val="center"/>
              <w:rPr>
                <w:b/>
                <w:sz w:val="22"/>
                <w:szCs w:val="22"/>
                <w:lang w:val="en-GB"/>
              </w:rPr>
            </w:pPr>
          </w:p>
        </w:tc>
      </w:tr>
      <w:tr w:rsidR="0006231A" w:rsidRPr="00522CE2" w14:paraId="0B0FB479" w14:textId="77777777" w:rsidTr="00BC66F4">
        <w:tc>
          <w:tcPr>
            <w:tcW w:w="553" w:type="pct"/>
            <w:vMerge/>
            <w:tcBorders>
              <w:left w:val="single" w:sz="4" w:space="0" w:color="auto"/>
              <w:right w:val="single" w:sz="4" w:space="0" w:color="auto"/>
            </w:tcBorders>
            <w:vAlign w:val="center"/>
          </w:tcPr>
          <w:p w14:paraId="6CCC2632" w14:textId="77777777" w:rsidR="0006231A" w:rsidRPr="00522CE2" w:rsidRDefault="0006231A" w:rsidP="00BC66F4">
            <w:pPr>
              <w:wordWrap/>
              <w:spacing w:before="0" w:after="0"/>
              <w:rPr>
                <w:sz w:val="22"/>
                <w:szCs w:val="22"/>
              </w:rPr>
            </w:pPr>
          </w:p>
        </w:tc>
        <w:tc>
          <w:tcPr>
            <w:tcW w:w="615" w:type="pct"/>
            <w:vMerge w:val="restart"/>
            <w:tcBorders>
              <w:top w:val="single" w:sz="4" w:space="0" w:color="auto"/>
              <w:left w:val="single" w:sz="4" w:space="0" w:color="auto"/>
              <w:bottom w:val="single" w:sz="4" w:space="0" w:color="auto"/>
              <w:right w:val="single" w:sz="4" w:space="0" w:color="auto"/>
            </w:tcBorders>
            <w:vAlign w:val="center"/>
          </w:tcPr>
          <w:p w14:paraId="6EE24459" w14:textId="77777777" w:rsidR="0006231A" w:rsidRPr="00522CE2" w:rsidRDefault="0006231A" w:rsidP="00BC66F4">
            <w:pPr>
              <w:wordWrap/>
              <w:spacing w:before="0" w:after="0"/>
              <w:rPr>
                <w:sz w:val="22"/>
                <w:szCs w:val="22"/>
                <w:vertAlign w:val="superscript"/>
              </w:rPr>
            </w:pPr>
            <w:r w:rsidRPr="00522CE2">
              <w:rPr>
                <w:sz w:val="22"/>
                <w:szCs w:val="22"/>
              </w:rPr>
              <w:t>Week 54</w:t>
            </w:r>
            <w:r w:rsidRPr="00522CE2">
              <w:rPr>
                <w:sz w:val="22"/>
                <w:szCs w:val="22"/>
                <w:vertAlign w:val="superscript"/>
              </w:rPr>
              <w:t xml:space="preserve"> b</w:t>
            </w:r>
          </w:p>
        </w:tc>
        <w:tc>
          <w:tcPr>
            <w:tcW w:w="1421" w:type="pct"/>
            <w:tcBorders>
              <w:top w:val="single" w:sz="4" w:space="0" w:color="auto"/>
              <w:left w:val="single" w:sz="4" w:space="0" w:color="auto"/>
              <w:bottom w:val="single" w:sz="4" w:space="0" w:color="auto"/>
              <w:right w:val="single" w:sz="4" w:space="0" w:color="auto"/>
            </w:tcBorders>
            <w:tcMar>
              <w:left w:w="57" w:type="dxa"/>
            </w:tcMar>
            <w:vAlign w:val="center"/>
          </w:tcPr>
          <w:p w14:paraId="7964F1A8" w14:textId="074DC89A" w:rsidR="0006231A" w:rsidRPr="00522CE2" w:rsidRDefault="0006231A" w:rsidP="00DE124E">
            <w:pPr>
              <w:keepNext/>
              <w:keepLines/>
              <w:wordWrap/>
              <w:spacing w:before="0" w:after="0"/>
              <w:jc w:val="both"/>
              <w:rPr>
                <w:sz w:val="22"/>
                <w:szCs w:val="22"/>
                <w:lang w:val="en-GB"/>
              </w:rPr>
            </w:pPr>
            <w:r w:rsidRPr="00522CE2">
              <w:rPr>
                <w:sz w:val="22"/>
                <w:szCs w:val="22"/>
                <w:lang w:val="en-GB"/>
              </w:rPr>
              <w:t>RENFLEXIS</w:t>
            </w:r>
            <w:r w:rsidRPr="00522CE2">
              <w:rPr>
                <w:sz w:val="22"/>
                <w:szCs w:val="22"/>
                <w:lang w:val="en-GB" w:eastAsia="en-AU"/>
              </w:rPr>
              <w:t xml:space="preserve"> (N=2</w:t>
            </w:r>
            <w:r w:rsidR="00DE124E">
              <w:rPr>
                <w:rFonts w:hint="eastAsia"/>
                <w:sz w:val="22"/>
                <w:szCs w:val="22"/>
                <w:lang w:val="en-GB"/>
              </w:rPr>
              <w:t>02</w:t>
            </w:r>
            <w:r w:rsidRPr="00522CE2">
              <w:rPr>
                <w:sz w:val="22"/>
                <w:szCs w:val="22"/>
                <w:lang w:val="en-GB" w:eastAsia="en-AU"/>
              </w:rPr>
              <w:t>)</w:t>
            </w:r>
          </w:p>
        </w:tc>
        <w:tc>
          <w:tcPr>
            <w:tcW w:w="468" w:type="pct"/>
            <w:tcBorders>
              <w:top w:val="single" w:sz="4" w:space="0" w:color="auto"/>
              <w:left w:val="single" w:sz="4" w:space="0" w:color="auto"/>
              <w:bottom w:val="single" w:sz="4" w:space="0" w:color="auto"/>
              <w:right w:val="single" w:sz="4" w:space="0" w:color="auto"/>
            </w:tcBorders>
            <w:vAlign w:val="bottom"/>
          </w:tcPr>
          <w:p w14:paraId="3097A674" w14:textId="77777777" w:rsidR="0006231A" w:rsidRPr="00522CE2" w:rsidRDefault="0006231A" w:rsidP="00BC66F4">
            <w:pPr>
              <w:keepNext/>
              <w:keepLines/>
              <w:wordWrap/>
              <w:spacing w:before="0" w:after="0"/>
              <w:jc w:val="center"/>
              <w:rPr>
                <w:sz w:val="22"/>
                <w:szCs w:val="22"/>
                <w:lang w:val="en-GB"/>
              </w:rPr>
            </w:pPr>
            <w:r w:rsidRPr="00522CE2">
              <w:rPr>
                <w:color w:val="000000"/>
                <w:sz w:val="22"/>
                <w:szCs w:val="22"/>
              </w:rPr>
              <w:t>84/202</w:t>
            </w:r>
          </w:p>
        </w:tc>
        <w:tc>
          <w:tcPr>
            <w:tcW w:w="456" w:type="pct"/>
            <w:tcBorders>
              <w:top w:val="single" w:sz="4" w:space="0" w:color="auto"/>
              <w:left w:val="single" w:sz="4" w:space="0" w:color="auto"/>
              <w:bottom w:val="single" w:sz="4" w:space="0" w:color="auto"/>
              <w:right w:val="single" w:sz="4" w:space="0" w:color="auto"/>
            </w:tcBorders>
            <w:vAlign w:val="bottom"/>
          </w:tcPr>
          <w:p w14:paraId="44D983B0" w14:textId="77777777" w:rsidR="0006231A" w:rsidRPr="00522CE2" w:rsidRDefault="0006231A" w:rsidP="00BC66F4">
            <w:pPr>
              <w:keepNext/>
              <w:keepLines/>
              <w:wordWrap/>
              <w:spacing w:before="0" w:after="0"/>
              <w:jc w:val="center"/>
              <w:rPr>
                <w:sz w:val="22"/>
                <w:szCs w:val="22"/>
                <w:lang w:val="en-GB"/>
              </w:rPr>
            </w:pPr>
            <w:r w:rsidRPr="00522CE2">
              <w:rPr>
                <w:color w:val="000000"/>
                <w:sz w:val="22"/>
                <w:szCs w:val="22"/>
              </w:rPr>
              <w:t>(41.6)</w:t>
            </w:r>
          </w:p>
        </w:tc>
        <w:tc>
          <w:tcPr>
            <w:tcW w:w="613" w:type="pct"/>
            <w:vMerge w:val="restar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79DBEB7" w14:textId="77777777" w:rsidR="0006231A" w:rsidRPr="00522CE2" w:rsidRDefault="0006231A" w:rsidP="00BC66F4">
            <w:pPr>
              <w:keepNext/>
              <w:keepLines/>
              <w:wordWrap/>
              <w:spacing w:before="0" w:after="0"/>
              <w:jc w:val="center"/>
              <w:rPr>
                <w:sz w:val="22"/>
                <w:szCs w:val="22"/>
                <w:lang w:val="en-GB"/>
              </w:rPr>
            </w:pPr>
            <w:r w:rsidRPr="00522CE2">
              <w:rPr>
                <w:color w:val="000000"/>
                <w:sz w:val="22"/>
                <w:szCs w:val="22"/>
              </w:rPr>
              <w:t>3.43%</w:t>
            </w:r>
          </w:p>
        </w:tc>
        <w:tc>
          <w:tcPr>
            <w:tcW w:w="874" w:type="pct"/>
            <w:vMerge w:val="restar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9AA7322" w14:textId="77777777" w:rsidR="0006231A" w:rsidRPr="00522CE2" w:rsidRDefault="0006231A" w:rsidP="00BC66F4">
            <w:pPr>
              <w:keepNext/>
              <w:keepLines/>
              <w:wordWrap/>
              <w:spacing w:before="0" w:after="0"/>
              <w:jc w:val="center"/>
              <w:rPr>
                <w:sz w:val="22"/>
                <w:szCs w:val="22"/>
                <w:lang w:val="en-GB"/>
              </w:rPr>
            </w:pPr>
            <w:r w:rsidRPr="00522CE2">
              <w:rPr>
                <w:color w:val="000000"/>
              </w:rPr>
              <w:t>−5.74%, 12.60%</w:t>
            </w:r>
          </w:p>
        </w:tc>
      </w:tr>
      <w:tr w:rsidR="0006231A" w:rsidRPr="00522CE2" w14:paraId="795C070D" w14:textId="77777777" w:rsidTr="00BC66F4">
        <w:tc>
          <w:tcPr>
            <w:tcW w:w="553" w:type="pct"/>
            <w:vMerge/>
            <w:tcBorders>
              <w:left w:val="single" w:sz="4" w:space="0" w:color="auto"/>
              <w:bottom w:val="single" w:sz="4" w:space="0" w:color="auto"/>
              <w:right w:val="single" w:sz="4" w:space="0" w:color="auto"/>
            </w:tcBorders>
            <w:vAlign w:val="center"/>
          </w:tcPr>
          <w:p w14:paraId="748B469E" w14:textId="77777777" w:rsidR="0006231A" w:rsidRPr="00522CE2" w:rsidRDefault="0006231A" w:rsidP="00BC66F4">
            <w:pPr>
              <w:wordWrap/>
              <w:spacing w:before="0" w:after="0"/>
              <w:rPr>
                <w:sz w:val="22"/>
                <w:szCs w:val="22"/>
              </w:rPr>
            </w:pPr>
          </w:p>
        </w:tc>
        <w:tc>
          <w:tcPr>
            <w:tcW w:w="615" w:type="pct"/>
            <w:vMerge/>
            <w:tcBorders>
              <w:top w:val="single" w:sz="4" w:space="0" w:color="auto"/>
              <w:left w:val="single" w:sz="4" w:space="0" w:color="auto"/>
              <w:bottom w:val="single" w:sz="4" w:space="0" w:color="auto"/>
              <w:right w:val="single" w:sz="4" w:space="0" w:color="auto"/>
            </w:tcBorders>
            <w:vAlign w:val="center"/>
          </w:tcPr>
          <w:p w14:paraId="1E21123D" w14:textId="77777777" w:rsidR="0006231A" w:rsidRPr="00522CE2" w:rsidRDefault="0006231A" w:rsidP="00BC66F4">
            <w:pPr>
              <w:wordWrap/>
              <w:spacing w:before="0" w:after="0"/>
              <w:rPr>
                <w:sz w:val="22"/>
                <w:szCs w:val="22"/>
              </w:rPr>
            </w:pPr>
          </w:p>
        </w:tc>
        <w:tc>
          <w:tcPr>
            <w:tcW w:w="1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5C564C8" w14:textId="4E1579FC" w:rsidR="0006231A" w:rsidRPr="00522CE2" w:rsidRDefault="0006231A" w:rsidP="00DE124E">
            <w:pPr>
              <w:keepNext/>
              <w:keepLines/>
              <w:wordWrap/>
              <w:spacing w:before="0" w:after="0"/>
              <w:jc w:val="both"/>
              <w:rPr>
                <w:sz w:val="22"/>
                <w:szCs w:val="22"/>
                <w:lang w:val="en-GB"/>
              </w:rPr>
            </w:pPr>
            <w:proofErr w:type="spellStart"/>
            <w:r w:rsidRPr="00522CE2">
              <w:rPr>
                <w:sz w:val="22"/>
                <w:szCs w:val="22"/>
                <w:lang w:val="en-GB"/>
              </w:rPr>
              <w:t>Remicade</w:t>
            </w:r>
            <w:proofErr w:type="spellEnd"/>
            <w:r w:rsidRPr="00522CE2">
              <w:rPr>
                <w:sz w:val="22"/>
                <w:szCs w:val="22"/>
                <w:vertAlign w:val="superscript"/>
                <w:lang w:val="en-GB" w:eastAsia="en-AU"/>
              </w:rPr>
              <w:t>®</w:t>
            </w:r>
            <w:r w:rsidRPr="00522CE2">
              <w:rPr>
                <w:sz w:val="22"/>
                <w:szCs w:val="22"/>
                <w:lang w:val="en-GB" w:eastAsia="en-AU"/>
              </w:rPr>
              <w:t xml:space="preserve"> (N=2</w:t>
            </w:r>
            <w:r w:rsidR="00DE124E">
              <w:rPr>
                <w:rFonts w:hint="eastAsia"/>
                <w:sz w:val="22"/>
                <w:szCs w:val="22"/>
                <w:lang w:val="en-GB"/>
              </w:rPr>
              <w:t>08</w:t>
            </w:r>
            <w:r w:rsidRPr="00522CE2">
              <w:rPr>
                <w:sz w:val="22"/>
                <w:szCs w:val="22"/>
                <w:lang w:val="en-GB" w:eastAsia="en-AU"/>
              </w:rPr>
              <w:t>)</w:t>
            </w:r>
          </w:p>
        </w:tc>
        <w:tc>
          <w:tcPr>
            <w:tcW w:w="468" w:type="pct"/>
            <w:tcBorders>
              <w:top w:val="single" w:sz="4" w:space="0" w:color="auto"/>
              <w:left w:val="single" w:sz="4" w:space="0" w:color="auto"/>
              <w:bottom w:val="single" w:sz="4" w:space="0" w:color="auto"/>
              <w:right w:val="single" w:sz="4" w:space="0" w:color="auto"/>
            </w:tcBorders>
            <w:vAlign w:val="center"/>
          </w:tcPr>
          <w:p w14:paraId="30B83675" w14:textId="77777777" w:rsidR="0006231A" w:rsidRPr="00522CE2" w:rsidRDefault="0006231A" w:rsidP="00BC66F4">
            <w:pPr>
              <w:keepNext/>
              <w:keepLines/>
              <w:wordWrap/>
              <w:spacing w:before="0" w:after="0"/>
              <w:jc w:val="center"/>
              <w:rPr>
                <w:sz w:val="22"/>
                <w:szCs w:val="22"/>
                <w:lang w:val="en-GB"/>
              </w:rPr>
            </w:pPr>
            <w:r w:rsidRPr="00522CE2">
              <w:rPr>
                <w:color w:val="000000"/>
                <w:sz w:val="22"/>
                <w:szCs w:val="22"/>
              </w:rPr>
              <w:t>81/208</w:t>
            </w:r>
          </w:p>
        </w:tc>
        <w:tc>
          <w:tcPr>
            <w:tcW w:w="456" w:type="pct"/>
            <w:tcBorders>
              <w:top w:val="single" w:sz="4" w:space="0" w:color="auto"/>
              <w:left w:val="single" w:sz="4" w:space="0" w:color="auto"/>
              <w:bottom w:val="single" w:sz="4" w:space="0" w:color="auto"/>
              <w:right w:val="single" w:sz="4" w:space="0" w:color="auto"/>
            </w:tcBorders>
            <w:vAlign w:val="center"/>
          </w:tcPr>
          <w:p w14:paraId="260DEC44" w14:textId="77777777" w:rsidR="0006231A" w:rsidRPr="00522CE2" w:rsidRDefault="0006231A" w:rsidP="00BC66F4">
            <w:pPr>
              <w:keepNext/>
              <w:keepLines/>
              <w:wordWrap/>
              <w:spacing w:before="0" w:after="0"/>
              <w:jc w:val="center"/>
              <w:rPr>
                <w:sz w:val="22"/>
                <w:szCs w:val="22"/>
                <w:lang w:val="en-GB"/>
              </w:rPr>
            </w:pPr>
            <w:r w:rsidRPr="00522CE2">
              <w:rPr>
                <w:color w:val="000000"/>
                <w:sz w:val="22"/>
                <w:szCs w:val="22"/>
              </w:rPr>
              <w:t>(38.9)</w:t>
            </w:r>
          </w:p>
        </w:tc>
        <w:tc>
          <w:tcPr>
            <w:tcW w:w="613" w:type="pct"/>
            <w:vMerge/>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F2DA44C" w14:textId="77777777" w:rsidR="0006231A" w:rsidRPr="00522CE2" w:rsidRDefault="0006231A" w:rsidP="00BC66F4">
            <w:pPr>
              <w:keepNext/>
              <w:keepLines/>
              <w:wordWrap/>
              <w:spacing w:before="0" w:after="0"/>
              <w:jc w:val="center"/>
              <w:rPr>
                <w:sz w:val="22"/>
                <w:szCs w:val="22"/>
                <w:lang w:val="en-GB"/>
              </w:rPr>
            </w:pPr>
          </w:p>
        </w:tc>
        <w:tc>
          <w:tcPr>
            <w:tcW w:w="874" w:type="pct"/>
            <w:vMerge/>
            <w:tcBorders>
              <w:top w:val="single" w:sz="4" w:space="0" w:color="auto"/>
              <w:left w:val="single" w:sz="4" w:space="0" w:color="auto"/>
              <w:bottom w:val="single" w:sz="4" w:space="0" w:color="auto"/>
              <w:right w:val="single" w:sz="4" w:space="0" w:color="auto"/>
            </w:tcBorders>
            <w:tcMar>
              <w:left w:w="57" w:type="dxa"/>
              <w:right w:w="57" w:type="dxa"/>
            </w:tcMar>
          </w:tcPr>
          <w:p w14:paraId="1504EF46" w14:textId="77777777" w:rsidR="0006231A" w:rsidRPr="00522CE2" w:rsidRDefault="0006231A" w:rsidP="00BC66F4">
            <w:pPr>
              <w:keepNext/>
              <w:keepLines/>
              <w:wordWrap/>
              <w:spacing w:before="0" w:after="0"/>
              <w:jc w:val="center"/>
              <w:rPr>
                <w:sz w:val="22"/>
                <w:szCs w:val="22"/>
                <w:lang w:val="en-GB"/>
              </w:rPr>
            </w:pPr>
          </w:p>
        </w:tc>
      </w:tr>
      <w:tr w:rsidR="0006231A" w:rsidRPr="00522CE2" w14:paraId="58D2790D" w14:textId="77777777" w:rsidTr="00BC66F4">
        <w:tc>
          <w:tcPr>
            <w:tcW w:w="553" w:type="pct"/>
            <w:vMerge w:val="restart"/>
            <w:tcBorders>
              <w:left w:val="single" w:sz="4" w:space="0" w:color="auto"/>
              <w:right w:val="single" w:sz="4" w:space="0" w:color="auto"/>
            </w:tcBorders>
            <w:vAlign w:val="center"/>
          </w:tcPr>
          <w:p w14:paraId="5A876785" w14:textId="77777777" w:rsidR="0006231A" w:rsidRPr="00522CE2" w:rsidRDefault="0006231A" w:rsidP="00BC66F4">
            <w:pPr>
              <w:keepNext/>
              <w:wordWrap/>
              <w:spacing w:before="0" w:after="0"/>
              <w:rPr>
                <w:sz w:val="22"/>
                <w:szCs w:val="22"/>
              </w:rPr>
            </w:pPr>
            <w:r w:rsidRPr="00522CE2">
              <w:rPr>
                <w:sz w:val="22"/>
                <w:szCs w:val="22"/>
              </w:rPr>
              <w:t>ACR70</w:t>
            </w:r>
          </w:p>
        </w:tc>
        <w:tc>
          <w:tcPr>
            <w:tcW w:w="615" w:type="pct"/>
            <w:vMerge w:val="restart"/>
            <w:tcBorders>
              <w:top w:val="single" w:sz="4" w:space="0" w:color="auto"/>
              <w:left w:val="single" w:sz="4" w:space="0" w:color="auto"/>
              <w:right w:val="single" w:sz="4" w:space="0" w:color="auto"/>
            </w:tcBorders>
            <w:vAlign w:val="center"/>
          </w:tcPr>
          <w:p w14:paraId="179B4571" w14:textId="77777777" w:rsidR="0006231A" w:rsidRPr="00522CE2" w:rsidRDefault="0006231A" w:rsidP="00BC66F4">
            <w:pPr>
              <w:wordWrap/>
              <w:spacing w:before="0" w:after="0"/>
              <w:rPr>
                <w:sz w:val="22"/>
                <w:szCs w:val="22"/>
              </w:rPr>
            </w:pPr>
            <w:r w:rsidRPr="00522CE2">
              <w:rPr>
                <w:sz w:val="22"/>
                <w:szCs w:val="22"/>
              </w:rPr>
              <w:t>Week 30</w:t>
            </w:r>
            <w:r w:rsidRPr="00522CE2">
              <w:rPr>
                <w:sz w:val="22"/>
                <w:szCs w:val="22"/>
                <w:vertAlign w:val="superscript"/>
              </w:rPr>
              <w:t xml:space="preserve"> a</w:t>
            </w:r>
          </w:p>
        </w:tc>
        <w:tc>
          <w:tcPr>
            <w:tcW w:w="1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AC3B7A6" w14:textId="77777777" w:rsidR="0006231A" w:rsidRPr="00522CE2" w:rsidRDefault="0006231A" w:rsidP="00BC66F4">
            <w:pPr>
              <w:keepNext/>
              <w:keepLines/>
              <w:wordWrap/>
              <w:spacing w:before="0" w:after="0"/>
              <w:rPr>
                <w:sz w:val="22"/>
                <w:szCs w:val="22"/>
                <w:lang w:val="en-GB"/>
              </w:rPr>
            </w:pPr>
            <w:r w:rsidRPr="00522CE2">
              <w:rPr>
                <w:sz w:val="22"/>
                <w:szCs w:val="22"/>
                <w:lang w:val="en-GB"/>
              </w:rPr>
              <w:t>RENFLEXIS</w:t>
            </w:r>
            <w:r w:rsidRPr="00522CE2">
              <w:rPr>
                <w:sz w:val="22"/>
                <w:szCs w:val="22"/>
                <w:lang w:val="en-GB" w:eastAsia="en-AU"/>
              </w:rPr>
              <w:t xml:space="preserve"> (N=2</w:t>
            </w:r>
            <w:r w:rsidRPr="00522CE2">
              <w:rPr>
                <w:sz w:val="22"/>
                <w:szCs w:val="22"/>
                <w:lang w:val="en-GB"/>
              </w:rPr>
              <w:t>31</w:t>
            </w:r>
            <w:r w:rsidRPr="00522CE2">
              <w:rPr>
                <w:sz w:val="22"/>
                <w:szCs w:val="22"/>
                <w:lang w:val="en-GB" w:eastAsia="en-AU"/>
              </w:rPr>
              <w:t>)</w:t>
            </w:r>
          </w:p>
        </w:tc>
        <w:tc>
          <w:tcPr>
            <w:tcW w:w="468" w:type="pct"/>
            <w:tcBorders>
              <w:top w:val="single" w:sz="4" w:space="0" w:color="auto"/>
              <w:left w:val="single" w:sz="4" w:space="0" w:color="auto"/>
              <w:bottom w:val="single" w:sz="4" w:space="0" w:color="auto"/>
              <w:right w:val="single" w:sz="4" w:space="0" w:color="auto"/>
            </w:tcBorders>
            <w:vAlign w:val="center"/>
          </w:tcPr>
          <w:p w14:paraId="01692C9B" w14:textId="77777777" w:rsidR="0006231A" w:rsidRPr="00522CE2" w:rsidRDefault="0006231A" w:rsidP="00BC66F4">
            <w:pPr>
              <w:keepNext/>
              <w:keepLines/>
              <w:wordWrap/>
              <w:spacing w:before="0" w:after="0"/>
              <w:jc w:val="center"/>
              <w:rPr>
                <w:sz w:val="22"/>
                <w:szCs w:val="22"/>
                <w:lang w:val="en-GB"/>
              </w:rPr>
            </w:pPr>
            <w:r w:rsidRPr="00522CE2">
              <w:rPr>
                <w:color w:val="000000"/>
                <w:sz w:val="22"/>
                <w:szCs w:val="22"/>
              </w:rPr>
              <w:t>42/</w:t>
            </w:r>
            <w:r w:rsidRPr="00522CE2">
              <w:rPr>
                <w:sz w:val="22"/>
                <w:szCs w:val="22"/>
              </w:rPr>
              <w:t>2</w:t>
            </w:r>
            <w:r w:rsidRPr="00522CE2">
              <w:rPr>
                <w:color w:val="000000"/>
                <w:sz w:val="22"/>
                <w:szCs w:val="22"/>
              </w:rPr>
              <w:t>31</w:t>
            </w:r>
          </w:p>
        </w:tc>
        <w:tc>
          <w:tcPr>
            <w:tcW w:w="456" w:type="pct"/>
            <w:tcBorders>
              <w:top w:val="single" w:sz="4" w:space="0" w:color="auto"/>
              <w:left w:val="single" w:sz="4" w:space="0" w:color="auto"/>
              <w:bottom w:val="single" w:sz="4" w:space="0" w:color="auto"/>
              <w:right w:val="single" w:sz="4" w:space="0" w:color="auto"/>
            </w:tcBorders>
            <w:vAlign w:val="center"/>
          </w:tcPr>
          <w:p w14:paraId="3AE0ECDB" w14:textId="77777777" w:rsidR="0006231A" w:rsidRPr="00522CE2" w:rsidRDefault="0006231A" w:rsidP="00BC66F4">
            <w:pPr>
              <w:keepNext/>
              <w:keepLines/>
              <w:wordWrap/>
              <w:spacing w:before="0" w:after="0"/>
              <w:jc w:val="center"/>
              <w:rPr>
                <w:sz w:val="22"/>
                <w:szCs w:val="22"/>
                <w:lang w:val="en-GB"/>
              </w:rPr>
            </w:pPr>
            <w:r w:rsidRPr="00522CE2">
              <w:rPr>
                <w:color w:val="000000"/>
                <w:sz w:val="22"/>
                <w:szCs w:val="22"/>
              </w:rPr>
              <w:t>(18.2)</w:t>
            </w:r>
          </w:p>
        </w:tc>
        <w:tc>
          <w:tcPr>
            <w:tcW w:w="613" w:type="pct"/>
            <w:vMerge w:val="restart"/>
            <w:tcBorders>
              <w:top w:val="single" w:sz="4" w:space="0" w:color="auto"/>
              <w:left w:val="single" w:sz="4" w:space="0" w:color="auto"/>
              <w:right w:val="single" w:sz="4" w:space="0" w:color="auto"/>
            </w:tcBorders>
            <w:tcMar>
              <w:left w:w="57" w:type="dxa"/>
              <w:right w:w="57" w:type="dxa"/>
            </w:tcMar>
            <w:vAlign w:val="center"/>
          </w:tcPr>
          <w:p w14:paraId="61EB7063" w14:textId="77777777" w:rsidR="0006231A" w:rsidRPr="00522CE2" w:rsidRDefault="0006231A" w:rsidP="00BC66F4">
            <w:pPr>
              <w:keepNext/>
              <w:keepLines/>
              <w:wordWrap/>
              <w:spacing w:before="0" w:after="0"/>
              <w:jc w:val="center"/>
              <w:rPr>
                <w:sz w:val="22"/>
                <w:szCs w:val="22"/>
                <w:lang w:val="en-GB"/>
              </w:rPr>
            </w:pPr>
            <w:r w:rsidRPr="00522CE2">
              <w:rPr>
                <w:sz w:val="22"/>
                <w:szCs w:val="22"/>
              </w:rPr>
              <w:t>–0.25%</w:t>
            </w:r>
          </w:p>
        </w:tc>
        <w:tc>
          <w:tcPr>
            <w:tcW w:w="874" w:type="pct"/>
            <w:vMerge w:val="restart"/>
            <w:tcBorders>
              <w:top w:val="single" w:sz="4" w:space="0" w:color="auto"/>
              <w:left w:val="single" w:sz="4" w:space="0" w:color="auto"/>
              <w:right w:val="single" w:sz="4" w:space="0" w:color="auto"/>
            </w:tcBorders>
            <w:tcMar>
              <w:left w:w="57" w:type="dxa"/>
              <w:right w:w="57" w:type="dxa"/>
            </w:tcMar>
            <w:vAlign w:val="center"/>
          </w:tcPr>
          <w:p w14:paraId="204381AC" w14:textId="77777777" w:rsidR="0006231A" w:rsidRPr="00522CE2" w:rsidRDefault="0006231A" w:rsidP="00BC66F4">
            <w:pPr>
              <w:keepNext/>
              <w:keepLines/>
              <w:wordWrap/>
              <w:spacing w:before="0" w:after="0"/>
              <w:jc w:val="both"/>
              <w:rPr>
                <w:sz w:val="22"/>
                <w:szCs w:val="22"/>
                <w:lang w:val="en-GB"/>
              </w:rPr>
            </w:pPr>
            <w:r w:rsidRPr="00522CE2">
              <w:rPr>
                <w:color w:val="000000"/>
              </w:rPr>
              <w:t>−7.26%, 6.75%</w:t>
            </w:r>
          </w:p>
        </w:tc>
      </w:tr>
      <w:tr w:rsidR="0006231A" w:rsidRPr="00522CE2" w14:paraId="049BDD0B" w14:textId="77777777" w:rsidTr="00BC66F4">
        <w:tc>
          <w:tcPr>
            <w:tcW w:w="553" w:type="pct"/>
            <w:vMerge/>
            <w:tcBorders>
              <w:left w:val="single" w:sz="4" w:space="0" w:color="auto"/>
              <w:right w:val="single" w:sz="4" w:space="0" w:color="auto"/>
            </w:tcBorders>
            <w:vAlign w:val="center"/>
          </w:tcPr>
          <w:p w14:paraId="1D7AD233" w14:textId="77777777" w:rsidR="0006231A" w:rsidRPr="00522CE2" w:rsidRDefault="0006231A" w:rsidP="00BC66F4">
            <w:pPr>
              <w:wordWrap/>
              <w:spacing w:before="0" w:after="0"/>
              <w:rPr>
                <w:sz w:val="22"/>
                <w:szCs w:val="22"/>
              </w:rPr>
            </w:pPr>
          </w:p>
        </w:tc>
        <w:tc>
          <w:tcPr>
            <w:tcW w:w="615" w:type="pct"/>
            <w:vMerge/>
            <w:tcBorders>
              <w:left w:val="single" w:sz="4" w:space="0" w:color="auto"/>
              <w:bottom w:val="single" w:sz="4" w:space="0" w:color="auto"/>
              <w:right w:val="single" w:sz="4" w:space="0" w:color="auto"/>
            </w:tcBorders>
            <w:vAlign w:val="center"/>
          </w:tcPr>
          <w:p w14:paraId="0BDEA647" w14:textId="77777777" w:rsidR="0006231A" w:rsidRPr="00522CE2" w:rsidRDefault="0006231A" w:rsidP="00BC66F4">
            <w:pPr>
              <w:wordWrap/>
              <w:spacing w:before="0" w:after="0"/>
              <w:rPr>
                <w:sz w:val="22"/>
                <w:szCs w:val="22"/>
              </w:rPr>
            </w:pPr>
          </w:p>
        </w:tc>
        <w:tc>
          <w:tcPr>
            <w:tcW w:w="1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79DAAA9" w14:textId="77777777" w:rsidR="0006231A" w:rsidRPr="00522CE2" w:rsidRDefault="0006231A" w:rsidP="00BC66F4">
            <w:pPr>
              <w:keepNext/>
              <w:keepLines/>
              <w:wordWrap/>
              <w:spacing w:before="0" w:after="0"/>
              <w:rPr>
                <w:sz w:val="22"/>
                <w:szCs w:val="22"/>
                <w:lang w:val="en-GB"/>
              </w:rPr>
            </w:pPr>
            <w:proofErr w:type="spellStart"/>
            <w:r w:rsidRPr="00522CE2">
              <w:rPr>
                <w:sz w:val="22"/>
                <w:szCs w:val="22"/>
                <w:lang w:val="en-GB"/>
              </w:rPr>
              <w:t>Remicade</w:t>
            </w:r>
            <w:proofErr w:type="spellEnd"/>
            <w:r w:rsidRPr="00522CE2">
              <w:rPr>
                <w:sz w:val="22"/>
                <w:szCs w:val="22"/>
                <w:vertAlign w:val="superscript"/>
                <w:lang w:val="en-GB" w:eastAsia="en-AU"/>
              </w:rPr>
              <w:t>®</w:t>
            </w:r>
            <w:r w:rsidRPr="00522CE2">
              <w:rPr>
                <w:sz w:val="22"/>
                <w:szCs w:val="22"/>
                <w:lang w:val="en-GB" w:eastAsia="en-AU"/>
              </w:rPr>
              <w:t xml:space="preserve"> (N=2</w:t>
            </w:r>
            <w:r w:rsidRPr="00522CE2">
              <w:rPr>
                <w:sz w:val="22"/>
                <w:szCs w:val="22"/>
                <w:lang w:val="en-GB"/>
              </w:rPr>
              <w:t>47</w:t>
            </w:r>
            <w:r w:rsidRPr="00522CE2">
              <w:rPr>
                <w:sz w:val="22"/>
                <w:szCs w:val="22"/>
                <w:lang w:val="en-GB" w:eastAsia="en-AU"/>
              </w:rPr>
              <w:t>)</w:t>
            </w:r>
          </w:p>
        </w:tc>
        <w:tc>
          <w:tcPr>
            <w:tcW w:w="468" w:type="pct"/>
            <w:tcBorders>
              <w:top w:val="single" w:sz="4" w:space="0" w:color="auto"/>
              <w:left w:val="single" w:sz="4" w:space="0" w:color="auto"/>
              <w:bottom w:val="single" w:sz="4" w:space="0" w:color="auto"/>
              <w:right w:val="single" w:sz="4" w:space="0" w:color="auto"/>
            </w:tcBorders>
            <w:vAlign w:val="center"/>
          </w:tcPr>
          <w:p w14:paraId="76A9106C" w14:textId="77777777" w:rsidR="0006231A" w:rsidRPr="00522CE2" w:rsidRDefault="0006231A" w:rsidP="00BC66F4">
            <w:pPr>
              <w:keepNext/>
              <w:keepLines/>
              <w:wordWrap/>
              <w:spacing w:before="0" w:after="0"/>
              <w:jc w:val="center"/>
              <w:rPr>
                <w:sz w:val="22"/>
                <w:szCs w:val="22"/>
                <w:lang w:val="en-GB"/>
              </w:rPr>
            </w:pPr>
            <w:r w:rsidRPr="00522CE2">
              <w:rPr>
                <w:color w:val="000000"/>
                <w:sz w:val="22"/>
                <w:szCs w:val="22"/>
              </w:rPr>
              <w:t>47/247</w:t>
            </w:r>
          </w:p>
        </w:tc>
        <w:tc>
          <w:tcPr>
            <w:tcW w:w="456" w:type="pct"/>
            <w:tcBorders>
              <w:top w:val="single" w:sz="4" w:space="0" w:color="auto"/>
              <w:left w:val="single" w:sz="4" w:space="0" w:color="auto"/>
              <w:bottom w:val="single" w:sz="4" w:space="0" w:color="auto"/>
              <w:right w:val="single" w:sz="4" w:space="0" w:color="auto"/>
            </w:tcBorders>
            <w:vAlign w:val="center"/>
          </w:tcPr>
          <w:p w14:paraId="4EE8092D" w14:textId="77777777" w:rsidR="0006231A" w:rsidRPr="00522CE2" w:rsidRDefault="0006231A" w:rsidP="00BC66F4">
            <w:pPr>
              <w:keepNext/>
              <w:keepLines/>
              <w:wordWrap/>
              <w:spacing w:before="0" w:after="0"/>
              <w:jc w:val="center"/>
              <w:rPr>
                <w:sz w:val="22"/>
                <w:szCs w:val="22"/>
                <w:lang w:val="en-GB"/>
              </w:rPr>
            </w:pPr>
            <w:r w:rsidRPr="00522CE2">
              <w:rPr>
                <w:color w:val="000000"/>
                <w:sz w:val="22"/>
                <w:szCs w:val="22"/>
              </w:rPr>
              <w:t>(19.0)</w:t>
            </w:r>
          </w:p>
        </w:tc>
        <w:tc>
          <w:tcPr>
            <w:tcW w:w="613" w:type="pct"/>
            <w:vMerge/>
            <w:tcBorders>
              <w:left w:val="single" w:sz="4" w:space="0" w:color="auto"/>
              <w:bottom w:val="single" w:sz="4" w:space="0" w:color="auto"/>
              <w:right w:val="single" w:sz="4" w:space="0" w:color="auto"/>
            </w:tcBorders>
            <w:tcMar>
              <w:left w:w="57" w:type="dxa"/>
              <w:right w:w="57" w:type="dxa"/>
            </w:tcMar>
            <w:vAlign w:val="center"/>
          </w:tcPr>
          <w:p w14:paraId="36B4EC9F" w14:textId="77777777" w:rsidR="0006231A" w:rsidRPr="00522CE2" w:rsidRDefault="0006231A" w:rsidP="00BC66F4">
            <w:pPr>
              <w:keepNext/>
              <w:keepLines/>
              <w:wordWrap/>
              <w:spacing w:before="0" w:after="0"/>
              <w:jc w:val="center"/>
              <w:rPr>
                <w:sz w:val="22"/>
                <w:szCs w:val="22"/>
                <w:lang w:val="en-GB"/>
              </w:rPr>
            </w:pPr>
          </w:p>
        </w:tc>
        <w:tc>
          <w:tcPr>
            <w:tcW w:w="874" w:type="pct"/>
            <w:vMerge/>
            <w:tcBorders>
              <w:left w:val="single" w:sz="4" w:space="0" w:color="auto"/>
              <w:bottom w:val="single" w:sz="4" w:space="0" w:color="auto"/>
              <w:right w:val="single" w:sz="4" w:space="0" w:color="auto"/>
            </w:tcBorders>
            <w:tcMar>
              <w:left w:w="57" w:type="dxa"/>
              <w:right w:w="57" w:type="dxa"/>
            </w:tcMar>
          </w:tcPr>
          <w:p w14:paraId="55E67178" w14:textId="77777777" w:rsidR="0006231A" w:rsidRPr="00522CE2" w:rsidRDefault="0006231A" w:rsidP="00BC66F4">
            <w:pPr>
              <w:keepNext/>
              <w:keepLines/>
              <w:wordWrap/>
              <w:spacing w:before="0" w:after="0"/>
              <w:jc w:val="center"/>
              <w:rPr>
                <w:sz w:val="22"/>
                <w:szCs w:val="22"/>
                <w:lang w:val="en-GB"/>
              </w:rPr>
            </w:pPr>
          </w:p>
        </w:tc>
      </w:tr>
      <w:tr w:rsidR="0006231A" w:rsidRPr="00522CE2" w14:paraId="2A9832CA" w14:textId="77777777" w:rsidTr="00BC66F4">
        <w:tc>
          <w:tcPr>
            <w:tcW w:w="553" w:type="pct"/>
            <w:vMerge/>
            <w:tcBorders>
              <w:left w:val="single" w:sz="4" w:space="0" w:color="auto"/>
              <w:right w:val="single" w:sz="4" w:space="0" w:color="auto"/>
            </w:tcBorders>
            <w:vAlign w:val="center"/>
          </w:tcPr>
          <w:p w14:paraId="6A7B974E" w14:textId="77777777" w:rsidR="0006231A" w:rsidRPr="00522CE2" w:rsidRDefault="0006231A" w:rsidP="00BC66F4">
            <w:pPr>
              <w:wordWrap/>
              <w:spacing w:before="0" w:after="0"/>
              <w:rPr>
                <w:sz w:val="22"/>
                <w:szCs w:val="22"/>
              </w:rPr>
            </w:pPr>
          </w:p>
        </w:tc>
        <w:tc>
          <w:tcPr>
            <w:tcW w:w="615" w:type="pct"/>
            <w:vMerge w:val="restart"/>
            <w:tcBorders>
              <w:top w:val="single" w:sz="4" w:space="0" w:color="auto"/>
              <w:left w:val="single" w:sz="4" w:space="0" w:color="auto"/>
              <w:bottom w:val="single" w:sz="4" w:space="0" w:color="auto"/>
              <w:right w:val="single" w:sz="4" w:space="0" w:color="auto"/>
            </w:tcBorders>
            <w:vAlign w:val="center"/>
          </w:tcPr>
          <w:p w14:paraId="226880E7" w14:textId="77777777" w:rsidR="0006231A" w:rsidRPr="00522CE2" w:rsidRDefault="0006231A" w:rsidP="00BC66F4">
            <w:pPr>
              <w:wordWrap/>
              <w:spacing w:before="0" w:after="0"/>
              <w:rPr>
                <w:sz w:val="22"/>
                <w:szCs w:val="22"/>
                <w:vertAlign w:val="superscript"/>
              </w:rPr>
            </w:pPr>
            <w:r w:rsidRPr="00522CE2">
              <w:rPr>
                <w:sz w:val="22"/>
                <w:szCs w:val="22"/>
              </w:rPr>
              <w:t>Week 54</w:t>
            </w:r>
            <w:r w:rsidRPr="00522CE2">
              <w:rPr>
                <w:sz w:val="22"/>
                <w:szCs w:val="22"/>
                <w:vertAlign w:val="superscript"/>
              </w:rPr>
              <w:t xml:space="preserve"> b</w:t>
            </w:r>
          </w:p>
        </w:tc>
        <w:tc>
          <w:tcPr>
            <w:tcW w:w="1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E25D12C" w14:textId="28F5A1AC" w:rsidR="0006231A" w:rsidRPr="00522CE2" w:rsidRDefault="0006231A" w:rsidP="00DE124E">
            <w:pPr>
              <w:keepNext/>
              <w:keepLines/>
              <w:wordWrap/>
              <w:spacing w:before="0" w:after="0"/>
              <w:rPr>
                <w:sz w:val="22"/>
                <w:szCs w:val="22"/>
                <w:lang w:val="en-GB"/>
              </w:rPr>
            </w:pPr>
            <w:r w:rsidRPr="00522CE2">
              <w:rPr>
                <w:sz w:val="22"/>
                <w:szCs w:val="22"/>
                <w:lang w:val="en-GB"/>
              </w:rPr>
              <w:t>RENFLEXIS</w:t>
            </w:r>
            <w:r w:rsidRPr="00522CE2">
              <w:rPr>
                <w:sz w:val="22"/>
                <w:szCs w:val="22"/>
                <w:lang w:val="en-GB" w:eastAsia="en-AU"/>
              </w:rPr>
              <w:t xml:space="preserve"> (N=2</w:t>
            </w:r>
            <w:r w:rsidR="00DE124E">
              <w:rPr>
                <w:rFonts w:hint="eastAsia"/>
                <w:sz w:val="22"/>
                <w:szCs w:val="22"/>
                <w:lang w:val="en-GB"/>
              </w:rPr>
              <w:t>02</w:t>
            </w:r>
            <w:r w:rsidRPr="00522CE2">
              <w:rPr>
                <w:sz w:val="22"/>
                <w:szCs w:val="22"/>
                <w:lang w:val="en-GB" w:eastAsia="en-AU"/>
              </w:rPr>
              <w:t>)</w:t>
            </w:r>
          </w:p>
        </w:tc>
        <w:tc>
          <w:tcPr>
            <w:tcW w:w="468" w:type="pct"/>
            <w:tcBorders>
              <w:top w:val="single" w:sz="4" w:space="0" w:color="auto"/>
              <w:left w:val="single" w:sz="4" w:space="0" w:color="auto"/>
              <w:bottom w:val="single" w:sz="4" w:space="0" w:color="auto"/>
              <w:right w:val="single" w:sz="4" w:space="0" w:color="auto"/>
            </w:tcBorders>
            <w:vAlign w:val="center"/>
          </w:tcPr>
          <w:p w14:paraId="2BD641C1" w14:textId="77777777" w:rsidR="0006231A" w:rsidRPr="00522CE2" w:rsidRDefault="0006231A" w:rsidP="00BC66F4">
            <w:pPr>
              <w:keepNext/>
              <w:keepLines/>
              <w:wordWrap/>
              <w:spacing w:before="0" w:after="0"/>
              <w:jc w:val="center"/>
              <w:rPr>
                <w:sz w:val="22"/>
                <w:szCs w:val="22"/>
                <w:lang w:val="en-GB"/>
              </w:rPr>
            </w:pPr>
            <w:r w:rsidRPr="00522CE2">
              <w:rPr>
                <w:color w:val="000000"/>
                <w:sz w:val="22"/>
                <w:szCs w:val="22"/>
              </w:rPr>
              <w:t>45/</w:t>
            </w:r>
            <w:r w:rsidRPr="00522CE2">
              <w:rPr>
                <w:sz w:val="22"/>
                <w:szCs w:val="22"/>
              </w:rPr>
              <w:t>2</w:t>
            </w:r>
            <w:r w:rsidRPr="00522CE2">
              <w:rPr>
                <w:color w:val="000000"/>
                <w:sz w:val="22"/>
                <w:szCs w:val="22"/>
              </w:rPr>
              <w:t>02</w:t>
            </w:r>
          </w:p>
        </w:tc>
        <w:tc>
          <w:tcPr>
            <w:tcW w:w="456" w:type="pct"/>
            <w:tcBorders>
              <w:top w:val="single" w:sz="4" w:space="0" w:color="auto"/>
              <w:left w:val="single" w:sz="4" w:space="0" w:color="auto"/>
              <w:bottom w:val="single" w:sz="4" w:space="0" w:color="auto"/>
              <w:right w:val="single" w:sz="4" w:space="0" w:color="auto"/>
            </w:tcBorders>
            <w:vAlign w:val="center"/>
          </w:tcPr>
          <w:p w14:paraId="55A54880" w14:textId="77777777" w:rsidR="0006231A" w:rsidRPr="00522CE2" w:rsidRDefault="0006231A" w:rsidP="00BC66F4">
            <w:pPr>
              <w:keepNext/>
              <w:keepLines/>
              <w:wordWrap/>
              <w:spacing w:before="0" w:after="0"/>
              <w:jc w:val="center"/>
              <w:rPr>
                <w:sz w:val="22"/>
                <w:szCs w:val="22"/>
                <w:lang w:val="en-GB"/>
              </w:rPr>
            </w:pPr>
            <w:r w:rsidRPr="00522CE2">
              <w:rPr>
                <w:color w:val="000000"/>
                <w:sz w:val="22"/>
                <w:szCs w:val="22"/>
              </w:rPr>
              <w:t>(22.3)</w:t>
            </w:r>
          </w:p>
        </w:tc>
        <w:tc>
          <w:tcPr>
            <w:tcW w:w="613" w:type="pct"/>
            <w:vMerge w:val="restar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0DB49F7" w14:textId="77777777" w:rsidR="0006231A" w:rsidRPr="00522CE2" w:rsidRDefault="0006231A" w:rsidP="00BC66F4">
            <w:pPr>
              <w:keepNext/>
              <w:keepLines/>
              <w:wordWrap/>
              <w:spacing w:before="0" w:after="0"/>
              <w:jc w:val="center"/>
              <w:rPr>
                <w:sz w:val="22"/>
                <w:szCs w:val="22"/>
                <w:lang w:val="en-GB"/>
              </w:rPr>
            </w:pPr>
            <w:r w:rsidRPr="00522CE2">
              <w:rPr>
                <w:color w:val="000000"/>
                <w:sz w:val="22"/>
                <w:szCs w:val="22"/>
              </w:rPr>
              <w:t>−1.07%</w:t>
            </w:r>
          </w:p>
        </w:tc>
        <w:tc>
          <w:tcPr>
            <w:tcW w:w="874" w:type="pct"/>
            <w:vMerge w:val="restar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7B15F0C" w14:textId="77777777" w:rsidR="0006231A" w:rsidRPr="00522CE2" w:rsidRDefault="0006231A" w:rsidP="00BC66F4">
            <w:pPr>
              <w:keepNext/>
              <w:keepLines/>
              <w:wordWrap/>
              <w:spacing w:before="0" w:after="0"/>
              <w:ind w:left="200" w:hangingChars="100" w:hanging="200"/>
              <w:jc w:val="center"/>
              <w:rPr>
                <w:sz w:val="22"/>
                <w:szCs w:val="22"/>
                <w:lang w:val="en-GB"/>
              </w:rPr>
            </w:pPr>
            <w:r w:rsidRPr="00522CE2">
              <w:rPr>
                <w:color w:val="000000"/>
              </w:rPr>
              <w:t>−9.12%, 6.98%</w:t>
            </w:r>
          </w:p>
        </w:tc>
      </w:tr>
      <w:tr w:rsidR="0006231A" w:rsidRPr="00522CE2" w14:paraId="48AD9B9F" w14:textId="77777777" w:rsidTr="00BC66F4">
        <w:tc>
          <w:tcPr>
            <w:tcW w:w="553" w:type="pct"/>
            <w:vMerge/>
            <w:tcBorders>
              <w:left w:val="single" w:sz="4" w:space="0" w:color="auto"/>
              <w:bottom w:val="single" w:sz="4" w:space="0" w:color="auto"/>
              <w:right w:val="single" w:sz="4" w:space="0" w:color="auto"/>
            </w:tcBorders>
            <w:vAlign w:val="center"/>
          </w:tcPr>
          <w:p w14:paraId="2BE14AA6" w14:textId="77777777" w:rsidR="0006231A" w:rsidRPr="00522CE2" w:rsidRDefault="0006231A" w:rsidP="00BC66F4">
            <w:pPr>
              <w:keepNext/>
              <w:keepLines/>
              <w:wordWrap/>
              <w:spacing w:before="0" w:after="0"/>
              <w:jc w:val="both"/>
              <w:rPr>
                <w:sz w:val="22"/>
                <w:szCs w:val="22"/>
                <w:lang w:val="en-GB"/>
              </w:rPr>
            </w:pPr>
          </w:p>
        </w:tc>
        <w:tc>
          <w:tcPr>
            <w:tcW w:w="615" w:type="pct"/>
            <w:vMerge/>
            <w:tcBorders>
              <w:top w:val="single" w:sz="4" w:space="0" w:color="auto"/>
              <w:left w:val="single" w:sz="4" w:space="0" w:color="auto"/>
              <w:bottom w:val="single" w:sz="4" w:space="0" w:color="auto"/>
              <w:right w:val="single" w:sz="4" w:space="0" w:color="auto"/>
            </w:tcBorders>
          </w:tcPr>
          <w:p w14:paraId="7CF97EEB" w14:textId="77777777" w:rsidR="0006231A" w:rsidRPr="00522CE2" w:rsidRDefault="0006231A" w:rsidP="00BC66F4">
            <w:pPr>
              <w:keepNext/>
              <w:keepLines/>
              <w:wordWrap/>
              <w:spacing w:before="0" w:after="0"/>
              <w:rPr>
                <w:sz w:val="22"/>
                <w:szCs w:val="22"/>
                <w:lang w:val="en-GB"/>
              </w:rPr>
            </w:pPr>
          </w:p>
        </w:tc>
        <w:tc>
          <w:tcPr>
            <w:tcW w:w="1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A86FB8E" w14:textId="72481740" w:rsidR="0006231A" w:rsidRPr="00522CE2" w:rsidRDefault="0006231A" w:rsidP="00DE124E">
            <w:pPr>
              <w:keepNext/>
              <w:keepLines/>
              <w:wordWrap/>
              <w:spacing w:before="0" w:after="0"/>
              <w:rPr>
                <w:sz w:val="22"/>
                <w:szCs w:val="22"/>
                <w:lang w:val="en-GB"/>
              </w:rPr>
            </w:pPr>
            <w:proofErr w:type="spellStart"/>
            <w:r w:rsidRPr="00522CE2">
              <w:rPr>
                <w:sz w:val="22"/>
                <w:szCs w:val="22"/>
                <w:lang w:val="en-GB"/>
              </w:rPr>
              <w:t>Remicade</w:t>
            </w:r>
            <w:proofErr w:type="spellEnd"/>
            <w:r w:rsidRPr="00522CE2">
              <w:rPr>
                <w:sz w:val="22"/>
                <w:szCs w:val="22"/>
                <w:vertAlign w:val="superscript"/>
                <w:lang w:val="en-GB" w:eastAsia="en-AU"/>
              </w:rPr>
              <w:t>®</w:t>
            </w:r>
            <w:r w:rsidRPr="00522CE2">
              <w:rPr>
                <w:sz w:val="22"/>
                <w:szCs w:val="22"/>
                <w:lang w:val="en-GB" w:eastAsia="en-AU"/>
              </w:rPr>
              <w:t xml:space="preserve"> (N=2</w:t>
            </w:r>
            <w:r w:rsidR="00DE124E">
              <w:rPr>
                <w:rFonts w:hint="eastAsia"/>
                <w:sz w:val="22"/>
                <w:szCs w:val="22"/>
                <w:lang w:val="en-GB"/>
              </w:rPr>
              <w:t>08</w:t>
            </w:r>
            <w:r w:rsidRPr="00522CE2">
              <w:rPr>
                <w:sz w:val="22"/>
                <w:szCs w:val="22"/>
                <w:lang w:val="en-GB" w:eastAsia="en-AU"/>
              </w:rPr>
              <w:t>)</w:t>
            </w:r>
          </w:p>
        </w:tc>
        <w:tc>
          <w:tcPr>
            <w:tcW w:w="468" w:type="pct"/>
            <w:tcBorders>
              <w:top w:val="single" w:sz="4" w:space="0" w:color="auto"/>
              <w:left w:val="single" w:sz="4" w:space="0" w:color="auto"/>
              <w:bottom w:val="single" w:sz="4" w:space="0" w:color="auto"/>
              <w:right w:val="single" w:sz="4" w:space="0" w:color="auto"/>
            </w:tcBorders>
            <w:vAlign w:val="center"/>
          </w:tcPr>
          <w:p w14:paraId="776D2590" w14:textId="77777777" w:rsidR="0006231A" w:rsidRPr="00522CE2" w:rsidRDefault="0006231A" w:rsidP="00BC66F4">
            <w:pPr>
              <w:keepNext/>
              <w:keepLines/>
              <w:wordWrap/>
              <w:spacing w:before="0" w:after="0"/>
              <w:jc w:val="center"/>
              <w:rPr>
                <w:sz w:val="22"/>
                <w:szCs w:val="22"/>
                <w:lang w:val="en-GB"/>
              </w:rPr>
            </w:pPr>
            <w:r w:rsidRPr="00522CE2">
              <w:rPr>
                <w:color w:val="000000"/>
                <w:sz w:val="22"/>
                <w:szCs w:val="22"/>
              </w:rPr>
              <w:t>50/208</w:t>
            </w:r>
          </w:p>
        </w:tc>
        <w:tc>
          <w:tcPr>
            <w:tcW w:w="456" w:type="pct"/>
            <w:tcBorders>
              <w:top w:val="single" w:sz="4" w:space="0" w:color="auto"/>
              <w:left w:val="single" w:sz="4" w:space="0" w:color="auto"/>
              <w:bottom w:val="single" w:sz="4" w:space="0" w:color="auto"/>
              <w:right w:val="single" w:sz="4" w:space="0" w:color="auto"/>
            </w:tcBorders>
            <w:vAlign w:val="center"/>
          </w:tcPr>
          <w:p w14:paraId="3147013F" w14:textId="77777777" w:rsidR="0006231A" w:rsidRPr="00522CE2" w:rsidRDefault="0006231A" w:rsidP="00BC66F4">
            <w:pPr>
              <w:keepNext/>
              <w:keepLines/>
              <w:wordWrap/>
              <w:spacing w:before="0" w:after="0"/>
              <w:jc w:val="center"/>
              <w:rPr>
                <w:sz w:val="22"/>
                <w:szCs w:val="22"/>
                <w:lang w:val="en-GB"/>
              </w:rPr>
            </w:pPr>
            <w:r w:rsidRPr="00522CE2">
              <w:rPr>
                <w:color w:val="000000"/>
                <w:sz w:val="22"/>
                <w:szCs w:val="22"/>
              </w:rPr>
              <w:t>(24.0)</w:t>
            </w:r>
          </w:p>
        </w:tc>
        <w:tc>
          <w:tcPr>
            <w:tcW w:w="613" w:type="pct"/>
            <w:vMerge/>
            <w:tcBorders>
              <w:top w:val="single" w:sz="4" w:space="0" w:color="auto"/>
              <w:left w:val="single" w:sz="4" w:space="0" w:color="auto"/>
              <w:bottom w:val="single" w:sz="4" w:space="0" w:color="auto"/>
              <w:right w:val="single" w:sz="4" w:space="0" w:color="auto"/>
            </w:tcBorders>
            <w:vAlign w:val="center"/>
          </w:tcPr>
          <w:p w14:paraId="0C079200" w14:textId="77777777" w:rsidR="0006231A" w:rsidRPr="00522CE2" w:rsidRDefault="0006231A" w:rsidP="00BC66F4">
            <w:pPr>
              <w:keepNext/>
              <w:keepLines/>
              <w:wordWrap/>
              <w:spacing w:before="0" w:after="0"/>
              <w:jc w:val="center"/>
              <w:rPr>
                <w:sz w:val="22"/>
                <w:szCs w:val="22"/>
                <w:lang w:val="en-GB"/>
              </w:rPr>
            </w:pPr>
          </w:p>
        </w:tc>
        <w:tc>
          <w:tcPr>
            <w:tcW w:w="874" w:type="pct"/>
            <w:vMerge/>
            <w:tcBorders>
              <w:top w:val="single" w:sz="4" w:space="0" w:color="auto"/>
              <w:left w:val="single" w:sz="4" w:space="0" w:color="auto"/>
              <w:bottom w:val="single" w:sz="4" w:space="0" w:color="auto"/>
              <w:right w:val="single" w:sz="4" w:space="0" w:color="auto"/>
            </w:tcBorders>
          </w:tcPr>
          <w:p w14:paraId="1978C1C0" w14:textId="77777777" w:rsidR="0006231A" w:rsidRPr="00522CE2" w:rsidRDefault="0006231A" w:rsidP="00BC66F4">
            <w:pPr>
              <w:keepNext/>
              <w:keepLines/>
              <w:wordWrap/>
              <w:spacing w:before="0" w:after="0"/>
              <w:jc w:val="center"/>
              <w:rPr>
                <w:sz w:val="22"/>
                <w:szCs w:val="22"/>
                <w:lang w:val="en-GB"/>
              </w:rPr>
            </w:pPr>
          </w:p>
        </w:tc>
      </w:tr>
    </w:tbl>
    <w:p w14:paraId="4737F76E" w14:textId="77777777" w:rsidR="0006231A" w:rsidRPr="00F1513E" w:rsidRDefault="0006231A" w:rsidP="0006231A">
      <w:pPr>
        <w:pStyle w:val="NoSpacing"/>
        <w:jc w:val="left"/>
        <w:rPr>
          <w:rFonts w:ascii="Times New Roman" w:hAnsi="Times New Roman" w:cs="Times New Roman"/>
          <w:szCs w:val="20"/>
          <w:lang w:val="en-GB"/>
        </w:rPr>
      </w:pPr>
      <w:r w:rsidRPr="00F1513E">
        <w:rPr>
          <w:rFonts w:ascii="Times New Roman" w:hAnsi="Times New Roman" w:cs="Times New Roman"/>
          <w:szCs w:val="20"/>
          <w:lang w:val="en-GB"/>
        </w:rPr>
        <w:t>ACR20 = American College of Rheumatology 20% response criteria</w:t>
      </w:r>
    </w:p>
    <w:p w14:paraId="491C1A8A" w14:textId="77777777" w:rsidR="0006231A" w:rsidRDefault="0006231A" w:rsidP="0006231A">
      <w:pPr>
        <w:pStyle w:val="NoSpacing"/>
        <w:jc w:val="left"/>
        <w:rPr>
          <w:rFonts w:ascii="Times New Roman" w:hAnsi="Times New Roman" w:cs="Times New Roman"/>
          <w:szCs w:val="20"/>
          <w:lang w:val="en-GB"/>
        </w:rPr>
      </w:pPr>
      <w:r w:rsidRPr="00F1513E">
        <w:rPr>
          <w:rFonts w:ascii="Times New Roman" w:hAnsi="Times New Roman" w:cs="Times New Roman"/>
          <w:szCs w:val="20"/>
          <w:lang w:val="en-GB"/>
        </w:rPr>
        <w:t xml:space="preserve">CI = confidence interval; N = number of </w:t>
      </w:r>
      <w:r>
        <w:rPr>
          <w:rFonts w:ascii="Times New Roman" w:hAnsi="Times New Roman" w:cs="Times New Roman" w:hint="eastAsia"/>
          <w:szCs w:val="20"/>
          <w:lang w:val="en-GB"/>
        </w:rPr>
        <w:t>patients</w:t>
      </w:r>
      <w:r w:rsidRPr="00F1513E">
        <w:rPr>
          <w:rFonts w:ascii="Times New Roman" w:hAnsi="Times New Roman" w:cs="Times New Roman"/>
          <w:szCs w:val="20"/>
          <w:lang w:val="en-GB"/>
        </w:rPr>
        <w:t xml:space="preserve"> in the per-protocol set 1; n’ = number of </w:t>
      </w:r>
      <w:r>
        <w:rPr>
          <w:rFonts w:ascii="Times New Roman" w:hAnsi="Times New Roman" w:cs="Times New Roman" w:hint="eastAsia"/>
          <w:szCs w:val="20"/>
          <w:lang w:val="en-GB"/>
        </w:rPr>
        <w:t>patien</w:t>
      </w:r>
      <w:r w:rsidRPr="00F1513E">
        <w:rPr>
          <w:rFonts w:ascii="Times New Roman" w:hAnsi="Times New Roman" w:cs="Times New Roman"/>
          <w:szCs w:val="20"/>
          <w:lang w:val="en-GB"/>
        </w:rPr>
        <w:t xml:space="preserve">ts with an assessment; n = number of responders. Percentages were based on the number of </w:t>
      </w:r>
      <w:r>
        <w:rPr>
          <w:rFonts w:ascii="Times New Roman" w:hAnsi="Times New Roman" w:cs="Times New Roman" w:hint="eastAsia"/>
          <w:szCs w:val="20"/>
          <w:lang w:val="en-GB"/>
        </w:rPr>
        <w:t>patients</w:t>
      </w:r>
      <w:r w:rsidRPr="00F1513E">
        <w:rPr>
          <w:rFonts w:ascii="Times New Roman" w:hAnsi="Times New Roman" w:cs="Times New Roman"/>
          <w:szCs w:val="20"/>
          <w:lang w:val="en-GB"/>
        </w:rPr>
        <w:t xml:space="preserve"> in the per-protocol set 1.</w:t>
      </w:r>
    </w:p>
    <w:p w14:paraId="56330955" w14:textId="77777777" w:rsidR="0006231A" w:rsidRPr="00C36338" w:rsidRDefault="0006231A" w:rsidP="0006231A">
      <w:pPr>
        <w:pStyle w:val="NoSpacing"/>
        <w:jc w:val="left"/>
        <w:rPr>
          <w:rFonts w:ascii="Times New Roman" w:hAnsi="Times New Roman" w:cs="Times New Roman"/>
          <w:szCs w:val="20"/>
          <w:lang w:val="en-GB"/>
        </w:rPr>
      </w:pPr>
      <w:proofErr w:type="gramStart"/>
      <w:r>
        <w:rPr>
          <w:rFonts w:ascii="Times New Roman" w:hAnsi="Times New Roman" w:cs="Times New Roman" w:hint="eastAsia"/>
          <w:szCs w:val="20"/>
          <w:vertAlign w:val="superscript"/>
          <w:lang w:val="en-GB"/>
        </w:rPr>
        <w:t>a</w:t>
      </w:r>
      <w:proofErr w:type="gramEnd"/>
      <w:r>
        <w:rPr>
          <w:rFonts w:ascii="Times New Roman" w:hAnsi="Times New Roman" w:cs="Times New Roman" w:hint="eastAsia"/>
          <w:szCs w:val="20"/>
          <w:vertAlign w:val="superscript"/>
          <w:lang w:val="en-GB"/>
        </w:rPr>
        <w:t xml:space="preserve"> </w:t>
      </w:r>
      <w:r>
        <w:rPr>
          <w:rFonts w:ascii="Times New Roman" w:hAnsi="Times New Roman" w:cs="Times New Roman" w:hint="eastAsia"/>
          <w:szCs w:val="20"/>
          <w:lang w:val="en-GB"/>
        </w:rPr>
        <w:t xml:space="preserve">Per protocol set 1 = </w:t>
      </w:r>
      <w:r w:rsidRPr="00C36338">
        <w:rPr>
          <w:rFonts w:ascii="Times New Roman" w:hAnsi="Times New Roman" w:cs="Times New Roman"/>
          <w:szCs w:val="20"/>
          <w:lang w:val="en-GB"/>
        </w:rPr>
        <w:t xml:space="preserve">consisted of all </w:t>
      </w:r>
      <w:r>
        <w:rPr>
          <w:rFonts w:ascii="Times New Roman" w:hAnsi="Times New Roman" w:cs="Times New Roman" w:hint="eastAsia"/>
          <w:szCs w:val="20"/>
          <w:lang w:val="en-GB"/>
        </w:rPr>
        <w:t>full analysis set patients</w:t>
      </w:r>
      <w:r w:rsidRPr="00C36338">
        <w:rPr>
          <w:rFonts w:ascii="Times New Roman" w:hAnsi="Times New Roman" w:cs="Times New Roman"/>
          <w:szCs w:val="20"/>
          <w:lang w:val="en-GB"/>
        </w:rPr>
        <w:t xml:space="preserve"> who completed the Week 30 visit and</w:t>
      </w:r>
    </w:p>
    <w:p w14:paraId="7EF9DC9D" w14:textId="77777777" w:rsidR="0006231A" w:rsidRPr="00C36338" w:rsidRDefault="0006231A" w:rsidP="0006231A">
      <w:pPr>
        <w:pStyle w:val="NoSpacing"/>
        <w:jc w:val="left"/>
        <w:rPr>
          <w:rFonts w:ascii="Times New Roman" w:hAnsi="Times New Roman" w:cs="Times New Roman"/>
          <w:szCs w:val="20"/>
          <w:lang w:val="en-GB"/>
        </w:rPr>
      </w:pPr>
      <w:proofErr w:type="gramStart"/>
      <w:r w:rsidRPr="00C36338">
        <w:rPr>
          <w:rFonts w:ascii="Times New Roman" w:hAnsi="Times New Roman" w:cs="Times New Roman"/>
          <w:szCs w:val="20"/>
          <w:lang w:val="en-GB"/>
        </w:rPr>
        <w:t>had</w:t>
      </w:r>
      <w:proofErr w:type="gramEnd"/>
      <w:r w:rsidRPr="00C36338">
        <w:rPr>
          <w:rFonts w:ascii="Times New Roman" w:hAnsi="Times New Roman" w:cs="Times New Roman"/>
          <w:szCs w:val="20"/>
          <w:lang w:val="en-GB"/>
        </w:rPr>
        <w:t xml:space="preserve"> an adherence (from Baseline to Week 30) within the range 80-120% of both the expected</w:t>
      </w:r>
    </w:p>
    <w:p w14:paraId="529171F6" w14:textId="77777777" w:rsidR="0006231A" w:rsidRDefault="0006231A" w:rsidP="0006231A">
      <w:pPr>
        <w:pStyle w:val="NoSpacing"/>
        <w:jc w:val="left"/>
        <w:rPr>
          <w:rFonts w:ascii="Times New Roman" w:hAnsi="Times New Roman" w:cs="Times New Roman"/>
          <w:szCs w:val="20"/>
          <w:lang w:val="en-GB"/>
        </w:rPr>
      </w:pPr>
      <w:proofErr w:type="gramStart"/>
      <w:r w:rsidRPr="004054B5">
        <w:rPr>
          <w:rFonts w:ascii="Times New Roman" w:hAnsi="Times New Roman" w:cs="Times New Roman"/>
          <w:szCs w:val="20"/>
          <w:lang w:val="en-GB"/>
        </w:rPr>
        <w:t>number</w:t>
      </w:r>
      <w:proofErr w:type="gramEnd"/>
      <w:r w:rsidRPr="004054B5">
        <w:rPr>
          <w:rFonts w:ascii="Times New Roman" w:hAnsi="Times New Roman" w:cs="Times New Roman"/>
          <w:szCs w:val="20"/>
          <w:lang w:val="en-GB"/>
        </w:rPr>
        <w:t xml:space="preserve"> of either RENFLEXIS or </w:t>
      </w:r>
      <w:proofErr w:type="spellStart"/>
      <w:r w:rsidRPr="004054B5">
        <w:rPr>
          <w:rFonts w:ascii="Times New Roman" w:hAnsi="Times New Roman" w:cs="Times New Roman"/>
          <w:szCs w:val="20"/>
          <w:lang w:val="en-GB"/>
        </w:rPr>
        <w:t>Remicade</w:t>
      </w:r>
      <w:proofErr w:type="spellEnd"/>
      <w:r w:rsidRPr="004054B5">
        <w:rPr>
          <w:rFonts w:ascii="Times New Roman" w:hAnsi="Times New Roman" w:cs="Times New Roman"/>
          <w:szCs w:val="20"/>
          <w:vertAlign w:val="superscript"/>
          <w:lang w:val="en-GB"/>
        </w:rPr>
        <w:t>®</w:t>
      </w:r>
      <w:r w:rsidRPr="004054B5">
        <w:rPr>
          <w:rFonts w:ascii="Times New Roman" w:hAnsi="Times New Roman" w:cs="Times New Roman"/>
          <w:szCs w:val="20"/>
          <w:lang w:val="en-GB"/>
        </w:rPr>
        <w:t xml:space="preserve"> administrations and the expected sum of MTX doses without any major protocol deviations that affected the efficacy assessment.</w:t>
      </w:r>
    </w:p>
    <w:p w14:paraId="30CDDF08" w14:textId="77777777" w:rsidR="0006231A" w:rsidRPr="00580EA5" w:rsidRDefault="0006231A" w:rsidP="0006231A">
      <w:pPr>
        <w:pStyle w:val="NoSpacing"/>
        <w:jc w:val="left"/>
        <w:rPr>
          <w:rFonts w:ascii="Times New Roman" w:hAnsi="Times New Roman" w:cs="Times New Roman"/>
          <w:szCs w:val="20"/>
          <w:lang w:val="en-GB"/>
        </w:rPr>
      </w:pPr>
      <w:proofErr w:type="gramStart"/>
      <w:r w:rsidRPr="00522CE2">
        <w:rPr>
          <w:rFonts w:ascii="Times New Roman" w:hAnsi="Times New Roman" w:cs="Times New Roman"/>
          <w:szCs w:val="20"/>
          <w:vertAlign w:val="superscript"/>
          <w:lang w:val="en-GB"/>
        </w:rPr>
        <w:t>b</w:t>
      </w:r>
      <w:proofErr w:type="gramEnd"/>
      <w:r>
        <w:rPr>
          <w:rFonts w:ascii="Times New Roman" w:hAnsi="Times New Roman" w:cs="Times New Roman" w:hint="eastAsia"/>
          <w:szCs w:val="20"/>
          <w:vertAlign w:val="superscript"/>
          <w:lang w:val="en-GB"/>
        </w:rPr>
        <w:t xml:space="preserve"> </w:t>
      </w:r>
      <w:r>
        <w:rPr>
          <w:rFonts w:ascii="Times New Roman" w:hAnsi="Times New Roman" w:cs="Times New Roman"/>
          <w:szCs w:val="20"/>
          <w:lang w:val="en-GB"/>
        </w:rPr>
        <w:t xml:space="preserve">Per protocol set 2 = </w:t>
      </w:r>
      <w:r w:rsidRPr="00580EA5">
        <w:rPr>
          <w:rFonts w:ascii="Times New Roman" w:hAnsi="Times New Roman" w:cs="Times New Roman"/>
          <w:szCs w:val="20"/>
          <w:lang w:val="en-GB"/>
        </w:rPr>
        <w:t xml:space="preserve">consisted of all </w:t>
      </w:r>
      <w:r>
        <w:rPr>
          <w:rFonts w:ascii="Times New Roman" w:hAnsi="Times New Roman" w:cs="Times New Roman" w:hint="eastAsia"/>
          <w:szCs w:val="20"/>
          <w:lang w:val="en-GB"/>
        </w:rPr>
        <w:t>full analysis</w:t>
      </w:r>
      <w:r w:rsidRPr="00580EA5">
        <w:rPr>
          <w:rFonts w:ascii="Times New Roman" w:hAnsi="Times New Roman" w:cs="Times New Roman"/>
          <w:szCs w:val="20"/>
          <w:lang w:val="en-GB"/>
        </w:rPr>
        <w:t xml:space="preserve"> </w:t>
      </w:r>
      <w:r>
        <w:rPr>
          <w:rFonts w:ascii="Times New Roman" w:hAnsi="Times New Roman" w:cs="Times New Roman" w:hint="eastAsia"/>
          <w:szCs w:val="20"/>
          <w:lang w:val="en-GB"/>
        </w:rPr>
        <w:t>patien</w:t>
      </w:r>
      <w:r w:rsidRPr="00580EA5">
        <w:rPr>
          <w:rFonts w:ascii="Times New Roman" w:hAnsi="Times New Roman" w:cs="Times New Roman"/>
          <w:szCs w:val="20"/>
          <w:lang w:val="en-GB"/>
        </w:rPr>
        <w:t>ts who completed the Week 54</w:t>
      </w:r>
    </w:p>
    <w:p w14:paraId="64F208A0" w14:textId="77777777" w:rsidR="0006231A" w:rsidRPr="00580EA5" w:rsidRDefault="0006231A" w:rsidP="0006231A">
      <w:pPr>
        <w:pStyle w:val="NoSpacing"/>
        <w:jc w:val="left"/>
        <w:rPr>
          <w:rFonts w:ascii="Times New Roman" w:hAnsi="Times New Roman" w:cs="Times New Roman"/>
          <w:szCs w:val="20"/>
          <w:lang w:val="en-GB"/>
        </w:rPr>
      </w:pPr>
      <w:proofErr w:type="gramStart"/>
      <w:r w:rsidRPr="00580EA5">
        <w:rPr>
          <w:rFonts w:ascii="Times New Roman" w:hAnsi="Times New Roman" w:cs="Times New Roman"/>
          <w:szCs w:val="20"/>
          <w:lang w:val="en-GB"/>
        </w:rPr>
        <w:t>visit</w:t>
      </w:r>
      <w:proofErr w:type="gramEnd"/>
      <w:r w:rsidRPr="00580EA5">
        <w:rPr>
          <w:rFonts w:ascii="Times New Roman" w:hAnsi="Times New Roman" w:cs="Times New Roman"/>
          <w:szCs w:val="20"/>
          <w:lang w:val="en-GB"/>
        </w:rPr>
        <w:t xml:space="preserve"> and had an adherence (from Baseline to Week 54) within the range of 80-120% for both the</w:t>
      </w:r>
    </w:p>
    <w:p w14:paraId="3441D058" w14:textId="77777777" w:rsidR="0006231A" w:rsidRPr="00580EA5" w:rsidRDefault="0006231A" w:rsidP="0006231A">
      <w:pPr>
        <w:pStyle w:val="NoSpacing"/>
        <w:jc w:val="left"/>
        <w:rPr>
          <w:rFonts w:ascii="Times New Roman" w:hAnsi="Times New Roman" w:cs="Times New Roman"/>
          <w:szCs w:val="20"/>
          <w:lang w:val="en-GB"/>
        </w:rPr>
      </w:pPr>
      <w:proofErr w:type="gramStart"/>
      <w:r w:rsidRPr="00580EA5">
        <w:rPr>
          <w:rFonts w:ascii="Times New Roman" w:hAnsi="Times New Roman" w:cs="Times New Roman"/>
          <w:szCs w:val="20"/>
          <w:lang w:val="en-GB"/>
        </w:rPr>
        <w:t>expected</w:t>
      </w:r>
      <w:proofErr w:type="gramEnd"/>
      <w:r w:rsidRPr="00580EA5">
        <w:rPr>
          <w:rFonts w:ascii="Times New Roman" w:hAnsi="Times New Roman" w:cs="Times New Roman"/>
          <w:szCs w:val="20"/>
          <w:lang w:val="en-GB"/>
        </w:rPr>
        <w:t xml:space="preserve"> number of IP administrations and the expected sum of MTX doses without any major</w:t>
      </w:r>
    </w:p>
    <w:p w14:paraId="5BE2A139" w14:textId="77777777" w:rsidR="0006231A" w:rsidRPr="004054B5" w:rsidRDefault="0006231A" w:rsidP="0006231A">
      <w:pPr>
        <w:pStyle w:val="NoSpacing"/>
        <w:jc w:val="left"/>
        <w:rPr>
          <w:rFonts w:ascii="Times New Roman" w:hAnsi="Times New Roman" w:cs="Times New Roman"/>
          <w:szCs w:val="20"/>
          <w:lang w:val="en-GB"/>
        </w:rPr>
      </w:pPr>
      <w:proofErr w:type="gramStart"/>
      <w:r w:rsidRPr="00580EA5">
        <w:rPr>
          <w:rFonts w:ascii="Times New Roman" w:hAnsi="Times New Roman" w:cs="Times New Roman"/>
          <w:szCs w:val="20"/>
          <w:lang w:val="en-GB"/>
        </w:rPr>
        <w:t>protocol</w:t>
      </w:r>
      <w:proofErr w:type="gramEnd"/>
      <w:r w:rsidRPr="00580EA5">
        <w:rPr>
          <w:rFonts w:ascii="Times New Roman" w:hAnsi="Times New Roman" w:cs="Times New Roman"/>
          <w:szCs w:val="20"/>
          <w:lang w:val="en-GB"/>
        </w:rPr>
        <w:t xml:space="preserve"> deviations that affected the efficacy assessment.</w:t>
      </w:r>
    </w:p>
    <w:p w14:paraId="5F5F68B7" w14:textId="77777777" w:rsidR="0006231A" w:rsidRDefault="0006231A" w:rsidP="007947DB">
      <w:pPr>
        <w:spacing w:line="240" w:lineRule="auto"/>
        <w:rPr>
          <w:rFonts w:ascii="Times New Roman" w:eastAsia="Malgun Gothic" w:hAnsi="Times New Roman" w:cs="Times New Roman"/>
          <w:sz w:val="24"/>
          <w:szCs w:val="24"/>
          <w:lang w:val="en-GB"/>
        </w:rPr>
      </w:pPr>
    </w:p>
    <w:p w14:paraId="1ED70098" w14:textId="3C5CD346" w:rsidR="004A10AE" w:rsidRPr="00945FBD" w:rsidRDefault="005B6103" w:rsidP="003B022B">
      <w:pPr>
        <w:spacing w:line="240" w:lineRule="auto"/>
        <w:jc w:val="left"/>
      </w:pPr>
      <w:r>
        <w:rPr>
          <w:rFonts w:ascii="Times New Roman" w:eastAsia="Malgun Gothic" w:hAnsi="Times New Roman" w:cs="Times New Roman" w:hint="eastAsia"/>
          <w:sz w:val="24"/>
          <w:szCs w:val="24"/>
          <w:lang w:val="en-GB"/>
        </w:rPr>
        <w:t>T</w:t>
      </w:r>
      <w:r w:rsidR="004A10AE" w:rsidRPr="00D86EF3">
        <w:rPr>
          <w:rFonts w:ascii="Times New Roman" w:eastAsia="Malgun Gothic" w:hAnsi="Times New Roman" w:cs="Times New Roman"/>
          <w:sz w:val="24"/>
          <w:szCs w:val="24"/>
          <w:lang w:val="en-GB"/>
        </w:rPr>
        <w:t xml:space="preserve">he secondary efficacy endpoints including ACR50, ACR70, DAS28, EULAR response at Week 30 and Week 54 were comparable between RENFLEXIS and EU </w:t>
      </w:r>
      <w:proofErr w:type="spellStart"/>
      <w:r w:rsidR="004A10AE" w:rsidRPr="00D86EF3">
        <w:rPr>
          <w:rFonts w:ascii="Times New Roman" w:eastAsia="Malgun Gothic" w:hAnsi="Times New Roman" w:cs="Times New Roman"/>
          <w:sz w:val="24"/>
          <w:szCs w:val="24"/>
          <w:lang w:val="en-GB"/>
        </w:rPr>
        <w:t>Remicade</w:t>
      </w:r>
      <w:proofErr w:type="spellEnd"/>
      <w:r w:rsidR="004A10AE" w:rsidRPr="00D86EF3">
        <w:rPr>
          <w:rFonts w:ascii="Times New Roman" w:eastAsia="Malgun Gothic" w:hAnsi="Times New Roman" w:cs="Times New Roman"/>
          <w:sz w:val="24"/>
          <w:szCs w:val="24"/>
          <w:vertAlign w:val="superscript"/>
          <w:lang w:val="en-GB"/>
        </w:rPr>
        <w:t>®</w:t>
      </w:r>
      <w:r w:rsidR="004A10AE" w:rsidRPr="00DE124E">
        <w:rPr>
          <w:rFonts w:ascii="Times New Roman" w:eastAsia="Malgun Gothic" w:hAnsi="Times New Roman" w:cs="Times New Roman"/>
          <w:sz w:val="24"/>
          <w:szCs w:val="24"/>
          <w:lang w:val="en-GB"/>
        </w:rPr>
        <w:t>.</w:t>
      </w:r>
      <w:r w:rsidR="004A10AE" w:rsidRPr="00D86EF3">
        <w:rPr>
          <w:rFonts w:ascii="Times New Roman" w:eastAsia="Malgun Gothic" w:hAnsi="Times New Roman" w:cs="Times New Roman"/>
          <w:sz w:val="24"/>
          <w:szCs w:val="24"/>
          <w:lang w:val="en-GB"/>
        </w:rPr>
        <w:t xml:space="preserve"> Furthermore, the changes from baseline in structural joint </w:t>
      </w:r>
      <w:proofErr w:type="spellStart"/>
      <w:r w:rsidR="004A10AE" w:rsidRPr="00D86EF3">
        <w:rPr>
          <w:rFonts w:ascii="Times New Roman" w:eastAsia="Malgun Gothic" w:hAnsi="Times New Roman" w:cs="Times New Roman"/>
          <w:sz w:val="24"/>
          <w:szCs w:val="24"/>
          <w:lang w:val="en-GB"/>
        </w:rPr>
        <w:t>damange</w:t>
      </w:r>
      <w:proofErr w:type="spellEnd"/>
      <w:r w:rsidR="004A10AE" w:rsidRPr="00D86EF3">
        <w:rPr>
          <w:rFonts w:ascii="Times New Roman" w:eastAsia="Malgun Gothic" w:hAnsi="Times New Roman" w:cs="Times New Roman"/>
          <w:sz w:val="24"/>
          <w:szCs w:val="24"/>
          <w:lang w:val="en-GB"/>
        </w:rPr>
        <w:t xml:space="preserve"> (change of </w:t>
      </w:r>
      <w:proofErr w:type="spellStart"/>
      <w:r w:rsidR="004A10AE" w:rsidRPr="00D86EF3">
        <w:rPr>
          <w:rFonts w:ascii="Times New Roman" w:eastAsia="Malgun Gothic" w:hAnsi="Times New Roman" w:cs="Times New Roman"/>
          <w:sz w:val="24"/>
          <w:szCs w:val="24"/>
          <w:lang w:val="en-GB"/>
        </w:rPr>
        <w:t>mTSS</w:t>
      </w:r>
      <w:proofErr w:type="spellEnd"/>
      <w:r w:rsidR="004A10AE" w:rsidRPr="00D86EF3">
        <w:rPr>
          <w:rFonts w:ascii="Times New Roman" w:eastAsia="Malgun Gothic" w:hAnsi="Times New Roman" w:cs="Times New Roman"/>
          <w:sz w:val="24"/>
          <w:szCs w:val="24"/>
          <w:lang w:val="en-GB"/>
        </w:rPr>
        <w:t>) at Week 54 were comparable between the two groups.</w:t>
      </w:r>
    </w:p>
    <w:p w14:paraId="4EA71582" w14:textId="502209F5" w:rsidR="00945FBD" w:rsidRPr="00CE1662" w:rsidRDefault="00945FBD" w:rsidP="007947DB">
      <w:pPr>
        <w:widowControl/>
        <w:wordWrap/>
        <w:adjustRightInd w:val="0"/>
        <w:spacing w:after="0" w:line="240" w:lineRule="auto"/>
        <w:jc w:val="left"/>
        <w:rPr>
          <w:rFonts w:ascii="Times New Roman" w:hAnsi="Times New Roman" w:cs="Times New Roman"/>
          <w:kern w:val="0"/>
          <w:sz w:val="24"/>
          <w:szCs w:val="24"/>
        </w:rPr>
      </w:pPr>
      <w:r w:rsidRPr="00CE1662">
        <w:rPr>
          <w:rFonts w:ascii="Times New Roman" w:hAnsi="Times New Roman" w:cs="Times New Roman"/>
          <w:kern w:val="0"/>
          <w:sz w:val="24"/>
          <w:szCs w:val="24"/>
        </w:rPr>
        <w:lastRenderedPageBreak/>
        <w:t xml:space="preserve">Patients who completed the 54-week </w:t>
      </w:r>
      <w:proofErr w:type="spellStart"/>
      <w:r w:rsidRPr="00CE1662">
        <w:rPr>
          <w:rFonts w:ascii="Times New Roman" w:hAnsi="Times New Roman" w:cs="Times New Roman"/>
          <w:kern w:val="0"/>
          <w:sz w:val="24"/>
          <w:szCs w:val="24"/>
        </w:rPr>
        <w:t>randomised</w:t>
      </w:r>
      <w:proofErr w:type="spellEnd"/>
      <w:r w:rsidRPr="00CE1662">
        <w:rPr>
          <w:rFonts w:ascii="Times New Roman" w:hAnsi="Times New Roman" w:cs="Times New Roman"/>
          <w:kern w:val="0"/>
          <w:sz w:val="24"/>
          <w:szCs w:val="24"/>
        </w:rPr>
        <w:t xml:space="preserve">, double-blind period of Study SB2-G31-RA were eligible to enter the transition extension study. At Week 54, </w:t>
      </w:r>
      <w:r w:rsidR="0051221E">
        <w:rPr>
          <w:rFonts w:ascii="Times New Roman" w:hAnsi="Times New Roman" w:cs="Times New Roman" w:hint="eastAsia"/>
          <w:kern w:val="0"/>
          <w:sz w:val="24"/>
          <w:szCs w:val="24"/>
        </w:rPr>
        <w:t xml:space="preserve">195 </w:t>
      </w:r>
      <w:r w:rsidRPr="00CE1662">
        <w:rPr>
          <w:rFonts w:ascii="Times New Roman" w:hAnsi="Times New Roman" w:cs="Times New Roman"/>
          <w:kern w:val="0"/>
          <w:sz w:val="24"/>
          <w:szCs w:val="24"/>
        </w:rPr>
        <w:t xml:space="preserve">patients receiving </w:t>
      </w:r>
      <w:proofErr w:type="spellStart"/>
      <w:r w:rsidRPr="00CE1662">
        <w:rPr>
          <w:rFonts w:ascii="Times New Roman" w:hAnsi="Times New Roman" w:cs="Times New Roman"/>
          <w:kern w:val="0"/>
          <w:sz w:val="24"/>
          <w:szCs w:val="24"/>
        </w:rPr>
        <w:t>Remicade</w:t>
      </w:r>
      <w:proofErr w:type="spellEnd"/>
      <w:r w:rsidRPr="00CE1662">
        <w:rPr>
          <w:rFonts w:ascii="Times New Roman" w:hAnsi="Times New Roman" w:cs="Times New Roman"/>
          <w:sz w:val="24"/>
          <w:szCs w:val="24"/>
          <w:vertAlign w:val="superscript"/>
        </w:rPr>
        <w:t>®</w:t>
      </w:r>
      <w:r w:rsidRPr="00CE1662">
        <w:rPr>
          <w:rFonts w:ascii="Times New Roman" w:hAnsi="Times New Roman" w:cs="Times New Roman"/>
          <w:sz w:val="24"/>
          <w:szCs w:val="24"/>
        </w:rPr>
        <w:t xml:space="preserve"> </w:t>
      </w:r>
      <w:r w:rsidRPr="00CE1662">
        <w:rPr>
          <w:rFonts w:ascii="Times New Roman" w:hAnsi="Times New Roman" w:cs="Times New Roman"/>
          <w:kern w:val="0"/>
          <w:sz w:val="24"/>
          <w:szCs w:val="24"/>
        </w:rPr>
        <w:t>were re-</w:t>
      </w:r>
      <w:proofErr w:type="spellStart"/>
      <w:r w:rsidRPr="00CE1662">
        <w:rPr>
          <w:rFonts w:ascii="Times New Roman" w:hAnsi="Times New Roman" w:cs="Times New Roman"/>
          <w:kern w:val="0"/>
          <w:sz w:val="24"/>
          <w:szCs w:val="24"/>
        </w:rPr>
        <w:t>randomised</w:t>
      </w:r>
      <w:proofErr w:type="spellEnd"/>
      <w:r w:rsidRPr="00CE1662">
        <w:rPr>
          <w:rFonts w:ascii="Times New Roman" w:hAnsi="Times New Roman" w:cs="Times New Roman"/>
          <w:kern w:val="0"/>
          <w:sz w:val="24"/>
          <w:szCs w:val="24"/>
        </w:rPr>
        <w:t xml:space="preserve"> to either continue on </w:t>
      </w:r>
      <w:proofErr w:type="spellStart"/>
      <w:r w:rsidRPr="00CE1662">
        <w:rPr>
          <w:rFonts w:ascii="Times New Roman" w:hAnsi="Times New Roman" w:cs="Times New Roman"/>
          <w:kern w:val="0"/>
          <w:sz w:val="24"/>
          <w:szCs w:val="24"/>
        </w:rPr>
        <w:t>Remicade</w:t>
      </w:r>
      <w:proofErr w:type="spellEnd"/>
      <w:r w:rsidRPr="00CE1662">
        <w:rPr>
          <w:rFonts w:ascii="Times New Roman" w:hAnsi="Times New Roman" w:cs="Times New Roman"/>
          <w:kern w:val="0"/>
          <w:sz w:val="24"/>
          <w:szCs w:val="24"/>
          <w:vertAlign w:val="superscript"/>
        </w:rPr>
        <w:t xml:space="preserve">® </w:t>
      </w:r>
      <w:r w:rsidRPr="00CE1662">
        <w:rPr>
          <w:rFonts w:ascii="Times New Roman" w:hAnsi="Times New Roman" w:cs="Times New Roman"/>
          <w:kern w:val="0"/>
          <w:sz w:val="24"/>
          <w:szCs w:val="24"/>
        </w:rPr>
        <w:t>(</w:t>
      </w:r>
      <w:proofErr w:type="spellStart"/>
      <w:r w:rsidRPr="00CE1662">
        <w:rPr>
          <w:rFonts w:ascii="Times New Roman" w:hAnsi="Times New Roman" w:cs="Times New Roman"/>
          <w:kern w:val="0"/>
          <w:sz w:val="24"/>
          <w:szCs w:val="24"/>
        </w:rPr>
        <w:t>Remicade</w:t>
      </w:r>
      <w:proofErr w:type="spellEnd"/>
      <w:r w:rsidRPr="00CE1662">
        <w:rPr>
          <w:rFonts w:ascii="Times New Roman" w:hAnsi="Times New Roman" w:cs="Times New Roman"/>
          <w:kern w:val="0"/>
          <w:sz w:val="24"/>
          <w:szCs w:val="24"/>
          <w:vertAlign w:val="superscript"/>
        </w:rPr>
        <w:t>®</w:t>
      </w:r>
      <w:r w:rsidRPr="00CE1662">
        <w:rPr>
          <w:rFonts w:ascii="Times New Roman" w:hAnsi="Times New Roman" w:cs="Times New Roman"/>
          <w:kern w:val="0"/>
          <w:sz w:val="24"/>
          <w:szCs w:val="24"/>
        </w:rPr>
        <w:t>/</w:t>
      </w:r>
      <w:proofErr w:type="spellStart"/>
      <w:r w:rsidRPr="00CE1662">
        <w:rPr>
          <w:rFonts w:ascii="Times New Roman" w:hAnsi="Times New Roman" w:cs="Times New Roman"/>
          <w:kern w:val="0"/>
          <w:sz w:val="24"/>
          <w:szCs w:val="24"/>
        </w:rPr>
        <w:t>Remicade</w:t>
      </w:r>
      <w:proofErr w:type="spellEnd"/>
      <w:r w:rsidRPr="00CE1662">
        <w:rPr>
          <w:rFonts w:ascii="Times New Roman" w:hAnsi="Times New Roman" w:cs="Times New Roman"/>
          <w:kern w:val="0"/>
          <w:sz w:val="24"/>
          <w:szCs w:val="24"/>
          <w:vertAlign w:val="superscript"/>
        </w:rPr>
        <w:t>®</w:t>
      </w:r>
      <w:r w:rsidRPr="00CE1662">
        <w:rPr>
          <w:rFonts w:ascii="Times New Roman" w:hAnsi="Times New Roman" w:cs="Times New Roman"/>
          <w:kern w:val="0"/>
          <w:sz w:val="24"/>
          <w:szCs w:val="24"/>
        </w:rPr>
        <w:t>)</w:t>
      </w:r>
      <w:r w:rsidR="00FD4151">
        <w:rPr>
          <w:rFonts w:ascii="Times New Roman" w:hAnsi="Times New Roman" w:cs="Times New Roman" w:hint="eastAsia"/>
          <w:kern w:val="0"/>
          <w:sz w:val="24"/>
          <w:szCs w:val="24"/>
        </w:rPr>
        <w:t xml:space="preserve"> with 101 patients</w:t>
      </w:r>
      <w:r w:rsidRPr="00CE1662">
        <w:rPr>
          <w:rFonts w:ascii="Times New Roman" w:hAnsi="Times New Roman" w:cs="Times New Roman"/>
          <w:kern w:val="0"/>
          <w:sz w:val="24"/>
          <w:szCs w:val="24"/>
        </w:rPr>
        <w:t xml:space="preserve"> or transition to RENFLEXIS (</w:t>
      </w:r>
      <w:proofErr w:type="spellStart"/>
      <w:r w:rsidRPr="00CE1662">
        <w:rPr>
          <w:rFonts w:ascii="Times New Roman" w:hAnsi="Times New Roman" w:cs="Times New Roman"/>
          <w:kern w:val="0"/>
          <w:sz w:val="24"/>
          <w:szCs w:val="24"/>
        </w:rPr>
        <w:t>Remicade</w:t>
      </w:r>
      <w:proofErr w:type="spellEnd"/>
      <w:r w:rsidRPr="00CE1662">
        <w:rPr>
          <w:rFonts w:ascii="Times New Roman" w:hAnsi="Times New Roman" w:cs="Times New Roman"/>
          <w:kern w:val="0"/>
          <w:sz w:val="24"/>
          <w:szCs w:val="24"/>
          <w:vertAlign w:val="superscript"/>
        </w:rPr>
        <w:t>®</w:t>
      </w:r>
      <w:r w:rsidRPr="00CE1662">
        <w:rPr>
          <w:rFonts w:ascii="Times New Roman" w:hAnsi="Times New Roman" w:cs="Times New Roman"/>
          <w:kern w:val="0"/>
          <w:sz w:val="24"/>
          <w:szCs w:val="24"/>
        </w:rPr>
        <w:t xml:space="preserve">/RENFLEXIS) </w:t>
      </w:r>
      <w:r w:rsidR="005B6103">
        <w:rPr>
          <w:rFonts w:ascii="Times New Roman" w:hAnsi="Times New Roman" w:cs="Times New Roman" w:hint="eastAsia"/>
          <w:kern w:val="0"/>
          <w:sz w:val="24"/>
          <w:szCs w:val="24"/>
        </w:rPr>
        <w:t xml:space="preserve">with </w:t>
      </w:r>
      <w:r w:rsidR="00FD4151">
        <w:rPr>
          <w:rFonts w:ascii="Times New Roman" w:hAnsi="Times New Roman" w:cs="Times New Roman" w:hint="eastAsia"/>
          <w:kern w:val="0"/>
          <w:sz w:val="24"/>
          <w:szCs w:val="24"/>
        </w:rPr>
        <w:t xml:space="preserve">94 patients </w:t>
      </w:r>
      <w:r w:rsidRPr="00CE1662">
        <w:rPr>
          <w:rFonts w:ascii="Times New Roman" w:hAnsi="Times New Roman" w:cs="Times New Roman"/>
          <w:kern w:val="0"/>
          <w:sz w:val="24"/>
          <w:szCs w:val="24"/>
        </w:rPr>
        <w:t xml:space="preserve">up to Week 70. </w:t>
      </w:r>
      <w:r w:rsidR="00FD4151">
        <w:rPr>
          <w:rFonts w:ascii="Times New Roman" w:hAnsi="Times New Roman" w:cs="Times New Roman" w:hint="eastAsia"/>
          <w:kern w:val="0"/>
          <w:sz w:val="24"/>
          <w:szCs w:val="24"/>
        </w:rPr>
        <w:t>A total of 201 p</w:t>
      </w:r>
      <w:r w:rsidRPr="00CE1662">
        <w:rPr>
          <w:rFonts w:ascii="Times New Roman" w:hAnsi="Times New Roman" w:cs="Times New Roman"/>
          <w:kern w:val="0"/>
          <w:sz w:val="24"/>
          <w:szCs w:val="24"/>
        </w:rPr>
        <w:t xml:space="preserve">atients receiving RENFLEXIS during the </w:t>
      </w:r>
      <w:proofErr w:type="spellStart"/>
      <w:r w:rsidRPr="00CE1662">
        <w:rPr>
          <w:rFonts w:ascii="Times New Roman" w:hAnsi="Times New Roman" w:cs="Times New Roman"/>
          <w:kern w:val="0"/>
          <w:sz w:val="24"/>
          <w:szCs w:val="24"/>
        </w:rPr>
        <w:t>randomised</w:t>
      </w:r>
      <w:proofErr w:type="spellEnd"/>
      <w:r w:rsidRPr="00CE1662">
        <w:rPr>
          <w:rFonts w:ascii="Times New Roman" w:hAnsi="Times New Roman" w:cs="Times New Roman"/>
          <w:kern w:val="0"/>
          <w:sz w:val="24"/>
          <w:szCs w:val="24"/>
        </w:rPr>
        <w:t xml:space="preserve">, double-blind period of Study SB2-G31-RA continued to receive RENFLEXIS up to Week 70. </w:t>
      </w:r>
    </w:p>
    <w:p w14:paraId="7AF10460" w14:textId="77777777" w:rsidR="00945FBD" w:rsidRPr="00CE1662" w:rsidRDefault="00945FBD" w:rsidP="007947DB">
      <w:pPr>
        <w:widowControl/>
        <w:wordWrap/>
        <w:adjustRightInd w:val="0"/>
        <w:spacing w:after="0" w:line="240" w:lineRule="auto"/>
        <w:jc w:val="left"/>
        <w:rPr>
          <w:rFonts w:ascii="Times New Roman" w:hAnsi="Times New Roman" w:cs="Times New Roman"/>
          <w:kern w:val="0"/>
          <w:sz w:val="24"/>
          <w:szCs w:val="24"/>
        </w:rPr>
      </w:pPr>
    </w:p>
    <w:p w14:paraId="5E6C3786" w14:textId="087F4026" w:rsidR="003B022B" w:rsidRDefault="00945FBD" w:rsidP="00653BBD">
      <w:pPr>
        <w:spacing w:line="240" w:lineRule="auto"/>
        <w:jc w:val="left"/>
        <w:rPr>
          <w:rFonts w:ascii="Times New Roman" w:hAnsi="Times New Roman" w:cs="Times New Roman"/>
          <w:sz w:val="24"/>
          <w:szCs w:val="24"/>
        </w:rPr>
      </w:pPr>
      <w:r w:rsidRPr="00CE1662">
        <w:rPr>
          <w:rFonts w:ascii="Times New Roman" w:hAnsi="Times New Roman" w:cs="Times New Roman"/>
          <w:sz w:val="24"/>
          <w:szCs w:val="24"/>
        </w:rPr>
        <w:t xml:space="preserve">The efficacy of RENFLEXIS was maintained throughout the transition extension period. </w:t>
      </w:r>
      <w:r w:rsidR="007D61C6">
        <w:rPr>
          <w:rFonts w:ascii="Times New Roman" w:hAnsi="Times New Roman" w:cs="Times New Roman" w:hint="eastAsia"/>
          <w:sz w:val="24"/>
          <w:szCs w:val="24"/>
        </w:rPr>
        <w:t xml:space="preserve">The analysis of ACR20/50/70 response rates from Week 54 up to Week 78 </w:t>
      </w:r>
      <w:r w:rsidR="002B7C97">
        <w:rPr>
          <w:rFonts w:ascii="Times New Roman" w:hAnsi="Times New Roman" w:cs="Times New Roman" w:hint="eastAsia"/>
          <w:sz w:val="24"/>
          <w:szCs w:val="24"/>
        </w:rPr>
        <w:t>for all groups is</w:t>
      </w:r>
      <w:r w:rsidR="007D61C6">
        <w:rPr>
          <w:rFonts w:ascii="Times New Roman" w:hAnsi="Times New Roman" w:cs="Times New Roman" w:hint="eastAsia"/>
          <w:sz w:val="24"/>
          <w:szCs w:val="24"/>
        </w:rPr>
        <w:t xml:space="preserve"> shown in </w:t>
      </w:r>
      <w:r w:rsidR="00224350" w:rsidRPr="00224350">
        <w:rPr>
          <w:rFonts w:ascii="Times New Roman" w:hAnsi="Times New Roman" w:cs="Times New Roman"/>
          <w:sz w:val="24"/>
          <w:szCs w:val="24"/>
        </w:rPr>
        <w:fldChar w:fldCharType="begin"/>
      </w:r>
      <w:r w:rsidR="00224350" w:rsidRPr="00224350">
        <w:rPr>
          <w:rFonts w:ascii="Times New Roman" w:hAnsi="Times New Roman" w:cs="Times New Roman"/>
          <w:sz w:val="24"/>
          <w:szCs w:val="24"/>
        </w:rPr>
        <w:instrText xml:space="preserve"> </w:instrText>
      </w:r>
      <w:r w:rsidR="00224350" w:rsidRPr="00224350">
        <w:rPr>
          <w:rFonts w:ascii="Times New Roman" w:hAnsi="Times New Roman" w:cs="Times New Roman" w:hint="eastAsia"/>
          <w:sz w:val="24"/>
          <w:szCs w:val="24"/>
        </w:rPr>
        <w:instrText>REF _Ref461044326 \h</w:instrText>
      </w:r>
      <w:r w:rsidR="00224350" w:rsidRPr="00224350">
        <w:rPr>
          <w:rFonts w:ascii="Times New Roman" w:hAnsi="Times New Roman" w:cs="Times New Roman"/>
          <w:sz w:val="24"/>
          <w:szCs w:val="24"/>
        </w:rPr>
        <w:instrText xml:space="preserve"> </w:instrText>
      </w:r>
      <w:r w:rsidR="00224350">
        <w:rPr>
          <w:rFonts w:ascii="Times New Roman" w:hAnsi="Times New Roman" w:cs="Times New Roman"/>
          <w:sz w:val="24"/>
          <w:szCs w:val="24"/>
        </w:rPr>
        <w:instrText xml:space="preserve"> \* MERGEFORMAT </w:instrText>
      </w:r>
      <w:r w:rsidR="00224350" w:rsidRPr="00224350">
        <w:rPr>
          <w:rFonts w:ascii="Times New Roman" w:hAnsi="Times New Roman" w:cs="Times New Roman"/>
          <w:sz w:val="24"/>
          <w:szCs w:val="24"/>
        </w:rPr>
      </w:r>
      <w:r w:rsidR="00224350" w:rsidRPr="00224350">
        <w:rPr>
          <w:rFonts w:ascii="Times New Roman" w:hAnsi="Times New Roman" w:cs="Times New Roman"/>
          <w:sz w:val="24"/>
          <w:szCs w:val="24"/>
        </w:rPr>
        <w:fldChar w:fldCharType="separate"/>
      </w:r>
      <w:r w:rsidR="005A6BF4" w:rsidRPr="005A6BF4">
        <w:rPr>
          <w:rFonts w:ascii="Times New Roman" w:hAnsi="Times New Roman" w:cs="Times New Roman"/>
          <w:sz w:val="24"/>
          <w:szCs w:val="24"/>
        </w:rPr>
        <w:t>Table 11</w:t>
      </w:r>
      <w:r w:rsidR="00224350" w:rsidRPr="00224350">
        <w:rPr>
          <w:rFonts w:ascii="Times New Roman" w:hAnsi="Times New Roman" w:cs="Times New Roman"/>
          <w:sz w:val="24"/>
          <w:szCs w:val="24"/>
        </w:rPr>
        <w:fldChar w:fldCharType="end"/>
      </w:r>
      <w:r w:rsidR="007D61C6">
        <w:rPr>
          <w:rFonts w:ascii="Times New Roman" w:hAnsi="Times New Roman" w:cs="Times New Roman" w:hint="eastAsia"/>
          <w:sz w:val="24"/>
          <w:szCs w:val="24"/>
        </w:rPr>
        <w:t xml:space="preserve">. </w:t>
      </w:r>
    </w:p>
    <w:p w14:paraId="7B91CF74" w14:textId="2FE18BEB" w:rsidR="00224350" w:rsidRPr="00224350" w:rsidRDefault="00224350" w:rsidP="00224350">
      <w:pPr>
        <w:pStyle w:val="Caption"/>
        <w:keepNext/>
        <w:spacing w:after="0" w:line="240" w:lineRule="auto"/>
        <w:ind w:left="880" w:hangingChars="400" w:hanging="880"/>
        <w:rPr>
          <w:rFonts w:ascii="Times New Roman" w:hAnsi="Times New Roman" w:cs="Times New Roman"/>
          <w:sz w:val="22"/>
          <w:szCs w:val="22"/>
        </w:rPr>
      </w:pPr>
      <w:bookmarkStart w:id="13" w:name="_Ref461044326"/>
      <w:proofErr w:type="gramStart"/>
      <w:r w:rsidRPr="00224350">
        <w:rPr>
          <w:rFonts w:ascii="Times New Roman" w:hAnsi="Times New Roman" w:cs="Times New Roman"/>
          <w:sz w:val="22"/>
          <w:szCs w:val="22"/>
        </w:rPr>
        <w:t xml:space="preserve">Table </w:t>
      </w:r>
      <w:r w:rsidRPr="00224350">
        <w:rPr>
          <w:rFonts w:ascii="Times New Roman" w:hAnsi="Times New Roman" w:cs="Times New Roman"/>
          <w:sz w:val="22"/>
          <w:szCs w:val="22"/>
        </w:rPr>
        <w:fldChar w:fldCharType="begin"/>
      </w:r>
      <w:r w:rsidRPr="00224350">
        <w:rPr>
          <w:rFonts w:ascii="Times New Roman" w:hAnsi="Times New Roman" w:cs="Times New Roman"/>
          <w:sz w:val="22"/>
          <w:szCs w:val="22"/>
        </w:rPr>
        <w:instrText xml:space="preserve"> SEQ Table \* ARABIC </w:instrText>
      </w:r>
      <w:r w:rsidRPr="00224350">
        <w:rPr>
          <w:rFonts w:ascii="Times New Roman" w:hAnsi="Times New Roman" w:cs="Times New Roman"/>
          <w:sz w:val="22"/>
          <w:szCs w:val="22"/>
        </w:rPr>
        <w:fldChar w:fldCharType="separate"/>
      </w:r>
      <w:r w:rsidR="005A6BF4">
        <w:rPr>
          <w:rFonts w:ascii="Times New Roman" w:hAnsi="Times New Roman" w:cs="Times New Roman"/>
          <w:noProof/>
          <w:sz w:val="22"/>
          <w:szCs w:val="22"/>
        </w:rPr>
        <w:t>11</w:t>
      </w:r>
      <w:r w:rsidRPr="00224350">
        <w:rPr>
          <w:rFonts w:ascii="Times New Roman" w:hAnsi="Times New Roman" w:cs="Times New Roman"/>
          <w:sz w:val="22"/>
          <w:szCs w:val="22"/>
        </w:rPr>
        <w:fldChar w:fldCharType="end"/>
      </w:r>
      <w:bookmarkEnd w:id="13"/>
      <w:r w:rsidR="00F06ACF">
        <w:rPr>
          <w:rFonts w:ascii="Times New Roman" w:hAnsi="Times New Roman" w:cs="Times New Roman" w:hint="eastAsia"/>
          <w:sz w:val="22"/>
          <w:szCs w:val="22"/>
        </w:rPr>
        <w:t>.</w:t>
      </w:r>
      <w:proofErr w:type="gramEnd"/>
      <w:r w:rsidRPr="00224350">
        <w:rPr>
          <w:rFonts w:ascii="Times New Roman" w:hAnsi="Times New Roman" w:cs="Times New Roman" w:hint="eastAsia"/>
          <w:sz w:val="22"/>
          <w:szCs w:val="22"/>
        </w:rPr>
        <w:t xml:space="preserve"> ACR Response Rates by Visit; Available </w:t>
      </w:r>
      <w:r>
        <w:rPr>
          <w:rFonts w:ascii="Times New Roman" w:hAnsi="Times New Roman" w:cs="Times New Roman" w:hint="eastAsia"/>
          <w:sz w:val="22"/>
          <w:szCs w:val="22"/>
        </w:rPr>
        <w:t>D</w:t>
      </w:r>
      <w:r w:rsidRPr="00224350">
        <w:rPr>
          <w:rFonts w:ascii="Times New Roman" w:hAnsi="Times New Roman" w:cs="Times New Roman" w:hint="eastAsia"/>
          <w:sz w:val="22"/>
          <w:szCs w:val="22"/>
        </w:rPr>
        <w:t xml:space="preserve">ata </w:t>
      </w:r>
      <w:r>
        <w:rPr>
          <w:rFonts w:ascii="Times New Roman" w:hAnsi="Times New Roman" w:cs="Times New Roman" w:hint="eastAsia"/>
          <w:sz w:val="22"/>
          <w:szCs w:val="22"/>
        </w:rPr>
        <w:t>O</w:t>
      </w:r>
      <w:r w:rsidRPr="00224350">
        <w:rPr>
          <w:rFonts w:ascii="Times New Roman" w:hAnsi="Times New Roman" w:cs="Times New Roman" w:hint="eastAsia"/>
          <w:sz w:val="22"/>
          <w:szCs w:val="22"/>
        </w:rPr>
        <w:t>nly Analysis (Extended Full Analysis Set</w:t>
      </w:r>
      <w:r w:rsidR="001D28CE">
        <w:rPr>
          <w:rFonts w:ascii="Times New Roman" w:hAnsi="Times New Roman" w:cs="Times New Roman" w:hint="eastAsia"/>
          <w:sz w:val="22"/>
          <w:szCs w:val="22"/>
          <w:vertAlign w:val="superscript"/>
        </w:rPr>
        <w:t>a</w:t>
      </w:r>
      <w:r w:rsidRPr="00224350">
        <w:rPr>
          <w:rFonts w:ascii="Times New Roman" w:hAnsi="Times New Roman" w:cs="Times New Roman" w:hint="eastAsia"/>
          <w:sz w:val="22"/>
          <w:szCs w:val="22"/>
        </w:rPr>
        <w:t>) (Study SB2-G31-RA)</w:t>
      </w:r>
    </w:p>
    <w:tbl>
      <w:tblPr>
        <w:tblStyle w:val="1"/>
        <w:tblW w:w="5000" w:type="pct"/>
        <w:tblLook w:val="04A0" w:firstRow="1" w:lastRow="0" w:firstColumn="1" w:lastColumn="0" w:noHBand="0" w:noVBand="1"/>
      </w:tblPr>
      <w:tblGrid>
        <w:gridCol w:w="1470"/>
        <w:gridCol w:w="1457"/>
        <w:gridCol w:w="1222"/>
        <w:gridCol w:w="928"/>
        <w:gridCol w:w="1164"/>
        <w:gridCol w:w="917"/>
        <w:gridCol w:w="1176"/>
        <w:gridCol w:w="908"/>
      </w:tblGrid>
      <w:tr w:rsidR="00224350" w:rsidRPr="00224350" w14:paraId="3A6EC332" w14:textId="77777777" w:rsidTr="00D5664D">
        <w:trPr>
          <w:tblHeader/>
        </w:trPr>
        <w:tc>
          <w:tcPr>
            <w:tcW w:w="795" w:type="pct"/>
            <w:vMerge w:val="restart"/>
            <w:tcBorders>
              <w:left w:val="single" w:sz="4" w:space="0" w:color="auto"/>
              <w:right w:val="nil"/>
            </w:tcBorders>
            <w:shd w:val="clear" w:color="auto" w:fill="auto"/>
            <w:vAlign w:val="center"/>
          </w:tcPr>
          <w:p w14:paraId="4695B0AB" w14:textId="77777777" w:rsidR="00224350" w:rsidRPr="00224350" w:rsidRDefault="00224350" w:rsidP="00224350">
            <w:pPr>
              <w:widowControl/>
              <w:wordWrap/>
              <w:autoSpaceDE/>
              <w:autoSpaceDN/>
              <w:jc w:val="center"/>
              <w:rPr>
                <w:rFonts w:eastAsia="Malgun Gothic"/>
                <w:b/>
                <w:szCs w:val="24"/>
                <w:lang w:val="en-GB" w:eastAsia="de-DE"/>
              </w:rPr>
            </w:pPr>
            <w:r w:rsidRPr="00224350">
              <w:rPr>
                <w:rFonts w:eastAsia="Malgun Gothic"/>
                <w:b/>
                <w:szCs w:val="24"/>
                <w:lang w:val="en-GB" w:eastAsia="de-DE"/>
              </w:rPr>
              <w:t>ACR Response</w:t>
            </w:r>
          </w:p>
        </w:tc>
        <w:tc>
          <w:tcPr>
            <w:tcW w:w="788" w:type="pct"/>
            <w:vMerge w:val="restart"/>
            <w:tcBorders>
              <w:left w:val="nil"/>
              <w:right w:val="nil"/>
            </w:tcBorders>
            <w:shd w:val="clear" w:color="auto" w:fill="auto"/>
            <w:vAlign w:val="center"/>
          </w:tcPr>
          <w:p w14:paraId="77A777E5" w14:textId="77777777" w:rsidR="00224350" w:rsidRPr="00224350" w:rsidRDefault="00224350" w:rsidP="00224350">
            <w:pPr>
              <w:widowControl/>
              <w:wordWrap/>
              <w:autoSpaceDE/>
              <w:autoSpaceDN/>
              <w:jc w:val="center"/>
              <w:rPr>
                <w:rFonts w:eastAsia="Malgun Gothic"/>
                <w:b/>
                <w:szCs w:val="24"/>
                <w:lang w:val="en-GB" w:eastAsia="de-DE"/>
              </w:rPr>
            </w:pPr>
            <w:proofErr w:type="spellStart"/>
            <w:r w:rsidRPr="00224350">
              <w:rPr>
                <w:rFonts w:eastAsia="Malgun Gothic"/>
                <w:b/>
                <w:szCs w:val="24"/>
                <w:lang w:val="en-GB" w:eastAsia="de-DE"/>
              </w:rPr>
              <w:t>Timepoint</w:t>
            </w:r>
            <w:proofErr w:type="spellEnd"/>
          </w:p>
        </w:tc>
        <w:tc>
          <w:tcPr>
            <w:tcW w:w="1163" w:type="pct"/>
            <w:gridSpan w:val="2"/>
            <w:vMerge w:val="restart"/>
            <w:tcBorders>
              <w:left w:val="nil"/>
              <w:right w:val="nil"/>
            </w:tcBorders>
            <w:shd w:val="clear" w:color="auto" w:fill="auto"/>
          </w:tcPr>
          <w:p w14:paraId="6EAF7BFB" w14:textId="56A27341" w:rsidR="00224350" w:rsidRPr="00224350" w:rsidRDefault="006E2E16" w:rsidP="00224350">
            <w:pPr>
              <w:widowControl/>
              <w:wordWrap/>
              <w:autoSpaceDE/>
              <w:autoSpaceDN/>
              <w:jc w:val="center"/>
              <w:rPr>
                <w:rFonts w:eastAsia="Malgun Gothic"/>
                <w:b/>
                <w:szCs w:val="24"/>
                <w:lang w:val="en-GB" w:eastAsia="ko-KR"/>
              </w:rPr>
            </w:pPr>
            <w:r>
              <w:rPr>
                <w:rFonts w:eastAsia="Malgun Gothic" w:hint="eastAsia"/>
                <w:b/>
                <w:szCs w:val="24"/>
                <w:lang w:val="en-GB" w:eastAsia="ko-KR"/>
              </w:rPr>
              <w:t>RENFLEXIS</w:t>
            </w:r>
          </w:p>
        </w:tc>
        <w:tc>
          <w:tcPr>
            <w:tcW w:w="2253" w:type="pct"/>
            <w:gridSpan w:val="4"/>
            <w:tcBorders>
              <w:left w:val="nil"/>
              <w:right w:val="single" w:sz="4" w:space="0" w:color="auto"/>
            </w:tcBorders>
            <w:shd w:val="clear" w:color="auto" w:fill="auto"/>
          </w:tcPr>
          <w:p w14:paraId="5D344CAF" w14:textId="77777777" w:rsidR="00224350" w:rsidRPr="00224350" w:rsidRDefault="00224350" w:rsidP="00224350">
            <w:pPr>
              <w:widowControl/>
              <w:wordWrap/>
              <w:autoSpaceDE/>
              <w:autoSpaceDN/>
              <w:jc w:val="center"/>
              <w:rPr>
                <w:rFonts w:eastAsia="Malgun Gothic"/>
                <w:b/>
                <w:szCs w:val="24"/>
                <w:lang w:val="en-GB" w:eastAsia="de-DE"/>
              </w:rPr>
            </w:pPr>
            <w:r w:rsidRPr="00224350">
              <w:rPr>
                <w:rFonts w:eastAsia="Malgun Gothic" w:hint="eastAsia"/>
                <w:b/>
                <w:szCs w:val="24"/>
                <w:lang w:val="en-GB"/>
              </w:rPr>
              <w:t xml:space="preserve">EU </w:t>
            </w:r>
            <w:proofErr w:type="spellStart"/>
            <w:r w:rsidRPr="00224350">
              <w:rPr>
                <w:rFonts w:eastAsia="Malgun Gothic"/>
                <w:b/>
                <w:szCs w:val="24"/>
                <w:lang w:val="en-GB" w:eastAsia="de-DE"/>
              </w:rPr>
              <w:t>Remicade</w:t>
            </w:r>
            <w:proofErr w:type="spellEnd"/>
            <w:r w:rsidRPr="00224350">
              <w:rPr>
                <w:rFonts w:eastAsia="Malgun Gothic"/>
                <w:b/>
                <w:szCs w:val="24"/>
                <w:vertAlign w:val="superscript"/>
                <w:lang w:val="en-GB" w:eastAsia="de-DE"/>
              </w:rPr>
              <w:t>®</w:t>
            </w:r>
          </w:p>
        </w:tc>
      </w:tr>
      <w:tr w:rsidR="00224350" w:rsidRPr="00224350" w14:paraId="56A0725F" w14:textId="77777777" w:rsidTr="00D5664D">
        <w:trPr>
          <w:tblHeader/>
        </w:trPr>
        <w:tc>
          <w:tcPr>
            <w:tcW w:w="795" w:type="pct"/>
            <w:vMerge/>
            <w:tcBorders>
              <w:left w:val="single" w:sz="4" w:space="0" w:color="auto"/>
              <w:right w:val="nil"/>
            </w:tcBorders>
            <w:shd w:val="clear" w:color="auto" w:fill="auto"/>
          </w:tcPr>
          <w:p w14:paraId="4643250A" w14:textId="77777777" w:rsidR="00224350" w:rsidRPr="00224350" w:rsidRDefault="00224350" w:rsidP="00224350">
            <w:pPr>
              <w:widowControl/>
              <w:wordWrap/>
              <w:autoSpaceDE/>
              <w:autoSpaceDN/>
              <w:jc w:val="center"/>
              <w:rPr>
                <w:rFonts w:eastAsia="Malgun Gothic"/>
                <w:b/>
                <w:szCs w:val="24"/>
                <w:lang w:val="en-GB" w:eastAsia="de-DE"/>
              </w:rPr>
            </w:pPr>
          </w:p>
        </w:tc>
        <w:tc>
          <w:tcPr>
            <w:tcW w:w="788" w:type="pct"/>
            <w:vMerge/>
            <w:tcBorders>
              <w:left w:val="nil"/>
              <w:right w:val="nil"/>
            </w:tcBorders>
            <w:shd w:val="clear" w:color="auto" w:fill="auto"/>
          </w:tcPr>
          <w:p w14:paraId="18F0BC3D" w14:textId="77777777" w:rsidR="00224350" w:rsidRPr="00224350" w:rsidRDefault="00224350" w:rsidP="00224350">
            <w:pPr>
              <w:widowControl/>
              <w:wordWrap/>
              <w:autoSpaceDE/>
              <w:autoSpaceDN/>
              <w:jc w:val="center"/>
              <w:rPr>
                <w:rFonts w:eastAsia="Malgun Gothic"/>
                <w:b/>
                <w:szCs w:val="24"/>
                <w:lang w:val="en-GB" w:eastAsia="de-DE"/>
              </w:rPr>
            </w:pPr>
          </w:p>
        </w:tc>
        <w:tc>
          <w:tcPr>
            <w:tcW w:w="1163" w:type="pct"/>
            <w:gridSpan w:val="2"/>
            <w:vMerge/>
            <w:tcBorders>
              <w:left w:val="nil"/>
              <w:bottom w:val="nil"/>
              <w:right w:val="nil"/>
            </w:tcBorders>
            <w:shd w:val="clear" w:color="auto" w:fill="auto"/>
          </w:tcPr>
          <w:p w14:paraId="66722E33" w14:textId="77777777" w:rsidR="00224350" w:rsidRPr="00224350" w:rsidRDefault="00224350" w:rsidP="00224350">
            <w:pPr>
              <w:widowControl/>
              <w:wordWrap/>
              <w:autoSpaceDE/>
              <w:autoSpaceDN/>
              <w:jc w:val="center"/>
              <w:rPr>
                <w:rFonts w:eastAsia="Malgun Gothic"/>
                <w:b/>
                <w:szCs w:val="24"/>
                <w:lang w:val="en-GB" w:eastAsia="de-DE"/>
              </w:rPr>
            </w:pPr>
          </w:p>
        </w:tc>
        <w:tc>
          <w:tcPr>
            <w:tcW w:w="1126" w:type="pct"/>
            <w:gridSpan w:val="2"/>
            <w:tcBorders>
              <w:left w:val="nil"/>
              <w:bottom w:val="nil"/>
              <w:right w:val="nil"/>
            </w:tcBorders>
            <w:shd w:val="clear" w:color="auto" w:fill="auto"/>
          </w:tcPr>
          <w:p w14:paraId="456343A7" w14:textId="27ACE816" w:rsidR="00224350" w:rsidRPr="00224350" w:rsidRDefault="006E2E16" w:rsidP="00224350">
            <w:pPr>
              <w:widowControl/>
              <w:wordWrap/>
              <w:autoSpaceDE/>
              <w:autoSpaceDN/>
              <w:jc w:val="center"/>
              <w:rPr>
                <w:rFonts w:eastAsia="Malgun Gothic"/>
                <w:b/>
                <w:szCs w:val="24"/>
                <w:lang w:val="en-GB" w:eastAsia="ko-KR"/>
              </w:rPr>
            </w:pPr>
            <w:r>
              <w:rPr>
                <w:rFonts w:eastAsia="Malgun Gothic" w:hint="eastAsia"/>
                <w:b/>
                <w:szCs w:val="24"/>
                <w:lang w:val="en-GB" w:eastAsia="ko-KR"/>
              </w:rPr>
              <w:t>RENFLEXIS</w:t>
            </w:r>
          </w:p>
        </w:tc>
        <w:tc>
          <w:tcPr>
            <w:tcW w:w="1127" w:type="pct"/>
            <w:gridSpan w:val="2"/>
            <w:tcBorders>
              <w:left w:val="nil"/>
              <w:bottom w:val="nil"/>
              <w:right w:val="single" w:sz="4" w:space="0" w:color="auto"/>
            </w:tcBorders>
            <w:shd w:val="clear" w:color="auto" w:fill="auto"/>
          </w:tcPr>
          <w:p w14:paraId="0C273171" w14:textId="77777777" w:rsidR="00224350" w:rsidRPr="00224350" w:rsidRDefault="00224350" w:rsidP="00224350">
            <w:pPr>
              <w:widowControl/>
              <w:wordWrap/>
              <w:autoSpaceDE/>
              <w:autoSpaceDN/>
              <w:jc w:val="center"/>
              <w:rPr>
                <w:rFonts w:eastAsia="Malgun Gothic"/>
                <w:b/>
                <w:szCs w:val="24"/>
                <w:lang w:val="en-GB" w:eastAsia="de-DE"/>
              </w:rPr>
            </w:pPr>
            <w:r w:rsidRPr="00224350">
              <w:rPr>
                <w:rFonts w:eastAsia="Malgun Gothic" w:hint="eastAsia"/>
                <w:b/>
                <w:szCs w:val="24"/>
                <w:lang w:val="en-GB"/>
              </w:rPr>
              <w:t xml:space="preserve">EU </w:t>
            </w:r>
            <w:proofErr w:type="spellStart"/>
            <w:r w:rsidRPr="00224350">
              <w:rPr>
                <w:rFonts w:eastAsia="Malgun Gothic"/>
                <w:b/>
                <w:szCs w:val="24"/>
                <w:lang w:val="en-GB" w:eastAsia="de-DE"/>
              </w:rPr>
              <w:t>Remicade</w:t>
            </w:r>
            <w:proofErr w:type="spellEnd"/>
            <w:r w:rsidRPr="00224350">
              <w:rPr>
                <w:rFonts w:eastAsia="Malgun Gothic"/>
                <w:b/>
                <w:szCs w:val="24"/>
                <w:vertAlign w:val="superscript"/>
                <w:lang w:val="en-GB" w:eastAsia="de-DE"/>
              </w:rPr>
              <w:t>®</w:t>
            </w:r>
          </w:p>
        </w:tc>
      </w:tr>
      <w:tr w:rsidR="00224350" w:rsidRPr="00224350" w14:paraId="013C91F2" w14:textId="77777777" w:rsidTr="00D5664D">
        <w:trPr>
          <w:tblHeader/>
        </w:trPr>
        <w:tc>
          <w:tcPr>
            <w:tcW w:w="795" w:type="pct"/>
            <w:vMerge/>
            <w:tcBorders>
              <w:left w:val="single" w:sz="4" w:space="0" w:color="auto"/>
              <w:bottom w:val="single" w:sz="4" w:space="0" w:color="000000"/>
              <w:right w:val="nil"/>
            </w:tcBorders>
            <w:shd w:val="clear" w:color="auto" w:fill="auto"/>
            <w:vAlign w:val="center"/>
          </w:tcPr>
          <w:p w14:paraId="64509ACC" w14:textId="77777777" w:rsidR="00224350" w:rsidRPr="00224350" w:rsidRDefault="00224350" w:rsidP="00224350">
            <w:pPr>
              <w:widowControl/>
              <w:wordWrap/>
              <w:autoSpaceDE/>
              <w:autoSpaceDN/>
              <w:jc w:val="center"/>
              <w:rPr>
                <w:rFonts w:eastAsia="Malgun Gothic"/>
                <w:b/>
                <w:szCs w:val="24"/>
                <w:lang w:val="en-GB" w:eastAsia="de-DE"/>
              </w:rPr>
            </w:pPr>
          </w:p>
        </w:tc>
        <w:tc>
          <w:tcPr>
            <w:tcW w:w="788" w:type="pct"/>
            <w:vMerge/>
            <w:tcBorders>
              <w:left w:val="nil"/>
              <w:bottom w:val="single" w:sz="4" w:space="0" w:color="000000"/>
              <w:right w:val="nil"/>
            </w:tcBorders>
            <w:shd w:val="clear" w:color="auto" w:fill="auto"/>
          </w:tcPr>
          <w:p w14:paraId="034F80B8" w14:textId="77777777" w:rsidR="00224350" w:rsidRPr="00224350" w:rsidRDefault="00224350" w:rsidP="00224350">
            <w:pPr>
              <w:widowControl/>
              <w:wordWrap/>
              <w:autoSpaceDE/>
              <w:autoSpaceDN/>
              <w:jc w:val="center"/>
              <w:rPr>
                <w:rFonts w:eastAsia="Malgun Gothic"/>
                <w:b/>
                <w:szCs w:val="24"/>
                <w:lang w:val="en-GB" w:eastAsia="de-DE"/>
              </w:rPr>
            </w:pPr>
          </w:p>
        </w:tc>
        <w:tc>
          <w:tcPr>
            <w:tcW w:w="661" w:type="pct"/>
            <w:tcBorders>
              <w:top w:val="nil"/>
              <w:left w:val="nil"/>
              <w:bottom w:val="single" w:sz="4" w:space="0" w:color="000000"/>
              <w:right w:val="nil"/>
            </w:tcBorders>
            <w:shd w:val="clear" w:color="auto" w:fill="auto"/>
          </w:tcPr>
          <w:p w14:paraId="1C09C8F2" w14:textId="77777777" w:rsidR="00224350" w:rsidRPr="00224350" w:rsidRDefault="00224350" w:rsidP="00224350">
            <w:pPr>
              <w:widowControl/>
              <w:wordWrap/>
              <w:autoSpaceDE/>
              <w:autoSpaceDN/>
              <w:jc w:val="center"/>
              <w:rPr>
                <w:rFonts w:eastAsia="Malgun Gothic"/>
                <w:b/>
                <w:szCs w:val="24"/>
                <w:lang w:val="en-GB" w:eastAsia="de-DE"/>
              </w:rPr>
            </w:pPr>
            <w:r w:rsidRPr="00224350">
              <w:rPr>
                <w:rFonts w:eastAsia="Malgun Gothic"/>
                <w:b/>
                <w:szCs w:val="24"/>
                <w:lang w:val="en-GB" w:eastAsia="de-DE"/>
              </w:rPr>
              <w:t>n/n’</w:t>
            </w:r>
          </w:p>
        </w:tc>
        <w:tc>
          <w:tcPr>
            <w:tcW w:w="502" w:type="pct"/>
            <w:tcBorders>
              <w:top w:val="nil"/>
              <w:left w:val="nil"/>
              <w:bottom w:val="single" w:sz="4" w:space="0" w:color="000000"/>
              <w:right w:val="nil"/>
            </w:tcBorders>
            <w:shd w:val="clear" w:color="auto" w:fill="auto"/>
          </w:tcPr>
          <w:p w14:paraId="3E6EA4F0" w14:textId="77777777" w:rsidR="00224350" w:rsidRPr="00224350" w:rsidRDefault="00224350" w:rsidP="00224350">
            <w:pPr>
              <w:widowControl/>
              <w:wordWrap/>
              <w:autoSpaceDE/>
              <w:autoSpaceDN/>
              <w:jc w:val="center"/>
              <w:rPr>
                <w:rFonts w:eastAsia="Malgun Gothic"/>
                <w:b/>
                <w:szCs w:val="24"/>
                <w:lang w:val="en-GB" w:eastAsia="de-DE"/>
              </w:rPr>
            </w:pPr>
            <w:r w:rsidRPr="00224350">
              <w:rPr>
                <w:rFonts w:eastAsia="Malgun Gothic"/>
                <w:b/>
                <w:szCs w:val="24"/>
                <w:lang w:val="en-GB" w:eastAsia="de-DE"/>
              </w:rPr>
              <w:t>(%)</w:t>
            </w:r>
          </w:p>
        </w:tc>
        <w:tc>
          <w:tcPr>
            <w:tcW w:w="630" w:type="pct"/>
            <w:tcBorders>
              <w:top w:val="nil"/>
              <w:left w:val="nil"/>
              <w:bottom w:val="single" w:sz="4" w:space="0" w:color="000000"/>
              <w:right w:val="nil"/>
            </w:tcBorders>
            <w:shd w:val="clear" w:color="auto" w:fill="auto"/>
          </w:tcPr>
          <w:p w14:paraId="35BA5E6F" w14:textId="77777777" w:rsidR="00224350" w:rsidRPr="00224350" w:rsidRDefault="00224350" w:rsidP="00224350">
            <w:pPr>
              <w:widowControl/>
              <w:wordWrap/>
              <w:autoSpaceDE/>
              <w:autoSpaceDN/>
              <w:jc w:val="center"/>
              <w:rPr>
                <w:rFonts w:eastAsia="Malgun Gothic"/>
                <w:b/>
                <w:szCs w:val="24"/>
                <w:lang w:val="en-GB" w:eastAsia="de-DE"/>
              </w:rPr>
            </w:pPr>
            <w:r w:rsidRPr="00224350">
              <w:rPr>
                <w:rFonts w:eastAsia="Malgun Gothic"/>
                <w:b/>
                <w:szCs w:val="24"/>
                <w:lang w:val="en-GB" w:eastAsia="de-DE"/>
              </w:rPr>
              <w:t>n/n’</w:t>
            </w:r>
          </w:p>
        </w:tc>
        <w:tc>
          <w:tcPr>
            <w:tcW w:w="496" w:type="pct"/>
            <w:tcBorders>
              <w:top w:val="nil"/>
              <w:left w:val="nil"/>
              <w:bottom w:val="single" w:sz="4" w:space="0" w:color="000000"/>
              <w:right w:val="nil"/>
            </w:tcBorders>
            <w:shd w:val="clear" w:color="auto" w:fill="auto"/>
          </w:tcPr>
          <w:p w14:paraId="49C59A98" w14:textId="77777777" w:rsidR="00224350" w:rsidRPr="00224350" w:rsidRDefault="00224350" w:rsidP="00224350">
            <w:pPr>
              <w:widowControl/>
              <w:wordWrap/>
              <w:autoSpaceDE/>
              <w:autoSpaceDN/>
              <w:jc w:val="center"/>
              <w:rPr>
                <w:rFonts w:eastAsia="Malgun Gothic"/>
                <w:b/>
                <w:szCs w:val="24"/>
                <w:lang w:val="en-GB" w:eastAsia="de-DE"/>
              </w:rPr>
            </w:pPr>
            <w:r w:rsidRPr="00224350">
              <w:rPr>
                <w:rFonts w:eastAsia="Malgun Gothic"/>
                <w:b/>
                <w:szCs w:val="24"/>
                <w:lang w:val="en-GB" w:eastAsia="de-DE"/>
              </w:rPr>
              <w:t>(%)</w:t>
            </w:r>
          </w:p>
        </w:tc>
        <w:tc>
          <w:tcPr>
            <w:tcW w:w="636" w:type="pct"/>
            <w:tcBorders>
              <w:top w:val="nil"/>
              <w:left w:val="nil"/>
              <w:bottom w:val="single" w:sz="4" w:space="0" w:color="000000"/>
              <w:right w:val="nil"/>
            </w:tcBorders>
            <w:shd w:val="clear" w:color="auto" w:fill="auto"/>
          </w:tcPr>
          <w:p w14:paraId="3CC8A3FE" w14:textId="77777777" w:rsidR="00224350" w:rsidRPr="00224350" w:rsidRDefault="00224350" w:rsidP="00224350">
            <w:pPr>
              <w:widowControl/>
              <w:wordWrap/>
              <w:autoSpaceDE/>
              <w:autoSpaceDN/>
              <w:jc w:val="center"/>
              <w:rPr>
                <w:rFonts w:eastAsia="Malgun Gothic"/>
                <w:b/>
                <w:szCs w:val="24"/>
                <w:lang w:val="en-GB" w:eastAsia="de-DE"/>
              </w:rPr>
            </w:pPr>
            <w:r w:rsidRPr="00224350">
              <w:rPr>
                <w:rFonts w:eastAsia="Malgun Gothic"/>
                <w:b/>
                <w:szCs w:val="24"/>
                <w:lang w:val="en-GB" w:eastAsia="de-DE"/>
              </w:rPr>
              <w:t>n/n’</w:t>
            </w:r>
          </w:p>
        </w:tc>
        <w:tc>
          <w:tcPr>
            <w:tcW w:w="491" w:type="pct"/>
            <w:tcBorders>
              <w:top w:val="nil"/>
              <w:left w:val="nil"/>
              <w:bottom w:val="single" w:sz="4" w:space="0" w:color="000000"/>
              <w:right w:val="single" w:sz="4" w:space="0" w:color="auto"/>
            </w:tcBorders>
            <w:shd w:val="clear" w:color="auto" w:fill="auto"/>
          </w:tcPr>
          <w:p w14:paraId="78481AE4" w14:textId="77777777" w:rsidR="00224350" w:rsidRPr="00224350" w:rsidRDefault="00224350" w:rsidP="00224350">
            <w:pPr>
              <w:widowControl/>
              <w:wordWrap/>
              <w:autoSpaceDE/>
              <w:autoSpaceDN/>
              <w:jc w:val="center"/>
              <w:rPr>
                <w:rFonts w:eastAsia="Malgun Gothic"/>
                <w:b/>
                <w:szCs w:val="24"/>
                <w:lang w:val="en-GB" w:eastAsia="de-DE"/>
              </w:rPr>
            </w:pPr>
            <w:r w:rsidRPr="00224350">
              <w:rPr>
                <w:rFonts w:eastAsia="Malgun Gothic"/>
                <w:b/>
                <w:szCs w:val="24"/>
                <w:lang w:val="en-GB" w:eastAsia="de-DE"/>
              </w:rPr>
              <w:t>(%)</w:t>
            </w:r>
          </w:p>
        </w:tc>
      </w:tr>
      <w:tr w:rsidR="00224350" w:rsidRPr="00224350" w14:paraId="3D8918AA" w14:textId="77777777" w:rsidTr="00224350">
        <w:tc>
          <w:tcPr>
            <w:tcW w:w="795" w:type="pct"/>
            <w:vMerge w:val="restart"/>
            <w:tcBorders>
              <w:left w:val="single" w:sz="4" w:space="0" w:color="auto"/>
              <w:bottom w:val="nil"/>
              <w:right w:val="nil"/>
            </w:tcBorders>
            <w:vAlign w:val="center"/>
          </w:tcPr>
          <w:p w14:paraId="0BB7A0CC" w14:textId="77777777" w:rsidR="00224350" w:rsidRPr="00224350" w:rsidRDefault="00224350" w:rsidP="00224350">
            <w:pPr>
              <w:widowControl/>
              <w:wordWrap/>
              <w:autoSpaceDE/>
              <w:autoSpaceDN/>
              <w:jc w:val="center"/>
              <w:rPr>
                <w:rFonts w:eastAsia="Malgun Gothic"/>
                <w:szCs w:val="24"/>
                <w:lang w:val="en-GB" w:eastAsia="de-DE"/>
              </w:rPr>
            </w:pPr>
            <w:r w:rsidRPr="00224350">
              <w:rPr>
                <w:rFonts w:eastAsia="Malgun Gothic"/>
                <w:szCs w:val="24"/>
                <w:lang w:val="en-GB" w:eastAsia="de-DE"/>
              </w:rPr>
              <w:t>ACR20</w:t>
            </w:r>
          </w:p>
        </w:tc>
        <w:tc>
          <w:tcPr>
            <w:tcW w:w="788" w:type="pct"/>
            <w:tcBorders>
              <w:left w:val="nil"/>
              <w:bottom w:val="nil"/>
              <w:right w:val="nil"/>
            </w:tcBorders>
          </w:tcPr>
          <w:p w14:paraId="1EA06836" w14:textId="77777777" w:rsidR="00224350" w:rsidRPr="00224350" w:rsidRDefault="00224350" w:rsidP="00224350">
            <w:pPr>
              <w:widowControl/>
              <w:wordWrap/>
              <w:autoSpaceDE/>
              <w:autoSpaceDN/>
              <w:jc w:val="center"/>
              <w:rPr>
                <w:rFonts w:eastAsia="Malgun Gothic"/>
                <w:szCs w:val="24"/>
                <w:lang w:val="en-GB" w:eastAsia="de-DE"/>
              </w:rPr>
            </w:pPr>
            <w:r w:rsidRPr="00224350">
              <w:rPr>
                <w:rFonts w:eastAsia="Malgun Gothic"/>
                <w:szCs w:val="24"/>
                <w:lang w:val="en-GB" w:eastAsia="de-DE"/>
              </w:rPr>
              <w:t>Week 54</w:t>
            </w:r>
          </w:p>
        </w:tc>
        <w:tc>
          <w:tcPr>
            <w:tcW w:w="661" w:type="pct"/>
            <w:tcBorders>
              <w:left w:val="nil"/>
              <w:bottom w:val="nil"/>
              <w:right w:val="nil"/>
            </w:tcBorders>
          </w:tcPr>
          <w:p w14:paraId="0ACAA425" w14:textId="77777777" w:rsidR="00224350" w:rsidRPr="00224350" w:rsidRDefault="00224350" w:rsidP="00224350">
            <w:pPr>
              <w:widowControl/>
              <w:wordWrap/>
              <w:autoSpaceDE/>
              <w:autoSpaceDN/>
              <w:jc w:val="center"/>
              <w:rPr>
                <w:rFonts w:eastAsia="Malgun Gothic"/>
                <w:szCs w:val="24"/>
                <w:lang w:val="en-GB" w:eastAsia="de-DE"/>
              </w:rPr>
            </w:pPr>
            <w:r w:rsidRPr="00224350">
              <w:rPr>
                <w:rFonts w:eastAsia="Malgun Gothic"/>
                <w:szCs w:val="24"/>
                <w:lang w:val="en-GB" w:eastAsia="de-DE"/>
              </w:rPr>
              <w:t>132/201</w:t>
            </w:r>
          </w:p>
        </w:tc>
        <w:tc>
          <w:tcPr>
            <w:tcW w:w="502" w:type="pct"/>
            <w:tcBorders>
              <w:left w:val="nil"/>
              <w:bottom w:val="nil"/>
              <w:right w:val="nil"/>
            </w:tcBorders>
          </w:tcPr>
          <w:p w14:paraId="1B07C3F9" w14:textId="77777777" w:rsidR="00224350" w:rsidRPr="00224350" w:rsidRDefault="00224350" w:rsidP="00224350">
            <w:pPr>
              <w:widowControl/>
              <w:wordWrap/>
              <w:autoSpaceDE/>
              <w:autoSpaceDN/>
              <w:jc w:val="center"/>
              <w:rPr>
                <w:rFonts w:eastAsia="Malgun Gothic"/>
                <w:szCs w:val="24"/>
                <w:lang w:val="en-GB" w:eastAsia="de-DE"/>
              </w:rPr>
            </w:pPr>
            <w:r w:rsidRPr="00224350">
              <w:rPr>
                <w:rFonts w:eastAsia="Malgun Gothic"/>
                <w:szCs w:val="24"/>
                <w:lang w:val="en-GB" w:eastAsia="de-DE"/>
              </w:rPr>
              <w:t>(65.7)</w:t>
            </w:r>
          </w:p>
        </w:tc>
        <w:tc>
          <w:tcPr>
            <w:tcW w:w="630" w:type="pct"/>
            <w:tcBorders>
              <w:left w:val="nil"/>
              <w:bottom w:val="nil"/>
              <w:right w:val="nil"/>
            </w:tcBorders>
          </w:tcPr>
          <w:p w14:paraId="13F5DCD9" w14:textId="77777777" w:rsidR="00224350" w:rsidRPr="00224350" w:rsidRDefault="00224350" w:rsidP="00224350">
            <w:pPr>
              <w:widowControl/>
              <w:wordWrap/>
              <w:autoSpaceDE/>
              <w:autoSpaceDN/>
              <w:jc w:val="center"/>
              <w:rPr>
                <w:rFonts w:eastAsia="Malgun Gothic"/>
                <w:szCs w:val="24"/>
                <w:lang w:val="en-GB" w:eastAsia="de-DE"/>
              </w:rPr>
            </w:pPr>
            <w:r w:rsidRPr="00224350">
              <w:rPr>
                <w:rFonts w:eastAsia="Malgun Gothic"/>
                <w:szCs w:val="24"/>
                <w:lang w:val="en-GB" w:eastAsia="de-DE"/>
              </w:rPr>
              <w:t>67/94</w:t>
            </w:r>
          </w:p>
        </w:tc>
        <w:tc>
          <w:tcPr>
            <w:tcW w:w="496" w:type="pct"/>
            <w:tcBorders>
              <w:left w:val="nil"/>
              <w:bottom w:val="nil"/>
              <w:right w:val="nil"/>
            </w:tcBorders>
          </w:tcPr>
          <w:p w14:paraId="5A262132" w14:textId="77777777" w:rsidR="00224350" w:rsidRPr="00224350" w:rsidRDefault="00224350" w:rsidP="00224350">
            <w:pPr>
              <w:widowControl/>
              <w:wordWrap/>
              <w:autoSpaceDE/>
              <w:autoSpaceDN/>
              <w:jc w:val="center"/>
              <w:rPr>
                <w:rFonts w:eastAsia="Malgun Gothic"/>
                <w:szCs w:val="24"/>
                <w:lang w:val="en-GB" w:eastAsia="de-DE"/>
              </w:rPr>
            </w:pPr>
            <w:r w:rsidRPr="00224350">
              <w:rPr>
                <w:rFonts w:eastAsia="Malgun Gothic"/>
                <w:szCs w:val="24"/>
                <w:lang w:val="en-GB" w:eastAsia="de-DE"/>
              </w:rPr>
              <w:t>(71.3)</w:t>
            </w:r>
          </w:p>
        </w:tc>
        <w:tc>
          <w:tcPr>
            <w:tcW w:w="636" w:type="pct"/>
            <w:tcBorders>
              <w:left w:val="nil"/>
              <w:bottom w:val="nil"/>
              <w:right w:val="nil"/>
            </w:tcBorders>
          </w:tcPr>
          <w:p w14:paraId="03D471BE" w14:textId="77777777" w:rsidR="00224350" w:rsidRPr="00224350" w:rsidRDefault="00224350" w:rsidP="00224350">
            <w:pPr>
              <w:widowControl/>
              <w:wordWrap/>
              <w:autoSpaceDE/>
              <w:autoSpaceDN/>
              <w:jc w:val="center"/>
              <w:rPr>
                <w:rFonts w:eastAsia="Malgun Gothic"/>
                <w:szCs w:val="24"/>
                <w:lang w:val="en-GB" w:eastAsia="de-DE"/>
              </w:rPr>
            </w:pPr>
            <w:r w:rsidRPr="00224350">
              <w:rPr>
                <w:rFonts w:eastAsia="Malgun Gothic"/>
                <w:szCs w:val="24"/>
                <w:lang w:val="en-GB" w:eastAsia="de-DE"/>
              </w:rPr>
              <w:t>70/101</w:t>
            </w:r>
          </w:p>
        </w:tc>
        <w:tc>
          <w:tcPr>
            <w:tcW w:w="491" w:type="pct"/>
            <w:tcBorders>
              <w:left w:val="nil"/>
              <w:bottom w:val="nil"/>
              <w:right w:val="single" w:sz="4" w:space="0" w:color="auto"/>
            </w:tcBorders>
          </w:tcPr>
          <w:p w14:paraId="081C377B" w14:textId="77777777" w:rsidR="00224350" w:rsidRPr="00224350" w:rsidRDefault="00224350" w:rsidP="00224350">
            <w:pPr>
              <w:widowControl/>
              <w:wordWrap/>
              <w:autoSpaceDE/>
              <w:autoSpaceDN/>
              <w:jc w:val="center"/>
              <w:rPr>
                <w:rFonts w:eastAsia="Malgun Gothic"/>
                <w:szCs w:val="24"/>
                <w:lang w:val="en-GB" w:eastAsia="de-DE"/>
              </w:rPr>
            </w:pPr>
            <w:r w:rsidRPr="00224350">
              <w:rPr>
                <w:rFonts w:eastAsia="Malgun Gothic"/>
                <w:szCs w:val="24"/>
                <w:lang w:val="en-GB" w:eastAsia="de-DE"/>
              </w:rPr>
              <w:t>(69.3)</w:t>
            </w:r>
          </w:p>
        </w:tc>
      </w:tr>
      <w:tr w:rsidR="00224350" w:rsidRPr="00224350" w14:paraId="7C60FD2B" w14:textId="77777777" w:rsidTr="00224350">
        <w:tc>
          <w:tcPr>
            <w:tcW w:w="795" w:type="pct"/>
            <w:vMerge/>
            <w:tcBorders>
              <w:top w:val="nil"/>
              <w:left w:val="single" w:sz="4" w:space="0" w:color="auto"/>
              <w:bottom w:val="nil"/>
              <w:right w:val="nil"/>
            </w:tcBorders>
          </w:tcPr>
          <w:p w14:paraId="4F840753" w14:textId="77777777" w:rsidR="00224350" w:rsidRPr="00224350" w:rsidRDefault="00224350" w:rsidP="00224350">
            <w:pPr>
              <w:widowControl/>
              <w:wordWrap/>
              <w:autoSpaceDE/>
              <w:autoSpaceDN/>
              <w:jc w:val="center"/>
              <w:rPr>
                <w:rFonts w:eastAsia="Malgun Gothic"/>
                <w:szCs w:val="24"/>
                <w:lang w:val="en-GB" w:eastAsia="de-DE"/>
              </w:rPr>
            </w:pPr>
          </w:p>
        </w:tc>
        <w:tc>
          <w:tcPr>
            <w:tcW w:w="788" w:type="pct"/>
            <w:tcBorders>
              <w:top w:val="nil"/>
              <w:left w:val="nil"/>
              <w:bottom w:val="nil"/>
              <w:right w:val="nil"/>
            </w:tcBorders>
          </w:tcPr>
          <w:p w14:paraId="1719E5A1" w14:textId="77777777" w:rsidR="00224350" w:rsidRPr="00224350" w:rsidRDefault="00224350" w:rsidP="00224350">
            <w:pPr>
              <w:widowControl/>
              <w:wordWrap/>
              <w:autoSpaceDE/>
              <w:autoSpaceDN/>
              <w:jc w:val="center"/>
              <w:rPr>
                <w:rFonts w:eastAsia="Malgun Gothic"/>
                <w:szCs w:val="24"/>
                <w:lang w:val="en-GB" w:eastAsia="de-DE"/>
              </w:rPr>
            </w:pPr>
            <w:r w:rsidRPr="00224350">
              <w:rPr>
                <w:rFonts w:eastAsia="Malgun Gothic"/>
                <w:szCs w:val="24"/>
                <w:lang w:val="en-GB" w:eastAsia="de-DE"/>
              </w:rPr>
              <w:t>Week 62</w:t>
            </w:r>
          </w:p>
        </w:tc>
        <w:tc>
          <w:tcPr>
            <w:tcW w:w="661" w:type="pct"/>
            <w:tcBorders>
              <w:top w:val="nil"/>
              <w:left w:val="nil"/>
              <w:bottom w:val="nil"/>
              <w:right w:val="nil"/>
            </w:tcBorders>
          </w:tcPr>
          <w:p w14:paraId="578B093C" w14:textId="77777777" w:rsidR="00224350" w:rsidRPr="00224350" w:rsidRDefault="00224350" w:rsidP="00224350">
            <w:pPr>
              <w:widowControl/>
              <w:wordWrap/>
              <w:autoSpaceDE/>
              <w:autoSpaceDN/>
              <w:jc w:val="center"/>
              <w:rPr>
                <w:rFonts w:eastAsia="Malgun Gothic"/>
                <w:szCs w:val="24"/>
                <w:lang w:val="en-GB" w:eastAsia="de-DE"/>
              </w:rPr>
            </w:pPr>
            <w:r w:rsidRPr="00224350">
              <w:rPr>
                <w:rFonts w:eastAsia="Malgun Gothic"/>
                <w:szCs w:val="24"/>
                <w:lang w:val="en-GB" w:eastAsia="de-DE"/>
              </w:rPr>
              <w:t>129/193</w:t>
            </w:r>
          </w:p>
        </w:tc>
        <w:tc>
          <w:tcPr>
            <w:tcW w:w="502" w:type="pct"/>
            <w:tcBorders>
              <w:top w:val="nil"/>
              <w:left w:val="nil"/>
              <w:bottom w:val="nil"/>
              <w:right w:val="nil"/>
            </w:tcBorders>
          </w:tcPr>
          <w:p w14:paraId="0BEE2209" w14:textId="77777777" w:rsidR="00224350" w:rsidRPr="00224350" w:rsidRDefault="00224350" w:rsidP="00224350">
            <w:pPr>
              <w:widowControl/>
              <w:wordWrap/>
              <w:autoSpaceDE/>
              <w:autoSpaceDN/>
              <w:jc w:val="center"/>
              <w:rPr>
                <w:rFonts w:eastAsia="Malgun Gothic"/>
                <w:szCs w:val="24"/>
                <w:lang w:val="en-GB" w:eastAsia="de-DE"/>
              </w:rPr>
            </w:pPr>
            <w:r w:rsidRPr="00224350">
              <w:rPr>
                <w:rFonts w:eastAsia="Malgun Gothic"/>
                <w:szCs w:val="24"/>
                <w:lang w:val="en-GB" w:eastAsia="de-DE"/>
              </w:rPr>
              <w:t>(66.8)</w:t>
            </w:r>
          </w:p>
        </w:tc>
        <w:tc>
          <w:tcPr>
            <w:tcW w:w="630" w:type="pct"/>
            <w:tcBorders>
              <w:top w:val="nil"/>
              <w:left w:val="nil"/>
              <w:bottom w:val="nil"/>
              <w:right w:val="nil"/>
            </w:tcBorders>
          </w:tcPr>
          <w:p w14:paraId="499C6193" w14:textId="77777777" w:rsidR="00224350" w:rsidRPr="00224350" w:rsidRDefault="00224350" w:rsidP="00224350">
            <w:pPr>
              <w:widowControl/>
              <w:wordWrap/>
              <w:autoSpaceDE/>
              <w:autoSpaceDN/>
              <w:jc w:val="center"/>
              <w:rPr>
                <w:rFonts w:eastAsia="Malgun Gothic"/>
                <w:szCs w:val="24"/>
                <w:lang w:val="en-GB" w:eastAsia="de-DE"/>
              </w:rPr>
            </w:pPr>
            <w:r w:rsidRPr="00224350">
              <w:rPr>
                <w:rFonts w:eastAsia="Malgun Gothic"/>
                <w:szCs w:val="24"/>
                <w:lang w:val="en-GB" w:eastAsia="de-DE"/>
              </w:rPr>
              <w:t>68/94</w:t>
            </w:r>
          </w:p>
        </w:tc>
        <w:tc>
          <w:tcPr>
            <w:tcW w:w="496" w:type="pct"/>
            <w:tcBorders>
              <w:top w:val="nil"/>
              <w:left w:val="nil"/>
              <w:bottom w:val="nil"/>
              <w:right w:val="nil"/>
            </w:tcBorders>
          </w:tcPr>
          <w:p w14:paraId="0F5827FC" w14:textId="77777777" w:rsidR="00224350" w:rsidRPr="00224350" w:rsidRDefault="00224350" w:rsidP="00224350">
            <w:pPr>
              <w:widowControl/>
              <w:wordWrap/>
              <w:autoSpaceDE/>
              <w:autoSpaceDN/>
              <w:jc w:val="center"/>
              <w:rPr>
                <w:rFonts w:eastAsia="Malgun Gothic"/>
                <w:szCs w:val="24"/>
                <w:lang w:val="en-GB" w:eastAsia="de-DE"/>
              </w:rPr>
            </w:pPr>
            <w:r w:rsidRPr="00224350">
              <w:rPr>
                <w:rFonts w:eastAsia="Malgun Gothic"/>
                <w:szCs w:val="24"/>
                <w:lang w:val="en-GB" w:eastAsia="de-DE"/>
              </w:rPr>
              <w:t>(72.3)</w:t>
            </w:r>
          </w:p>
        </w:tc>
        <w:tc>
          <w:tcPr>
            <w:tcW w:w="636" w:type="pct"/>
            <w:tcBorders>
              <w:top w:val="nil"/>
              <w:left w:val="nil"/>
              <w:bottom w:val="nil"/>
              <w:right w:val="nil"/>
            </w:tcBorders>
          </w:tcPr>
          <w:p w14:paraId="4402B162" w14:textId="77777777" w:rsidR="00224350" w:rsidRPr="00224350" w:rsidRDefault="00224350" w:rsidP="00224350">
            <w:pPr>
              <w:widowControl/>
              <w:wordWrap/>
              <w:autoSpaceDE/>
              <w:autoSpaceDN/>
              <w:jc w:val="center"/>
              <w:rPr>
                <w:rFonts w:eastAsia="Malgun Gothic"/>
                <w:szCs w:val="24"/>
                <w:lang w:val="en-GB" w:eastAsia="de-DE"/>
              </w:rPr>
            </w:pPr>
            <w:r w:rsidRPr="00224350">
              <w:rPr>
                <w:rFonts w:eastAsia="Malgun Gothic"/>
                <w:szCs w:val="24"/>
                <w:lang w:val="en-GB" w:eastAsia="de-DE"/>
              </w:rPr>
              <w:t>67/101</w:t>
            </w:r>
          </w:p>
        </w:tc>
        <w:tc>
          <w:tcPr>
            <w:tcW w:w="491" w:type="pct"/>
            <w:tcBorders>
              <w:top w:val="nil"/>
              <w:left w:val="nil"/>
              <w:bottom w:val="nil"/>
              <w:right w:val="single" w:sz="4" w:space="0" w:color="auto"/>
            </w:tcBorders>
          </w:tcPr>
          <w:p w14:paraId="365BD757" w14:textId="77777777" w:rsidR="00224350" w:rsidRPr="00224350" w:rsidRDefault="00224350" w:rsidP="00224350">
            <w:pPr>
              <w:widowControl/>
              <w:wordWrap/>
              <w:autoSpaceDE/>
              <w:autoSpaceDN/>
              <w:jc w:val="center"/>
              <w:rPr>
                <w:rFonts w:eastAsia="Malgun Gothic"/>
                <w:szCs w:val="24"/>
                <w:lang w:val="en-GB" w:eastAsia="de-DE"/>
              </w:rPr>
            </w:pPr>
            <w:r w:rsidRPr="00224350">
              <w:rPr>
                <w:rFonts w:eastAsia="Malgun Gothic"/>
                <w:szCs w:val="24"/>
                <w:lang w:val="en-GB" w:eastAsia="de-DE"/>
              </w:rPr>
              <w:t>(66.3)</w:t>
            </w:r>
          </w:p>
        </w:tc>
      </w:tr>
      <w:tr w:rsidR="00224350" w:rsidRPr="00224350" w14:paraId="106B5B2F" w14:textId="77777777" w:rsidTr="00224350">
        <w:tc>
          <w:tcPr>
            <w:tcW w:w="795" w:type="pct"/>
            <w:vMerge/>
            <w:tcBorders>
              <w:top w:val="nil"/>
              <w:left w:val="single" w:sz="4" w:space="0" w:color="auto"/>
              <w:bottom w:val="nil"/>
              <w:right w:val="nil"/>
            </w:tcBorders>
          </w:tcPr>
          <w:p w14:paraId="2FDD4F49" w14:textId="77777777" w:rsidR="00224350" w:rsidRPr="00224350" w:rsidRDefault="00224350" w:rsidP="00224350">
            <w:pPr>
              <w:widowControl/>
              <w:wordWrap/>
              <w:autoSpaceDE/>
              <w:autoSpaceDN/>
              <w:jc w:val="center"/>
              <w:rPr>
                <w:rFonts w:eastAsia="Malgun Gothic"/>
                <w:szCs w:val="24"/>
                <w:lang w:val="en-GB" w:eastAsia="de-DE"/>
              </w:rPr>
            </w:pPr>
          </w:p>
        </w:tc>
        <w:tc>
          <w:tcPr>
            <w:tcW w:w="788" w:type="pct"/>
            <w:tcBorders>
              <w:top w:val="nil"/>
              <w:left w:val="nil"/>
              <w:bottom w:val="nil"/>
              <w:right w:val="nil"/>
            </w:tcBorders>
          </w:tcPr>
          <w:p w14:paraId="58377650" w14:textId="77777777" w:rsidR="00224350" w:rsidRPr="00224350" w:rsidRDefault="00224350" w:rsidP="00224350">
            <w:pPr>
              <w:widowControl/>
              <w:wordWrap/>
              <w:autoSpaceDE/>
              <w:autoSpaceDN/>
              <w:jc w:val="center"/>
              <w:rPr>
                <w:rFonts w:eastAsia="Malgun Gothic"/>
                <w:szCs w:val="24"/>
                <w:lang w:val="en-GB" w:eastAsia="de-DE"/>
              </w:rPr>
            </w:pPr>
            <w:r w:rsidRPr="00224350">
              <w:rPr>
                <w:rFonts w:eastAsia="Malgun Gothic"/>
                <w:szCs w:val="24"/>
                <w:lang w:val="en-GB" w:eastAsia="de-DE"/>
              </w:rPr>
              <w:t>Week 70</w:t>
            </w:r>
          </w:p>
        </w:tc>
        <w:tc>
          <w:tcPr>
            <w:tcW w:w="661" w:type="pct"/>
            <w:tcBorders>
              <w:top w:val="nil"/>
              <w:left w:val="nil"/>
              <w:bottom w:val="nil"/>
              <w:right w:val="nil"/>
            </w:tcBorders>
          </w:tcPr>
          <w:p w14:paraId="62C2D040" w14:textId="77777777" w:rsidR="00224350" w:rsidRPr="00224350" w:rsidRDefault="00224350" w:rsidP="00224350">
            <w:pPr>
              <w:widowControl/>
              <w:wordWrap/>
              <w:autoSpaceDE/>
              <w:autoSpaceDN/>
              <w:jc w:val="center"/>
              <w:rPr>
                <w:rFonts w:eastAsia="Malgun Gothic"/>
                <w:szCs w:val="24"/>
                <w:lang w:val="en-GB" w:eastAsia="de-DE"/>
              </w:rPr>
            </w:pPr>
            <w:r w:rsidRPr="00224350">
              <w:rPr>
                <w:rFonts w:eastAsia="Malgun Gothic"/>
                <w:szCs w:val="24"/>
                <w:lang w:val="en-GB" w:eastAsia="de-DE"/>
              </w:rPr>
              <w:t>118/180</w:t>
            </w:r>
          </w:p>
        </w:tc>
        <w:tc>
          <w:tcPr>
            <w:tcW w:w="502" w:type="pct"/>
            <w:tcBorders>
              <w:top w:val="nil"/>
              <w:left w:val="nil"/>
              <w:bottom w:val="nil"/>
              <w:right w:val="nil"/>
            </w:tcBorders>
          </w:tcPr>
          <w:p w14:paraId="66BC0462" w14:textId="77777777" w:rsidR="00224350" w:rsidRPr="00224350" w:rsidRDefault="00224350" w:rsidP="00224350">
            <w:pPr>
              <w:widowControl/>
              <w:wordWrap/>
              <w:autoSpaceDE/>
              <w:autoSpaceDN/>
              <w:jc w:val="center"/>
              <w:rPr>
                <w:rFonts w:eastAsia="Malgun Gothic"/>
                <w:szCs w:val="24"/>
                <w:lang w:val="en-GB" w:eastAsia="de-DE"/>
              </w:rPr>
            </w:pPr>
            <w:r w:rsidRPr="00224350">
              <w:rPr>
                <w:rFonts w:eastAsia="Malgun Gothic"/>
                <w:szCs w:val="24"/>
                <w:lang w:val="en-GB" w:eastAsia="de-DE"/>
              </w:rPr>
              <w:t>(65.6)</w:t>
            </w:r>
          </w:p>
        </w:tc>
        <w:tc>
          <w:tcPr>
            <w:tcW w:w="630" w:type="pct"/>
            <w:tcBorders>
              <w:top w:val="nil"/>
              <w:left w:val="nil"/>
              <w:bottom w:val="nil"/>
              <w:right w:val="nil"/>
            </w:tcBorders>
          </w:tcPr>
          <w:p w14:paraId="56011B56" w14:textId="77777777" w:rsidR="00224350" w:rsidRPr="00224350" w:rsidRDefault="00224350" w:rsidP="00224350">
            <w:pPr>
              <w:widowControl/>
              <w:wordWrap/>
              <w:autoSpaceDE/>
              <w:autoSpaceDN/>
              <w:jc w:val="center"/>
              <w:rPr>
                <w:rFonts w:eastAsia="Malgun Gothic"/>
                <w:szCs w:val="24"/>
                <w:lang w:val="en-GB" w:eastAsia="de-DE"/>
              </w:rPr>
            </w:pPr>
            <w:r w:rsidRPr="00224350">
              <w:rPr>
                <w:rFonts w:eastAsia="Malgun Gothic"/>
                <w:szCs w:val="24"/>
                <w:lang w:val="en-GB" w:eastAsia="de-DE"/>
              </w:rPr>
              <w:t>61/88</w:t>
            </w:r>
          </w:p>
        </w:tc>
        <w:tc>
          <w:tcPr>
            <w:tcW w:w="496" w:type="pct"/>
            <w:tcBorders>
              <w:top w:val="nil"/>
              <w:left w:val="nil"/>
              <w:bottom w:val="nil"/>
              <w:right w:val="nil"/>
            </w:tcBorders>
          </w:tcPr>
          <w:p w14:paraId="03829620" w14:textId="77777777" w:rsidR="00224350" w:rsidRPr="00224350" w:rsidRDefault="00224350" w:rsidP="00224350">
            <w:pPr>
              <w:widowControl/>
              <w:wordWrap/>
              <w:autoSpaceDE/>
              <w:autoSpaceDN/>
              <w:jc w:val="center"/>
              <w:rPr>
                <w:rFonts w:eastAsia="Malgun Gothic"/>
                <w:szCs w:val="24"/>
                <w:lang w:val="en-GB" w:eastAsia="de-DE"/>
              </w:rPr>
            </w:pPr>
            <w:r w:rsidRPr="00224350">
              <w:rPr>
                <w:rFonts w:eastAsia="Malgun Gothic"/>
                <w:szCs w:val="24"/>
                <w:lang w:val="en-GB" w:eastAsia="de-DE"/>
              </w:rPr>
              <w:t>(69.3)</w:t>
            </w:r>
          </w:p>
        </w:tc>
        <w:tc>
          <w:tcPr>
            <w:tcW w:w="636" w:type="pct"/>
            <w:tcBorders>
              <w:top w:val="nil"/>
              <w:left w:val="nil"/>
              <w:bottom w:val="nil"/>
              <w:right w:val="nil"/>
            </w:tcBorders>
          </w:tcPr>
          <w:p w14:paraId="43C601F9" w14:textId="77777777" w:rsidR="00224350" w:rsidRPr="00224350" w:rsidRDefault="00224350" w:rsidP="00224350">
            <w:pPr>
              <w:widowControl/>
              <w:wordWrap/>
              <w:autoSpaceDE/>
              <w:autoSpaceDN/>
              <w:jc w:val="center"/>
              <w:rPr>
                <w:rFonts w:eastAsia="Malgun Gothic"/>
                <w:szCs w:val="24"/>
                <w:lang w:val="en-GB" w:eastAsia="de-DE"/>
              </w:rPr>
            </w:pPr>
            <w:r w:rsidRPr="00224350">
              <w:rPr>
                <w:rFonts w:eastAsia="Malgun Gothic"/>
                <w:szCs w:val="24"/>
                <w:lang w:val="en-GB" w:eastAsia="de-DE"/>
              </w:rPr>
              <w:t>68/98</w:t>
            </w:r>
          </w:p>
        </w:tc>
        <w:tc>
          <w:tcPr>
            <w:tcW w:w="491" w:type="pct"/>
            <w:tcBorders>
              <w:top w:val="nil"/>
              <w:left w:val="nil"/>
              <w:bottom w:val="nil"/>
              <w:right w:val="single" w:sz="4" w:space="0" w:color="auto"/>
            </w:tcBorders>
          </w:tcPr>
          <w:p w14:paraId="1E4677B7" w14:textId="77777777" w:rsidR="00224350" w:rsidRPr="00224350" w:rsidRDefault="00224350" w:rsidP="00224350">
            <w:pPr>
              <w:widowControl/>
              <w:wordWrap/>
              <w:autoSpaceDE/>
              <w:autoSpaceDN/>
              <w:jc w:val="center"/>
              <w:rPr>
                <w:rFonts w:eastAsia="Malgun Gothic"/>
                <w:szCs w:val="24"/>
                <w:lang w:val="en-GB" w:eastAsia="de-DE"/>
              </w:rPr>
            </w:pPr>
            <w:r w:rsidRPr="00224350">
              <w:rPr>
                <w:rFonts w:eastAsia="Malgun Gothic"/>
                <w:szCs w:val="24"/>
                <w:lang w:val="en-GB" w:eastAsia="de-DE"/>
              </w:rPr>
              <w:t>(69.4)</w:t>
            </w:r>
          </w:p>
        </w:tc>
      </w:tr>
      <w:tr w:rsidR="00224350" w:rsidRPr="00224350" w14:paraId="4E83986A" w14:textId="77777777" w:rsidTr="00224350">
        <w:tc>
          <w:tcPr>
            <w:tcW w:w="795" w:type="pct"/>
            <w:vMerge/>
            <w:tcBorders>
              <w:top w:val="nil"/>
              <w:left w:val="single" w:sz="4" w:space="0" w:color="auto"/>
              <w:bottom w:val="single" w:sz="4" w:space="0" w:color="000000"/>
              <w:right w:val="nil"/>
            </w:tcBorders>
          </w:tcPr>
          <w:p w14:paraId="0195DA4B" w14:textId="77777777" w:rsidR="00224350" w:rsidRPr="00224350" w:rsidRDefault="00224350" w:rsidP="00224350">
            <w:pPr>
              <w:widowControl/>
              <w:wordWrap/>
              <w:autoSpaceDE/>
              <w:autoSpaceDN/>
              <w:jc w:val="center"/>
              <w:rPr>
                <w:rFonts w:eastAsia="Malgun Gothic"/>
                <w:szCs w:val="24"/>
                <w:lang w:val="en-GB" w:eastAsia="de-DE"/>
              </w:rPr>
            </w:pPr>
          </w:p>
        </w:tc>
        <w:tc>
          <w:tcPr>
            <w:tcW w:w="788" w:type="pct"/>
            <w:tcBorders>
              <w:top w:val="nil"/>
              <w:left w:val="nil"/>
              <w:bottom w:val="single" w:sz="4" w:space="0" w:color="000000"/>
              <w:right w:val="nil"/>
            </w:tcBorders>
          </w:tcPr>
          <w:p w14:paraId="6CE415E8" w14:textId="77777777" w:rsidR="00224350" w:rsidRPr="00224350" w:rsidRDefault="00224350" w:rsidP="00224350">
            <w:pPr>
              <w:widowControl/>
              <w:wordWrap/>
              <w:autoSpaceDE/>
              <w:autoSpaceDN/>
              <w:jc w:val="center"/>
              <w:rPr>
                <w:rFonts w:eastAsia="Malgun Gothic"/>
                <w:szCs w:val="24"/>
                <w:lang w:val="en-GB" w:eastAsia="de-DE"/>
              </w:rPr>
            </w:pPr>
            <w:r w:rsidRPr="00224350">
              <w:rPr>
                <w:rFonts w:eastAsia="Malgun Gothic"/>
                <w:szCs w:val="24"/>
                <w:lang w:val="en-GB" w:eastAsia="de-DE"/>
              </w:rPr>
              <w:t>Week 78</w:t>
            </w:r>
          </w:p>
        </w:tc>
        <w:tc>
          <w:tcPr>
            <w:tcW w:w="661" w:type="pct"/>
            <w:tcBorders>
              <w:top w:val="nil"/>
              <w:left w:val="nil"/>
              <w:bottom w:val="single" w:sz="4" w:space="0" w:color="000000"/>
              <w:right w:val="nil"/>
            </w:tcBorders>
          </w:tcPr>
          <w:p w14:paraId="05295B00" w14:textId="77777777" w:rsidR="00224350" w:rsidRPr="00224350" w:rsidRDefault="00224350" w:rsidP="00224350">
            <w:pPr>
              <w:widowControl/>
              <w:wordWrap/>
              <w:autoSpaceDE/>
              <w:autoSpaceDN/>
              <w:jc w:val="center"/>
              <w:rPr>
                <w:rFonts w:eastAsia="Malgun Gothic"/>
                <w:szCs w:val="24"/>
                <w:lang w:val="en-GB" w:eastAsia="de-DE"/>
              </w:rPr>
            </w:pPr>
            <w:r w:rsidRPr="00224350">
              <w:rPr>
                <w:rFonts w:eastAsia="Malgun Gothic"/>
                <w:szCs w:val="24"/>
                <w:lang w:val="en-GB" w:eastAsia="de-DE"/>
              </w:rPr>
              <w:t>123/180</w:t>
            </w:r>
          </w:p>
        </w:tc>
        <w:tc>
          <w:tcPr>
            <w:tcW w:w="502" w:type="pct"/>
            <w:tcBorders>
              <w:top w:val="nil"/>
              <w:left w:val="nil"/>
              <w:bottom w:val="single" w:sz="4" w:space="0" w:color="000000"/>
              <w:right w:val="nil"/>
            </w:tcBorders>
          </w:tcPr>
          <w:p w14:paraId="1E94B54A" w14:textId="77777777" w:rsidR="00224350" w:rsidRPr="00224350" w:rsidRDefault="00224350" w:rsidP="00224350">
            <w:pPr>
              <w:widowControl/>
              <w:wordWrap/>
              <w:autoSpaceDE/>
              <w:autoSpaceDN/>
              <w:jc w:val="center"/>
              <w:rPr>
                <w:rFonts w:eastAsia="Malgun Gothic"/>
                <w:szCs w:val="24"/>
                <w:lang w:val="en-GB" w:eastAsia="de-DE"/>
              </w:rPr>
            </w:pPr>
            <w:r w:rsidRPr="00224350">
              <w:rPr>
                <w:rFonts w:eastAsia="Malgun Gothic"/>
                <w:szCs w:val="24"/>
                <w:lang w:val="en-GB" w:eastAsia="de-DE"/>
              </w:rPr>
              <w:t>(68.3)</w:t>
            </w:r>
          </w:p>
        </w:tc>
        <w:tc>
          <w:tcPr>
            <w:tcW w:w="630" w:type="pct"/>
            <w:tcBorders>
              <w:top w:val="nil"/>
              <w:left w:val="nil"/>
              <w:bottom w:val="single" w:sz="4" w:space="0" w:color="000000"/>
              <w:right w:val="nil"/>
            </w:tcBorders>
          </w:tcPr>
          <w:p w14:paraId="49FBAAC1" w14:textId="77777777" w:rsidR="00224350" w:rsidRPr="00224350" w:rsidRDefault="00224350" w:rsidP="00224350">
            <w:pPr>
              <w:widowControl/>
              <w:wordWrap/>
              <w:autoSpaceDE/>
              <w:autoSpaceDN/>
              <w:jc w:val="center"/>
              <w:rPr>
                <w:rFonts w:eastAsia="Malgun Gothic"/>
                <w:szCs w:val="24"/>
                <w:lang w:val="en-GB" w:eastAsia="de-DE"/>
              </w:rPr>
            </w:pPr>
            <w:r w:rsidRPr="00224350">
              <w:rPr>
                <w:rFonts w:eastAsia="Malgun Gothic"/>
                <w:szCs w:val="24"/>
                <w:lang w:val="en-GB" w:eastAsia="de-DE"/>
              </w:rPr>
              <w:t>54/85</w:t>
            </w:r>
          </w:p>
        </w:tc>
        <w:tc>
          <w:tcPr>
            <w:tcW w:w="496" w:type="pct"/>
            <w:tcBorders>
              <w:top w:val="nil"/>
              <w:left w:val="nil"/>
              <w:bottom w:val="single" w:sz="4" w:space="0" w:color="000000"/>
              <w:right w:val="nil"/>
            </w:tcBorders>
          </w:tcPr>
          <w:p w14:paraId="56D283E8" w14:textId="77777777" w:rsidR="00224350" w:rsidRPr="00224350" w:rsidRDefault="00224350" w:rsidP="00224350">
            <w:pPr>
              <w:widowControl/>
              <w:wordWrap/>
              <w:autoSpaceDE/>
              <w:autoSpaceDN/>
              <w:jc w:val="center"/>
              <w:rPr>
                <w:rFonts w:eastAsia="Malgun Gothic"/>
                <w:szCs w:val="24"/>
                <w:lang w:val="en-GB" w:eastAsia="de-DE"/>
              </w:rPr>
            </w:pPr>
            <w:r w:rsidRPr="00224350">
              <w:rPr>
                <w:rFonts w:eastAsia="Malgun Gothic"/>
                <w:szCs w:val="24"/>
                <w:lang w:val="en-GB" w:eastAsia="de-DE"/>
              </w:rPr>
              <w:t>(63.5)</w:t>
            </w:r>
          </w:p>
        </w:tc>
        <w:tc>
          <w:tcPr>
            <w:tcW w:w="636" w:type="pct"/>
            <w:tcBorders>
              <w:top w:val="nil"/>
              <w:left w:val="nil"/>
              <w:bottom w:val="single" w:sz="4" w:space="0" w:color="000000"/>
              <w:right w:val="nil"/>
            </w:tcBorders>
          </w:tcPr>
          <w:p w14:paraId="651B344B" w14:textId="77777777" w:rsidR="00224350" w:rsidRPr="00224350" w:rsidRDefault="00224350" w:rsidP="00224350">
            <w:pPr>
              <w:widowControl/>
              <w:wordWrap/>
              <w:autoSpaceDE/>
              <w:autoSpaceDN/>
              <w:jc w:val="center"/>
              <w:rPr>
                <w:rFonts w:eastAsia="Malgun Gothic"/>
                <w:szCs w:val="24"/>
                <w:lang w:val="en-GB" w:eastAsia="de-DE"/>
              </w:rPr>
            </w:pPr>
            <w:r w:rsidRPr="00224350">
              <w:rPr>
                <w:rFonts w:eastAsia="Malgun Gothic"/>
                <w:szCs w:val="24"/>
                <w:lang w:val="en-GB" w:eastAsia="de-DE"/>
              </w:rPr>
              <w:t>64/93</w:t>
            </w:r>
          </w:p>
        </w:tc>
        <w:tc>
          <w:tcPr>
            <w:tcW w:w="491" w:type="pct"/>
            <w:tcBorders>
              <w:top w:val="nil"/>
              <w:left w:val="nil"/>
              <w:bottom w:val="single" w:sz="4" w:space="0" w:color="000000"/>
              <w:right w:val="single" w:sz="4" w:space="0" w:color="auto"/>
            </w:tcBorders>
          </w:tcPr>
          <w:p w14:paraId="5FB2195B" w14:textId="77777777" w:rsidR="00224350" w:rsidRPr="00224350" w:rsidRDefault="00224350" w:rsidP="00224350">
            <w:pPr>
              <w:widowControl/>
              <w:wordWrap/>
              <w:autoSpaceDE/>
              <w:autoSpaceDN/>
              <w:jc w:val="center"/>
              <w:rPr>
                <w:rFonts w:eastAsia="Malgun Gothic"/>
                <w:szCs w:val="24"/>
                <w:lang w:val="en-GB" w:eastAsia="de-DE"/>
              </w:rPr>
            </w:pPr>
            <w:r w:rsidRPr="00224350">
              <w:rPr>
                <w:rFonts w:eastAsia="Malgun Gothic"/>
                <w:szCs w:val="24"/>
                <w:lang w:val="en-GB" w:eastAsia="de-DE"/>
              </w:rPr>
              <w:t>(68.8)</w:t>
            </w:r>
          </w:p>
        </w:tc>
      </w:tr>
      <w:tr w:rsidR="00224350" w:rsidRPr="00224350" w14:paraId="0277E240" w14:textId="77777777" w:rsidTr="00224350">
        <w:tc>
          <w:tcPr>
            <w:tcW w:w="795" w:type="pct"/>
            <w:vMerge w:val="restart"/>
            <w:tcBorders>
              <w:left w:val="single" w:sz="4" w:space="0" w:color="auto"/>
              <w:bottom w:val="nil"/>
              <w:right w:val="nil"/>
            </w:tcBorders>
            <w:vAlign w:val="center"/>
          </w:tcPr>
          <w:p w14:paraId="297B0AFA" w14:textId="77777777" w:rsidR="00224350" w:rsidRPr="00224350" w:rsidRDefault="00224350" w:rsidP="00224350">
            <w:pPr>
              <w:widowControl/>
              <w:wordWrap/>
              <w:autoSpaceDE/>
              <w:autoSpaceDN/>
              <w:jc w:val="center"/>
              <w:rPr>
                <w:rFonts w:eastAsia="Malgun Gothic"/>
                <w:szCs w:val="24"/>
                <w:lang w:val="en-GB" w:eastAsia="de-DE"/>
              </w:rPr>
            </w:pPr>
            <w:r w:rsidRPr="00224350">
              <w:rPr>
                <w:rFonts w:eastAsia="Malgun Gothic"/>
                <w:szCs w:val="24"/>
                <w:lang w:val="en-GB" w:eastAsia="de-DE"/>
              </w:rPr>
              <w:t>ACR50</w:t>
            </w:r>
          </w:p>
        </w:tc>
        <w:tc>
          <w:tcPr>
            <w:tcW w:w="788" w:type="pct"/>
            <w:tcBorders>
              <w:left w:val="nil"/>
              <w:bottom w:val="nil"/>
              <w:right w:val="nil"/>
            </w:tcBorders>
          </w:tcPr>
          <w:p w14:paraId="7060E4F2" w14:textId="77777777" w:rsidR="00224350" w:rsidRPr="00224350" w:rsidRDefault="00224350" w:rsidP="00224350">
            <w:pPr>
              <w:widowControl/>
              <w:wordWrap/>
              <w:autoSpaceDE/>
              <w:autoSpaceDN/>
              <w:jc w:val="center"/>
              <w:rPr>
                <w:rFonts w:eastAsia="Malgun Gothic"/>
                <w:szCs w:val="24"/>
                <w:lang w:val="en-GB" w:eastAsia="de-DE"/>
              </w:rPr>
            </w:pPr>
            <w:r w:rsidRPr="00224350">
              <w:rPr>
                <w:rFonts w:eastAsia="Malgun Gothic"/>
                <w:szCs w:val="24"/>
                <w:lang w:val="en-GB" w:eastAsia="de-DE"/>
              </w:rPr>
              <w:t>Week 54</w:t>
            </w:r>
          </w:p>
        </w:tc>
        <w:tc>
          <w:tcPr>
            <w:tcW w:w="661" w:type="pct"/>
            <w:tcBorders>
              <w:left w:val="nil"/>
              <w:bottom w:val="nil"/>
              <w:right w:val="nil"/>
            </w:tcBorders>
          </w:tcPr>
          <w:p w14:paraId="503C06BB" w14:textId="77777777" w:rsidR="00224350" w:rsidRPr="00224350" w:rsidRDefault="00224350" w:rsidP="00224350">
            <w:pPr>
              <w:widowControl/>
              <w:wordWrap/>
              <w:autoSpaceDE/>
              <w:autoSpaceDN/>
              <w:jc w:val="center"/>
              <w:rPr>
                <w:rFonts w:eastAsia="Malgun Gothic"/>
                <w:szCs w:val="24"/>
                <w:lang w:val="en-GB" w:eastAsia="de-DE"/>
              </w:rPr>
            </w:pPr>
            <w:r w:rsidRPr="00224350">
              <w:rPr>
                <w:rFonts w:eastAsia="Malgun Gothic"/>
                <w:szCs w:val="24"/>
                <w:lang w:val="en-GB" w:eastAsia="de-DE"/>
              </w:rPr>
              <w:t>87/201</w:t>
            </w:r>
          </w:p>
        </w:tc>
        <w:tc>
          <w:tcPr>
            <w:tcW w:w="502" w:type="pct"/>
            <w:tcBorders>
              <w:left w:val="nil"/>
              <w:bottom w:val="nil"/>
              <w:right w:val="nil"/>
            </w:tcBorders>
          </w:tcPr>
          <w:p w14:paraId="29DB26A7" w14:textId="77777777" w:rsidR="00224350" w:rsidRPr="00224350" w:rsidRDefault="00224350" w:rsidP="00224350">
            <w:pPr>
              <w:widowControl/>
              <w:wordWrap/>
              <w:autoSpaceDE/>
              <w:autoSpaceDN/>
              <w:jc w:val="center"/>
              <w:rPr>
                <w:rFonts w:eastAsia="Malgun Gothic"/>
                <w:szCs w:val="24"/>
                <w:lang w:val="en-GB" w:eastAsia="de-DE"/>
              </w:rPr>
            </w:pPr>
            <w:r w:rsidRPr="00224350">
              <w:rPr>
                <w:rFonts w:eastAsia="Malgun Gothic"/>
                <w:szCs w:val="24"/>
                <w:lang w:val="en-GB" w:eastAsia="de-DE"/>
              </w:rPr>
              <w:t>(43.3)</w:t>
            </w:r>
          </w:p>
        </w:tc>
        <w:tc>
          <w:tcPr>
            <w:tcW w:w="630" w:type="pct"/>
            <w:tcBorders>
              <w:left w:val="nil"/>
              <w:bottom w:val="nil"/>
              <w:right w:val="nil"/>
            </w:tcBorders>
          </w:tcPr>
          <w:p w14:paraId="57668BAA" w14:textId="77777777" w:rsidR="00224350" w:rsidRPr="00224350" w:rsidRDefault="00224350" w:rsidP="00224350">
            <w:pPr>
              <w:widowControl/>
              <w:wordWrap/>
              <w:autoSpaceDE/>
              <w:autoSpaceDN/>
              <w:jc w:val="center"/>
              <w:rPr>
                <w:rFonts w:eastAsia="Malgun Gothic"/>
                <w:szCs w:val="24"/>
                <w:lang w:val="en-GB" w:eastAsia="de-DE"/>
              </w:rPr>
            </w:pPr>
            <w:r w:rsidRPr="00224350">
              <w:rPr>
                <w:rFonts w:eastAsia="Malgun Gothic"/>
                <w:szCs w:val="24"/>
                <w:lang w:val="en-GB" w:eastAsia="de-DE"/>
              </w:rPr>
              <w:t>39/94</w:t>
            </w:r>
          </w:p>
        </w:tc>
        <w:tc>
          <w:tcPr>
            <w:tcW w:w="496" w:type="pct"/>
            <w:tcBorders>
              <w:left w:val="nil"/>
              <w:bottom w:val="nil"/>
              <w:right w:val="nil"/>
            </w:tcBorders>
          </w:tcPr>
          <w:p w14:paraId="1408DF0A" w14:textId="77777777" w:rsidR="00224350" w:rsidRPr="00224350" w:rsidRDefault="00224350" w:rsidP="00224350">
            <w:pPr>
              <w:widowControl/>
              <w:wordWrap/>
              <w:autoSpaceDE/>
              <w:autoSpaceDN/>
              <w:jc w:val="center"/>
              <w:rPr>
                <w:rFonts w:eastAsia="Malgun Gothic"/>
                <w:szCs w:val="24"/>
                <w:lang w:val="en-GB" w:eastAsia="de-DE"/>
              </w:rPr>
            </w:pPr>
            <w:r w:rsidRPr="00224350">
              <w:rPr>
                <w:rFonts w:eastAsia="Malgun Gothic"/>
                <w:szCs w:val="24"/>
                <w:lang w:val="en-GB" w:eastAsia="de-DE"/>
              </w:rPr>
              <w:t>(41.5)</w:t>
            </w:r>
          </w:p>
        </w:tc>
        <w:tc>
          <w:tcPr>
            <w:tcW w:w="636" w:type="pct"/>
            <w:tcBorders>
              <w:left w:val="nil"/>
              <w:bottom w:val="nil"/>
              <w:right w:val="nil"/>
            </w:tcBorders>
          </w:tcPr>
          <w:p w14:paraId="336133C9" w14:textId="77777777" w:rsidR="00224350" w:rsidRPr="00224350" w:rsidRDefault="00224350" w:rsidP="00224350">
            <w:pPr>
              <w:widowControl/>
              <w:wordWrap/>
              <w:autoSpaceDE/>
              <w:autoSpaceDN/>
              <w:jc w:val="center"/>
              <w:rPr>
                <w:rFonts w:eastAsia="Malgun Gothic"/>
                <w:szCs w:val="24"/>
                <w:lang w:val="en-GB" w:eastAsia="de-DE"/>
              </w:rPr>
            </w:pPr>
            <w:r w:rsidRPr="00224350">
              <w:rPr>
                <w:rFonts w:eastAsia="Malgun Gothic"/>
                <w:szCs w:val="24"/>
                <w:lang w:val="en-GB" w:eastAsia="de-DE"/>
              </w:rPr>
              <w:t>40/101</w:t>
            </w:r>
          </w:p>
        </w:tc>
        <w:tc>
          <w:tcPr>
            <w:tcW w:w="491" w:type="pct"/>
            <w:tcBorders>
              <w:left w:val="nil"/>
              <w:bottom w:val="nil"/>
              <w:right w:val="single" w:sz="4" w:space="0" w:color="auto"/>
            </w:tcBorders>
          </w:tcPr>
          <w:p w14:paraId="330C85DB" w14:textId="77777777" w:rsidR="00224350" w:rsidRPr="00224350" w:rsidRDefault="00224350" w:rsidP="00224350">
            <w:pPr>
              <w:widowControl/>
              <w:wordWrap/>
              <w:autoSpaceDE/>
              <w:autoSpaceDN/>
              <w:jc w:val="center"/>
              <w:rPr>
                <w:rFonts w:eastAsia="Malgun Gothic"/>
                <w:szCs w:val="24"/>
                <w:lang w:val="en-GB" w:eastAsia="de-DE"/>
              </w:rPr>
            </w:pPr>
            <w:r w:rsidRPr="00224350">
              <w:rPr>
                <w:rFonts w:eastAsia="Malgun Gothic"/>
                <w:szCs w:val="24"/>
                <w:lang w:val="en-GB" w:eastAsia="de-DE"/>
              </w:rPr>
              <w:t>(39.6)</w:t>
            </w:r>
          </w:p>
        </w:tc>
      </w:tr>
      <w:tr w:rsidR="00224350" w:rsidRPr="00224350" w14:paraId="39538739" w14:textId="77777777" w:rsidTr="00224350">
        <w:tc>
          <w:tcPr>
            <w:tcW w:w="795" w:type="pct"/>
            <w:vMerge/>
            <w:tcBorders>
              <w:top w:val="nil"/>
              <w:left w:val="single" w:sz="4" w:space="0" w:color="auto"/>
              <w:bottom w:val="nil"/>
              <w:right w:val="nil"/>
            </w:tcBorders>
          </w:tcPr>
          <w:p w14:paraId="4C2F73DC" w14:textId="77777777" w:rsidR="00224350" w:rsidRPr="00224350" w:rsidRDefault="00224350" w:rsidP="00224350">
            <w:pPr>
              <w:widowControl/>
              <w:wordWrap/>
              <w:autoSpaceDE/>
              <w:autoSpaceDN/>
              <w:jc w:val="center"/>
              <w:rPr>
                <w:rFonts w:eastAsia="Malgun Gothic"/>
                <w:szCs w:val="24"/>
                <w:lang w:val="en-GB" w:eastAsia="de-DE"/>
              </w:rPr>
            </w:pPr>
          </w:p>
        </w:tc>
        <w:tc>
          <w:tcPr>
            <w:tcW w:w="788" w:type="pct"/>
            <w:tcBorders>
              <w:top w:val="nil"/>
              <w:left w:val="nil"/>
              <w:bottom w:val="nil"/>
              <w:right w:val="nil"/>
            </w:tcBorders>
          </w:tcPr>
          <w:p w14:paraId="537CAB1F" w14:textId="77777777" w:rsidR="00224350" w:rsidRPr="00224350" w:rsidRDefault="00224350" w:rsidP="00224350">
            <w:pPr>
              <w:widowControl/>
              <w:wordWrap/>
              <w:autoSpaceDE/>
              <w:autoSpaceDN/>
              <w:jc w:val="center"/>
              <w:rPr>
                <w:rFonts w:eastAsia="Malgun Gothic"/>
                <w:szCs w:val="24"/>
                <w:lang w:val="en-GB" w:eastAsia="de-DE"/>
              </w:rPr>
            </w:pPr>
            <w:r w:rsidRPr="00224350">
              <w:rPr>
                <w:rFonts w:eastAsia="Malgun Gothic"/>
                <w:szCs w:val="24"/>
                <w:lang w:val="en-GB" w:eastAsia="de-DE"/>
              </w:rPr>
              <w:t>Week 62</w:t>
            </w:r>
          </w:p>
        </w:tc>
        <w:tc>
          <w:tcPr>
            <w:tcW w:w="661" w:type="pct"/>
            <w:tcBorders>
              <w:top w:val="nil"/>
              <w:left w:val="nil"/>
              <w:bottom w:val="nil"/>
              <w:right w:val="nil"/>
            </w:tcBorders>
          </w:tcPr>
          <w:p w14:paraId="70BD99D4" w14:textId="77777777" w:rsidR="00224350" w:rsidRPr="00224350" w:rsidRDefault="00224350" w:rsidP="00224350">
            <w:pPr>
              <w:widowControl/>
              <w:wordWrap/>
              <w:autoSpaceDE/>
              <w:autoSpaceDN/>
              <w:jc w:val="center"/>
              <w:rPr>
                <w:rFonts w:eastAsia="Malgun Gothic"/>
                <w:szCs w:val="24"/>
                <w:lang w:val="en-GB" w:eastAsia="de-DE"/>
              </w:rPr>
            </w:pPr>
            <w:r w:rsidRPr="00224350">
              <w:rPr>
                <w:rFonts w:eastAsia="Malgun Gothic"/>
                <w:szCs w:val="24"/>
                <w:lang w:val="en-GB" w:eastAsia="de-DE"/>
              </w:rPr>
              <w:t>79/193</w:t>
            </w:r>
          </w:p>
        </w:tc>
        <w:tc>
          <w:tcPr>
            <w:tcW w:w="502" w:type="pct"/>
            <w:tcBorders>
              <w:top w:val="nil"/>
              <w:left w:val="nil"/>
              <w:bottom w:val="nil"/>
              <w:right w:val="nil"/>
            </w:tcBorders>
          </w:tcPr>
          <w:p w14:paraId="34C3447D" w14:textId="77777777" w:rsidR="00224350" w:rsidRPr="00224350" w:rsidRDefault="00224350" w:rsidP="00224350">
            <w:pPr>
              <w:widowControl/>
              <w:wordWrap/>
              <w:autoSpaceDE/>
              <w:autoSpaceDN/>
              <w:jc w:val="center"/>
              <w:rPr>
                <w:rFonts w:eastAsia="Malgun Gothic"/>
                <w:szCs w:val="24"/>
                <w:lang w:val="en-GB" w:eastAsia="de-DE"/>
              </w:rPr>
            </w:pPr>
            <w:r w:rsidRPr="00224350">
              <w:rPr>
                <w:rFonts w:eastAsia="Malgun Gothic"/>
                <w:szCs w:val="24"/>
                <w:lang w:val="en-GB" w:eastAsia="de-DE"/>
              </w:rPr>
              <w:t>(40.9)</w:t>
            </w:r>
          </w:p>
        </w:tc>
        <w:tc>
          <w:tcPr>
            <w:tcW w:w="630" w:type="pct"/>
            <w:tcBorders>
              <w:top w:val="nil"/>
              <w:left w:val="nil"/>
              <w:bottom w:val="nil"/>
              <w:right w:val="nil"/>
            </w:tcBorders>
          </w:tcPr>
          <w:p w14:paraId="42274D98" w14:textId="77777777" w:rsidR="00224350" w:rsidRPr="00224350" w:rsidRDefault="00224350" w:rsidP="00224350">
            <w:pPr>
              <w:widowControl/>
              <w:wordWrap/>
              <w:autoSpaceDE/>
              <w:autoSpaceDN/>
              <w:jc w:val="center"/>
              <w:rPr>
                <w:rFonts w:eastAsia="Malgun Gothic"/>
                <w:szCs w:val="24"/>
                <w:lang w:val="en-GB" w:eastAsia="de-DE"/>
              </w:rPr>
            </w:pPr>
            <w:r w:rsidRPr="00224350">
              <w:rPr>
                <w:rFonts w:eastAsia="Malgun Gothic"/>
                <w:szCs w:val="24"/>
                <w:lang w:val="en-GB" w:eastAsia="de-DE"/>
              </w:rPr>
              <w:t>42/94</w:t>
            </w:r>
          </w:p>
        </w:tc>
        <w:tc>
          <w:tcPr>
            <w:tcW w:w="496" w:type="pct"/>
            <w:tcBorders>
              <w:top w:val="nil"/>
              <w:left w:val="nil"/>
              <w:bottom w:val="nil"/>
              <w:right w:val="nil"/>
            </w:tcBorders>
          </w:tcPr>
          <w:p w14:paraId="78D8A66B" w14:textId="77777777" w:rsidR="00224350" w:rsidRPr="00224350" w:rsidRDefault="00224350" w:rsidP="00224350">
            <w:pPr>
              <w:widowControl/>
              <w:wordWrap/>
              <w:autoSpaceDE/>
              <w:autoSpaceDN/>
              <w:jc w:val="center"/>
              <w:rPr>
                <w:rFonts w:eastAsia="Malgun Gothic"/>
                <w:szCs w:val="24"/>
                <w:lang w:val="en-GB" w:eastAsia="de-DE"/>
              </w:rPr>
            </w:pPr>
            <w:r w:rsidRPr="00224350">
              <w:rPr>
                <w:rFonts w:eastAsia="Malgun Gothic"/>
                <w:szCs w:val="24"/>
                <w:lang w:val="en-GB" w:eastAsia="de-DE"/>
              </w:rPr>
              <w:t>(44.7)</w:t>
            </w:r>
          </w:p>
        </w:tc>
        <w:tc>
          <w:tcPr>
            <w:tcW w:w="636" w:type="pct"/>
            <w:tcBorders>
              <w:top w:val="nil"/>
              <w:left w:val="nil"/>
              <w:bottom w:val="nil"/>
              <w:right w:val="nil"/>
            </w:tcBorders>
          </w:tcPr>
          <w:p w14:paraId="2A754DC9" w14:textId="77777777" w:rsidR="00224350" w:rsidRPr="00224350" w:rsidRDefault="00224350" w:rsidP="00224350">
            <w:pPr>
              <w:widowControl/>
              <w:wordWrap/>
              <w:autoSpaceDE/>
              <w:autoSpaceDN/>
              <w:jc w:val="center"/>
              <w:rPr>
                <w:rFonts w:eastAsia="Malgun Gothic"/>
                <w:szCs w:val="24"/>
                <w:lang w:val="en-GB" w:eastAsia="de-DE"/>
              </w:rPr>
            </w:pPr>
            <w:r w:rsidRPr="00224350">
              <w:rPr>
                <w:rFonts w:eastAsia="Malgun Gothic"/>
                <w:szCs w:val="24"/>
                <w:lang w:val="en-GB" w:eastAsia="de-DE"/>
              </w:rPr>
              <w:t>42/101</w:t>
            </w:r>
          </w:p>
        </w:tc>
        <w:tc>
          <w:tcPr>
            <w:tcW w:w="491" w:type="pct"/>
            <w:tcBorders>
              <w:top w:val="nil"/>
              <w:left w:val="nil"/>
              <w:bottom w:val="nil"/>
              <w:right w:val="single" w:sz="4" w:space="0" w:color="auto"/>
            </w:tcBorders>
          </w:tcPr>
          <w:p w14:paraId="7135D5AF" w14:textId="77777777" w:rsidR="00224350" w:rsidRPr="00224350" w:rsidRDefault="00224350" w:rsidP="00224350">
            <w:pPr>
              <w:widowControl/>
              <w:wordWrap/>
              <w:autoSpaceDE/>
              <w:autoSpaceDN/>
              <w:jc w:val="center"/>
              <w:rPr>
                <w:rFonts w:eastAsia="Malgun Gothic"/>
                <w:szCs w:val="24"/>
                <w:lang w:val="en-GB" w:eastAsia="de-DE"/>
              </w:rPr>
            </w:pPr>
            <w:r w:rsidRPr="00224350">
              <w:rPr>
                <w:rFonts w:eastAsia="Malgun Gothic"/>
                <w:szCs w:val="24"/>
                <w:lang w:val="en-GB" w:eastAsia="de-DE"/>
              </w:rPr>
              <w:t>(41.6)</w:t>
            </w:r>
          </w:p>
        </w:tc>
      </w:tr>
      <w:tr w:rsidR="00224350" w:rsidRPr="00224350" w14:paraId="41AD4F4B" w14:textId="77777777" w:rsidTr="00224350">
        <w:tc>
          <w:tcPr>
            <w:tcW w:w="795" w:type="pct"/>
            <w:vMerge/>
            <w:tcBorders>
              <w:top w:val="nil"/>
              <w:left w:val="single" w:sz="4" w:space="0" w:color="auto"/>
              <w:bottom w:val="nil"/>
              <w:right w:val="nil"/>
            </w:tcBorders>
          </w:tcPr>
          <w:p w14:paraId="547757B8" w14:textId="77777777" w:rsidR="00224350" w:rsidRPr="00224350" w:rsidRDefault="00224350" w:rsidP="00224350">
            <w:pPr>
              <w:widowControl/>
              <w:wordWrap/>
              <w:autoSpaceDE/>
              <w:autoSpaceDN/>
              <w:jc w:val="center"/>
              <w:rPr>
                <w:rFonts w:eastAsia="Malgun Gothic"/>
                <w:szCs w:val="24"/>
                <w:lang w:val="en-GB" w:eastAsia="de-DE"/>
              </w:rPr>
            </w:pPr>
          </w:p>
        </w:tc>
        <w:tc>
          <w:tcPr>
            <w:tcW w:w="788" w:type="pct"/>
            <w:tcBorders>
              <w:top w:val="nil"/>
              <w:left w:val="nil"/>
              <w:bottom w:val="nil"/>
              <w:right w:val="nil"/>
            </w:tcBorders>
          </w:tcPr>
          <w:p w14:paraId="016D08A9" w14:textId="77777777" w:rsidR="00224350" w:rsidRPr="00224350" w:rsidRDefault="00224350" w:rsidP="00224350">
            <w:pPr>
              <w:widowControl/>
              <w:wordWrap/>
              <w:autoSpaceDE/>
              <w:autoSpaceDN/>
              <w:jc w:val="center"/>
              <w:rPr>
                <w:rFonts w:eastAsia="Malgun Gothic"/>
                <w:szCs w:val="24"/>
                <w:lang w:val="en-GB" w:eastAsia="de-DE"/>
              </w:rPr>
            </w:pPr>
            <w:r w:rsidRPr="00224350">
              <w:rPr>
                <w:rFonts w:eastAsia="Malgun Gothic"/>
                <w:szCs w:val="24"/>
                <w:lang w:val="en-GB" w:eastAsia="de-DE"/>
              </w:rPr>
              <w:t>Week 70</w:t>
            </w:r>
          </w:p>
        </w:tc>
        <w:tc>
          <w:tcPr>
            <w:tcW w:w="661" w:type="pct"/>
            <w:tcBorders>
              <w:top w:val="nil"/>
              <w:left w:val="nil"/>
              <w:bottom w:val="nil"/>
              <w:right w:val="nil"/>
            </w:tcBorders>
          </w:tcPr>
          <w:p w14:paraId="4EF1F490" w14:textId="77777777" w:rsidR="00224350" w:rsidRPr="00224350" w:rsidRDefault="00224350" w:rsidP="00224350">
            <w:pPr>
              <w:widowControl/>
              <w:wordWrap/>
              <w:autoSpaceDE/>
              <w:autoSpaceDN/>
              <w:jc w:val="center"/>
              <w:rPr>
                <w:rFonts w:eastAsia="Malgun Gothic"/>
                <w:szCs w:val="24"/>
                <w:lang w:val="en-GB" w:eastAsia="de-DE"/>
              </w:rPr>
            </w:pPr>
            <w:r w:rsidRPr="00224350">
              <w:rPr>
                <w:rFonts w:eastAsia="Malgun Gothic"/>
                <w:szCs w:val="24"/>
                <w:lang w:val="en-GB" w:eastAsia="de-DE"/>
              </w:rPr>
              <w:t>78/180</w:t>
            </w:r>
          </w:p>
        </w:tc>
        <w:tc>
          <w:tcPr>
            <w:tcW w:w="502" w:type="pct"/>
            <w:tcBorders>
              <w:top w:val="nil"/>
              <w:left w:val="nil"/>
              <w:bottom w:val="nil"/>
              <w:right w:val="nil"/>
            </w:tcBorders>
          </w:tcPr>
          <w:p w14:paraId="334028DB" w14:textId="77777777" w:rsidR="00224350" w:rsidRPr="00224350" w:rsidRDefault="00224350" w:rsidP="00224350">
            <w:pPr>
              <w:widowControl/>
              <w:wordWrap/>
              <w:autoSpaceDE/>
              <w:autoSpaceDN/>
              <w:jc w:val="center"/>
              <w:rPr>
                <w:rFonts w:eastAsia="Malgun Gothic"/>
                <w:szCs w:val="24"/>
                <w:lang w:val="en-GB" w:eastAsia="de-DE"/>
              </w:rPr>
            </w:pPr>
            <w:r w:rsidRPr="00224350">
              <w:rPr>
                <w:rFonts w:eastAsia="Malgun Gothic"/>
                <w:szCs w:val="24"/>
                <w:lang w:val="en-GB" w:eastAsia="de-DE"/>
              </w:rPr>
              <w:t>(43.3)</w:t>
            </w:r>
          </w:p>
        </w:tc>
        <w:tc>
          <w:tcPr>
            <w:tcW w:w="630" w:type="pct"/>
            <w:tcBorders>
              <w:top w:val="nil"/>
              <w:left w:val="nil"/>
              <w:bottom w:val="nil"/>
              <w:right w:val="nil"/>
            </w:tcBorders>
          </w:tcPr>
          <w:p w14:paraId="3F6C381E" w14:textId="77777777" w:rsidR="00224350" w:rsidRPr="00224350" w:rsidRDefault="00224350" w:rsidP="00224350">
            <w:pPr>
              <w:widowControl/>
              <w:wordWrap/>
              <w:autoSpaceDE/>
              <w:autoSpaceDN/>
              <w:jc w:val="center"/>
              <w:rPr>
                <w:rFonts w:eastAsia="Malgun Gothic"/>
                <w:szCs w:val="24"/>
                <w:lang w:val="en-GB" w:eastAsia="de-DE"/>
              </w:rPr>
            </w:pPr>
            <w:r w:rsidRPr="00224350">
              <w:rPr>
                <w:rFonts w:eastAsia="Malgun Gothic"/>
                <w:szCs w:val="24"/>
                <w:lang w:val="en-GB" w:eastAsia="de-DE"/>
              </w:rPr>
              <w:t>36/88</w:t>
            </w:r>
          </w:p>
        </w:tc>
        <w:tc>
          <w:tcPr>
            <w:tcW w:w="496" w:type="pct"/>
            <w:tcBorders>
              <w:top w:val="nil"/>
              <w:left w:val="nil"/>
              <w:bottom w:val="nil"/>
              <w:right w:val="nil"/>
            </w:tcBorders>
          </w:tcPr>
          <w:p w14:paraId="35B1B994" w14:textId="77777777" w:rsidR="00224350" w:rsidRPr="00224350" w:rsidRDefault="00224350" w:rsidP="00224350">
            <w:pPr>
              <w:widowControl/>
              <w:wordWrap/>
              <w:autoSpaceDE/>
              <w:autoSpaceDN/>
              <w:jc w:val="center"/>
              <w:rPr>
                <w:rFonts w:eastAsia="Malgun Gothic"/>
                <w:szCs w:val="24"/>
                <w:lang w:val="en-GB" w:eastAsia="de-DE"/>
              </w:rPr>
            </w:pPr>
            <w:r w:rsidRPr="00224350">
              <w:rPr>
                <w:rFonts w:eastAsia="Malgun Gothic"/>
                <w:szCs w:val="24"/>
                <w:lang w:val="en-GB" w:eastAsia="de-DE"/>
              </w:rPr>
              <w:t>(40.9)</w:t>
            </w:r>
          </w:p>
        </w:tc>
        <w:tc>
          <w:tcPr>
            <w:tcW w:w="636" w:type="pct"/>
            <w:tcBorders>
              <w:top w:val="nil"/>
              <w:left w:val="nil"/>
              <w:bottom w:val="nil"/>
              <w:right w:val="nil"/>
            </w:tcBorders>
          </w:tcPr>
          <w:p w14:paraId="7E294511" w14:textId="77777777" w:rsidR="00224350" w:rsidRPr="00224350" w:rsidRDefault="00224350" w:rsidP="00224350">
            <w:pPr>
              <w:widowControl/>
              <w:wordWrap/>
              <w:autoSpaceDE/>
              <w:autoSpaceDN/>
              <w:jc w:val="center"/>
              <w:rPr>
                <w:rFonts w:eastAsia="Malgun Gothic"/>
                <w:szCs w:val="24"/>
                <w:lang w:val="en-GB" w:eastAsia="de-DE"/>
              </w:rPr>
            </w:pPr>
            <w:r w:rsidRPr="00224350">
              <w:rPr>
                <w:rFonts w:eastAsia="Malgun Gothic"/>
                <w:szCs w:val="24"/>
                <w:lang w:val="en-GB" w:eastAsia="de-DE"/>
              </w:rPr>
              <w:t>43/98</w:t>
            </w:r>
          </w:p>
        </w:tc>
        <w:tc>
          <w:tcPr>
            <w:tcW w:w="491" w:type="pct"/>
            <w:tcBorders>
              <w:top w:val="nil"/>
              <w:left w:val="nil"/>
              <w:bottom w:val="nil"/>
              <w:right w:val="single" w:sz="4" w:space="0" w:color="auto"/>
            </w:tcBorders>
          </w:tcPr>
          <w:p w14:paraId="104BA95F" w14:textId="77777777" w:rsidR="00224350" w:rsidRPr="00224350" w:rsidRDefault="00224350" w:rsidP="00224350">
            <w:pPr>
              <w:widowControl/>
              <w:wordWrap/>
              <w:autoSpaceDE/>
              <w:autoSpaceDN/>
              <w:jc w:val="center"/>
              <w:rPr>
                <w:rFonts w:eastAsia="Malgun Gothic"/>
                <w:szCs w:val="24"/>
                <w:lang w:val="en-GB" w:eastAsia="de-DE"/>
              </w:rPr>
            </w:pPr>
            <w:r w:rsidRPr="00224350">
              <w:rPr>
                <w:rFonts w:eastAsia="Malgun Gothic"/>
                <w:szCs w:val="24"/>
                <w:lang w:val="en-GB" w:eastAsia="de-DE"/>
              </w:rPr>
              <w:t>(43.9)</w:t>
            </w:r>
          </w:p>
        </w:tc>
      </w:tr>
      <w:tr w:rsidR="00224350" w:rsidRPr="00224350" w14:paraId="45362F73" w14:textId="77777777" w:rsidTr="00224350">
        <w:tc>
          <w:tcPr>
            <w:tcW w:w="795" w:type="pct"/>
            <w:vMerge/>
            <w:tcBorders>
              <w:top w:val="nil"/>
              <w:left w:val="single" w:sz="4" w:space="0" w:color="auto"/>
              <w:bottom w:val="single" w:sz="4" w:space="0" w:color="000000"/>
              <w:right w:val="nil"/>
            </w:tcBorders>
          </w:tcPr>
          <w:p w14:paraId="30C7C969" w14:textId="77777777" w:rsidR="00224350" w:rsidRPr="00224350" w:rsidRDefault="00224350" w:rsidP="00224350">
            <w:pPr>
              <w:widowControl/>
              <w:wordWrap/>
              <w:autoSpaceDE/>
              <w:autoSpaceDN/>
              <w:jc w:val="center"/>
              <w:rPr>
                <w:rFonts w:eastAsia="Malgun Gothic"/>
                <w:szCs w:val="24"/>
                <w:lang w:val="en-GB" w:eastAsia="de-DE"/>
              </w:rPr>
            </w:pPr>
          </w:p>
        </w:tc>
        <w:tc>
          <w:tcPr>
            <w:tcW w:w="788" w:type="pct"/>
            <w:tcBorders>
              <w:top w:val="nil"/>
              <w:left w:val="nil"/>
              <w:bottom w:val="single" w:sz="4" w:space="0" w:color="000000"/>
              <w:right w:val="nil"/>
            </w:tcBorders>
          </w:tcPr>
          <w:p w14:paraId="7B86A0D3" w14:textId="77777777" w:rsidR="00224350" w:rsidRPr="00224350" w:rsidRDefault="00224350" w:rsidP="00224350">
            <w:pPr>
              <w:widowControl/>
              <w:wordWrap/>
              <w:autoSpaceDE/>
              <w:autoSpaceDN/>
              <w:jc w:val="center"/>
              <w:rPr>
                <w:rFonts w:eastAsia="Malgun Gothic"/>
                <w:szCs w:val="24"/>
                <w:lang w:val="en-GB" w:eastAsia="de-DE"/>
              </w:rPr>
            </w:pPr>
            <w:r w:rsidRPr="00224350">
              <w:rPr>
                <w:rFonts w:eastAsia="Malgun Gothic"/>
                <w:szCs w:val="24"/>
                <w:lang w:val="en-GB" w:eastAsia="de-DE"/>
              </w:rPr>
              <w:t>Week 78</w:t>
            </w:r>
          </w:p>
        </w:tc>
        <w:tc>
          <w:tcPr>
            <w:tcW w:w="661" w:type="pct"/>
            <w:tcBorders>
              <w:top w:val="nil"/>
              <w:left w:val="nil"/>
              <w:bottom w:val="single" w:sz="4" w:space="0" w:color="000000"/>
              <w:right w:val="nil"/>
            </w:tcBorders>
          </w:tcPr>
          <w:p w14:paraId="76D4BD21" w14:textId="77777777" w:rsidR="00224350" w:rsidRPr="00224350" w:rsidRDefault="00224350" w:rsidP="00224350">
            <w:pPr>
              <w:widowControl/>
              <w:wordWrap/>
              <w:autoSpaceDE/>
              <w:autoSpaceDN/>
              <w:jc w:val="center"/>
              <w:rPr>
                <w:rFonts w:eastAsia="Malgun Gothic"/>
                <w:szCs w:val="24"/>
                <w:lang w:val="en-GB" w:eastAsia="de-DE"/>
              </w:rPr>
            </w:pPr>
            <w:r w:rsidRPr="00224350">
              <w:rPr>
                <w:rFonts w:eastAsia="Malgun Gothic"/>
                <w:szCs w:val="24"/>
                <w:lang w:val="en-GB" w:eastAsia="de-DE"/>
              </w:rPr>
              <w:t>73/180</w:t>
            </w:r>
          </w:p>
        </w:tc>
        <w:tc>
          <w:tcPr>
            <w:tcW w:w="502" w:type="pct"/>
            <w:tcBorders>
              <w:top w:val="nil"/>
              <w:left w:val="nil"/>
              <w:bottom w:val="single" w:sz="4" w:space="0" w:color="000000"/>
              <w:right w:val="nil"/>
            </w:tcBorders>
          </w:tcPr>
          <w:p w14:paraId="5A688C34" w14:textId="77777777" w:rsidR="00224350" w:rsidRPr="00224350" w:rsidRDefault="00224350" w:rsidP="00224350">
            <w:pPr>
              <w:widowControl/>
              <w:wordWrap/>
              <w:autoSpaceDE/>
              <w:autoSpaceDN/>
              <w:jc w:val="center"/>
              <w:rPr>
                <w:rFonts w:eastAsia="Malgun Gothic"/>
                <w:szCs w:val="24"/>
                <w:lang w:val="en-GB" w:eastAsia="de-DE"/>
              </w:rPr>
            </w:pPr>
            <w:r w:rsidRPr="00224350">
              <w:rPr>
                <w:rFonts w:eastAsia="Malgun Gothic"/>
                <w:szCs w:val="24"/>
                <w:lang w:val="en-GB" w:eastAsia="de-DE"/>
              </w:rPr>
              <w:t>(40.6)</w:t>
            </w:r>
          </w:p>
        </w:tc>
        <w:tc>
          <w:tcPr>
            <w:tcW w:w="630" w:type="pct"/>
            <w:tcBorders>
              <w:top w:val="nil"/>
              <w:left w:val="nil"/>
              <w:bottom w:val="single" w:sz="4" w:space="0" w:color="000000"/>
              <w:right w:val="nil"/>
            </w:tcBorders>
          </w:tcPr>
          <w:p w14:paraId="77D79269" w14:textId="77777777" w:rsidR="00224350" w:rsidRPr="00224350" w:rsidRDefault="00224350" w:rsidP="00224350">
            <w:pPr>
              <w:widowControl/>
              <w:wordWrap/>
              <w:autoSpaceDE/>
              <w:autoSpaceDN/>
              <w:jc w:val="center"/>
              <w:rPr>
                <w:rFonts w:eastAsia="Malgun Gothic"/>
                <w:szCs w:val="24"/>
                <w:lang w:val="en-GB" w:eastAsia="de-DE"/>
              </w:rPr>
            </w:pPr>
            <w:r w:rsidRPr="00224350">
              <w:rPr>
                <w:rFonts w:eastAsia="Malgun Gothic"/>
                <w:szCs w:val="24"/>
                <w:lang w:val="en-GB" w:eastAsia="de-DE"/>
              </w:rPr>
              <w:t>32/85</w:t>
            </w:r>
          </w:p>
        </w:tc>
        <w:tc>
          <w:tcPr>
            <w:tcW w:w="496" w:type="pct"/>
            <w:tcBorders>
              <w:top w:val="nil"/>
              <w:left w:val="nil"/>
              <w:bottom w:val="single" w:sz="4" w:space="0" w:color="000000"/>
              <w:right w:val="nil"/>
            </w:tcBorders>
          </w:tcPr>
          <w:p w14:paraId="2418B916" w14:textId="77777777" w:rsidR="00224350" w:rsidRPr="00224350" w:rsidRDefault="00224350" w:rsidP="00224350">
            <w:pPr>
              <w:widowControl/>
              <w:wordWrap/>
              <w:autoSpaceDE/>
              <w:autoSpaceDN/>
              <w:jc w:val="center"/>
              <w:rPr>
                <w:rFonts w:eastAsia="Malgun Gothic"/>
                <w:szCs w:val="24"/>
                <w:lang w:val="en-GB" w:eastAsia="de-DE"/>
              </w:rPr>
            </w:pPr>
            <w:r w:rsidRPr="00224350">
              <w:rPr>
                <w:rFonts w:eastAsia="Malgun Gothic"/>
                <w:szCs w:val="24"/>
                <w:lang w:val="en-GB" w:eastAsia="de-DE"/>
              </w:rPr>
              <w:t>(37.6)</w:t>
            </w:r>
          </w:p>
        </w:tc>
        <w:tc>
          <w:tcPr>
            <w:tcW w:w="636" w:type="pct"/>
            <w:tcBorders>
              <w:top w:val="nil"/>
              <w:left w:val="nil"/>
              <w:bottom w:val="single" w:sz="4" w:space="0" w:color="000000"/>
              <w:right w:val="nil"/>
            </w:tcBorders>
          </w:tcPr>
          <w:p w14:paraId="63814CE5" w14:textId="77777777" w:rsidR="00224350" w:rsidRPr="00224350" w:rsidRDefault="00224350" w:rsidP="00224350">
            <w:pPr>
              <w:widowControl/>
              <w:wordWrap/>
              <w:autoSpaceDE/>
              <w:autoSpaceDN/>
              <w:jc w:val="center"/>
              <w:rPr>
                <w:rFonts w:eastAsia="Malgun Gothic"/>
                <w:szCs w:val="24"/>
                <w:lang w:val="en-GB" w:eastAsia="de-DE"/>
              </w:rPr>
            </w:pPr>
            <w:r w:rsidRPr="00224350">
              <w:rPr>
                <w:rFonts w:eastAsia="Malgun Gothic"/>
                <w:szCs w:val="24"/>
                <w:lang w:val="en-GB" w:eastAsia="de-DE"/>
              </w:rPr>
              <w:t>44/93</w:t>
            </w:r>
          </w:p>
        </w:tc>
        <w:tc>
          <w:tcPr>
            <w:tcW w:w="491" w:type="pct"/>
            <w:tcBorders>
              <w:top w:val="nil"/>
              <w:left w:val="nil"/>
              <w:bottom w:val="single" w:sz="4" w:space="0" w:color="000000"/>
              <w:right w:val="single" w:sz="4" w:space="0" w:color="auto"/>
            </w:tcBorders>
          </w:tcPr>
          <w:p w14:paraId="726FC71A" w14:textId="77777777" w:rsidR="00224350" w:rsidRPr="00224350" w:rsidRDefault="00224350" w:rsidP="00224350">
            <w:pPr>
              <w:widowControl/>
              <w:wordWrap/>
              <w:autoSpaceDE/>
              <w:autoSpaceDN/>
              <w:jc w:val="center"/>
              <w:rPr>
                <w:rFonts w:eastAsia="Malgun Gothic"/>
                <w:szCs w:val="24"/>
                <w:lang w:val="en-GB" w:eastAsia="de-DE"/>
              </w:rPr>
            </w:pPr>
            <w:r w:rsidRPr="00224350">
              <w:rPr>
                <w:rFonts w:eastAsia="Malgun Gothic"/>
                <w:szCs w:val="24"/>
                <w:lang w:val="en-GB" w:eastAsia="de-DE"/>
              </w:rPr>
              <w:t>(47.3)</w:t>
            </w:r>
          </w:p>
        </w:tc>
      </w:tr>
      <w:tr w:rsidR="00224350" w:rsidRPr="00224350" w14:paraId="3F882EEE" w14:textId="77777777" w:rsidTr="00224350">
        <w:tc>
          <w:tcPr>
            <w:tcW w:w="795" w:type="pct"/>
            <w:vMerge w:val="restart"/>
            <w:tcBorders>
              <w:left w:val="single" w:sz="4" w:space="0" w:color="auto"/>
              <w:bottom w:val="nil"/>
              <w:right w:val="nil"/>
            </w:tcBorders>
            <w:vAlign w:val="center"/>
          </w:tcPr>
          <w:p w14:paraId="4AC7241F" w14:textId="77777777" w:rsidR="00224350" w:rsidRPr="00224350" w:rsidRDefault="00224350" w:rsidP="00224350">
            <w:pPr>
              <w:widowControl/>
              <w:wordWrap/>
              <w:autoSpaceDE/>
              <w:autoSpaceDN/>
              <w:jc w:val="center"/>
              <w:rPr>
                <w:rFonts w:eastAsia="Malgun Gothic"/>
                <w:szCs w:val="24"/>
                <w:lang w:val="en-GB" w:eastAsia="de-DE"/>
              </w:rPr>
            </w:pPr>
            <w:r w:rsidRPr="00224350">
              <w:rPr>
                <w:rFonts w:eastAsia="Malgun Gothic"/>
                <w:szCs w:val="24"/>
                <w:lang w:val="en-GB" w:eastAsia="de-DE"/>
              </w:rPr>
              <w:t>ACR70</w:t>
            </w:r>
          </w:p>
        </w:tc>
        <w:tc>
          <w:tcPr>
            <w:tcW w:w="788" w:type="pct"/>
            <w:tcBorders>
              <w:left w:val="nil"/>
              <w:bottom w:val="nil"/>
              <w:right w:val="nil"/>
            </w:tcBorders>
          </w:tcPr>
          <w:p w14:paraId="54C18ED4" w14:textId="77777777" w:rsidR="00224350" w:rsidRPr="00224350" w:rsidRDefault="00224350" w:rsidP="00224350">
            <w:pPr>
              <w:widowControl/>
              <w:wordWrap/>
              <w:autoSpaceDE/>
              <w:autoSpaceDN/>
              <w:jc w:val="center"/>
              <w:rPr>
                <w:rFonts w:eastAsia="Malgun Gothic"/>
                <w:szCs w:val="24"/>
                <w:lang w:val="en-GB" w:eastAsia="de-DE"/>
              </w:rPr>
            </w:pPr>
            <w:r w:rsidRPr="00224350">
              <w:rPr>
                <w:rFonts w:eastAsia="Malgun Gothic"/>
                <w:szCs w:val="24"/>
                <w:lang w:val="en-GB" w:eastAsia="de-DE"/>
              </w:rPr>
              <w:t>Week 54</w:t>
            </w:r>
          </w:p>
        </w:tc>
        <w:tc>
          <w:tcPr>
            <w:tcW w:w="661" w:type="pct"/>
            <w:tcBorders>
              <w:left w:val="nil"/>
              <w:bottom w:val="nil"/>
              <w:right w:val="nil"/>
            </w:tcBorders>
          </w:tcPr>
          <w:p w14:paraId="2091457E" w14:textId="77777777" w:rsidR="00224350" w:rsidRPr="00224350" w:rsidRDefault="00224350" w:rsidP="00224350">
            <w:pPr>
              <w:widowControl/>
              <w:wordWrap/>
              <w:autoSpaceDE/>
              <w:autoSpaceDN/>
              <w:jc w:val="center"/>
              <w:rPr>
                <w:rFonts w:eastAsia="Malgun Gothic"/>
                <w:szCs w:val="24"/>
                <w:lang w:val="en-GB" w:eastAsia="de-DE"/>
              </w:rPr>
            </w:pPr>
            <w:r w:rsidRPr="00224350">
              <w:rPr>
                <w:rFonts w:eastAsia="Malgun Gothic"/>
                <w:szCs w:val="24"/>
                <w:lang w:val="en-GB" w:eastAsia="de-DE"/>
              </w:rPr>
              <w:t>49/201</w:t>
            </w:r>
          </w:p>
        </w:tc>
        <w:tc>
          <w:tcPr>
            <w:tcW w:w="502" w:type="pct"/>
            <w:tcBorders>
              <w:left w:val="nil"/>
              <w:bottom w:val="nil"/>
              <w:right w:val="nil"/>
            </w:tcBorders>
          </w:tcPr>
          <w:p w14:paraId="0023AA86" w14:textId="77777777" w:rsidR="00224350" w:rsidRPr="00224350" w:rsidRDefault="00224350" w:rsidP="00224350">
            <w:pPr>
              <w:widowControl/>
              <w:wordWrap/>
              <w:autoSpaceDE/>
              <w:autoSpaceDN/>
              <w:jc w:val="center"/>
              <w:rPr>
                <w:rFonts w:eastAsia="Malgun Gothic"/>
                <w:szCs w:val="24"/>
                <w:lang w:val="en-GB" w:eastAsia="de-DE"/>
              </w:rPr>
            </w:pPr>
            <w:r w:rsidRPr="00224350">
              <w:rPr>
                <w:rFonts w:eastAsia="Malgun Gothic"/>
                <w:szCs w:val="24"/>
                <w:lang w:val="en-GB" w:eastAsia="de-DE"/>
              </w:rPr>
              <w:t>(24.4)</w:t>
            </w:r>
          </w:p>
        </w:tc>
        <w:tc>
          <w:tcPr>
            <w:tcW w:w="630" w:type="pct"/>
            <w:tcBorders>
              <w:left w:val="nil"/>
              <w:bottom w:val="nil"/>
              <w:right w:val="nil"/>
            </w:tcBorders>
          </w:tcPr>
          <w:p w14:paraId="73518F8C" w14:textId="77777777" w:rsidR="00224350" w:rsidRPr="00224350" w:rsidRDefault="00224350" w:rsidP="00224350">
            <w:pPr>
              <w:widowControl/>
              <w:wordWrap/>
              <w:autoSpaceDE/>
              <w:autoSpaceDN/>
              <w:jc w:val="center"/>
              <w:rPr>
                <w:rFonts w:eastAsia="Malgun Gothic"/>
                <w:szCs w:val="24"/>
                <w:lang w:val="en-GB" w:eastAsia="de-DE"/>
              </w:rPr>
            </w:pPr>
            <w:r w:rsidRPr="00224350">
              <w:rPr>
                <w:rFonts w:eastAsia="Malgun Gothic"/>
                <w:szCs w:val="24"/>
                <w:lang w:val="en-GB" w:eastAsia="de-DE"/>
              </w:rPr>
              <w:t>25/94</w:t>
            </w:r>
          </w:p>
        </w:tc>
        <w:tc>
          <w:tcPr>
            <w:tcW w:w="496" w:type="pct"/>
            <w:tcBorders>
              <w:left w:val="nil"/>
              <w:bottom w:val="nil"/>
              <w:right w:val="nil"/>
            </w:tcBorders>
          </w:tcPr>
          <w:p w14:paraId="1AFCE8E5" w14:textId="77777777" w:rsidR="00224350" w:rsidRPr="00224350" w:rsidRDefault="00224350" w:rsidP="00224350">
            <w:pPr>
              <w:widowControl/>
              <w:wordWrap/>
              <w:autoSpaceDE/>
              <w:autoSpaceDN/>
              <w:jc w:val="center"/>
              <w:rPr>
                <w:rFonts w:eastAsia="Malgun Gothic"/>
                <w:szCs w:val="24"/>
                <w:lang w:val="en-GB" w:eastAsia="de-DE"/>
              </w:rPr>
            </w:pPr>
            <w:r w:rsidRPr="00224350">
              <w:rPr>
                <w:rFonts w:eastAsia="Malgun Gothic"/>
                <w:szCs w:val="24"/>
                <w:lang w:val="en-GB" w:eastAsia="de-DE"/>
              </w:rPr>
              <w:t>(26.6)</w:t>
            </w:r>
          </w:p>
        </w:tc>
        <w:tc>
          <w:tcPr>
            <w:tcW w:w="636" w:type="pct"/>
            <w:tcBorders>
              <w:left w:val="nil"/>
              <w:bottom w:val="nil"/>
              <w:right w:val="nil"/>
            </w:tcBorders>
          </w:tcPr>
          <w:p w14:paraId="737F64CB" w14:textId="77777777" w:rsidR="00224350" w:rsidRPr="00224350" w:rsidRDefault="00224350" w:rsidP="00224350">
            <w:pPr>
              <w:widowControl/>
              <w:wordWrap/>
              <w:autoSpaceDE/>
              <w:autoSpaceDN/>
              <w:jc w:val="center"/>
              <w:rPr>
                <w:rFonts w:eastAsia="Malgun Gothic"/>
                <w:szCs w:val="24"/>
                <w:lang w:val="en-GB" w:eastAsia="de-DE"/>
              </w:rPr>
            </w:pPr>
            <w:r w:rsidRPr="00224350">
              <w:rPr>
                <w:rFonts w:eastAsia="Malgun Gothic"/>
                <w:szCs w:val="24"/>
                <w:lang w:val="en-GB" w:eastAsia="de-DE"/>
              </w:rPr>
              <w:t>23/101</w:t>
            </w:r>
          </w:p>
        </w:tc>
        <w:tc>
          <w:tcPr>
            <w:tcW w:w="491" w:type="pct"/>
            <w:tcBorders>
              <w:left w:val="nil"/>
              <w:bottom w:val="nil"/>
              <w:right w:val="single" w:sz="4" w:space="0" w:color="auto"/>
            </w:tcBorders>
          </w:tcPr>
          <w:p w14:paraId="794AA426" w14:textId="77777777" w:rsidR="00224350" w:rsidRPr="00224350" w:rsidRDefault="00224350" w:rsidP="00224350">
            <w:pPr>
              <w:widowControl/>
              <w:wordWrap/>
              <w:autoSpaceDE/>
              <w:autoSpaceDN/>
              <w:jc w:val="center"/>
              <w:rPr>
                <w:rFonts w:eastAsia="Malgun Gothic"/>
                <w:szCs w:val="24"/>
                <w:lang w:val="en-GB" w:eastAsia="de-DE"/>
              </w:rPr>
            </w:pPr>
            <w:r w:rsidRPr="00224350">
              <w:rPr>
                <w:rFonts w:eastAsia="Malgun Gothic"/>
                <w:szCs w:val="24"/>
                <w:lang w:val="en-GB" w:eastAsia="de-DE"/>
              </w:rPr>
              <w:t>(22.8)</w:t>
            </w:r>
          </w:p>
        </w:tc>
      </w:tr>
      <w:tr w:rsidR="00224350" w:rsidRPr="00224350" w14:paraId="4F20D9EE" w14:textId="77777777" w:rsidTr="00224350">
        <w:tc>
          <w:tcPr>
            <w:tcW w:w="795" w:type="pct"/>
            <w:vMerge/>
            <w:tcBorders>
              <w:top w:val="nil"/>
              <w:left w:val="single" w:sz="4" w:space="0" w:color="auto"/>
              <w:bottom w:val="nil"/>
              <w:right w:val="nil"/>
            </w:tcBorders>
          </w:tcPr>
          <w:p w14:paraId="667D344E" w14:textId="77777777" w:rsidR="00224350" w:rsidRPr="00224350" w:rsidRDefault="00224350" w:rsidP="00224350">
            <w:pPr>
              <w:widowControl/>
              <w:wordWrap/>
              <w:autoSpaceDE/>
              <w:autoSpaceDN/>
              <w:jc w:val="center"/>
              <w:rPr>
                <w:rFonts w:eastAsia="Malgun Gothic"/>
                <w:szCs w:val="24"/>
                <w:lang w:val="en-GB" w:eastAsia="de-DE"/>
              </w:rPr>
            </w:pPr>
          </w:p>
        </w:tc>
        <w:tc>
          <w:tcPr>
            <w:tcW w:w="788" w:type="pct"/>
            <w:tcBorders>
              <w:top w:val="nil"/>
              <w:left w:val="nil"/>
              <w:bottom w:val="nil"/>
              <w:right w:val="nil"/>
            </w:tcBorders>
          </w:tcPr>
          <w:p w14:paraId="6C4C77FD" w14:textId="77777777" w:rsidR="00224350" w:rsidRPr="00224350" w:rsidRDefault="00224350" w:rsidP="00224350">
            <w:pPr>
              <w:widowControl/>
              <w:wordWrap/>
              <w:autoSpaceDE/>
              <w:autoSpaceDN/>
              <w:jc w:val="center"/>
              <w:rPr>
                <w:rFonts w:eastAsia="Malgun Gothic"/>
                <w:szCs w:val="24"/>
                <w:lang w:val="en-GB" w:eastAsia="de-DE"/>
              </w:rPr>
            </w:pPr>
            <w:r w:rsidRPr="00224350">
              <w:rPr>
                <w:rFonts w:eastAsia="Malgun Gothic"/>
                <w:szCs w:val="24"/>
                <w:lang w:val="en-GB" w:eastAsia="de-DE"/>
              </w:rPr>
              <w:t>Week 62</w:t>
            </w:r>
          </w:p>
        </w:tc>
        <w:tc>
          <w:tcPr>
            <w:tcW w:w="661" w:type="pct"/>
            <w:tcBorders>
              <w:top w:val="nil"/>
              <w:left w:val="nil"/>
              <w:bottom w:val="nil"/>
              <w:right w:val="nil"/>
            </w:tcBorders>
          </w:tcPr>
          <w:p w14:paraId="4CA41514" w14:textId="77777777" w:rsidR="00224350" w:rsidRPr="00224350" w:rsidRDefault="00224350" w:rsidP="00224350">
            <w:pPr>
              <w:widowControl/>
              <w:wordWrap/>
              <w:autoSpaceDE/>
              <w:autoSpaceDN/>
              <w:jc w:val="center"/>
              <w:rPr>
                <w:rFonts w:eastAsia="Malgun Gothic"/>
                <w:szCs w:val="24"/>
                <w:lang w:val="en-GB" w:eastAsia="de-DE"/>
              </w:rPr>
            </w:pPr>
            <w:r w:rsidRPr="00224350">
              <w:rPr>
                <w:rFonts w:eastAsia="Malgun Gothic"/>
                <w:szCs w:val="24"/>
                <w:lang w:val="en-GB" w:eastAsia="de-DE"/>
              </w:rPr>
              <w:t>41/193</w:t>
            </w:r>
          </w:p>
        </w:tc>
        <w:tc>
          <w:tcPr>
            <w:tcW w:w="502" w:type="pct"/>
            <w:tcBorders>
              <w:top w:val="nil"/>
              <w:left w:val="nil"/>
              <w:bottom w:val="nil"/>
              <w:right w:val="nil"/>
            </w:tcBorders>
          </w:tcPr>
          <w:p w14:paraId="4DC976F5" w14:textId="77777777" w:rsidR="00224350" w:rsidRPr="00224350" w:rsidRDefault="00224350" w:rsidP="00224350">
            <w:pPr>
              <w:widowControl/>
              <w:wordWrap/>
              <w:autoSpaceDE/>
              <w:autoSpaceDN/>
              <w:jc w:val="center"/>
              <w:rPr>
                <w:rFonts w:eastAsia="Malgun Gothic"/>
                <w:szCs w:val="24"/>
                <w:lang w:val="en-GB" w:eastAsia="de-DE"/>
              </w:rPr>
            </w:pPr>
            <w:r w:rsidRPr="00224350">
              <w:rPr>
                <w:rFonts w:eastAsia="Malgun Gothic"/>
                <w:szCs w:val="24"/>
                <w:lang w:val="en-GB" w:eastAsia="de-DE"/>
              </w:rPr>
              <w:t>(21.2)</w:t>
            </w:r>
          </w:p>
        </w:tc>
        <w:tc>
          <w:tcPr>
            <w:tcW w:w="630" w:type="pct"/>
            <w:tcBorders>
              <w:top w:val="nil"/>
              <w:left w:val="nil"/>
              <w:bottom w:val="nil"/>
              <w:right w:val="nil"/>
            </w:tcBorders>
          </w:tcPr>
          <w:p w14:paraId="44E574EA" w14:textId="77777777" w:rsidR="00224350" w:rsidRPr="00224350" w:rsidRDefault="00224350" w:rsidP="00224350">
            <w:pPr>
              <w:widowControl/>
              <w:wordWrap/>
              <w:autoSpaceDE/>
              <w:autoSpaceDN/>
              <w:jc w:val="center"/>
              <w:rPr>
                <w:rFonts w:eastAsia="Malgun Gothic"/>
                <w:szCs w:val="24"/>
                <w:lang w:val="en-GB" w:eastAsia="de-DE"/>
              </w:rPr>
            </w:pPr>
            <w:r w:rsidRPr="00224350">
              <w:rPr>
                <w:rFonts w:eastAsia="Malgun Gothic"/>
                <w:szCs w:val="24"/>
                <w:lang w:val="en-GB" w:eastAsia="de-DE"/>
              </w:rPr>
              <w:t>22/94</w:t>
            </w:r>
          </w:p>
        </w:tc>
        <w:tc>
          <w:tcPr>
            <w:tcW w:w="496" w:type="pct"/>
            <w:tcBorders>
              <w:top w:val="nil"/>
              <w:left w:val="nil"/>
              <w:bottom w:val="nil"/>
              <w:right w:val="nil"/>
            </w:tcBorders>
          </w:tcPr>
          <w:p w14:paraId="31C2FBAB" w14:textId="77777777" w:rsidR="00224350" w:rsidRPr="00224350" w:rsidRDefault="00224350" w:rsidP="00224350">
            <w:pPr>
              <w:widowControl/>
              <w:wordWrap/>
              <w:autoSpaceDE/>
              <w:autoSpaceDN/>
              <w:jc w:val="center"/>
              <w:rPr>
                <w:rFonts w:eastAsia="Malgun Gothic"/>
                <w:szCs w:val="24"/>
                <w:lang w:val="en-GB" w:eastAsia="de-DE"/>
              </w:rPr>
            </w:pPr>
            <w:r w:rsidRPr="00224350">
              <w:rPr>
                <w:rFonts w:eastAsia="Malgun Gothic"/>
                <w:szCs w:val="24"/>
                <w:lang w:val="en-GB" w:eastAsia="de-DE"/>
              </w:rPr>
              <w:t>(23.4)</w:t>
            </w:r>
          </w:p>
        </w:tc>
        <w:tc>
          <w:tcPr>
            <w:tcW w:w="636" w:type="pct"/>
            <w:tcBorders>
              <w:top w:val="nil"/>
              <w:left w:val="nil"/>
              <w:bottom w:val="nil"/>
              <w:right w:val="nil"/>
            </w:tcBorders>
          </w:tcPr>
          <w:p w14:paraId="203D8D9D" w14:textId="77777777" w:rsidR="00224350" w:rsidRPr="00224350" w:rsidRDefault="00224350" w:rsidP="00224350">
            <w:pPr>
              <w:widowControl/>
              <w:wordWrap/>
              <w:autoSpaceDE/>
              <w:autoSpaceDN/>
              <w:jc w:val="center"/>
              <w:rPr>
                <w:rFonts w:eastAsia="Malgun Gothic"/>
                <w:szCs w:val="24"/>
                <w:lang w:val="en-GB" w:eastAsia="de-DE"/>
              </w:rPr>
            </w:pPr>
            <w:r w:rsidRPr="00224350">
              <w:rPr>
                <w:rFonts w:eastAsia="Malgun Gothic"/>
                <w:szCs w:val="24"/>
                <w:lang w:val="en-GB" w:eastAsia="de-DE"/>
              </w:rPr>
              <w:t>21/101</w:t>
            </w:r>
          </w:p>
        </w:tc>
        <w:tc>
          <w:tcPr>
            <w:tcW w:w="491" w:type="pct"/>
            <w:tcBorders>
              <w:top w:val="nil"/>
              <w:left w:val="nil"/>
              <w:bottom w:val="nil"/>
              <w:right w:val="single" w:sz="4" w:space="0" w:color="auto"/>
            </w:tcBorders>
          </w:tcPr>
          <w:p w14:paraId="746E863D" w14:textId="77777777" w:rsidR="00224350" w:rsidRPr="00224350" w:rsidRDefault="00224350" w:rsidP="00224350">
            <w:pPr>
              <w:widowControl/>
              <w:wordWrap/>
              <w:autoSpaceDE/>
              <w:autoSpaceDN/>
              <w:jc w:val="center"/>
              <w:rPr>
                <w:rFonts w:eastAsia="Malgun Gothic"/>
                <w:szCs w:val="24"/>
                <w:lang w:val="en-GB" w:eastAsia="de-DE"/>
              </w:rPr>
            </w:pPr>
            <w:r w:rsidRPr="00224350">
              <w:rPr>
                <w:rFonts w:eastAsia="Malgun Gothic"/>
                <w:szCs w:val="24"/>
                <w:lang w:val="en-GB" w:eastAsia="de-DE"/>
              </w:rPr>
              <w:t>(20.8)</w:t>
            </w:r>
          </w:p>
        </w:tc>
      </w:tr>
      <w:tr w:rsidR="00224350" w:rsidRPr="00224350" w14:paraId="40E93302" w14:textId="77777777" w:rsidTr="00224350">
        <w:tc>
          <w:tcPr>
            <w:tcW w:w="795" w:type="pct"/>
            <w:vMerge/>
            <w:tcBorders>
              <w:top w:val="nil"/>
              <w:left w:val="single" w:sz="4" w:space="0" w:color="auto"/>
              <w:bottom w:val="nil"/>
              <w:right w:val="nil"/>
            </w:tcBorders>
          </w:tcPr>
          <w:p w14:paraId="3A555E65" w14:textId="77777777" w:rsidR="00224350" w:rsidRPr="00224350" w:rsidRDefault="00224350" w:rsidP="00224350">
            <w:pPr>
              <w:widowControl/>
              <w:wordWrap/>
              <w:autoSpaceDE/>
              <w:autoSpaceDN/>
              <w:jc w:val="center"/>
              <w:rPr>
                <w:rFonts w:eastAsia="Malgun Gothic"/>
                <w:szCs w:val="24"/>
                <w:lang w:val="en-GB" w:eastAsia="de-DE"/>
              </w:rPr>
            </w:pPr>
          </w:p>
        </w:tc>
        <w:tc>
          <w:tcPr>
            <w:tcW w:w="788" w:type="pct"/>
            <w:tcBorders>
              <w:top w:val="nil"/>
              <w:left w:val="nil"/>
              <w:bottom w:val="nil"/>
              <w:right w:val="nil"/>
            </w:tcBorders>
          </w:tcPr>
          <w:p w14:paraId="781327D9" w14:textId="77777777" w:rsidR="00224350" w:rsidRPr="00224350" w:rsidRDefault="00224350" w:rsidP="00224350">
            <w:pPr>
              <w:widowControl/>
              <w:wordWrap/>
              <w:autoSpaceDE/>
              <w:autoSpaceDN/>
              <w:jc w:val="center"/>
              <w:rPr>
                <w:rFonts w:eastAsia="Malgun Gothic"/>
                <w:szCs w:val="24"/>
                <w:lang w:val="en-GB" w:eastAsia="de-DE"/>
              </w:rPr>
            </w:pPr>
            <w:r w:rsidRPr="00224350">
              <w:rPr>
                <w:rFonts w:eastAsia="Malgun Gothic"/>
                <w:szCs w:val="24"/>
                <w:lang w:val="en-GB" w:eastAsia="de-DE"/>
              </w:rPr>
              <w:t>Week 70</w:t>
            </w:r>
          </w:p>
        </w:tc>
        <w:tc>
          <w:tcPr>
            <w:tcW w:w="661" w:type="pct"/>
            <w:tcBorders>
              <w:top w:val="nil"/>
              <w:left w:val="nil"/>
              <w:bottom w:val="nil"/>
              <w:right w:val="nil"/>
            </w:tcBorders>
          </w:tcPr>
          <w:p w14:paraId="11ECA3E6" w14:textId="77777777" w:rsidR="00224350" w:rsidRPr="00224350" w:rsidRDefault="00224350" w:rsidP="00224350">
            <w:pPr>
              <w:widowControl/>
              <w:wordWrap/>
              <w:autoSpaceDE/>
              <w:autoSpaceDN/>
              <w:jc w:val="center"/>
              <w:rPr>
                <w:rFonts w:eastAsia="Malgun Gothic"/>
                <w:szCs w:val="24"/>
                <w:lang w:val="en-GB" w:eastAsia="de-DE"/>
              </w:rPr>
            </w:pPr>
            <w:r w:rsidRPr="00224350">
              <w:rPr>
                <w:rFonts w:eastAsia="Malgun Gothic"/>
                <w:szCs w:val="24"/>
                <w:lang w:val="en-GB" w:eastAsia="de-DE"/>
              </w:rPr>
              <w:t>46/180</w:t>
            </w:r>
          </w:p>
        </w:tc>
        <w:tc>
          <w:tcPr>
            <w:tcW w:w="502" w:type="pct"/>
            <w:tcBorders>
              <w:top w:val="nil"/>
              <w:left w:val="nil"/>
              <w:bottom w:val="nil"/>
              <w:right w:val="nil"/>
            </w:tcBorders>
          </w:tcPr>
          <w:p w14:paraId="3E586FF8" w14:textId="77777777" w:rsidR="00224350" w:rsidRPr="00224350" w:rsidRDefault="00224350" w:rsidP="00224350">
            <w:pPr>
              <w:widowControl/>
              <w:wordWrap/>
              <w:autoSpaceDE/>
              <w:autoSpaceDN/>
              <w:jc w:val="center"/>
              <w:rPr>
                <w:rFonts w:eastAsia="Malgun Gothic"/>
                <w:szCs w:val="24"/>
                <w:lang w:val="en-GB" w:eastAsia="de-DE"/>
              </w:rPr>
            </w:pPr>
            <w:r w:rsidRPr="00224350">
              <w:rPr>
                <w:rFonts w:eastAsia="Malgun Gothic"/>
                <w:szCs w:val="24"/>
                <w:lang w:val="en-GB" w:eastAsia="de-DE"/>
              </w:rPr>
              <w:t>(25.6)</w:t>
            </w:r>
          </w:p>
        </w:tc>
        <w:tc>
          <w:tcPr>
            <w:tcW w:w="630" w:type="pct"/>
            <w:tcBorders>
              <w:top w:val="nil"/>
              <w:left w:val="nil"/>
              <w:bottom w:val="nil"/>
              <w:right w:val="nil"/>
            </w:tcBorders>
          </w:tcPr>
          <w:p w14:paraId="61CC4686" w14:textId="77777777" w:rsidR="00224350" w:rsidRPr="00224350" w:rsidRDefault="00224350" w:rsidP="00224350">
            <w:pPr>
              <w:widowControl/>
              <w:wordWrap/>
              <w:autoSpaceDE/>
              <w:autoSpaceDN/>
              <w:jc w:val="center"/>
              <w:rPr>
                <w:rFonts w:eastAsia="Malgun Gothic"/>
                <w:szCs w:val="24"/>
                <w:lang w:val="en-GB" w:eastAsia="de-DE"/>
              </w:rPr>
            </w:pPr>
            <w:r w:rsidRPr="00224350">
              <w:rPr>
                <w:rFonts w:eastAsia="Malgun Gothic"/>
                <w:szCs w:val="24"/>
                <w:lang w:val="en-GB" w:eastAsia="de-DE"/>
              </w:rPr>
              <w:t>18/88</w:t>
            </w:r>
          </w:p>
        </w:tc>
        <w:tc>
          <w:tcPr>
            <w:tcW w:w="496" w:type="pct"/>
            <w:tcBorders>
              <w:top w:val="nil"/>
              <w:left w:val="nil"/>
              <w:bottom w:val="nil"/>
              <w:right w:val="nil"/>
            </w:tcBorders>
          </w:tcPr>
          <w:p w14:paraId="74BA5CD1" w14:textId="77777777" w:rsidR="00224350" w:rsidRPr="00224350" w:rsidRDefault="00224350" w:rsidP="00224350">
            <w:pPr>
              <w:widowControl/>
              <w:wordWrap/>
              <w:autoSpaceDE/>
              <w:autoSpaceDN/>
              <w:jc w:val="center"/>
              <w:rPr>
                <w:rFonts w:eastAsia="Malgun Gothic"/>
                <w:szCs w:val="24"/>
                <w:lang w:val="en-GB" w:eastAsia="de-DE"/>
              </w:rPr>
            </w:pPr>
            <w:r w:rsidRPr="00224350">
              <w:rPr>
                <w:rFonts w:eastAsia="Malgun Gothic"/>
                <w:szCs w:val="24"/>
                <w:lang w:val="en-GB" w:eastAsia="de-DE"/>
              </w:rPr>
              <w:t>(20.5)</w:t>
            </w:r>
          </w:p>
        </w:tc>
        <w:tc>
          <w:tcPr>
            <w:tcW w:w="636" w:type="pct"/>
            <w:tcBorders>
              <w:top w:val="nil"/>
              <w:left w:val="nil"/>
              <w:bottom w:val="nil"/>
              <w:right w:val="nil"/>
            </w:tcBorders>
          </w:tcPr>
          <w:p w14:paraId="2C87AB79" w14:textId="77777777" w:rsidR="00224350" w:rsidRPr="00224350" w:rsidRDefault="00224350" w:rsidP="00224350">
            <w:pPr>
              <w:widowControl/>
              <w:wordWrap/>
              <w:autoSpaceDE/>
              <w:autoSpaceDN/>
              <w:jc w:val="center"/>
              <w:rPr>
                <w:rFonts w:eastAsia="Malgun Gothic"/>
                <w:szCs w:val="24"/>
                <w:lang w:val="en-GB" w:eastAsia="de-DE"/>
              </w:rPr>
            </w:pPr>
            <w:r w:rsidRPr="00224350">
              <w:rPr>
                <w:rFonts w:eastAsia="Malgun Gothic"/>
                <w:szCs w:val="24"/>
                <w:lang w:val="en-GB" w:eastAsia="de-DE"/>
              </w:rPr>
              <w:t>25/98</w:t>
            </w:r>
          </w:p>
        </w:tc>
        <w:tc>
          <w:tcPr>
            <w:tcW w:w="491" w:type="pct"/>
            <w:tcBorders>
              <w:top w:val="nil"/>
              <w:left w:val="nil"/>
              <w:bottom w:val="nil"/>
              <w:right w:val="single" w:sz="4" w:space="0" w:color="auto"/>
            </w:tcBorders>
          </w:tcPr>
          <w:p w14:paraId="6BCA09DC" w14:textId="77777777" w:rsidR="00224350" w:rsidRPr="00224350" w:rsidRDefault="00224350" w:rsidP="00224350">
            <w:pPr>
              <w:widowControl/>
              <w:wordWrap/>
              <w:autoSpaceDE/>
              <w:autoSpaceDN/>
              <w:jc w:val="center"/>
              <w:rPr>
                <w:rFonts w:eastAsia="Malgun Gothic"/>
                <w:szCs w:val="24"/>
                <w:lang w:val="en-GB" w:eastAsia="de-DE"/>
              </w:rPr>
            </w:pPr>
            <w:r w:rsidRPr="00224350">
              <w:rPr>
                <w:rFonts w:eastAsia="Malgun Gothic"/>
                <w:szCs w:val="24"/>
                <w:lang w:val="en-GB" w:eastAsia="de-DE"/>
              </w:rPr>
              <w:t>(25.5)</w:t>
            </w:r>
          </w:p>
        </w:tc>
      </w:tr>
      <w:tr w:rsidR="00224350" w:rsidRPr="00224350" w14:paraId="0BC35920" w14:textId="77777777" w:rsidTr="00224350">
        <w:tc>
          <w:tcPr>
            <w:tcW w:w="795" w:type="pct"/>
            <w:vMerge/>
            <w:tcBorders>
              <w:top w:val="nil"/>
              <w:left w:val="single" w:sz="4" w:space="0" w:color="auto"/>
              <w:right w:val="nil"/>
            </w:tcBorders>
          </w:tcPr>
          <w:p w14:paraId="4D56B7C1" w14:textId="77777777" w:rsidR="00224350" w:rsidRPr="00224350" w:rsidRDefault="00224350" w:rsidP="00224350">
            <w:pPr>
              <w:widowControl/>
              <w:wordWrap/>
              <w:autoSpaceDE/>
              <w:autoSpaceDN/>
              <w:jc w:val="center"/>
              <w:rPr>
                <w:rFonts w:eastAsia="Malgun Gothic"/>
                <w:szCs w:val="24"/>
                <w:lang w:val="en-GB" w:eastAsia="de-DE"/>
              </w:rPr>
            </w:pPr>
          </w:p>
        </w:tc>
        <w:tc>
          <w:tcPr>
            <w:tcW w:w="788" w:type="pct"/>
            <w:tcBorders>
              <w:top w:val="nil"/>
              <w:left w:val="nil"/>
              <w:right w:val="nil"/>
            </w:tcBorders>
          </w:tcPr>
          <w:p w14:paraId="12D453C3" w14:textId="77777777" w:rsidR="00224350" w:rsidRPr="00224350" w:rsidRDefault="00224350" w:rsidP="00224350">
            <w:pPr>
              <w:widowControl/>
              <w:wordWrap/>
              <w:autoSpaceDE/>
              <w:autoSpaceDN/>
              <w:jc w:val="center"/>
              <w:rPr>
                <w:rFonts w:eastAsia="Malgun Gothic"/>
                <w:szCs w:val="24"/>
                <w:lang w:val="en-GB" w:eastAsia="de-DE"/>
              </w:rPr>
            </w:pPr>
            <w:r w:rsidRPr="00224350">
              <w:rPr>
                <w:rFonts w:eastAsia="Malgun Gothic"/>
                <w:szCs w:val="24"/>
                <w:lang w:val="en-GB" w:eastAsia="de-DE"/>
              </w:rPr>
              <w:t>Week 78</w:t>
            </w:r>
          </w:p>
        </w:tc>
        <w:tc>
          <w:tcPr>
            <w:tcW w:w="661" w:type="pct"/>
            <w:tcBorders>
              <w:top w:val="nil"/>
              <w:left w:val="nil"/>
              <w:right w:val="nil"/>
            </w:tcBorders>
          </w:tcPr>
          <w:p w14:paraId="769E21D9" w14:textId="77777777" w:rsidR="00224350" w:rsidRPr="00224350" w:rsidRDefault="00224350" w:rsidP="00224350">
            <w:pPr>
              <w:widowControl/>
              <w:wordWrap/>
              <w:autoSpaceDE/>
              <w:autoSpaceDN/>
              <w:jc w:val="center"/>
              <w:rPr>
                <w:rFonts w:eastAsia="Malgun Gothic"/>
                <w:szCs w:val="24"/>
                <w:lang w:val="en-GB" w:eastAsia="de-DE"/>
              </w:rPr>
            </w:pPr>
            <w:r w:rsidRPr="00224350">
              <w:rPr>
                <w:rFonts w:eastAsia="Malgun Gothic"/>
                <w:szCs w:val="24"/>
                <w:lang w:val="en-GB" w:eastAsia="de-DE"/>
              </w:rPr>
              <w:t>46/180</w:t>
            </w:r>
          </w:p>
        </w:tc>
        <w:tc>
          <w:tcPr>
            <w:tcW w:w="502" w:type="pct"/>
            <w:tcBorders>
              <w:top w:val="nil"/>
              <w:left w:val="nil"/>
              <w:right w:val="nil"/>
            </w:tcBorders>
          </w:tcPr>
          <w:p w14:paraId="2B858303" w14:textId="77777777" w:rsidR="00224350" w:rsidRPr="00224350" w:rsidRDefault="00224350" w:rsidP="00224350">
            <w:pPr>
              <w:widowControl/>
              <w:wordWrap/>
              <w:autoSpaceDE/>
              <w:autoSpaceDN/>
              <w:jc w:val="center"/>
              <w:rPr>
                <w:rFonts w:eastAsia="Malgun Gothic"/>
                <w:szCs w:val="24"/>
                <w:lang w:val="en-GB" w:eastAsia="de-DE"/>
              </w:rPr>
            </w:pPr>
            <w:r w:rsidRPr="00224350">
              <w:rPr>
                <w:rFonts w:eastAsia="Malgun Gothic"/>
                <w:szCs w:val="24"/>
                <w:lang w:val="en-GB" w:eastAsia="de-DE"/>
              </w:rPr>
              <w:t>(25.6)</w:t>
            </w:r>
          </w:p>
        </w:tc>
        <w:tc>
          <w:tcPr>
            <w:tcW w:w="630" w:type="pct"/>
            <w:tcBorders>
              <w:top w:val="nil"/>
              <w:left w:val="nil"/>
              <w:right w:val="nil"/>
            </w:tcBorders>
          </w:tcPr>
          <w:p w14:paraId="3BFFC343" w14:textId="77777777" w:rsidR="00224350" w:rsidRPr="00224350" w:rsidRDefault="00224350" w:rsidP="00224350">
            <w:pPr>
              <w:widowControl/>
              <w:wordWrap/>
              <w:autoSpaceDE/>
              <w:autoSpaceDN/>
              <w:jc w:val="center"/>
              <w:rPr>
                <w:rFonts w:eastAsia="Malgun Gothic"/>
                <w:szCs w:val="24"/>
                <w:lang w:val="en-GB" w:eastAsia="de-DE"/>
              </w:rPr>
            </w:pPr>
            <w:r w:rsidRPr="00224350">
              <w:rPr>
                <w:rFonts w:eastAsia="Malgun Gothic"/>
                <w:szCs w:val="24"/>
                <w:lang w:val="en-GB" w:eastAsia="de-DE"/>
              </w:rPr>
              <w:t>19/85</w:t>
            </w:r>
          </w:p>
        </w:tc>
        <w:tc>
          <w:tcPr>
            <w:tcW w:w="496" w:type="pct"/>
            <w:tcBorders>
              <w:top w:val="nil"/>
              <w:left w:val="nil"/>
              <w:right w:val="nil"/>
            </w:tcBorders>
          </w:tcPr>
          <w:p w14:paraId="5DF2AB84" w14:textId="77777777" w:rsidR="00224350" w:rsidRPr="00224350" w:rsidRDefault="00224350" w:rsidP="00224350">
            <w:pPr>
              <w:widowControl/>
              <w:wordWrap/>
              <w:autoSpaceDE/>
              <w:autoSpaceDN/>
              <w:jc w:val="center"/>
              <w:rPr>
                <w:rFonts w:eastAsia="Malgun Gothic"/>
                <w:szCs w:val="24"/>
                <w:lang w:val="en-GB" w:eastAsia="de-DE"/>
              </w:rPr>
            </w:pPr>
            <w:r w:rsidRPr="00224350">
              <w:rPr>
                <w:rFonts w:eastAsia="Malgun Gothic"/>
                <w:szCs w:val="24"/>
                <w:lang w:val="en-GB" w:eastAsia="de-DE"/>
              </w:rPr>
              <w:t>(22.4)</w:t>
            </w:r>
          </w:p>
        </w:tc>
        <w:tc>
          <w:tcPr>
            <w:tcW w:w="636" w:type="pct"/>
            <w:tcBorders>
              <w:top w:val="nil"/>
              <w:left w:val="nil"/>
              <w:right w:val="nil"/>
            </w:tcBorders>
          </w:tcPr>
          <w:p w14:paraId="41AAE069" w14:textId="77777777" w:rsidR="00224350" w:rsidRPr="00224350" w:rsidRDefault="00224350" w:rsidP="00224350">
            <w:pPr>
              <w:widowControl/>
              <w:wordWrap/>
              <w:autoSpaceDE/>
              <w:autoSpaceDN/>
              <w:jc w:val="center"/>
              <w:rPr>
                <w:rFonts w:eastAsia="Malgun Gothic"/>
                <w:szCs w:val="24"/>
                <w:lang w:val="en-GB" w:eastAsia="de-DE"/>
              </w:rPr>
            </w:pPr>
            <w:r w:rsidRPr="00224350">
              <w:rPr>
                <w:rFonts w:eastAsia="Malgun Gothic"/>
                <w:szCs w:val="24"/>
                <w:lang w:val="en-GB" w:eastAsia="de-DE"/>
              </w:rPr>
              <w:t>29/93</w:t>
            </w:r>
          </w:p>
        </w:tc>
        <w:tc>
          <w:tcPr>
            <w:tcW w:w="491" w:type="pct"/>
            <w:tcBorders>
              <w:top w:val="nil"/>
              <w:left w:val="nil"/>
              <w:right w:val="single" w:sz="4" w:space="0" w:color="auto"/>
            </w:tcBorders>
          </w:tcPr>
          <w:p w14:paraId="537006D7" w14:textId="77777777" w:rsidR="00224350" w:rsidRPr="00224350" w:rsidRDefault="00224350" w:rsidP="00224350">
            <w:pPr>
              <w:widowControl/>
              <w:wordWrap/>
              <w:autoSpaceDE/>
              <w:autoSpaceDN/>
              <w:jc w:val="center"/>
              <w:rPr>
                <w:rFonts w:eastAsia="Malgun Gothic"/>
                <w:szCs w:val="24"/>
                <w:lang w:val="en-GB" w:eastAsia="de-DE"/>
              </w:rPr>
            </w:pPr>
            <w:r w:rsidRPr="00224350">
              <w:rPr>
                <w:rFonts w:eastAsia="Malgun Gothic"/>
                <w:szCs w:val="24"/>
                <w:lang w:val="en-GB" w:eastAsia="de-DE"/>
              </w:rPr>
              <w:t>(31.2)</w:t>
            </w:r>
          </w:p>
        </w:tc>
      </w:tr>
    </w:tbl>
    <w:p w14:paraId="0A3AB6C4" w14:textId="797714AD" w:rsidR="006E2E16" w:rsidRPr="0006231A" w:rsidRDefault="006E2E16" w:rsidP="006E2E16">
      <w:pPr>
        <w:widowControl/>
        <w:wordWrap/>
        <w:autoSpaceDE/>
        <w:autoSpaceDN/>
        <w:spacing w:after="0" w:line="240" w:lineRule="auto"/>
        <w:jc w:val="left"/>
        <w:rPr>
          <w:rFonts w:ascii="Times New Roman" w:eastAsia="Malgun Gothic" w:hAnsi="Times New Roman" w:cs="Times New Roman"/>
          <w:kern w:val="0"/>
          <w:szCs w:val="20"/>
          <w:lang w:val="en-GB" w:eastAsia="de-DE"/>
        </w:rPr>
      </w:pPr>
      <w:proofErr w:type="gramStart"/>
      <w:r w:rsidRPr="0006231A">
        <w:rPr>
          <w:rFonts w:ascii="Times New Roman" w:eastAsia="Malgun Gothic" w:hAnsi="Times New Roman" w:cs="Times New Roman"/>
          <w:kern w:val="0"/>
          <w:szCs w:val="20"/>
          <w:lang w:val="en-GB" w:eastAsia="de-DE"/>
        </w:rPr>
        <w:t>n</w:t>
      </w:r>
      <w:proofErr w:type="gramEnd"/>
      <w:r w:rsidRPr="0006231A">
        <w:rPr>
          <w:rFonts w:ascii="Times New Roman" w:eastAsia="Malgun Gothic" w:hAnsi="Times New Roman" w:cs="Times New Roman"/>
          <w:kern w:val="0"/>
          <w:szCs w:val="20"/>
          <w:lang w:val="en-GB" w:eastAsia="de-DE"/>
        </w:rPr>
        <w:t>’</w:t>
      </w:r>
      <w:r w:rsidRPr="0006231A">
        <w:rPr>
          <w:rFonts w:ascii="Times New Roman" w:eastAsia="Malgun Gothic" w:hAnsi="Times New Roman" w:cs="Times New Roman" w:hint="eastAsia"/>
          <w:kern w:val="0"/>
          <w:szCs w:val="20"/>
          <w:lang w:val="en-GB"/>
        </w:rPr>
        <w:t>:</w:t>
      </w:r>
      <w:r w:rsidRPr="0006231A">
        <w:rPr>
          <w:rFonts w:ascii="Times New Roman" w:eastAsia="Malgun Gothic" w:hAnsi="Times New Roman" w:cs="Times New Roman"/>
          <w:kern w:val="0"/>
          <w:szCs w:val="20"/>
          <w:lang w:val="en-GB" w:eastAsia="de-DE"/>
        </w:rPr>
        <w:t xml:space="preserve"> number of </w:t>
      </w:r>
      <w:r w:rsidR="001D28CE" w:rsidRPr="0006231A">
        <w:rPr>
          <w:rFonts w:ascii="Times New Roman" w:eastAsia="Malgun Gothic" w:hAnsi="Times New Roman" w:cs="Times New Roman" w:hint="eastAsia"/>
          <w:kern w:val="0"/>
          <w:szCs w:val="20"/>
          <w:lang w:val="en-GB"/>
        </w:rPr>
        <w:t>patien</w:t>
      </w:r>
      <w:r w:rsidRPr="0006231A">
        <w:rPr>
          <w:rFonts w:ascii="Times New Roman" w:eastAsia="Malgun Gothic" w:hAnsi="Times New Roman" w:cs="Times New Roman"/>
          <w:kern w:val="0"/>
          <w:szCs w:val="20"/>
          <w:lang w:val="en-GB" w:eastAsia="de-DE"/>
        </w:rPr>
        <w:t>ts with an available assessment; n</w:t>
      </w:r>
      <w:r w:rsidRPr="0006231A">
        <w:rPr>
          <w:rFonts w:ascii="Times New Roman" w:eastAsia="Malgun Gothic" w:hAnsi="Times New Roman" w:cs="Times New Roman" w:hint="eastAsia"/>
          <w:kern w:val="0"/>
          <w:szCs w:val="20"/>
          <w:lang w:val="en-GB"/>
        </w:rPr>
        <w:t>:</w:t>
      </w:r>
      <w:r w:rsidRPr="0006231A">
        <w:rPr>
          <w:rFonts w:ascii="Times New Roman" w:eastAsia="Malgun Gothic" w:hAnsi="Times New Roman" w:cs="Times New Roman"/>
          <w:kern w:val="0"/>
          <w:szCs w:val="20"/>
          <w:lang w:val="en-GB" w:eastAsia="de-DE"/>
        </w:rPr>
        <w:t xml:space="preserve"> number of responders</w:t>
      </w:r>
    </w:p>
    <w:p w14:paraId="3BBA3AAA" w14:textId="686137F1" w:rsidR="00432AC8" w:rsidRPr="0006231A" w:rsidRDefault="001D28CE" w:rsidP="001D28CE">
      <w:pPr>
        <w:pStyle w:val="BodyText"/>
        <w:spacing w:after="0"/>
        <w:rPr>
          <w:sz w:val="20"/>
          <w:szCs w:val="20"/>
          <w:lang w:eastAsia="ko-KR"/>
        </w:rPr>
      </w:pPr>
      <w:proofErr w:type="spellStart"/>
      <w:proofErr w:type="gramStart"/>
      <w:r w:rsidRPr="0006231A">
        <w:rPr>
          <w:rFonts w:hint="eastAsia"/>
          <w:sz w:val="20"/>
          <w:szCs w:val="20"/>
          <w:vertAlign w:val="superscript"/>
        </w:rPr>
        <w:t>a</w:t>
      </w:r>
      <w:proofErr w:type="spellEnd"/>
      <w:proofErr w:type="gramEnd"/>
      <w:r w:rsidR="00580EA5" w:rsidRPr="0006231A">
        <w:rPr>
          <w:rFonts w:hint="eastAsia"/>
          <w:sz w:val="20"/>
          <w:szCs w:val="20"/>
          <w:lang w:eastAsia="ko-KR"/>
        </w:rPr>
        <w:t xml:space="preserve"> Extended f</w:t>
      </w:r>
      <w:r w:rsidRPr="0006231A">
        <w:rPr>
          <w:rFonts w:hint="eastAsia"/>
          <w:sz w:val="20"/>
          <w:szCs w:val="20"/>
          <w:lang w:eastAsia="ko-KR"/>
        </w:rPr>
        <w:t xml:space="preserve">ull analysis set= </w:t>
      </w:r>
      <w:r w:rsidRPr="0006231A">
        <w:rPr>
          <w:sz w:val="20"/>
          <w:szCs w:val="20"/>
          <w:lang w:eastAsia="ko-KR"/>
        </w:rPr>
        <w:t xml:space="preserve">consisted of all </w:t>
      </w:r>
      <w:r w:rsidRPr="0006231A">
        <w:rPr>
          <w:rFonts w:hint="eastAsia"/>
          <w:sz w:val="20"/>
          <w:szCs w:val="20"/>
          <w:lang w:eastAsia="ko-KR"/>
        </w:rPr>
        <w:t>patien</w:t>
      </w:r>
      <w:r w:rsidRPr="0006231A">
        <w:rPr>
          <w:sz w:val="20"/>
          <w:szCs w:val="20"/>
          <w:lang w:eastAsia="ko-KR"/>
        </w:rPr>
        <w:t>ts who were randomised to the transition</w:t>
      </w:r>
      <w:r w:rsidR="00DE124E">
        <w:rPr>
          <w:rFonts w:hint="eastAsia"/>
          <w:sz w:val="20"/>
          <w:szCs w:val="20"/>
          <w:lang w:eastAsia="ko-KR"/>
        </w:rPr>
        <w:t>-</w:t>
      </w:r>
      <w:r w:rsidRPr="0006231A">
        <w:rPr>
          <w:sz w:val="20"/>
          <w:szCs w:val="20"/>
          <w:lang w:eastAsia="ko-KR"/>
        </w:rPr>
        <w:t>extension</w:t>
      </w:r>
      <w:r w:rsidRPr="0006231A">
        <w:rPr>
          <w:rFonts w:hint="eastAsia"/>
          <w:sz w:val="20"/>
          <w:szCs w:val="20"/>
          <w:lang w:eastAsia="ko-KR"/>
        </w:rPr>
        <w:t xml:space="preserve"> </w:t>
      </w:r>
      <w:r w:rsidRPr="0006231A">
        <w:rPr>
          <w:sz w:val="20"/>
          <w:szCs w:val="20"/>
          <w:lang w:eastAsia="ko-KR"/>
        </w:rPr>
        <w:t>period at Week 54 and had taken at least one dose of IP during the transition-extension</w:t>
      </w:r>
      <w:r w:rsidRPr="0006231A">
        <w:rPr>
          <w:rFonts w:hint="eastAsia"/>
          <w:sz w:val="20"/>
          <w:szCs w:val="20"/>
          <w:lang w:eastAsia="ko-KR"/>
        </w:rPr>
        <w:t xml:space="preserve"> </w:t>
      </w:r>
      <w:r w:rsidRPr="0006231A">
        <w:rPr>
          <w:sz w:val="20"/>
          <w:szCs w:val="20"/>
          <w:lang w:eastAsia="ko-KR"/>
        </w:rPr>
        <w:t>period.</w:t>
      </w:r>
    </w:p>
    <w:p w14:paraId="21EAC3E4" w14:textId="77777777" w:rsidR="004A10AE" w:rsidRPr="0025669D" w:rsidRDefault="004A10AE" w:rsidP="007947DB">
      <w:pPr>
        <w:pStyle w:val="Heading1"/>
        <w:spacing w:before="240" w:after="240" w:line="240" w:lineRule="auto"/>
        <w:ind w:left="425" w:hanging="425"/>
        <w:rPr>
          <w:rFonts w:eastAsia="Malgun Gothic"/>
          <w:sz w:val="28"/>
          <w:lang w:eastAsia="ko-KR"/>
        </w:rPr>
      </w:pPr>
      <w:r w:rsidRPr="0025669D">
        <w:rPr>
          <w:rFonts w:eastAsia="Malgun Gothic"/>
          <w:sz w:val="28"/>
          <w:lang w:eastAsia="ko-KR"/>
        </w:rPr>
        <w:t>INDICATIONS</w:t>
      </w:r>
    </w:p>
    <w:p w14:paraId="4669C317" w14:textId="77777777" w:rsidR="004A10AE" w:rsidRPr="0025669D" w:rsidRDefault="004A10AE" w:rsidP="007947DB">
      <w:pPr>
        <w:spacing w:line="240" w:lineRule="auto"/>
        <w:jc w:val="left"/>
        <w:rPr>
          <w:rFonts w:ascii="Times New Roman" w:eastAsia="Malgun Gothic" w:hAnsi="Times New Roman" w:cs="Times New Roman"/>
          <w:sz w:val="24"/>
          <w:szCs w:val="24"/>
        </w:rPr>
      </w:pPr>
      <w:r>
        <w:rPr>
          <w:rFonts w:ascii="Times New Roman" w:eastAsia="Malgun Gothic" w:hAnsi="Times New Roman" w:cs="Times New Roman"/>
          <w:sz w:val="24"/>
          <w:szCs w:val="24"/>
        </w:rPr>
        <w:t>RENFLEXIS</w:t>
      </w:r>
      <w:r w:rsidRPr="0025669D">
        <w:rPr>
          <w:rFonts w:ascii="Times New Roman" w:eastAsia="Malgun Gothic" w:hAnsi="Times New Roman" w:cs="Times New Roman"/>
          <w:sz w:val="24"/>
          <w:szCs w:val="24"/>
        </w:rPr>
        <w:t xml:space="preserve"> is indicated for the treatment of: </w:t>
      </w:r>
    </w:p>
    <w:p w14:paraId="626E2B36" w14:textId="77777777" w:rsidR="004A10AE" w:rsidRPr="0035249D" w:rsidRDefault="004A10AE" w:rsidP="007947DB">
      <w:pPr>
        <w:spacing w:after="0" w:line="240" w:lineRule="auto"/>
        <w:rPr>
          <w:rFonts w:ascii="Times New Roman" w:hAnsi="Times New Roman" w:cs="Times New Roman"/>
          <w:sz w:val="24"/>
          <w:szCs w:val="24"/>
          <w:u w:val="single"/>
        </w:rPr>
      </w:pPr>
      <w:r w:rsidRPr="0035249D">
        <w:rPr>
          <w:rFonts w:ascii="Times New Roman" w:hAnsi="Times New Roman" w:cs="Times New Roman"/>
          <w:sz w:val="24"/>
          <w:szCs w:val="24"/>
          <w:u w:val="single"/>
        </w:rPr>
        <w:t>Rheumatoid Arthritis in adults</w:t>
      </w:r>
    </w:p>
    <w:p w14:paraId="377C9900" w14:textId="77777777" w:rsidR="004A10AE" w:rsidRPr="0025669D" w:rsidRDefault="004A10AE" w:rsidP="007947DB">
      <w:pPr>
        <w:spacing w:after="0" w:line="240" w:lineRule="auto"/>
        <w:jc w:val="left"/>
        <w:rPr>
          <w:rFonts w:ascii="Times New Roman" w:eastAsia="Malgun Gothic" w:hAnsi="Times New Roman" w:cs="Times New Roman"/>
          <w:bCs/>
          <w:iCs/>
          <w:sz w:val="24"/>
          <w:szCs w:val="24"/>
        </w:rPr>
      </w:pPr>
      <w:r>
        <w:rPr>
          <w:rFonts w:ascii="Times New Roman" w:eastAsia="Malgun Gothic" w:hAnsi="Times New Roman" w:cs="Times New Roman"/>
          <w:bCs/>
          <w:iCs/>
          <w:sz w:val="24"/>
          <w:szCs w:val="24"/>
        </w:rPr>
        <w:t>RENFLEXIS</w:t>
      </w:r>
      <w:r w:rsidRPr="0025669D">
        <w:rPr>
          <w:rFonts w:ascii="Times New Roman" w:eastAsia="Malgun Gothic" w:hAnsi="Times New Roman" w:cs="Times New Roman"/>
          <w:bCs/>
          <w:iCs/>
          <w:sz w:val="24"/>
          <w:szCs w:val="24"/>
        </w:rPr>
        <w:t xml:space="preserve">, in combination with methotrexate, is indicated for the reduction of signs and symptoms and prevention of structural joint damage (erosions and joint space narrowing) in: </w:t>
      </w:r>
    </w:p>
    <w:p w14:paraId="42065B6F" w14:textId="77777777" w:rsidR="004A10AE" w:rsidRPr="0025669D" w:rsidRDefault="004A10AE" w:rsidP="007947DB">
      <w:pPr>
        <w:spacing w:after="0" w:line="240" w:lineRule="auto"/>
        <w:jc w:val="left"/>
        <w:rPr>
          <w:rFonts w:ascii="Times New Roman" w:eastAsia="Malgun Gothic" w:hAnsi="Times New Roman" w:cs="Times New Roman"/>
          <w:bCs/>
          <w:iCs/>
          <w:sz w:val="24"/>
          <w:szCs w:val="24"/>
        </w:rPr>
      </w:pPr>
      <w:r w:rsidRPr="0025669D">
        <w:rPr>
          <w:rFonts w:ascii="Times New Roman" w:eastAsia="Malgun Gothic" w:hAnsi="Times New Roman" w:cs="Times New Roman"/>
          <w:bCs/>
          <w:iCs/>
          <w:sz w:val="24"/>
          <w:szCs w:val="24"/>
        </w:rPr>
        <w:t xml:space="preserve">- </w:t>
      </w:r>
      <w:proofErr w:type="gramStart"/>
      <w:r w:rsidRPr="0025669D">
        <w:rPr>
          <w:rFonts w:ascii="Times New Roman" w:eastAsia="Malgun Gothic" w:hAnsi="Times New Roman" w:cs="Times New Roman"/>
          <w:bCs/>
          <w:iCs/>
          <w:sz w:val="24"/>
          <w:szCs w:val="24"/>
        </w:rPr>
        <w:t>patients</w:t>
      </w:r>
      <w:proofErr w:type="gramEnd"/>
      <w:r w:rsidRPr="0025669D">
        <w:rPr>
          <w:rFonts w:ascii="Times New Roman" w:eastAsia="Malgun Gothic" w:hAnsi="Times New Roman" w:cs="Times New Roman"/>
          <w:bCs/>
          <w:iCs/>
          <w:sz w:val="24"/>
          <w:szCs w:val="24"/>
        </w:rPr>
        <w:t xml:space="preserve"> with active disease despite treatment with methotrexate </w:t>
      </w:r>
    </w:p>
    <w:p w14:paraId="08EE8147" w14:textId="77777777" w:rsidR="004A10AE" w:rsidRDefault="004A10AE" w:rsidP="007947DB">
      <w:pPr>
        <w:spacing w:after="0" w:line="240" w:lineRule="auto"/>
        <w:jc w:val="left"/>
        <w:rPr>
          <w:rFonts w:ascii="Times New Roman" w:eastAsia="Malgun Gothic" w:hAnsi="Times New Roman" w:cs="Times New Roman"/>
          <w:bCs/>
          <w:iCs/>
          <w:sz w:val="24"/>
          <w:szCs w:val="24"/>
        </w:rPr>
      </w:pPr>
      <w:r w:rsidRPr="0025669D">
        <w:rPr>
          <w:rFonts w:ascii="Times New Roman" w:eastAsia="Malgun Gothic" w:hAnsi="Times New Roman" w:cs="Times New Roman"/>
          <w:bCs/>
          <w:iCs/>
          <w:sz w:val="24"/>
          <w:szCs w:val="24"/>
        </w:rPr>
        <w:t xml:space="preserve">- </w:t>
      </w:r>
      <w:proofErr w:type="gramStart"/>
      <w:r w:rsidRPr="0025669D">
        <w:rPr>
          <w:rFonts w:ascii="Times New Roman" w:eastAsia="Malgun Gothic" w:hAnsi="Times New Roman" w:cs="Times New Roman"/>
          <w:bCs/>
          <w:iCs/>
          <w:sz w:val="24"/>
          <w:szCs w:val="24"/>
        </w:rPr>
        <w:t>patients</w:t>
      </w:r>
      <w:proofErr w:type="gramEnd"/>
      <w:r w:rsidRPr="0025669D">
        <w:rPr>
          <w:rFonts w:ascii="Times New Roman" w:eastAsia="Malgun Gothic" w:hAnsi="Times New Roman" w:cs="Times New Roman"/>
          <w:bCs/>
          <w:iCs/>
          <w:sz w:val="24"/>
          <w:szCs w:val="24"/>
        </w:rPr>
        <w:t xml:space="preserve"> with active disease who have not previously received methotrexate. </w:t>
      </w:r>
    </w:p>
    <w:p w14:paraId="40E22D00" w14:textId="77777777" w:rsidR="004A10AE" w:rsidRPr="0025669D" w:rsidRDefault="004A10AE" w:rsidP="007947DB">
      <w:pPr>
        <w:spacing w:after="0" w:line="240" w:lineRule="auto"/>
        <w:jc w:val="left"/>
        <w:rPr>
          <w:rFonts w:ascii="Times New Roman" w:eastAsia="Malgun Gothic" w:hAnsi="Times New Roman" w:cs="Times New Roman"/>
          <w:bCs/>
          <w:iCs/>
          <w:sz w:val="24"/>
          <w:szCs w:val="24"/>
        </w:rPr>
      </w:pPr>
    </w:p>
    <w:p w14:paraId="3FE53948" w14:textId="77777777" w:rsidR="004A10AE" w:rsidRPr="0025669D" w:rsidRDefault="004A10AE" w:rsidP="007947DB">
      <w:pPr>
        <w:spacing w:line="240" w:lineRule="auto"/>
        <w:jc w:val="left"/>
        <w:rPr>
          <w:rFonts w:ascii="Times New Roman" w:eastAsia="Malgun Gothic" w:hAnsi="Times New Roman" w:cs="Times New Roman"/>
          <w:bCs/>
          <w:iCs/>
          <w:sz w:val="24"/>
          <w:szCs w:val="24"/>
        </w:rPr>
      </w:pPr>
      <w:r>
        <w:rPr>
          <w:rFonts w:ascii="Times New Roman" w:eastAsia="Malgun Gothic" w:hAnsi="Times New Roman" w:cs="Times New Roman"/>
          <w:bCs/>
          <w:iCs/>
          <w:sz w:val="24"/>
          <w:szCs w:val="24"/>
        </w:rPr>
        <w:t>RENFLEXIS</w:t>
      </w:r>
      <w:r w:rsidRPr="0025669D">
        <w:rPr>
          <w:rFonts w:ascii="Times New Roman" w:eastAsia="Malgun Gothic" w:hAnsi="Times New Roman" w:cs="Times New Roman"/>
          <w:bCs/>
          <w:iCs/>
          <w:sz w:val="24"/>
          <w:szCs w:val="24"/>
        </w:rPr>
        <w:t xml:space="preserve"> should be given in combination with methotrexate. Efficacy and safety in Rheumatoid Arthritis have been demonstrated only in combination with methotrexate. </w:t>
      </w:r>
    </w:p>
    <w:p w14:paraId="57D368A7" w14:textId="77777777" w:rsidR="004A10AE" w:rsidRPr="0035249D" w:rsidRDefault="004A10AE" w:rsidP="007947DB">
      <w:pPr>
        <w:spacing w:after="0" w:line="240" w:lineRule="auto"/>
        <w:rPr>
          <w:rFonts w:ascii="Times New Roman" w:hAnsi="Times New Roman" w:cs="Times New Roman"/>
          <w:sz w:val="24"/>
          <w:szCs w:val="24"/>
          <w:u w:val="single"/>
        </w:rPr>
      </w:pPr>
      <w:r w:rsidRPr="0035249D">
        <w:rPr>
          <w:rFonts w:ascii="Times New Roman" w:hAnsi="Times New Roman" w:cs="Times New Roman"/>
          <w:sz w:val="24"/>
          <w:szCs w:val="24"/>
          <w:u w:val="single"/>
        </w:rPr>
        <w:t>Ankylosing Spondylitis</w:t>
      </w:r>
    </w:p>
    <w:p w14:paraId="6462C547" w14:textId="77777777" w:rsidR="004A10AE" w:rsidRDefault="004A10AE" w:rsidP="007947DB">
      <w:pPr>
        <w:spacing w:after="0" w:line="240" w:lineRule="auto"/>
        <w:jc w:val="left"/>
        <w:rPr>
          <w:rFonts w:ascii="Times New Roman" w:eastAsia="Malgun Gothic" w:hAnsi="Times New Roman" w:cs="Times New Roman"/>
          <w:bCs/>
          <w:iCs/>
          <w:sz w:val="24"/>
          <w:szCs w:val="24"/>
        </w:rPr>
      </w:pPr>
      <w:r>
        <w:rPr>
          <w:rFonts w:ascii="Times New Roman" w:eastAsia="Malgun Gothic" w:hAnsi="Times New Roman" w:cs="Times New Roman"/>
          <w:bCs/>
          <w:iCs/>
          <w:sz w:val="24"/>
          <w:szCs w:val="24"/>
        </w:rPr>
        <w:t>RENFLEXIS</w:t>
      </w:r>
      <w:r w:rsidRPr="0025669D">
        <w:rPr>
          <w:rFonts w:ascii="Times New Roman" w:eastAsia="Malgun Gothic" w:hAnsi="Times New Roman" w:cs="Times New Roman"/>
          <w:bCs/>
          <w:iCs/>
          <w:sz w:val="24"/>
          <w:szCs w:val="24"/>
        </w:rPr>
        <w:t xml:space="preserve"> is indicated for the reduction of signs and symptoms and improvement in physical function in patients with active disease. </w:t>
      </w:r>
    </w:p>
    <w:p w14:paraId="3C37233D" w14:textId="77777777" w:rsidR="004A10AE" w:rsidRPr="0025669D" w:rsidRDefault="004A10AE" w:rsidP="007947DB">
      <w:pPr>
        <w:spacing w:after="0" w:line="240" w:lineRule="auto"/>
        <w:jc w:val="left"/>
        <w:rPr>
          <w:rFonts w:ascii="Times New Roman" w:eastAsia="Malgun Gothic" w:hAnsi="Times New Roman" w:cs="Times New Roman"/>
          <w:bCs/>
          <w:iCs/>
          <w:sz w:val="24"/>
          <w:szCs w:val="24"/>
        </w:rPr>
      </w:pPr>
    </w:p>
    <w:p w14:paraId="2A4FAAF6" w14:textId="77777777" w:rsidR="004A10AE" w:rsidRPr="0035249D" w:rsidRDefault="004A10AE" w:rsidP="007947DB">
      <w:pPr>
        <w:spacing w:after="0" w:line="240" w:lineRule="auto"/>
        <w:rPr>
          <w:rFonts w:ascii="Times New Roman" w:hAnsi="Times New Roman" w:cs="Times New Roman"/>
          <w:sz w:val="24"/>
          <w:szCs w:val="24"/>
          <w:u w:val="single"/>
        </w:rPr>
      </w:pPr>
      <w:r w:rsidRPr="0035249D">
        <w:rPr>
          <w:rFonts w:ascii="Times New Roman" w:hAnsi="Times New Roman" w:cs="Times New Roman"/>
          <w:sz w:val="24"/>
          <w:szCs w:val="24"/>
          <w:u w:val="single"/>
        </w:rPr>
        <w:lastRenderedPageBreak/>
        <w:t>Psoriatic arthritis</w:t>
      </w:r>
    </w:p>
    <w:p w14:paraId="4D5E6400" w14:textId="77777777" w:rsidR="004A10AE" w:rsidRDefault="004A10AE" w:rsidP="007947DB">
      <w:pPr>
        <w:spacing w:after="0" w:line="240" w:lineRule="auto"/>
        <w:jc w:val="left"/>
        <w:rPr>
          <w:rFonts w:ascii="Times New Roman" w:eastAsia="Malgun Gothic" w:hAnsi="Times New Roman" w:cs="Times New Roman"/>
          <w:bCs/>
          <w:iCs/>
          <w:sz w:val="24"/>
          <w:szCs w:val="24"/>
        </w:rPr>
      </w:pPr>
      <w:r>
        <w:rPr>
          <w:rFonts w:ascii="Times New Roman" w:eastAsia="Malgun Gothic" w:hAnsi="Times New Roman" w:cs="Times New Roman"/>
          <w:bCs/>
          <w:iCs/>
          <w:sz w:val="24"/>
          <w:szCs w:val="24"/>
        </w:rPr>
        <w:t>RENFLEXIS</w:t>
      </w:r>
      <w:r w:rsidRPr="0025669D">
        <w:rPr>
          <w:rFonts w:ascii="Times New Roman" w:eastAsia="Malgun Gothic" w:hAnsi="Times New Roman" w:cs="Times New Roman"/>
          <w:bCs/>
          <w:iCs/>
          <w:sz w:val="24"/>
          <w:szCs w:val="24"/>
        </w:rPr>
        <w:t xml:space="preserve"> is indicated for the treatment of the signs and symptoms, as well as for the improvement in physical function in adult patients with active and progressive psoriatic arthritis who have responded inadequately to disease-modifying anti-rheumatic drug (DMARD) therapy. </w:t>
      </w:r>
    </w:p>
    <w:p w14:paraId="392F3C87" w14:textId="77777777" w:rsidR="004A10AE" w:rsidRPr="0025669D" w:rsidRDefault="004A10AE" w:rsidP="007947DB">
      <w:pPr>
        <w:spacing w:after="0" w:line="240" w:lineRule="auto"/>
        <w:jc w:val="left"/>
        <w:rPr>
          <w:rFonts w:ascii="Times New Roman" w:eastAsia="Malgun Gothic" w:hAnsi="Times New Roman" w:cs="Times New Roman"/>
          <w:bCs/>
          <w:iCs/>
          <w:sz w:val="24"/>
          <w:szCs w:val="24"/>
        </w:rPr>
      </w:pPr>
    </w:p>
    <w:p w14:paraId="6431C96D" w14:textId="1DB45314" w:rsidR="00AC3E0C" w:rsidRDefault="004A10AE" w:rsidP="007947DB">
      <w:pPr>
        <w:spacing w:line="240" w:lineRule="auto"/>
        <w:jc w:val="left"/>
        <w:rPr>
          <w:rFonts w:ascii="Times New Roman" w:eastAsia="Malgun Gothic" w:hAnsi="Times New Roman" w:cs="Times New Roman"/>
          <w:bCs/>
          <w:iCs/>
          <w:sz w:val="24"/>
          <w:szCs w:val="24"/>
        </w:rPr>
      </w:pPr>
      <w:r>
        <w:rPr>
          <w:rFonts w:ascii="Times New Roman" w:eastAsia="Malgun Gothic" w:hAnsi="Times New Roman" w:cs="Times New Roman"/>
          <w:bCs/>
          <w:iCs/>
          <w:sz w:val="24"/>
          <w:szCs w:val="24"/>
        </w:rPr>
        <w:t>RENFLEXIS</w:t>
      </w:r>
      <w:r w:rsidRPr="0025669D">
        <w:rPr>
          <w:rFonts w:ascii="Times New Roman" w:eastAsia="Malgun Gothic" w:hAnsi="Times New Roman" w:cs="Times New Roman"/>
          <w:bCs/>
          <w:iCs/>
          <w:sz w:val="24"/>
          <w:szCs w:val="24"/>
        </w:rPr>
        <w:t xml:space="preserve"> may be administered in combination with methotrexate. </w:t>
      </w:r>
    </w:p>
    <w:p w14:paraId="29E3ECDA" w14:textId="77777777" w:rsidR="00AC3E0C" w:rsidRDefault="00AC3E0C">
      <w:pPr>
        <w:widowControl/>
        <w:wordWrap/>
        <w:autoSpaceDE/>
        <w:autoSpaceDN/>
        <w:rPr>
          <w:rFonts w:ascii="Times New Roman" w:eastAsia="Malgun Gothic" w:hAnsi="Times New Roman" w:cs="Times New Roman"/>
          <w:bCs/>
          <w:iCs/>
          <w:sz w:val="24"/>
          <w:szCs w:val="24"/>
        </w:rPr>
      </w:pPr>
      <w:r>
        <w:rPr>
          <w:rFonts w:ascii="Times New Roman" w:eastAsia="Malgun Gothic" w:hAnsi="Times New Roman" w:cs="Times New Roman"/>
          <w:bCs/>
          <w:iCs/>
          <w:sz w:val="24"/>
          <w:szCs w:val="24"/>
        </w:rPr>
        <w:br w:type="page"/>
      </w:r>
    </w:p>
    <w:p w14:paraId="65095840" w14:textId="77777777" w:rsidR="004A10AE" w:rsidRPr="0035249D" w:rsidRDefault="004A10AE" w:rsidP="007947DB">
      <w:pPr>
        <w:spacing w:after="0" w:line="240" w:lineRule="auto"/>
        <w:rPr>
          <w:rFonts w:ascii="Times New Roman" w:hAnsi="Times New Roman" w:cs="Times New Roman"/>
          <w:sz w:val="24"/>
          <w:szCs w:val="24"/>
          <w:u w:val="single"/>
        </w:rPr>
      </w:pPr>
      <w:r w:rsidRPr="0035249D">
        <w:rPr>
          <w:rFonts w:ascii="Times New Roman" w:hAnsi="Times New Roman" w:cs="Times New Roman"/>
          <w:sz w:val="24"/>
          <w:szCs w:val="24"/>
          <w:u w:val="single"/>
        </w:rPr>
        <w:lastRenderedPageBreak/>
        <w:t>Psoriasis</w:t>
      </w:r>
    </w:p>
    <w:p w14:paraId="328B808B" w14:textId="77777777" w:rsidR="004A10AE" w:rsidRDefault="004A10AE" w:rsidP="007947DB">
      <w:pPr>
        <w:spacing w:after="0" w:line="240" w:lineRule="auto"/>
        <w:jc w:val="left"/>
        <w:rPr>
          <w:rFonts w:ascii="Times New Roman" w:eastAsia="Malgun Gothic" w:hAnsi="Times New Roman" w:cs="Times New Roman"/>
          <w:bCs/>
          <w:iCs/>
          <w:sz w:val="24"/>
          <w:szCs w:val="24"/>
        </w:rPr>
      </w:pPr>
      <w:r>
        <w:rPr>
          <w:rFonts w:ascii="Times New Roman" w:eastAsia="Malgun Gothic" w:hAnsi="Times New Roman" w:cs="Times New Roman"/>
          <w:bCs/>
          <w:iCs/>
          <w:sz w:val="24"/>
          <w:szCs w:val="24"/>
        </w:rPr>
        <w:t>RENFLEXIS</w:t>
      </w:r>
      <w:r w:rsidRPr="0025669D">
        <w:rPr>
          <w:rFonts w:ascii="Times New Roman" w:eastAsia="Malgun Gothic" w:hAnsi="Times New Roman" w:cs="Times New Roman"/>
          <w:bCs/>
          <w:iCs/>
          <w:sz w:val="24"/>
          <w:szCs w:val="24"/>
        </w:rPr>
        <w:t xml:space="preserve"> is indicated for the treatment of adult patients with moderate to severe plaque psoriasis for whom phototherapy or conventional systemic treatments have been inadequate or are inappropriate. Safety and efficacy beyond 12 months have not been established. </w:t>
      </w:r>
    </w:p>
    <w:p w14:paraId="2CCF208D" w14:textId="77777777" w:rsidR="004A10AE" w:rsidRPr="0025669D" w:rsidRDefault="004A10AE" w:rsidP="007947DB">
      <w:pPr>
        <w:spacing w:after="0" w:line="240" w:lineRule="auto"/>
        <w:jc w:val="left"/>
        <w:rPr>
          <w:rFonts w:ascii="Times New Roman" w:eastAsia="Malgun Gothic" w:hAnsi="Times New Roman" w:cs="Times New Roman"/>
          <w:bCs/>
          <w:iCs/>
          <w:sz w:val="24"/>
          <w:szCs w:val="24"/>
        </w:rPr>
      </w:pPr>
    </w:p>
    <w:p w14:paraId="212082B6" w14:textId="77777777" w:rsidR="004A10AE" w:rsidRPr="0035249D" w:rsidRDefault="004A10AE" w:rsidP="007947DB">
      <w:pPr>
        <w:spacing w:after="0" w:line="240" w:lineRule="auto"/>
        <w:rPr>
          <w:rFonts w:ascii="Times New Roman" w:hAnsi="Times New Roman" w:cs="Times New Roman"/>
          <w:sz w:val="24"/>
          <w:szCs w:val="24"/>
          <w:u w:val="single"/>
        </w:rPr>
      </w:pPr>
      <w:r w:rsidRPr="0035249D">
        <w:rPr>
          <w:rFonts w:ascii="Times New Roman" w:hAnsi="Times New Roman" w:cs="Times New Roman"/>
          <w:sz w:val="24"/>
          <w:szCs w:val="24"/>
          <w:u w:val="single"/>
        </w:rPr>
        <w:t>Crohn’s Disease in Adults and in Children and adolescents (6 to 17 years)</w:t>
      </w:r>
    </w:p>
    <w:p w14:paraId="77435083" w14:textId="77777777" w:rsidR="004A10AE" w:rsidRDefault="004A10AE" w:rsidP="007947DB">
      <w:pPr>
        <w:spacing w:after="0" w:line="240" w:lineRule="auto"/>
        <w:jc w:val="left"/>
        <w:rPr>
          <w:rFonts w:ascii="Times New Roman" w:hAnsi="Times New Roman" w:cs="Times New Roman"/>
          <w:spacing w:val="-3"/>
          <w:sz w:val="24"/>
          <w:szCs w:val="24"/>
        </w:rPr>
      </w:pPr>
      <w:r>
        <w:rPr>
          <w:rFonts w:ascii="Times New Roman" w:eastAsia="Malgun Gothic" w:hAnsi="Times New Roman" w:cs="Times New Roman"/>
          <w:bCs/>
          <w:iCs/>
          <w:sz w:val="24"/>
          <w:szCs w:val="24"/>
        </w:rPr>
        <w:t>RENFLEXIS</w:t>
      </w:r>
      <w:r w:rsidRPr="0025669D">
        <w:rPr>
          <w:rFonts w:ascii="Times New Roman" w:hAnsi="Times New Roman" w:cs="Times New Roman"/>
          <w:spacing w:val="-3"/>
          <w:sz w:val="24"/>
          <w:szCs w:val="24"/>
        </w:rPr>
        <w:t xml:space="preserve"> is indicated for the treatment of moderate to severe Crohn’s disease, to reduce the signs and symptoms and to induce and maintain clinical remission in patients who have an inadequate response to conventional therapies.</w:t>
      </w:r>
    </w:p>
    <w:p w14:paraId="6C74ADF8" w14:textId="77777777" w:rsidR="004A10AE" w:rsidRPr="0025669D" w:rsidRDefault="004A10AE" w:rsidP="007947DB">
      <w:pPr>
        <w:spacing w:after="0" w:line="240" w:lineRule="auto"/>
        <w:jc w:val="left"/>
        <w:rPr>
          <w:rFonts w:ascii="Times New Roman" w:hAnsi="Times New Roman" w:cs="Times New Roman"/>
          <w:spacing w:val="-3"/>
          <w:sz w:val="24"/>
          <w:szCs w:val="24"/>
        </w:rPr>
      </w:pPr>
    </w:p>
    <w:p w14:paraId="5342F103" w14:textId="77777777" w:rsidR="004A10AE" w:rsidRPr="0035249D" w:rsidRDefault="004A10AE" w:rsidP="007947DB">
      <w:pPr>
        <w:spacing w:after="0" w:line="240" w:lineRule="auto"/>
        <w:rPr>
          <w:rFonts w:ascii="Times New Roman" w:hAnsi="Times New Roman" w:cs="Times New Roman"/>
          <w:sz w:val="24"/>
          <w:szCs w:val="24"/>
          <w:u w:val="single"/>
        </w:rPr>
      </w:pPr>
      <w:r w:rsidRPr="0035249D">
        <w:rPr>
          <w:rFonts w:ascii="Times New Roman" w:hAnsi="Times New Roman" w:cs="Times New Roman"/>
          <w:sz w:val="24"/>
          <w:szCs w:val="24"/>
          <w:u w:val="single"/>
        </w:rPr>
        <w:t xml:space="preserve">Refractory </w:t>
      </w:r>
      <w:proofErr w:type="spellStart"/>
      <w:r w:rsidRPr="0035249D">
        <w:rPr>
          <w:rFonts w:ascii="Times New Roman" w:hAnsi="Times New Roman" w:cs="Times New Roman"/>
          <w:sz w:val="24"/>
          <w:szCs w:val="24"/>
          <w:u w:val="single"/>
        </w:rPr>
        <w:t>Fistulising</w:t>
      </w:r>
      <w:proofErr w:type="spellEnd"/>
      <w:r w:rsidRPr="0035249D">
        <w:rPr>
          <w:rFonts w:ascii="Times New Roman" w:hAnsi="Times New Roman" w:cs="Times New Roman"/>
          <w:sz w:val="24"/>
          <w:szCs w:val="24"/>
          <w:u w:val="single"/>
        </w:rPr>
        <w:t xml:space="preserve"> Crohn’s Disease</w:t>
      </w:r>
    </w:p>
    <w:p w14:paraId="4A24EBE9" w14:textId="77777777" w:rsidR="004A10AE" w:rsidRDefault="004A10AE" w:rsidP="007947DB">
      <w:pPr>
        <w:spacing w:after="0" w:line="240" w:lineRule="auto"/>
        <w:jc w:val="left"/>
        <w:rPr>
          <w:rFonts w:ascii="Times New Roman" w:eastAsia="Malgun Gothic" w:hAnsi="Times New Roman" w:cs="Times New Roman"/>
          <w:bCs/>
          <w:iCs/>
          <w:sz w:val="24"/>
          <w:szCs w:val="24"/>
        </w:rPr>
      </w:pPr>
      <w:r>
        <w:rPr>
          <w:rFonts w:ascii="Times New Roman" w:eastAsia="Malgun Gothic" w:hAnsi="Times New Roman" w:cs="Times New Roman"/>
          <w:bCs/>
          <w:iCs/>
          <w:sz w:val="24"/>
          <w:szCs w:val="24"/>
        </w:rPr>
        <w:t>RENFLEXIS</w:t>
      </w:r>
      <w:r w:rsidRPr="0025669D">
        <w:rPr>
          <w:rFonts w:ascii="Times New Roman" w:eastAsia="Malgun Gothic" w:hAnsi="Times New Roman" w:cs="Times New Roman"/>
          <w:bCs/>
          <w:iCs/>
          <w:sz w:val="24"/>
          <w:szCs w:val="24"/>
        </w:rPr>
        <w:t xml:space="preserve"> is indicated for reducing the number of draining </w:t>
      </w:r>
      <w:proofErr w:type="spellStart"/>
      <w:r w:rsidRPr="0025669D">
        <w:rPr>
          <w:rFonts w:ascii="Times New Roman" w:eastAsia="Malgun Gothic" w:hAnsi="Times New Roman" w:cs="Times New Roman"/>
          <w:bCs/>
          <w:iCs/>
          <w:sz w:val="24"/>
          <w:szCs w:val="24"/>
        </w:rPr>
        <w:t>enterocutaneous</w:t>
      </w:r>
      <w:proofErr w:type="spellEnd"/>
      <w:r w:rsidRPr="0025669D">
        <w:rPr>
          <w:rFonts w:ascii="Times New Roman" w:eastAsia="Malgun Gothic" w:hAnsi="Times New Roman" w:cs="Times New Roman"/>
          <w:bCs/>
          <w:iCs/>
          <w:sz w:val="24"/>
          <w:szCs w:val="24"/>
        </w:rPr>
        <w:t xml:space="preserve"> and rectovaginal fistulas and maintaining fistula closure in adult patients. </w:t>
      </w:r>
    </w:p>
    <w:p w14:paraId="057B3219" w14:textId="77777777" w:rsidR="004A10AE" w:rsidRPr="0025669D" w:rsidRDefault="004A10AE" w:rsidP="007947DB">
      <w:pPr>
        <w:spacing w:after="0" w:line="240" w:lineRule="auto"/>
        <w:jc w:val="left"/>
        <w:rPr>
          <w:rFonts w:ascii="Times New Roman" w:eastAsia="Malgun Gothic" w:hAnsi="Times New Roman" w:cs="Times New Roman"/>
          <w:bCs/>
          <w:iCs/>
          <w:sz w:val="24"/>
          <w:szCs w:val="24"/>
        </w:rPr>
      </w:pPr>
    </w:p>
    <w:p w14:paraId="623DA480" w14:textId="77777777" w:rsidR="004A10AE" w:rsidRPr="0035249D" w:rsidRDefault="004A10AE" w:rsidP="007947DB">
      <w:pPr>
        <w:spacing w:after="0" w:line="240" w:lineRule="auto"/>
        <w:rPr>
          <w:rFonts w:ascii="Times New Roman" w:eastAsia="Malgun Gothic" w:hAnsi="Times New Roman" w:cs="Times New Roman"/>
          <w:sz w:val="24"/>
          <w:szCs w:val="24"/>
          <w:u w:val="single"/>
        </w:rPr>
      </w:pPr>
      <w:r w:rsidRPr="0035249D">
        <w:rPr>
          <w:rFonts w:ascii="Times New Roman" w:hAnsi="Times New Roman" w:cs="Times New Roman"/>
          <w:sz w:val="24"/>
          <w:szCs w:val="24"/>
          <w:u w:val="single"/>
        </w:rPr>
        <w:t>Ulcerative colitis in Adults and in Children and adolescents (6 to 17 years)</w:t>
      </w:r>
    </w:p>
    <w:p w14:paraId="71DC9DE9" w14:textId="77777777" w:rsidR="004A10AE" w:rsidRDefault="004A10AE" w:rsidP="007947DB">
      <w:pPr>
        <w:adjustRightInd w:val="0"/>
        <w:spacing w:after="0" w:line="240" w:lineRule="auto"/>
        <w:jc w:val="left"/>
        <w:rPr>
          <w:rFonts w:ascii="Times New Roman" w:hAnsi="Times New Roman" w:cs="Times New Roman"/>
          <w:sz w:val="24"/>
          <w:szCs w:val="24"/>
        </w:rPr>
      </w:pPr>
      <w:r>
        <w:rPr>
          <w:rFonts w:ascii="Times New Roman" w:eastAsia="Malgun Gothic" w:hAnsi="Times New Roman" w:cs="Times New Roman"/>
          <w:bCs/>
          <w:iCs/>
          <w:sz w:val="24"/>
          <w:szCs w:val="24"/>
        </w:rPr>
        <w:t>RENFLEXIS</w:t>
      </w:r>
      <w:r w:rsidRPr="0025669D">
        <w:rPr>
          <w:rFonts w:ascii="Times New Roman" w:hAnsi="Times New Roman" w:cs="Times New Roman"/>
          <w:sz w:val="24"/>
          <w:szCs w:val="24"/>
        </w:rPr>
        <w:t xml:space="preserve"> is indicated for the treatment of moderately severe to severe active ulcerative colitis in patients who have had an inadequate response to conventional therapy.</w:t>
      </w:r>
    </w:p>
    <w:p w14:paraId="051C1CF6" w14:textId="77777777" w:rsidR="0029392F" w:rsidRPr="0025669D" w:rsidRDefault="0029392F" w:rsidP="007947DB">
      <w:pPr>
        <w:adjustRightInd w:val="0"/>
        <w:spacing w:after="0" w:line="240" w:lineRule="auto"/>
        <w:jc w:val="left"/>
        <w:rPr>
          <w:rFonts w:ascii="Times New Roman" w:hAnsi="Times New Roman" w:cs="Times New Roman"/>
          <w:spacing w:val="-3"/>
          <w:sz w:val="24"/>
          <w:szCs w:val="24"/>
        </w:rPr>
      </w:pPr>
    </w:p>
    <w:p w14:paraId="37A2E490" w14:textId="77777777" w:rsidR="004A10AE" w:rsidRPr="0025669D" w:rsidRDefault="004A10AE" w:rsidP="007947DB">
      <w:pPr>
        <w:pStyle w:val="Heading1"/>
        <w:spacing w:before="240" w:after="240" w:line="240" w:lineRule="auto"/>
        <w:ind w:left="425" w:hanging="425"/>
        <w:rPr>
          <w:rFonts w:eastAsia="Malgun Gothic"/>
          <w:sz w:val="28"/>
          <w:lang w:eastAsia="ko-KR"/>
        </w:rPr>
      </w:pPr>
      <w:r w:rsidRPr="0025669D">
        <w:rPr>
          <w:rFonts w:eastAsia="Malgun Gothic"/>
          <w:sz w:val="28"/>
          <w:lang w:eastAsia="ko-KR"/>
        </w:rPr>
        <w:t>CONTRAINDICATIONS</w:t>
      </w:r>
    </w:p>
    <w:p w14:paraId="7F2737F5" w14:textId="77777777" w:rsidR="004A10AE" w:rsidRPr="0025669D" w:rsidRDefault="004A10AE" w:rsidP="007947DB">
      <w:pPr>
        <w:spacing w:line="240" w:lineRule="auto"/>
        <w:jc w:val="left"/>
        <w:rPr>
          <w:rFonts w:ascii="Times New Roman" w:eastAsia="Malgun Gothic" w:hAnsi="Times New Roman" w:cs="Times New Roman"/>
          <w:sz w:val="24"/>
          <w:szCs w:val="24"/>
        </w:rPr>
      </w:pPr>
      <w:r w:rsidRPr="0025669D">
        <w:rPr>
          <w:rFonts w:ascii="Times New Roman" w:eastAsia="Malgun Gothic" w:hAnsi="Times New Roman" w:cs="Times New Roman"/>
          <w:sz w:val="24"/>
          <w:szCs w:val="24"/>
        </w:rPr>
        <w:t xml:space="preserve">Infliximab is contraindicated in patients with severe infections such as sepsis, abscesses, tuberculosis and opportunistic infections. </w:t>
      </w:r>
    </w:p>
    <w:p w14:paraId="1E9AB56E" w14:textId="77777777" w:rsidR="004A10AE" w:rsidRPr="0025669D" w:rsidRDefault="004A10AE" w:rsidP="007947DB">
      <w:pPr>
        <w:spacing w:line="240" w:lineRule="auto"/>
        <w:jc w:val="left"/>
        <w:rPr>
          <w:rFonts w:ascii="Times New Roman" w:eastAsia="Malgun Gothic" w:hAnsi="Times New Roman" w:cs="Times New Roman"/>
          <w:sz w:val="24"/>
          <w:szCs w:val="24"/>
        </w:rPr>
      </w:pPr>
      <w:r w:rsidRPr="0025669D">
        <w:rPr>
          <w:rFonts w:ascii="Times New Roman" w:eastAsia="Malgun Gothic" w:hAnsi="Times New Roman" w:cs="Times New Roman"/>
          <w:sz w:val="24"/>
          <w:szCs w:val="24"/>
        </w:rPr>
        <w:t xml:space="preserve">Infliximab should not be given to patients with a history of hypersensitivity to infliximab (see ADVERSE EFFECTS) to other murine proteins or to any excipient of the product. </w:t>
      </w:r>
    </w:p>
    <w:p w14:paraId="302F075E" w14:textId="77777777" w:rsidR="004A10AE" w:rsidRPr="0025669D" w:rsidRDefault="004A10AE" w:rsidP="007947DB">
      <w:pPr>
        <w:spacing w:line="240" w:lineRule="auto"/>
        <w:jc w:val="left"/>
        <w:rPr>
          <w:rFonts w:ascii="Times New Roman" w:eastAsia="Malgun Gothic" w:hAnsi="Times New Roman" w:cs="Times New Roman"/>
          <w:sz w:val="24"/>
          <w:szCs w:val="24"/>
        </w:rPr>
      </w:pPr>
      <w:r w:rsidRPr="0025669D">
        <w:rPr>
          <w:rFonts w:ascii="Times New Roman" w:eastAsia="Malgun Gothic" w:hAnsi="Times New Roman" w:cs="Times New Roman"/>
          <w:sz w:val="24"/>
          <w:szCs w:val="24"/>
        </w:rPr>
        <w:t xml:space="preserve">Concurrent administration of </w:t>
      </w:r>
      <w:r>
        <w:rPr>
          <w:rFonts w:ascii="Times New Roman" w:eastAsia="Malgun Gothic" w:hAnsi="Times New Roman" w:cs="Times New Roman" w:hint="eastAsia"/>
          <w:sz w:val="24"/>
          <w:szCs w:val="24"/>
        </w:rPr>
        <w:t>i</w:t>
      </w:r>
      <w:r w:rsidRPr="0025669D">
        <w:rPr>
          <w:rFonts w:ascii="Times New Roman" w:eastAsia="Malgun Gothic" w:hAnsi="Times New Roman" w:cs="Times New Roman"/>
          <w:sz w:val="24"/>
          <w:szCs w:val="24"/>
        </w:rPr>
        <w:t xml:space="preserve">nfliximab and </w:t>
      </w:r>
      <w:proofErr w:type="spellStart"/>
      <w:r w:rsidRPr="0025669D">
        <w:rPr>
          <w:rFonts w:ascii="Times New Roman" w:eastAsia="Malgun Gothic" w:hAnsi="Times New Roman" w:cs="Times New Roman"/>
          <w:sz w:val="24"/>
          <w:szCs w:val="24"/>
        </w:rPr>
        <w:t>anakinra</w:t>
      </w:r>
      <w:proofErr w:type="spellEnd"/>
      <w:r w:rsidRPr="0025669D">
        <w:rPr>
          <w:rFonts w:ascii="Times New Roman" w:eastAsia="Malgun Gothic" w:hAnsi="Times New Roman" w:cs="Times New Roman"/>
          <w:sz w:val="24"/>
          <w:szCs w:val="24"/>
        </w:rPr>
        <w:t xml:space="preserve"> (an interleukin-1 receptor antagonist) is contraindicated. </w:t>
      </w:r>
    </w:p>
    <w:p w14:paraId="173A62CA" w14:textId="77777777" w:rsidR="004A10AE" w:rsidRDefault="004A10AE" w:rsidP="007947DB">
      <w:pPr>
        <w:spacing w:line="240" w:lineRule="auto"/>
        <w:jc w:val="left"/>
        <w:rPr>
          <w:rFonts w:ascii="Times New Roman" w:eastAsia="Malgun Gothic" w:hAnsi="Times New Roman" w:cs="Times New Roman"/>
          <w:sz w:val="24"/>
          <w:szCs w:val="24"/>
        </w:rPr>
      </w:pPr>
      <w:r w:rsidRPr="0025669D">
        <w:rPr>
          <w:rFonts w:ascii="Times New Roman" w:eastAsia="Malgun Gothic" w:hAnsi="Times New Roman" w:cs="Times New Roman"/>
          <w:sz w:val="24"/>
          <w:szCs w:val="24"/>
        </w:rPr>
        <w:t>Do not initiate therapy in patients with congestive heart failure.</w:t>
      </w:r>
    </w:p>
    <w:p w14:paraId="3A746B16" w14:textId="77777777" w:rsidR="0029392F" w:rsidRPr="0025669D" w:rsidRDefault="0029392F" w:rsidP="007947DB">
      <w:pPr>
        <w:spacing w:line="240" w:lineRule="auto"/>
        <w:jc w:val="left"/>
        <w:rPr>
          <w:rFonts w:ascii="Times New Roman" w:eastAsia="Malgun Gothic" w:hAnsi="Times New Roman" w:cs="Times New Roman"/>
          <w:sz w:val="24"/>
          <w:szCs w:val="24"/>
        </w:rPr>
      </w:pPr>
    </w:p>
    <w:p w14:paraId="35EC975B" w14:textId="77777777" w:rsidR="004A10AE" w:rsidRPr="0025669D" w:rsidRDefault="004A10AE" w:rsidP="007947DB">
      <w:pPr>
        <w:pStyle w:val="Heading1"/>
        <w:spacing w:before="240" w:after="240" w:line="240" w:lineRule="auto"/>
        <w:ind w:left="425" w:hanging="425"/>
        <w:rPr>
          <w:rFonts w:eastAsia="Malgun Gothic"/>
          <w:sz w:val="28"/>
          <w:lang w:eastAsia="ko-KR"/>
        </w:rPr>
      </w:pPr>
      <w:r w:rsidRPr="0025669D">
        <w:rPr>
          <w:rFonts w:eastAsia="Malgun Gothic"/>
          <w:sz w:val="28"/>
          <w:lang w:eastAsia="ko-KR"/>
        </w:rPr>
        <w:t>PRECAUTIONS</w:t>
      </w:r>
    </w:p>
    <w:p w14:paraId="0BA5190D" w14:textId="77777777" w:rsidR="004A10AE" w:rsidRPr="003A4065" w:rsidRDefault="004A10AE" w:rsidP="007947DB">
      <w:pPr>
        <w:pStyle w:val="Heading2"/>
        <w:tabs>
          <w:tab w:val="num" w:pos="1418"/>
        </w:tabs>
        <w:spacing w:after="0"/>
        <w:ind w:left="1702" w:hangingChars="709" w:hanging="1702"/>
        <w:rPr>
          <w:rFonts w:eastAsia="Malgun Gothic" w:cs="Times New Roman"/>
          <w:b w:val="0"/>
          <w:szCs w:val="24"/>
          <w:u w:val="single"/>
          <w:lang w:eastAsia="ko-KR"/>
        </w:rPr>
      </w:pPr>
      <w:r w:rsidRPr="003A4065">
        <w:rPr>
          <w:rFonts w:eastAsia="Malgun Gothic" w:cs="Times New Roman"/>
          <w:b w:val="0"/>
          <w:szCs w:val="24"/>
          <w:u w:val="single"/>
          <w:lang w:eastAsia="ko-KR"/>
        </w:rPr>
        <w:t>Traceability</w:t>
      </w:r>
    </w:p>
    <w:p w14:paraId="57BEC610" w14:textId="49489437" w:rsidR="004A10AE" w:rsidRPr="003A4065" w:rsidRDefault="004A10AE" w:rsidP="007947DB">
      <w:pPr>
        <w:spacing w:after="0" w:line="240" w:lineRule="auto"/>
        <w:jc w:val="left"/>
        <w:rPr>
          <w:rFonts w:ascii="Times New Roman" w:eastAsia="Malgun Gothic" w:hAnsi="Times New Roman" w:cs="Times New Roman"/>
          <w:bCs/>
          <w:iCs/>
          <w:kern w:val="0"/>
          <w:sz w:val="24"/>
          <w:szCs w:val="24"/>
        </w:rPr>
      </w:pPr>
      <w:r w:rsidRPr="003A4065">
        <w:rPr>
          <w:rFonts w:ascii="Times New Roman" w:eastAsia="Malgun Gothic" w:hAnsi="Times New Roman" w:cs="Times New Roman"/>
          <w:bCs/>
          <w:iCs/>
          <w:kern w:val="0"/>
          <w:sz w:val="24"/>
          <w:szCs w:val="24"/>
        </w:rPr>
        <w:t>In order to improve the traceability of biological medicin</w:t>
      </w:r>
      <w:r w:rsidR="00DB2063">
        <w:rPr>
          <w:rFonts w:ascii="Times New Roman" w:eastAsia="Malgun Gothic" w:hAnsi="Times New Roman" w:cs="Times New Roman" w:hint="eastAsia"/>
          <w:bCs/>
          <w:iCs/>
          <w:kern w:val="0"/>
          <w:sz w:val="24"/>
          <w:szCs w:val="24"/>
        </w:rPr>
        <w:t>e</w:t>
      </w:r>
      <w:r w:rsidRPr="003A4065">
        <w:rPr>
          <w:rFonts w:ascii="Times New Roman" w:eastAsia="Malgun Gothic" w:hAnsi="Times New Roman" w:cs="Times New Roman"/>
          <w:bCs/>
          <w:iCs/>
          <w:kern w:val="0"/>
          <w:sz w:val="24"/>
          <w:szCs w:val="24"/>
        </w:rPr>
        <w:t>s, the trade name and the batch number of the administered product should be clearly recorded in the patient</w:t>
      </w:r>
      <w:r w:rsidR="00DB2063">
        <w:rPr>
          <w:rFonts w:ascii="Times New Roman" w:eastAsia="Malgun Gothic" w:hAnsi="Times New Roman" w:cs="Times New Roman"/>
          <w:bCs/>
          <w:iCs/>
          <w:kern w:val="0"/>
          <w:sz w:val="24"/>
          <w:szCs w:val="24"/>
        </w:rPr>
        <w:t>’</w:t>
      </w:r>
      <w:r w:rsidR="00DB2063">
        <w:rPr>
          <w:rFonts w:ascii="Times New Roman" w:eastAsia="Malgun Gothic" w:hAnsi="Times New Roman" w:cs="Times New Roman" w:hint="eastAsia"/>
          <w:bCs/>
          <w:iCs/>
          <w:kern w:val="0"/>
          <w:sz w:val="24"/>
          <w:szCs w:val="24"/>
        </w:rPr>
        <w:t>s</w:t>
      </w:r>
      <w:r w:rsidRPr="003A4065">
        <w:rPr>
          <w:rFonts w:ascii="Times New Roman" w:eastAsia="Malgun Gothic" w:hAnsi="Times New Roman" w:cs="Times New Roman"/>
          <w:bCs/>
          <w:iCs/>
          <w:kern w:val="0"/>
          <w:sz w:val="24"/>
          <w:szCs w:val="24"/>
        </w:rPr>
        <w:t xml:space="preserve"> </w:t>
      </w:r>
      <w:r w:rsidR="00DB2063">
        <w:rPr>
          <w:rFonts w:ascii="Times New Roman" w:eastAsia="Malgun Gothic" w:hAnsi="Times New Roman" w:cs="Times New Roman" w:hint="eastAsia"/>
          <w:bCs/>
          <w:iCs/>
          <w:kern w:val="0"/>
          <w:sz w:val="24"/>
          <w:szCs w:val="24"/>
        </w:rPr>
        <w:t>medical record and/or dispensing record</w:t>
      </w:r>
      <w:r w:rsidRPr="003A4065">
        <w:rPr>
          <w:rFonts w:ascii="Times New Roman" w:eastAsia="Malgun Gothic" w:hAnsi="Times New Roman" w:cs="Times New Roman"/>
          <w:bCs/>
          <w:iCs/>
          <w:kern w:val="0"/>
          <w:sz w:val="24"/>
          <w:szCs w:val="24"/>
        </w:rPr>
        <w:t>.</w:t>
      </w:r>
    </w:p>
    <w:p w14:paraId="4CC13272" w14:textId="77777777" w:rsidR="004A10AE" w:rsidRPr="0035249D" w:rsidRDefault="004A10AE" w:rsidP="007947DB">
      <w:pPr>
        <w:pStyle w:val="Heading2"/>
        <w:tabs>
          <w:tab w:val="num" w:pos="1418"/>
        </w:tabs>
        <w:spacing w:after="0"/>
        <w:ind w:left="1702" w:hangingChars="709" w:hanging="1702"/>
        <w:rPr>
          <w:rFonts w:eastAsia="Malgun Gothic" w:cs="Times New Roman"/>
          <w:b w:val="0"/>
          <w:szCs w:val="24"/>
          <w:u w:val="single"/>
          <w:lang w:eastAsia="ko-KR"/>
        </w:rPr>
      </w:pPr>
      <w:r w:rsidRPr="0035249D">
        <w:rPr>
          <w:rFonts w:eastAsia="Malgun Gothic" w:cs="Times New Roman"/>
          <w:b w:val="0"/>
          <w:szCs w:val="24"/>
          <w:u w:val="single"/>
          <w:lang w:eastAsia="ko-KR"/>
        </w:rPr>
        <w:t>Infusion reactions</w:t>
      </w:r>
      <w:r>
        <w:rPr>
          <w:rFonts w:eastAsia="Malgun Gothic" w:cs="Times New Roman"/>
          <w:b w:val="0"/>
          <w:szCs w:val="24"/>
          <w:u w:val="single"/>
          <w:lang w:eastAsia="ko-KR"/>
        </w:rPr>
        <w:t xml:space="preserve"> and hypersensitivity reactions</w:t>
      </w:r>
    </w:p>
    <w:p w14:paraId="2AB92911" w14:textId="77777777" w:rsidR="004A10AE" w:rsidRDefault="004A10AE" w:rsidP="007947DB">
      <w:pPr>
        <w:spacing w:after="0" w:line="240" w:lineRule="auto"/>
        <w:jc w:val="left"/>
        <w:rPr>
          <w:rFonts w:ascii="Times New Roman" w:eastAsia="Malgun Gothic" w:hAnsi="Times New Roman" w:cs="Times New Roman"/>
          <w:bCs/>
          <w:iCs/>
          <w:kern w:val="0"/>
          <w:sz w:val="24"/>
          <w:szCs w:val="24"/>
        </w:rPr>
      </w:pPr>
      <w:r w:rsidRPr="0025669D">
        <w:rPr>
          <w:rFonts w:ascii="Times New Roman" w:eastAsia="Malgun Gothic" w:hAnsi="Times New Roman" w:cs="Times New Roman"/>
          <w:bCs/>
          <w:iCs/>
          <w:kern w:val="0"/>
          <w:sz w:val="24"/>
          <w:szCs w:val="24"/>
        </w:rPr>
        <w:t xml:space="preserve">Infliximab has been associated with acute infusion effects and a delayed hypersensitivity reaction. These differ in their time of onset. Therefore, all patients receiving </w:t>
      </w:r>
      <w:proofErr w:type="gramStart"/>
      <w:r>
        <w:rPr>
          <w:rFonts w:ascii="Times New Roman" w:eastAsia="Malgun Gothic" w:hAnsi="Times New Roman" w:cs="Times New Roman" w:hint="eastAsia"/>
          <w:bCs/>
          <w:iCs/>
          <w:kern w:val="0"/>
          <w:sz w:val="24"/>
          <w:szCs w:val="24"/>
        </w:rPr>
        <w:t>i</w:t>
      </w:r>
      <w:r w:rsidRPr="0025669D">
        <w:rPr>
          <w:rFonts w:ascii="Times New Roman" w:eastAsia="Malgun Gothic" w:hAnsi="Times New Roman" w:cs="Times New Roman"/>
          <w:bCs/>
          <w:iCs/>
          <w:kern w:val="0"/>
          <w:sz w:val="24"/>
          <w:szCs w:val="24"/>
        </w:rPr>
        <w:t>nfliximab</w:t>
      </w:r>
      <w:r w:rsidRPr="0025669D" w:rsidDel="00E56924">
        <w:rPr>
          <w:rFonts w:ascii="Times New Roman" w:eastAsia="Malgun Gothic" w:hAnsi="Times New Roman" w:cs="Times New Roman"/>
          <w:bCs/>
          <w:iCs/>
          <w:kern w:val="0"/>
          <w:sz w:val="24"/>
          <w:szCs w:val="24"/>
        </w:rPr>
        <w:t xml:space="preserve"> </w:t>
      </w:r>
      <w:r w:rsidRPr="0025669D">
        <w:rPr>
          <w:rFonts w:ascii="Times New Roman" w:eastAsia="Malgun Gothic" w:hAnsi="Times New Roman" w:cs="Times New Roman"/>
          <w:bCs/>
          <w:iCs/>
          <w:kern w:val="0"/>
          <w:sz w:val="24"/>
          <w:szCs w:val="24"/>
        </w:rPr>
        <w:t xml:space="preserve"> should</w:t>
      </w:r>
      <w:proofErr w:type="gramEnd"/>
      <w:r w:rsidRPr="0025669D">
        <w:rPr>
          <w:rFonts w:ascii="Times New Roman" w:eastAsia="Malgun Gothic" w:hAnsi="Times New Roman" w:cs="Times New Roman"/>
          <w:bCs/>
          <w:iCs/>
          <w:kern w:val="0"/>
          <w:sz w:val="24"/>
          <w:szCs w:val="24"/>
        </w:rPr>
        <w:t xml:space="preserve"> be observed for at least one to two hours post infusion for side effects.</w:t>
      </w:r>
    </w:p>
    <w:p w14:paraId="1C692900" w14:textId="77777777" w:rsidR="004A10AE" w:rsidRPr="0025669D" w:rsidRDefault="004A10AE" w:rsidP="007947DB">
      <w:pPr>
        <w:spacing w:after="0" w:line="240" w:lineRule="auto"/>
        <w:jc w:val="left"/>
        <w:rPr>
          <w:rFonts w:ascii="Times New Roman" w:eastAsia="Malgun Gothic" w:hAnsi="Times New Roman" w:cs="Times New Roman"/>
          <w:bCs/>
          <w:iCs/>
          <w:kern w:val="0"/>
          <w:sz w:val="24"/>
          <w:szCs w:val="24"/>
        </w:rPr>
      </w:pPr>
    </w:p>
    <w:p w14:paraId="0956A4D8" w14:textId="77777777" w:rsidR="004A10AE" w:rsidRPr="0025669D" w:rsidRDefault="004A10AE" w:rsidP="007947DB">
      <w:pPr>
        <w:spacing w:line="240" w:lineRule="auto"/>
        <w:jc w:val="left"/>
        <w:rPr>
          <w:rFonts w:ascii="Times New Roman" w:eastAsia="Malgun Gothic" w:hAnsi="Times New Roman" w:cs="Times New Roman"/>
          <w:bCs/>
          <w:iCs/>
          <w:kern w:val="0"/>
          <w:sz w:val="24"/>
          <w:szCs w:val="24"/>
        </w:rPr>
      </w:pPr>
      <w:r w:rsidRPr="0025669D">
        <w:rPr>
          <w:rFonts w:ascii="Times New Roman" w:eastAsia="Malgun Gothic" w:hAnsi="Times New Roman" w:cs="Times New Roman"/>
          <w:bCs/>
          <w:iCs/>
          <w:kern w:val="0"/>
          <w:sz w:val="24"/>
          <w:szCs w:val="24"/>
        </w:rPr>
        <w:lastRenderedPageBreak/>
        <w:t xml:space="preserve">To </w:t>
      </w:r>
      <w:proofErr w:type="spellStart"/>
      <w:r w:rsidRPr="0025669D">
        <w:rPr>
          <w:rFonts w:ascii="Times New Roman" w:eastAsia="Malgun Gothic" w:hAnsi="Times New Roman" w:cs="Times New Roman"/>
          <w:bCs/>
          <w:iCs/>
          <w:kern w:val="0"/>
          <w:sz w:val="24"/>
          <w:szCs w:val="24"/>
        </w:rPr>
        <w:t>minimise</w:t>
      </w:r>
      <w:proofErr w:type="spellEnd"/>
      <w:r w:rsidRPr="0025669D">
        <w:rPr>
          <w:rFonts w:ascii="Times New Roman" w:eastAsia="Malgun Gothic" w:hAnsi="Times New Roman" w:cs="Times New Roman"/>
          <w:bCs/>
          <w:iCs/>
          <w:kern w:val="0"/>
          <w:sz w:val="24"/>
          <w:szCs w:val="24"/>
        </w:rPr>
        <w:t xml:space="preserve"> the incidence of hypersensitivity reactions, including infusion reactions and serum sickness-like reactions, </w:t>
      </w:r>
      <w:r>
        <w:rPr>
          <w:rFonts w:ascii="Times New Roman" w:eastAsia="Malgun Gothic" w:hAnsi="Times New Roman" w:cs="Times New Roman" w:hint="eastAsia"/>
          <w:sz w:val="24"/>
          <w:szCs w:val="24"/>
        </w:rPr>
        <w:t>RENFLEXIS</w:t>
      </w:r>
      <w:r w:rsidRPr="0025669D">
        <w:rPr>
          <w:rFonts w:ascii="Times New Roman" w:eastAsia="Malgun Gothic" w:hAnsi="Times New Roman" w:cs="Times New Roman"/>
          <w:bCs/>
          <w:iCs/>
          <w:kern w:val="0"/>
          <w:sz w:val="24"/>
          <w:szCs w:val="24"/>
        </w:rPr>
        <w:t xml:space="preserve"> should be administered as regular maintenance therapy after an induction regimen at weeks 0, 2, 6 (see DOSAGE and ADMINISTRATION). </w:t>
      </w:r>
    </w:p>
    <w:p w14:paraId="5BFE9CA7" w14:textId="77777777" w:rsidR="004A10AE" w:rsidRPr="0025669D" w:rsidRDefault="004A10AE" w:rsidP="007947DB">
      <w:pPr>
        <w:spacing w:line="240" w:lineRule="auto"/>
        <w:jc w:val="left"/>
        <w:rPr>
          <w:rFonts w:ascii="Times New Roman" w:eastAsia="Malgun Gothic" w:hAnsi="Times New Roman" w:cs="Times New Roman"/>
          <w:bCs/>
          <w:iCs/>
          <w:kern w:val="0"/>
          <w:sz w:val="24"/>
          <w:szCs w:val="24"/>
        </w:rPr>
      </w:pPr>
      <w:r w:rsidRPr="0025669D">
        <w:rPr>
          <w:rFonts w:ascii="Times New Roman" w:eastAsia="Malgun Gothic" w:hAnsi="Times New Roman" w:cs="Times New Roman"/>
          <w:bCs/>
          <w:iCs/>
          <w:kern w:val="0"/>
          <w:sz w:val="24"/>
          <w:szCs w:val="24"/>
        </w:rPr>
        <w:t xml:space="preserve">Acute infusion reactions may develop immediately or within a few hours of infusion and are most likely to occur during the first and second infusion. These effects may be related to the rate of infusion of </w:t>
      </w:r>
      <w:r w:rsidRPr="0025669D">
        <w:rPr>
          <w:rFonts w:ascii="Times New Roman" w:eastAsia="Malgun Gothic" w:hAnsi="Times New Roman" w:cs="Times New Roman"/>
          <w:sz w:val="24"/>
          <w:szCs w:val="24"/>
        </w:rPr>
        <w:t>infliximab</w:t>
      </w:r>
      <w:r w:rsidRPr="0025669D">
        <w:rPr>
          <w:rFonts w:ascii="Times New Roman" w:eastAsia="Malgun Gothic" w:hAnsi="Times New Roman" w:cs="Times New Roman"/>
          <w:bCs/>
          <w:iCs/>
          <w:kern w:val="0"/>
          <w:sz w:val="24"/>
          <w:szCs w:val="24"/>
        </w:rPr>
        <w:t xml:space="preserve">. If acute infusion reactions occur, the infusion must be interrupted immediately. Some of these effects have been described as anaphylaxis. Medications (e.g. antihistamines, corticosteroids, adrenaline and/or paracetamol), an artificial airway and other appropriate materials for the treatment of these effects must be available for immediate use. Patients may be pretreated with e.g. antihistamine, hydrocortisone and/or paracetamol to prevent mild and transient effects. </w:t>
      </w:r>
    </w:p>
    <w:p w14:paraId="51CC969F" w14:textId="77777777" w:rsidR="004A10AE" w:rsidRPr="0025669D" w:rsidRDefault="004A10AE" w:rsidP="007947DB">
      <w:pPr>
        <w:spacing w:line="240" w:lineRule="auto"/>
        <w:jc w:val="left"/>
        <w:rPr>
          <w:rFonts w:ascii="Times New Roman" w:eastAsia="Malgun Gothic" w:hAnsi="Times New Roman" w:cs="Times New Roman"/>
          <w:bCs/>
          <w:iCs/>
          <w:kern w:val="0"/>
          <w:sz w:val="24"/>
          <w:szCs w:val="24"/>
        </w:rPr>
      </w:pPr>
      <w:r w:rsidRPr="0025669D">
        <w:rPr>
          <w:rFonts w:ascii="Times New Roman" w:eastAsia="Malgun Gothic" w:hAnsi="Times New Roman" w:cs="Times New Roman"/>
          <w:bCs/>
          <w:iCs/>
          <w:kern w:val="0"/>
          <w:sz w:val="24"/>
          <w:szCs w:val="24"/>
        </w:rPr>
        <w:t xml:space="preserve">Antibodies to infliximab may develop in some patients. These antibodies have been associated with an increased frequency of infusion reactions, and may be associated with an increased risk of serious infusion reactions. A low proportion of the infusion reactions were serious allergic reactions. </w:t>
      </w:r>
    </w:p>
    <w:p w14:paraId="30BB3771" w14:textId="77777777" w:rsidR="004A10AE" w:rsidRPr="0025669D" w:rsidRDefault="004A10AE" w:rsidP="007947DB">
      <w:pPr>
        <w:spacing w:line="240" w:lineRule="auto"/>
        <w:jc w:val="left"/>
        <w:rPr>
          <w:rFonts w:ascii="Times New Roman" w:eastAsia="Malgun Gothic" w:hAnsi="Times New Roman" w:cs="Times New Roman"/>
          <w:bCs/>
          <w:iCs/>
          <w:kern w:val="0"/>
          <w:sz w:val="24"/>
          <w:szCs w:val="24"/>
        </w:rPr>
      </w:pPr>
      <w:r w:rsidRPr="0025669D">
        <w:rPr>
          <w:rFonts w:ascii="Times New Roman" w:eastAsia="Malgun Gothic" w:hAnsi="Times New Roman" w:cs="Times New Roman"/>
          <w:bCs/>
          <w:iCs/>
          <w:kern w:val="0"/>
          <w:sz w:val="24"/>
          <w:szCs w:val="24"/>
        </w:rPr>
        <w:t xml:space="preserve">In Crohn’s disease patients, an association between development of antibodies to infliximab and reduced duration of response has also been observed. Concomitant administration of </w:t>
      </w:r>
      <w:proofErr w:type="spellStart"/>
      <w:r w:rsidRPr="0025669D">
        <w:rPr>
          <w:rFonts w:ascii="Times New Roman" w:eastAsia="Malgun Gothic" w:hAnsi="Times New Roman" w:cs="Times New Roman"/>
          <w:bCs/>
          <w:iCs/>
          <w:kern w:val="0"/>
          <w:sz w:val="24"/>
          <w:szCs w:val="24"/>
        </w:rPr>
        <w:t>immunomodulators</w:t>
      </w:r>
      <w:proofErr w:type="spellEnd"/>
      <w:r w:rsidRPr="0025669D">
        <w:rPr>
          <w:rFonts w:ascii="Times New Roman" w:eastAsia="Malgun Gothic" w:hAnsi="Times New Roman" w:cs="Times New Roman"/>
          <w:bCs/>
          <w:iCs/>
          <w:kern w:val="0"/>
          <w:sz w:val="24"/>
          <w:szCs w:val="24"/>
        </w:rPr>
        <w:t xml:space="preserve"> has been associated with lower incidence of antibodies to infliximab and a reduction in the frequency of infusion reactions. The effect of concomitant </w:t>
      </w:r>
      <w:proofErr w:type="spellStart"/>
      <w:r w:rsidRPr="0025669D">
        <w:rPr>
          <w:rFonts w:ascii="Times New Roman" w:eastAsia="Malgun Gothic" w:hAnsi="Times New Roman" w:cs="Times New Roman"/>
          <w:bCs/>
          <w:iCs/>
          <w:kern w:val="0"/>
          <w:sz w:val="24"/>
          <w:szCs w:val="24"/>
        </w:rPr>
        <w:t>immunomodulator</w:t>
      </w:r>
      <w:proofErr w:type="spellEnd"/>
      <w:r w:rsidRPr="0025669D">
        <w:rPr>
          <w:rFonts w:ascii="Times New Roman" w:eastAsia="Malgun Gothic" w:hAnsi="Times New Roman" w:cs="Times New Roman"/>
          <w:bCs/>
          <w:iCs/>
          <w:kern w:val="0"/>
          <w:sz w:val="24"/>
          <w:szCs w:val="24"/>
        </w:rPr>
        <w:t xml:space="preserve"> therapy was more profound in episodically treated patients than in patients given maintenance therapy. Patients who are not receiving </w:t>
      </w:r>
      <w:proofErr w:type="spellStart"/>
      <w:r w:rsidRPr="0025669D">
        <w:rPr>
          <w:rFonts w:ascii="Times New Roman" w:eastAsia="Malgun Gothic" w:hAnsi="Times New Roman" w:cs="Times New Roman"/>
          <w:bCs/>
          <w:iCs/>
          <w:kern w:val="0"/>
          <w:sz w:val="24"/>
          <w:szCs w:val="24"/>
        </w:rPr>
        <w:t>immunosuppressants</w:t>
      </w:r>
      <w:proofErr w:type="spellEnd"/>
      <w:r w:rsidRPr="0025669D">
        <w:rPr>
          <w:rFonts w:ascii="Times New Roman" w:eastAsia="Malgun Gothic" w:hAnsi="Times New Roman" w:cs="Times New Roman"/>
          <w:bCs/>
          <w:iCs/>
          <w:kern w:val="0"/>
          <w:sz w:val="24"/>
          <w:szCs w:val="24"/>
        </w:rPr>
        <w:t xml:space="preserve"> during </w:t>
      </w:r>
      <w:r w:rsidRPr="0025669D">
        <w:rPr>
          <w:rFonts w:ascii="Times New Roman" w:eastAsia="Malgun Gothic" w:hAnsi="Times New Roman" w:cs="Times New Roman"/>
          <w:sz w:val="24"/>
          <w:szCs w:val="24"/>
        </w:rPr>
        <w:t>infliximab</w:t>
      </w:r>
      <w:r w:rsidRPr="0025669D">
        <w:rPr>
          <w:rFonts w:ascii="Times New Roman" w:eastAsia="Malgun Gothic" w:hAnsi="Times New Roman" w:cs="Times New Roman"/>
          <w:bCs/>
          <w:iCs/>
          <w:kern w:val="0"/>
          <w:sz w:val="24"/>
          <w:szCs w:val="24"/>
        </w:rPr>
        <w:t xml:space="preserve"> treatment are potentially at greater risk of developing these antibodies. These antibodies cannot always be detected in serum samples. If serious reactions occur, symptomatic treatment must be given and further </w:t>
      </w:r>
      <w:r w:rsidRPr="0025669D">
        <w:rPr>
          <w:rFonts w:ascii="Times New Roman" w:eastAsia="Malgun Gothic" w:hAnsi="Times New Roman" w:cs="Times New Roman"/>
          <w:sz w:val="24"/>
          <w:szCs w:val="24"/>
        </w:rPr>
        <w:t>infliximab</w:t>
      </w:r>
      <w:r w:rsidRPr="0025669D">
        <w:rPr>
          <w:rFonts w:ascii="Times New Roman" w:eastAsia="Malgun Gothic" w:hAnsi="Times New Roman" w:cs="Times New Roman"/>
          <w:bCs/>
          <w:iCs/>
          <w:kern w:val="0"/>
          <w:sz w:val="24"/>
          <w:szCs w:val="24"/>
        </w:rPr>
        <w:t xml:space="preserve"> infusions must not be administered. </w:t>
      </w:r>
    </w:p>
    <w:p w14:paraId="194AB030" w14:textId="77777777" w:rsidR="004A10AE" w:rsidRPr="0025669D" w:rsidRDefault="004A10AE" w:rsidP="007947DB">
      <w:pPr>
        <w:spacing w:line="240" w:lineRule="auto"/>
        <w:jc w:val="left"/>
        <w:rPr>
          <w:rFonts w:ascii="Times New Roman" w:eastAsia="Malgun Gothic" w:hAnsi="Times New Roman" w:cs="Times New Roman"/>
          <w:sz w:val="24"/>
          <w:szCs w:val="24"/>
        </w:rPr>
      </w:pPr>
      <w:r w:rsidRPr="0025669D">
        <w:rPr>
          <w:rFonts w:ascii="Times New Roman" w:eastAsia="Malgun Gothic" w:hAnsi="Times New Roman" w:cs="Times New Roman"/>
          <w:sz w:val="24"/>
          <w:szCs w:val="24"/>
        </w:rPr>
        <w:t xml:space="preserve">Long-term efficacy of retreatments with infliximab has not yet been established. Reactions following </w:t>
      </w:r>
      <w:proofErr w:type="spellStart"/>
      <w:r w:rsidRPr="0025669D">
        <w:rPr>
          <w:rFonts w:ascii="Times New Roman" w:eastAsia="Malgun Gothic" w:hAnsi="Times New Roman" w:cs="Times New Roman"/>
          <w:sz w:val="24"/>
          <w:szCs w:val="24"/>
        </w:rPr>
        <w:t>readministration</w:t>
      </w:r>
      <w:proofErr w:type="spellEnd"/>
      <w:r w:rsidRPr="0025669D">
        <w:rPr>
          <w:rFonts w:ascii="Times New Roman" w:eastAsia="Malgun Gothic" w:hAnsi="Times New Roman" w:cs="Times New Roman"/>
          <w:sz w:val="24"/>
          <w:szCs w:val="24"/>
        </w:rPr>
        <w:t xml:space="preserve">, including delayed hypersensitivity reactions have been observed in a significant number of patients (25% in one clinical trial) with Crohn's disease who were retreated with a liquid formulation of infliximab, which is no longer in use, following a 2 to 4 year period without Infliximab treatment. Signs and symptoms included myalgia and/or arthralgia with fever and/or rash within 12 days following retreatment. Some patients also experienced pruritus, facial, hand or lip </w:t>
      </w:r>
      <w:proofErr w:type="spellStart"/>
      <w:r w:rsidRPr="0025669D">
        <w:rPr>
          <w:rFonts w:ascii="Times New Roman" w:eastAsia="Malgun Gothic" w:hAnsi="Times New Roman" w:cs="Times New Roman"/>
          <w:sz w:val="24"/>
          <w:szCs w:val="24"/>
        </w:rPr>
        <w:t>oedema</w:t>
      </w:r>
      <w:proofErr w:type="spellEnd"/>
      <w:r w:rsidRPr="0025669D">
        <w:rPr>
          <w:rFonts w:ascii="Times New Roman" w:eastAsia="Malgun Gothic" w:hAnsi="Times New Roman" w:cs="Times New Roman"/>
          <w:sz w:val="24"/>
          <w:szCs w:val="24"/>
        </w:rPr>
        <w:t xml:space="preserve">, dysphagia, </w:t>
      </w:r>
      <w:proofErr w:type="spellStart"/>
      <w:r w:rsidRPr="0025669D">
        <w:rPr>
          <w:rFonts w:ascii="Times New Roman" w:eastAsia="Malgun Gothic" w:hAnsi="Times New Roman" w:cs="Times New Roman"/>
          <w:sz w:val="24"/>
          <w:szCs w:val="24"/>
        </w:rPr>
        <w:t>urticaria</w:t>
      </w:r>
      <w:proofErr w:type="spellEnd"/>
      <w:r w:rsidRPr="0025669D">
        <w:rPr>
          <w:rFonts w:ascii="Times New Roman" w:eastAsia="Malgun Gothic" w:hAnsi="Times New Roman" w:cs="Times New Roman"/>
          <w:sz w:val="24"/>
          <w:szCs w:val="24"/>
        </w:rPr>
        <w:t xml:space="preserve">, sore throat and/or headache. These effects have sometimes been described as serum-sickness-like reactions. In post-marketing studies, some patients required steroid therapy to treat the delayed hypersensitivity reaction rather than symptomatic treatment alone. </w:t>
      </w:r>
      <w:proofErr w:type="gramStart"/>
      <w:r w:rsidRPr="0025669D">
        <w:rPr>
          <w:rFonts w:ascii="Times New Roman" w:eastAsia="Malgun Gothic" w:hAnsi="Times New Roman" w:cs="Times New Roman"/>
          <w:sz w:val="24"/>
          <w:szCs w:val="24"/>
        </w:rPr>
        <w:t>Advise</w:t>
      </w:r>
      <w:proofErr w:type="gramEnd"/>
      <w:r w:rsidRPr="0025669D">
        <w:rPr>
          <w:rFonts w:ascii="Times New Roman" w:eastAsia="Malgun Gothic" w:hAnsi="Times New Roman" w:cs="Times New Roman"/>
          <w:sz w:val="24"/>
          <w:szCs w:val="24"/>
        </w:rPr>
        <w:t xml:space="preserve"> patients to seek immediate medical advice if they experience any delayed adverse event (see ADVERSE EFFECTS, Delayed hypersensitivity). If patients are retreated after a prolonged period, they should be closely monitored for signs and symptoms of delayed hypersensitivity. </w:t>
      </w:r>
    </w:p>
    <w:p w14:paraId="6155D583" w14:textId="77777777" w:rsidR="004A10AE" w:rsidRPr="007F2D9F" w:rsidRDefault="004A10AE" w:rsidP="007947DB">
      <w:pPr>
        <w:spacing w:after="0" w:line="240" w:lineRule="auto"/>
        <w:jc w:val="left"/>
        <w:rPr>
          <w:rFonts w:ascii="Times New Roman" w:eastAsia="Malgun Gothic" w:hAnsi="Times New Roman" w:cs="Times New Roman"/>
          <w:color w:val="000000"/>
          <w:sz w:val="24"/>
          <w:szCs w:val="24"/>
          <w:u w:val="single"/>
        </w:rPr>
      </w:pPr>
      <w:r w:rsidRPr="007F2D9F">
        <w:rPr>
          <w:rFonts w:ascii="Times New Roman" w:eastAsia="Malgun Gothic" w:hAnsi="Times New Roman" w:cs="Times New Roman"/>
          <w:color w:val="000000"/>
          <w:sz w:val="24"/>
          <w:szCs w:val="24"/>
          <w:u w:val="single"/>
        </w:rPr>
        <w:t xml:space="preserve">Infusion reactions following re-administration of Infliximab </w:t>
      </w:r>
    </w:p>
    <w:p w14:paraId="34ECE5A5" w14:textId="77777777" w:rsidR="004A10AE" w:rsidRPr="0025669D" w:rsidRDefault="004A10AE" w:rsidP="007947DB">
      <w:pPr>
        <w:spacing w:after="0" w:line="240" w:lineRule="auto"/>
        <w:jc w:val="left"/>
        <w:rPr>
          <w:rFonts w:ascii="Times New Roman" w:eastAsia="Malgun Gothic" w:hAnsi="Times New Roman" w:cs="Times New Roman"/>
          <w:color w:val="000000"/>
          <w:sz w:val="24"/>
          <w:szCs w:val="24"/>
        </w:rPr>
      </w:pPr>
      <w:r w:rsidRPr="0025669D">
        <w:rPr>
          <w:rFonts w:ascii="Times New Roman" w:eastAsia="Malgun Gothic" w:hAnsi="Times New Roman" w:cs="Times New Roman"/>
          <w:color w:val="000000"/>
          <w:sz w:val="24"/>
          <w:szCs w:val="24"/>
        </w:rPr>
        <w:t xml:space="preserve">In a psoriasis clinical trial, a 3-dose re-induction of </w:t>
      </w:r>
      <w:r>
        <w:rPr>
          <w:rFonts w:ascii="Times New Roman" w:eastAsia="Malgun Gothic" w:hAnsi="Times New Roman" w:cs="Times New Roman" w:hint="eastAsia"/>
          <w:color w:val="000000"/>
          <w:sz w:val="24"/>
          <w:szCs w:val="24"/>
        </w:rPr>
        <w:t>i</w:t>
      </w:r>
      <w:r w:rsidRPr="0025669D">
        <w:rPr>
          <w:rFonts w:ascii="Times New Roman" w:eastAsia="Malgun Gothic" w:hAnsi="Times New Roman" w:cs="Times New Roman"/>
          <w:color w:val="000000"/>
          <w:sz w:val="24"/>
          <w:szCs w:val="24"/>
        </w:rPr>
        <w:t xml:space="preserve">nfliximab after a period of no treatment resulted in a higher incidence of serious infusion reactions during the re-induction regimen </w:t>
      </w:r>
      <w:r w:rsidRPr="0025669D">
        <w:rPr>
          <w:rFonts w:ascii="Times New Roman" w:eastAsia="Malgun Gothic" w:hAnsi="Times New Roman" w:cs="Times New Roman"/>
          <w:color w:val="000000"/>
          <w:sz w:val="24"/>
          <w:szCs w:val="24"/>
        </w:rPr>
        <w:lastRenderedPageBreak/>
        <w:t xml:space="preserve">(see ADVERSE EFFECTS) than had been observed in rheumatoid arthritis, psoriasis, and Crohn’s disease trials in which a period of no drug treatment was followed by regular maintenance therapy without re-induction. In the case where </w:t>
      </w:r>
      <w:r w:rsidRPr="0025669D">
        <w:rPr>
          <w:rFonts w:ascii="Times New Roman" w:eastAsia="Malgun Gothic" w:hAnsi="Times New Roman" w:cs="Times New Roman"/>
          <w:sz w:val="24"/>
          <w:szCs w:val="24"/>
        </w:rPr>
        <w:t>infliximab</w:t>
      </w:r>
      <w:r w:rsidRPr="0025669D">
        <w:rPr>
          <w:rFonts w:ascii="Times New Roman" w:eastAsia="Malgun Gothic" w:hAnsi="Times New Roman" w:cs="Times New Roman"/>
          <w:color w:val="000000"/>
          <w:sz w:val="24"/>
          <w:szCs w:val="24"/>
        </w:rPr>
        <w:t xml:space="preserve"> maintenance therapy for psoriasis is interrupted, </w:t>
      </w:r>
      <w:r>
        <w:rPr>
          <w:rFonts w:ascii="Times New Roman" w:eastAsia="Malgun Gothic" w:hAnsi="Times New Roman" w:cs="Times New Roman"/>
          <w:sz w:val="24"/>
          <w:szCs w:val="24"/>
        </w:rPr>
        <w:t>RENFLEXIS</w:t>
      </w:r>
      <w:r w:rsidRPr="0025669D">
        <w:rPr>
          <w:rFonts w:ascii="Times New Roman" w:eastAsia="Malgun Gothic" w:hAnsi="Times New Roman" w:cs="Times New Roman"/>
          <w:color w:val="000000"/>
          <w:sz w:val="24"/>
          <w:szCs w:val="24"/>
        </w:rPr>
        <w:t xml:space="preserve"> should be reinitiated as a single dose followed by maintenance therapy. In general, the benefit-risk of re-administration of </w:t>
      </w:r>
      <w:r w:rsidRPr="0025669D">
        <w:rPr>
          <w:rFonts w:ascii="Times New Roman" w:eastAsia="Malgun Gothic" w:hAnsi="Times New Roman" w:cs="Times New Roman"/>
          <w:sz w:val="24"/>
          <w:szCs w:val="24"/>
        </w:rPr>
        <w:t>infliximab</w:t>
      </w:r>
      <w:r w:rsidRPr="0025669D">
        <w:rPr>
          <w:rFonts w:ascii="Times New Roman" w:eastAsia="Malgun Gothic" w:hAnsi="Times New Roman" w:cs="Times New Roman"/>
          <w:color w:val="000000"/>
          <w:sz w:val="24"/>
          <w:szCs w:val="24"/>
        </w:rPr>
        <w:t xml:space="preserve"> after a period of no-treatment, especially as a re-induction regimen given at weeks 0, 2, and 6, should be carefully considered. </w:t>
      </w:r>
    </w:p>
    <w:p w14:paraId="7F32C9B9" w14:textId="77777777" w:rsidR="004A10AE" w:rsidRPr="0035249D" w:rsidRDefault="004A10AE" w:rsidP="007947DB">
      <w:pPr>
        <w:pStyle w:val="Heading2"/>
        <w:tabs>
          <w:tab w:val="num" w:pos="1418"/>
        </w:tabs>
        <w:spacing w:after="0"/>
        <w:ind w:left="1702" w:hangingChars="709" w:hanging="1702"/>
        <w:rPr>
          <w:rFonts w:eastAsia="Malgun Gothic" w:cs="Times New Roman"/>
          <w:b w:val="0"/>
          <w:szCs w:val="24"/>
          <w:u w:val="single"/>
          <w:lang w:eastAsia="ko-KR"/>
        </w:rPr>
      </w:pPr>
      <w:r w:rsidRPr="0035249D">
        <w:rPr>
          <w:rFonts w:eastAsia="Malgun Gothic" w:cs="Times New Roman"/>
          <w:b w:val="0"/>
          <w:szCs w:val="24"/>
          <w:u w:val="single"/>
          <w:lang w:eastAsia="ko-KR"/>
        </w:rPr>
        <w:t>Malignancies an</w:t>
      </w:r>
      <w:r>
        <w:rPr>
          <w:rFonts w:eastAsia="Malgun Gothic" w:cs="Times New Roman"/>
          <w:b w:val="0"/>
          <w:szCs w:val="24"/>
          <w:u w:val="single"/>
          <w:lang w:eastAsia="ko-KR"/>
        </w:rPr>
        <w:t>d lymphoproliferative disorders</w:t>
      </w:r>
    </w:p>
    <w:p w14:paraId="5A71B5CB" w14:textId="77777777" w:rsidR="004A10AE" w:rsidRPr="0025669D" w:rsidRDefault="004A10AE" w:rsidP="007947DB">
      <w:pPr>
        <w:spacing w:after="0" w:line="240" w:lineRule="auto"/>
        <w:jc w:val="left"/>
        <w:rPr>
          <w:rFonts w:ascii="Times New Roman" w:eastAsia="Malgun Gothic" w:hAnsi="Times New Roman" w:cs="Times New Roman"/>
          <w:color w:val="000000"/>
          <w:sz w:val="24"/>
          <w:szCs w:val="24"/>
        </w:rPr>
      </w:pPr>
      <w:r w:rsidRPr="0025669D">
        <w:rPr>
          <w:rFonts w:ascii="Times New Roman" w:eastAsia="Malgun Gothic" w:hAnsi="Times New Roman" w:cs="Times New Roman"/>
          <w:color w:val="000000"/>
          <w:sz w:val="24"/>
          <w:szCs w:val="24"/>
        </w:rPr>
        <w:t xml:space="preserve">In the controlled portions of clinical trials of TNF-blocking agents, more cases of lymphoma have been observed among patients receiving a TNF blocker compared with control patients. During clinical trials of </w:t>
      </w:r>
      <w:r>
        <w:rPr>
          <w:rFonts w:ascii="Times New Roman" w:eastAsia="Malgun Gothic" w:hAnsi="Times New Roman" w:cs="Times New Roman" w:hint="eastAsia"/>
          <w:color w:val="000000"/>
          <w:sz w:val="24"/>
          <w:szCs w:val="24"/>
        </w:rPr>
        <w:t>i</w:t>
      </w:r>
      <w:r w:rsidRPr="0025669D">
        <w:rPr>
          <w:rFonts w:ascii="Times New Roman" w:eastAsia="Malgun Gothic" w:hAnsi="Times New Roman" w:cs="Times New Roman"/>
          <w:color w:val="000000"/>
          <w:sz w:val="24"/>
          <w:szCs w:val="24"/>
        </w:rPr>
        <w:t xml:space="preserve">nfliximab in patients with rheumatoid arthritis, Crohn’s disease, psoriatic arthritis, ankylosing spondylitis, psoriasis, and ulcerative colitis, the incidence of lymphoma in </w:t>
      </w:r>
      <w:r>
        <w:rPr>
          <w:rFonts w:ascii="Times New Roman" w:eastAsia="Malgun Gothic" w:hAnsi="Times New Roman" w:cs="Times New Roman" w:hint="eastAsia"/>
          <w:color w:val="000000"/>
          <w:sz w:val="24"/>
          <w:szCs w:val="24"/>
        </w:rPr>
        <w:t>i</w:t>
      </w:r>
      <w:r w:rsidRPr="0025669D">
        <w:rPr>
          <w:rFonts w:ascii="Times New Roman" w:eastAsia="Malgun Gothic" w:hAnsi="Times New Roman" w:cs="Times New Roman"/>
          <w:color w:val="000000"/>
          <w:sz w:val="24"/>
          <w:szCs w:val="24"/>
        </w:rPr>
        <w:t xml:space="preserve">nfliximab-treated patients was higher than expected in the general population, but the occurrence of lymphoma was rare. Furthermore, there is an increased background lymphoma risk even in the absence of TNF blocking therapy in rheumatoid arthritis and Crohn’s disease patients with longstanding, highly active, inflammatory disease, and/or active chronic exposure to immunosuppressant therapies, which complicates the risk estimation. </w:t>
      </w:r>
    </w:p>
    <w:p w14:paraId="575802B0" w14:textId="77777777" w:rsidR="004A10AE" w:rsidRDefault="004A10AE" w:rsidP="007947DB">
      <w:pPr>
        <w:spacing w:after="0" w:line="240" w:lineRule="auto"/>
        <w:jc w:val="left"/>
        <w:rPr>
          <w:rFonts w:ascii="Times New Roman" w:eastAsia="Malgun Gothic" w:hAnsi="Times New Roman" w:cs="Times New Roman"/>
          <w:color w:val="000000"/>
          <w:sz w:val="24"/>
          <w:szCs w:val="24"/>
        </w:rPr>
      </w:pPr>
    </w:p>
    <w:p w14:paraId="666C00E3" w14:textId="77777777" w:rsidR="004A10AE" w:rsidRPr="0025669D" w:rsidRDefault="004A10AE" w:rsidP="007947DB">
      <w:pPr>
        <w:spacing w:line="240" w:lineRule="auto"/>
        <w:jc w:val="left"/>
        <w:rPr>
          <w:rFonts w:ascii="Times New Roman" w:eastAsia="Malgun Gothic" w:hAnsi="Times New Roman" w:cs="Times New Roman"/>
          <w:color w:val="000000"/>
          <w:sz w:val="24"/>
          <w:szCs w:val="24"/>
        </w:rPr>
      </w:pPr>
      <w:r w:rsidRPr="0025669D">
        <w:rPr>
          <w:rFonts w:ascii="Times New Roman" w:eastAsia="Malgun Gothic" w:hAnsi="Times New Roman" w:cs="Times New Roman"/>
          <w:color w:val="000000"/>
          <w:sz w:val="24"/>
          <w:szCs w:val="24"/>
        </w:rPr>
        <w:t xml:space="preserve">In a clinical trial exploring the use of </w:t>
      </w:r>
      <w:r>
        <w:rPr>
          <w:rFonts w:ascii="Times New Roman" w:eastAsia="Malgun Gothic" w:hAnsi="Times New Roman" w:cs="Times New Roman" w:hint="eastAsia"/>
          <w:color w:val="000000"/>
          <w:sz w:val="24"/>
          <w:szCs w:val="24"/>
        </w:rPr>
        <w:t>i</w:t>
      </w:r>
      <w:r w:rsidRPr="0025669D">
        <w:rPr>
          <w:rFonts w:ascii="Times New Roman" w:eastAsia="Malgun Gothic" w:hAnsi="Times New Roman" w:cs="Times New Roman"/>
          <w:color w:val="000000"/>
          <w:sz w:val="24"/>
          <w:szCs w:val="24"/>
        </w:rPr>
        <w:t xml:space="preserve">nfliximab in patients with moderate to severe chronic obstructive pulmonary disease (COPD), more malignancies, the majority of lung or head and neck origin, were reported in </w:t>
      </w:r>
      <w:r>
        <w:rPr>
          <w:rFonts w:ascii="Times New Roman" w:eastAsia="Malgun Gothic" w:hAnsi="Times New Roman" w:cs="Times New Roman" w:hint="eastAsia"/>
          <w:color w:val="000000"/>
          <w:sz w:val="24"/>
          <w:szCs w:val="24"/>
        </w:rPr>
        <w:t>i</w:t>
      </w:r>
      <w:r w:rsidRPr="0025669D">
        <w:rPr>
          <w:rFonts w:ascii="Times New Roman" w:eastAsia="Malgun Gothic" w:hAnsi="Times New Roman" w:cs="Times New Roman"/>
          <w:color w:val="000000"/>
          <w:sz w:val="24"/>
          <w:szCs w:val="24"/>
        </w:rPr>
        <w:t xml:space="preserve">nfliximab-treated patients compared with control patients. All patients had a history of heavy smoking (see ADVERSE EFFECTS). Prescribers should exercise caution when considering the use of </w:t>
      </w:r>
      <w:r>
        <w:rPr>
          <w:rFonts w:ascii="Times New Roman" w:eastAsia="Malgun Gothic" w:hAnsi="Times New Roman" w:cs="Times New Roman" w:hint="eastAsia"/>
          <w:sz w:val="24"/>
          <w:szCs w:val="24"/>
        </w:rPr>
        <w:t>RENFLEXIS</w:t>
      </w:r>
      <w:r w:rsidRPr="0025669D">
        <w:rPr>
          <w:rFonts w:ascii="Times New Roman" w:eastAsia="Malgun Gothic" w:hAnsi="Times New Roman" w:cs="Times New Roman"/>
          <w:color w:val="000000"/>
          <w:sz w:val="24"/>
          <w:szCs w:val="24"/>
        </w:rPr>
        <w:t xml:space="preserve"> in patients with moderate to severe COPD. </w:t>
      </w:r>
    </w:p>
    <w:p w14:paraId="586AF455" w14:textId="77777777" w:rsidR="004A10AE" w:rsidRPr="0025669D" w:rsidRDefault="004A10AE" w:rsidP="007947DB">
      <w:pPr>
        <w:spacing w:line="240" w:lineRule="auto"/>
        <w:jc w:val="left"/>
        <w:rPr>
          <w:rFonts w:ascii="Times New Roman" w:eastAsia="Malgun Gothic" w:hAnsi="Times New Roman" w:cs="Times New Roman"/>
          <w:color w:val="000000"/>
          <w:sz w:val="24"/>
          <w:szCs w:val="24"/>
        </w:rPr>
      </w:pPr>
      <w:r w:rsidRPr="0025669D">
        <w:rPr>
          <w:rFonts w:ascii="Times New Roman" w:eastAsia="Malgun Gothic" w:hAnsi="Times New Roman" w:cs="Times New Roman"/>
          <w:color w:val="000000"/>
          <w:sz w:val="24"/>
          <w:szCs w:val="24"/>
        </w:rPr>
        <w:t xml:space="preserve">With the current knowledge, a possible risk for the development of lymphomas or other malignancies in patients treated with a TNF-blocking agent cannot be excluded (see ADVERSE EFFECTS section). Caution should be exercised when considering TNF-blocking therapy for patients with a history of malignancy or when considering continuing treatment in patients who develop a malignancy. </w:t>
      </w:r>
    </w:p>
    <w:p w14:paraId="1A2C41FD" w14:textId="77777777" w:rsidR="004A10AE" w:rsidRPr="007F2D9F" w:rsidRDefault="004A10AE" w:rsidP="007947DB">
      <w:pPr>
        <w:spacing w:after="0" w:line="240" w:lineRule="auto"/>
        <w:jc w:val="left"/>
        <w:rPr>
          <w:rFonts w:ascii="Times New Roman" w:eastAsia="Malgun Gothic" w:hAnsi="Times New Roman" w:cs="Times New Roman"/>
          <w:color w:val="000000"/>
          <w:sz w:val="24"/>
          <w:szCs w:val="24"/>
          <w:u w:val="single"/>
        </w:rPr>
      </w:pPr>
      <w:proofErr w:type="spellStart"/>
      <w:r w:rsidRPr="007F2D9F">
        <w:rPr>
          <w:rFonts w:ascii="Times New Roman" w:eastAsia="Malgun Gothic" w:hAnsi="Times New Roman" w:cs="Times New Roman"/>
          <w:color w:val="000000"/>
          <w:sz w:val="24"/>
          <w:szCs w:val="24"/>
          <w:u w:val="single"/>
        </w:rPr>
        <w:t>Paediatric</w:t>
      </w:r>
      <w:proofErr w:type="spellEnd"/>
      <w:r w:rsidRPr="007F2D9F">
        <w:rPr>
          <w:rFonts w:ascii="Times New Roman" w:eastAsia="Malgun Gothic" w:hAnsi="Times New Roman" w:cs="Times New Roman"/>
          <w:color w:val="000000"/>
          <w:sz w:val="24"/>
          <w:szCs w:val="24"/>
          <w:u w:val="single"/>
        </w:rPr>
        <w:t xml:space="preserve"> Malignancy </w:t>
      </w:r>
    </w:p>
    <w:p w14:paraId="2EEC49F9" w14:textId="77777777" w:rsidR="004A10AE" w:rsidRDefault="004A10AE" w:rsidP="007947DB">
      <w:pPr>
        <w:spacing w:after="0" w:line="240" w:lineRule="auto"/>
        <w:jc w:val="left"/>
        <w:rPr>
          <w:rFonts w:ascii="Times New Roman" w:eastAsia="Malgun Gothic" w:hAnsi="Times New Roman" w:cs="Times New Roman"/>
          <w:sz w:val="24"/>
          <w:szCs w:val="24"/>
        </w:rPr>
      </w:pPr>
      <w:r w:rsidRPr="0025669D">
        <w:rPr>
          <w:rFonts w:ascii="Times New Roman" w:eastAsia="Malgun Gothic" w:hAnsi="Times New Roman" w:cs="Times New Roman"/>
          <w:color w:val="000000"/>
          <w:sz w:val="24"/>
          <w:szCs w:val="24"/>
        </w:rPr>
        <w:t xml:space="preserve">Post-marketing cases of malignancies, some fatal, have been reported among children, adolescents and young adults (up to 22 years of age) who received TNF-blocking agents (initiation of therapy ≤ 18 years of age), including </w:t>
      </w:r>
      <w:r>
        <w:rPr>
          <w:rFonts w:ascii="Times New Roman" w:eastAsia="Malgun Gothic" w:hAnsi="Times New Roman" w:cs="Times New Roman" w:hint="eastAsia"/>
          <w:color w:val="000000"/>
          <w:sz w:val="24"/>
          <w:szCs w:val="24"/>
        </w:rPr>
        <w:t>i</w:t>
      </w:r>
      <w:r w:rsidRPr="0025669D">
        <w:rPr>
          <w:rFonts w:ascii="Times New Roman" w:eastAsia="Malgun Gothic" w:hAnsi="Times New Roman" w:cs="Times New Roman"/>
          <w:color w:val="000000"/>
          <w:sz w:val="24"/>
          <w:szCs w:val="24"/>
        </w:rPr>
        <w:t xml:space="preserve">nfliximab, to treat Juvenile Idiopathic Arthritis (JIA), Crohn’s disease or other conditions. Approximately half the reports were lymphomas (Hodgkin’s and non-Hodgkin’s lymphoma). The other cases represented a variety of different malignancies and included malignancies that are not usually observed in children and adolescents. Most of the patients were receiving concomitant </w:t>
      </w:r>
      <w:proofErr w:type="spellStart"/>
      <w:r w:rsidRPr="0025669D">
        <w:rPr>
          <w:rFonts w:ascii="Times New Roman" w:eastAsia="Malgun Gothic" w:hAnsi="Times New Roman" w:cs="Times New Roman"/>
          <w:color w:val="000000"/>
          <w:sz w:val="24"/>
          <w:szCs w:val="24"/>
        </w:rPr>
        <w:t>immunosuppressants</w:t>
      </w:r>
      <w:proofErr w:type="spellEnd"/>
      <w:r w:rsidRPr="0025669D">
        <w:rPr>
          <w:rFonts w:ascii="Times New Roman" w:eastAsia="Malgun Gothic" w:hAnsi="Times New Roman" w:cs="Times New Roman"/>
          <w:color w:val="000000"/>
          <w:sz w:val="24"/>
          <w:szCs w:val="24"/>
        </w:rPr>
        <w:t xml:space="preserve">, such </w:t>
      </w:r>
      <w:r w:rsidRPr="0025669D">
        <w:rPr>
          <w:rFonts w:ascii="Times New Roman" w:eastAsia="Malgun Gothic" w:hAnsi="Times New Roman" w:cs="Times New Roman"/>
          <w:sz w:val="24"/>
          <w:szCs w:val="24"/>
        </w:rPr>
        <w:t xml:space="preserve">as methotrexate, azathioprine or 6-mercaptopurine. The role of TNF blockers in the development of malignancies in children and adolescents remains unclear. </w:t>
      </w:r>
    </w:p>
    <w:p w14:paraId="2C7C84DD" w14:textId="77777777" w:rsidR="004A10AE" w:rsidRPr="00001417" w:rsidRDefault="004A10AE" w:rsidP="007947DB">
      <w:pPr>
        <w:pStyle w:val="Heading2"/>
        <w:tabs>
          <w:tab w:val="num" w:pos="1418"/>
        </w:tabs>
        <w:spacing w:after="0"/>
        <w:ind w:left="1702" w:hangingChars="709" w:hanging="1702"/>
        <w:rPr>
          <w:rFonts w:eastAsia="Malgun Gothic" w:cs="Times New Roman"/>
          <w:color w:val="000000"/>
          <w:szCs w:val="24"/>
          <w:u w:val="single"/>
        </w:rPr>
      </w:pPr>
      <w:proofErr w:type="spellStart"/>
      <w:r w:rsidRPr="00681BCE">
        <w:rPr>
          <w:rFonts w:eastAsia="Malgun Gothic" w:cs="Times New Roman"/>
          <w:b w:val="0"/>
          <w:szCs w:val="24"/>
          <w:u w:val="single"/>
          <w:lang w:eastAsia="ko-KR"/>
        </w:rPr>
        <w:t>Hepatosplenic</w:t>
      </w:r>
      <w:proofErr w:type="spellEnd"/>
      <w:r w:rsidRPr="00681BCE">
        <w:rPr>
          <w:rFonts w:eastAsia="Malgun Gothic" w:cs="Times New Roman"/>
          <w:b w:val="0"/>
          <w:szCs w:val="24"/>
          <w:u w:val="single"/>
          <w:lang w:eastAsia="ko-KR"/>
        </w:rPr>
        <w:t xml:space="preserve"> T-cell lymphomas</w:t>
      </w:r>
    </w:p>
    <w:p w14:paraId="4001E1B6" w14:textId="14CCA908" w:rsidR="004A10AE" w:rsidRPr="0025669D" w:rsidRDefault="000F3F03" w:rsidP="007947DB">
      <w:pPr>
        <w:spacing w:after="0" w:line="240" w:lineRule="auto"/>
        <w:jc w:val="left"/>
        <w:rPr>
          <w:rFonts w:ascii="Times New Roman" w:eastAsia="Malgun Gothic" w:hAnsi="Times New Roman" w:cs="Times New Roman"/>
          <w:color w:val="000000"/>
          <w:sz w:val="24"/>
          <w:szCs w:val="24"/>
        </w:rPr>
      </w:pPr>
      <w:proofErr w:type="spellStart"/>
      <w:r>
        <w:rPr>
          <w:rFonts w:ascii="Times New Roman" w:eastAsia="Malgun Gothic" w:hAnsi="Times New Roman" w:cs="Times New Roman" w:hint="eastAsia"/>
          <w:color w:val="000000"/>
          <w:sz w:val="24"/>
          <w:szCs w:val="24"/>
        </w:rPr>
        <w:t>P</w:t>
      </w:r>
      <w:r w:rsidR="004A10AE" w:rsidRPr="0025669D">
        <w:rPr>
          <w:rFonts w:ascii="Times New Roman" w:eastAsia="Malgun Gothic" w:hAnsi="Times New Roman" w:cs="Times New Roman"/>
          <w:color w:val="000000"/>
          <w:sz w:val="24"/>
          <w:szCs w:val="24"/>
        </w:rPr>
        <w:t>ostmarketing</w:t>
      </w:r>
      <w:proofErr w:type="spellEnd"/>
      <w:r w:rsidR="004A10AE" w:rsidRPr="0025669D">
        <w:rPr>
          <w:rFonts w:ascii="Times New Roman" w:eastAsia="Malgun Gothic" w:hAnsi="Times New Roman" w:cs="Times New Roman"/>
          <w:color w:val="000000"/>
          <w:sz w:val="24"/>
          <w:szCs w:val="24"/>
        </w:rPr>
        <w:t xml:space="preserve"> cases of </w:t>
      </w:r>
      <w:proofErr w:type="spellStart"/>
      <w:r w:rsidR="004A10AE" w:rsidRPr="0025669D">
        <w:rPr>
          <w:rFonts w:ascii="Times New Roman" w:eastAsia="Malgun Gothic" w:hAnsi="Times New Roman" w:cs="Times New Roman"/>
          <w:color w:val="000000"/>
          <w:sz w:val="24"/>
          <w:szCs w:val="24"/>
        </w:rPr>
        <w:t>hepatosplenic</w:t>
      </w:r>
      <w:proofErr w:type="spellEnd"/>
      <w:r w:rsidR="004A10AE" w:rsidRPr="0025669D">
        <w:rPr>
          <w:rFonts w:ascii="Times New Roman" w:eastAsia="Malgun Gothic" w:hAnsi="Times New Roman" w:cs="Times New Roman"/>
          <w:color w:val="000000"/>
          <w:sz w:val="24"/>
          <w:szCs w:val="24"/>
        </w:rPr>
        <w:t xml:space="preserve"> T-cell lymphoma have been reported in patients treated with TNF-blocking agents including </w:t>
      </w:r>
      <w:r w:rsidR="004A10AE">
        <w:rPr>
          <w:rFonts w:ascii="Times New Roman" w:eastAsia="Malgun Gothic" w:hAnsi="Times New Roman" w:cs="Times New Roman" w:hint="eastAsia"/>
          <w:color w:val="000000"/>
          <w:sz w:val="24"/>
          <w:szCs w:val="24"/>
        </w:rPr>
        <w:t>i</w:t>
      </w:r>
      <w:r w:rsidR="004A10AE" w:rsidRPr="0025669D">
        <w:rPr>
          <w:rFonts w:ascii="Times New Roman" w:eastAsia="Malgun Gothic" w:hAnsi="Times New Roman" w:cs="Times New Roman"/>
          <w:color w:val="000000"/>
          <w:sz w:val="24"/>
          <w:szCs w:val="24"/>
        </w:rPr>
        <w:t>nfliximab</w:t>
      </w:r>
      <w:r>
        <w:rPr>
          <w:rFonts w:ascii="Times New Roman" w:eastAsia="Malgun Gothic" w:hAnsi="Times New Roman" w:cs="Times New Roman" w:hint="eastAsia"/>
          <w:color w:val="000000"/>
          <w:sz w:val="24"/>
          <w:szCs w:val="24"/>
        </w:rPr>
        <w:t xml:space="preserve"> (see ADVERSE </w:t>
      </w:r>
      <w:r w:rsidRPr="000F3F03">
        <w:rPr>
          <w:rFonts w:ascii="Times New Roman" w:eastAsia="Malgun Gothic" w:hAnsi="Times New Roman" w:cs="Times New Roman" w:hint="eastAsia"/>
          <w:color w:val="000000"/>
          <w:sz w:val="24"/>
          <w:szCs w:val="24"/>
        </w:rPr>
        <w:t xml:space="preserve">EFFECTS - </w:t>
      </w:r>
      <w:r w:rsidRPr="000F3F03">
        <w:rPr>
          <w:rFonts w:ascii="Times New Roman" w:eastAsia="Malgun Gothic" w:hAnsi="Times New Roman" w:cs="Times New Roman"/>
          <w:color w:val="000000"/>
          <w:sz w:val="24"/>
          <w:szCs w:val="24"/>
        </w:rPr>
        <w:fldChar w:fldCharType="begin"/>
      </w:r>
      <w:r w:rsidRPr="000F3F03">
        <w:rPr>
          <w:rFonts w:ascii="Times New Roman" w:eastAsia="Malgun Gothic" w:hAnsi="Times New Roman" w:cs="Times New Roman"/>
          <w:color w:val="000000"/>
          <w:sz w:val="24"/>
          <w:szCs w:val="24"/>
        </w:rPr>
        <w:instrText xml:space="preserve"> </w:instrText>
      </w:r>
      <w:r w:rsidRPr="000F3F03">
        <w:rPr>
          <w:rFonts w:ascii="Times New Roman" w:eastAsia="Malgun Gothic" w:hAnsi="Times New Roman" w:cs="Times New Roman" w:hint="eastAsia"/>
          <w:color w:val="000000"/>
          <w:sz w:val="24"/>
          <w:szCs w:val="24"/>
        </w:rPr>
        <w:instrText>REF _Ref484153773 \h</w:instrText>
      </w:r>
      <w:r w:rsidRPr="000F3F03">
        <w:rPr>
          <w:rFonts w:ascii="Times New Roman" w:eastAsia="Malgun Gothic" w:hAnsi="Times New Roman" w:cs="Times New Roman"/>
          <w:color w:val="000000"/>
          <w:sz w:val="24"/>
          <w:szCs w:val="24"/>
        </w:rPr>
        <w:instrText xml:space="preserve"> </w:instrText>
      </w:r>
      <w:r>
        <w:rPr>
          <w:rFonts w:ascii="Times New Roman" w:eastAsia="Malgun Gothic" w:hAnsi="Times New Roman" w:cs="Times New Roman"/>
          <w:color w:val="000000"/>
          <w:sz w:val="24"/>
          <w:szCs w:val="24"/>
        </w:rPr>
        <w:instrText xml:space="preserve"> \* MERGEFORMAT </w:instrText>
      </w:r>
      <w:r w:rsidRPr="000F3F03">
        <w:rPr>
          <w:rFonts w:ascii="Times New Roman" w:eastAsia="Malgun Gothic" w:hAnsi="Times New Roman" w:cs="Times New Roman"/>
          <w:color w:val="000000"/>
          <w:sz w:val="24"/>
          <w:szCs w:val="24"/>
        </w:rPr>
      </w:r>
      <w:r w:rsidRPr="000F3F03">
        <w:rPr>
          <w:rFonts w:ascii="Times New Roman" w:eastAsia="Malgun Gothic" w:hAnsi="Times New Roman" w:cs="Times New Roman"/>
          <w:color w:val="000000"/>
          <w:sz w:val="24"/>
          <w:szCs w:val="24"/>
        </w:rPr>
        <w:fldChar w:fldCharType="separate"/>
      </w:r>
      <w:r w:rsidR="005A6BF4" w:rsidRPr="005A6BF4">
        <w:rPr>
          <w:rFonts w:ascii="Times New Roman" w:hAnsi="Times New Roman" w:cs="Times New Roman"/>
          <w:sz w:val="24"/>
          <w:szCs w:val="24"/>
        </w:rPr>
        <w:t xml:space="preserve">Table </w:t>
      </w:r>
      <w:r w:rsidR="005A6BF4" w:rsidRPr="005A6BF4">
        <w:rPr>
          <w:rFonts w:ascii="Times New Roman" w:hAnsi="Times New Roman" w:cs="Times New Roman"/>
          <w:noProof/>
          <w:sz w:val="24"/>
          <w:szCs w:val="24"/>
        </w:rPr>
        <w:t>13</w:t>
      </w:r>
      <w:r w:rsidRPr="000F3F03">
        <w:rPr>
          <w:rFonts w:ascii="Times New Roman" w:eastAsia="Malgun Gothic" w:hAnsi="Times New Roman" w:cs="Times New Roman"/>
          <w:color w:val="000000"/>
          <w:sz w:val="24"/>
          <w:szCs w:val="24"/>
        </w:rPr>
        <w:fldChar w:fldCharType="end"/>
      </w:r>
      <w:r>
        <w:rPr>
          <w:rFonts w:ascii="Times New Roman" w:eastAsia="Malgun Gothic" w:hAnsi="Times New Roman" w:cs="Times New Roman" w:hint="eastAsia"/>
          <w:color w:val="000000"/>
          <w:sz w:val="24"/>
          <w:szCs w:val="24"/>
        </w:rPr>
        <w:t>)</w:t>
      </w:r>
      <w:r w:rsidR="004A10AE" w:rsidRPr="000F3F03">
        <w:rPr>
          <w:rFonts w:ascii="Times New Roman" w:eastAsia="Malgun Gothic" w:hAnsi="Times New Roman" w:cs="Times New Roman"/>
          <w:color w:val="000000"/>
          <w:sz w:val="24"/>
          <w:szCs w:val="24"/>
        </w:rPr>
        <w:t>.</w:t>
      </w:r>
      <w:r w:rsidR="004A10AE" w:rsidRPr="0025669D">
        <w:rPr>
          <w:rFonts w:ascii="Times New Roman" w:eastAsia="Malgun Gothic" w:hAnsi="Times New Roman" w:cs="Times New Roman"/>
          <w:color w:val="000000"/>
          <w:sz w:val="24"/>
          <w:szCs w:val="24"/>
        </w:rPr>
        <w:t xml:space="preserve"> This </w:t>
      </w:r>
      <w:r w:rsidR="004A10AE" w:rsidRPr="0025669D">
        <w:rPr>
          <w:rFonts w:ascii="Times New Roman" w:eastAsia="Malgun Gothic" w:hAnsi="Times New Roman" w:cs="Times New Roman"/>
          <w:color w:val="000000"/>
          <w:sz w:val="24"/>
          <w:szCs w:val="24"/>
        </w:rPr>
        <w:lastRenderedPageBreak/>
        <w:t xml:space="preserve">rare type of T-cell lymphoma has a very aggressive disease course and is usually fatal. </w:t>
      </w:r>
      <w:r w:rsidR="004A10AE" w:rsidRPr="00F1609D">
        <w:rPr>
          <w:rFonts w:ascii="Times New Roman" w:eastAsia="Malgun Gothic" w:hAnsi="Times New Roman" w:cs="Times New Roman"/>
          <w:color w:val="000000"/>
          <w:sz w:val="24"/>
          <w:szCs w:val="24"/>
        </w:rPr>
        <w:t xml:space="preserve">Almost all patients had received treatment with azathioprine or 6-mercaptopurine concomitantly with or immediately prior to a TNF-blocker. The vast majority of </w:t>
      </w:r>
      <w:r w:rsidR="004A10AE" w:rsidRPr="0034022E">
        <w:rPr>
          <w:rFonts w:ascii="Times New Roman" w:eastAsia="Malgun Gothic" w:hAnsi="Times New Roman" w:cs="Times New Roman"/>
          <w:color w:val="000000"/>
          <w:sz w:val="24"/>
          <w:szCs w:val="24"/>
        </w:rPr>
        <w:t>infliximab</w:t>
      </w:r>
      <w:r w:rsidR="004A10AE" w:rsidRPr="00F1609D">
        <w:rPr>
          <w:rFonts w:ascii="Times New Roman" w:eastAsia="Malgun Gothic" w:hAnsi="Times New Roman" w:cs="Times New Roman"/>
          <w:color w:val="000000"/>
          <w:sz w:val="24"/>
          <w:szCs w:val="24"/>
        </w:rPr>
        <w:t xml:space="preserve"> cases have occurred in patients with Crohn's disease or ulcerative colitis and most were reported in adolescent or young adult males. </w:t>
      </w:r>
    </w:p>
    <w:p w14:paraId="233CCB46" w14:textId="77777777" w:rsidR="004A10AE" w:rsidRDefault="004A10AE" w:rsidP="007947DB">
      <w:pPr>
        <w:spacing w:after="0" w:line="240" w:lineRule="auto"/>
        <w:jc w:val="left"/>
        <w:rPr>
          <w:rFonts w:ascii="Times New Roman" w:eastAsia="Malgun Gothic" w:hAnsi="Times New Roman" w:cs="Times New Roman"/>
          <w:color w:val="000000"/>
          <w:sz w:val="24"/>
          <w:szCs w:val="24"/>
        </w:rPr>
      </w:pPr>
    </w:p>
    <w:p w14:paraId="6E4F1332" w14:textId="77777777" w:rsidR="004A10AE" w:rsidRDefault="004A10AE" w:rsidP="007947DB">
      <w:pPr>
        <w:spacing w:after="0" w:line="240" w:lineRule="auto"/>
        <w:jc w:val="left"/>
        <w:rPr>
          <w:rFonts w:ascii="Times New Roman" w:eastAsia="Malgun Gothic" w:hAnsi="Times New Roman" w:cs="Times New Roman"/>
          <w:color w:val="000000"/>
          <w:sz w:val="24"/>
          <w:szCs w:val="24"/>
        </w:rPr>
      </w:pPr>
      <w:r w:rsidRPr="0025669D">
        <w:rPr>
          <w:rFonts w:ascii="Times New Roman" w:eastAsia="Malgun Gothic" w:hAnsi="Times New Roman" w:cs="Times New Roman"/>
          <w:color w:val="000000"/>
          <w:sz w:val="24"/>
          <w:szCs w:val="24"/>
        </w:rPr>
        <w:t xml:space="preserve">It is uncertain whether the occurrence of the HSTCL is related to </w:t>
      </w:r>
      <w:r>
        <w:rPr>
          <w:rFonts w:ascii="Times New Roman" w:eastAsia="Malgun Gothic" w:hAnsi="Times New Roman" w:cs="Times New Roman" w:hint="eastAsia"/>
          <w:color w:val="000000"/>
          <w:sz w:val="24"/>
          <w:szCs w:val="24"/>
        </w:rPr>
        <w:t>i</w:t>
      </w:r>
      <w:r w:rsidRPr="0025669D">
        <w:rPr>
          <w:rFonts w:ascii="Times New Roman" w:eastAsia="Malgun Gothic" w:hAnsi="Times New Roman" w:cs="Times New Roman"/>
          <w:color w:val="000000"/>
          <w:sz w:val="24"/>
          <w:szCs w:val="24"/>
        </w:rPr>
        <w:t xml:space="preserve">nfliximab or </w:t>
      </w:r>
      <w:r>
        <w:rPr>
          <w:rFonts w:ascii="Times New Roman" w:eastAsia="Malgun Gothic" w:hAnsi="Times New Roman" w:cs="Times New Roman" w:hint="eastAsia"/>
          <w:color w:val="000000"/>
          <w:sz w:val="24"/>
          <w:szCs w:val="24"/>
        </w:rPr>
        <w:t>i</w:t>
      </w:r>
      <w:r w:rsidRPr="0025669D">
        <w:rPr>
          <w:rFonts w:ascii="Times New Roman" w:eastAsia="Malgun Gothic" w:hAnsi="Times New Roman" w:cs="Times New Roman"/>
          <w:color w:val="000000"/>
          <w:sz w:val="24"/>
          <w:szCs w:val="24"/>
        </w:rPr>
        <w:t xml:space="preserve">nfliximab in combination with these other </w:t>
      </w:r>
      <w:proofErr w:type="spellStart"/>
      <w:r w:rsidRPr="0025669D">
        <w:rPr>
          <w:rFonts w:ascii="Times New Roman" w:eastAsia="Malgun Gothic" w:hAnsi="Times New Roman" w:cs="Times New Roman"/>
          <w:color w:val="000000"/>
          <w:sz w:val="24"/>
          <w:szCs w:val="24"/>
        </w:rPr>
        <w:t>immunosuppressants</w:t>
      </w:r>
      <w:proofErr w:type="spellEnd"/>
      <w:r w:rsidRPr="0025669D">
        <w:rPr>
          <w:rFonts w:ascii="Times New Roman" w:eastAsia="Malgun Gothic" w:hAnsi="Times New Roman" w:cs="Times New Roman"/>
          <w:color w:val="000000"/>
          <w:sz w:val="24"/>
          <w:szCs w:val="24"/>
        </w:rPr>
        <w:t xml:space="preserve">. When treating patients with inflammatory bowel disease, particularly in adolescents and young adults, consideration of whether to use </w:t>
      </w:r>
      <w:r w:rsidRPr="0025669D">
        <w:rPr>
          <w:rFonts w:ascii="Times New Roman" w:eastAsia="Malgun Gothic" w:hAnsi="Times New Roman" w:cs="Times New Roman"/>
          <w:sz w:val="24"/>
          <w:szCs w:val="24"/>
        </w:rPr>
        <w:t>infliximab</w:t>
      </w:r>
      <w:r w:rsidRPr="0025669D">
        <w:rPr>
          <w:rFonts w:ascii="Times New Roman" w:eastAsia="Malgun Gothic" w:hAnsi="Times New Roman" w:cs="Times New Roman"/>
          <w:color w:val="000000"/>
          <w:sz w:val="24"/>
          <w:szCs w:val="24"/>
        </w:rPr>
        <w:t xml:space="preserve"> alone or in combination with other </w:t>
      </w:r>
      <w:proofErr w:type="spellStart"/>
      <w:r w:rsidRPr="0025669D">
        <w:rPr>
          <w:rFonts w:ascii="Times New Roman" w:eastAsia="Malgun Gothic" w:hAnsi="Times New Roman" w:cs="Times New Roman"/>
          <w:color w:val="000000"/>
          <w:sz w:val="24"/>
          <w:szCs w:val="24"/>
        </w:rPr>
        <w:t>immunosuppressants</w:t>
      </w:r>
      <w:proofErr w:type="spellEnd"/>
      <w:r w:rsidRPr="0025669D">
        <w:rPr>
          <w:rFonts w:ascii="Times New Roman" w:eastAsia="Malgun Gothic" w:hAnsi="Times New Roman" w:cs="Times New Roman"/>
          <w:color w:val="000000"/>
          <w:sz w:val="24"/>
          <w:szCs w:val="24"/>
        </w:rPr>
        <w:t xml:space="preserve"> should take into account a possibility that there is a higher risk of HSTCL with combination therapy versus an observed increased risk of immunogenicity and hypersensitivity reactions with </w:t>
      </w:r>
      <w:r>
        <w:rPr>
          <w:rFonts w:ascii="Times New Roman" w:eastAsia="Malgun Gothic" w:hAnsi="Times New Roman" w:cs="Times New Roman" w:hint="eastAsia"/>
          <w:color w:val="000000"/>
          <w:sz w:val="24"/>
          <w:szCs w:val="24"/>
        </w:rPr>
        <w:t>i</w:t>
      </w:r>
      <w:r w:rsidRPr="0025669D">
        <w:rPr>
          <w:rFonts w:ascii="Times New Roman" w:eastAsia="Malgun Gothic" w:hAnsi="Times New Roman" w:cs="Times New Roman"/>
          <w:color w:val="000000"/>
          <w:sz w:val="24"/>
          <w:szCs w:val="24"/>
        </w:rPr>
        <w:t xml:space="preserve">nfliximab monotherapy from the clinical trial data. </w:t>
      </w:r>
    </w:p>
    <w:p w14:paraId="2292049C" w14:textId="77777777" w:rsidR="004A10AE" w:rsidRPr="00681BCE" w:rsidRDefault="004A10AE" w:rsidP="007947DB">
      <w:pPr>
        <w:pStyle w:val="Heading2"/>
        <w:tabs>
          <w:tab w:val="num" w:pos="1418"/>
        </w:tabs>
        <w:spacing w:after="0"/>
        <w:ind w:left="1702" w:hangingChars="709" w:hanging="1702"/>
        <w:rPr>
          <w:rFonts w:eastAsia="Malgun Gothic" w:cs="Times New Roman"/>
          <w:b w:val="0"/>
          <w:szCs w:val="24"/>
          <w:u w:val="single"/>
          <w:lang w:eastAsia="ko-KR"/>
        </w:rPr>
      </w:pPr>
      <w:r w:rsidRPr="00681BCE">
        <w:rPr>
          <w:rFonts w:eastAsia="Malgun Gothic" w:cs="Times New Roman"/>
          <w:b w:val="0"/>
          <w:szCs w:val="24"/>
          <w:u w:val="single"/>
          <w:lang w:eastAsia="ko-KR"/>
        </w:rPr>
        <w:t>Leukaemia</w:t>
      </w:r>
    </w:p>
    <w:p w14:paraId="56C79A81" w14:textId="77777777" w:rsidR="004A10AE" w:rsidRDefault="004A10AE" w:rsidP="007947DB">
      <w:pPr>
        <w:spacing w:after="0" w:line="240" w:lineRule="auto"/>
        <w:jc w:val="left"/>
        <w:rPr>
          <w:rFonts w:ascii="Times New Roman" w:eastAsia="Malgun Gothic" w:hAnsi="Times New Roman" w:cs="Times New Roman"/>
          <w:color w:val="000000"/>
          <w:sz w:val="24"/>
          <w:szCs w:val="24"/>
        </w:rPr>
      </w:pPr>
      <w:r w:rsidRPr="0025669D">
        <w:rPr>
          <w:rFonts w:ascii="Times New Roman" w:eastAsia="Malgun Gothic" w:hAnsi="Times New Roman" w:cs="Times New Roman"/>
          <w:color w:val="000000"/>
          <w:sz w:val="24"/>
          <w:szCs w:val="24"/>
        </w:rPr>
        <w:t xml:space="preserve">Cases of acute and chronic </w:t>
      </w:r>
      <w:proofErr w:type="spellStart"/>
      <w:r w:rsidRPr="0025669D">
        <w:rPr>
          <w:rFonts w:ascii="Times New Roman" w:eastAsia="Malgun Gothic" w:hAnsi="Times New Roman" w:cs="Times New Roman"/>
          <w:color w:val="000000"/>
          <w:sz w:val="24"/>
          <w:szCs w:val="24"/>
        </w:rPr>
        <w:t>leukaemia</w:t>
      </w:r>
      <w:proofErr w:type="spellEnd"/>
      <w:r w:rsidRPr="0025669D">
        <w:rPr>
          <w:rFonts w:ascii="Times New Roman" w:eastAsia="Malgun Gothic" w:hAnsi="Times New Roman" w:cs="Times New Roman"/>
          <w:color w:val="000000"/>
          <w:sz w:val="24"/>
          <w:szCs w:val="24"/>
        </w:rPr>
        <w:t xml:space="preserve"> have been reported with post-marketing TNF-blocker use in rheumatoid arthritis and other indications. Even in the absence of TNF blocker therapy, patients with rheumatoid arthritis may be at a higher risk (approximately 2-fold) than the general population for the development of </w:t>
      </w:r>
      <w:proofErr w:type="spellStart"/>
      <w:r w:rsidRPr="0025669D">
        <w:rPr>
          <w:rFonts w:ascii="Times New Roman" w:eastAsia="Malgun Gothic" w:hAnsi="Times New Roman" w:cs="Times New Roman"/>
          <w:color w:val="000000"/>
          <w:sz w:val="24"/>
          <w:szCs w:val="24"/>
        </w:rPr>
        <w:t>leukaemia</w:t>
      </w:r>
      <w:proofErr w:type="spellEnd"/>
      <w:r w:rsidRPr="0025669D">
        <w:rPr>
          <w:rFonts w:ascii="Times New Roman" w:eastAsia="Malgun Gothic" w:hAnsi="Times New Roman" w:cs="Times New Roman"/>
          <w:color w:val="000000"/>
          <w:sz w:val="24"/>
          <w:szCs w:val="24"/>
        </w:rPr>
        <w:t xml:space="preserve">. </w:t>
      </w:r>
    </w:p>
    <w:p w14:paraId="23BFD7ED" w14:textId="77777777" w:rsidR="004A10AE" w:rsidRPr="00681BCE" w:rsidRDefault="004A10AE" w:rsidP="007947DB">
      <w:pPr>
        <w:pStyle w:val="Heading2"/>
        <w:tabs>
          <w:tab w:val="num" w:pos="1418"/>
        </w:tabs>
        <w:spacing w:after="0"/>
        <w:ind w:left="1702" w:hangingChars="709" w:hanging="1702"/>
        <w:rPr>
          <w:rFonts w:eastAsia="Malgun Gothic" w:cs="Times New Roman"/>
          <w:b w:val="0"/>
          <w:szCs w:val="24"/>
          <w:u w:val="single"/>
          <w:lang w:eastAsia="ko-KR"/>
        </w:rPr>
      </w:pPr>
      <w:r w:rsidRPr="00681BCE">
        <w:rPr>
          <w:rFonts w:eastAsia="Malgun Gothic" w:cs="Times New Roman"/>
          <w:b w:val="0"/>
          <w:szCs w:val="24"/>
          <w:u w:val="single"/>
          <w:lang w:eastAsia="ko-KR"/>
        </w:rPr>
        <w:t>Colon Carcinoma/Dysplasia</w:t>
      </w:r>
    </w:p>
    <w:p w14:paraId="11CB5606" w14:textId="77777777" w:rsidR="004A10AE" w:rsidRDefault="004A10AE" w:rsidP="007947DB">
      <w:pPr>
        <w:spacing w:after="0" w:line="240" w:lineRule="auto"/>
        <w:jc w:val="left"/>
        <w:rPr>
          <w:rFonts w:ascii="Times New Roman" w:eastAsia="Malgun Gothic" w:hAnsi="Times New Roman" w:cs="Times New Roman"/>
          <w:color w:val="000000"/>
          <w:sz w:val="24"/>
          <w:szCs w:val="24"/>
        </w:rPr>
      </w:pPr>
      <w:r w:rsidRPr="0025669D">
        <w:rPr>
          <w:rFonts w:ascii="Times New Roman" w:eastAsia="Malgun Gothic" w:hAnsi="Times New Roman" w:cs="Times New Roman"/>
          <w:color w:val="000000"/>
          <w:sz w:val="24"/>
          <w:szCs w:val="24"/>
        </w:rPr>
        <w:t xml:space="preserve">All patients with ulcerative colitis who are at increased risk for dysplasia or colon carcinoma (for example, patients with long-standing ulcerative colitis or primary </w:t>
      </w:r>
      <w:proofErr w:type="spellStart"/>
      <w:r w:rsidRPr="0025669D">
        <w:rPr>
          <w:rFonts w:ascii="Times New Roman" w:eastAsia="Malgun Gothic" w:hAnsi="Times New Roman" w:cs="Times New Roman"/>
          <w:color w:val="000000"/>
          <w:sz w:val="24"/>
          <w:szCs w:val="24"/>
        </w:rPr>
        <w:t>sclerosing</w:t>
      </w:r>
      <w:proofErr w:type="spellEnd"/>
      <w:r w:rsidRPr="0025669D">
        <w:rPr>
          <w:rFonts w:ascii="Times New Roman" w:eastAsia="Malgun Gothic" w:hAnsi="Times New Roman" w:cs="Times New Roman"/>
          <w:color w:val="000000"/>
          <w:sz w:val="24"/>
          <w:szCs w:val="24"/>
        </w:rPr>
        <w:t xml:space="preserve"> cholangitis), or who had a prior history of dysplasia or colon carcinoma should be screened for dysplasia at regular intervals before therapy and throughout their disease course. This evaluation should include colonoscopy and biopsies per local recommendations. With current data it is not known if </w:t>
      </w:r>
      <w:r w:rsidRPr="0025669D">
        <w:rPr>
          <w:rFonts w:ascii="Times New Roman" w:eastAsia="Malgun Gothic" w:hAnsi="Times New Roman" w:cs="Times New Roman"/>
          <w:sz w:val="24"/>
          <w:szCs w:val="24"/>
        </w:rPr>
        <w:t>infliximab</w:t>
      </w:r>
      <w:r w:rsidRPr="0025669D">
        <w:rPr>
          <w:rFonts w:ascii="Times New Roman" w:eastAsia="Malgun Gothic" w:hAnsi="Times New Roman" w:cs="Times New Roman"/>
          <w:color w:val="000000"/>
          <w:sz w:val="24"/>
          <w:szCs w:val="24"/>
        </w:rPr>
        <w:t xml:space="preserve"> treatment influences the risk for developing dysplasia or colon cancer (see ADVERSE EFFECTS section). </w:t>
      </w:r>
    </w:p>
    <w:p w14:paraId="40AFDD20" w14:textId="77777777" w:rsidR="004A10AE" w:rsidRPr="0025669D" w:rsidRDefault="004A10AE" w:rsidP="007947DB">
      <w:pPr>
        <w:spacing w:after="0" w:line="240" w:lineRule="auto"/>
        <w:jc w:val="left"/>
        <w:rPr>
          <w:rFonts w:ascii="Times New Roman" w:eastAsia="Malgun Gothic" w:hAnsi="Times New Roman" w:cs="Times New Roman"/>
          <w:color w:val="000000"/>
          <w:sz w:val="24"/>
          <w:szCs w:val="24"/>
        </w:rPr>
      </w:pPr>
    </w:p>
    <w:p w14:paraId="35C2F043" w14:textId="77777777" w:rsidR="004A10AE" w:rsidRPr="0025669D" w:rsidRDefault="004A10AE" w:rsidP="007947DB">
      <w:pPr>
        <w:spacing w:line="240" w:lineRule="auto"/>
        <w:jc w:val="left"/>
        <w:rPr>
          <w:rFonts w:ascii="Times New Roman" w:eastAsia="Malgun Gothic" w:hAnsi="Times New Roman" w:cs="Times New Roman"/>
          <w:color w:val="000000"/>
          <w:sz w:val="24"/>
          <w:szCs w:val="24"/>
        </w:rPr>
      </w:pPr>
      <w:r w:rsidRPr="0025669D">
        <w:rPr>
          <w:rFonts w:ascii="Times New Roman" w:eastAsia="Malgun Gothic" w:hAnsi="Times New Roman" w:cs="Times New Roman"/>
          <w:color w:val="000000"/>
          <w:sz w:val="24"/>
          <w:szCs w:val="24"/>
        </w:rPr>
        <w:t xml:space="preserve">Since the possibility of increased risk of cancer development in patients with newly diagnosed dysplasia treated with </w:t>
      </w:r>
      <w:r w:rsidRPr="0025669D">
        <w:rPr>
          <w:rFonts w:ascii="Times New Roman" w:eastAsia="Malgun Gothic" w:hAnsi="Times New Roman" w:cs="Times New Roman"/>
          <w:sz w:val="24"/>
          <w:szCs w:val="24"/>
        </w:rPr>
        <w:t>infliximab</w:t>
      </w:r>
      <w:r w:rsidRPr="0025669D">
        <w:rPr>
          <w:rFonts w:ascii="Times New Roman" w:eastAsia="Malgun Gothic" w:hAnsi="Times New Roman" w:cs="Times New Roman"/>
          <w:color w:val="000000"/>
          <w:sz w:val="24"/>
          <w:szCs w:val="24"/>
        </w:rPr>
        <w:t xml:space="preserve"> is not established, the risk and benefits to the individual patients must be carefully reviewed and consideration should be given to discontinuation of therapy. </w:t>
      </w:r>
    </w:p>
    <w:p w14:paraId="128819CD" w14:textId="77777777" w:rsidR="004A10AE" w:rsidRPr="00681BCE" w:rsidRDefault="004A10AE" w:rsidP="007947DB">
      <w:pPr>
        <w:pStyle w:val="Heading2"/>
        <w:tabs>
          <w:tab w:val="num" w:pos="1418"/>
        </w:tabs>
        <w:spacing w:after="0"/>
        <w:ind w:left="1702" w:hangingChars="709" w:hanging="1702"/>
        <w:rPr>
          <w:rFonts w:eastAsia="Malgun Gothic" w:cs="Times New Roman"/>
          <w:b w:val="0"/>
          <w:szCs w:val="24"/>
          <w:u w:val="single"/>
          <w:lang w:eastAsia="ko-KR"/>
        </w:rPr>
      </w:pPr>
      <w:r w:rsidRPr="00681BCE">
        <w:rPr>
          <w:rFonts w:eastAsia="Malgun Gothic" w:cs="Times New Roman"/>
          <w:b w:val="0"/>
          <w:szCs w:val="24"/>
          <w:u w:val="single"/>
          <w:lang w:eastAsia="ko-KR"/>
        </w:rPr>
        <w:t>Skin cancers</w:t>
      </w:r>
    </w:p>
    <w:p w14:paraId="0A5290B0" w14:textId="77777777" w:rsidR="004A10AE" w:rsidRPr="00756F99" w:rsidRDefault="004A10AE" w:rsidP="007947DB">
      <w:pPr>
        <w:spacing w:after="0" w:line="240" w:lineRule="auto"/>
        <w:jc w:val="left"/>
        <w:rPr>
          <w:rFonts w:ascii="Times New Roman" w:eastAsia="Malgun Gothic" w:hAnsi="Times New Roman" w:cs="Times New Roman"/>
          <w:color w:val="000000"/>
          <w:sz w:val="24"/>
          <w:szCs w:val="24"/>
        </w:rPr>
      </w:pPr>
      <w:r w:rsidRPr="00756F99">
        <w:rPr>
          <w:rFonts w:ascii="Times New Roman" w:eastAsia="Malgun Gothic" w:hAnsi="Times New Roman" w:cs="Times New Roman"/>
          <w:color w:val="000000"/>
          <w:sz w:val="24"/>
          <w:szCs w:val="24"/>
        </w:rPr>
        <w:t xml:space="preserve">Melanoma and Merkel cell carcinoma have been reported in patients treated with TNF blocker therapy, including </w:t>
      </w:r>
      <w:r>
        <w:rPr>
          <w:rFonts w:ascii="Times New Roman" w:eastAsia="Malgun Gothic" w:hAnsi="Times New Roman" w:cs="Times New Roman" w:hint="eastAsia"/>
          <w:color w:val="000000"/>
          <w:sz w:val="24"/>
          <w:szCs w:val="24"/>
        </w:rPr>
        <w:t>infliximab</w:t>
      </w:r>
      <w:r w:rsidRPr="00756F99">
        <w:rPr>
          <w:rFonts w:ascii="Times New Roman" w:eastAsia="Malgun Gothic" w:hAnsi="Times New Roman" w:cs="Times New Roman"/>
          <w:color w:val="000000"/>
          <w:sz w:val="24"/>
          <w:szCs w:val="24"/>
        </w:rPr>
        <w:t xml:space="preserve"> (see ADVERSE EFFECTS). Periodic skin examination is recommended for all patients, particularly those with risk factors for skin cancer. </w:t>
      </w:r>
    </w:p>
    <w:p w14:paraId="1C8560CB" w14:textId="77777777" w:rsidR="004A10AE" w:rsidRDefault="004A10AE" w:rsidP="007947DB">
      <w:pPr>
        <w:spacing w:after="0" w:line="240" w:lineRule="auto"/>
        <w:jc w:val="left"/>
        <w:rPr>
          <w:rFonts w:ascii="Times New Roman" w:eastAsia="Malgun Gothic" w:hAnsi="Times New Roman" w:cs="Times New Roman"/>
          <w:color w:val="000000"/>
          <w:sz w:val="24"/>
          <w:szCs w:val="24"/>
        </w:rPr>
      </w:pPr>
    </w:p>
    <w:p w14:paraId="2D6DB87D" w14:textId="6AAB29B9" w:rsidR="005F3A08" w:rsidRDefault="004A10AE" w:rsidP="007947DB">
      <w:pPr>
        <w:spacing w:after="0" w:line="240" w:lineRule="auto"/>
        <w:jc w:val="left"/>
        <w:rPr>
          <w:rFonts w:ascii="Times New Roman" w:eastAsia="Malgun Gothic" w:hAnsi="Times New Roman" w:cs="Times New Roman"/>
          <w:color w:val="000000"/>
          <w:sz w:val="24"/>
          <w:szCs w:val="24"/>
        </w:rPr>
      </w:pPr>
      <w:r w:rsidRPr="00756F99">
        <w:rPr>
          <w:rFonts w:ascii="Times New Roman" w:eastAsia="Malgun Gothic" w:hAnsi="Times New Roman" w:cs="Times New Roman"/>
          <w:color w:val="000000"/>
          <w:sz w:val="24"/>
          <w:szCs w:val="24"/>
        </w:rPr>
        <w:t>Psoriasis patients should be monitored for non-melanoma skin cancers (NMSCs), particularly those patients who have had prior prolonged phototherapy treatment.</w:t>
      </w:r>
    </w:p>
    <w:p w14:paraId="42CB93D5" w14:textId="77777777" w:rsidR="005F3A08" w:rsidRPr="005F3A08" w:rsidRDefault="005F3A08" w:rsidP="005F3A08">
      <w:pPr>
        <w:pStyle w:val="Heading2"/>
        <w:tabs>
          <w:tab w:val="num" w:pos="1418"/>
        </w:tabs>
        <w:spacing w:after="0"/>
        <w:ind w:left="1702" w:hangingChars="709" w:hanging="1702"/>
        <w:rPr>
          <w:rFonts w:eastAsia="Malgun Gothic" w:cs="Times New Roman"/>
          <w:b w:val="0"/>
          <w:szCs w:val="24"/>
          <w:u w:val="single"/>
          <w:lang w:eastAsia="ko-KR"/>
        </w:rPr>
      </w:pPr>
      <w:r w:rsidRPr="005F3A08">
        <w:rPr>
          <w:rFonts w:eastAsia="Malgun Gothic" w:cs="Times New Roman"/>
          <w:b w:val="0"/>
          <w:szCs w:val="24"/>
          <w:u w:val="single"/>
          <w:lang w:eastAsia="ko-KR"/>
        </w:rPr>
        <w:t>Cervical Cancer</w:t>
      </w:r>
    </w:p>
    <w:p w14:paraId="654B709E" w14:textId="0A83A77F" w:rsidR="005F3A08" w:rsidRPr="00756F99" w:rsidRDefault="005F3A08" w:rsidP="005F3A08">
      <w:pPr>
        <w:spacing w:after="0" w:line="240" w:lineRule="auto"/>
        <w:jc w:val="left"/>
        <w:rPr>
          <w:rFonts w:ascii="Times New Roman" w:eastAsia="Malgun Gothic" w:hAnsi="Times New Roman" w:cs="Times New Roman"/>
          <w:color w:val="000000"/>
          <w:sz w:val="24"/>
          <w:szCs w:val="24"/>
        </w:rPr>
      </w:pPr>
      <w:r w:rsidRPr="005F3A08">
        <w:rPr>
          <w:rFonts w:ascii="Times New Roman" w:eastAsia="Malgun Gothic" w:hAnsi="Times New Roman" w:cs="Times New Roman"/>
          <w:color w:val="000000"/>
          <w:sz w:val="24"/>
          <w:szCs w:val="24"/>
        </w:rPr>
        <w:t xml:space="preserve">A population-based retrospective cohort study using data from Swedish national health registries found an increased incidence of cervical cancer in women with rheumatoid arthritis </w:t>
      </w:r>
      <w:r w:rsidRPr="005F3A08">
        <w:rPr>
          <w:rFonts w:ascii="Times New Roman" w:eastAsia="Malgun Gothic" w:hAnsi="Times New Roman" w:cs="Times New Roman"/>
          <w:color w:val="000000"/>
          <w:sz w:val="24"/>
          <w:szCs w:val="24"/>
        </w:rPr>
        <w:lastRenderedPageBreak/>
        <w:t>treated with infliximab compared to biologics-naïve patients or the general population, including those over 60 years of age. A causal relationship between infliximab and cervical cancer cannot be excluded. Periodic screening should continue in women treated with RE</w:t>
      </w:r>
      <w:r w:rsidR="00EE71B0">
        <w:rPr>
          <w:rFonts w:ascii="Times New Roman" w:eastAsia="Malgun Gothic" w:hAnsi="Times New Roman" w:cs="Times New Roman" w:hint="eastAsia"/>
          <w:color w:val="000000"/>
          <w:sz w:val="24"/>
          <w:szCs w:val="24"/>
        </w:rPr>
        <w:t>NFLEXIS</w:t>
      </w:r>
      <w:r w:rsidRPr="005F3A08">
        <w:rPr>
          <w:rFonts w:ascii="Times New Roman" w:eastAsia="Malgun Gothic" w:hAnsi="Times New Roman" w:cs="Times New Roman"/>
          <w:color w:val="000000"/>
          <w:sz w:val="24"/>
          <w:szCs w:val="24"/>
        </w:rPr>
        <w:t>, including those over 60 years of age.</w:t>
      </w:r>
    </w:p>
    <w:p w14:paraId="5F6A62ED" w14:textId="77777777" w:rsidR="004A10AE" w:rsidRPr="0035249D" w:rsidRDefault="004A10AE" w:rsidP="007947DB">
      <w:pPr>
        <w:pStyle w:val="Heading2"/>
        <w:tabs>
          <w:tab w:val="num" w:pos="1418"/>
        </w:tabs>
        <w:spacing w:after="0"/>
        <w:ind w:left="1702" w:hangingChars="709" w:hanging="1702"/>
        <w:rPr>
          <w:rFonts w:eastAsia="Malgun Gothic" w:cs="Times New Roman"/>
          <w:b w:val="0"/>
          <w:szCs w:val="24"/>
          <w:u w:val="single"/>
          <w:lang w:eastAsia="ko-KR"/>
        </w:rPr>
      </w:pPr>
      <w:r>
        <w:rPr>
          <w:rFonts w:eastAsia="Malgun Gothic" w:cs="Times New Roman"/>
          <w:b w:val="0"/>
          <w:szCs w:val="24"/>
          <w:u w:val="single"/>
          <w:lang w:eastAsia="ko-KR"/>
        </w:rPr>
        <w:t>Auto-immune processes</w:t>
      </w:r>
    </w:p>
    <w:p w14:paraId="0F620594" w14:textId="77777777" w:rsidR="004A10AE" w:rsidRDefault="004A10AE" w:rsidP="007947DB">
      <w:pPr>
        <w:spacing w:after="0" w:line="240" w:lineRule="auto"/>
        <w:jc w:val="left"/>
        <w:rPr>
          <w:rFonts w:ascii="Times New Roman" w:eastAsia="Malgun Gothic" w:hAnsi="Times New Roman" w:cs="Times New Roman"/>
          <w:color w:val="000000"/>
          <w:sz w:val="24"/>
          <w:szCs w:val="24"/>
        </w:rPr>
      </w:pPr>
      <w:r w:rsidRPr="0025669D">
        <w:rPr>
          <w:rFonts w:ascii="Times New Roman" w:eastAsia="Malgun Gothic" w:hAnsi="Times New Roman" w:cs="Times New Roman"/>
          <w:color w:val="000000"/>
          <w:sz w:val="24"/>
          <w:szCs w:val="24"/>
        </w:rPr>
        <w:t xml:space="preserve">The relative deficiency of </w:t>
      </w:r>
      <w:r>
        <w:rPr>
          <w:rFonts w:ascii="Times New Roman" w:eastAsia="Malgun Gothic" w:hAnsi="Times New Roman" w:cs="Times New Roman"/>
          <w:color w:val="000000"/>
          <w:sz w:val="24"/>
          <w:szCs w:val="24"/>
        </w:rPr>
        <w:t xml:space="preserve">TNFα </w:t>
      </w:r>
      <w:r w:rsidRPr="0025669D">
        <w:rPr>
          <w:rFonts w:ascii="Times New Roman" w:eastAsia="Malgun Gothic" w:hAnsi="Times New Roman" w:cs="Times New Roman"/>
          <w:color w:val="000000"/>
          <w:sz w:val="24"/>
          <w:szCs w:val="24"/>
        </w:rPr>
        <w:t xml:space="preserve">caused by anti-TNF therapy may result in the initiation of an autoimmune process in a subgroup of genetically susceptible patients. If drug-induced lupus is suspected, patients being treated with </w:t>
      </w:r>
      <w:r w:rsidRPr="0025669D">
        <w:rPr>
          <w:rFonts w:ascii="Times New Roman" w:eastAsia="Malgun Gothic" w:hAnsi="Times New Roman" w:cs="Times New Roman"/>
          <w:sz w:val="24"/>
          <w:szCs w:val="24"/>
        </w:rPr>
        <w:t>infliximab</w:t>
      </w:r>
      <w:r w:rsidRPr="0025669D">
        <w:rPr>
          <w:rFonts w:ascii="Times New Roman" w:eastAsia="Malgun Gothic" w:hAnsi="Times New Roman" w:cs="Times New Roman"/>
          <w:color w:val="000000"/>
          <w:sz w:val="24"/>
          <w:szCs w:val="24"/>
        </w:rPr>
        <w:t xml:space="preserve"> should have regular measurements of </w:t>
      </w:r>
      <w:proofErr w:type="gramStart"/>
      <w:r w:rsidRPr="0025669D">
        <w:rPr>
          <w:rFonts w:ascii="Times New Roman" w:eastAsia="Malgun Gothic" w:hAnsi="Times New Roman" w:cs="Times New Roman"/>
          <w:color w:val="000000"/>
          <w:sz w:val="24"/>
          <w:szCs w:val="24"/>
        </w:rPr>
        <w:t>Antinuclear</w:t>
      </w:r>
      <w:proofErr w:type="gramEnd"/>
      <w:r w:rsidRPr="0025669D">
        <w:rPr>
          <w:rFonts w:ascii="Times New Roman" w:eastAsia="Malgun Gothic" w:hAnsi="Times New Roman" w:cs="Times New Roman"/>
          <w:color w:val="000000"/>
          <w:sz w:val="24"/>
          <w:szCs w:val="24"/>
        </w:rPr>
        <w:t xml:space="preserve"> antibodies (ANA) and double-stranded DNA (dsDNA) antibodies. If a patient develops symptoms suggestive of a lupus-like syndrome following treatment with </w:t>
      </w:r>
      <w:r w:rsidRPr="0025669D">
        <w:rPr>
          <w:rFonts w:ascii="Times New Roman" w:eastAsia="Malgun Gothic" w:hAnsi="Times New Roman" w:cs="Times New Roman"/>
          <w:sz w:val="24"/>
          <w:szCs w:val="24"/>
        </w:rPr>
        <w:t>infliximab</w:t>
      </w:r>
      <w:r w:rsidRPr="0025669D">
        <w:rPr>
          <w:rFonts w:ascii="Times New Roman" w:eastAsia="Malgun Gothic" w:hAnsi="Times New Roman" w:cs="Times New Roman"/>
          <w:color w:val="000000"/>
          <w:sz w:val="24"/>
          <w:szCs w:val="24"/>
        </w:rPr>
        <w:t xml:space="preserve"> and is positive for antibodies against double-stranded DNA, treatment should be discontinued (see ADVERSE EFFECTS). </w:t>
      </w:r>
    </w:p>
    <w:p w14:paraId="3E7CAC53" w14:textId="1392176E" w:rsidR="004A10AE" w:rsidRDefault="004A10AE" w:rsidP="007947DB">
      <w:pPr>
        <w:spacing w:after="0" w:line="240" w:lineRule="auto"/>
        <w:jc w:val="left"/>
        <w:rPr>
          <w:rFonts w:ascii="Times New Roman" w:eastAsia="Malgun Gothic" w:hAnsi="Times New Roman" w:cs="Times New Roman"/>
          <w:color w:val="000000"/>
          <w:sz w:val="24"/>
          <w:szCs w:val="24"/>
        </w:rPr>
      </w:pPr>
    </w:p>
    <w:p w14:paraId="66998291" w14:textId="77777777" w:rsidR="00E75073" w:rsidRDefault="00E75073" w:rsidP="007947DB">
      <w:pPr>
        <w:spacing w:after="0" w:line="240" w:lineRule="auto"/>
        <w:jc w:val="left"/>
        <w:rPr>
          <w:rFonts w:ascii="Times New Roman" w:eastAsia="Malgun Gothic" w:hAnsi="Times New Roman" w:cs="Times New Roman"/>
          <w:color w:val="000000"/>
          <w:sz w:val="24"/>
          <w:szCs w:val="24"/>
        </w:rPr>
      </w:pPr>
    </w:p>
    <w:p w14:paraId="4FEBB069" w14:textId="77777777" w:rsidR="004A10AE" w:rsidRPr="0025669D" w:rsidRDefault="004A10AE" w:rsidP="007947DB">
      <w:pPr>
        <w:spacing w:line="240" w:lineRule="auto"/>
        <w:jc w:val="left"/>
        <w:rPr>
          <w:rFonts w:ascii="Times New Roman" w:eastAsia="Malgun Gothic" w:hAnsi="Times New Roman" w:cs="Times New Roman"/>
          <w:color w:val="000000"/>
          <w:sz w:val="24"/>
          <w:szCs w:val="24"/>
        </w:rPr>
      </w:pPr>
      <w:r w:rsidRPr="0025669D">
        <w:rPr>
          <w:rFonts w:ascii="Times New Roman" w:eastAsia="Malgun Gothic" w:hAnsi="Times New Roman" w:cs="Times New Roman"/>
          <w:color w:val="000000"/>
          <w:sz w:val="24"/>
          <w:szCs w:val="24"/>
        </w:rPr>
        <w:t>Studies have not been performed to assess the effects of infliximab on the healing of the internal fistula canal, on closure of non-</w:t>
      </w:r>
      <w:proofErr w:type="spellStart"/>
      <w:r w:rsidRPr="0025669D">
        <w:rPr>
          <w:rFonts w:ascii="Times New Roman" w:eastAsia="Malgun Gothic" w:hAnsi="Times New Roman" w:cs="Times New Roman"/>
          <w:color w:val="000000"/>
          <w:sz w:val="24"/>
          <w:szCs w:val="24"/>
        </w:rPr>
        <w:t>cutaneously</w:t>
      </w:r>
      <w:proofErr w:type="spellEnd"/>
      <w:r w:rsidRPr="0025669D">
        <w:rPr>
          <w:rFonts w:ascii="Times New Roman" w:eastAsia="Malgun Gothic" w:hAnsi="Times New Roman" w:cs="Times New Roman"/>
          <w:color w:val="000000"/>
          <w:sz w:val="24"/>
          <w:szCs w:val="24"/>
        </w:rPr>
        <w:t xml:space="preserve"> draining fistulas (e.g. </w:t>
      </w:r>
      <w:proofErr w:type="spellStart"/>
      <w:r w:rsidRPr="0025669D">
        <w:rPr>
          <w:rFonts w:ascii="Times New Roman" w:eastAsia="Malgun Gothic" w:hAnsi="Times New Roman" w:cs="Times New Roman"/>
          <w:color w:val="000000"/>
          <w:sz w:val="24"/>
          <w:szCs w:val="24"/>
        </w:rPr>
        <w:t>entero-entero</w:t>
      </w:r>
      <w:proofErr w:type="spellEnd"/>
      <w:r w:rsidRPr="0025669D">
        <w:rPr>
          <w:rFonts w:ascii="Times New Roman" w:eastAsia="Malgun Gothic" w:hAnsi="Times New Roman" w:cs="Times New Roman"/>
          <w:color w:val="000000"/>
          <w:sz w:val="24"/>
          <w:szCs w:val="24"/>
        </w:rPr>
        <w:t xml:space="preserve">) or on </w:t>
      </w:r>
      <w:proofErr w:type="spellStart"/>
      <w:r w:rsidRPr="0025669D">
        <w:rPr>
          <w:rFonts w:ascii="Times New Roman" w:eastAsia="Malgun Gothic" w:hAnsi="Times New Roman" w:cs="Times New Roman"/>
          <w:color w:val="000000"/>
          <w:sz w:val="24"/>
          <w:szCs w:val="24"/>
        </w:rPr>
        <w:t>cutaneously</w:t>
      </w:r>
      <w:proofErr w:type="spellEnd"/>
      <w:r w:rsidRPr="0025669D">
        <w:rPr>
          <w:rFonts w:ascii="Times New Roman" w:eastAsia="Malgun Gothic" w:hAnsi="Times New Roman" w:cs="Times New Roman"/>
          <w:color w:val="000000"/>
          <w:sz w:val="24"/>
          <w:szCs w:val="24"/>
        </w:rPr>
        <w:t xml:space="preserve"> draining fistulas in locations other than perianal and </w:t>
      </w:r>
      <w:proofErr w:type="spellStart"/>
      <w:r w:rsidRPr="0025669D">
        <w:rPr>
          <w:rFonts w:ascii="Times New Roman" w:eastAsia="Malgun Gothic" w:hAnsi="Times New Roman" w:cs="Times New Roman"/>
          <w:color w:val="000000"/>
          <w:sz w:val="24"/>
          <w:szCs w:val="24"/>
        </w:rPr>
        <w:t>periabdominal</w:t>
      </w:r>
      <w:proofErr w:type="spellEnd"/>
      <w:r w:rsidRPr="0025669D">
        <w:rPr>
          <w:rFonts w:ascii="Times New Roman" w:eastAsia="Malgun Gothic" w:hAnsi="Times New Roman" w:cs="Times New Roman"/>
          <w:color w:val="000000"/>
          <w:sz w:val="24"/>
          <w:szCs w:val="24"/>
        </w:rPr>
        <w:t xml:space="preserve">. </w:t>
      </w:r>
    </w:p>
    <w:p w14:paraId="1FDB9832" w14:textId="77777777" w:rsidR="004A10AE" w:rsidRPr="0035249D" w:rsidRDefault="004A10AE" w:rsidP="007947DB">
      <w:pPr>
        <w:pStyle w:val="Heading2"/>
        <w:tabs>
          <w:tab w:val="num" w:pos="1418"/>
        </w:tabs>
        <w:spacing w:after="0"/>
        <w:ind w:left="1702" w:hangingChars="709" w:hanging="1702"/>
        <w:rPr>
          <w:rFonts w:eastAsia="Malgun Gothic" w:cs="Times New Roman"/>
          <w:b w:val="0"/>
          <w:szCs w:val="24"/>
          <w:u w:val="single"/>
          <w:lang w:eastAsia="ko-KR"/>
        </w:rPr>
      </w:pPr>
      <w:r w:rsidRPr="0035249D">
        <w:rPr>
          <w:rFonts w:eastAsia="Malgun Gothic" w:cs="Times New Roman"/>
          <w:b w:val="0"/>
          <w:szCs w:val="24"/>
          <w:u w:val="single"/>
          <w:lang w:eastAsia="ko-KR"/>
        </w:rPr>
        <w:t xml:space="preserve">Risk of Infections </w:t>
      </w:r>
    </w:p>
    <w:p w14:paraId="466A66CB" w14:textId="77777777" w:rsidR="004A10AE" w:rsidRDefault="004A10AE" w:rsidP="007947DB">
      <w:pPr>
        <w:spacing w:after="0" w:line="240" w:lineRule="auto"/>
        <w:jc w:val="left"/>
        <w:rPr>
          <w:rFonts w:ascii="Times New Roman" w:eastAsia="Malgun Gothic" w:hAnsi="Times New Roman" w:cs="Times New Roman"/>
          <w:color w:val="000000"/>
          <w:sz w:val="24"/>
          <w:szCs w:val="24"/>
        </w:rPr>
      </w:pPr>
      <w:proofErr w:type="spellStart"/>
      <w:r w:rsidRPr="0025669D">
        <w:rPr>
          <w:rFonts w:ascii="Times New Roman" w:eastAsia="Malgun Gothic" w:hAnsi="Times New Roman" w:cs="Times New Roman"/>
          <w:color w:val="000000"/>
          <w:sz w:val="24"/>
          <w:szCs w:val="24"/>
        </w:rPr>
        <w:t>Tumour</w:t>
      </w:r>
      <w:proofErr w:type="spellEnd"/>
      <w:r w:rsidRPr="0025669D">
        <w:rPr>
          <w:rFonts w:ascii="Times New Roman" w:eastAsia="Malgun Gothic" w:hAnsi="Times New Roman" w:cs="Times New Roman"/>
          <w:color w:val="000000"/>
          <w:sz w:val="24"/>
          <w:szCs w:val="24"/>
        </w:rPr>
        <w:t xml:space="preserve"> necrosis factor alpha (</w:t>
      </w:r>
      <w:r>
        <w:rPr>
          <w:rFonts w:ascii="Times New Roman" w:eastAsia="Malgun Gothic" w:hAnsi="Times New Roman" w:cs="Times New Roman"/>
          <w:color w:val="000000"/>
          <w:sz w:val="24"/>
          <w:szCs w:val="24"/>
        </w:rPr>
        <w:t>TNF</w:t>
      </w:r>
      <w:r w:rsidRPr="0025669D">
        <w:rPr>
          <w:rFonts w:ascii="Times New Roman" w:eastAsia="Malgun Gothic" w:hAnsi="Times New Roman" w:cs="Times New Roman"/>
          <w:color w:val="000000"/>
          <w:sz w:val="24"/>
          <w:szCs w:val="24"/>
        </w:rPr>
        <w:t xml:space="preserve">α) mediates inflammation and modulates cellular immune response. Experimental data show that </w:t>
      </w:r>
      <w:r>
        <w:rPr>
          <w:rFonts w:ascii="Times New Roman" w:eastAsia="Malgun Gothic" w:hAnsi="Times New Roman" w:cs="Times New Roman"/>
          <w:color w:val="000000"/>
          <w:sz w:val="24"/>
          <w:szCs w:val="24"/>
        </w:rPr>
        <w:t xml:space="preserve">TNFα </w:t>
      </w:r>
      <w:r w:rsidRPr="0025669D">
        <w:rPr>
          <w:rFonts w:ascii="Times New Roman" w:eastAsia="Malgun Gothic" w:hAnsi="Times New Roman" w:cs="Times New Roman"/>
          <w:color w:val="000000"/>
          <w:sz w:val="24"/>
          <w:szCs w:val="24"/>
        </w:rPr>
        <w:t xml:space="preserve">is essential for the clearing of intracellular infections. Clinical experience shows that host </w:t>
      </w:r>
      <w:proofErr w:type="spellStart"/>
      <w:r w:rsidRPr="0025669D">
        <w:rPr>
          <w:rFonts w:ascii="Times New Roman" w:eastAsia="Malgun Gothic" w:hAnsi="Times New Roman" w:cs="Times New Roman"/>
          <w:color w:val="000000"/>
          <w:sz w:val="24"/>
          <w:szCs w:val="24"/>
        </w:rPr>
        <w:t>defence</w:t>
      </w:r>
      <w:proofErr w:type="spellEnd"/>
      <w:r w:rsidRPr="0025669D">
        <w:rPr>
          <w:rFonts w:ascii="Times New Roman" w:eastAsia="Malgun Gothic" w:hAnsi="Times New Roman" w:cs="Times New Roman"/>
          <w:color w:val="000000"/>
          <w:sz w:val="24"/>
          <w:szCs w:val="24"/>
        </w:rPr>
        <w:t xml:space="preserve"> against infection is compromised in some patients treated with infliximab. </w:t>
      </w:r>
    </w:p>
    <w:p w14:paraId="7AF64F29" w14:textId="77777777" w:rsidR="004A10AE" w:rsidRPr="0025669D" w:rsidRDefault="004A10AE" w:rsidP="007947DB">
      <w:pPr>
        <w:spacing w:after="0" w:line="240" w:lineRule="auto"/>
        <w:jc w:val="left"/>
        <w:rPr>
          <w:rFonts w:ascii="Times New Roman" w:eastAsia="Malgun Gothic" w:hAnsi="Times New Roman" w:cs="Times New Roman"/>
          <w:color w:val="000000"/>
          <w:sz w:val="24"/>
          <w:szCs w:val="24"/>
        </w:rPr>
      </w:pPr>
    </w:p>
    <w:p w14:paraId="5647DACB" w14:textId="77777777" w:rsidR="004A10AE" w:rsidRPr="0025669D" w:rsidRDefault="004A10AE" w:rsidP="007947DB">
      <w:pPr>
        <w:spacing w:line="240" w:lineRule="auto"/>
        <w:jc w:val="left"/>
        <w:rPr>
          <w:rFonts w:ascii="Times New Roman" w:eastAsia="Malgun Gothic" w:hAnsi="Times New Roman" w:cs="Times New Roman"/>
          <w:color w:val="000000"/>
          <w:sz w:val="24"/>
          <w:szCs w:val="24"/>
        </w:rPr>
      </w:pPr>
      <w:r w:rsidRPr="0025669D">
        <w:rPr>
          <w:rFonts w:ascii="Times New Roman" w:eastAsia="Malgun Gothic" w:hAnsi="Times New Roman" w:cs="Times New Roman"/>
          <w:color w:val="000000"/>
          <w:sz w:val="24"/>
          <w:szCs w:val="24"/>
        </w:rPr>
        <w:t>In clinical studies in rheumatoid arthritis, starting Infliximab therapy with doses higher than 3</w:t>
      </w:r>
      <w:r>
        <w:rPr>
          <w:rFonts w:ascii="Times New Roman" w:eastAsia="Malgun Gothic" w:hAnsi="Times New Roman" w:cs="Times New Roman"/>
          <w:color w:val="000000"/>
          <w:sz w:val="24"/>
          <w:szCs w:val="24"/>
        </w:rPr>
        <w:t> </w:t>
      </w:r>
      <w:r w:rsidRPr="0025669D">
        <w:rPr>
          <w:rFonts w:ascii="Times New Roman" w:eastAsia="Malgun Gothic" w:hAnsi="Times New Roman" w:cs="Times New Roman"/>
          <w:color w:val="000000"/>
          <w:sz w:val="24"/>
          <w:szCs w:val="24"/>
        </w:rPr>
        <w:t xml:space="preserve">mg/kg has been associated with an increased risk of infection compared to the risk of infection associated with the starting dose of 3 mg/kg. This increase in the risk of infection was not evident in patients receiving the starting regimen of 3 mg/kg at weeks 0, 2 and 6 and subsequently receiving higher or more frequent doses. However, caution should be exercised when continuing a rheumatoid arthritis patient on doses above 3 mg/kg or administering infliximab more frequently than every 8 weeks. </w:t>
      </w:r>
    </w:p>
    <w:p w14:paraId="1DA1842D" w14:textId="77777777" w:rsidR="004A10AE" w:rsidRPr="0025669D" w:rsidRDefault="004A10AE" w:rsidP="007947DB">
      <w:pPr>
        <w:spacing w:line="240" w:lineRule="auto"/>
        <w:jc w:val="left"/>
        <w:rPr>
          <w:rFonts w:ascii="Times New Roman" w:eastAsia="Malgun Gothic" w:hAnsi="Times New Roman" w:cs="Times New Roman"/>
          <w:color w:val="000000"/>
          <w:sz w:val="24"/>
          <w:szCs w:val="24"/>
        </w:rPr>
      </w:pPr>
      <w:r w:rsidRPr="0025669D">
        <w:rPr>
          <w:rFonts w:ascii="Times New Roman" w:eastAsia="Malgun Gothic" w:hAnsi="Times New Roman" w:cs="Times New Roman"/>
          <w:color w:val="000000"/>
          <w:sz w:val="24"/>
          <w:szCs w:val="24"/>
        </w:rPr>
        <w:t xml:space="preserve">Caution should be exercised when considering the use of </w:t>
      </w:r>
      <w:r>
        <w:rPr>
          <w:rFonts w:ascii="Times New Roman" w:eastAsia="Malgun Gothic" w:hAnsi="Times New Roman" w:cs="Times New Roman" w:hint="eastAsia"/>
          <w:sz w:val="24"/>
          <w:szCs w:val="24"/>
        </w:rPr>
        <w:t>RENFLEXIS</w:t>
      </w:r>
      <w:r w:rsidRPr="0025669D">
        <w:rPr>
          <w:rFonts w:ascii="Times New Roman" w:eastAsia="Malgun Gothic" w:hAnsi="Times New Roman" w:cs="Times New Roman"/>
          <w:color w:val="000000"/>
          <w:sz w:val="24"/>
          <w:szCs w:val="24"/>
        </w:rPr>
        <w:t xml:space="preserve"> in patients with a chronic infection or a history of recurrent infection. </w:t>
      </w:r>
    </w:p>
    <w:p w14:paraId="58587170" w14:textId="77777777" w:rsidR="004A10AE" w:rsidRPr="0025669D" w:rsidRDefault="004A10AE" w:rsidP="007947DB">
      <w:pPr>
        <w:spacing w:line="240" w:lineRule="auto"/>
        <w:jc w:val="left"/>
        <w:rPr>
          <w:rFonts w:ascii="Times New Roman" w:eastAsia="Malgun Gothic" w:hAnsi="Times New Roman" w:cs="Times New Roman"/>
          <w:color w:val="000000"/>
          <w:sz w:val="24"/>
          <w:szCs w:val="24"/>
        </w:rPr>
      </w:pPr>
      <w:r w:rsidRPr="0025669D">
        <w:rPr>
          <w:rFonts w:ascii="Times New Roman" w:eastAsia="Malgun Gothic" w:hAnsi="Times New Roman" w:cs="Times New Roman"/>
          <w:color w:val="000000"/>
          <w:sz w:val="24"/>
          <w:szCs w:val="24"/>
        </w:rPr>
        <w:t xml:space="preserve">Opportunistic infections including tuberculosis, viral infections, invasive fungal infections and other serious infections including sepsis and pneumonia have been reported in patients treated with infliximab (see ADVERSE EFFECTS). </w:t>
      </w:r>
    </w:p>
    <w:p w14:paraId="5404AD47" w14:textId="77777777" w:rsidR="004A10AE" w:rsidRPr="0025669D" w:rsidRDefault="004A10AE" w:rsidP="007947DB">
      <w:pPr>
        <w:spacing w:line="240" w:lineRule="auto"/>
        <w:jc w:val="left"/>
        <w:rPr>
          <w:rFonts w:ascii="Times New Roman" w:eastAsia="Malgun Gothic" w:hAnsi="Times New Roman" w:cs="Times New Roman"/>
          <w:color w:val="000000"/>
          <w:sz w:val="24"/>
          <w:szCs w:val="24"/>
        </w:rPr>
      </w:pPr>
      <w:r w:rsidRPr="0025669D">
        <w:rPr>
          <w:rFonts w:ascii="Times New Roman" w:eastAsia="Malgun Gothic" w:hAnsi="Times New Roman" w:cs="Times New Roman"/>
          <w:color w:val="000000"/>
          <w:sz w:val="24"/>
          <w:szCs w:val="24"/>
        </w:rPr>
        <w:t xml:space="preserve">Serious infections, including sepsis and fatal </w:t>
      </w:r>
      <w:proofErr w:type="gramStart"/>
      <w:r w:rsidRPr="0025669D">
        <w:rPr>
          <w:rFonts w:ascii="Times New Roman" w:eastAsia="Malgun Gothic" w:hAnsi="Times New Roman" w:cs="Times New Roman"/>
          <w:color w:val="000000"/>
          <w:sz w:val="24"/>
          <w:szCs w:val="24"/>
        </w:rPr>
        <w:t>infections,</w:t>
      </w:r>
      <w:proofErr w:type="gramEnd"/>
      <w:r w:rsidRPr="0025669D">
        <w:rPr>
          <w:rFonts w:ascii="Times New Roman" w:eastAsia="Malgun Gothic" w:hAnsi="Times New Roman" w:cs="Times New Roman"/>
          <w:color w:val="000000"/>
          <w:sz w:val="24"/>
          <w:szCs w:val="24"/>
        </w:rPr>
        <w:t xml:space="preserve"> have been reported in patients receiving TNF-blocking agents. Many of the serious infections in patients treated with </w:t>
      </w:r>
      <w:r>
        <w:rPr>
          <w:rFonts w:ascii="Times New Roman" w:eastAsia="Malgun Gothic" w:hAnsi="Times New Roman" w:cs="Times New Roman" w:hint="eastAsia"/>
          <w:color w:val="000000"/>
          <w:sz w:val="24"/>
          <w:szCs w:val="24"/>
        </w:rPr>
        <w:t>i</w:t>
      </w:r>
      <w:r w:rsidRPr="0025669D">
        <w:rPr>
          <w:rFonts w:ascii="Times New Roman" w:eastAsia="Malgun Gothic" w:hAnsi="Times New Roman" w:cs="Times New Roman"/>
          <w:color w:val="000000"/>
          <w:sz w:val="24"/>
          <w:szCs w:val="24"/>
        </w:rPr>
        <w:t xml:space="preserve">nfliximab have occurred in patients on concomitant immunosuppressive therapy that, in addition to their Crohn’s disease or rheumatoid arthritis, could predispose them to infections. </w:t>
      </w:r>
    </w:p>
    <w:p w14:paraId="52786398" w14:textId="77777777" w:rsidR="004A10AE" w:rsidRPr="0025669D" w:rsidRDefault="004A10AE" w:rsidP="007947DB">
      <w:pPr>
        <w:spacing w:line="240" w:lineRule="auto"/>
        <w:jc w:val="left"/>
        <w:rPr>
          <w:rFonts w:ascii="Times New Roman" w:eastAsia="Malgun Gothic" w:hAnsi="Times New Roman" w:cs="Times New Roman"/>
          <w:color w:val="000000"/>
          <w:sz w:val="24"/>
          <w:szCs w:val="24"/>
        </w:rPr>
      </w:pPr>
      <w:r w:rsidRPr="0025669D">
        <w:rPr>
          <w:rFonts w:ascii="Times New Roman" w:eastAsia="Malgun Gothic" w:hAnsi="Times New Roman" w:cs="Times New Roman"/>
          <w:color w:val="000000"/>
          <w:sz w:val="24"/>
          <w:szCs w:val="24"/>
        </w:rPr>
        <w:t xml:space="preserve">Patients who have clinically manifested infections and/or abscesses must be treated for these </w:t>
      </w:r>
      <w:r w:rsidRPr="0025669D">
        <w:rPr>
          <w:rFonts w:ascii="Times New Roman" w:eastAsia="Malgun Gothic" w:hAnsi="Times New Roman" w:cs="Times New Roman"/>
          <w:color w:val="000000"/>
          <w:sz w:val="24"/>
          <w:szCs w:val="24"/>
        </w:rPr>
        <w:lastRenderedPageBreak/>
        <w:t xml:space="preserve">conditions prior to treatment with </w:t>
      </w:r>
      <w:r w:rsidRPr="0025669D">
        <w:rPr>
          <w:rFonts w:ascii="Times New Roman" w:eastAsia="Malgun Gothic" w:hAnsi="Times New Roman" w:cs="Times New Roman"/>
          <w:sz w:val="24"/>
          <w:szCs w:val="24"/>
        </w:rPr>
        <w:t>infliximab</w:t>
      </w:r>
      <w:r w:rsidRPr="0025669D">
        <w:rPr>
          <w:rFonts w:ascii="Times New Roman" w:eastAsia="Malgun Gothic" w:hAnsi="Times New Roman" w:cs="Times New Roman"/>
          <w:color w:val="000000"/>
          <w:sz w:val="24"/>
          <w:szCs w:val="24"/>
        </w:rPr>
        <w:t xml:space="preserve"> as </w:t>
      </w:r>
      <w:r w:rsidRPr="0025669D">
        <w:rPr>
          <w:rFonts w:ascii="Times New Roman" w:eastAsia="Malgun Gothic" w:hAnsi="Times New Roman" w:cs="Times New Roman"/>
          <w:sz w:val="24"/>
          <w:szCs w:val="24"/>
        </w:rPr>
        <w:t>infliximab</w:t>
      </w:r>
      <w:r w:rsidRPr="0025669D">
        <w:rPr>
          <w:rFonts w:ascii="Times New Roman" w:eastAsia="Malgun Gothic" w:hAnsi="Times New Roman" w:cs="Times New Roman"/>
          <w:color w:val="000000"/>
          <w:sz w:val="24"/>
          <w:szCs w:val="24"/>
        </w:rPr>
        <w:t xml:space="preserve"> should not be given to patients with a clinically important, active infection. </w:t>
      </w:r>
    </w:p>
    <w:p w14:paraId="6F91A026" w14:textId="77777777" w:rsidR="004A10AE" w:rsidRPr="00681BCE" w:rsidRDefault="004A10AE" w:rsidP="007947DB">
      <w:pPr>
        <w:pStyle w:val="Heading2"/>
        <w:tabs>
          <w:tab w:val="num" w:pos="1418"/>
        </w:tabs>
        <w:spacing w:after="0"/>
        <w:ind w:left="1702" w:hangingChars="709" w:hanging="1702"/>
        <w:rPr>
          <w:rFonts w:eastAsia="Malgun Gothic" w:cs="Times New Roman"/>
          <w:b w:val="0"/>
          <w:szCs w:val="24"/>
          <w:u w:val="single"/>
          <w:lang w:eastAsia="ko-KR"/>
        </w:rPr>
      </w:pPr>
      <w:r w:rsidRPr="00681BCE">
        <w:rPr>
          <w:rFonts w:eastAsia="Malgun Gothic" w:cs="Times New Roman"/>
          <w:b w:val="0"/>
          <w:szCs w:val="24"/>
          <w:u w:val="single"/>
          <w:lang w:eastAsia="ko-KR"/>
        </w:rPr>
        <w:t>Tuberculosis</w:t>
      </w:r>
    </w:p>
    <w:p w14:paraId="40B9BB27" w14:textId="77777777" w:rsidR="004A10AE" w:rsidRDefault="004A10AE" w:rsidP="007947DB">
      <w:pPr>
        <w:spacing w:after="0" w:line="240" w:lineRule="auto"/>
        <w:jc w:val="left"/>
        <w:rPr>
          <w:rFonts w:ascii="Times New Roman" w:eastAsia="Malgun Gothic" w:hAnsi="Times New Roman" w:cs="Times New Roman"/>
          <w:color w:val="000000"/>
          <w:sz w:val="24"/>
          <w:szCs w:val="24"/>
        </w:rPr>
      </w:pPr>
      <w:r w:rsidRPr="0025669D">
        <w:rPr>
          <w:rFonts w:ascii="Times New Roman" w:eastAsia="Malgun Gothic" w:hAnsi="Times New Roman" w:cs="Times New Roman"/>
          <w:color w:val="000000"/>
          <w:sz w:val="24"/>
          <w:szCs w:val="24"/>
        </w:rPr>
        <w:t xml:space="preserve">Tuberculosis (frequently disseminated or </w:t>
      </w:r>
      <w:proofErr w:type="spellStart"/>
      <w:r w:rsidRPr="0025669D">
        <w:rPr>
          <w:rFonts w:ascii="Times New Roman" w:eastAsia="Malgun Gothic" w:hAnsi="Times New Roman" w:cs="Times New Roman"/>
          <w:color w:val="000000"/>
          <w:sz w:val="24"/>
          <w:szCs w:val="24"/>
        </w:rPr>
        <w:t>extrapulmonary</w:t>
      </w:r>
      <w:proofErr w:type="spellEnd"/>
      <w:r w:rsidRPr="0025669D">
        <w:rPr>
          <w:rFonts w:ascii="Times New Roman" w:eastAsia="Malgun Gothic" w:hAnsi="Times New Roman" w:cs="Times New Roman"/>
          <w:color w:val="000000"/>
          <w:sz w:val="24"/>
          <w:szCs w:val="24"/>
        </w:rPr>
        <w:t xml:space="preserve"> at clinical presentation), has been observed in patients receiving </w:t>
      </w:r>
      <w:r>
        <w:rPr>
          <w:rFonts w:ascii="Times New Roman" w:eastAsia="Malgun Gothic" w:hAnsi="Times New Roman" w:cs="Times New Roman" w:hint="eastAsia"/>
          <w:color w:val="000000"/>
          <w:sz w:val="24"/>
          <w:szCs w:val="24"/>
        </w:rPr>
        <w:t>i</w:t>
      </w:r>
      <w:r w:rsidRPr="0025669D">
        <w:rPr>
          <w:rFonts w:ascii="Times New Roman" w:eastAsia="Malgun Gothic" w:hAnsi="Times New Roman" w:cs="Times New Roman"/>
          <w:color w:val="000000"/>
          <w:sz w:val="24"/>
          <w:szCs w:val="24"/>
        </w:rPr>
        <w:t xml:space="preserve">nfliximab. Patients must be evaluated for the risk of tuberculosis, including latent tuberculosis, prior to initiation of </w:t>
      </w:r>
      <w:proofErr w:type="gramStart"/>
      <w:r>
        <w:rPr>
          <w:rFonts w:ascii="Times New Roman" w:eastAsia="Malgun Gothic" w:hAnsi="Times New Roman" w:cs="Times New Roman" w:hint="eastAsia"/>
          <w:bCs/>
          <w:iCs/>
          <w:kern w:val="0"/>
          <w:sz w:val="24"/>
          <w:szCs w:val="24"/>
        </w:rPr>
        <w:t>RENFLEXIS</w:t>
      </w:r>
      <w:r w:rsidRPr="0025669D" w:rsidDel="00E56924">
        <w:rPr>
          <w:rFonts w:ascii="Times New Roman" w:eastAsia="Malgun Gothic" w:hAnsi="Times New Roman" w:cs="Times New Roman"/>
          <w:color w:val="000000"/>
          <w:sz w:val="24"/>
          <w:szCs w:val="24"/>
        </w:rPr>
        <w:t xml:space="preserve"> </w:t>
      </w:r>
      <w:r w:rsidRPr="0025669D">
        <w:rPr>
          <w:rFonts w:ascii="Times New Roman" w:eastAsia="Malgun Gothic" w:hAnsi="Times New Roman" w:cs="Times New Roman"/>
          <w:color w:val="000000"/>
          <w:sz w:val="24"/>
          <w:szCs w:val="24"/>
        </w:rPr>
        <w:t>.</w:t>
      </w:r>
      <w:proofErr w:type="gramEnd"/>
      <w:r w:rsidRPr="0025669D">
        <w:rPr>
          <w:rFonts w:ascii="Times New Roman" w:eastAsia="Malgun Gothic" w:hAnsi="Times New Roman" w:cs="Times New Roman"/>
          <w:color w:val="000000"/>
          <w:sz w:val="24"/>
          <w:szCs w:val="24"/>
        </w:rPr>
        <w:t xml:space="preserve"> This evaluation should include a detailed medical history with personal history of tuberculosis or possible previous contact with tuberculosis and previous and/or current immunosuppressive therapy. Appropriate screening tests, i.e. tuberculin skin test and chest x-ray, should be performed in all patients. Prescribers are reminded of the risk of false negative tuberculin skin test results especially in patients who are severely ill or immunocompromised. If active tuberculosis is diagnosed, </w:t>
      </w:r>
      <w:r>
        <w:rPr>
          <w:rFonts w:ascii="Times New Roman" w:eastAsia="Malgun Gothic" w:hAnsi="Times New Roman" w:cs="Times New Roman" w:hint="eastAsia"/>
          <w:bCs/>
          <w:iCs/>
          <w:kern w:val="0"/>
          <w:sz w:val="24"/>
          <w:szCs w:val="24"/>
        </w:rPr>
        <w:t>RENFLEXIS</w:t>
      </w:r>
      <w:r w:rsidRPr="0025669D">
        <w:rPr>
          <w:rFonts w:ascii="Times New Roman" w:eastAsia="Malgun Gothic" w:hAnsi="Times New Roman" w:cs="Times New Roman"/>
          <w:color w:val="000000"/>
          <w:sz w:val="24"/>
          <w:szCs w:val="24"/>
        </w:rPr>
        <w:t xml:space="preserve"> therapy must not be initiated (see CONTRAINDICATIONS). If latent tuberculosis is diagnosed, treatment must be initiated prior to treatment with </w:t>
      </w:r>
      <w:r>
        <w:rPr>
          <w:rFonts w:ascii="Times New Roman" w:eastAsia="Malgun Gothic" w:hAnsi="Times New Roman" w:cs="Times New Roman" w:hint="eastAsia"/>
          <w:bCs/>
          <w:iCs/>
          <w:kern w:val="0"/>
          <w:sz w:val="24"/>
          <w:szCs w:val="24"/>
        </w:rPr>
        <w:t>RENFLEXIS</w:t>
      </w:r>
      <w:r w:rsidRPr="0025669D">
        <w:rPr>
          <w:rFonts w:ascii="Times New Roman" w:eastAsia="Malgun Gothic" w:hAnsi="Times New Roman" w:cs="Times New Roman"/>
          <w:color w:val="000000"/>
          <w:sz w:val="24"/>
          <w:szCs w:val="24"/>
        </w:rPr>
        <w:t xml:space="preserve">, in accordance with local recommendations. Use of anti-tuberculosis therapy should also be considered before the initiation of </w:t>
      </w:r>
      <w:r>
        <w:rPr>
          <w:rFonts w:ascii="Times New Roman" w:eastAsia="Malgun Gothic" w:hAnsi="Times New Roman" w:cs="Times New Roman" w:hint="eastAsia"/>
          <w:bCs/>
          <w:iCs/>
          <w:kern w:val="0"/>
          <w:sz w:val="24"/>
          <w:szCs w:val="24"/>
        </w:rPr>
        <w:t>RENFLEXIS</w:t>
      </w:r>
      <w:r w:rsidRPr="0025669D">
        <w:rPr>
          <w:rFonts w:ascii="Times New Roman" w:eastAsia="Malgun Gothic" w:hAnsi="Times New Roman" w:cs="Times New Roman"/>
          <w:color w:val="000000"/>
          <w:sz w:val="24"/>
          <w:szCs w:val="24"/>
        </w:rPr>
        <w:t xml:space="preserve"> in patients with a past history of latent or active tuberculosis in </w:t>
      </w:r>
      <w:proofErr w:type="gramStart"/>
      <w:r w:rsidRPr="0025669D">
        <w:rPr>
          <w:rFonts w:ascii="Times New Roman" w:eastAsia="Malgun Gothic" w:hAnsi="Times New Roman" w:cs="Times New Roman"/>
          <w:color w:val="000000"/>
          <w:sz w:val="24"/>
          <w:szCs w:val="24"/>
        </w:rPr>
        <w:t>whom</w:t>
      </w:r>
      <w:proofErr w:type="gramEnd"/>
      <w:r w:rsidRPr="0025669D">
        <w:rPr>
          <w:rFonts w:ascii="Times New Roman" w:eastAsia="Malgun Gothic" w:hAnsi="Times New Roman" w:cs="Times New Roman"/>
          <w:color w:val="000000"/>
          <w:sz w:val="24"/>
          <w:szCs w:val="24"/>
        </w:rPr>
        <w:t xml:space="preserve"> an adequate course of treatment cannot be confirmed. Patients must be monitored closely for infections, including </w:t>
      </w:r>
      <w:proofErr w:type="spellStart"/>
      <w:r w:rsidRPr="0025669D">
        <w:rPr>
          <w:rFonts w:ascii="Times New Roman" w:eastAsia="Malgun Gothic" w:hAnsi="Times New Roman" w:cs="Times New Roman"/>
          <w:color w:val="000000"/>
          <w:sz w:val="24"/>
          <w:szCs w:val="24"/>
        </w:rPr>
        <w:t>miliary</w:t>
      </w:r>
      <w:proofErr w:type="spellEnd"/>
      <w:r w:rsidRPr="0025669D">
        <w:rPr>
          <w:rFonts w:ascii="Times New Roman" w:eastAsia="Malgun Gothic" w:hAnsi="Times New Roman" w:cs="Times New Roman"/>
          <w:color w:val="000000"/>
          <w:sz w:val="24"/>
          <w:szCs w:val="24"/>
        </w:rPr>
        <w:t xml:space="preserve"> tuberculosis, while on and after treatment with </w:t>
      </w:r>
      <w:r>
        <w:rPr>
          <w:rFonts w:ascii="Times New Roman" w:eastAsia="Malgun Gothic" w:hAnsi="Times New Roman" w:cs="Times New Roman" w:hint="eastAsia"/>
          <w:bCs/>
          <w:iCs/>
          <w:kern w:val="0"/>
          <w:sz w:val="24"/>
          <w:szCs w:val="24"/>
        </w:rPr>
        <w:t>RENFLEXIS</w:t>
      </w:r>
      <w:r w:rsidRPr="0025669D">
        <w:rPr>
          <w:rFonts w:ascii="Times New Roman" w:eastAsia="Malgun Gothic" w:hAnsi="Times New Roman" w:cs="Times New Roman"/>
          <w:color w:val="000000"/>
          <w:sz w:val="24"/>
          <w:szCs w:val="24"/>
        </w:rPr>
        <w:t xml:space="preserve">. </w:t>
      </w:r>
    </w:p>
    <w:p w14:paraId="304DAFD8" w14:textId="77777777" w:rsidR="004A10AE" w:rsidRPr="0025669D" w:rsidRDefault="004A10AE" w:rsidP="007947DB">
      <w:pPr>
        <w:spacing w:after="0" w:line="240" w:lineRule="auto"/>
        <w:jc w:val="left"/>
        <w:rPr>
          <w:rFonts w:ascii="Times New Roman" w:eastAsia="Malgun Gothic" w:hAnsi="Times New Roman" w:cs="Times New Roman"/>
          <w:color w:val="000000"/>
          <w:sz w:val="24"/>
          <w:szCs w:val="24"/>
        </w:rPr>
      </w:pPr>
    </w:p>
    <w:p w14:paraId="2F5FC1CB" w14:textId="77777777" w:rsidR="004A10AE" w:rsidRPr="0025669D" w:rsidRDefault="004A10AE" w:rsidP="007947DB">
      <w:pPr>
        <w:spacing w:line="240" w:lineRule="auto"/>
        <w:jc w:val="left"/>
        <w:rPr>
          <w:rFonts w:ascii="Times New Roman" w:eastAsia="Malgun Gothic" w:hAnsi="Times New Roman" w:cs="Times New Roman"/>
          <w:color w:val="000000"/>
          <w:sz w:val="24"/>
          <w:szCs w:val="24"/>
        </w:rPr>
      </w:pPr>
      <w:r w:rsidRPr="0025669D">
        <w:rPr>
          <w:rFonts w:ascii="Times New Roman" w:eastAsia="Malgun Gothic" w:hAnsi="Times New Roman" w:cs="Times New Roman"/>
          <w:color w:val="000000"/>
          <w:sz w:val="24"/>
          <w:szCs w:val="24"/>
        </w:rPr>
        <w:t xml:space="preserve">Use of anti-tuberculosis therapy should be considered before the initiation of </w:t>
      </w:r>
      <w:r>
        <w:rPr>
          <w:rFonts w:ascii="Times New Roman" w:eastAsia="Malgun Gothic" w:hAnsi="Times New Roman" w:cs="Times New Roman" w:hint="eastAsia"/>
          <w:bCs/>
          <w:iCs/>
          <w:kern w:val="0"/>
          <w:sz w:val="24"/>
          <w:szCs w:val="24"/>
        </w:rPr>
        <w:t>RENFLEXIS</w:t>
      </w:r>
      <w:r w:rsidRPr="0025669D">
        <w:rPr>
          <w:rFonts w:ascii="Times New Roman" w:eastAsia="Malgun Gothic" w:hAnsi="Times New Roman" w:cs="Times New Roman"/>
          <w:color w:val="000000"/>
          <w:sz w:val="24"/>
          <w:szCs w:val="24"/>
        </w:rPr>
        <w:t xml:space="preserve"> in patients who have several or highly significant risk factors for tuberculosis infection and have a negative test for latent tuberculosis. The decision to initiate anti-tuberculosis therapy in these patients should only be made following consultation with a physician with expertise in the treatment of tuberculosis and taking into account both the risk for latent tuberculosis infection and the risks of anti-tuberculosis therapy. </w:t>
      </w:r>
    </w:p>
    <w:p w14:paraId="079A57CD" w14:textId="77777777" w:rsidR="004A10AE" w:rsidRDefault="004A10AE" w:rsidP="007947DB">
      <w:pPr>
        <w:spacing w:line="240" w:lineRule="auto"/>
        <w:jc w:val="left"/>
        <w:rPr>
          <w:rFonts w:ascii="Times New Roman" w:eastAsia="Malgun Gothic" w:hAnsi="Times New Roman" w:cs="Times New Roman"/>
          <w:color w:val="000000"/>
          <w:sz w:val="24"/>
          <w:szCs w:val="24"/>
        </w:rPr>
      </w:pPr>
      <w:r w:rsidRPr="001638E0">
        <w:rPr>
          <w:rFonts w:ascii="Times New Roman" w:eastAsia="Malgun Gothic" w:hAnsi="Times New Roman" w:cs="Times New Roman"/>
          <w:color w:val="000000"/>
          <w:sz w:val="24"/>
          <w:szCs w:val="24"/>
        </w:rPr>
        <w:t xml:space="preserve">Cases of active tuberculosis have occurred in patients treated with </w:t>
      </w:r>
      <w:r>
        <w:rPr>
          <w:rFonts w:ascii="Times New Roman" w:eastAsia="Malgun Gothic" w:hAnsi="Times New Roman" w:cs="Times New Roman" w:hint="eastAsia"/>
          <w:color w:val="000000"/>
          <w:sz w:val="24"/>
          <w:szCs w:val="24"/>
        </w:rPr>
        <w:t>infliximab</w:t>
      </w:r>
      <w:r w:rsidRPr="001638E0">
        <w:rPr>
          <w:rFonts w:ascii="Times New Roman" w:eastAsia="Malgun Gothic" w:hAnsi="Times New Roman" w:cs="Times New Roman"/>
          <w:color w:val="000000"/>
          <w:sz w:val="24"/>
          <w:szCs w:val="24"/>
        </w:rPr>
        <w:t xml:space="preserve"> during and after treatment for latent tuberculosis. Patients receiving </w:t>
      </w:r>
      <w:r w:rsidRPr="008D4232">
        <w:rPr>
          <w:rFonts w:ascii="Times New Roman" w:eastAsia="Malgun Gothic" w:hAnsi="Times New Roman" w:cs="Times New Roman"/>
          <w:color w:val="000000"/>
          <w:sz w:val="24"/>
          <w:szCs w:val="24"/>
        </w:rPr>
        <w:t>infliximab</w:t>
      </w:r>
      <w:r w:rsidRPr="001638E0">
        <w:rPr>
          <w:rFonts w:ascii="Times New Roman" w:eastAsia="Malgun Gothic" w:hAnsi="Times New Roman" w:cs="Times New Roman"/>
          <w:color w:val="000000"/>
          <w:sz w:val="24"/>
          <w:szCs w:val="24"/>
        </w:rPr>
        <w:t xml:space="preserve"> should be monitored closely for signs and symptoms of active tuberculosis during and after treatment, including patients who tested negative for latent tuberculosis. All patients should be informed to seek medical advice if signs/symptoms suggestive of tuberculosis (e.g. persistent cough, wasting/weight loss, low-grade fever) appear during or after </w:t>
      </w:r>
      <w:r w:rsidRPr="008D4232">
        <w:rPr>
          <w:rFonts w:ascii="Times New Roman" w:eastAsia="Malgun Gothic" w:hAnsi="Times New Roman" w:cs="Times New Roman"/>
          <w:color w:val="000000"/>
          <w:sz w:val="24"/>
          <w:szCs w:val="24"/>
        </w:rPr>
        <w:t>infliximab</w:t>
      </w:r>
      <w:r w:rsidRPr="001638E0">
        <w:rPr>
          <w:rFonts w:ascii="Times New Roman" w:eastAsia="Malgun Gothic" w:hAnsi="Times New Roman" w:cs="Times New Roman"/>
          <w:color w:val="000000"/>
          <w:sz w:val="24"/>
          <w:szCs w:val="24"/>
        </w:rPr>
        <w:t xml:space="preserve"> treatment.</w:t>
      </w:r>
    </w:p>
    <w:p w14:paraId="4726F8C9" w14:textId="77777777" w:rsidR="004A10AE" w:rsidRPr="0025669D" w:rsidRDefault="004A10AE" w:rsidP="007947DB">
      <w:pPr>
        <w:spacing w:line="240" w:lineRule="auto"/>
        <w:jc w:val="left"/>
        <w:rPr>
          <w:rFonts w:ascii="Times New Roman" w:eastAsia="Malgun Gothic" w:hAnsi="Times New Roman" w:cs="Times New Roman"/>
          <w:color w:val="000000"/>
          <w:sz w:val="24"/>
          <w:szCs w:val="24"/>
        </w:rPr>
      </w:pPr>
      <w:r w:rsidRPr="0025669D">
        <w:rPr>
          <w:rFonts w:ascii="Times New Roman" w:eastAsia="Malgun Gothic" w:hAnsi="Times New Roman" w:cs="Times New Roman"/>
          <w:color w:val="000000"/>
          <w:sz w:val="24"/>
          <w:szCs w:val="24"/>
        </w:rPr>
        <w:t xml:space="preserve">For patients who have resided in or travelled to regions where invasive fungal infections such as histoplasmosis, </w:t>
      </w:r>
      <w:proofErr w:type="spellStart"/>
      <w:r w:rsidRPr="0025669D">
        <w:rPr>
          <w:rFonts w:ascii="Times New Roman" w:eastAsia="Malgun Gothic" w:hAnsi="Times New Roman" w:cs="Times New Roman"/>
          <w:color w:val="000000"/>
          <w:sz w:val="24"/>
          <w:szCs w:val="24"/>
        </w:rPr>
        <w:t>coccidioidomycosis</w:t>
      </w:r>
      <w:proofErr w:type="spellEnd"/>
      <w:r w:rsidRPr="0025669D">
        <w:rPr>
          <w:rFonts w:ascii="Times New Roman" w:eastAsia="Malgun Gothic" w:hAnsi="Times New Roman" w:cs="Times New Roman"/>
          <w:color w:val="000000"/>
          <w:sz w:val="24"/>
          <w:szCs w:val="24"/>
        </w:rPr>
        <w:t xml:space="preserve">, or </w:t>
      </w:r>
      <w:proofErr w:type="spellStart"/>
      <w:r w:rsidRPr="0025669D">
        <w:rPr>
          <w:rFonts w:ascii="Times New Roman" w:eastAsia="Malgun Gothic" w:hAnsi="Times New Roman" w:cs="Times New Roman"/>
          <w:color w:val="000000"/>
          <w:sz w:val="24"/>
          <w:szCs w:val="24"/>
        </w:rPr>
        <w:t>blastomycosis</w:t>
      </w:r>
      <w:proofErr w:type="spellEnd"/>
      <w:r w:rsidRPr="0025669D">
        <w:rPr>
          <w:rFonts w:ascii="Times New Roman" w:eastAsia="Malgun Gothic" w:hAnsi="Times New Roman" w:cs="Times New Roman"/>
          <w:color w:val="000000"/>
          <w:sz w:val="24"/>
          <w:szCs w:val="24"/>
        </w:rPr>
        <w:t xml:space="preserve"> are endemic, the benefits and risks of </w:t>
      </w:r>
      <w:r w:rsidRPr="0025669D">
        <w:rPr>
          <w:rFonts w:ascii="Times New Roman" w:eastAsia="Malgun Gothic" w:hAnsi="Times New Roman" w:cs="Times New Roman"/>
          <w:sz w:val="24"/>
          <w:szCs w:val="24"/>
        </w:rPr>
        <w:t>infliximab</w:t>
      </w:r>
      <w:r w:rsidRPr="0025669D">
        <w:rPr>
          <w:rFonts w:ascii="Times New Roman" w:eastAsia="Malgun Gothic" w:hAnsi="Times New Roman" w:cs="Times New Roman"/>
          <w:color w:val="000000"/>
          <w:sz w:val="24"/>
          <w:szCs w:val="24"/>
        </w:rPr>
        <w:t xml:space="preserve"> treatment should be carefully considered before initiation or continuation of </w:t>
      </w:r>
      <w:r w:rsidRPr="0025669D">
        <w:rPr>
          <w:rFonts w:ascii="Times New Roman" w:eastAsia="Malgun Gothic" w:hAnsi="Times New Roman" w:cs="Times New Roman"/>
          <w:sz w:val="24"/>
          <w:szCs w:val="24"/>
        </w:rPr>
        <w:t>infliximab</w:t>
      </w:r>
      <w:r w:rsidRPr="0025669D">
        <w:rPr>
          <w:rFonts w:ascii="Times New Roman" w:eastAsia="Malgun Gothic" w:hAnsi="Times New Roman" w:cs="Times New Roman"/>
          <w:color w:val="000000"/>
          <w:sz w:val="24"/>
          <w:szCs w:val="24"/>
        </w:rPr>
        <w:t xml:space="preserve"> therapy. </w:t>
      </w:r>
    </w:p>
    <w:p w14:paraId="3D232264" w14:textId="77777777" w:rsidR="004A10AE" w:rsidRPr="0025669D" w:rsidRDefault="004A10AE" w:rsidP="007947DB">
      <w:pPr>
        <w:spacing w:line="240" w:lineRule="auto"/>
        <w:jc w:val="left"/>
        <w:rPr>
          <w:rFonts w:ascii="Times New Roman" w:eastAsia="Malgun Gothic" w:hAnsi="Times New Roman" w:cs="Times New Roman"/>
          <w:color w:val="000000"/>
          <w:sz w:val="24"/>
          <w:szCs w:val="24"/>
        </w:rPr>
      </w:pPr>
      <w:r w:rsidRPr="0025669D">
        <w:rPr>
          <w:rFonts w:ascii="Times New Roman" w:eastAsia="Malgun Gothic" w:hAnsi="Times New Roman" w:cs="Times New Roman"/>
          <w:color w:val="000000"/>
          <w:sz w:val="24"/>
          <w:szCs w:val="24"/>
        </w:rPr>
        <w:t xml:space="preserve">In patients treated with </w:t>
      </w:r>
      <w:r w:rsidRPr="0025669D">
        <w:rPr>
          <w:rFonts w:ascii="Times New Roman" w:eastAsia="Malgun Gothic" w:hAnsi="Times New Roman" w:cs="Times New Roman"/>
          <w:sz w:val="24"/>
          <w:szCs w:val="24"/>
        </w:rPr>
        <w:t>infliximab</w:t>
      </w:r>
      <w:r w:rsidRPr="0025669D">
        <w:rPr>
          <w:rFonts w:ascii="Times New Roman" w:eastAsia="Malgun Gothic" w:hAnsi="Times New Roman" w:cs="Times New Roman"/>
          <w:color w:val="000000"/>
          <w:sz w:val="24"/>
          <w:szCs w:val="24"/>
        </w:rPr>
        <w:t xml:space="preserve">, an invasive fungal infection such as aspergillosis, candidiasis, </w:t>
      </w:r>
      <w:proofErr w:type="spellStart"/>
      <w:r w:rsidRPr="0025669D">
        <w:rPr>
          <w:rFonts w:ascii="Times New Roman" w:eastAsia="Malgun Gothic" w:hAnsi="Times New Roman" w:cs="Times New Roman"/>
          <w:color w:val="000000"/>
          <w:sz w:val="24"/>
          <w:szCs w:val="24"/>
        </w:rPr>
        <w:t>pneumocystosis</w:t>
      </w:r>
      <w:proofErr w:type="spellEnd"/>
      <w:r w:rsidRPr="0025669D">
        <w:rPr>
          <w:rFonts w:ascii="Times New Roman" w:eastAsia="Malgun Gothic" w:hAnsi="Times New Roman" w:cs="Times New Roman"/>
          <w:color w:val="000000"/>
          <w:sz w:val="24"/>
          <w:szCs w:val="24"/>
        </w:rPr>
        <w:t xml:space="preserve">, histoplasmosis, </w:t>
      </w:r>
      <w:proofErr w:type="spellStart"/>
      <w:r w:rsidRPr="0025669D">
        <w:rPr>
          <w:rFonts w:ascii="Times New Roman" w:eastAsia="Malgun Gothic" w:hAnsi="Times New Roman" w:cs="Times New Roman"/>
          <w:color w:val="000000"/>
          <w:sz w:val="24"/>
          <w:szCs w:val="24"/>
        </w:rPr>
        <w:t>coccidioidomycosis</w:t>
      </w:r>
      <w:proofErr w:type="spellEnd"/>
      <w:r w:rsidRPr="0025669D">
        <w:rPr>
          <w:rFonts w:ascii="Times New Roman" w:eastAsia="Malgun Gothic" w:hAnsi="Times New Roman" w:cs="Times New Roman"/>
          <w:color w:val="000000"/>
          <w:sz w:val="24"/>
          <w:szCs w:val="24"/>
        </w:rPr>
        <w:t xml:space="preserve"> or </w:t>
      </w:r>
      <w:proofErr w:type="spellStart"/>
      <w:r w:rsidRPr="0025669D">
        <w:rPr>
          <w:rFonts w:ascii="Times New Roman" w:eastAsia="Malgun Gothic" w:hAnsi="Times New Roman" w:cs="Times New Roman"/>
          <w:color w:val="000000"/>
          <w:sz w:val="24"/>
          <w:szCs w:val="24"/>
        </w:rPr>
        <w:t>blastomycosis</w:t>
      </w:r>
      <w:proofErr w:type="spellEnd"/>
      <w:r w:rsidRPr="0025669D">
        <w:rPr>
          <w:rFonts w:ascii="Times New Roman" w:eastAsia="Malgun Gothic" w:hAnsi="Times New Roman" w:cs="Times New Roman"/>
          <w:color w:val="000000"/>
          <w:sz w:val="24"/>
          <w:szCs w:val="24"/>
        </w:rPr>
        <w:t xml:space="preserve"> should be suspected if they develop a serious systemic illness. Invasive fungal infections may present as disseminated rather than localized disease, and antigen and antibody testing may be negative in some patients with active infection. Appropriate empiric antifungal therapy should be considered while a diagnostic workup is being performed. The decision to administer empiric antifungal therapy should be made, if feasible, in consultation with a physician with expertise </w:t>
      </w:r>
      <w:r w:rsidRPr="0025669D">
        <w:rPr>
          <w:rFonts w:ascii="Times New Roman" w:eastAsia="Malgun Gothic" w:hAnsi="Times New Roman" w:cs="Times New Roman"/>
          <w:color w:val="000000"/>
          <w:sz w:val="24"/>
          <w:szCs w:val="24"/>
        </w:rPr>
        <w:lastRenderedPageBreak/>
        <w:t xml:space="preserve">in the diagnosis and treatment of invasive fungal infections and should take into account both the risk for severe fungal infection and the risks of anti-fungal therapy. </w:t>
      </w:r>
    </w:p>
    <w:p w14:paraId="07EB3B56" w14:textId="77777777" w:rsidR="004A10AE" w:rsidRPr="00681BCE" w:rsidRDefault="004A10AE" w:rsidP="007947DB">
      <w:pPr>
        <w:pStyle w:val="Heading2"/>
        <w:tabs>
          <w:tab w:val="num" w:pos="1418"/>
        </w:tabs>
        <w:spacing w:after="0"/>
        <w:ind w:left="1702" w:hangingChars="709" w:hanging="1702"/>
        <w:rPr>
          <w:rFonts w:eastAsia="Malgun Gothic" w:cs="Times New Roman"/>
          <w:b w:val="0"/>
          <w:szCs w:val="24"/>
          <w:u w:val="single"/>
          <w:lang w:eastAsia="ko-KR"/>
        </w:rPr>
      </w:pPr>
      <w:r w:rsidRPr="00681BCE">
        <w:rPr>
          <w:rFonts w:eastAsia="Malgun Gothic" w:cs="Times New Roman"/>
          <w:b w:val="0"/>
          <w:szCs w:val="24"/>
          <w:u w:val="single"/>
          <w:lang w:eastAsia="ko-KR"/>
        </w:rPr>
        <w:t>Other infections</w:t>
      </w:r>
    </w:p>
    <w:p w14:paraId="66500005" w14:textId="77777777" w:rsidR="004A10AE" w:rsidRDefault="004A10AE" w:rsidP="007947DB">
      <w:pPr>
        <w:spacing w:after="0" w:line="240" w:lineRule="auto"/>
        <w:jc w:val="left"/>
        <w:rPr>
          <w:rFonts w:ascii="Times New Roman" w:eastAsia="Malgun Gothic" w:hAnsi="Times New Roman" w:cs="Times New Roman"/>
          <w:color w:val="000000"/>
          <w:sz w:val="24"/>
          <w:szCs w:val="24"/>
        </w:rPr>
      </w:pPr>
      <w:r w:rsidRPr="0025669D">
        <w:rPr>
          <w:rFonts w:ascii="Times New Roman" w:eastAsia="Malgun Gothic" w:hAnsi="Times New Roman" w:cs="Times New Roman"/>
          <w:color w:val="000000"/>
          <w:sz w:val="24"/>
          <w:szCs w:val="24"/>
        </w:rPr>
        <w:t xml:space="preserve">Invasive fungal infections and other opportunistic infections have been observed in patients receiving </w:t>
      </w:r>
      <w:r>
        <w:rPr>
          <w:rFonts w:ascii="Times New Roman" w:eastAsia="Malgun Gothic" w:hAnsi="Times New Roman" w:cs="Times New Roman" w:hint="eastAsia"/>
          <w:color w:val="000000"/>
          <w:sz w:val="24"/>
          <w:szCs w:val="24"/>
        </w:rPr>
        <w:t>i</w:t>
      </w:r>
      <w:r w:rsidRPr="0025669D">
        <w:rPr>
          <w:rFonts w:ascii="Times New Roman" w:eastAsia="Malgun Gothic" w:hAnsi="Times New Roman" w:cs="Times New Roman"/>
          <w:color w:val="000000"/>
          <w:sz w:val="24"/>
          <w:szCs w:val="24"/>
        </w:rPr>
        <w:t xml:space="preserve">nfliximab. Caution should be exercised when considering the use of </w:t>
      </w:r>
      <w:r>
        <w:rPr>
          <w:rFonts w:ascii="Times New Roman" w:eastAsia="Malgun Gothic" w:hAnsi="Times New Roman" w:cs="Times New Roman" w:hint="eastAsia"/>
          <w:bCs/>
          <w:iCs/>
          <w:kern w:val="0"/>
          <w:sz w:val="24"/>
          <w:szCs w:val="24"/>
        </w:rPr>
        <w:t>RENFLEXIS</w:t>
      </w:r>
      <w:r w:rsidRPr="0025669D">
        <w:rPr>
          <w:rFonts w:ascii="Times New Roman" w:eastAsia="Malgun Gothic" w:hAnsi="Times New Roman" w:cs="Times New Roman"/>
          <w:color w:val="000000"/>
          <w:sz w:val="24"/>
          <w:szCs w:val="24"/>
        </w:rPr>
        <w:t xml:space="preserve"> in patients with a chronic infection or a history of recurrent infection. Patients must be monitored closely for infections while on and after treatment with </w:t>
      </w:r>
      <w:r>
        <w:rPr>
          <w:rFonts w:ascii="Times New Roman" w:eastAsia="Malgun Gothic" w:hAnsi="Times New Roman" w:cs="Times New Roman" w:hint="eastAsia"/>
          <w:bCs/>
          <w:iCs/>
          <w:kern w:val="0"/>
          <w:sz w:val="24"/>
          <w:szCs w:val="24"/>
        </w:rPr>
        <w:t>RENFLEXIS</w:t>
      </w:r>
      <w:r w:rsidRPr="0025669D">
        <w:rPr>
          <w:rFonts w:ascii="Times New Roman" w:eastAsia="Malgun Gothic" w:hAnsi="Times New Roman" w:cs="Times New Roman"/>
          <w:color w:val="000000"/>
          <w:sz w:val="24"/>
          <w:szCs w:val="24"/>
        </w:rPr>
        <w:t xml:space="preserve">. Suppression of </w:t>
      </w:r>
      <w:r>
        <w:rPr>
          <w:rFonts w:ascii="Times New Roman" w:eastAsia="Malgun Gothic" w:hAnsi="Times New Roman" w:cs="Times New Roman"/>
          <w:color w:val="000000"/>
          <w:sz w:val="24"/>
          <w:szCs w:val="24"/>
        </w:rPr>
        <w:t xml:space="preserve">TNFα </w:t>
      </w:r>
      <w:r w:rsidRPr="0025669D">
        <w:rPr>
          <w:rFonts w:ascii="Times New Roman" w:eastAsia="Malgun Gothic" w:hAnsi="Times New Roman" w:cs="Times New Roman"/>
          <w:color w:val="000000"/>
          <w:sz w:val="24"/>
          <w:szCs w:val="24"/>
        </w:rPr>
        <w:t xml:space="preserve">may also mask symptoms of infection such as fever. Patients who develop a serious new infection while undergoing treatment with </w:t>
      </w:r>
      <w:r>
        <w:rPr>
          <w:rFonts w:ascii="Times New Roman" w:eastAsia="Malgun Gothic" w:hAnsi="Times New Roman" w:cs="Times New Roman" w:hint="eastAsia"/>
          <w:bCs/>
          <w:iCs/>
          <w:kern w:val="0"/>
          <w:sz w:val="24"/>
          <w:szCs w:val="24"/>
        </w:rPr>
        <w:t>RENFLEXIS</w:t>
      </w:r>
      <w:r w:rsidRPr="0025669D">
        <w:rPr>
          <w:rFonts w:ascii="Times New Roman" w:eastAsia="Malgun Gothic" w:hAnsi="Times New Roman" w:cs="Times New Roman"/>
          <w:color w:val="000000"/>
          <w:sz w:val="24"/>
          <w:szCs w:val="24"/>
        </w:rPr>
        <w:t xml:space="preserve"> should be treated for the infection as quickly as possible and monitored closely. During treatment with infliximab patients should be carefully monitored for respiratory tract and urinary tract infections. Treatment with </w:t>
      </w:r>
      <w:r>
        <w:rPr>
          <w:rFonts w:ascii="Times New Roman" w:eastAsia="Malgun Gothic" w:hAnsi="Times New Roman" w:cs="Times New Roman" w:hint="eastAsia"/>
          <w:bCs/>
          <w:iCs/>
          <w:kern w:val="0"/>
          <w:sz w:val="24"/>
          <w:szCs w:val="24"/>
        </w:rPr>
        <w:t>RENFLEXIS</w:t>
      </w:r>
      <w:r w:rsidRPr="0025669D">
        <w:rPr>
          <w:rFonts w:ascii="Times New Roman" w:eastAsia="Malgun Gothic" w:hAnsi="Times New Roman" w:cs="Times New Roman"/>
          <w:color w:val="000000"/>
          <w:sz w:val="24"/>
          <w:szCs w:val="24"/>
        </w:rPr>
        <w:t xml:space="preserve"> must be discontinued if a patient develops a serious infection or sepsis. As the elimination of </w:t>
      </w:r>
      <w:r w:rsidRPr="0025669D">
        <w:rPr>
          <w:rFonts w:ascii="Times New Roman" w:eastAsia="Malgun Gothic" w:hAnsi="Times New Roman" w:cs="Times New Roman"/>
          <w:sz w:val="24"/>
          <w:szCs w:val="24"/>
        </w:rPr>
        <w:t>infliximab</w:t>
      </w:r>
      <w:r w:rsidRPr="0025669D">
        <w:rPr>
          <w:rFonts w:ascii="Times New Roman" w:eastAsia="Malgun Gothic" w:hAnsi="Times New Roman" w:cs="Times New Roman"/>
          <w:color w:val="000000"/>
          <w:sz w:val="24"/>
          <w:szCs w:val="24"/>
        </w:rPr>
        <w:t xml:space="preserve"> may take up to six months, a close monitoring of the patients throughout this period is important. </w:t>
      </w:r>
    </w:p>
    <w:p w14:paraId="261DBF59" w14:textId="77777777" w:rsidR="004A10AE" w:rsidRPr="0025669D" w:rsidRDefault="004A10AE" w:rsidP="007947DB">
      <w:pPr>
        <w:spacing w:after="0" w:line="240" w:lineRule="auto"/>
        <w:jc w:val="left"/>
        <w:rPr>
          <w:rFonts w:ascii="Times New Roman" w:eastAsia="Malgun Gothic" w:hAnsi="Times New Roman" w:cs="Times New Roman"/>
          <w:color w:val="000000"/>
          <w:sz w:val="24"/>
          <w:szCs w:val="24"/>
        </w:rPr>
      </w:pPr>
    </w:p>
    <w:p w14:paraId="5E4272A7" w14:textId="589AABB6" w:rsidR="004A10AE" w:rsidRDefault="004A10AE" w:rsidP="007947DB">
      <w:pPr>
        <w:spacing w:line="240" w:lineRule="auto"/>
        <w:jc w:val="left"/>
        <w:rPr>
          <w:rFonts w:ascii="Times New Roman" w:eastAsia="Malgun Gothic" w:hAnsi="Times New Roman" w:cs="Times New Roman"/>
          <w:color w:val="000000"/>
          <w:sz w:val="24"/>
          <w:szCs w:val="24"/>
        </w:rPr>
      </w:pPr>
      <w:r w:rsidRPr="0025669D">
        <w:rPr>
          <w:rFonts w:ascii="Times New Roman" w:eastAsia="Malgun Gothic" w:hAnsi="Times New Roman" w:cs="Times New Roman"/>
          <w:color w:val="000000"/>
          <w:sz w:val="24"/>
          <w:szCs w:val="24"/>
        </w:rPr>
        <w:t xml:space="preserve">The use of </w:t>
      </w:r>
      <w:r>
        <w:rPr>
          <w:rFonts w:ascii="Times New Roman" w:eastAsia="Malgun Gothic" w:hAnsi="Times New Roman" w:cs="Times New Roman"/>
          <w:color w:val="000000"/>
          <w:sz w:val="24"/>
          <w:szCs w:val="24"/>
        </w:rPr>
        <w:t xml:space="preserve">TNFα </w:t>
      </w:r>
      <w:r w:rsidRPr="0025669D">
        <w:rPr>
          <w:rFonts w:ascii="Times New Roman" w:eastAsia="Malgun Gothic" w:hAnsi="Times New Roman" w:cs="Times New Roman"/>
          <w:color w:val="000000"/>
          <w:sz w:val="24"/>
          <w:szCs w:val="24"/>
        </w:rPr>
        <w:t xml:space="preserve">blocking agents in patients with chronic viral infections such as HIV, Hepatitis B or C has not been studied. Therefore, </w:t>
      </w:r>
      <w:r>
        <w:rPr>
          <w:rFonts w:ascii="Times New Roman" w:eastAsia="Malgun Gothic" w:hAnsi="Times New Roman" w:cs="Times New Roman" w:hint="eastAsia"/>
          <w:bCs/>
          <w:iCs/>
          <w:kern w:val="0"/>
          <w:sz w:val="24"/>
          <w:szCs w:val="24"/>
        </w:rPr>
        <w:t xml:space="preserve">RENFLEXIS </w:t>
      </w:r>
      <w:r w:rsidRPr="0025669D">
        <w:rPr>
          <w:rFonts w:ascii="Times New Roman" w:eastAsia="Malgun Gothic" w:hAnsi="Times New Roman" w:cs="Times New Roman"/>
          <w:color w:val="000000"/>
          <w:sz w:val="24"/>
          <w:szCs w:val="24"/>
        </w:rPr>
        <w:t xml:space="preserve">should not be given to these patients. </w:t>
      </w:r>
    </w:p>
    <w:p w14:paraId="40BA3ECE" w14:textId="77777777" w:rsidR="00E75073" w:rsidRPr="0025669D" w:rsidRDefault="00E75073" w:rsidP="007947DB">
      <w:pPr>
        <w:spacing w:line="240" w:lineRule="auto"/>
        <w:jc w:val="left"/>
        <w:rPr>
          <w:rFonts w:ascii="Times New Roman" w:eastAsia="Malgun Gothic" w:hAnsi="Times New Roman" w:cs="Times New Roman"/>
          <w:color w:val="000000"/>
          <w:sz w:val="24"/>
          <w:szCs w:val="24"/>
        </w:rPr>
      </w:pPr>
    </w:p>
    <w:p w14:paraId="363548C9" w14:textId="77777777" w:rsidR="004A10AE" w:rsidRPr="0025669D" w:rsidRDefault="004A10AE" w:rsidP="007947DB">
      <w:pPr>
        <w:spacing w:line="240" w:lineRule="auto"/>
        <w:jc w:val="left"/>
        <w:rPr>
          <w:rFonts w:ascii="Times New Roman" w:eastAsia="Malgun Gothic" w:hAnsi="Times New Roman" w:cs="Times New Roman"/>
          <w:color w:val="000000"/>
          <w:sz w:val="24"/>
          <w:szCs w:val="24"/>
        </w:rPr>
      </w:pPr>
      <w:r w:rsidRPr="0025669D">
        <w:rPr>
          <w:rFonts w:ascii="Times New Roman" w:eastAsia="Malgun Gothic" w:hAnsi="Times New Roman" w:cs="Times New Roman"/>
          <w:color w:val="000000"/>
          <w:sz w:val="24"/>
          <w:szCs w:val="24"/>
        </w:rPr>
        <w:t xml:space="preserve">Patients with </w:t>
      </w:r>
      <w:proofErr w:type="spellStart"/>
      <w:r w:rsidRPr="0025669D">
        <w:rPr>
          <w:rFonts w:ascii="Times New Roman" w:eastAsia="Malgun Gothic" w:hAnsi="Times New Roman" w:cs="Times New Roman"/>
          <w:color w:val="000000"/>
          <w:sz w:val="24"/>
          <w:szCs w:val="24"/>
        </w:rPr>
        <w:t>fistulising</w:t>
      </w:r>
      <w:proofErr w:type="spellEnd"/>
      <w:r w:rsidRPr="0025669D">
        <w:rPr>
          <w:rFonts w:ascii="Times New Roman" w:eastAsia="Malgun Gothic" w:hAnsi="Times New Roman" w:cs="Times New Roman"/>
          <w:color w:val="000000"/>
          <w:sz w:val="24"/>
          <w:szCs w:val="24"/>
        </w:rPr>
        <w:t xml:space="preserve"> Crohn’s disease with acute </w:t>
      </w:r>
      <w:proofErr w:type="spellStart"/>
      <w:r w:rsidRPr="0025669D">
        <w:rPr>
          <w:rFonts w:ascii="Times New Roman" w:eastAsia="Malgun Gothic" w:hAnsi="Times New Roman" w:cs="Times New Roman"/>
          <w:color w:val="000000"/>
          <w:sz w:val="24"/>
          <w:szCs w:val="24"/>
        </w:rPr>
        <w:t>suppurative</w:t>
      </w:r>
      <w:proofErr w:type="spellEnd"/>
      <w:r w:rsidRPr="0025669D">
        <w:rPr>
          <w:rFonts w:ascii="Times New Roman" w:eastAsia="Malgun Gothic" w:hAnsi="Times New Roman" w:cs="Times New Roman"/>
          <w:color w:val="000000"/>
          <w:sz w:val="24"/>
          <w:szCs w:val="24"/>
        </w:rPr>
        <w:t xml:space="preserve"> fistulas should not </w:t>
      </w:r>
      <w:proofErr w:type="gramStart"/>
      <w:r w:rsidRPr="0025669D">
        <w:rPr>
          <w:rFonts w:ascii="Times New Roman" w:eastAsia="Malgun Gothic" w:hAnsi="Times New Roman" w:cs="Times New Roman"/>
          <w:color w:val="000000"/>
          <w:sz w:val="24"/>
          <w:szCs w:val="24"/>
        </w:rPr>
        <w:t xml:space="preserve">initiate </w:t>
      </w:r>
      <w:r w:rsidRPr="00431411">
        <w:rPr>
          <w:rFonts w:ascii="Times New Roman" w:eastAsia="Malgun Gothic" w:hAnsi="Times New Roman" w:cs="Times New Roman" w:hint="eastAsia"/>
          <w:bCs/>
          <w:iCs/>
          <w:kern w:val="0"/>
          <w:sz w:val="24"/>
          <w:szCs w:val="24"/>
        </w:rPr>
        <w:t xml:space="preserve"> </w:t>
      </w:r>
      <w:r>
        <w:rPr>
          <w:rFonts w:ascii="Times New Roman" w:eastAsia="Malgun Gothic" w:hAnsi="Times New Roman" w:cs="Times New Roman" w:hint="eastAsia"/>
          <w:bCs/>
          <w:iCs/>
          <w:kern w:val="0"/>
          <w:sz w:val="24"/>
          <w:szCs w:val="24"/>
        </w:rPr>
        <w:t>RENFLEXIS</w:t>
      </w:r>
      <w:proofErr w:type="gramEnd"/>
      <w:r w:rsidRPr="0025669D">
        <w:rPr>
          <w:rFonts w:ascii="Times New Roman" w:eastAsia="Malgun Gothic" w:hAnsi="Times New Roman" w:cs="Times New Roman"/>
          <w:color w:val="000000"/>
          <w:sz w:val="24"/>
          <w:szCs w:val="24"/>
        </w:rPr>
        <w:t xml:space="preserve"> therapy until a source for possible infection, specifically abscess, has been excluded (see CONTRAINDICATIONS). </w:t>
      </w:r>
    </w:p>
    <w:p w14:paraId="353611E0" w14:textId="77777777" w:rsidR="004A10AE" w:rsidRPr="0025669D" w:rsidRDefault="004A10AE" w:rsidP="007947DB">
      <w:pPr>
        <w:spacing w:line="240" w:lineRule="auto"/>
        <w:jc w:val="left"/>
        <w:rPr>
          <w:rFonts w:ascii="Times New Roman" w:eastAsia="Malgun Gothic" w:hAnsi="Times New Roman" w:cs="Times New Roman"/>
          <w:color w:val="000000"/>
          <w:sz w:val="24"/>
          <w:szCs w:val="24"/>
        </w:rPr>
      </w:pPr>
      <w:r w:rsidRPr="0025669D">
        <w:rPr>
          <w:rFonts w:ascii="Times New Roman" w:eastAsia="Malgun Gothic" w:hAnsi="Times New Roman" w:cs="Times New Roman"/>
          <w:color w:val="000000"/>
          <w:sz w:val="24"/>
          <w:szCs w:val="24"/>
        </w:rPr>
        <w:t xml:space="preserve">There is limited safety experience of surgical procedures in </w:t>
      </w:r>
      <w:r w:rsidRPr="0025669D">
        <w:rPr>
          <w:rFonts w:ascii="Times New Roman" w:eastAsia="Malgun Gothic" w:hAnsi="Times New Roman" w:cs="Times New Roman"/>
          <w:sz w:val="24"/>
          <w:szCs w:val="24"/>
        </w:rPr>
        <w:t>infliximab</w:t>
      </w:r>
      <w:r w:rsidRPr="0025669D">
        <w:rPr>
          <w:rFonts w:ascii="Times New Roman" w:eastAsia="Malgun Gothic" w:hAnsi="Times New Roman" w:cs="Times New Roman"/>
          <w:color w:val="000000"/>
          <w:sz w:val="24"/>
          <w:szCs w:val="24"/>
        </w:rPr>
        <w:t xml:space="preserve"> treated patients. A patient who requires surgery while on </w:t>
      </w:r>
      <w:r>
        <w:rPr>
          <w:rFonts w:ascii="Times New Roman" w:eastAsia="Malgun Gothic" w:hAnsi="Times New Roman" w:cs="Times New Roman" w:hint="eastAsia"/>
          <w:bCs/>
          <w:iCs/>
          <w:kern w:val="0"/>
          <w:sz w:val="24"/>
          <w:szCs w:val="24"/>
        </w:rPr>
        <w:t>RENFLEXIS</w:t>
      </w:r>
      <w:r w:rsidRPr="0025669D">
        <w:rPr>
          <w:rFonts w:ascii="Times New Roman" w:eastAsia="Malgun Gothic" w:hAnsi="Times New Roman" w:cs="Times New Roman"/>
          <w:color w:val="000000"/>
          <w:sz w:val="24"/>
          <w:szCs w:val="24"/>
        </w:rPr>
        <w:t xml:space="preserve"> should be closely monitored for infections, and appropriate actions should be taken. </w:t>
      </w:r>
    </w:p>
    <w:p w14:paraId="76588375" w14:textId="77777777" w:rsidR="004A10AE" w:rsidRPr="0035249D" w:rsidRDefault="004A10AE" w:rsidP="007947DB">
      <w:pPr>
        <w:pStyle w:val="Heading2"/>
        <w:tabs>
          <w:tab w:val="num" w:pos="1418"/>
        </w:tabs>
        <w:spacing w:after="0"/>
        <w:ind w:left="1702" w:hangingChars="709" w:hanging="1702"/>
        <w:rPr>
          <w:rFonts w:eastAsia="Malgun Gothic" w:cs="Times New Roman"/>
          <w:b w:val="0"/>
          <w:szCs w:val="24"/>
          <w:u w:val="single"/>
          <w:lang w:eastAsia="ko-KR"/>
        </w:rPr>
      </w:pPr>
      <w:r w:rsidRPr="0035249D">
        <w:rPr>
          <w:rFonts w:eastAsia="Malgun Gothic" w:cs="Times New Roman"/>
          <w:b w:val="0"/>
          <w:szCs w:val="24"/>
          <w:u w:val="single"/>
          <w:lang w:eastAsia="ko-KR"/>
        </w:rPr>
        <w:t xml:space="preserve">Use in psoriasis </w:t>
      </w:r>
    </w:p>
    <w:p w14:paraId="3CB80B7A" w14:textId="77777777" w:rsidR="004A10AE" w:rsidRPr="0025669D" w:rsidRDefault="004A10AE" w:rsidP="007947DB">
      <w:pPr>
        <w:spacing w:after="0" w:line="240" w:lineRule="auto"/>
        <w:jc w:val="left"/>
        <w:rPr>
          <w:rFonts w:ascii="Times New Roman" w:eastAsia="Malgun Gothic" w:hAnsi="Times New Roman" w:cs="Times New Roman"/>
          <w:color w:val="000000"/>
          <w:sz w:val="24"/>
          <w:szCs w:val="24"/>
        </w:rPr>
      </w:pPr>
      <w:r w:rsidRPr="0025669D">
        <w:rPr>
          <w:rFonts w:ascii="Times New Roman" w:eastAsia="Malgun Gothic" w:hAnsi="Times New Roman" w:cs="Times New Roman"/>
          <w:color w:val="000000"/>
          <w:sz w:val="24"/>
          <w:szCs w:val="24"/>
        </w:rPr>
        <w:t xml:space="preserve">The safety and efficacy of infliximab in combination with other immunosuppressive agents used in psoriasis or with phototherapy have not been studied. Infliximab should not be used in combination with such agents because of the possibility of excessive immunosuppression. </w:t>
      </w:r>
    </w:p>
    <w:p w14:paraId="7B9D176A" w14:textId="77777777" w:rsidR="004A10AE" w:rsidRPr="0035249D" w:rsidRDefault="004A10AE" w:rsidP="007947DB">
      <w:pPr>
        <w:pStyle w:val="Heading2"/>
        <w:tabs>
          <w:tab w:val="num" w:pos="1418"/>
        </w:tabs>
        <w:spacing w:after="0"/>
        <w:ind w:left="1702" w:hangingChars="709" w:hanging="1702"/>
        <w:rPr>
          <w:rFonts w:eastAsia="Malgun Gothic" w:cs="Times New Roman"/>
          <w:b w:val="0"/>
          <w:szCs w:val="24"/>
          <w:u w:val="single"/>
          <w:lang w:eastAsia="ko-KR"/>
        </w:rPr>
      </w:pPr>
      <w:r w:rsidRPr="0035249D">
        <w:rPr>
          <w:rFonts w:eastAsia="Malgun Gothic" w:cs="Times New Roman"/>
          <w:b w:val="0"/>
          <w:szCs w:val="24"/>
          <w:u w:val="single"/>
          <w:lang w:eastAsia="ko-KR"/>
        </w:rPr>
        <w:t xml:space="preserve">Concurrent administration of TNF-alpha inhibitor and </w:t>
      </w:r>
      <w:proofErr w:type="spellStart"/>
      <w:r w:rsidRPr="0035249D">
        <w:rPr>
          <w:rFonts w:eastAsia="Malgun Gothic" w:cs="Times New Roman"/>
          <w:b w:val="0"/>
          <w:szCs w:val="24"/>
          <w:u w:val="single"/>
          <w:lang w:eastAsia="ko-KR"/>
        </w:rPr>
        <w:t>anakinra</w:t>
      </w:r>
      <w:proofErr w:type="spellEnd"/>
    </w:p>
    <w:p w14:paraId="54984461" w14:textId="77777777" w:rsidR="004A10AE" w:rsidRPr="0025669D" w:rsidRDefault="004A10AE" w:rsidP="007947DB">
      <w:pPr>
        <w:spacing w:after="0" w:line="240" w:lineRule="auto"/>
        <w:jc w:val="left"/>
        <w:rPr>
          <w:rFonts w:ascii="Times New Roman" w:eastAsia="Malgun Gothic" w:hAnsi="Times New Roman" w:cs="Times New Roman"/>
          <w:color w:val="000000"/>
          <w:sz w:val="24"/>
          <w:szCs w:val="24"/>
        </w:rPr>
      </w:pPr>
      <w:r w:rsidRPr="0025669D">
        <w:rPr>
          <w:rFonts w:ascii="Times New Roman" w:eastAsia="Malgun Gothic" w:hAnsi="Times New Roman" w:cs="Times New Roman"/>
          <w:color w:val="000000"/>
          <w:sz w:val="24"/>
          <w:szCs w:val="24"/>
        </w:rPr>
        <w:t xml:space="preserve">Concurrent administration of </w:t>
      </w:r>
      <w:proofErr w:type="spellStart"/>
      <w:r w:rsidRPr="0025669D">
        <w:rPr>
          <w:rFonts w:ascii="Times New Roman" w:eastAsia="Malgun Gothic" w:hAnsi="Times New Roman" w:cs="Times New Roman"/>
          <w:color w:val="000000"/>
          <w:sz w:val="24"/>
          <w:szCs w:val="24"/>
        </w:rPr>
        <w:t>etanercept</w:t>
      </w:r>
      <w:proofErr w:type="spellEnd"/>
      <w:r w:rsidRPr="0025669D">
        <w:rPr>
          <w:rFonts w:ascii="Times New Roman" w:eastAsia="Malgun Gothic" w:hAnsi="Times New Roman" w:cs="Times New Roman"/>
          <w:color w:val="000000"/>
          <w:sz w:val="24"/>
          <w:szCs w:val="24"/>
        </w:rPr>
        <w:t xml:space="preserve"> (another agent that inhibits </w:t>
      </w:r>
      <w:r>
        <w:rPr>
          <w:rFonts w:ascii="Times New Roman" w:eastAsia="Malgun Gothic" w:hAnsi="Times New Roman" w:cs="Times New Roman"/>
          <w:color w:val="000000"/>
          <w:sz w:val="24"/>
          <w:szCs w:val="24"/>
        </w:rPr>
        <w:t>TNF</w:t>
      </w:r>
      <w:r w:rsidRPr="0025669D">
        <w:rPr>
          <w:rFonts w:ascii="Times New Roman" w:eastAsia="Malgun Gothic" w:hAnsi="Times New Roman" w:cs="Times New Roman"/>
          <w:color w:val="000000"/>
          <w:sz w:val="24"/>
          <w:szCs w:val="24"/>
        </w:rPr>
        <w:t xml:space="preserve">α) and </w:t>
      </w:r>
      <w:proofErr w:type="spellStart"/>
      <w:r w:rsidRPr="0025669D">
        <w:rPr>
          <w:rFonts w:ascii="Times New Roman" w:eastAsia="Malgun Gothic" w:hAnsi="Times New Roman" w:cs="Times New Roman"/>
          <w:color w:val="000000"/>
          <w:sz w:val="24"/>
          <w:szCs w:val="24"/>
        </w:rPr>
        <w:t>anakinra</w:t>
      </w:r>
      <w:proofErr w:type="spellEnd"/>
      <w:r w:rsidRPr="0025669D">
        <w:rPr>
          <w:rFonts w:ascii="Times New Roman" w:eastAsia="Malgun Gothic" w:hAnsi="Times New Roman" w:cs="Times New Roman"/>
          <w:color w:val="000000"/>
          <w:sz w:val="24"/>
          <w:szCs w:val="24"/>
        </w:rPr>
        <w:t xml:space="preserve"> (a recombinant, non-glycosylated form of the human interleukin-1 receptor antagonist) has been associated with an increased risk of serious infections, an increased risk of </w:t>
      </w:r>
      <w:proofErr w:type="spellStart"/>
      <w:r w:rsidRPr="0025669D">
        <w:rPr>
          <w:rFonts w:ascii="Times New Roman" w:eastAsia="Malgun Gothic" w:hAnsi="Times New Roman" w:cs="Times New Roman"/>
          <w:color w:val="000000"/>
          <w:sz w:val="24"/>
          <w:szCs w:val="24"/>
        </w:rPr>
        <w:t>neutropaenia</w:t>
      </w:r>
      <w:proofErr w:type="spellEnd"/>
      <w:r w:rsidRPr="0025669D">
        <w:rPr>
          <w:rFonts w:ascii="Times New Roman" w:eastAsia="Malgun Gothic" w:hAnsi="Times New Roman" w:cs="Times New Roman"/>
          <w:color w:val="000000"/>
          <w:sz w:val="24"/>
          <w:szCs w:val="24"/>
        </w:rPr>
        <w:t xml:space="preserve"> and no additional benefit compared to these medicinal products alone. The safety and efficacy of </w:t>
      </w:r>
      <w:proofErr w:type="spellStart"/>
      <w:r w:rsidRPr="0025669D">
        <w:rPr>
          <w:rFonts w:ascii="Times New Roman" w:eastAsia="Malgun Gothic" w:hAnsi="Times New Roman" w:cs="Times New Roman"/>
          <w:color w:val="000000"/>
          <w:sz w:val="24"/>
          <w:szCs w:val="24"/>
        </w:rPr>
        <w:t>anakinra</w:t>
      </w:r>
      <w:proofErr w:type="spellEnd"/>
      <w:r w:rsidRPr="0025669D">
        <w:rPr>
          <w:rFonts w:ascii="Times New Roman" w:eastAsia="Malgun Gothic" w:hAnsi="Times New Roman" w:cs="Times New Roman"/>
          <w:color w:val="000000"/>
          <w:sz w:val="24"/>
          <w:szCs w:val="24"/>
        </w:rPr>
        <w:t xml:space="preserve"> used in combination with infliximab has not been established. Therefore, combination of infliximab and </w:t>
      </w:r>
      <w:proofErr w:type="spellStart"/>
      <w:r w:rsidRPr="0025669D">
        <w:rPr>
          <w:rFonts w:ascii="Times New Roman" w:eastAsia="Malgun Gothic" w:hAnsi="Times New Roman" w:cs="Times New Roman"/>
          <w:color w:val="000000"/>
          <w:sz w:val="24"/>
          <w:szCs w:val="24"/>
        </w:rPr>
        <w:t>anakinra</w:t>
      </w:r>
      <w:proofErr w:type="spellEnd"/>
      <w:r w:rsidRPr="0025669D">
        <w:rPr>
          <w:rFonts w:ascii="Times New Roman" w:eastAsia="Malgun Gothic" w:hAnsi="Times New Roman" w:cs="Times New Roman"/>
          <w:color w:val="000000"/>
          <w:sz w:val="24"/>
          <w:szCs w:val="24"/>
        </w:rPr>
        <w:t xml:space="preserve"> is contraindicated. </w:t>
      </w:r>
    </w:p>
    <w:p w14:paraId="70841547" w14:textId="77777777" w:rsidR="004A10AE" w:rsidRPr="0035249D" w:rsidRDefault="004A10AE" w:rsidP="007947DB">
      <w:pPr>
        <w:pStyle w:val="Heading2"/>
        <w:tabs>
          <w:tab w:val="num" w:pos="1418"/>
        </w:tabs>
        <w:spacing w:after="0"/>
        <w:ind w:left="1702" w:hangingChars="709" w:hanging="1702"/>
        <w:rPr>
          <w:rFonts w:eastAsia="Malgun Gothic" w:cs="Times New Roman"/>
          <w:b w:val="0"/>
          <w:szCs w:val="24"/>
          <w:u w:val="single"/>
          <w:lang w:eastAsia="ko-KR"/>
        </w:rPr>
      </w:pPr>
      <w:r w:rsidRPr="0035249D">
        <w:rPr>
          <w:rFonts w:eastAsia="Malgun Gothic" w:cs="Times New Roman"/>
          <w:b w:val="0"/>
          <w:szCs w:val="24"/>
          <w:u w:val="single"/>
          <w:lang w:eastAsia="ko-KR"/>
        </w:rPr>
        <w:t xml:space="preserve">Concurrent administration of TNF-alpha inhibitor and </w:t>
      </w:r>
      <w:proofErr w:type="spellStart"/>
      <w:r w:rsidRPr="0035249D">
        <w:rPr>
          <w:rFonts w:eastAsia="Malgun Gothic" w:cs="Times New Roman"/>
          <w:b w:val="0"/>
          <w:szCs w:val="24"/>
          <w:u w:val="single"/>
          <w:lang w:eastAsia="ko-KR"/>
        </w:rPr>
        <w:t>abatacept</w:t>
      </w:r>
      <w:proofErr w:type="spellEnd"/>
      <w:r w:rsidRPr="0035249D">
        <w:rPr>
          <w:rFonts w:eastAsia="Malgun Gothic" w:cs="Times New Roman"/>
          <w:b w:val="0"/>
          <w:szCs w:val="24"/>
          <w:u w:val="single"/>
          <w:lang w:eastAsia="ko-KR"/>
        </w:rPr>
        <w:t xml:space="preserve"> </w:t>
      </w:r>
    </w:p>
    <w:p w14:paraId="16312F0B" w14:textId="77777777" w:rsidR="004A10AE" w:rsidRPr="0025669D" w:rsidRDefault="004A10AE" w:rsidP="007947DB">
      <w:pPr>
        <w:spacing w:after="0" w:line="240" w:lineRule="auto"/>
        <w:jc w:val="left"/>
        <w:rPr>
          <w:rFonts w:ascii="Times New Roman" w:eastAsia="Malgun Gothic" w:hAnsi="Times New Roman" w:cs="Times New Roman"/>
          <w:color w:val="000000"/>
          <w:sz w:val="24"/>
          <w:szCs w:val="24"/>
        </w:rPr>
      </w:pPr>
      <w:r w:rsidRPr="0025669D">
        <w:rPr>
          <w:rFonts w:ascii="Times New Roman" w:eastAsia="Malgun Gothic" w:hAnsi="Times New Roman" w:cs="Times New Roman"/>
          <w:color w:val="000000"/>
          <w:sz w:val="24"/>
          <w:szCs w:val="24"/>
        </w:rPr>
        <w:t xml:space="preserve">In clinical studies, concurrent administration of TNF-blocking agents and </w:t>
      </w:r>
      <w:proofErr w:type="spellStart"/>
      <w:r w:rsidRPr="0025669D">
        <w:rPr>
          <w:rFonts w:ascii="Times New Roman" w:eastAsia="Malgun Gothic" w:hAnsi="Times New Roman" w:cs="Times New Roman"/>
          <w:color w:val="000000"/>
          <w:sz w:val="24"/>
          <w:szCs w:val="24"/>
        </w:rPr>
        <w:t>abatacept</w:t>
      </w:r>
      <w:proofErr w:type="spellEnd"/>
      <w:r w:rsidRPr="0025669D">
        <w:rPr>
          <w:rFonts w:ascii="Times New Roman" w:eastAsia="Malgun Gothic" w:hAnsi="Times New Roman" w:cs="Times New Roman"/>
          <w:color w:val="000000"/>
          <w:sz w:val="24"/>
          <w:szCs w:val="24"/>
        </w:rPr>
        <w:t xml:space="preserve"> have been associated with an increased risk of infections including serious infections compared </w:t>
      </w:r>
      <w:r w:rsidRPr="0025669D">
        <w:rPr>
          <w:rFonts w:ascii="Times New Roman" w:eastAsia="Malgun Gothic" w:hAnsi="Times New Roman" w:cs="Times New Roman"/>
          <w:color w:val="000000"/>
          <w:sz w:val="24"/>
          <w:szCs w:val="24"/>
        </w:rPr>
        <w:lastRenderedPageBreak/>
        <w:t xml:space="preserve">with TNF-blocking agents alone, without increased clinical benefit. Because of the nature of the adverse events seen with the combination of TNF-blocking agents and </w:t>
      </w:r>
      <w:proofErr w:type="spellStart"/>
      <w:r w:rsidRPr="0025669D">
        <w:rPr>
          <w:rFonts w:ascii="Times New Roman" w:eastAsia="Malgun Gothic" w:hAnsi="Times New Roman" w:cs="Times New Roman"/>
          <w:color w:val="000000"/>
          <w:sz w:val="24"/>
          <w:szCs w:val="24"/>
        </w:rPr>
        <w:t>abatacept</w:t>
      </w:r>
      <w:proofErr w:type="spellEnd"/>
      <w:r w:rsidRPr="0025669D">
        <w:rPr>
          <w:rFonts w:ascii="Times New Roman" w:eastAsia="Malgun Gothic" w:hAnsi="Times New Roman" w:cs="Times New Roman"/>
          <w:color w:val="000000"/>
          <w:sz w:val="24"/>
          <w:szCs w:val="24"/>
        </w:rPr>
        <w:t xml:space="preserve"> therapy, the combination of infliximab and </w:t>
      </w:r>
      <w:proofErr w:type="spellStart"/>
      <w:r w:rsidRPr="0025669D">
        <w:rPr>
          <w:rFonts w:ascii="Times New Roman" w:eastAsia="Malgun Gothic" w:hAnsi="Times New Roman" w:cs="Times New Roman"/>
          <w:color w:val="000000"/>
          <w:sz w:val="24"/>
          <w:szCs w:val="24"/>
        </w:rPr>
        <w:t>abatacept</w:t>
      </w:r>
      <w:proofErr w:type="spellEnd"/>
      <w:r w:rsidRPr="0025669D">
        <w:rPr>
          <w:rFonts w:ascii="Times New Roman" w:eastAsia="Malgun Gothic" w:hAnsi="Times New Roman" w:cs="Times New Roman"/>
          <w:color w:val="000000"/>
          <w:sz w:val="24"/>
          <w:szCs w:val="24"/>
        </w:rPr>
        <w:t xml:space="preserve"> is not recommended. </w:t>
      </w:r>
    </w:p>
    <w:p w14:paraId="77E68233" w14:textId="77777777" w:rsidR="004A10AE" w:rsidRPr="00673B5A" w:rsidRDefault="004A10AE" w:rsidP="007947DB">
      <w:pPr>
        <w:pStyle w:val="Heading2"/>
        <w:tabs>
          <w:tab w:val="num" w:pos="1418"/>
        </w:tabs>
        <w:spacing w:after="0"/>
        <w:ind w:left="1702" w:hangingChars="709" w:hanging="1702"/>
        <w:rPr>
          <w:rFonts w:eastAsia="Malgun Gothic" w:cs="Times New Roman"/>
          <w:b w:val="0"/>
          <w:szCs w:val="24"/>
          <w:u w:val="single"/>
          <w:lang w:eastAsia="ko-KR"/>
        </w:rPr>
      </w:pPr>
      <w:r w:rsidRPr="00673B5A">
        <w:rPr>
          <w:rFonts w:eastAsia="Malgun Gothic" w:cs="Times New Roman"/>
          <w:b w:val="0"/>
          <w:szCs w:val="24"/>
          <w:u w:val="single"/>
          <w:lang w:eastAsia="ko-KR"/>
        </w:rPr>
        <w:t xml:space="preserve">Concurrent Administration with other Biological Therapeutics </w:t>
      </w:r>
    </w:p>
    <w:p w14:paraId="611DCA1F" w14:textId="77777777" w:rsidR="004A10AE" w:rsidRPr="00673B5A" w:rsidRDefault="004A10AE" w:rsidP="007947DB">
      <w:pPr>
        <w:spacing w:after="0" w:line="240" w:lineRule="auto"/>
        <w:jc w:val="left"/>
        <w:rPr>
          <w:rFonts w:ascii="Times New Roman" w:eastAsia="Malgun Gothic" w:hAnsi="Times New Roman" w:cs="Times New Roman"/>
          <w:color w:val="000000"/>
          <w:sz w:val="24"/>
          <w:szCs w:val="24"/>
        </w:rPr>
      </w:pPr>
      <w:r w:rsidRPr="00673B5A">
        <w:rPr>
          <w:rFonts w:ascii="Times New Roman" w:eastAsia="Malgun Gothic" w:hAnsi="Times New Roman" w:cs="Times New Roman"/>
          <w:color w:val="000000"/>
          <w:sz w:val="24"/>
          <w:szCs w:val="24"/>
        </w:rPr>
        <w:t xml:space="preserve">There is insufficient information regarding the concomitant use of </w:t>
      </w:r>
      <w:r>
        <w:rPr>
          <w:rFonts w:ascii="Times New Roman" w:eastAsia="Malgun Gothic" w:hAnsi="Times New Roman" w:cs="Times New Roman" w:hint="eastAsia"/>
          <w:color w:val="000000"/>
          <w:sz w:val="24"/>
          <w:szCs w:val="24"/>
        </w:rPr>
        <w:t>infliximab</w:t>
      </w:r>
      <w:r w:rsidRPr="00673B5A">
        <w:rPr>
          <w:rFonts w:ascii="Times New Roman" w:eastAsia="Malgun Gothic" w:hAnsi="Times New Roman" w:cs="Times New Roman"/>
          <w:color w:val="000000"/>
          <w:sz w:val="24"/>
          <w:szCs w:val="24"/>
        </w:rPr>
        <w:t xml:space="preserve"> with other biological therapeutics used to treat the same conditions as </w:t>
      </w:r>
      <w:r>
        <w:rPr>
          <w:rFonts w:ascii="Times New Roman" w:eastAsia="Malgun Gothic" w:hAnsi="Times New Roman" w:cs="Times New Roman" w:hint="eastAsia"/>
          <w:color w:val="000000"/>
          <w:sz w:val="24"/>
          <w:szCs w:val="24"/>
        </w:rPr>
        <w:t>infliximab</w:t>
      </w:r>
      <w:r w:rsidRPr="00673B5A">
        <w:rPr>
          <w:rFonts w:ascii="Times New Roman" w:eastAsia="Malgun Gothic" w:hAnsi="Times New Roman" w:cs="Times New Roman"/>
          <w:color w:val="000000"/>
          <w:sz w:val="24"/>
          <w:szCs w:val="24"/>
        </w:rPr>
        <w:t xml:space="preserve">. The concomitant use of </w:t>
      </w:r>
      <w:r>
        <w:rPr>
          <w:rFonts w:ascii="Times New Roman" w:eastAsia="Malgun Gothic" w:hAnsi="Times New Roman" w:cs="Times New Roman" w:hint="eastAsia"/>
          <w:color w:val="000000"/>
          <w:sz w:val="24"/>
          <w:szCs w:val="24"/>
        </w:rPr>
        <w:t>RENFLEXIS</w:t>
      </w:r>
      <w:r w:rsidRPr="00673B5A">
        <w:rPr>
          <w:rFonts w:ascii="Times New Roman" w:eastAsia="Malgun Gothic" w:hAnsi="Times New Roman" w:cs="Times New Roman"/>
          <w:color w:val="000000"/>
          <w:sz w:val="24"/>
          <w:szCs w:val="24"/>
        </w:rPr>
        <w:t xml:space="preserve"> with these biologics is not recommended because of the possibility of an increased risk of infection.</w:t>
      </w:r>
    </w:p>
    <w:p w14:paraId="4EE0012B" w14:textId="77777777" w:rsidR="004A10AE" w:rsidRPr="0035249D" w:rsidRDefault="004A10AE" w:rsidP="007947DB">
      <w:pPr>
        <w:pStyle w:val="Heading2"/>
        <w:tabs>
          <w:tab w:val="num" w:pos="1418"/>
        </w:tabs>
        <w:spacing w:after="0"/>
        <w:ind w:left="1702" w:hangingChars="709" w:hanging="1702"/>
        <w:rPr>
          <w:rFonts w:eastAsia="Malgun Gothic" w:cs="Times New Roman"/>
          <w:b w:val="0"/>
          <w:szCs w:val="24"/>
          <w:u w:val="single"/>
          <w:lang w:eastAsia="ko-KR"/>
        </w:rPr>
      </w:pPr>
      <w:r w:rsidRPr="0035249D">
        <w:rPr>
          <w:rFonts w:eastAsia="Malgun Gothic" w:cs="Times New Roman"/>
          <w:b w:val="0"/>
          <w:szCs w:val="24"/>
          <w:u w:val="single"/>
          <w:lang w:eastAsia="ko-KR"/>
        </w:rPr>
        <w:t xml:space="preserve">Switching between Biological </w:t>
      </w:r>
      <w:r w:rsidRPr="0034022E">
        <w:rPr>
          <w:rFonts w:eastAsia="Malgun Gothic" w:cs="Times New Roman"/>
          <w:b w:val="0"/>
          <w:szCs w:val="24"/>
          <w:u w:val="single"/>
          <w:lang w:val="en-US" w:eastAsia="ko-KR"/>
        </w:rPr>
        <w:t xml:space="preserve">Therapeutics </w:t>
      </w:r>
      <w:r w:rsidRPr="0035249D">
        <w:rPr>
          <w:rFonts w:eastAsia="Malgun Gothic" w:cs="Times New Roman"/>
          <w:b w:val="0"/>
          <w:szCs w:val="24"/>
          <w:u w:val="single"/>
          <w:lang w:eastAsia="ko-KR"/>
        </w:rPr>
        <w:t xml:space="preserve"> </w:t>
      </w:r>
    </w:p>
    <w:p w14:paraId="0299BCC5" w14:textId="77777777" w:rsidR="004A10AE" w:rsidRPr="0034022E" w:rsidRDefault="004A10AE" w:rsidP="007947DB">
      <w:pPr>
        <w:spacing w:after="0" w:line="240" w:lineRule="auto"/>
        <w:jc w:val="left"/>
        <w:rPr>
          <w:rFonts w:ascii="Times New Roman" w:eastAsia="Malgun Gothic" w:hAnsi="Times New Roman" w:cs="Times New Roman"/>
          <w:color w:val="000000"/>
          <w:sz w:val="24"/>
          <w:szCs w:val="24"/>
        </w:rPr>
      </w:pPr>
      <w:r w:rsidRPr="0034022E">
        <w:rPr>
          <w:rFonts w:ascii="Times New Roman" w:eastAsia="Malgun Gothic" w:hAnsi="Times New Roman" w:cs="Times New Roman"/>
          <w:color w:val="000000"/>
          <w:sz w:val="24"/>
          <w:szCs w:val="24"/>
        </w:rPr>
        <w:t xml:space="preserve">When switching from one biologic to another, patients should continue to be monitored since overlapping biological activity may further increase the risk of infection. </w:t>
      </w:r>
    </w:p>
    <w:p w14:paraId="5EEB857D" w14:textId="77777777" w:rsidR="004A10AE" w:rsidRPr="0035249D" w:rsidRDefault="004A10AE" w:rsidP="007947DB">
      <w:pPr>
        <w:pStyle w:val="Heading2"/>
        <w:tabs>
          <w:tab w:val="num" w:pos="1418"/>
        </w:tabs>
        <w:spacing w:after="0"/>
        <w:ind w:left="1702" w:hangingChars="709" w:hanging="1702"/>
        <w:rPr>
          <w:rFonts w:eastAsia="Malgun Gothic" w:cs="Times New Roman"/>
          <w:b w:val="0"/>
          <w:szCs w:val="24"/>
          <w:u w:val="single"/>
          <w:lang w:eastAsia="ko-KR"/>
        </w:rPr>
      </w:pPr>
      <w:r w:rsidRPr="0035249D">
        <w:rPr>
          <w:rFonts w:eastAsia="Malgun Gothic" w:cs="Times New Roman"/>
          <w:b w:val="0"/>
          <w:szCs w:val="24"/>
          <w:u w:val="single"/>
          <w:lang w:eastAsia="ko-KR"/>
        </w:rPr>
        <w:t xml:space="preserve">Neurological </w:t>
      </w:r>
      <w:r>
        <w:rPr>
          <w:rFonts w:eastAsia="Malgun Gothic" w:cs="Times New Roman"/>
          <w:b w:val="0"/>
          <w:szCs w:val="24"/>
          <w:u w:val="single"/>
          <w:lang w:eastAsia="ko-KR"/>
        </w:rPr>
        <w:t>E</w:t>
      </w:r>
      <w:r w:rsidRPr="0035249D">
        <w:rPr>
          <w:rFonts w:eastAsia="Malgun Gothic" w:cs="Times New Roman"/>
          <w:b w:val="0"/>
          <w:szCs w:val="24"/>
          <w:u w:val="single"/>
          <w:lang w:eastAsia="ko-KR"/>
        </w:rPr>
        <w:t xml:space="preserve">vents </w:t>
      </w:r>
    </w:p>
    <w:p w14:paraId="0C6D07E6" w14:textId="55FC6EB6" w:rsidR="004A10AE" w:rsidRDefault="004A10AE" w:rsidP="007947DB">
      <w:pPr>
        <w:spacing w:after="0" w:line="240" w:lineRule="auto"/>
        <w:jc w:val="left"/>
        <w:rPr>
          <w:rFonts w:ascii="Times New Roman" w:eastAsia="Malgun Gothic" w:hAnsi="Times New Roman" w:cs="Times New Roman"/>
          <w:color w:val="000000"/>
          <w:sz w:val="24"/>
          <w:szCs w:val="24"/>
        </w:rPr>
      </w:pPr>
      <w:r w:rsidRPr="0025669D">
        <w:rPr>
          <w:rFonts w:ascii="Times New Roman" w:eastAsia="Malgun Gothic" w:hAnsi="Times New Roman" w:cs="Times New Roman"/>
          <w:color w:val="000000"/>
          <w:sz w:val="24"/>
          <w:szCs w:val="24"/>
        </w:rPr>
        <w:t xml:space="preserve">Infliximab and other agents that inhibit </w:t>
      </w:r>
      <w:r>
        <w:rPr>
          <w:rFonts w:ascii="Times New Roman" w:eastAsia="Malgun Gothic" w:hAnsi="Times New Roman" w:cs="Times New Roman"/>
          <w:color w:val="000000"/>
          <w:sz w:val="24"/>
          <w:szCs w:val="24"/>
        </w:rPr>
        <w:t xml:space="preserve">TNFα </w:t>
      </w:r>
      <w:r w:rsidRPr="0025669D">
        <w:rPr>
          <w:rFonts w:ascii="Times New Roman" w:eastAsia="Malgun Gothic" w:hAnsi="Times New Roman" w:cs="Times New Roman"/>
          <w:color w:val="000000"/>
          <w:sz w:val="24"/>
          <w:szCs w:val="24"/>
        </w:rPr>
        <w:t>have been associated with seizure and new onset or exacerbation of clinical symptoms and/or radiographic evidence of central nervous system demyelinating disorders including multiple sclerosis, and optic neuritis, and peripheral demyelinating disorders, including Guillain-Barre syndrome (see ADVERSE EFFECTS</w:t>
      </w:r>
      <w:r w:rsidR="000F3F03">
        <w:rPr>
          <w:rFonts w:ascii="Times New Roman" w:eastAsia="Malgun Gothic" w:hAnsi="Times New Roman" w:cs="Times New Roman" w:hint="eastAsia"/>
          <w:color w:val="000000"/>
          <w:sz w:val="24"/>
          <w:szCs w:val="24"/>
        </w:rPr>
        <w:t xml:space="preserve"> - </w:t>
      </w:r>
      <w:r w:rsidR="000F3F03" w:rsidRPr="000F3F03">
        <w:rPr>
          <w:rFonts w:ascii="Times New Roman" w:eastAsia="Malgun Gothic" w:hAnsi="Times New Roman" w:cs="Times New Roman"/>
          <w:color w:val="000000"/>
          <w:sz w:val="24"/>
          <w:szCs w:val="24"/>
        </w:rPr>
        <w:fldChar w:fldCharType="begin"/>
      </w:r>
      <w:r w:rsidR="000F3F03" w:rsidRPr="000F3F03">
        <w:rPr>
          <w:rFonts w:ascii="Times New Roman" w:eastAsia="Malgun Gothic" w:hAnsi="Times New Roman" w:cs="Times New Roman"/>
          <w:color w:val="000000"/>
          <w:sz w:val="24"/>
          <w:szCs w:val="24"/>
        </w:rPr>
        <w:instrText xml:space="preserve"> </w:instrText>
      </w:r>
      <w:r w:rsidR="000F3F03" w:rsidRPr="000F3F03">
        <w:rPr>
          <w:rFonts w:ascii="Times New Roman" w:eastAsia="Malgun Gothic" w:hAnsi="Times New Roman" w:cs="Times New Roman" w:hint="eastAsia"/>
          <w:color w:val="000000"/>
          <w:sz w:val="24"/>
          <w:szCs w:val="24"/>
        </w:rPr>
        <w:instrText>REF _Ref423973593 \h</w:instrText>
      </w:r>
      <w:r w:rsidR="000F3F03" w:rsidRPr="000F3F03">
        <w:rPr>
          <w:rFonts w:ascii="Times New Roman" w:eastAsia="Malgun Gothic" w:hAnsi="Times New Roman" w:cs="Times New Roman"/>
          <w:color w:val="000000"/>
          <w:sz w:val="24"/>
          <w:szCs w:val="24"/>
        </w:rPr>
        <w:instrText xml:space="preserve"> </w:instrText>
      </w:r>
      <w:r w:rsidR="000F3F03">
        <w:rPr>
          <w:rFonts w:ascii="Times New Roman" w:eastAsia="Malgun Gothic" w:hAnsi="Times New Roman" w:cs="Times New Roman"/>
          <w:color w:val="000000"/>
          <w:sz w:val="24"/>
          <w:szCs w:val="24"/>
        </w:rPr>
        <w:instrText xml:space="preserve"> \* MERGEFORMAT </w:instrText>
      </w:r>
      <w:r w:rsidR="000F3F03" w:rsidRPr="000F3F03">
        <w:rPr>
          <w:rFonts w:ascii="Times New Roman" w:eastAsia="Malgun Gothic" w:hAnsi="Times New Roman" w:cs="Times New Roman"/>
          <w:color w:val="000000"/>
          <w:sz w:val="24"/>
          <w:szCs w:val="24"/>
        </w:rPr>
      </w:r>
      <w:r w:rsidR="000F3F03" w:rsidRPr="000F3F03">
        <w:rPr>
          <w:rFonts w:ascii="Times New Roman" w:eastAsia="Malgun Gothic" w:hAnsi="Times New Roman" w:cs="Times New Roman"/>
          <w:color w:val="000000"/>
          <w:sz w:val="24"/>
          <w:szCs w:val="24"/>
        </w:rPr>
        <w:fldChar w:fldCharType="separate"/>
      </w:r>
      <w:r w:rsidR="005A6BF4" w:rsidRPr="005A6BF4">
        <w:rPr>
          <w:rFonts w:ascii="Times New Roman" w:hAnsi="Times New Roman" w:cs="Times New Roman"/>
          <w:sz w:val="24"/>
          <w:szCs w:val="24"/>
        </w:rPr>
        <w:t xml:space="preserve">Table </w:t>
      </w:r>
      <w:r w:rsidR="005A6BF4" w:rsidRPr="005A6BF4">
        <w:rPr>
          <w:rFonts w:ascii="Times New Roman" w:hAnsi="Times New Roman" w:cs="Times New Roman"/>
          <w:noProof/>
          <w:sz w:val="24"/>
          <w:szCs w:val="24"/>
        </w:rPr>
        <w:t>12</w:t>
      </w:r>
      <w:r w:rsidR="000F3F03" w:rsidRPr="000F3F03">
        <w:rPr>
          <w:rFonts w:ascii="Times New Roman" w:eastAsia="Malgun Gothic" w:hAnsi="Times New Roman" w:cs="Times New Roman"/>
          <w:color w:val="000000"/>
          <w:sz w:val="24"/>
          <w:szCs w:val="24"/>
        </w:rPr>
        <w:fldChar w:fldCharType="end"/>
      </w:r>
      <w:r w:rsidR="000F3F03" w:rsidRPr="000F3F03">
        <w:rPr>
          <w:rFonts w:ascii="Times New Roman" w:eastAsia="Malgun Gothic" w:hAnsi="Times New Roman" w:cs="Times New Roman" w:hint="eastAsia"/>
          <w:color w:val="000000"/>
          <w:sz w:val="24"/>
          <w:szCs w:val="24"/>
        </w:rPr>
        <w:t xml:space="preserve"> &amp; </w:t>
      </w:r>
      <w:r w:rsidR="000F3F03" w:rsidRPr="000F3F03">
        <w:rPr>
          <w:rFonts w:ascii="Times New Roman" w:eastAsia="Malgun Gothic" w:hAnsi="Times New Roman" w:cs="Times New Roman"/>
          <w:color w:val="000000"/>
          <w:sz w:val="24"/>
          <w:szCs w:val="24"/>
        </w:rPr>
        <w:fldChar w:fldCharType="begin"/>
      </w:r>
      <w:r w:rsidR="000F3F03" w:rsidRPr="000F3F03">
        <w:rPr>
          <w:rFonts w:ascii="Times New Roman" w:eastAsia="Malgun Gothic" w:hAnsi="Times New Roman" w:cs="Times New Roman"/>
          <w:color w:val="000000"/>
          <w:sz w:val="24"/>
          <w:szCs w:val="24"/>
        </w:rPr>
        <w:instrText xml:space="preserve"> </w:instrText>
      </w:r>
      <w:r w:rsidR="000F3F03" w:rsidRPr="000F3F03">
        <w:rPr>
          <w:rFonts w:ascii="Times New Roman" w:eastAsia="Malgun Gothic" w:hAnsi="Times New Roman" w:cs="Times New Roman" w:hint="eastAsia"/>
          <w:color w:val="000000"/>
          <w:sz w:val="24"/>
          <w:szCs w:val="24"/>
        </w:rPr>
        <w:instrText>REF _Ref484153773 \h</w:instrText>
      </w:r>
      <w:r w:rsidR="000F3F03" w:rsidRPr="000F3F03">
        <w:rPr>
          <w:rFonts w:ascii="Times New Roman" w:eastAsia="Malgun Gothic" w:hAnsi="Times New Roman" w:cs="Times New Roman"/>
          <w:color w:val="000000"/>
          <w:sz w:val="24"/>
          <w:szCs w:val="24"/>
        </w:rPr>
        <w:instrText xml:space="preserve"> </w:instrText>
      </w:r>
      <w:r w:rsidR="000F3F03">
        <w:rPr>
          <w:rFonts w:ascii="Times New Roman" w:eastAsia="Malgun Gothic" w:hAnsi="Times New Roman" w:cs="Times New Roman"/>
          <w:color w:val="000000"/>
          <w:sz w:val="24"/>
          <w:szCs w:val="24"/>
        </w:rPr>
        <w:instrText xml:space="preserve"> \* MERGEFORMAT </w:instrText>
      </w:r>
      <w:r w:rsidR="000F3F03" w:rsidRPr="000F3F03">
        <w:rPr>
          <w:rFonts w:ascii="Times New Roman" w:eastAsia="Malgun Gothic" w:hAnsi="Times New Roman" w:cs="Times New Roman"/>
          <w:color w:val="000000"/>
          <w:sz w:val="24"/>
          <w:szCs w:val="24"/>
        </w:rPr>
      </w:r>
      <w:r w:rsidR="000F3F03" w:rsidRPr="000F3F03">
        <w:rPr>
          <w:rFonts w:ascii="Times New Roman" w:eastAsia="Malgun Gothic" w:hAnsi="Times New Roman" w:cs="Times New Roman"/>
          <w:color w:val="000000"/>
          <w:sz w:val="24"/>
          <w:szCs w:val="24"/>
        </w:rPr>
        <w:fldChar w:fldCharType="separate"/>
      </w:r>
      <w:r w:rsidR="005A6BF4" w:rsidRPr="005A6BF4">
        <w:rPr>
          <w:rFonts w:ascii="Times New Roman" w:hAnsi="Times New Roman" w:cs="Times New Roman"/>
          <w:sz w:val="24"/>
          <w:szCs w:val="24"/>
        </w:rPr>
        <w:t xml:space="preserve">Table </w:t>
      </w:r>
      <w:r w:rsidR="005A6BF4" w:rsidRPr="005A6BF4">
        <w:rPr>
          <w:rFonts w:ascii="Times New Roman" w:hAnsi="Times New Roman" w:cs="Times New Roman"/>
          <w:noProof/>
          <w:sz w:val="24"/>
          <w:szCs w:val="24"/>
        </w:rPr>
        <w:t>13</w:t>
      </w:r>
      <w:r w:rsidR="000F3F03" w:rsidRPr="000F3F03">
        <w:rPr>
          <w:rFonts w:ascii="Times New Roman" w:eastAsia="Malgun Gothic" w:hAnsi="Times New Roman" w:cs="Times New Roman"/>
          <w:color w:val="000000"/>
          <w:sz w:val="24"/>
          <w:szCs w:val="24"/>
        </w:rPr>
        <w:fldChar w:fldCharType="end"/>
      </w:r>
      <w:r w:rsidRPr="000F3F03">
        <w:rPr>
          <w:rFonts w:ascii="Times New Roman" w:eastAsia="Malgun Gothic" w:hAnsi="Times New Roman" w:cs="Times New Roman"/>
          <w:color w:val="000000"/>
          <w:sz w:val="24"/>
          <w:szCs w:val="24"/>
        </w:rPr>
        <w:t>).</w:t>
      </w:r>
      <w:r w:rsidRPr="0025669D">
        <w:rPr>
          <w:rFonts w:ascii="Times New Roman" w:eastAsia="Malgun Gothic" w:hAnsi="Times New Roman" w:cs="Times New Roman"/>
          <w:color w:val="000000"/>
          <w:sz w:val="24"/>
          <w:szCs w:val="24"/>
        </w:rPr>
        <w:t xml:space="preserve"> Prescribers should exercise caution in considering the use of </w:t>
      </w:r>
      <w:r>
        <w:rPr>
          <w:rFonts w:ascii="Times New Roman" w:eastAsia="Malgun Gothic" w:hAnsi="Times New Roman" w:cs="Times New Roman" w:hint="eastAsia"/>
          <w:bCs/>
          <w:iCs/>
          <w:kern w:val="0"/>
          <w:sz w:val="24"/>
          <w:szCs w:val="24"/>
        </w:rPr>
        <w:t>RENFLEXIS</w:t>
      </w:r>
      <w:r w:rsidRPr="0025669D">
        <w:rPr>
          <w:rFonts w:ascii="Times New Roman" w:eastAsia="Malgun Gothic" w:hAnsi="Times New Roman" w:cs="Times New Roman"/>
          <w:color w:val="000000"/>
          <w:sz w:val="24"/>
          <w:szCs w:val="24"/>
        </w:rPr>
        <w:t xml:space="preserve"> in patients with these neurological disorders and should consider discontinuation of </w:t>
      </w:r>
      <w:r>
        <w:rPr>
          <w:rFonts w:ascii="Times New Roman" w:eastAsia="Malgun Gothic" w:hAnsi="Times New Roman" w:cs="Times New Roman" w:hint="eastAsia"/>
          <w:bCs/>
          <w:iCs/>
          <w:kern w:val="0"/>
          <w:sz w:val="24"/>
          <w:szCs w:val="24"/>
        </w:rPr>
        <w:t>RENFLEXIS</w:t>
      </w:r>
      <w:r w:rsidRPr="0025669D">
        <w:rPr>
          <w:rFonts w:ascii="Times New Roman" w:eastAsia="Malgun Gothic" w:hAnsi="Times New Roman" w:cs="Times New Roman"/>
          <w:color w:val="000000"/>
          <w:sz w:val="24"/>
          <w:szCs w:val="24"/>
        </w:rPr>
        <w:t xml:space="preserve"> if these disorders develop. </w:t>
      </w:r>
    </w:p>
    <w:p w14:paraId="50300F23" w14:textId="77777777" w:rsidR="00E75073" w:rsidRPr="0025669D" w:rsidRDefault="00E75073" w:rsidP="007947DB">
      <w:pPr>
        <w:spacing w:after="0" w:line="240" w:lineRule="auto"/>
        <w:jc w:val="left"/>
        <w:rPr>
          <w:rFonts w:ascii="Times New Roman" w:eastAsia="Malgun Gothic" w:hAnsi="Times New Roman" w:cs="Times New Roman"/>
          <w:color w:val="000000"/>
          <w:sz w:val="24"/>
          <w:szCs w:val="24"/>
        </w:rPr>
      </w:pPr>
    </w:p>
    <w:p w14:paraId="4DD4B3DB" w14:textId="77777777" w:rsidR="004A10AE" w:rsidRPr="0035249D" w:rsidRDefault="004A10AE" w:rsidP="007947DB">
      <w:pPr>
        <w:pStyle w:val="Heading2"/>
        <w:tabs>
          <w:tab w:val="num" w:pos="1418"/>
        </w:tabs>
        <w:spacing w:after="0"/>
        <w:ind w:left="1702" w:hangingChars="709" w:hanging="1702"/>
        <w:rPr>
          <w:rFonts w:eastAsia="Malgun Gothic" w:cs="Times New Roman"/>
          <w:b w:val="0"/>
          <w:szCs w:val="24"/>
          <w:u w:val="single"/>
          <w:lang w:eastAsia="ko-KR"/>
        </w:rPr>
      </w:pPr>
      <w:r w:rsidRPr="0035249D">
        <w:rPr>
          <w:rFonts w:eastAsia="Malgun Gothic" w:cs="Times New Roman"/>
          <w:b w:val="0"/>
          <w:szCs w:val="24"/>
          <w:u w:val="single"/>
          <w:lang w:eastAsia="ko-KR"/>
        </w:rPr>
        <w:t xml:space="preserve">Haematological Events </w:t>
      </w:r>
    </w:p>
    <w:p w14:paraId="7404C653" w14:textId="77777777" w:rsidR="004A10AE" w:rsidRPr="0025669D" w:rsidRDefault="004A10AE" w:rsidP="007947DB">
      <w:pPr>
        <w:spacing w:after="0" w:line="240" w:lineRule="auto"/>
        <w:jc w:val="left"/>
        <w:rPr>
          <w:rFonts w:ascii="Times New Roman" w:eastAsia="Malgun Gothic" w:hAnsi="Times New Roman" w:cs="Times New Roman"/>
          <w:color w:val="000000"/>
          <w:sz w:val="24"/>
          <w:szCs w:val="24"/>
        </w:rPr>
      </w:pPr>
      <w:r w:rsidRPr="0025669D">
        <w:rPr>
          <w:rFonts w:ascii="Times New Roman" w:eastAsia="Malgun Gothic" w:hAnsi="Times New Roman" w:cs="Times New Roman"/>
          <w:color w:val="000000"/>
          <w:sz w:val="24"/>
          <w:szCs w:val="24"/>
        </w:rPr>
        <w:t xml:space="preserve">Cases of </w:t>
      </w:r>
      <w:proofErr w:type="spellStart"/>
      <w:r w:rsidRPr="0025669D">
        <w:rPr>
          <w:rFonts w:ascii="Times New Roman" w:eastAsia="Malgun Gothic" w:hAnsi="Times New Roman" w:cs="Times New Roman"/>
          <w:color w:val="000000"/>
          <w:sz w:val="24"/>
          <w:szCs w:val="24"/>
        </w:rPr>
        <w:t>leukopaenia</w:t>
      </w:r>
      <w:proofErr w:type="spellEnd"/>
      <w:r w:rsidRPr="0025669D">
        <w:rPr>
          <w:rFonts w:ascii="Times New Roman" w:eastAsia="Malgun Gothic" w:hAnsi="Times New Roman" w:cs="Times New Roman"/>
          <w:color w:val="000000"/>
          <w:sz w:val="24"/>
          <w:szCs w:val="24"/>
        </w:rPr>
        <w:t xml:space="preserve">, </w:t>
      </w:r>
      <w:proofErr w:type="spellStart"/>
      <w:r w:rsidRPr="0025669D">
        <w:rPr>
          <w:rFonts w:ascii="Times New Roman" w:eastAsia="Malgun Gothic" w:hAnsi="Times New Roman" w:cs="Times New Roman"/>
          <w:color w:val="000000"/>
          <w:sz w:val="24"/>
          <w:szCs w:val="24"/>
        </w:rPr>
        <w:t>neutropaenia</w:t>
      </w:r>
      <w:proofErr w:type="spellEnd"/>
      <w:r w:rsidRPr="0025669D">
        <w:rPr>
          <w:rFonts w:ascii="Times New Roman" w:eastAsia="Malgun Gothic" w:hAnsi="Times New Roman" w:cs="Times New Roman"/>
          <w:color w:val="000000"/>
          <w:sz w:val="24"/>
          <w:szCs w:val="24"/>
        </w:rPr>
        <w:t xml:space="preserve">, </w:t>
      </w:r>
      <w:proofErr w:type="spellStart"/>
      <w:r w:rsidRPr="0025669D">
        <w:rPr>
          <w:rFonts w:ascii="Times New Roman" w:eastAsia="Malgun Gothic" w:hAnsi="Times New Roman" w:cs="Times New Roman"/>
          <w:color w:val="000000"/>
          <w:sz w:val="24"/>
          <w:szCs w:val="24"/>
        </w:rPr>
        <w:t>thrombocytopaenia</w:t>
      </w:r>
      <w:proofErr w:type="spellEnd"/>
      <w:r w:rsidRPr="0025669D">
        <w:rPr>
          <w:rFonts w:ascii="Times New Roman" w:eastAsia="Malgun Gothic" w:hAnsi="Times New Roman" w:cs="Times New Roman"/>
          <w:color w:val="000000"/>
          <w:sz w:val="24"/>
          <w:szCs w:val="24"/>
        </w:rPr>
        <w:t xml:space="preserve">, and </w:t>
      </w:r>
      <w:proofErr w:type="spellStart"/>
      <w:r w:rsidRPr="0025669D">
        <w:rPr>
          <w:rFonts w:ascii="Times New Roman" w:eastAsia="Malgun Gothic" w:hAnsi="Times New Roman" w:cs="Times New Roman"/>
          <w:color w:val="000000"/>
          <w:sz w:val="24"/>
          <w:szCs w:val="24"/>
        </w:rPr>
        <w:t>pancytopaenia</w:t>
      </w:r>
      <w:proofErr w:type="spellEnd"/>
      <w:r w:rsidRPr="0025669D">
        <w:rPr>
          <w:rFonts w:ascii="Times New Roman" w:eastAsia="Malgun Gothic" w:hAnsi="Times New Roman" w:cs="Times New Roman"/>
          <w:color w:val="000000"/>
          <w:sz w:val="24"/>
          <w:szCs w:val="24"/>
        </w:rPr>
        <w:t xml:space="preserve">, some with a fatal outcome, have been reported in patients receiving TNF-blockers, including </w:t>
      </w:r>
      <w:r>
        <w:rPr>
          <w:rFonts w:ascii="Times New Roman" w:eastAsia="Malgun Gothic" w:hAnsi="Times New Roman" w:cs="Times New Roman" w:hint="eastAsia"/>
          <w:color w:val="000000"/>
          <w:sz w:val="24"/>
          <w:szCs w:val="24"/>
        </w:rPr>
        <w:t>i</w:t>
      </w:r>
      <w:r w:rsidRPr="0025669D">
        <w:rPr>
          <w:rFonts w:ascii="Times New Roman" w:eastAsia="Malgun Gothic" w:hAnsi="Times New Roman" w:cs="Times New Roman"/>
          <w:color w:val="000000"/>
          <w:sz w:val="24"/>
          <w:szCs w:val="24"/>
        </w:rPr>
        <w:t xml:space="preserve">nfliximab. The causal relationship to Infliximab therapy remains unclear. Although no high-risk group(s) has been identified, caution should be exercised in patients being treated with </w:t>
      </w:r>
      <w:r w:rsidRPr="0025669D">
        <w:rPr>
          <w:rFonts w:ascii="Times New Roman" w:eastAsia="Malgun Gothic" w:hAnsi="Times New Roman" w:cs="Times New Roman"/>
          <w:sz w:val="24"/>
          <w:szCs w:val="24"/>
        </w:rPr>
        <w:t>infliximab</w:t>
      </w:r>
      <w:r w:rsidRPr="0025669D">
        <w:rPr>
          <w:rFonts w:ascii="Times New Roman" w:eastAsia="Malgun Gothic" w:hAnsi="Times New Roman" w:cs="Times New Roman"/>
          <w:color w:val="000000"/>
          <w:sz w:val="24"/>
          <w:szCs w:val="24"/>
        </w:rPr>
        <w:t xml:space="preserve"> who have ongoing or a history of significant </w:t>
      </w:r>
      <w:proofErr w:type="spellStart"/>
      <w:r w:rsidRPr="0025669D">
        <w:rPr>
          <w:rFonts w:ascii="Times New Roman" w:eastAsia="Malgun Gothic" w:hAnsi="Times New Roman" w:cs="Times New Roman"/>
          <w:color w:val="000000"/>
          <w:sz w:val="24"/>
          <w:szCs w:val="24"/>
        </w:rPr>
        <w:t>haematological</w:t>
      </w:r>
      <w:proofErr w:type="spellEnd"/>
      <w:r w:rsidRPr="0025669D">
        <w:rPr>
          <w:rFonts w:ascii="Times New Roman" w:eastAsia="Malgun Gothic" w:hAnsi="Times New Roman" w:cs="Times New Roman"/>
          <w:color w:val="000000"/>
          <w:sz w:val="24"/>
          <w:szCs w:val="24"/>
        </w:rPr>
        <w:t xml:space="preserve"> abnormalities. All patients should be advised to seek immediate medical attention if they develop signs and symptoms suggestive of blood </w:t>
      </w:r>
      <w:proofErr w:type="spellStart"/>
      <w:r w:rsidRPr="0025669D">
        <w:rPr>
          <w:rFonts w:ascii="Times New Roman" w:eastAsia="Malgun Gothic" w:hAnsi="Times New Roman" w:cs="Times New Roman"/>
          <w:color w:val="000000"/>
          <w:sz w:val="24"/>
          <w:szCs w:val="24"/>
        </w:rPr>
        <w:t>dyscrasias</w:t>
      </w:r>
      <w:proofErr w:type="spellEnd"/>
      <w:r w:rsidRPr="0025669D">
        <w:rPr>
          <w:rFonts w:ascii="Times New Roman" w:eastAsia="Malgun Gothic" w:hAnsi="Times New Roman" w:cs="Times New Roman"/>
          <w:color w:val="000000"/>
          <w:sz w:val="24"/>
          <w:szCs w:val="24"/>
        </w:rPr>
        <w:t xml:space="preserve"> or infection (e.g. persistent fever) while on </w:t>
      </w:r>
      <w:r>
        <w:rPr>
          <w:rFonts w:ascii="Times New Roman" w:eastAsia="Malgun Gothic" w:hAnsi="Times New Roman" w:cs="Times New Roman" w:hint="eastAsia"/>
          <w:bCs/>
          <w:iCs/>
          <w:kern w:val="0"/>
          <w:sz w:val="24"/>
          <w:szCs w:val="24"/>
        </w:rPr>
        <w:t>RENFLEXIS</w:t>
      </w:r>
      <w:r w:rsidRPr="0025669D">
        <w:rPr>
          <w:rFonts w:ascii="Times New Roman" w:eastAsia="Malgun Gothic" w:hAnsi="Times New Roman" w:cs="Times New Roman"/>
          <w:color w:val="000000"/>
          <w:sz w:val="24"/>
          <w:szCs w:val="24"/>
        </w:rPr>
        <w:t xml:space="preserve">. Discontinuation </w:t>
      </w:r>
      <w:proofErr w:type="gramStart"/>
      <w:r w:rsidRPr="0025669D">
        <w:rPr>
          <w:rFonts w:ascii="Times New Roman" w:eastAsia="Malgun Gothic" w:hAnsi="Times New Roman" w:cs="Times New Roman"/>
          <w:color w:val="000000"/>
          <w:sz w:val="24"/>
          <w:szCs w:val="24"/>
        </w:rPr>
        <w:t xml:space="preserve">of </w:t>
      </w:r>
      <w:r w:rsidRPr="002C07D7">
        <w:rPr>
          <w:rFonts w:ascii="Times New Roman" w:eastAsia="Malgun Gothic" w:hAnsi="Times New Roman" w:cs="Times New Roman" w:hint="eastAsia"/>
          <w:bCs/>
          <w:iCs/>
          <w:kern w:val="0"/>
          <w:sz w:val="24"/>
          <w:szCs w:val="24"/>
        </w:rPr>
        <w:t xml:space="preserve"> </w:t>
      </w:r>
      <w:r>
        <w:rPr>
          <w:rFonts w:ascii="Times New Roman" w:eastAsia="Malgun Gothic" w:hAnsi="Times New Roman" w:cs="Times New Roman" w:hint="eastAsia"/>
          <w:bCs/>
          <w:iCs/>
          <w:kern w:val="0"/>
          <w:sz w:val="24"/>
          <w:szCs w:val="24"/>
        </w:rPr>
        <w:t>RENFLEXIS</w:t>
      </w:r>
      <w:proofErr w:type="gramEnd"/>
      <w:r w:rsidRPr="0025669D">
        <w:rPr>
          <w:rFonts w:ascii="Times New Roman" w:eastAsia="Malgun Gothic" w:hAnsi="Times New Roman" w:cs="Times New Roman"/>
          <w:color w:val="000000"/>
          <w:sz w:val="24"/>
          <w:szCs w:val="24"/>
        </w:rPr>
        <w:t xml:space="preserve"> therapy should be considered in patients who develop significant </w:t>
      </w:r>
      <w:proofErr w:type="spellStart"/>
      <w:r w:rsidRPr="0025669D">
        <w:rPr>
          <w:rFonts w:ascii="Times New Roman" w:eastAsia="Malgun Gothic" w:hAnsi="Times New Roman" w:cs="Times New Roman"/>
          <w:color w:val="000000"/>
          <w:sz w:val="24"/>
          <w:szCs w:val="24"/>
        </w:rPr>
        <w:t>haematological</w:t>
      </w:r>
      <w:proofErr w:type="spellEnd"/>
      <w:r w:rsidRPr="0025669D">
        <w:rPr>
          <w:rFonts w:ascii="Times New Roman" w:eastAsia="Malgun Gothic" w:hAnsi="Times New Roman" w:cs="Times New Roman"/>
          <w:color w:val="000000"/>
          <w:sz w:val="24"/>
          <w:szCs w:val="24"/>
        </w:rPr>
        <w:t xml:space="preserve"> abnormalities. </w:t>
      </w:r>
    </w:p>
    <w:p w14:paraId="76396253" w14:textId="77777777" w:rsidR="004A10AE" w:rsidRPr="0034022E" w:rsidRDefault="004A10AE" w:rsidP="007947DB">
      <w:pPr>
        <w:pStyle w:val="Heading2"/>
        <w:tabs>
          <w:tab w:val="num" w:pos="1418"/>
        </w:tabs>
        <w:spacing w:after="0"/>
        <w:ind w:left="1702" w:hangingChars="709" w:hanging="1702"/>
        <w:rPr>
          <w:rFonts w:eastAsia="Malgun Gothic" w:cs="Times New Roman"/>
          <w:b w:val="0"/>
          <w:szCs w:val="24"/>
          <w:u w:val="single"/>
          <w:lang w:eastAsia="ko-KR"/>
        </w:rPr>
      </w:pPr>
      <w:r w:rsidRPr="0034022E">
        <w:rPr>
          <w:rFonts w:eastAsia="Malgun Gothic" w:cs="Times New Roman"/>
          <w:b w:val="0"/>
          <w:szCs w:val="24"/>
          <w:u w:val="single"/>
          <w:lang w:eastAsia="ko-KR"/>
        </w:rPr>
        <w:t xml:space="preserve">Live Vaccines/Therapeutic Infectious Agents </w:t>
      </w:r>
    </w:p>
    <w:p w14:paraId="127DF3E1" w14:textId="77777777" w:rsidR="004A10AE" w:rsidRPr="0034022E" w:rsidRDefault="004A10AE" w:rsidP="007947DB">
      <w:pPr>
        <w:spacing w:after="0" w:line="240" w:lineRule="auto"/>
        <w:jc w:val="left"/>
        <w:rPr>
          <w:rFonts w:ascii="Times New Roman" w:eastAsia="Malgun Gothic" w:hAnsi="Times New Roman" w:cs="Times New Roman"/>
          <w:iCs/>
          <w:color w:val="000000"/>
          <w:sz w:val="24"/>
          <w:szCs w:val="24"/>
        </w:rPr>
      </w:pPr>
      <w:r w:rsidRPr="0034022E">
        <w:rPr>
          <w:rFonts w:ascii="Times New Roman" w:eastAsia="Malgun Gothic" w:hAnsi="Times New Roman" w:cs="Times New Roman"/>
          <w:iCs/>
          <w:color w:val="000000"/>
          <w:sz w:val="24"/>
          <w:szCs w:val="24"/>
        </w:rPr>
        <w:t xml:space="preserve">In patients receiving anti-TNF therapy, limited data are available on the response to vaccination or on the secondary transmission of infection by live vaccines. Use of live vaccines can result in clinical infections, including disseminated infections. The concurrent administration of live vaccines with </w:t>
      </w:r>
      <w:r>
        <w:rPr>
          <w:rFonts w:ascii="Times New Roman" w:eastAsia="Malgun Gothic" w:hAnsi="Times New Roman" w:cs="Times New Roman" w:hint="eastAsia"/>
          <w:iCs/>
          <w:color w:val="000000"/>
          <w:sz w:val="24"/>
          <w:szCs w:val="24"/>
        </w:rPr>
        <w:t>infliximab</w:t>
      </w:r>
      <w:r w:rsidRPr="0034022E">
        <w:rPr>
          <w:rFonts w:ascii="Times New Roman" w:eastAsia="Malgun Gothic" w:hAnsi="Times New Roman" w:cs="Times New Roman"/>
          <w:iCs/>
          <w:color w:val="000000"/>
          <w:sz w:val="24"/>
          <w:szCs w:val="24"/>
        </w:rPr>
        <w:t xml:space="preserve"> is not recommended. </w:t>
      </w:r>
    </w:p>
    <w:p w14:paraId="0501BD9B" w14:textId="77777777" w:rsidR="004A10AE" w:rsidRDefault="004A10AE" w:rsidP="007947DB">
      <w:pPr>
        <w:spacing w:after="0" w:line="240" w:lineRule="auto"/>
        <w:jc w:val="left"/>
        <w:rPr>
          <w:rFonts w:ascii="Times New Roman" w:eastAsia="Malgun Gothic" w:hAnsi="Times New Roman" w:cs="Times New Roman"/>
          <w:i/>
          <w:iCs/>
          <w:color w:val="000000"/>
          <w:sz w:val="24"/>
          <w:szCs w:val="24"/>
        </w:rPr>
      </w:pPr>
    </w:p>
    <w:p w14:paraId="2ED3A5FF" w14:textId="3D2C079A" w:rsidR="004A10AE" w:rsidRPr="00681BCE" w:rsidRDefault="004A10AE" w:rsidP="007947DB">
      <w:pPr>
        <w:spacing w:after="0" w:line="240" w:lineRule="auto"/>
        <w:jc w:val="left"/>
        <w:rPr>
          <w:rFonts w:ascii="Times New Roman" w:eastAsia="Malgun Gothic" w:hAnsi="Times New Roman" w:cs="Times New Roman"/>
          <w:iCs/>
          <w:color w:val="000000"/>
          <w:sz w:val="24"/>
          <w:szCs w:val="24"/>
        </w:rPr>
      </w:pPr>
      <w:r w:rsidRPr="00681BCE">
        <w:rPr>
          <w:rFonts w:ascii="Times New Roman" w:eastAsia="Malgun Gothic" w:hAnsi="Times New Roman" w:cs="Times New Roman"/>
          <w:iCs/>
          <w:color w:val="000000"/>
          <w:sz w:val="24"/>
          <w:szCs w:val="24"/>
        </w:rPr>
        <w:t xml:space="preserve">Fatal outcome due to disseminated </w:t>
      </w:r>
      <w:proofErr w:type="spellStart"/>
      <w:r w:rsidRPr="00681BCE">
        <w:rPr>
          <w:rFonts w:ascii="Times New Roman" w:eastAsia="Malgun Gothic" w:hAnsi="Times New Roman" w:cs="Times New Roman"/>
          <w:iCs/>
          <w:color w:val="000000"/>
          <w:sz w:val="24"/>
          <w:szCs w:val="24"/>
        </w:rPr>
        <w:t>Bacille</w:t>
      </w:r>
      <w:proofErr w:type="spellEnd"/>
      <w:r w:rsidRPr="00681BCE">
        <w:rPr>
          <w:rFonts w:ascii="Times New Roman" w:eastAsia="Malgun Gothic" w:hAnsi="Times New Roman" w:cs="Times New Roman"/>
          <w:iCs/>
          <w:color w:val="000000"/>
          <w:sz w:val="24"/>
          <w:szCs w:val="24"/>
        </w:rPr>
        <w:t xml:space="preserve"> </w:t>
      </w:r>
      <w:proofErr w:type="spellStart"/>
      <w:r w:rsidRPr="00681BCE">
        <w:rPr>
          <w:rFonts w:ascii="Times New Roman" w:eastAsia="Malgun Gothic" w:hAnsi="Times New Roman" w:cs="Times New Roman"/>
          <w:iCs/>
          <w:color w:val="000000"/>
          <w:sz w:val="24"/>
          <w:szCs w:val="24"/>
        </w:rPr>
        <w:t>Calmette-Guérin</w:t>
      </w:r>
      <w:proofErr w:type="spellEnd"/>
      <w:r w:rsidRPr="00681BCE">
        <w:rPr>
          <w:rFonts w:ascii="Times New Roman" w:eastAsia="Malgun Gothic" w:hAnsi="Times New Roman" w:cs="Times New Roman"/>
          <w:iCs/>
          <w:color w:val="000000"/>
          <w:sz w:val="24"/>
          <w:szCs w:val="24"/>
        </w:rPr>
        <w:t xml:space="preserve"> (BCG) infection has been reported in an infant who received BCG vaccine after in utero exposure to infliximab. At least a six month waiting period following birth is recommended before the administration of live vaccines to infants exposed in utero to infliximab (see Use in Pregnancy). </w:t>
      </w:r>
    </w:p>
    <w:p w14:paraId="58E98670" w14:textId="77777777" w:rsidR="00681BCE" w:rsidRPr="00D64ACC" w:rsidRDefault="00681BCE" w:rsidP="007947DB">
      <w:pPr>
        <w:spacing w:after="0" w:line="240" w:lineRule="auto"/>
        <w:jc w:val="left"/>
        <w:rPr>
          <w:rFonts w:ascii="Times New Roman" w:eastAsia="Malgun Gothic" w:hAnsi="Times New Roman" w:cs="Times New Roman"/>
          <w:i/>
          <w:iCs/>
          <w:color w:val="000000"/>
          <w:sz w:val="24"/>
          <w:szCs w:val="24"/>
        </w:rPr>
      </w:pPr>
    </w:p>
    <w:p w14:paraId="0893F471" w14:textId="77777777" w:rsidR="004A10AE" w:rsidRPr="009C3CD1" w:rsidRDefault="004A10AE" w:rsidP="007947DB">
      <w:pPr>
        <w:spacing w:line="240" w:lineRule="auto"/>
        <w:jc w:val="left"/>
        <w:rPr>
          <w:rFonts w:ascii="Times New Roman" w:eastAsia="Malgun Gothic" w:hAnsi="Times New Roman" w:cs="Times New Roman"/>
          <w:b/>
          <w:sz w:val="24"/>
          <w:szCs w:val="24"/>
          <w:u w:val="single"/>
        </w:rPr>
      </w:pPr>
      <w:r w:rsidRPr="009C3CD1">
        <w:rPr>
          <w:rFonts w:ascii="Times New Roman" w:eastAsia="Malgun Gothic" w:hAnsi="Times New Roman" w:cs="Times New Roman"/>
          <w:iCs/>
          <w:color w:val="000000"/>
          <w:sz w:val="24"/>
          <w:szCs w:val="24"/>
        </w:rPr>
        <w:lastRenderedPageBreak/>
        <w:t xml:space="preserve">Other uses of therapeutic infectious agents such as live attenuated bacteria (e.g., BCG bladder instillation for the treatment of cancer) could result in clinical infections, including disseminated infections. It is recommended that therapeutic infectious agents not be given concurrently with </w:t>
      </w:r>
      <w:r>
        <w:rPr>
          <w:rFonts w:ascii="Times New Roman" w:eastAsia="Malgun Gothic" w:hAnsi="Times New Roman" w:cs="Times New Roman" w:hint="eastAsia"/>
          <w:iCs/>
          <w:color w:val="000000"/>
          <w:sz w:val="24"/>
          <w:szCs w:val="24"/>
        </w:rPr>
        <w:t>RENFLEXIS</w:t>
      </w:r>
      <w:r w:rsidRPr="009C3CD1">
        <w:rPr>
          <w:rFonts w:ascii="Times New Roman" w:eastAsia="Malgun Gothic" w:hAnsi="Times New Roman" w:cs="Times New Roman"/>
          <w:iCs/>
          <w:color w:val="000000"/>
          <w:sz w:val="24"/>
          <w:szCs w:val="24"/>
        </w:rPr>
        <w:t>.</w:t>
      </w:r>
    </w:p>
    <w:p w14:paraId="2F154D7F" w14:textId="77777777" w:rsidR="004A10AE" w:rsidRPr="009C3CD1" w:rsidRDefault="004A10AE" w:rsidP="007947DB">
      <w:pPr>
        <w:spacing w:after="0" w:line="240" w:lineRule="auto"/>
        <w:jc w:val="left"/>
        <w:rPr>
          <w:rFonts w:ascii="Times New Roman" w:eastAsia="Malgun Gothic" w:hAnsi="Times New Roman" w:cs="Times New Roman"/>
          <w:iCs/>
          <w:color w:val="000000"/>
          <w:sz w:val="24"/>
          <w:szCs w:val="24"/>
        </w:rPr>
      </w:pPr>
      <w:r w:rsidRPr="009C3CD1">
        <w:rPr>
          <w:rFonts w:ascii="Times New Roman" w:eastAsia="Malgun Gothic" w:hAnsi="Times New Roman" w:cs="Times New Roman"/>
          <w:iCs/>
          <w:color w:val="000000"/>
          <w:sz w:val="24"/>
          <w:szCs w:val="24"/>
        </w:rPr>
        <w:t xml:space="preserve">Non-live Vaccines </w:t>
      </w:r>
    </w:p>
    <w:p w14:paraId="5F4ACEB0" w14:textId="77777777" w:rsidR="004A10AE" w:rsidRPr="0034022E" w:rsidRDefault="004A10AE" w:rsidP="007947DB">
      <w:pPr>
        <w:spacing w:after="0" w:line="240" w:lineRule="auto"/>
        <w:jc w:val="left"/>
        <w:rPr>
          <w:rFonts w:ascii="Times New Roman" w:eastAsia="Malgun Gothic" w:hAnsi="Times New Roman" w:cs="Times New Roman"/>
          <w:b/>
          <w:sz w:val="24"/>
          <w:szCs w:val="24"/>
          <w:u w:val="single"/>
        </w:rPr>
      </w:pPr>
      <w:r w:rsidRPr="009C3CD1">
        <w:rPr>
          <w:rFonts w:ascii="Times New Roman" w:eastAsia="Malgun Gothic" w:hAnsi="Times New Roman" w:cs="Times New Roman"/>
          <w:iCs/>
          <w:color w:val="000000"/>
          <w:sz w:val="24"/>
          <w:szCs w:val="24"/>
        </w:rPr>
        <w:t xml:space="preserve">In a subset of patients from the ASPIRE study, a similar proportion of patients in each treatment group mounted an effective two-fold increase in </w:t>
      </w:r>
      <w:proofErr w:type="spellStart"/>
      <w:r w:rsidRPr="009C3CD1">
        <w:rPr>
          <w:rFonts w:ascii="Times New Roman" w:eastAsia="Malgun Gothic" w:hAnsi="Times New Roman" w:cs="Times New Roman"/>
          <w:iCs/>
          <w:color w:val="000000"/>
          <w:sz w:val="24"/>
          <w:szCs w:val="24"/>
        </w:rPr>
        <w:t>titres</w:t>
      </w:r>
      <w:proofErr w:type="spellEnd"/>
      <w:r w:rsidRPr="009C3CD1">
        <w:rPr>
          <w:rFonts w:ascii="Times New Roman" w:eastAsia="Malgun Gothic" w:hAnsi="Times New Roman" w:cs="Times New Roman"/>
          <w:iCs/>
          <w:color w:val="000000"/>
          <w:sz w:val="24"/>
          <w:szCs w:val="24"/>
        </w:rPr>
        <w:t xml:space="preserve"> to a polyvalent pneumococcal vaccine, indicating that </w:t>
      </w:r>
      <w:r>
        <w:rPr>
          <w:rFonts w:ascii="Times New Roman" w:eastAsia="Malgun Gothic" w:hAnsi="Times New Roman" w:cs="Times New Roman" w:hint="eastAsia"/>
          <w:iCs/>
          <w:color w:val="000000"/>
          <w:sz w:val="24"/>
          <w:szCs w:val="24"/>
        </w:rPr>
        <w:t>infliximab</w:t>
      </w:r>
      <w:r w:rsidRPr="009C3CD1">
        <w:rPr>
          <w:rFonts w:ascii="Times New Roman" w:eastAsia="Malgun Gothic" w:hAnsi="Times New Roman" w:cs="Times New Roman"/>
          <w:iCs/>
          <w:color w:val="000000"/>
          <w:sz w:val="24"/>
          <w:szCs w:val="24"/>
        </w:rPr>
        <w:t xml:space="preserve"> did not interfere with T-cell independent humoral immune responses</w:t>
      </w:r>
    </w:p>
    <w:p w14:paraId="53E80FB3" w14:textId="77777777" w:rsidR="004A10AE" w:rsidRPr="0035249D" w:rsidRDefault="004A10AE" w:rsidP="007947DB">
      <w:pPr>
        <w:pStyle w:val="Heading2"/>
        <w:tabs>
          <w:tab w:val="num" w:pos="1418"/>
        </w:tabs>
        <w:spacing w:after="0"/>
        <w:ind w:left="1702" w:hangingChars="709" w:hanging="1702"/>
        <w:rPr>
          <w:rFonts w:eastAsia="Malgun Gothic" w:cs="Times New Roman"/>
          <w:b w:val="0"/>
          <w:szCs w:val="24"/>
          <w:u w:val="single"/>
          <w:lang w:eastAsia="ko-KR"/>
        </w:rPr>
      </w:pPr>
      <w:r w:rsidRPr="0035249D">
        <w:rPr>
          <w:rFonts w:eastAsia="Malgun Gothic" w:cs="Times New Roman"/>
          <w:b w:val="0"/>
          <w:szCs w:val="24"/>
          <w:u w:val="single"/>
          <w:lang w:eastAsia="ko-KR"/>
        </w:rPr>
        <w:t xml:space="preserve">Use in patients with congestive heart failure </w:t>
      </w:r>
    </w:p>
    <w:p w14:paraId="08AF3719" w14:textId="77777777" w:rsidR="004A10AE" w:rsidRDefault="004A10AE" w:rsidP="007947DB">
      <w:pPr>
        <w:spacing w:after="0" w:line="240" w:lineRule="auto"/>
        <w:jc w:val="left"/>
        <w:rPr>
          <w:rFonts w:ascii="Times New Roman" w:eastAsia="Malgun Gothic" w:hAnsi="Times New Roman" w:cs="Times New Roman"/>
          <w:iCs/>
          <w:color w:val="000000"/>
          <w:sz w:val="24"/>
          <w:szCs w:val="24"/>
        </w:rPr>
      </w:pPr>
      <w:r w:rsidRPr="0025669D">
        <w:rPr>
          <w:rFonts w:ascii="Times New Roman" w:eastAsia="Malgun Gothic" w:hAnsi="Times New Roman" w:cs="Times New Roman"/>
          <w:iCs/>
          <w:color w:val="000000"/>
          <w:sz w:val="24"/>
          <w:szCs w:val="24"/>
        </w:rPr>
        <w:t xml:space="preserve">Treatment should be discontinued in patients whose congestive heart failure is worsening. </w:t>
      </w:r>
    </w:p>
    <w:p w14:paraId="44E1713B" w14:textId="77777777" w:rsidR="004A10AE" w:rsidRPr="0025669D" w:rsidRDefault="004A10AE" w:rsidP="007947DB">
      <w:pPr>
        <w:spacing w:after="0" w:line="240" w:lineRule="auto"/>
        <w:jc w:val="left"/>
        <w:rPr>
          <w:rFonts w:ascii="Times New Roman" w:eastAsia="Malgun Gothic" w:hAnsi="Times New Roman" w:cs="Times New Roman"/>
          <w:iCs/>
          <w:color w:val="000000"/>
          <w:sz w:val="24"/>
          <w:szCs w:val="24"/>
        </w:rPr>
      </w:pPr>
    </w:p>
    <w:p w14:paraId="17C1B249" w14:textId="77777777" w:rsidR="004A10AE" w:rsidRPr="0025669D" w:rsidRDefault="004A10AE" w:rsidP="007947DB">
      <w:pPr>
        <w:spacing w:line="240" w:lineRule="auto"/>
        <w:jc w:val="left"/>
        <w:rPr>
          <w:rFonts w:ascii="Times New Roman" w:eastAsia="Malgun Gothic" w:hAnsi="Times New Roman" w:cs="Times New Roman"/>
          <w:iCs/>
          <w:color w:val="000000"/>
          <w:sz w:val="24"/>
          <w:szCs w:val="24"/>
        </w:rPr>
      </w:pPr>
      <w:r w:rsidRPr="0025669D">
        <w:rPr>
          <w:rFonts w:ascii="Times New Roman" w:eastAsia="Malgun Gothic" w:hAnsi="Times New Roman" w:cs="Times New Roman"/>
          <w:iCs/>
          <w:color w:val="000000"/>
          <w:sz w:val="24"/>
          <w:szCs w:val="24"/>
        </w:rPr>
        <w:t xml:space="preserve">Treatment discontinuation should be considered in patients with stable congestive heart failure, especially in those who have not had a significant clinical response to </w:t>
      </w:r>
      <w:r w:rsidRPr="0025669D">
        <w:rPr>
          <w:rFonts w:ascii="Times New Roman" w:eastAsia="Malgun Gothic" w:hAnsi="Times New Roman" w:cs="Times New Roman"/>
          <w:sz w:val="24"/>
          <w:szCs w:val="24"/>
        </w:rPr>
        <w:t>infliximab</w:t>
      </w:r>
      <w:r w:rsidRPr="0025669D">
        <w:rPr>
          <w:rFonts w:ascii="Times New Roman" w:eastAsia="Malgun Gothic" w:hAnsi="Times New Roman" w:cs="Times New Roman"/>
          <w:iCs/>
          <w:color w:val="000000"/>
          <w:sz w:val="24"/>
          <w:szCs w:val="24"/>
        </w:rPr>
        <w:t xml:space="preserve"> therapy. If a decision is made to continue treatment, cardiac status should be closely monitored. </w:t>
      </w:r>
    </w:p>
    <w:p w14:paraId="7CE169CA" w14:textId="77777777" w:rsidR="004A10AE" w:rsidRPr="0035249D" w:rsidRDefault="004A10AE" w:rsidP="007947DB">
      <w:pPr>
        <w:pStyle w:val="Heading2"/>
        <w:tabs>
          <w:tab w:val="num" w:pos="1418"/>
        </w:tabs>
        <w:spacing w:after="0"/>
        <w:ind w:left="1702" w:hangingChars="709" w:hanging="1702"/>
        <w:rPr>
          <w:rFonts w:eastAsia="Malgun Gothic" w:cs="Times New Roman"/>
          <w:b w:val="0"/>
          <w:szCs w:val="24"/>
          <w:u w:val="single"/>
          <w:lang w:eastAsia="ko-KR"/>
        </w:rPr>
      </w:pPr>
      <w:r w:rsidRPr="0035249D">
        <w:rPr>
          <w:rFonts w:eastAsia="Malgun Gothic" w:cs="Times New Roman"/>
          <w:b w:val="0"/>
          <w:szCs w:val="24"/>
          <w:u w:val="single"/>
          <w:lang w:eastAsia="ko-KR"/>
        </w:rPr>
        <w:t xml:space="preserve">Hepatobiliary Events </w:t>
      </w:r>
    </w:p>
    <w:p w14:paraId="504B14C0" w14:textId="030128F1" w:rsidR="004A10AE" w:rsidRDefault="005F29C6" w:rsidP="007947DB">
      <w:pPr>
        <w:spacing w:after="0" w:line="240" w:lineRule="auto"/>
        <w:jc w:val="left"/>
        <w:rPr>
          <w:rFonts w:ascii="Times New Roman" w:eastAsia="Malgun Gothic" w:hAnsi="Times New Roman" w:cs="Times New Roman"/>
          <w:iCs/>
          <w:color w:val="000000"/>
          <w:sz w:val="24"/>
          <w:szCs w:val="24"/>
        </w:rPr>
      </w:pPr>
      <w:r>
        <w:rPr>
          <w:rFonts w:ascii="Times New Roman" w:eastAsia="Malgun Gothic" w:hAnsi="Times New Roman" w:cs="Times New Roman" w:hint="eastAsia"/>
          <w:iCs/>
          <w:color w:val="000000"/>
          <w:sz w:val="24"/>
          <w:szCs w:val="24"/>
        </w:rPr>
        <w:t>C</w:t>
      </w:r>
      <w:r w:rsidR="004A10AE" w:rsidRPr="0025669D">
        <w:rPr>
          <w:rFonts w:ascii="Times New Roman" w:eastAsia="Malgun Gothic" w:hAnsi="Times New Roman" w:cs="Times New Roman"/>
          <w:iCs/>
          <w:color w:val="000000"/>
          <w:sz w:val="24"/>
          <w:szCs w:val="24"/>
        </w:rPr>
        <w:t xml:space="preserve">ases of jaundice and non-infectious hepatitis, some with features of autoimmune hepatitis, have been observed in the post-marketing experience of </w:t>
      </w:r>
      <w:r w:rsidR="004A10AE">
        <w:rPr>
          <w:rFonts w:ascii="Times New Roman" w:eastAsia="Malgun Gothic" w:hAnsi="Times New Roman" w:cs="Times New Roman" w:hint="eastAsia"/>
          <w:color w:val="000000"/>
          <w:sz w:val="24"/>
          <w:szCs w:val="24"/>
        </w:rPr>
        <w:t>i</w:t>
      </w:r>
      <w:r w:rsidR="004A10AE" w:rsidRPr="0025669D">
        <w:rPr>
          <w:rFonts w:ascii="Times New Roman" w:eastAsia="Malgun Gothic" w:hAnsi="Times New Roman" w:cs="Times New Roman"/>
          <w:color w:val="000000"/>
          <w:sz w:val="24"/>
          <w:szCs w:val="24"/>
        </w:rPr>
        <w:t>nfliximab</w:t>
      </w:r>
      <w:r>
        <w:rPr>
          <w:rFonts w:ascii="Times New Roman" w:eastAsia="Malgun Gothic" w:hAnsi="Times New Roman" w:cs="Times New Roman" w:hint="eastAsia"/>
          <w:color w:val="000000"/>
          <w:sz w:val="24"/>
          <w:szCs w:val="24"/>
        </w:rPr>
        <w:t xml:space="preserve"> (see ADVERSE EFFECTS </w:t>
      </w:r>
      <w:r>
        <w:rPr>
          <w:rFonts w:ascii="Times New Roman" w:eastAsia="Malgun Gothic" w:hAnsi="Times New Roman" w:cs="Times New Roman"/>
          <w:color w:val="000000"/>
          <w:sz w:val="24"/>
          <w:szCs w:val="24"/>
        </w:rPr>
        <w:t>–</w:t>
      </w:r>
      <w:r>
        <w:rPr>
          <w:rFonts w:ascii="Times New Roman" w:eastAsia="Malgun Gothic" w:hAnsi="Times New Roman" w:cs="Times New Roman" w:hint="eastAsia"/>
          <w:color w:val="000000"/>
          <w:sz w:val="24"/>
          <w:szCs w:val="24"/>
        </w:rPr>
        <w:t xml:space="preserve"> </w:t>
      </w:r>
      <w:r w:rsidRPr="005F29C6">
        <w:rPr>
          <w:rFonts w:ascii="Times New Roman" w:eastAsia="Malgun Gothic" w:hAnsi="Times New Roman" w:cs="Times New Roman"/>
          <w:color w:val="000000"/>
          <w:sz w:val="24"/>
          <w:szCs w:val="24"/>
        </w:rPr>
        <w:fldChar w:fldCharType="begin"/>
      </w:r>
      <w:r w:rsidRPr="005F29C6">
        <w:rPr>
          <w:rFonts w:ascii="Times New Roman" w:eastAsia="Malgun Gothic" w:hAnsi="Times New Roman" w:cs="Times New Roman"/>
          <w:color w:val="000000"/>
          <w:sz w:val="24"/>
          <w:szCs w:val="24"/>
        </w:rPr>
        <w:instrText xml:space="preserve"> </w:instrText>
      </w:r>
      <w:r w:rsidRPr="005F29C6">
        <w:rPr>
          <w:rFonts w:ascii="Times New Roman" w:eastAsia="Malgun Gothic" w:hAnsi="Times New Roman" w:cs="Times New Roman" w:hint="eastAsia"/>
          <w:color w:val="000000"/>
          <w:sz w:val="24"/>
          <w:szCs w:val="24"/>
        </w:rPr>
        <w:instrText>REF _Ref484153773 \h</w:instrText>
      </w:r>
      <w:r w:rsidRPr="005F29C6">
        <w:rPr>
          <w:rFonts w:ascii="Times New Roman" w:eastAsia="Malgun Gothic" w:hAnsi="Times New Roman" w:cs="Times New Roman"/>
          <w:color w:val="000000"/>
          <w:sz w:val="24"/>
          <w:szCs w:val="24"/>
        </w:rPr>
        <w:instrText xml:space="preserve"> </w:instrText>
      </w:r>
      <w:r>
        <w:rPr>
          <w:rFonts w:ascii="Times New Roman" w:eastAsia="Malgun Gothic" w:hAnsi="Times New Roman" w:cs="Times New Roman"/>
          <w:color w:val="000000"/>
          <w:sz w:val="24"/>
          <w:szCs w:val="24"/>
        </w:rPr>
        <w:instrText xml:space="preserve"> \* MERGEFORMAT </w:instrText>
      </w:r>
      <w:r w:rsidRPr="005F29C6">
        <w:rPr>
          <w:rFonts w:ascii="Times New Roman" w:eastAsia="Malgun Gothic" w:hAnsi="Times New Roman" w:cs="Times New Roman"/>
          <w:color w:val="000000"/>
          <w:sz w:val="24"/>
          <w:szCs w:val="24"/>
        </w:rPr>
      </w:r>
      <w:r w:rsidRPr="005F29C6">
        <w:rPr>
          <w:rFonts w:ascii="Times New Roman" w:eastAsia="Malgun Gothic" w:hAnsi="Times New Roman" w:cs="Times New Roman"/>
          <w:color w:val="000000"/>
          <w:sz w:val="24"/>
          <w:szCs w:val="24"/>
        </w:rPr>
        <w:fldChar w:fldCharType="separate"/>
      </w:r>
      <w:r w:rsidR="005A6BF4" w:rsidRPr="005A6BF4">
        <w:rPr>
          <w:rFonts w:ascii="Times New Roman" w:hAnsi="Times New Roman" w:cs="Times New Roman"/>
          <w:sz w:val="24"/>
          <w:szCs w:val="24"/>
        </w:rPr>
        <w:t xml:space="preserve">Table </w:t>
      </w:r>
      <w:r w:rsidR="005A6BF4" w:rsidRPr="005A6BF4">
        <w:rPr>
          <w:rFonts w:ascii="Times New Roman" w:hAnsi="Times New Roman" w:cs="Times New Roman"/>
          <w:noProof/>
          <w:sz w:val="24"/>
          <w:szCs w:val="24"/>
        </w:rPr>
        <w:t>13</w:t>
      </w:r>
      <w:r w:rsidRPr="005F29C6">
        <w:rPr>
          <w:rFonts w:ascii="Times New Roman" w:eastAsia="Malgun Gothic" w:hAnsi="Times New Roman" w:cs="Times New Roman"/>
          <w:color w:val="000000"/>
          <w:sz w:val="24"/>
          <w:szCs w:val="24"/>
        </w:rPr>
        <w:fldChar w:fldCharType="end"/>
      </w:r>
      <w:r w:rsidRPr="005F29C6">
        <w:rPr>
          <w:rFonts w:ascii="Times New Roman" w:eastAsia="Malgun Gothic" w:hAnsi="Times New Roman" w:cs="Times New Roman" w:hint="eastAsia"/>
          <w:color w:val="000000"/>
          <w:sz w:val="24"/>
          <w:szCs w:val="24"/>
        </w:rPr>
        <w:t>)</w:t>
      </w:r>
      <w:r w:rsidR="004A10AE" w:rsidRPr="005F29C6">
        <w:rPr>
          <w:rFonts w:ascii="Times New Roman" w:eastAsia="Malgun Gothic" w:hAnsi="Times New Roman" w:cs="Times New Roman"/>
          <w:iCs/>
          <w:color w:val="000000"/>
          <w:sz w:val="24"/>
          <w:szCs w:val="24"/>
        </w:rPr>
        <w:t>.</w:t>
      </w:r>
      <w:r w:rsidR="004A10AE" w:rsidRPr="0025669D">
        <w:rPr>
          <w:rFonts w:ascii="Times New Roman" w:eastAsia="Malgun Gothic" w:hAnsi="Times New Roman" w:cs="Times New Roman"/>
          <w:iCs/>
          <w:color w:val="000000"/>
          <w:sz w:val="24"/>
          <w:szCs w:val="24"/>
        </w:rPr>
        <w:t xml:space="preserve"> Isolated cases of liver failure resulting in liver transplantation or death have occurred. A causal relationship between </w:t>
      </w:r>
      <w:r w:rsidR="004A10AE">
        <w:rPr>
          <w:rFonts w:ascii="Times New Roman" w:eastAsia="Malgun Gothic" w:hAnsi="Times New Roman" w:cs="Times New Roman" w:hint="eastAsia"/>
          <w:color w:val="000000"/>
          <w:sz w:val="24"/>
          <w:szCs w:val="24"/>
        </w:rPr>
        <w:t>i</w:t>
      </w:r>
      <w:r w:rsidR="004A10AE" w:rsidRPr="0025669D">
        <w:rPr>
          <w:rFonts w:ascii="Times New Roman" w:eastAsia="Malgun Gothic" w:hAnsi="Times New Roman" w:cs="Times New Roman"/>
          <w:color w:val="000000"/>
          <w:sz w:val="24"/>
          <w:szCs w:val="24"/>
        </w:rPr>
        <w:t>nfliximab</w:t>
      </w:r>
      <w:r w:rsidR="004A10AE" w:rsidRPr="0025669D">
        <w:rPr>
          <w:rFonts w:ascii="Times New Roman" w:eastAsia="Malgun Gothic" w:hAnsi="Times New Roman" w:cs="Times New Roman"/>
          <w:iCs/>
          <w:color w:val="000000"/>
          <w:sz w:val="24"/>
          <w:szCs w:val="24"/>
        </w:rPr>
        <w:t xml:space="preserve"> and these events has not been established. Patients with symptoms or signs of liver dysfunction should be evaluated for evidence of liver injury. If jaundice and/or ALT elevations ≥5 times the upper limit of normal develops, </w:t>
      </w:r>
      <w:r w:rsidR="004A10AE">
        <w:rPr>
          <w:rFonts w:ascii="Times New Roman" w:eastAsia="Malgun Gothic" w:hAnsi="Times New Roman" w:cs="Times New Roman" w:hint="eastAsia"/>
          <w:bCs/>
          <w:iCs/>
          <w:kern w:val="0"/>
          <w:sz w:val="24"/>
          <w:szCs w:val="24"/>
        </w:rPr>
        <w:t>RENFLEXIS</w:t>
      </w:r>
      <w:r w:rsidR="004A10AE" w:rsidRPr="0025669D">
        <w:rPr>
          <w:rFonts w:ascii="Times New Roman" w:eastAsia="Malgun Gothic" w:hAnsi="Times New Roman" w:cs="Times New Roman"/>
          <w:iCs/>
          <w:color w:val="000000"/>
          <w:sz w:val="24"/>
          <w:szCs w:val="24"/>
        </w:rPr>
        <w:t xml:space="preserve"> should be discontinued, and a thorough investigation of the abnormality should be undertaken. As also observed with the use of other immunosuppressive drugs, reactivation of hepatitis B has occurred in patients receiving </w:t>
      </w:r>
      <w:r w:rsidR="004A10AE">
        <w:rPr>
          <w:rFonts w:ascii="Times New Roman" w:eastAsia="Malgun Gothic" w:hAnsi="Times New Roman" w:cs="Times New Roman" w:hint="eastAsia"/>
          <w:color w:val="000000"/>
          <w:sz w:val="24"/>
          <w:szCs w:val="24"/>
        </w:rPr>
        <w:t>i</w:t>
      </w:r>
      <w:r w:rsidR="004A10AE" w:rsidRPr="0025669D">
        <w:rPr>
          <w:rFonts w:ascii="Times New Roman" w:eastAsia="Malgun Gothic" w:hAnsi="Times New Roman" w:cs="Times New Roman"/>
          <w:color w:val="000000"/>
          <w:sz w:val="24"/>
          <w:szCs w:val="24"/>
        </w:rPr>
        <w:t>nfliximab</w:t>
      </w:r>
      <w:r w:rsidR="004A10AE" w:rsidRPr="0025669D">
        <w:rPr>
          <w:rFonts w:ascii="Times New Roman" w:eastAsia="Malgun Gothic" w:hAnsi="Times New Roman" w:cs="Times New Roman"/>
          <w:iCs/>
          <w:color w:val="000000"/>
          <w:sz w:val="24"/>
          <w:szCs w:val="24"/>
        </w:rPr>
        <w:t xml:space="preserve"> who are chronic carriers of this virus (i.e. surface antigen positive). Patients should be tested for Hepatitis B Virus (HBV) infection before initiating treatment with </w:t>
      </w:r>
      <w:proofErr w:type="spellStart"/>
      <w:r w:rsidR="004A10AE" w:rsidRPr="0025669D">
        <w:rPr>
          <w:rFonts w:ascii="Times New Roman" w:eastAsia="Malgun Gothic" w:hAnsi="Times New Roman" w:cs="Times New Roman"/>
          <w:iCs/>
          <w:color w:val="000000"/>
          <w:sz w:val="24"/>
          <w:szCs w:val="24"/>
        </w:rPr>
        <w:t>immunosuppressants</w:t>
      </w:r>
      <w:proofErr w:type="spellEnd"/>
      <w:r w:rsidR="004A10AE" w:rsidRPr="0025669D">
        <w:rPr>
          <w:rFonts w:ascii="Times New Roman" w:eastAsia="Malgun Gothic" w:hAnsi="Times New Roman" w:cs="Times New Roman"/>
          <w:iCs/>
          <w:color w:val="000000"/>
          <w:sz w:val="24"/>
          <w:szCs w:val="24"/>
        </w:rPr>
        <w:t xml:space="preserve">, including </w:t>
      </w:r>
      <w:r w:rsidR="004A10AE" w:rsidRPr="0025669D">
        <w:rPr>
          <w:rFonts w:ascii="Times New Roman" w:eastAsia="Malgun Gothic" w:hAnsi="Times New Roman" w:cs="Times New Roman"/>
          <w:sz w:val="24"/>
          <w:szCs w:val="24"/>
        </w:rPr>
        <w:t>infliximab</w:t>
      </w:r>
      <w:r w:rsidR="004A10AE" w:rsidRPr="0025669D">
        <w:rPr>
          <w:rFonts w:ascii="Times New Roman" w:eastAsia="Malgun Gothic" w:hAnsi="Times New Roman" w:cs="Times New Roman"/>
          <w:iCs/>
          <w:color w:val="000000"/>
          <w:sz w:val="24"/>
          <w:szCs w:val="24"/>
        </w:rPr>
        <w:t xml:space="preserve">. For patients who test positive for hepatitis B surface antigen, consultation with a physician with expertise in the treatment of hepatitis B is recommended. Chronic carriers of hepatitis B should be appropriately evaluated and monitored prior to the initiation of, during treatment with, and for several months following the discontinuation of </w:t>
      </w:r>
      <w:r w:rsidR="004A10AE" w:rsidRPr="0025669D">
        <w:rPr>
          <w:rFonts w:ascii="Times New Roman" w:eastAsia="Malgun Gothic" w:hAnsi="Times New Roman" w:cs="Times New Roman"/>
          <w:sz w:val="24"/>
          <w:szCs w:val="24"/>
        </w:rPr>
        <w:t>infliximab</w:t>
      </w:r>
      <w:r w:rsidR="004A10AE" w:rsidRPr="0025669D">
        <w:rPr>
          <w:rFonts w:ascii="Times New Roman" w:eastAsia="Malgun Gothic" w:hAnsi="Times New Roman" w:cs="Times New Roman"/>
          <w:iCs/>
          <w:color w:val="000000"/>
          <w:sz w:val="24"/>
          <w:szCs w:val="24"/>
        </w:rPr>
        <w:t xml:space="preserve">. </w:t>
      </w:r>
    </w:p>
    <w:p w14:paraId="5CAC17A3" w14:textId="0C9F3EFA" w:rsidR="00E3587C" w:rsidRPr="00E3587C" w:rsidRDefault="00E3587C" w:rsidP="007947DB">
      <w:pPr>
        <w:pStyle w:val="Heading2"/>
        <w:tabs>
          <w:tab w:val="num" w:pos="1418"/>
        </w:tabs>
        <w:spacing w:after="0"/>
        <w:rPr>
          <w:rFonts w:eastAsia="Malgun Gothic" w:cs="Times New Roman"/>
          <w:b w:val="0"/>
          <w:szCs w:val="24"/>
          <w:u w:val="single"/>
          <w:lang w:eastAsia="ko-KR"/>
        </w:rPr>
      </w:pPr>
      <w:r w:rsidRPr="00E3587C">
        <w:rPr>
          <w:rFonts w:eastAsia="Malgun Gothic" w:cs="Times New Roman"/>
          <w:b w:val="0"/>
          <w:szCs w:val="24"/>
          <w:u w:val="single"/>
          <w:lang w:eastAsia="ko-KR"/>
        </w:rPr>
        <w:t>Effects on Fertility</w:t>
      </w:r>
    </w:p>
    <w:p w14:paraId="0F501E77" w14:textId="77777777" w:rsidR="004A10AE" w:rsidRDefault="004A10AE" w:rsidP="007947DB">
      <w:pPr>
        <w:spacing w:line="240" w:lineRule="auto"/>
        <w:jc w:val="left"/>
        <w:rPr>
          <w:rFonts w:ascii="Times New Roman" w:eastAsia="Malgun Gothic" w:hAnsi="Times New Roman" w:cs="Times New Roman"/>
          <w:iCs/>
          <w:color w:val="000000"/>
          <w:sz w:val="24"/>
          <w:szCs w:val="24"/>
        </w:rPr>
      </w:pPr>
      <w:r w:rsidRPr="0025669D">
        <w:rPr>
          <w:rFonts w:ascii="Times New Roman" w:eastAsia="Malgun Gothic" w:hAnsi="Times New Roman" w:cs="Times New Roman"/>
          <w:iCs/>
          <w:color w:val="000000"/>
          <w:sz w:val="24"/>
          <w:szCs w:val="24"/>
        </w:rPr>
        <w:t xml:space="preserve">The effect of infliximab on fertility has not been investigated. No impairment of fertility was observed in a fertility and general reproduction study conducted in mice using an analogous antibody that selectively inhibits the functional activity of mouse </w:t>
      </w:r>
      <w:r>
        <w:rPr>
          <w:rFonts w:ascii="Times New Roman" w:eastAsia="Malgun Gothic" w:hAnsi="Times New Roman" w:cs="Times New Roman"/>
          <w:iCs/>
          <w:color w:val="000000"/>
          <w:sz w:val="24"/>
          <w:szCs w:val="24"/>
        </w:rPr>
        <w:t>TNF</w:t>
      </w:r>
      <w:r w:rsidRPr="0025669D">
        <w:rPr>
          <w:rFonts w:ascii="Times New Roman" w:eastAsia="Malgun Gothic" w:hAnsi="Times New Roman" w:cs="Times New Roman"/>
          <w:iCs/>
          <w:color w:val="000000"/>
          <w:sz w:val="24"/>
          <w:szCs w:val="24"/>
        </w:rPr>
        <w:t xml:space="preserve">α. </w:t>
      </w:r>
    </w:p>
    <w:p w14:paraId="0FAD771A" w14:textId="77777777" w:rsidR="004A10AE" w:rsidRPr="0035249D" w:rsidRDefault="004A10AE" w:rsidP="007947DB">
      <w:pPr>
        <w:pStyle w:val="Heading2"/>
        <w:tabs>
          <w:tab w:val="num" w:pos="1418"/>
        </w:tabs>
        <w:spacing w:after="0"/>
        <w:ind w:left="1702" w:hangingChars="709" w:hanging="1702"/>
        <w:rPr>
          <w:rFonts w:eastAsia="Malgun Gothic" w:cs="Times New Roman"/>
          <w:b w:val="0"/>
          <w:szCs w:val="24"/>
          <w:u w:val="single"/>
          <w:lang w:eastAsia="ko-KR"/>
        </w:rPr>
      </w:pPr>
      <w:r w:rsidRPr="0035249D">
        <w:rPr>
          <w:rFonts w:eastAsia="Malgun Gothic" w:cs="Times New Roman"/>
          <w:b w:val="0"/>
          <w:szCs w:val="24"/>
          <w:u w:val="single"/>
          <w:lang w:eastAsia="ko-KR"/>
        </w:rPr>
        <w:t xml:space="preserve">Use in </w:t>
      </w:r>
      <w:r w:rsidRPr="00E3587C">
        <w:rPr>
          <w:rFonts w:eastAsia="Malgun Gothic" w:cs="Times New Roman"/>
          <w:b w:val="0"/>
          <w:szCs w:val="24"/>
          <w:u w:val="single"/>
          <w:lang w:eastAsia="ko-KR"/>
        </w:rPr>
        <w:t>Pregnancy (Category C)</w:t>
      </w:r>
      <w:r w:rsidRPr="00855641">
        <w:rPr>
          <w:rFonts w:eastAsia="Malgun Gothic" w:cs="Times New Roman"/>
          <w:b w:val="0"/>
          <w:szCs w:val="24"/>
          <w:lang w:eastAsia="ko-KR"/>
        </w:rPr>
        <w:t xml:space="preserve"> </w:t>
      </w:r>
    </w:p>
    <w:p w14:paraId="0CBED8F2" w14:textId="77777777" w:rsidR="004A10AE" w:rsidRDefault="004A10AE" w:rsidP="007947DB">
      <w:pPr>
        <w:spacing w:after="0" w:line="240" w:lineRule="auto"/>
        <w:jc w:val="left"/>
        <w:rPr>
          <w:rFonts w:ascii="Times New Roman" w:eastAsia="Malgun Gothic" w:hAnsi="Times New Roman" w:cs="Times New Roman"/>
          <w:iCs/>
          <w:color w:val="000000"/>
          <w:sz w:val="24"/>
          <w:szCs w:val="24"/>
        </w:rPr>
      </w:pPr>
      <w:r>
        <w:rPr>
          <w:rFonts w:ascii="Times New Roman" w:eastAsia="Malgun Gothic" w:hAnsi="Times New Roman" w:cs="Times New Roman" w:hint="eastAsia"/>
          <w:bCs/>
          <w:iCs/>
          <w:kern w:val="0"/>
          <w:sz w:val="24"/>
          <w:szCs w:val="24"/>
        </w:rPr>
        <w:t>RENFLEXIS</w:t>
      </w:r>
      <w:r w:rsidRPr="0025669D">
        <w:rPr>
          <w:rFonts w:ascii="Times New Roman" w:eastAsia="Malgun Gothic" w:hAnsi="Times New Roman" w:cs="Times New Roman"/>
          <w:iCs/>
          <w:color w:val="000000"/>
          <w:sz w:val="24"/>
          <w:szCs w:val="24"/>
        </w:rPr>
        <w:t xml:space="preserve"> is not recommended for use during pregnancy. It is not known whether </w:t>
      </w:r>
      <w:r w:rsidRPr="0025669D">
        <w:rPr>
          <w:rFonts w:ascii="Times New Roman" w:eastAsia="Malgun Gothic" w:hAnsi="Times New Roman" w:cs="Times New Roman"/>
          <w:sz w:val="24"/>
          <w:szCs w:val="24"/>
        </w:rPr>
        <w:t>infliximab</w:t>
      </w:r>
      <w:r w:rsidRPr="0025669D">
        <w:rPr>
          <w:rFonts w:ascii="Times New Roman" w:eastAsia="Malgun Gothic" w:hAnsi="Times New Roman" w:cs="Times New Roman"/>
          <w:iCs/>
          <w:color w:val="000000"/>
          <w:sz w:val="24"/>
          <w:szCs w:val="24"/>
        </w:rPr>
        <w:t xml:space="preserve"> can affect reproductive capacity or can cause </w:t>
      </w:r>
      <w:proofErr w:type="spellStart"/>
      <w:r w:rsidRPr="0025669D">
        <w:rPr>
          <w:rFonts w:ascii="Times New Roman" w:eastAsia="Malgun Gothic" w:hAnsi="Times New Roman" w:cs="Times New Roman"/>
          <w:iCs/>
          <w:color w:val="000000"/>
          <w:sz w:val="24"/>
          <w:szCs w:val="24"/>
        </w:rPr>
        <w:t>foetal</w:t>
      </w:r>
      <w:proofErr w:type="spellEnd"/>
      <w:r w:rsidRPr="0025669D">
        <w:rPr>
          <w:rFonts w:ascii="Times New Roman" w:eastAsia="Malgun Gothic" w:hAnsi="Times New Roman" w:cs="Times New Roman"/>
          <w:iCs/>
          <w:color w:val="000000"/>
          <w:sz w:val="24"/>
          <w:szCs w:val="24"/>
        </w:rPr>
        <w:t xml:space="preserve"> harm when administered to a pregnant woman. Women of childbearing potential must use adequate contraception to </w:t>
      </w:r>
      <w:r w:rsidRPr="0025669D">
        <w:rPr>
          <w:rFonts w:ascii="Times New Roman" w:eastAsia="Malgun Gothic" w:hAnsi="Times New Roman" w:cs="Times New Roman"/>
          <w:iCs/>
          <w:color w:val="000000"/>
          <w:sz w:val="24"/>
          <w:szCs w:val="24"/>
        </w:rPr>
        <w:lastRenderedPageBreak/>
        <w:t xml:space="preserve">prevent pregnancy and continue its use for at least 6 months after the last </w:t>
      </w:r>
      <w:r w:rsidRPr="0025669D">
        <w:rPr>
          <w:rFonts w:ascii="Times New Roman" w:eastAsia="Malgun Gothic" w:hAnsi="Times New Roman" w:cs="Times New Roman"/>
          <w:sz w:val="24"/>
          <w:szCs w:val="24"/>
        </w:rPr>
        <w:t>infliximab</w:t>
      </w:r>
      <w:r w:rsidRPr="0025669D">
        <w:rPr>
          <w:rFonts w:ascii="Times New Roman" w:eastAsia="Malgun Gothic" w:hAnsi="Times New Roman" w:cs="Times New Roman"/>
          <w:iCs/>
          <w:color w:val="000000"/>
          <w:sz w:val="24"/>
          <w:szCs w:val="24"/>
        </w:rPr>
        <w:t xml:space="preserve"> treatment.</w:t>
      </w:r>
    </w:p>
    <w:p w14:paraId="10956DBF" w14:textId="77BD6915" w:rsidR="004A10AE" w:rsidRPr="0025669D" w:rsidRDefault="004A10AE" w:rsidP="007947DB">
      <w:pPr>
        <w:spacing w:after="0" w:line="240" w:lineRule="auto"/>
        <w:jc w:val="left"/>
        <w:rPr>
          <w:rFonts w:ascii="Times New Roman" w:eastAsia="Malgun Gothic" w:hAnsi="Times New Roman" w:cs="Times New Roman"/>
          <w:iCs/>
          <w:color w:val="000000"/>
          <w:sz w:val="24"/>
          <w:szCs w:val="24"/>
        </w:rPr>
      </w:pPr>
    </w:p>
    <w:p w14:paraId="4F9FE3D8" w14:textId="16B94A7F" w:rsidR="004A10AE" w:rsidRPr="00681BCE" w:rsidRDefault="004A10AE" w:rsidP="007947DB">
      <w:pPr>
        <w:spacing w:line="240" w:lineRule="auto"/>
        <w:jc w:val="left"/>
        <w:rPr>
          <w:rFonts w:ascii="Times New Roman" w:eastAsia="Malgun Gothic" w:hAnsi="Times New Roman" w:cs="Times New Roman"/>
          <w:iCs/>
          <w:color w:val="000000"/>
          <w:sz w:val="24"/>
          <w:szCs w:val="24"/>
        </w:rPr>
      </w:pPr>
      <w:r w:rsidRPr="00681BCE">
        <w:rPr>
          <w:rFonts w:ascii="Times New Roman" w:eastAsia="Malgun Gothic" w:hAnsi="Times New Roman" w:cs="Times New Roman"/>
          <w:iCs/>
          <w:color w:val="000000"/>
          <w:sz w:val="24"/>
          <w:szCs w:val="24"/>
        </w:rPr>
        <w:t xml:space="preserve">As with other IgG antibodies, infliximab crosses the placenta. Infliximab has been detected in the serum of infants up to six months following birth. After </w:t>
      </w:r>
      <w:r w:rsidRPr="00681BCE">
        <w:rPr>
          <w:rFonts w:ascii="Times New Roman" w:eastAsia="Malgun Gothic" w:hAnsi="Times New Roman" w:cs="Times New Roman"/>
          <w:i/>
          <w:iCs/>
          <w:color w:val="000000"/>
          <w:sz w:val="24"/>
          <w:szCs w:val="24"/>
        </w:rPr>
        <w:t>in utero</w:t>
      </w:r>
      <w:r w:rsidRPr="00681BCE">
        <w:rPr>
          <w:rFonts w:ascii="Times New Roman" w:eastAsia="Malgun Gothic" w:hAnsi="Times New Roman" w:cs="Times New Roman"/>
          <w:iCs/>
          <w:color w:val="000000"/>
          <w:sz w:val="24"/>
          <w:szCs w:val="24"/>
        </w:rPr>
        <w:t xml:space="preserve"> exposure to infliximab,</w:t>
      </w:r>
      <w:r w:rsidRPr="00681BCE">
        <w:rPr>
          <w:rFonts w:ascii="Arial" w:hAnsi="Arial" w:cs="Arial"/>
          <w:iCs/>
          <w:color w:val="000000"/>
          <w:kern w:val="0"/>
          <w:sz w:val="22"/>
        </w:rPr>
        <w:t xml:space="preserve"> </w:t>
      </w:r>
      <w:r w:rsidRPr="00681BCE">
        <w:rPr>
          <w:rFonts w:ascii="Times New Roman" w:eastAsia="Malgun Gothic" w:hAnsi="Times New Roman" w:cs="Times New Roman"/>
          <w:iCs/>
          <w:color w:val="000000"/>
          <w:sz w:val="24"/>
          <w:szCs w:val="24"/>
        </w:rPr>
        <w:t>infants may be at increased risk of infection, including disseminated infection that can become fatal (see PRECAUTIONS, Live Vaccines</w:t>
      </w:r>
      <w:r w:rsidRPr="00681BCE">
        <w:rPr>
          <w:rFonts w:ascii="Times New Roman" w:eastAsia="Malgun Gothic" w:hAnsi="Times New Roman" w:cs="Times New Roman"/>
          <w:sz w:val="24"/>
          <w:szCs w:val="24"/>
        </w:rPr>
        <w:t>/Therapeutic Infectious Agents</w:t>
      </w:r>
      <w:r w:rsidRPr="00681BCE">
        <w:rPr>
          <w:rFonts w:ascii="Times New Roman" w:eastAsia="Malgun Gothic" w:hAnsi="Times New Roman" w:cs="Times New Roman"/>
          <w:iCs/>
          <w:color w:val="000000"/>
          <w:sz w:val="24"/>
          <w:szCs w:val="24"/>
        </w:rPr>
        <w:t xml:space="preserve">). </w:t>
      </w:r>
    </w:p>
    <w:p w14:paraId="43F4BCCC" w14:textId="77777777" w:rsidR="004A10AE" w:rsidRPr="0025669D" w:rsidRDefault="004A10AE" w:rsidP="007947DB">
      <w:pPr>
        <w:spacing w:line="240" w:lineRule="auto"/>
        <w:jc w:val="left"/>
        <w:rPr>
          <w:rFonts w:ascii="Times New Roman" w:eastAsia="Malgun Gothic" w:hAnsi="Times New Roman" w:cs="Times New Roman"/>
          <w:iCs/>
          <w:color w:val="000000"/>
          <w:sz w:val="24"/>
          <w:szCs w:val="24"/>
        </w:rPr>
      </w:pPr>
      <w:r w:rsidRPr="0025669D">
        <w:rPr>
          <w:rFonts w:ascii="Times New Roman" w:eastAsia="Malgun Gothic" w:hAnsi="Times New Roman" w:cs="Times New Roman"/>
          <w:iCs/>
          <w:color w:val="000000"/>
          <w:sz w:val="24"/>
          <w:szCs w:val="24"/>
        </w:rPr>
        <w:t xml:space="preserve">Because infliximab does not cross react with </w:t>
      </w:r>
      <w:r>
        <w:rPr>
          <w:rFonts w:ascii="Times New Roman" w:eastAsia="Malgun Gothic" w:hAnsi="Times New Roman" w:cs="Times New Roman"/>
          <w:iCs/>
          <w:color w:val="000000"/>
          <w:sz w:val="24"/>
          <w:szCs w:val="24"/>
        </w:rPr>
        <w:t xml:space="preserve">TNFα </w:t>
      </w:r>
      <w:r w:rsidRPr="0025669D">
        <w:rPr>
          <w:rFonts w:ascii="Times New Roman" w:eastAsia="Malgun Gothic" w:hAnsi="Times New Roman" w:cs="Times New Roman"/>
          <w:iCs/>
          <w:color w:val="000000"/>
          <w:sz w:val="24"/>
          <w:szCs w:val="24"/>
        </w:rPr>
        <w:t xml:space="preserve">in species other than humans and chimpanzees, animal reproduction studies have not been conducted. In a developmental toxicity study conducted in mice using an analogous monoclonal antibody that selectively inhibits the functional activity of mouse </w:t>
      </w:r>
      <w:r>
        <w:rPr>
          <w:rFonts w:ascii="Times New Roman" w:eastAsia="Malgun Gothic" w:hAnsi="Times New Roman" w:cs="Times New Roman"/>
          <w:iCs/>
          <w:color w:val="000000"/>
          <w:sz w:val="24"/>
          <w:szCs w:val="24"/>
        </w:rPr>
        <w:t>TNF</w:t>
      </w:r>
      <w:r w:rsidRPr="0025669D">
        <w:rPr>
          <w:rFonts w:ascii="Times New Roman" w:eastAsia="Malgun Gothic" w:hAnsi="Times New Roman" w:cs="Times New Roman"/>
          <w:iCs/>
          <w:color w:val="000000"/>
          <w:sz w:val="24"/>
          <w:szCs w:val="24"/>
        </w:rPr>
        <w:t xml:space="preserve">α, no evidence of maternal toxicity, </w:t>
      </w:r>
      <w:proofErr w:type="spellStart"/>
      <w:r w:rsidRPr="0025669D">
        <w:rPr>
          <w:rFonts w:ascii="Times New Roman" w:eastAsia="Malgun Gothic" w:hAnsi="Times New Roman" w:cs="Times New Roman"/>
          <w:iCs/>
          <w:color w:val="000000"/>
          <w:sz w:val="24"/>
          <w:szCs w:val="24"/>
        </w:rPr>
        <w:t>embryotoxicity</w:t>
      </w:r>
      <w:proofErr w:type="spellEnd"/>
      <w:r w:rsidRPr="0025669D">
        <w:rPr>
          <w:rFonts w:ascii="Times New Roman" w:eastAsia="Malgun Gothic" w:hAnsi="Times New Roman" w:cs="Times New Roman"/>
          <w:iCs/>
          <w:color w:val="000000"/>
          <w:sz w:val="24"/>
          <w:szCs w:val="24"/>
        </w:rPr>
        <w:t xml:space="preserve"> or teratogenicity was observed. </w:t>
      </w:r>
    </w:p>
    <w:p w14:paraId="1EFBA418" w14:textId="77777777" w:rsidR="004A10AE" w:rsidRPr="00B1398C" w:rsidRDefault="004A10AE" w:rsidP="007947DB">
      <w:pPr>
        <w:pStyle w:val="Heading2"/>
        <w:tabs>
          <w:tab w:val="num" w:pos="1418"/>
        </w:tabs>
        <w:spacing w:after="0"/>
        <w:ind w:left="1702" w:hangingChars="709" w:hanging="1702"/>
        <w:rPr>
          <w:rFonts w:eastAsia="Malgun Gothic" w:cs="Times New Roman"/>
          <w:b w:val="0"/>
          <w:szCs w:val="24"/>
          <w:u w:val="single"/>
          <w:lang w:eastAsia="ko-KR"/>
        </w:rPr>
      </w:pPr>
      <w:r w:rsidRPr="00B1398C">
        <w:rPr>
          <w:rFonts w:eastAsia="Malgun Gothic" w:cs="Times New Roman"/>
          <w:b w:val="0"/>
          <w:szCs w:val="24"/>
          <w:u w:val="single"/>
          <w:lang w:eastAsia="ko-KR"/>
        </w:rPr>
        <w:t xml:space="preserve">Use during Lactation </w:t>
      </w:r>
    </w:p>
    <w:p w14:paraId="36D2F939" w14:textId="77777777" w:rsidR="004A10AE" w:rsidRDefault="004A10AE" w:rsidP="007947DB">
      <w:pPr>
        <w:spacing w:after="0" w:line="240" w:lineRule="auto"/>
        <w:jc w:val="left"/>
        <w:rPr>
          <w:rFonts w:ascii="Times New Roman" w:eastAsia="Malgun Gothic" w:hAnsi="Times New Roman" w:cs="Times New Roman"/>
          <w:iCs/>
          <w:color w:val="000000"/>
          <w:sz w:val="24"/>
          <w:szCs w:val="24"/>
        </w:rPr>
      </w:pPr>
      <w:r>
        <w:rPr>
          <w:rFonts w:ascii="Times New Roman" w:eastAsia="Malgun Gothic" w:hAnsi="Times New Roman" w:cs="Times New Roman" w:hint="eastAsia"/>
          <w:bCs/>
          <w:iCs/>
          <w:kern w:val="0"/>
          <w:sz w:val="24"/>
          <w:szCs w:val="24"/>
        </w:rPr>
        <w:t>RENFLEXIS</w:t>
      </w:r>
      <w:r w:rsidRPr="0025669D">
        <w:rPr>
          <w:rFonts w:ascii="Times New Roman" w:eastAsia="Malgun Gothic" w:hAnsi="Times New Roman" w:cs="Times New Roman"/>
          <w:iCs/>
          <w:color w:val="000000"/>
          <w:sz w:val="24"/>
          <w:szCs w:val="24"/>
        </w:rPr>
        <w:t xml:space="preserve"> is not recommended for use during lactation. It is not known if infliximab is excreted in human milk or absorbed systemically after ingestion by the infant. </w:t>
      </w:r>
    </w:p>
    <w:p w14:paraId="56AFC4A4" w14:textId="77777777" w:rsidR="004A10AE" w:rsidRPr="0025669D" w:rsidRDefault="004A10AE" w:rsidP="007947DB">
      <w:pPr>
        <w:spacing w:after="0" w:line="240" w:lineRule="auto"/>
        <w:jc w:val="left"/>
        <w:rPr>
          <w:rFonts w:ascii="Times New Roman" w:eastAsia="Malgun Gothic" w:hAnsi="Times New Roman" w:cs="Times New Roman"/>
          <w:iCs/>
          <w:color w:val="000000"/>
          <w:sz w:val="24"/>
          <w:szCs w:val="24"/>
        </w:rPr>
      </w:pPr>
    </w:p>
    <w:p w14:paraId="3017A59D" w14:textId="77777777" w:rsidR="004A10AE" w:rsidRDefault="004A10AE" w:rsidP="007947DB">
      <w:pPr>
        <w:spacing w:line="240" w:lineRule="auto"/>
        <w:jc w:val="left"/>
        <w:rPr>
          <w:rFonts w:ascii="Times New Roman" w:eastAsia="Malgun Gothic" w:hAnsi="Times New Roman" w:cs="Times New Roman"/>
          <w:iCs/>
          <w:color w:val="000000"/>
          <w:sz w:val="24"/>
          <w:szCs w:val="24"/>
        </w:rPr>
      </w:pPr>
      <w:r w:rsidRPr="0025669D">
        <w:rPr>
          <w:rFonts w:ascii="Times New Roman" w:eastAsia="Malgun Gothic" w:hAnsi="Times New Roman" w:cs="Times New Roman"/>
          <w:iCs/>
          <w:color w:val="000000"/>
          <w:sz w:val="24"/>
          <w:szCs w:val="24"/>
        </w:rPr>
        <w:t xml:space="preserve">Breastfeeding should be discontinued for at least 6 months after </w:t>
      </w:r>
      <w:r>
        <w:rPr>
          <w:rFonts w:ascii="Times New Roman" w:eastAsia="Malgun Gothic" w:hAnsi="Times New Roman" w:cs="Times New Roman" w:hint="eastAsia"/>
          <w:bCs/>
          <w:iCs/>
          <w:kern w:val="0"/>
          <w:sz w:val="24"/>
          <w:szCs w:val="24"/>
        </w:rPr>
        <w:t>RENFLEXIS</w:t>
      </w:r>
      <w:r w:rsidRPr="0025669D">
        <w:rPr>
          <w:rFonts w:ascii="Times New Roman" w:eastAsia="Malgun Gothic" w:hAnsi="Times New Roman" w:cs="Times New Roman"/>
          <w:iCs/>
          <w:color w:val="000000"/>
          <w:sz w:val="24"/>
          <w:szCs w:val="24"/>
        </w:rPr>
        <w:t xml:space="preserve"> treatment. </w:t>
      </w:r>
    </w:p>
    <w:p w14:paraId="634E4E18" w14:textId="77777777" w:rsidR="004918A3" w:rsidRDefault="004918A3" w:rsidP="004918A3">
      <w:pPr>
        <w:pStyle w:val="Heading2"/>
        <w:tabs>
          <w:tab w:val="num" w:pos="1418"/>
        </w:tabs>
        <w:spacing w:after="0"/>
        <w:ind w:left="1702" w:hangingChars="709" w:hanging="1702"/>
        <w:rPr>
          <w:rFonts w:eastAsia="Malgun Gothic" w:cs="Times New Roman"/>
          <w:b w:val="0"/>
          <w:szCs w:val="24"/>
          <w:u w:val="single"/>
          <w:lang w:eastAsia="ko-KR"/>
        </w:rPr>
      </w:pPr>
      <w:r w:rsidRPr="00E3587C">
        <w:rPr>
          <w:rFonts w:eastAsia="Malgun Gothic" w:cs="Times New Roman"/>
          <w:b w:val="0"/>
          <w:szCs w:val="24"/>
          <w:u w:val="single"/>
          <w:lang w:eastAsia="ko-KR"/>
        </w:rPr>
        <w:t>Genotoxicity</w:t>
      </w:r>
    </w:p>
    <w:p w14:paraId="4E16DAD7" w14:textId="77777777" w:rsidR="004918A3" w:rsidRDefault="004918A3" w:rsidP="004918A3">
      <w:pPr>
        <w:spacing w:after="0" w:line="240" w:lineRule="auto"/>
        <w:jc w:val="left"/>
        <w:rPr>
          <w:rFonts w:ascii="Times New Roman" w:eastAsia="Malgun Gothic" w:hAnsi="Times New Roman" w:cs="Times New Roman"/>
          <w:iCs/>
          <w:color w:val="000000"/>
          <w:sz w:val="24"/>
          <w:szCs w:val="24"/>
        </w:rPr>
      </w:pPr>
      <w:r w:rsidRPr="0025669D">
        <w:rPr>
          <w:rFonts w:ascii="Times New Roman" w:eastAsia="Malgun Gothic" w:hAnsi="Times New Roman" w:cs="Times New Roman"/>
          <w:iCs/>
          <w:color w:val="000000"/>
          <w:sz w:val="24"/>
          <w:szCs w:val="24"/>
        </w:rPr>
        <w:t xml:space="preserve">No genotoxic effects of infliximab were observed in assays for chromosomal damage (an assay performed using human lymphocytes and the </w:t>
      </w:r>
      <w:r w:rsidRPr="0087346F">
        <w:rPr>
          <w:rFonts w:ascii="Times New Roman" w:eastAsia="Malgun Gothic" w:hAnsi="Times New Roman" w:cs="Times New Roman"/>
          <w:i/>
          <w:iCs/>
          <w:color w:val="000000"/>
          <w:sz w:val="24"/>
          <w:szCs w:val="24"/>
        </w:rPr>
        <w:t>in vivo</w:t>
      </w:r>
      <w:r w:rsidRPr="0025669D">
        <w:rPr>
          <w:rFonts w:ascii="Times New Roman" w:eastAsia="Malgun Gothic" w:hAnsi="Times New Roman" w:cs="Times New Roman"/>
          <w:iCs/>
          <w:color w:val="000000"/>
          <w:sz w:val="24"/>
          <w:szCs w:val="24"/>
        </w:rPr>
        <w:t xml:space="preserve"> mouse micronucleus test) or gene mutations (Salmonella-Escherichia coli, Ames, assay).</w:t>
      </w:r>
    </w:p>
    <w:p w14:paraId="5DD64810" w14:textId="77777777" w:rsidR="004918A3" w:rsidRDefault="004918A3" w:rsidP="004918A3">
      <w:pPr>
        <w:pStyle w:val="Heading2"/>
        <w:tabs>
          <w:tab w:val="num" w:pos="1418"/>
        </w:tabs>
        <w:spacing w:after="0"/>
        <w:ind w:left="1702" w:hangingChars="709" w:hanging="1702"/>
        <w:rPr>
          <w:rFonts w:eastAsia="Malgun Gothic" w:cs="Times New Roman"/>
          <w:b w:val="0"/>
          <w:szCs w:val="24"/>
          <w:u w:val="single"/>
          <w:lang w:eastAsia="ko-KR"/>
        </w:rPr>
      </w:pPr>
      <w:r w:rsidRPr="00E3587C">
        <w:rPr>
          <w:rFonts w:eastAsia="Malgun Gothic" w:cs="Times New Roman"/>
          <w:b w:val="0"/>
          <w:szCs w:val="24"/>
          <w:u w:val="single"/>
          <w:lang w:eastAsia="ko-KR"/>
        </w:rPr>
        <w:t>Carcinogenicity</w:t>
      </w:r>
    </w:p>
    <w:p w14:paraId="64F698BC" w14:textId="4FE84FDE" w:rsidR="004918A3" w:rsidRPr="004918A3" w:rsidRDefault="004918A3" w:rsidP="004918A3">
      <w:pPr>
        <w:spacing w:line="240" w:lineRule="auto"/>
        <w:rPr>
          <w:lang w:val="en-GB"/>
        </w:rPr>
      </w:pPr>
      <w:r w:rsidRPr="0025669D">
        <w:rPr>
          <w:rFonts w:ascii="Times New Roman" w:eastAsia="Malgun Gothic" w:hAnsi="Times New Roman" w:cs="Times New Roman"/>
          <w:iCs/>
          <w:color w:val="000000"/>
          <w:sz w:val="24"/>
          <w:szCs w:val="24"/>
        </w:rPr>
        <w:t>Long-term studies in animals have not been performed to evaluate the carcinogenic potential</w:t>
      </w:r>
      <w:r>
        <w:rPr>
          <w:rFonts w:ascii="Times New Roman" w:eastAsia="Malgun Gothic" w:hAnsi="Times New Roman" w:cs="Times New Roman" w:hint="eastAsia"/>
          <w:iCs/>
          <w:color w:val="000000"/>
          <w:sz w:val="24"/>
          <w:szCs w:val="24"/>
        </w:rPr>
        <w:t xml:space="preserve"> of infliximab</w:t>
      </w:r>
      <w:r w:rsidRPr="0025669D">
        <w:rPr>
          <w:rFonts w:ascii="Times New Roman" w:eastAsia="Malgun Gothic" w:hAnsi="Times New Roman" w:cs="Times New Roman"/>
          <w:iCs/>
          <w:color w:val="000000"/>
          <w:sz w:val="24"/>
          <w:szCs w:val="24"/>
        </w:rPr>
        <w:t>.</w:t>
      </w:r>
    </w:p>
    <w:p w14:paraId="1639504E" w14:textId="77777777" w:rsidR="004A10AE" w:rsidRPr="00B1398C" w:rsidRDefault="004A10AE" w:rsidP="007947DB">
      <w:pPr>
        <w:pStyle w:val="Heading2"/>
        <w:tabs>
          <w:tab w:val="num" w:pos="1418"/>
        </w:tabs>
        <w:spacing w:after="0"/>
        <w:ind w:left="1702" w:hangingChars="709" w:hanging="1702"/>
        <w:rPr>
          <w:rFonts w:eastAsia="Malgun Gothic" w:cs="Times New Roman"/>
          <w:b w:val="0"/>
          <w:szCs w:val="24"/>
          <w:u w:val="single"/>
          <w:lang w:eastAsia="ko-KR"/>
        </w:rPr>
      </w:pPr>
      <w:r w:rsidRPr="00B1398C">
        <w:rPr>
          <w:rFonts w:eastAsia="Malgun Gothic" w:cs="Times New Roman"/>
          <w:b w:val="0"/>
          <w:szCs w:val="24"/>
          <w:u w:val="single"/>
          <w:lang w:eastAsia="ko-KR"/>
        </w:rPr>
        <w:t xml:space="preserve">Use in Children and </w:t>
      </w:r>
      <w:r>
        <w:rPr>
          <w:rFonts w:eastAsia="Malgun Gothic" w:cs="Times New Roman"/>
          <w:b w:val="0"/>
          <w:szCs w:val="24"/>
          <w:u w:val="single"/>
          <w:lang w:eastAsia="ko-KR"/>
        </w:rPr>
        <w:t>A</w:t>
      </w:r>
      <w:r w:rsidRPr="00B1398C">
        <w:rPr>
          <w:rFonts w:eastAsia="Malgun Gothic" w:cs="Times New Roman"/>
          <w:b w:val="0"/>
          <w:szCs w:val="24"/>
          <w:u w:val="single"/>
          <w:lang w:eastAsia="ko-KR"/>
        </w:rPr>
        <w:t xml:space="preserve">dolescents (6-17 years) </w:t>
      </w:r>
    </w:p>
    <w:p w14:paraId="2FCA72C4" w14:textId="77777777" w:rsidR="004A10AE" w:rsidRDefault="004A10AE" w:rsidP="007947DB">
      <w:pPr>
        <w:spacing w:after="0" w:line="240" w:lineRule="auto"/>
        <w:jc w:val="left"/>
        <w:rPr>
          <w:rFonts w:ascii="Times New Roman" w:eastAsia="Malgun Gothic" w:hAnsi="Times New Roman" w:cs="Times New Roman"/>
          <w:iCs/>
          <w:color w:val="000000"/>
          <w:sz w:val="24"/>
          <w:szCs w:val="24"/>
        </w:rPr>
      </w:pPr>
      <w:r w:rsidRPr="0025669D">
        <w:rPr>
          <w:rFonts w:ascii="Times New Roman" w:eastAsia="Malgun Gothic" w:hAnsi="Times New Roman" w:cs="Times New Roman"/>
          <w:iCs/>
          <w:color w:val="000000"/>
          <w:sz w:val="24"/>
          <w:szCs w:val="24"/>
        </w:rPr>
        <w:t xml:space="preserve">Treatment with </w:t>
      </w:r>
      <w:r w:rsidRPr="0025669D">
        <w:rPr>
          <w:rFonts w:ascii="Times New Roman" w:eastAsia="Malgun Gothic" w:hAnsi="Times New Roman" w:cs="Times New Roman"/>
          <w:sz w:val="24"/>
          <w:szCs w:val="24"/>
        </w:rPr>
        <w:t>infliximab</w:t>
      </w:r>
      <w:r w:rsidRPr="0025669D">
        <w:rPr>
          <w:rFonts w:ascii="Times New Roman" w:eastAsia="Malgun Gothic" w:hAnsi="Times New Roman" w:cs="Times New Roman"/>
          <w:iCs/>
          <w:color w:val="000000"/>
          <w:sz w:val="24"/>
          <w:szCs w:val="24"/>
        </w:rPr>
        <w:t xml:space="preserve"> has not been studied in children and adolescent </w:t>
      </w:r>
      <w:proofErr w:type="gramStart"/>
      <w:r w:rsidRPr="0025669D">
        <w:rPr>
          <w:rFonts w:ascii="Times New Roman" w:eastAsia="Malgun Gothic" w:hAnsi="Times New Roman" w:cs="Times New Roman"/>
          <w:iCs/>
          <w:color w:val="000000"/>
          <w:sz w:val="24"/>
          <w:szCs w:val="24"/>
        </w:rPr>
        <w:t>patients</w:t>
      </w:r>
      <w:proofErr w:type="gramEnd"/>
      <w:r w:rsidRPr="0025669D">
        <w:rPr>
          <w:rFonts w:ascii="Times New Roman" w:eastAsia="Malgun Gothic" w:hAnsi="Times New Roman" w:cs="Times New Roman"/>
          <w:iCs/>
          <w:color w:val="000000"/>
          <w:sz w:val="24"/>
          <w:szCs w:val="24"/>
        </w:rPr>
        <w:t xml:space="preserve"> ≤17 years with ankylosing spondylitis, psoriatic arthritis or plaque psoriasis. Treatment with </w:t>
      </w:r>
      <w:r w:rsidRPr="0025669D">
        <w:rPr>
          <w:rFonts w:ascii="Times New Roman" w:eastAsia="Malgun Gothic" w:hAnsi="Times New Roman" w:cs="Times New Roman"/>
          <w:sz w:val="24"/>
          <w:szCs w:val="24"/>
        </w:rPr>
        <w:t>infliximab</w:t>
      </w:r>
      <w:r w:rsidRPr="0025669D">
        <w:rPr>
          <w:rFonts w:ascii="Times New Roman" w:eastAsia="Malgun Gothic" w:hAnsi="Times New Roman" w:cs="Times New Roman"/>
          <w:iCs/>
          <w:color w:val="000000"/>
          <w:sz w:val="24"/>
          <w:szCs w:val="24"/>
        </w:rPr>
        <w:t xml:space="preserve"> has not been studied in </w:t>
      </w:r>
      <w:proofErr w:type="spellStart"/>
      <w:r w:rsidRPr="0025669D">
        <w:rPr>
          <w:rFonts w:ascii="Times New Roman" w:eastAsia="Malgun Gothic" w:hAnsi="Times New Roman" w:cs="Times New Roman"/>
          <w:iCs/>
          <w:color w:val="000000"/>
          <w:sz w:val="24"/>
          <w:szCs w:val="24"/>
        </w:rPr>
        <w:t>paediatric</w:t>
      </w:r>
      <w:proofErr w:type="spellEnd"/>
      <w:r w:rsidRPr="0025669D">
        <w:rPr>
          <w:rFonts w:ascii="Times New Roman" w:eastAsia="Malgun Gothic" w:hAnsi="Times New Roman" w:cs="Times New Roman"/>
          <w:iCs/>
          <w:color w:val="000000"/>
          <w:sz w:val="24"/>
          <w:szCs w:val="24"/>
        </w:rPr>
        <w:t xml:space="preserve"> patients with ulcerative colitis or Crohn’s disease under the age of 6 years. Until safety and efficacy data in the above mentioned groups of </w:t>
      </w:r>
      <w:proofErr w:type="spellStart"/>
      <w:r w:rsidRPr="0025669D">
        <w:rPr>
          <w:rFonts w:ascii="Times New Roman" w:eastAsia="Malgun Gothic" w:hAnsi="Times New Roman" w:cs="Times New Roman"/>
          <w:iCs/>
          <w:color w:val="000000"/>
          <w:sz w:val="24"/>
          <w:szCs w:val="24"/>
        </w:rPr>
        <w:t>paediatric</w:t>
      </w:r>
      <w:proofErr w:type="spellEnd"/>
      <w:r w:rsidRPr="0025669D">
        <w:rPr>
          <w:rFonts w:ascii="Times New Roman" w:eastAsia="Malgun Gothic" w:hAnsi="Times New Roman" w:cs="Times New Roman"/>
          <w:iCs/>
          <w:color w:val="000000"/>
          <w:sz w:val="24"/>
          <w:szCs w:val="24"/>
        </w:rPr>
        <w:t xml:space="preserve"> patents are available, such treatment is to be avoided. It should be noted that all children and adolescent patients in the Phase 3 trial in Crohn’s disease (REACH) were required to be on a stable dose of </w:t>
      </w:r>
      <w:proofErr w:type="gramStart"/>
      <w:r w:rsidRPr="0025669D">
        <w:rPr>
          <w:rFonts w:ascii="Times New Roman" w:eastAsia="Malgun Gothic" w:hAnsi="Times New Roman" w:cs="Times New Roman"/>
          <w:iCs/>
          <w:color w:val="000000"/>
          <w:sz w:val="24"/>
          <w:szCs w:val="24"/>
        </w:rPr>
        <w:t xml:space="preserve">either </w:t>
      </w:r>
      <w:r w:rsidRPr="0034022E">
        <w:rPr>
          <w:rFonts w:ascii="Times New Roman" w:eastAsia="Malgun Gothic" w:hAnsi="Times New Roman" w:cs="Times New Roman"/>
          <w:iCs/>
          <w:color w:val="000000"/>
          <w:sz w:val="24"/>
          <w:szCs w:val="24"/>
        </w:rPr>
        <w:t>6</w:t>
      </w:r>
      <w:proofErr w:type="gramEnd"/>
      <w:r w:rsidRPr="0034022E">
        <w:rPr>
          <w:rFonts w:ascii="Times New Roman" w:eastAsia="Malgun Gothic" w:hAnsi="Times New Roman" w:cs="Times New Roman"/>
          <w:iCs/>
          <w:color w:val="000000"/>
          <w:sz w:val="24"/>
          <w:szCs w:val="24"/>
        </w:rPr>
        <w:t>-mercaptopurine, azathioprine or methotrexate.</w:t>
      </w:r>
    </w:p>
    <w:p w14:paraId="04A1860D" w14:textId="77777777" w:rsidR="004A10AE" w:rsidRPr="0025669D" w:rsidRDefault="004A10AE" w:rsidP="007947DB">
      <w:pPr>
        <w:spacing w:after="0" w:line="240" w:lineRule="auto"/>
        <w:jc w:val="left"/>
        <w:rPr>
          <w:rFonts w:ascii="Times New Roman" w:eastAsia="Malgun Gothic" w:hAnsi="Times New Roman" w:cs="Times New Roman"/>
          <w:iCs/>
          <w:color w:val="000000"/>
          <w:sz w:val="24"/>
          <w:szCs w:val="24"/>
        </w:rPr>
      </w:pPr>
    </w:p>
    <w:p w14:paraId="43A040B8" w14:textId="77777777" w:rsidR="004A10AE" w:rsidRPr="0025669D" w:rsidRDefault="004A10AE" w:rsidP="007947DB">
      <w:pPr>
        <w:spacing w:line="240" w:lineRule="auto"/>
        <w:jc w:val="left"/>
        <w:rPr>
          <w:rFonts w:ascii="Times New Roman" w:eastAsia="Malgun Gothic" w:hAnsi="Times New Roman" w:cs="Times New Roman"/>
          <w:iCs/>
          <w:color w:val="000000"/>
          <w:sz w:val="24"/>
          <w:szCs w:val="24"/>
        </w:rPr>
      </w:pPr>
      <w:r w:rsidRPr="0025669D">
        <w:rPr>
          <w:rFonts w:ascii="Times New Roman" w:eastAsia="Malgun Gothic" w:hAnsi="Times New Roman" w:cs="Times New Roman"/>
          <w:color w:val="000000"/>
          <w:sz w:val="24"/>
          <w:szCs w:val="24"/>
        </w:rPr>
        <w:t>Infliximab</w:t>
      </w:r>
      <w:r w:rsidRPr="0025669D">
        <w:rPr>
          <w:rFonts w:ascii="Times New Roman" w:eastAsia="Malgun Gothic" w:hAnsi="Times New Roman" w:cs="Times New Roman"/>
          <w:iCs/>
          <w:color w:val="000000"/>
          <w:sz w:val="24"/>
          <w:szCs w:val="24"/>
        </w:rPr>
        <w:t xml:space="preserve"> was studied in 120 patients (age range 4-17 years old) with active Juvenile Rheumatoid Arthritis (JRA) despite methotrexate. This study did not provide conclusive evidence for the efficacy of </w:t>
      </w:r>
      <w:r w:rsidRPr="0025669D">
        <w:rPr>
          <w:rFonts w:ascii="Times New Roman" w:eastAsia="Malgun Gothic" w:hAnsi="Times New Roman" w:cs="Times New Roman"/>
          <w:sz w:val="24"/>
          <w:szCs w:val="24"/>
        </w:rPr>
        <w:t>infliximab</w:t>
      </w:r>
      <w:r w:rsidRPr="0025669D">
        <w:rPr>
          <w:rFonts w:ascii="Times New Roman" w:eastAsia="Malgun Gothic" w:hAnsi="Times New Roman" w:cs="Times New Roman"/>
          <w:iCs/>
          <w:color w:val="000000"/>
          <w:sz w:val="24"/>
          <w:szCs w:val="24"/>
        </w:rPr>
        <w:t xml:space="preserve"> in JRA. </w:t>
      </w:r>
    </w:p>
    <w:p w14:paraId="75DF9BD2" w14:textId="77777777" w:rsidR="004A10AE" w:rsidRPr="00B1398C" w:rsidRDefault="004A10AE" w:rsidP="007947DB">
      <w:pPr>
        <w:pStyle w:val="Heading2"/>
        <w:tabs>
          <w:tab w:val="num" w:pos="1418"/>
        </w:tabs>
        <w:spacing w:after="0"/>
        <w:ind w:left="1702" w:hangingChars="709" w:hanging="1702"/>
        <w:rPr>
          <w:rFonts w:eastAsia="Malgun Gothic" w:cs="Times New Roman"/>
          <w:b w:val="0"/>
          <w:szCs w:val="24"/>
          <w:u w:val="single"/>
          <w:lang w:eastAsia="ko-KR"/>
        </w:rPr>
      </w:pPr>
      <w:r w:rsidRPr="00B1398C">
        <w:rPr>
          <w:rFonts w:eastAsia="Malgun Gothic" w:cs="Times New Roman"/>
          <w:b w:val="0"/>
          <w:szCs w:val="24"/>
          <w:u w:val="single"/>
          <w:lang w:eastAsia="ko-KR"/>
        </w:rPr>
        <w:t xml:space="preserve">Use in Elderly </w:t>
      </w:r>
    </w:p>
    <w:p w14:paraId="1E69C459" w14:textId="77777777" w:rsidR="004A10AE" w:rsidRDefault="004A10AE" w:rsidP="007947DB">
      <w:pPr>
        <w:spacing w:after="0" w:line="240" w:lineRule="auto"/>
        <w:jc w:val="left"/>
        <w:rPr>
          <w:rFonts w:ascii="Times New Roman" w:eastAsia="Malgun Gothic" w:hAnsi="Times New Roman" w:cs="Times New Roman"/>
          <w:iCs/>
          <w:color w:val="000000"/>
          <w:sz w:val="24"/>
          <w:szCs w:val="24"/>
        </w:rPr>
      </w:pPr>
      <w:r w:rsidRPr="0025669D">
        <w:rPr>
          <w:rFonts w:ascii="Times New Roman" w:eastAsia="Malgun Gothic" w:hAnsi="Times New Roman" w:cs="Times New Roman"/>
          <w:iCs/>
          <w:color w:val="000000"/>
          <w:sz w:val="24"/>
          <w:szCs w:val="24"/>
        </w:rPr>
        <w:t xml:space="preserve">No major differences were observed in the pharmacokinetics of </w:t>
      </w:r>
      <w:r>
        <w:rPr>
          <w:rFonts w:ascii="Times New Roman" w:eastAsia="Malgun Gothic" w:hAnsi="Times New Roman" w:cs="Times New Roman" w:hint="eastAsia"/>
          <w:color w:val="000000"/>
          <w:sz w:val="24"/>
          <w:szCs w:val="24"/>
        </w:rPr>
        <w:t>i</w:t>
      </w:r>
      <w:r w:rsidRPr="0025669D">
        <w:rPr>
          <w:rFonts w:ascii="Times New Roman" w:eastAsia="Malgun Gothic" w:hAnsi="Times New Roman" w:cs="Times New Roman"/>
          <w:color w:val="000000"/>
          <w:sz w:val="24"/>
          <w:szCs w:val="24"/>
        </w:rPr>
        <w:t>nfliximab</w:t>
      </w:r>
      <w:r w:rsidRPr="0025669D">
        <w:rPr>
          <w:rFonts w:ascii="Times New Roman" w:eastAsia="Malgun Gothic" w:hAnsi="Times New Roman" w:cs="Times New Roman"/>
          <w:iCs/>
          <w:color w:val="000000"/>
          <w:sz w:val="24"/>
          <w:szCs w:val="24"/>
        </w:rPr>
        <w:t xml:space="preserve"> in elderly (65-80 years) rheumatoid arthritis patients. The incidence of serious infections in </w:t>
      </w:r>
      <w:r>
        <w:rPr>
          <w:rFonts w:ascii="Times New Roman" w:eastAsia="Malgun Gothic" w:hAnsi="Times New Roman" w:cs="Times New Roman" w:hint="eastAsia"/>
          <w:color w:val="000000"/>
          <w:sz w:val="24"/>
          <w:szCs w:val="24"/>
        </w:rPr>
        <w:t>i</w:t>
      </w:r>
      <w:r w:rsidRPr="0025669D">
        <w:rPr>
          <w:rFonts w:ascii="Times New Roman" w:eastAsia="Malgun Gothic" w:hAnsi="Times New Roman" w:cs="Times New Roman"/>
          <w:color w:val="000000"/>
          <w:sz w:val="24"/>
          <w:szCs w:val="24"/>
        </w:rPr>
        <w:t>nfliximab</w:t>
      </w:r>
      <w:r w:rsidRPr="0025669D">
        <w:rPr>
          <w:rFonts w:ascii="Times New Roman" w:eastAsia="Malgun Gothic" w:hAnsi="Times New Roman" w:cs="Times New Roman"/>
          <w:iCs/>
          <w:color w:val="000000"/>
          <w:sz w:val="24"/>
          <w:szCs w:val="24"/>
        </w:rPr>
        <w:t xml:space="preserve">-treated patients 65 years and older was greater than in those under 65 years of age. In addition, there </w:t>
      </w:r>
      <w:r w:rsidRPr="0025669D">
        <w:rPr>
          <w:rFonts w:ascii="Times New Roman" w:eastAsia="Malgun Gothic" w:hAnsi="Times New Roman" w:cs="Times New Roman"/>
          <w:iCs/>
          <w:color w:val="000000"/>
          <w:sz w:val="24"/>
          <w:szCs w:val="24"/>
        </w:rPr>
        <w:lastRenderedPageBreak/>
        <w:t xml:space="preserve">is a greater incidence of infections in the elderly population in </w:t>
      </w:r>
      <w:proofErr w:type="gramStart"/>
      <w:r w:rsidRPr="0025669D">
        <w:rPr>
          <w:rFonts w:ascii="Times New Roman" w:eastAsia="Malgun Gothic" w:hAnsi="Times New Roman" w:cs="Times New Roman"/>
          <w:iCs/>
          <w:color w:val="000000"/>
          <w:sz w:val="24"/>
          <w:szCs w:val="24"/>
        </w:rPr>
        <w:t>general,</w:t>
      </w:r>
      <w:proofErr w:type="gramEnd"/>
      <w:r w:rsidRPr="0025669D">
        <w:rPr>
          <w:rFonts w:ascii="Times New Roman" w:eastAsia="Malgun Gothic" w:hAnsi="Times New Roman" w:cs="Times New Roman"/>
          <w:iCs/>
          <w:color w:val="000000"/>
          <w:sz w:val="24"/>
          <w:szCs w:val="24"/>
        </w:rPr>
        <w:t xml:space="preserve"> therefore, caution should be used in treating the elderly. Clinical studies of </w:t>
      </w:r>
      <w:r>
        <w:rPr>
          <w:rFonts w:ascii="Times New Roman" w:eastAsia="Malgun Gothic" w:hAnsi="Times New Roman" w:cs="Times New Roman" w:hint="eastAsia"/>
          <w:color w:val="000000"/>
          <w:sz w:val="24"/>
          <w:szCs w:val="24"/>
        </w:rPr>
        <w:t>i</w:t>
      </w:r>
      <w:r w:rsidRPr="0025669D">
        <w:rPr>
          <w:rFonts w:ascii="Times New Roman" w:eastAsia="Malgun Gothic" w:hAnsi="Times New Roman" w:cs="Times New Roman"/>
          <w:color w:val="000000"/>
          <w:sz w:val="24"/>
          <w:szCs w:val="24"/>
        </w:rPr>
        <w:t>nfliximab</w:t>
      </w:r>
      <w:r w:rsidRPr="0025669D">
        <w:rPr>
          <w:rFonts w:ascii="Times New Roman" w:eastAsia="Malgun Gothic" w:hAnsi="Times New Roman" w:cs="Times New Roman"/>
          <w:iCs/>
          <w:color w:val="000000"/>
          <w:sz w:val="24"/>
          <w:szCs w:val="24"/>
        </w:rPr>
        <w:t xml:space="preserve"> did not include sufficient numbers of Crohn’s disease patients aged 65 and over to determine whether they respond differently from patients aged 18 to 65. Studies have not been performed in patients with liver or renal disease. </w:t>
      </w:r>
    </w:p>
    <w:p w14:paraId="5A9E43F3" w14:textId="77777777" w:rsidR="004A10AE" w:rsidRPr="0025669D" w:rsidRDefault="004A10AE" w:rsidP="007947DB">
      <w:pPr>
        <w:spacing w:after="0" w:line="240" w:lineRule="auto"/>
        <w:jc w:val="left"/>
        <w:rPr>
          <w:rFonts w:ascii="Times New Roman" w:eastAsia="Malgun Gothic" w:hAnsi="Times New Roman" w:cs="Times New Roman"/>
          <w:iCs/>
          <w:color w:val="000000"/>
          <w:sz w:val="24"/>
          <w:szCs w:val="24"/>
        </w:rPr>
      </w:pPr>
    </w:p>
    <w:p w14:paraId="77460B63" w14:textId="77777777" w:rsidR="00681BCE" w:rsidRDefault="004A10AE" w:rsidP="007947DB">
      <w:pPr>
        <w:spacing w:line="240" w:lineRule="auto"/>
        <w:jc w:val="left"/>
        <w:rPr>
          <w:rFonts w:ascii="Times New Roman" w:eastAsia="Malgun Gothic" w:hAnsi="Times New Roman" w:cs="Times New Roman"/>
          <w:iCs/>
          <w:color w:val="000000"/>
          <w:sz w:val="24"/>
          <w:szCs w:val="24"/>
        </w:rPr>
      </w:pPr>
      <w:r w:rsidRPr="0025669D">
        <w:rPr>
          <w:rFonts w:ascii="Times New Roman" w:eastAsia="Malgun Gothic" w:hAnsi="Times New Roman" w:cs="Times New Roman"/>
          <w:iCs/>
          <w:color w:val="000000"/>
          <w:sz w:val="24"/>
          <w:szCs w:val="24"/>
        </w:rPr>
        <w:t xml:space="preserve">Since elderly patients have a greater frequency of decreased hepatic, renal and/or cardiac function and a greater frequency of concomitant disease and/or other drug therapy, caution in the treatment of elderly patients is recommended. </w:t>
      </w:r>
    </w:p>
    <w:p w14:paraId="04A1B545" w14:textId="38754271" w:rsidR="004A10AE" w:rsidRPr="0025669D" w:rsidRDefault="004A10AE" w:rsidP="007947DB">
      <w:pPr>
        <w:spacing w:line="240" w:lineRule="auto"/>
        <w:jc w:val="left"/>
        <w:rPr>
          <w:rFonts w:ascii="Times New Roman" w:eastAsia="Malgun Gothic" w:hAnsi="Times New Roman" w:cs="Times New Roman"/>
          <w:b/>
          <w:kern w:val="0"/>
          <w:sz w:val="24"/>
          <w:szCs w:val="24"/>
          <w:lang w:val="en-GB"/>
        </w:rPr>
      </w:pPr>
    </w:p>
    <w:p w14:paraId="4AB3D26F" w14:textId="77777777" w:rsidR="004A10AE" w:rsidRPr="00681BCE" w:rsidRDefault="004A10AE" w:rsidP="007947DB">
      <w:pPr>
        <w:pStyle w:val="Heading1"/>
        <w:spacing w:before="240" w:after="240" w:line="240" w:lineRule="auto"/>
        <w:ind w:left="425" w:hanging="425"/>
        <w:rPr>
          <w:rFonts w:eastAsia="Malgun Gothic"/>
          <w:sz w:val="28"/>
          <w:lang w:eastAsia="ko-KR"/>
        </w:rPr>
      </w:pPr>
      <w:r w:rsidRPr="00681BCE">
        <w:rPr>
          <w:rFonts w:eastAsia="Malgun Gothic" w:hint="eastAsia"/>
          <w:sz w:val="28"/>
          <w:lang w:eastAsia="ko-KR"/>
        </w:rPr>
        <w:t>INTERACTIONS WITH OTHER MEDICINES</w:t>
      </w:r>
    </w:p>
    <w:p w14:paraId="6F9CD944" w14:textId="77777777" w:rsidR="004A10AE" w:rsidRPr="0025669D" w:rsidRDefault="004A10AE" w:rsidP="007947DB">
      <w:pPr>
        <w:spacing w:line="240" w:lineRule="auto"/>
        <w:jc w:val="left"/>
        <w:rPr>
          <w:rFonts w:ascii="Times New Roman" w:eastAsia="Malgun Gothic" w:hAnsi="Times New Roman" w:cs="Times New Roman"/>
          <w:sz w:val="24"/>
          <w:szCs w:val="24"/>
        </w:rPr>
      </w:pPr>
      <w:r w:rsidRPr="0025669D">
        <w:rPr>
          <w:rFonts w:ascii="Times New Roman" w:eastAsia="Malgun Gothic" w:hAnsi="Times New Roman" w:cs="Times New Roman"/>
          <w:sz w:val="24"/>
          <w:szCs w:val="24"/>
        </w:rPr>
        <w:t xml:space="preserve">While specific studies on drug interactions with infliximab have not been conducted, the majority of patients in clinical trials received concomitant medications normally used in Crohn’s disease. These medications included antibiotics, (including antiviral agents), corticosteroids, 6-mercaptopurine/azathioprine and </w:t>
      </w:r>
      <w:proofErr w:type="spellStart"/>
      <w:r w:rsidRPr="0025669D">
        <w:rPr>
          <w:rFonts w:ascii="Times New Roman" w:eastAsia="Malgun Gothic" w:hAnsi="Times New Roman" w:cs="Times New Roman"/>
          <w:sz w:val="24"/>
          <w:szCs w:val="24"/>
        </w:rPr>
        <w:t>aminosalicylates</w:t>
      </w:r>
      <w:proofErr w:type="spellEnd"/>
      <w:r w:rsidRPr="0025669D">
        <w:rPr>
          <w:rFonts w:ascii="Times New Roman" w:eastAsia="Malgun Gothic" w:hAnsi="Times New Roman" w:cs="Times New Roman"/>
          <w:sz w:val="24"/>
          <w:szCs w:val="24"/>
        </w:rPr>
        <w:t xml:space="preserve">. No interactions were reported. Because corticosteroids alter electrolyte balance and fluid retention, the volume of distribution of infliximab was greater in patients taking corticosteroids. However no significant clinical sequelae were apparent. </w:t>
      </w:r>
    </w:p>
    <w:p w14:paraId="6F4809F3" w14:textId="7158DA94" w:rsidR="004A10AE" w:rsidRDefault="004A10AE" w:rsidP="007947DB">
      <w:pPr>
        <w:spacing w:line="240" w:lineRule="auto"/>
        <w:jc w:val="left"/>
        <w:rPr>
          <w:rFonts w:ascii="Times New Roman" w:eastAsia="Malgun Gothic" w:hAnsi="Times New Roman" w:cs="Times New Roman"/>
          <w:b/>
          <w:bCs/>
          <w:sz w:val="24"/>
          <w:szCs w:val="24"/>
        </w:rPr>
      </w:pPr>
      <w:r w:rsidRPr="0025669D">
        <w:rPr>
          <w:rFonts w:ascii="Times New Roman" w:eastAsia="Malgun Gothic" w:hAnsi="Times New Roman" w:cs="Times New Roman"/>
          <w:sz w:val="24"/>
          <w:szCs w:val="24"/>
        </w:rPr>
        <w:t xml:space="preserve">In rheumatoid arthritis, psoriatic arthritis and Crohn's disease patients, there are indications that concomitant use of methotrexate and other </w:t>
      </w:r>
      <w:proofErr w:type="spellStart"/>
      <w:r w:rsidRPr="0025669D">
        <w:rPr>
          <w:rFonts w:ascii="Times New Roman" w:eastAsia="Malgun Gothic" w:hAnsi="Times New Roman" w:cs="Times New Roman"/>
          <w:sz w:val="24"/>
          <w:szCs w:val="24"/>
        </w:rPr>
        <w:t>immunomodulators</w:t>
      </w:r>
      <w:proofErr w:type="spellEnd"/>
      <w:r w:rsidRPr="0025669D">
        <w:rPr>
          <w:rFonts w:ascii="Times New Roman" w:eastAsia="Malgun Gothic" w:hAnsi="Times New Roman" w:cs="Times New Roman"/>
          <w:sz w:val="24"/>
          <w:szCs w:val="24"/>
        </w:rPr>
        <w:t xml:space="preserve"> reduces the formation of antibodies against infliximab and increases the plasma concentrations of infliximab. However, the results are uncertain due to limitations in the methods used for serum analyses of infliximab and antibodies against infliximab. Corticosteroids do not appear to affect the pharmacokinetics of infliximab to a clinically relevant extent (See ADVERSE EFFECTS; Immunogenicity).</w:t>
      </w:r>
      <w:r w:rsidRPr="0025669D">
        <w:rPr>
          <w:rFonts w:ascii="Times New Roman" w:eastAsia="Malgun Gothic" w:hAnsi="Times New Roman" w:cs="Times New Roman"/>
          <w:b/>
          <w:bCs/>
          <w:sz w:val="24"/>
          <w:szCs w:val="24"/>
        </w:rPr>
        <w:t xml:space="preserve"> </w:t>
      </w:r>
    </w:p>
    <w:p w14:paraId="78C64D88" w14:textId="77777777" w:rsidR="00E75073" w:rsidRPr="0025669D" w:rsidRDefault="00E75073" w:rsidP="007947DB">
      <w:pPr>
        <w:spacing w:line="240" w:lineRule="auto"/>
        <w:jc w:val="left"/>
        <w:rPr>
          <w:rFonts w:ascii="Times New Roman" w:eastAsia="Malgun Gothic" w:hAnsi="Times New Roman" w:cs="Times New Roman"/>
          <w:b/>
          <w:bCs/>
          <w:sz w:val="24"/>
          <w:szCs w:val="24"/>
        </w:rPr>
      </w:pPr>
    </w:p>
    <w:p w14:paraId="39B2A00C" w14:textId="77777777" w:rsidR="004A10AE" w:rsidRPr="0025669D" w:rsidRDefault="004A10AE" w:rsidP="007947DB">
      <w:pPr>
        <w:spacing w:line="240" w:lineRule="auto"/>
        <w:jc w:val="left"/>
        <w:rPr>
          <w:rFonts w:ascii="Times New Roman" w:eastAsia="Malgun Gothic" w:hAnsi="Times New Roman" w:cs="Times New Roman"/>
          <w:bCs/>
          <w:sz w:val="24"/>
          <w:szCs w:val="24"/>
        </w:rPr>
      </w:pPr>
      <w:r w:rsidRPr="0025669D">
        <w:rPr>
          <w:rFonts w:ascii="Times New Roman" w:eastAsia="Malgun Gothic" w:hAnsi="Times New Roman" w:cs="Times New Roman"/>
          <w:bCs/>
          <w:sz w:val="24"/>
          <w:szCs w:val="24"/>
        </w:rPr>
        <w:t xml:space="preserve">In psoriasis, concomitant use of infliximab with other immunosuppressive agents has not been studied (see PRECAUTIONS). </w:t>
      </w:r>
    </w:p>
    <w:p w14:paraId="14B2AE13" w14:textId="77777777" w:rsidR="004A10AE" w:rsidRPr="0025669D" w:rsidRDefault="004A10AE" w:rsidP="007947DB">
      <w:pPr>
        <w:spacing w:line="240" w:lineRule="auto"/>
        <w:jc w:val="left"/>
        <w:rPr>
          <w:rFonts w:ascii="Times New Roman" w:eastAsia="Malgun Gothic" w:hAnsi="Times New Roman" w:cs="Times New Roman"/>
          <w:bCs/>
          <w:sz w:val="24"/>
          <w:szCs w:val="24"/>
        </w:rPr>
      </w:pPr>
      <w:r w:rsidRPr="0025669D">
        <w:rPr>
          <w:rFonts w:ascii="Times New Roman" w:eastAsia="Malgun Gothic" w:hAnsi="Times New Roman" w:cs="Times New Roman"/>
          <w:bCs/>
          <w:sz w:val="24"/>
          <w:szCs w:val="24"/>
        </w:rPr>
        <w:t xml:space="preserve">No other information is available regarding possible effects of other immunosuppressive drugs or their effects on the pharmacokinetics of infliximab. </w:t>
      </w:r>
    </w:p>
    <w:p w14:paraId="25CCCDD8" w14:textId="77777777" w:rsidR="004A10AE" w:rsidRPr="00DE7F71" w:rsidRDefault="004A10AE" w:rsidP="007947DB">
      <w:pPr>
        <w:pStyle w:val="Heading2"/>
        <w:tabs>
          <w:tab w:val="num" w:pos="1418"/>
        </w:tabs>
        <w:spacing w:after="0"/>
        <w:ind w:left="1702" w:hangingChars="709" w:hanging="1702"/>
        <w:rPr>
          <w:rFonts w:eastAsia="Malgun Gothic" w:cs="Times New Roman"/>
          <w:b w:val="0"/>
          <w:szCs w:val="24"/>
          <w:u w:val="single"/>
          <w:lang w:eastAsia="ko-KR"/>
        </w:rPr>
      </w:pPr>
      <w:r w:rsidRPr="00DE7F71">
        <w:rPr>
          <w:rFonts w:eastAsia="Malgun Gothic" w:cs="Times New Roman"/>
          <w:b w:val="0"/>
          <w:szCs w:val="24"/>
          <w:u w:val="single"/>
          <w:lang w:eastAsia="ko-KR"/>
        </w:rPr>
        <w:t xml:space="preserve">Concurrent use of </w:t>
      </w:r>
      <w:r w:rsidRPr="00DE7F71">
        <w:rPr>
          <w:rFonts w:eastAsia="Malgun Gothic" w:cs="Times New Roman" w:hint="eastAsia"/>
          <w:b w:val="0"/>
          <w:szCs w:val="24"/>
          <w:u w:val="single"/>
          <w:lang w:eastAsia="ko-KR"/>
        </w:rPr>
        <w:t>infliximab</w:t>
      </w:r>
      <w:r w:rsidRPr="00DE7F71">
        <w:rPr>
          <w:rFonts w:eastAsia="Malgun Gothic" w:cs="Times New Roman"/>
          <w:b w:val="0"/>
          <w:szCs w:val="24"/>
          <w:u w:val="single"/>
          <w:lang w:eastAsia="ko-KR"/>
        </w:rPr>
        <w:t xml:space="preserve"> with other Biological Therapeutics</w:t>
      </w:r>
    </w:p>
    <w:p w14:paraId="3D01A120" w14:textId="77777777" w:rsidR="004A10AE" w:rsidRPr="006A2310" w:rsidRDefault="004A10AE" w:rsidP="007947DB">
      <w:pPr>
        <w:spacing w:after="0" w:line="240" w:lineRule="auto"/>
        <w:jc w:val="left"/>
        <w:rPr>
          <w:rFonts w:ascii="Times New Roman" w:eastAsia="Malgun Gothic" w:hAnsi="Times New Roman" w:cs="Times New Roman"/>
          <w:bCs/>
          <w:iCs/>
          <w:kern w:val="0"/>
          <w:sz w:val="24"/>
          <w:szCs w:val="24"/>
        </w:rPr>
      </w:pPr>
      <w:r w:rsidRPr="006A2310">
        <w:rPr>
          <w:rFonts w:ascii="Times New Roman" w:eastAsia="Malgun Gothic" w:hAnsi="Times New Roman" w:cs="Times New Roman"/>
          <w:bCs/>
          <w:iCs/>
          <w:kern w:val="0"/>
          <w:sz w:val="24"/>
          <w:szCs w:val="24"/>
        </w:rPr>
        <w:t xml:space="preserve">The combination of </w:t>
      </w:r>
      <w:r>
        <w:rPr>
          <w:rFonts w:ascii="Times New Roman" w:eastAsia="Malgun Gothic" w:hAnsi="Times New Roman" w:cs="Times New Roman" w:hint="eastAsia"/>
          <w:bCs/>
          <w:iCs/>
          <w:kern w:val="0"/>
          <w:sz w:val="24"/>
          <w:szCs w:val="24"/>
        </w:rPr>
        <w:t>RENFLEXIS</w:t>
      </w:r>
      <w:r w:rsidRPr="006A2310">
        <w:rPr>
          <w:rFonts w:ascii="Times New Roman" w:eastAsia="Malgun Gothic" w:hAnsi="Times New Roman" w:cs="Times New Roman"/>
          <w:bCs/>
          <w:iCs/>
          <w:kern w:val="0"/>
          <w:sz w:val="24"/>
          <w:szCs w:val="24"/>
        </w:rPr>
        <w:t xml:space="preserve"> with other biological therapeutics used to treat the same conditions as </w:t>
      </w:r>
      <w:r>
        <w:rPr>
          <w:rFonts w:ascii="Times New Roman" w:eastAsia="Malgun Gothic" w:hAnsi="Times New Roman" w:cs="Times New Roman" w:hint="eastAsia"/>
          <w:bCs/>
          <w:iCs/>
          <w:kern w:val="0"/>
          <w:sz w:val="24"/>
          <w:szCs w:val="24"/>
        </w:rPr>
        <w:t>RENFLEXIS</w:t>
      </w:r>
      <w:r w:rsidRPr="006A2310">
        <w:rPr>
          <w:rFonts w:ascii="Times New Roman" w:eastAsia="Malgun Gothic" w:hAnsi="Times New Roman" w:cs="Times New Roman"/>
          <w:bCs/>
          <w:iCs/>
          <w:kern w:val="0"/>
          <w:sz w:val="24"/>
          <w:szCs w:val="24"/>
        </w:rPr>
        <w:t xml:space="preserve">, including </w:t>
      </w:r>
      <w:proofErr w:type="spellStart"/>
      <w:r w:rsidRPr="006A2310">
        <w:rPr>
          <w:rFonts w:ascii="Times New Roman" w:eastAsia="Malgun Gothic" w:hAnsi="Times New Roman" w:cs="Times New Roman"/>
          <w:bCs/>
          <w:iCs/>
          <w:kern w:val="0"/>
          <w:sz w:val="24"/>
          <w:szCs w:val="24"/>
        </w:rPr>
        <w:t>anakinra</w:t>
      </w:r>
      <w:proofErr w:type="spellEnd"/>
      <w:r w:rsidRPr="006A2310">
        <w:rPr>
          <w:rFonts w:ascii="Times New Roman" w:eastAsia="Malgun Gothic" w:hAnsi="Times New Roman" w:cs="Times New Roman"/>
          <w:bCs/>
          <w:iCs/>
          <w:kern w:val="0"/>
          <w:sz w:val="24"/>
          <w:szCs w:val="24"/>
        </w:rPr>
        <w:t xml:space="preserve"> and </w:t>
      </w:r>
      <w:proofErr w:type="spellStart"/>
      <w:r w:rsidRPr="006A2310">
        <w:rPr>
          <w:rFonts w:ascii="Times New Roman" w:eastAsia="Malgun Gothic" w:hAnsi="Times New Roman" w:cs="Times New Roman"/>
          <w:bCs/>
          <w:iCs/>
          <w:kern w:val="0"/>
          <w:sz w:val="24"/>
          <w:szCs w:val="24"/>
        </w:rPr>
        <w:t>abatacept</w:t>
      </w:r>
      <w:proofErr w:type="spellEnd"/>
      <w:r w:rsidRPr="006A2310">
        <w:rPr>
          <w:rFonts w:ascii="Times New Roman" w:eastAsia="Malgun Gothic" w:hAnsi="Times New Roman" w:cs="Times New Roman"/>
          <w:bCs/>
          <w:iCs/>
          <w:kern w:val="0"/>
          <w:sz w:val="24"/>
          <w:szCs w:val="24"/>
        </w:rPr>
        <w:t xml:space="preserve">, is not recommended (see PRECAUTIONS). </w:t>
      </w:r>
    </w:p>
    <w:p w14:paraId="028F114F" w14:textId="77777777" w:rsidR="004A10AE" w:rsidRPr="00DE7F71" w:rsidRDefault="004A10AE" w:rsidP="007947DB">
      <w:pPr>
        <w:pStyle w:val="Heading2"/>
        <w:tabs>
          <w:tab w:val="num" w:pos="1418"/>
        </w:tabs>
        <w:spacing w:after="0"/>
        <w:ind w:left="1702" w:hangingChars="709" w:hanging="1702"/>
        <w:rPr>
          <w:rFonts w:eastAsia="Malgun Gothic" w:cs="Times New Roman"/>
          <w:b w:val="0"/>
          <w:szCs w:val="24"/>
          <w:u w:val="single"/>
          <w:lang w:eastAsia="ko-KR"/>
        </w:rPr>
      </w:pPr>
      <w:r w:rsidRPr="00DE7F71">
        <w:rPr>
          <w:rFonts w:eastAsia="Malgun Gothic" w:cs="Times New Roman"/>
          <w:b w:val="0"/>
          <w:szCs w:val="24"/>
          <w:u w:val="single"/>
          <w:lang w:eastAsia="ko-KR"/>
        </w:rPr>
        <w:t xml:space="preserve">Live Vaccines/Therapeutic Infectious Agents </w:t>
      </w:r>
    </w:p>
    <w:p w14:paraId="4597BE85" w14:textId="5D6BADDF" w:rsidR="004A10AE" w:rsidRDefault="004A10AE" w:rsidP="007947DB">
      <w:pPr>
        <w:spacing w:after="0" w:line="240" w:lineRule="auto"/>
        <w:jc w:val="left"/>
        <w:rPr>
          <w:rFonts w:ascii="Times New Roman" w:eastAsia="Malgun Gothic" w:hAnsi="Times New Roman" w:cs="Times New Roman"/>
          <w:bCs/>
          <w:iCs/>
          <w:kern w:val="0"/>
          <w:sz w:val="24"/>
          <w:szCs w:val="24"/>
        </w:rPr>
      </w:pPr>
      <w:r w:rsidRPr="006A2310">
        <w:rPr>
          <w:rFonts w:ascii="Times New Roman" w:eastAsia="Malgun Gothic" w:hAnsi="Times New Roman" w:cs="Times New Roman"/>
          <w:bCs/>
          <w:iCs/>
          <w:kern w:val="0"/>
          <w:sz w:val="24"/>
          <w:szCs w:val="24"/>
        </w:rPr>
        <w:t xml:space="preserve">It is recommended that live vaccines not be given concurrently with </w:t>
      </w:r>
      <w:r>
        <w:rPr>
          <w:rFonts w:ascii="Times New Roman" w:eastAsia="Malgun Gothic" w:hAnsi="Times New Roman" w:cs="Times New Roman" w:hint="eastAsia"/>
          <w:bCs/>
          <w:iCs/>
          <w:kern w:val="0"/>
          <w:sz w:val="24"/>
          <w:szCs w:val="24"/>
        </w:rPr>
        <w:t>RENFLEXIS</w:t>
      </w:r>
      <w:r w:rsidRPr="006A2310">
        <w:rPr>
          <w:rFonts w:ascii="Times New Roman" w:eastAsia="Malgun Gothic" w:hAnsi="Times New Roman" w:cs="Times New Roman"/>
          <w:bCs/>
          <w:iCs/>
          <w:kern w:val="0"/>
          <w:sz w:val="24"/>
          <w:szCs w:val="24"/>
        </w:rPr>
        <w:t xml:space="preserve">. </w:t>
      </w:r>
      <w:r w:rsidRPr="00681BCE">
        <w:rPr>
          <w:rFonts w:ascii="Times New Roman" w:eastAsia="Malgun Gothic" w:hAnsi="Times New Roman" w:cs="Times New Roman"/>
          <w:bCs/>
          <w:iCs/>
          <w:kern w:val="0"/>
          <w:sz w:val="24"/>
          <w:szCs w:val="24"/>
        </w:rPr>
        <w:t xml:space="preserve">It is also recommended that live vaccines not be given to infants after </w:t>
      </w:r>
      <w:r w:rsidRPr="00681BCE">
        <w:rPr>
          <w:rFonts w:ascii="Times New Roman" w:eastAsia="Malgun Gothic" w:hAnsi="Times New Roman" w:cs="Times New Roman"/>
          <w:bCs/>
          <w:i/>
          <w:iCs/>
          <w:kern w:val="0"/>
          <w:sz w:val="24"/>
          <w:szCs w:val="24"/>
        </w:rPr>
        <w:t>in utero</w:t>
      </w:r>
      <w:r w:rsidRPr="00681BCE">
        <w:rPr>
          <w:rFonts w:ascii="Times New Roman" w:eastAsia="Malgun Gothic" w:hAnsi="Times New Roman" w:cs="Times New Roman"/>
          <w:bCs/>
          <w:iCs/>
          <w:kern w:val="0"/>
          <w:sz w:val="24"/>
          <w:szCs w:val="24"/>
        </w:rPr>
        <w:t xml:space="preserve"> exposure to infliximab for at least 6 months following birth (see PRECAUTIONS). </w:t>
      </w:r>
    </w:p>
    <w:p w14:paraId="6974BE58" w14:textId="77777777" w:rsidR="004A10AE" w:rsidRPr="006A2310" w:rsidRDefault="004A10AE" w:rsidP="007947DB">
      <w:pPr>
        <w:spacing w:after="0" w:line="240" w:lineRule="auto"/>
        <w:jc w:val="left"/>
        <w:rPr>
          <w:rFonts w:ascii="Times New Roman" w:eastAsia="Malgun Gothic" w:hAnsi="Times New Roman" w:cs="Times New Roman"/>
          <w:bCs/>
          <w:iCs/>
          <w:kern w:val="0"/>
          <w:sz w:val="24"/>
          <w:szCs w:val="24"/>
        </w:rPr>
      </w:pPr>
    </w:p>
    <w:p w14:paraId="3EB7387F" w14:textId="77777777" w:rsidR="004A10AE" w:rsidRPr="006A2310" w:rsidRDefault="004A10AE" w:rsidP="007947DB">
      <w:pPr>
        <w:spacing w:line="240" w:lineRule="auto"/>
        <w:jc w:val="left"/>
        <w:rPr>
          <w:rFonts w:ascii="Times New Roman" w:eastAsia="Malgun Gothic" w:hAnsi="Times New Roman" w:cs="Times New Roman"/>
          <w:bCs/>
          <w:iCs/>
          <w:kern w:val="0"/>
          <w:sz w:val="24"/>
          <w:szCs w:val="24"/>
        </w:rPr>
      </w:pPr>
      <w:r w:rsidRPr="006A2310">
        <w:rPr>
          <w:rFonts w:ascii="Times New Roman" w:eastAsia="Malgun Gothic" w:hAnsi="Times New Roman" w:cs="Times New Roman"/>
          <w:bCs/>
          <w:iCs/>
          <w:kern w:val="0"/>
          <w:sz w:val="24"/>
          <w:szCs w:val="24"/>
        </w:rPr>
        <w:t xml:space="preserve">It is recommended that therapeutic infectious agents not be given concurrently with </w:t>
      </w:r>
      <w:r>
        <w:rPr>
          <w:rFonts w:ascii="Times New Roman" w:eastAsia="Malgun Gothic" w:hAnsi="Times New Roman" w:cs="Times New Roman" w:hint="eastAsia"/>
          <w:bCs/>
          <w:iCs/>
          <w:kern w:val="0"/>
          <w:sz w:val="24"/>
          <w:szCs w:val="24"/>
        </w:rPr>
        <w:t>RENFLEXIS</w:t>
      </w:r>
      <w:r w:rsidRPr="006A2310">
        <w:rPr>
          <w:rFonts w:ascii="Times New Roman" w:eastAsia="Malgun Gothic" w:hAnsi="Times New Roman" w:cs="Times New Roman"/>
          <w:bCs/>
          <w:iCs/>
          <w:kern w:val="0"/>
          <w:sz w:val="24"/>
          <w:szCs w:val="24"/>
        </w:rPr>
        <w:t xml:space="preserve"> (see PRECAUTIONS). </w:t>
      </w:r>
    </w:p>
    <w:p w14:paraId="15FF23A6" w14:textId="77777777" w:rsidR="004A10AE" w:rsidRPr="00DE7F71" w:rsidRDefault="004A10AE" w:rsidP="007947DB">
      <w:pPr>
        <w:pStyle w:val="Heading2"/>
        <w:tabs>
          <w:tab w:val="num" w:pos="1418"/>
        </w:tabs>
        <w:spacing w:after="0"/>
        <w:ind w:left="1702" w:hangingChars="709" w:hanging="1702"/>
        <w:rPr>
          <w:rFonts w:eastAsia="Malgun Gothic" w:cs="Times New Roman"/>
          <w:b w:val="0"/>
          <w:szCs w:val="24"/>
          <w:u w:val="single"/>
          <w:lang w:eastAsia="ko-KR"/>
        </w:rPr>
      </w:pPr>
      <w:r w:rsidRPr="00DE7F71">
        <w:rPr>
          <w:rFonts w:eastAsia="Malgun Gothic" w:cs="Times New Roman"/>
          <w:b w:val="0"/>
          <w:szCs w:val="24"/>
          <w:u w:val="single"/>
          <w:lang w:eastAsia="ko-KR"/>
        </w:rPr>
        <w:t>Use of Machinery</w:t>
      </w:r>
    </w:p>
    <w:p w14:paraId="78076407" w14:textId="77777777" w:rsidR="004A10AE" w:rsidRDefault="004A10AE" w:rsidP="007947DB">
      <w:pPr>
        <w:spacing w:after="0" w:line="240" w:lineRule="auto"/>
        <w:jc w:val="left"/>
        <w:rPr>
          <w:rFonts w:ascii="Times New Roman" w:eastAsia="Malgun Gothic" w:hAnsi="Times New Roman" w:cs="Times New Roman"/>
          <w:bCs/>
          <w:iCs/>
          <w:kern w:val="0"/>
          <w:sz w:val="24"/>
          <w:szCs w:val="24"/>
        </w:rPr>
      </w:pPr>
      <w:r>
        <w:rPr>
          <w:rFonts w:ascii="Times New Roman" w:eastAsia="Malgun Gothic" w:hAnsi="Times New Roman" w:cs="Times New Roman" w:hint="eastAsia"/>
          <w:bCs/>
          <w:iCs/>
          <w:kern w:val="0"/>
          <w:sz w:val="24"/>
          <w:szCs w:val="24"/>
        </w:rPr>
        <w:t>RENFLEXIS</w:t>
      </w:r>
      <w:r w:rsidRPr="006A2310">
        <w:rPr>
          <w:rFonts w:ascii="Times New Roman" w:eastAsia="Malgun Gothic" w:hAnsi="Times New Roman" w:cs="Times New Roman"/>
          <w:bCs/>
          <w:iCs/>
          <w:kern w:val="0"/>
          <w:sz w:val="24"/>
          <w:szCs w:val="24"/>
        </w:rPr>
        <w:t xml:space="preserve"> is unlikely to produce an effect on the ability to drive or operate machinery; however, patients who are fatigued should be cautioned to avoid driving or operating machinery. </w:t>
      </w:r>
    </w:p>
    <w:p w14:paraId="0F7B1917" w14:textId="77777777" w:rsidR="0029392F" w:rsidRPr="006A2310" w:rsidRDefault="0029392F" w:rsidP="007947DB">
      <w:pPr>
        <w:spacing w:after="0" w:line="240" w:lineRule="auto"/>
        <w:jc w:val="left"/>
        <w:rPr>
          <w:rFonts w:ascii="Times New Roman" w:eastAsia="Malgun Gothic" w:hAnsi="Times New Roman" w:cs="Times New Roman"/>
          <w:bCs/>
          <w:iCs/>
          <w:kern w:val="0"/>
          <w:sz w:val="24"/>
          <w:szCs w:val="24"/>
        </w:rPr>
      </w:pPr>
    </w:p>
    <w:p w14:paraId="4E9560BF" w14:textId="77777777" w:rsidR="004A10AE" w:rsidRPr="0025669D" w:rsidRDefault="004A10AE" w:rsidP="007947DB">
      <w:pPr>
        <w:pStyle w:val="Heading1"/>
        <w:spacing w:before="240" w:after="240" w:line="240" w:lineRule="auto"/>
        <w:ind w:left="425" w:hanging="425"/>
        <w:rPr>
          <w:rFonts w:eastAsia="Malgun Gothic"/>
          <w:sz w:val="28"/>
          <w:lang w:eastAsia="ko-KR"/>
        </w:rPr>
      </w:pPr>
      <w:r w:rsidRPr="0025669D">
        <w:rPr>
          <w:rFonts w:eastAsia="Malgun Gothic"/>
          <w:sz w:val="28"/>
          <w:lang w:eastAsia="ko-KR"/>
        </w:rPr>
        <w:t>ADVERSE EFFECTS</w:t>
      </w:r>
    </w:p>
    <w:p w14:paraId="53AD5122" w14:textId="5589166E" w:rsidR="00E75073" w:rsidRDefault="004A10AE" w:rsidP="007947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line="240" w:lineRule="auto"/>
        <w:ind w:right="-46"/>
        <w:jc w:val="left"/>
        <w:rPr>
          <w:rFonts w:ascii="Times New Roman" w:hAnsi="Times New Roman" w:cs="Times New Roman"/>
          <w:sz w:val="24"/>
          <w:szCs w:val="24"/>
        </w:rPr>
      </w:pPr>
      <w:r w:rsidRPr="0025669D">
        <w:rPr>
          <w:rFonts w:ascii="Times New Roman" w:hAnsi="Times New Roman" w:cs="Times New Roman"/>
          <w:spacing w:val="-3"/>
          <w:sz w:val="24"/>
          <w:szCs w:val="24"/>
        </w:rPr>
        <w:t xml:space="preserve">In clinical trials with </w:t>
      </w:r>
      <w:r>
        <w:rPr>
          <w:rFonts w:ascii="Times New Roman" w:eastAsia="Malgun Gothic" w:hAnsi="Times New Roman" w:cs="Times New Roman" w:hint="eastAsia"/>
          <w:color w:val="000000"/>
          <w:sz w:val="24"/>
          <w:szCs w:val="24"/>
        </w:rPr>
        <w:t>i</w:t>
      </w:r>
      <w:r w:rsidRPr="0025669D">
        <w:rPr>
          <w:rFonts w:ascii="Times New Roman" w:eastAsia="Malgun Gothic" w:hAnsi="Times New Roman" w:cs="Times New Roman"/>
          <w:color w:val="000000"/>
          <w:sz w:val="24"/>
          <w:szCs w:val="24"/>
        </w:rPr>
        <w:t>nfliximab</w:t>
      </w:r>
      <w:r w:rsidRPr="0025669D">
        <w:rPr>
          <w:rFonts w:ascii="Times New Roman" w:hAnsi="Times New Roman" w:cs="Times New Roman"/>
          <w:spacing w:val="-3"/>
          <w:sz w:val="24"/>
          <w:szCs w:val="24"/>
        </w:rPr>
        <w:t>, adverse drug reactions (ADRs)</w:t>
      </w:r>
      <w:r>
        <w:rPr>
          <w:rFonts w:ascii="Times New Roman" w:hAnsi="Times New Roman" w:cs="Times New Roman" w:hint="eastAsia"/>
          <w:spacing w:val="-3"/>
          <w:sz w:val="24"/>
          <w:szCs w:val="24"/>
        </w:rPr>
        <w:t xml:space="preserve"> </w:t>
      </w:r>
      <w:r w:rsidRPr="0025669D">
        <w:rPr>
          <w:rFonts w:ascii="Times New Roman" w:hAnsi="Times New Roman" w:cs="Times New Roman"/>
          <w:spacing w:val="-3"/>
          <w:sz w:val="24"/>
          <w:szCs w:val="24"/>
        </w:rPr>
        <w:t xml:space="preserve">reasonably attributable to treatment were observed in 36% of placebo-treated patients and 57% of </w:t>
      </w:r>
      <w:r>
        <w:rPr>
          <w:rFonts w:ascii="Times New Roman" w:eastAsia="Malgun Gothic" w:hAnsi="Times New Roman" w:cs="Times New Roman" w:hint="eastAsia"/>
          <w:color w:val="000000"/>
          <w:sz w:val="24"/>
          <w:szCs w:val="24"/>
        </w:rPr>
        <w:t>i</w:t>
      </w:r>
      <w:r w:rsidRPr="0025669D">
        <w:rPr>
          <w:rFonts w:ascii="Times New Roman" w:eastAsia="Malgun Gothic" w:hAnsi="Times New Roman" w:cs="Times New Roman"/>
          <w:color w:val="000000"/>
          <w:sz w:val="24"/>
          <w:szCs w:val="24"/>
        </w:rPr>
        <w:t>nfliximab</w:t>
      </w:r>
      <w:r w:rsidRPr="0025669D">
        <w:rPr>
          <w:rFonts w:ascii="Times New Roman" w:hAnsi="Times New Roman" w:cs="Times New Roman"/>
          <w:spacing w:val="-3"/>
          <w:sz w:val="24"/>
          <w:szCs w:val="24"/>
        </w:rPr>
        <w:t xml:space="preserve">-treated patients. Reasonably-related ADRs are listed in </w:t>
      </w:r>
      <w:r w:rsidRPr="006A70C0">
        <w:rPr>
          <w:rFonts w:ascii="Times New Roman" w:hAnsi="Times New Roman" w:cs="Times New Roman"/>
          <w:spacing w:val="-3"/>
          <w:sz w:val="24"/>
          <w:szCs w:val="24"/>
        </w:rPr>
        <w:fldChar w:fldCharType="begin"/>
      </w:r>
      <w:r w:rsidRPr="006A70C0">
        <w:rPr>
          <w:rFonts w:ascii="Times New Roman" w:hAnsi="Times New Roman" w:cs="Times New Roman"/>
          <w:spacing w:val="-3"/>
          <w:sz w:val="24"/>
          <w:szCs w:val="24"/>
        </w:rPr>
        <w:instrText xml:space="preserve"> REF _Ref423973593 \h  \* MERGEFORMAT </w:instrText>
      </w:r>
      <w:r w:rsidRPr="006A70C0">
        <w:rPr>
          <w:rFonts w:ascii="Times New Roman" w:hAnsi="Times New Roman" w:cs="Times New Roman"/>
          <w:spacing w:val="-3"/>
          <w:sz w:val="24"/>
          <w:szCs w:val="24"/>
        </w:rPr>
      </w:r>
      <w:r w:rsidRPr="006A70C0">
        <w:rPr>
          <w:rFonts w:ascii="Times New Roman" w:hAnsi="Times New Roman" w:cs="Times New Roman"/>
          <w:spacing w:val="-3"/>
          <w:sz w:val="24"/>
          <w:szCs w:val="24"/>
        </w:rPr>
        <w:fldChar w:fldCharType="separate"/>
      </w:r>
      <w:r w:rsidR="005A6BF4" w:rsidRPr="005A6BF4">
        <w:rPr>
          <w:rFonts w:ascii="Times New Roman" w:hAnsi="Times New Roman" w:cs="Times New Roman"/>
          <w:bCs/>
          <w:spacing w:val="-3"/>
          <w:sz w:val="24"/>
          <w:szCs w:val="24"/>
        </w:rPr>
        <w:t>Table 12</w:t>
      </w:r>
      <w:r w:rsidRPr="006A70C0">
        <w:rPr>
          <w:rFonts w:ascii="Times New Roman" w:hAnsi="Times New Roman" w:cs="Times New Roman"/>
          <w:spacing w:val="-3"/>
          <w:sz w:val="24"/>
          <w:szCs w:val="24"/>
        </w:rPr>
        <w:fldChar w:fldCharType="end"/>
      </w:r>
      <w:r w:rsidRPr="006A70C0">
        <w:rPr>
          <w:rFonts w:ascii="Times New Roman" w:hAnsi="Times New Roman" w:cs="Times New Roman" w:hint="eastAsia"/>
          <w:spacing w:val="-3"/>
          <w:sz w:val="24"/>
          <w:szCs w:val="24"/>
        </w:rPr>
        <w:t xml:space="preserve"> </w:t>
      </w:r>
      <w:r w:rsidRPr="0025669D">
        <w:rPr>
          <w:rFonts w:ascii="Times New Roman" w:hAnsi="Times New Roman" w:cs="Times New Roman"/>
          <w:spacing w:val="-3"/>
          <w:sz w:val="24"/>
          <w:szCs w:val="24"/>
        </w:rPr>
        <w:t xml:space="preserve">by system organ class and frequency. Frequency is based on the excess incidence of the ADR compared with placebo in pooled data from clinical trials involving 227 patients receiving placebo and 1421 patients receiving </w:t>
      </w:r>
      <w:r>
        <w:rPr>
          <w:rFonts w:ascii="Times New Roman" w:eastAsia="Malgun Gothic" w:hAnsi="Times New Roman" w:cs="Times New Roman" w:hint="eastAsia"/>
          <w:color w:val="000000"/>
          <w:sz w:val="24"/>
          <w:szCs w:val="24"/>
        </w:rPr>
        <w:t>i</w:t>
      </w:r>
      <w:r w:rsidRPr="0025669D">
        <w:rPr>
          <w:rFonts w:ascii="Times New Roman" w:eastAsia="Malgun Gothic" w:hAnsi="Times New Roman" w:cs="Times New Roman"/>
          <w:color w:val="000000"/>
          <w:sz w:val="24"/>
          <w:szCs w:val="24"/>
        </w:rPr>
        <w:t>nfliximab</w:t>
      </w:r>
      <w:r w:rsidRPr="0025669D">
        <w:rPr>
          <w:rFonts w:ascii="Times New Roman" w:hAnsi="Times New Roman" w:cs="Times New Roman"/>
          <w:spacing w:val="-3"/>
          <w:sz w:val="24"/>
          <w:szCs w:val="24"/>
        </w:rPr>
        <w:t xml:space="preserve"> (Crohn's disease and rheumatoid arthritis). Most ADRs were mild to moderate in severity. </w:t>
      </w:r>
      <w:r w:rsidRPr="0025669D">
        <w:rPr>
          <w:rFonts w:ascii="Times New Roman" w:hAnsi="Times New Roman" w:cs="Times New Roman"/>
          <w:sz w:val="24"/>
          <w:szCs w:val="24"/>
        </w:rPr>
        <w:t>Infusion-related reactions were the most common adverse reactions reported in clinical studies. The most common reason for discontinuation of treatment was infusion-related reactions (</w:t>
      </w:r>
      <w:proofErr w:type="spellStart"/>
      <w:r w:rsidRPr="0025669D">
        <w:rPr>
          <w:rFonts w:ascii="Times New Roman" w:hAnsi="Times New Roman" w:cs="Times New Roman"/>
          <w:sz w:val="24"/>
          <w:szCs w:val="24"/>
        </w:rPr>
        <w:t>dyspnoea</w:t>
      </w:r>
      <w:proofErr w:type="spellEnd"/>
      <w:r w:rsidRPr="0025669D">
        <w:rPr>
          <w:rFonts w:ascii="Times New Roman" w:hAnsi="Times New Roman" w:cs="Times New Roman"/>
          <w:sz w:val="24"/>
          <w:szCs w:val="24"/>
        </w:rPr>
        <w:t xml:space="preserve">, </w:t>
      </w:r>
      <w:proofErr w:type="spellStart"/>
      <w:r w:rsidRPr="0025669D">
        <w:rPr>
          <w:rFonts w:ascii="Times New Roman" w:hAnsi="Times New Roman" w:cs="Times New Roman"/>
          <w:sz w:val="24"/>
          <w:szCs w:val="24"/>
        </w:rPr>
        <w:t>urticaria</w:t>
      </w:r>
      <w:proofErr w:type="spellEnd"/>
      <w:r w:rsidRPr="0025669D">
        <w:rPr>
          <w:rFonts w:ascii="Times New Roman" w:hAnsi="Times New Roman" w:cs="Times New Roman"/>
          <w:sz w:val="24"/>
          <w:szCs w:val="24"/>
        </w:rPr>
        <w:t>, hypotension, flushing and headache).</w:t>
      </w:r>
    </w:p>
    <w:p w14:paraId="072E5ED1" w14:textId="77777777" w:rsidR="00E75073" w:rsidRDefault="00E75073">
      <w:pPr>
        <w:widowControl/>
        <w:wordWrap/>
        <w:autoSpaceDE/>
        <w:autoSpaceDN/>
        <w:rPr>
          <w:rFonts w:ascii="Times New Roman" w:hAnsi="Times New Roman" w:cs="Times New Roman"/>
          <w:sz w:val="24"/>
          <w:szCs w:val="24"/>
        </w:rPr>
      </w:pPr>
      <w:r>
        <w:rPr>
          <w:rFonts w:ascii="Times New Roman" w:hAnsi="Times New Roman" w:cs="Times New Roman"/>
          <w:sz w:val="24"/>
          <w:szCs w:val="24"/>
        </w:rPr>
        <w:br w:type="page"/>
      </w:r>
    </w:p>
    <w:p w14:paraId="18DC467E" w14:textId="77777777" w:rsidR="004A10AE" w:rsidRPr="00E75073" w:rsidRDefault="004A10AE" w:rsidP="00E750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after="120" w:line="240" w:lineRule="auto"/>
        <w:ind w:right="-45"/>
        <w:jc w:val="left"/>
        <w:rPr>
          <w:rFonts w:ascii="Times New Roman" w:hAnsi="Times New Roman" w:cs="Times New Roman"/>
          <w:sz w:val="8"/>
          <w:szCs w:val="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94"/>
        <w:gridCol w:w="5948"/>
      </w:tblGrid>
      <w:tr w:rsidR="004A10AE" w:rsidRPr="0025669D" w14:paraId="3260C139" w14:textId="77777777" w:rsidTr="005A4B0D">
        <w:trPr>
          <w:trHeight w:val="152"/>
          <w:tblHeader/>
          <w:jc w:val="center"/>
        </w:trPr>
        <w:tc>
          <w:tcPr>
            <w:tcW w:w="5000" w:type="pct"/>
            <w:gridSpan w:val="2"/>
            <w:tcBorders>
              <w:top w:val="nil"/>
              <w:left w:val="nil"/>
              <w:bottom w:val="single" w:sz="4" w:space="0" w:color="auto"/>
              <w:right w:val="nil"/>
            </w:tcBorders>
          </w:tcPr>
          <w:p w14:paraId="3B0E65B6" w14:textId="714F1183" w:rsidR="004A10AE" w:rsidRPr="0094117E" w:rsidRDefault="004A10AE" w:rsidP="007947DB">
            <w:pPr>
              <w:pStyle w:val="Caption"/>
              <w:keepNext/>
              <w:spacing w:after="0" w:line="240" w:lineRule="auto"/>
              <w:ind w:left="880" w:hangingChars="400" w:hanging="880"/>
              <w:rPr>
                <w:rFonts w:ascii="Times New Roman" w:hAnsi="Times New Roman" w:cs="Times New Roman"/>
                <w:b w:val="0"/>
                <w:bCs w:val="0"/>
                <w:spacing w:val="-3"/>
                <w:sz w:val="22"/>
              </w:rPr>
            </w:pPr>
            <w:bookmarkStart w:id="14" w:name="_Ref423973593"/>
            <w:r w:rsidRPr="007947DB">
              <w:rPr>
                <w:rFonts w:ascii="Times New Roman" w:hAnsi="Times New Roman" w:cs="Times New Roman"/>
                <w:sz w:val="22"/>
                <w:szCs w:val="22"/>
              </w:rPr>
              <w:t xml:space="preserve">Table </w:t>
            </w:r>
            <w:r w:rsidRPr="007947DB">
              <w:rPr>
                <w:rFonts w:ascii="Times New Roman" w:hAnsi="Times New Roman" w:cs="Times New Roman"/>
                <w:sz w:val="22"/>
                <w:szCs w:val="22"/>
              </w:rPr>
              <w:fldChar w:fldCharType="begin"/>
            </w:r>
            <w:r w:rsidRPr="007947DB">
              <w:rPr>
                <w:rFonts w:ascii="Times New Roman" w:hAnsi="Times New Roman" w:cs="Times New Roman"/>
                <w:sz w:val="22"/>
                <w:szCs w:val="22"/>
              </w:rPr>
              <w:instrText xml:space="preserve"> SEQ Table \* ARABIC </w:instrText>
            </w:r>
            <w:r w:rsidRPr="007947DB">
              <w:rPr>
                <w:rFonts w:ascii="Times New Roman" w:hAnsi="Times New Roman" w:cs="Times New Roman"/>
                <w:sz w:val="22"/>
                <w:szCs w:val="22"/>
              </w:rPr>
              <w:fldChar w:fldCharType="separate"/>
            </w:r>
            <w:r w:rsidR="005A6BF4">
              <w:rPr>
                <w:rFonts w:ascii="Times New Roman" w:hAnsi="Times New Roman" w:cs="Times New Roman"/>
                <w:noProof/>
                <w:sz w:val="22"/>
                <w:szCs w:val="22"/>
              </w:rPr>
              <w:t>12</w:t>
            </w:r>
            <w:r w:rsidRPr="007947DB">
              <w:rPr>
                <w:rFonts w:ascii="Times New Roman" w:hAnsi="Times New Roman" w:cs="Times New Roman"/>
                <w:sz w:val="22"/>
                <w:szCs w:val="22"/>
              </w:rPr>
              <w:fldChar w:fldCharType="end"/>
            </w:r>
            <w:bookmarkEnd w:id="14"/>
            <w:r w:rsidRPr="007947DB">
              <w:rPr>
                <w:rFonts w:ascii="Times New Roman" w:hAnsi="Times New Roman" w:cs="Times New Roman" w:hint="eastAsia"/>
                <w:sz w:val="22"/>
                <w:szCs w:val="22"/>
              </w:rPr>
              <w:t xml:space="preserve">. </w:t>
            </w:r>
            <w:r w:rsidRPr="007947DB">
              <w:rPr>
                <w:rFonts w:ascii="Times New Roman" w:hAnsi="Times New Roman" w:cs="Times New Roman"/>
                <w:sz w:val="22"/>
                <w:szCs w:val="22"/>
              </w:rPr>
              <w:t xml:space="preserve">Undesirable effects in clinical trials (common &gt;1/100, &lt;1/10; uncommon &gt;1/1000, &lt;1/100; rare </w:t>
            </w:r>
            <w:r w:rsidRPr="007947DB">
              <w:rPr>
                <w:rFonts w:ascii="Times New Roman" w:hAnsi="Times New Roman" w:cs="Times New Roman"/>
                <w:sz w:val="22"/>
                <w:szCs w:val="22"/>
              </w:rPr>
              <w:sym w:font="Symbol" w:char="F03C"/>
            </w:r>
            <w:r w:rsidRPr="007947DB">
              <w:rPr>
                <w:rFonts w:ascii="Times New Roman" w:hAnsi="Times New Roman" w:cs="Times New Roman"/>
                <w:sz w:val="22"/>
                <w:szCs w:val="22"/>
              </w:rPr>
              <w:t>1/1000)</w:t>
            </w:r>
            <w:r w:rsidRPr="0094117E">
              <w:rPr>
                <w:rFonts w:ascii="Times New Roman" w:hAnsi="Times New Roman" w:cs="Times New Roman"/>
                <w:b w:val="0"/>
                <w:bCs w:val="0"/>
                <w:spacing w:val="-3"/>
                <w:sz w:val="22"/>
              </w:rPr>
              <w:t xml:space="preserve"> </w:t>
            </w:r>
          </w:p>
        </w:tc>
      </w:tr>
      <w:tr w:rsidR="004A10AE" w:rsidRPr="0025669D" w14:paraId="4170CDF1" w14:textId="77777777" w:rsidTr="005A4B0D">
        <w:trPr>
          <w:trHeight w:val="152"/>
          <w:jc w:val="center"/>
        </w:trPr>
        <w:tc>
          <w:tcPr>
            <w:tcW w:w="1782" w:type="pct"/>
            <w:tcBorders>
              <w:top w:val="single" w:sz="4" w:space="0" w:color="auto"/>
            </w:tcBorders>
          </w:tcPr>
          <w:p w14:paraId="44E173D6" w14:textId="77777777" w:rsidR="004A10AE" w:rsidRPr="0025669D" w:rsidRDefault="004A10AE" w:rsidP="007947DB">
            <w:pPr>
              <w:wordWrap/>
              <w:spacing w:after="20" w:line="240" w:lineRule="auto"/>
              <w:contextualSpacing/>
              <w:jc w:val="left"/>
              <w:rPr>
                <w:rFonts w:ascii="Times New Roman" w:hAnsi="Times New Roman" w:cs="Times New Roman"/>
                <w:spacing w:val="-3"/>
                <w:sz w:val="22"/>
              </w:rPr>
            </w:pPr>
            <w:r w:rsidRPr="0025669D">
              <w:rPr>
                <w:rFonts w:ascii="Times New Roman" w:hAnsi="Times New Roman" w:cs="Times New Roman"/>
                <w:spacing w:val="-3"/>
                <w:sz w:val="22"/>
              </w:rPr>
              <w:t>Resistance mechanism disorders</w:t>
            </w:r>
          </w:p>
          <w:p w14:paraId="1825A133" w14:textId="77777777" w:rsidR="004A10AE" w:rsidRPr="0025669D" w:rsidRDefault="004A10AE" w:rsidP="007947DB">
            <w:pPr>
              <w:wordWrap/>
              <w:spacing w:after="20" w:line="240" w:lineRule="auto"/>
              <w:ind w:firstLine="284"/>
              <w:contextualSpacing/>
              <w:jc w:val="left"/>
              <w:rPr>
                <w:rFonts w:ascii="Times New Roman" w:hAnsi="Times New Roman" w:cs="Times New Roman"/>
                <w:spacing w:val="-3"/>
                <w:sz w:val="22"/>
              </w:rPr>
            </w:pPr>
            <w:r w:rsidRPr="0025669D">
              <w:rPr>
                <w:rFonts w:ascii="Times New Roman" w:hAnsi="Times New Roman" w:cs="Times New Roman"/>
                <w:spacing w:val="-3"/>
                <w:sz w:val="22"/>
              </w:rPr>
              <w:t>Common:</w:t>
            </w:r>
          </w:p>
          <w:p w14:paraId="76A5EDCD" w14:textId="77777777" w:rsidR="004A10AE" w:rsidRPr="0025669D" w:rsidRDefault="004A10AE" w:rsidP="007947DB">
            <w:pPr>
              <w:wordWrap/>
              <w:spacing w:after="20" w:line="240" w:lineRule="auto"/>
              <w:ind w:firstLine="284"/>
              <w:contextualSpacing/>
              <w:jc w:val="left"/>
              <w:rPr>
                <w:rFonts w:ascii="Times New Roman" w:hAnsi="Times New Roman" w:cs="Times New Roman"/>
                <w:spacing w:val="-3"/>
                <w:sz w:val="22"/>
              </w:rPr>
            </w:pPr>
            <w:r w:rsidRPr="0025669D">
              <w:rPr>
                <w:rFonts w:ascii="Times New Roman" w:hAnsi="Times New Roman" w:cs="Times New Roman"/>
                <w:spacing w:val="-3"/>
                <w:sz w:val="22"/>
              </w:rPr>
              <w:t>Uncommon:</w:t>
            </w:r>
          </w:p>
          <w:p w14:paraId="56A0CE3A" w14:textId="77777777" w:rsidR="004A10AE" w:rsidRPr="0025669D" w:rsidRDefault="004A10AE" w:rsidP="007947DB">
            <w:pPr>
              <w:wordWrap/>
              <w:spacing w:after="20" w:line="240" w:lineRule="auto"/>
              <w:ind w:firstLine="284"/>
              <w:contextualSpacing/>
              <w:jc w:val="left"/>
              <w:rPr>
                <w:rFonts w:ascii="Times New Roman" w:hAnsi="Times New Roman" w:cs="Times New Roman"/>
                <w:spacing w:val="-3"/>
                <w:sz w:val="22"/>
              </w:rPr>
            </w:pPr>
          </w:p>
          <w:p w14:paraId="7214718A" w14:textId="77777777" w:rsidR="004A10AE" w:rsidRPr="0025669D" w:rsidRDefault="004A10AE" w:rsidP="007947DB">
            <w:pPr>
              <w:wordWrap/>
              <w:spacing w:after="20" w:line="240" w:lineRule="auto"/>
              <w:ind w:firstLine="284"/>
              <w:contextualSpacing/>
              <w:jc w:val="left"/>
              <w:rPr>
                <w:rFonts w:ascii="Times New Roman" w:hAnsi="Times New Roman" w:cs="Times New Roman"/>
                <w:spacing w:val="-3"/>
                <w:sz w:val="22"/>
              </w:rPr>
            </w:pPr>
            <w:r w:rsidRPr="0025669D">
              <w:rPr>
                <w:rFonts w:ascii="Times New Roman" w:hAnsi="Times New Roman" w:cs="Times New Roman"/>
                <w:spacing w:val="-3"/>
                <w:sz w:val="22"/>
              </w:rPr>
              <w:t>Rare:</w:t>
            </w:r>
          </w:p>
        </w:tc>
        <w:tc>
          <w:tcPr>
            <w:tcW w:w="3218" w:type="pct"/>
            <w:tcBorders>
              <w:top w:val="single" w:sz="4" w:space="0" w:color="auto"/>
            </w:tcBorders>
          </w:tcPr>
          <w:p w14:paraId="1554BF9C" w14:textId="77777777" w:rsidR="004A10AE" w:rsidRPr="0025669D" w:rsidRDefault="004A10AE" w:rsidP="007947DB">
            <w:pPr>
              <w:wordWrap/>
              <w:spacing w:after="20" w:line="240" w:lineRule="auto"/>
              <w:contextualSpacing/>
              <w:jc w:val="left"/>
              <w:rPr>
                <w:rFonts w:ascii="Times New Roman" w:hAnsi="Times New Roman" w:cs="Times New Roman"/>
                <w:spacing w:val="-3"/>
                <w:sz w:val="22"/>
              </w:rPr>
            </w:pPr>
          </w:p>
          <w:p w14:paraId="6F477C8A" w14:textId="77777777" w:rsidR="004A10AE" w:rsidRPr="0025669D" w:rsidRDefault="004A10AE" w:rsidP="007947DB">
            <w:pPr>
              <w:wordWrap/>
              <w:spacing w:after="20" w:line="240" w:lineRule="auto"/>
              <w:contextualSpacing/>
              <w:jc w:val="left"/>
              <w:rPr>
                <w:rFonts w:ascii="Times New Roman" w:hAnsi="Times New Roman" w:cs="Times New Roman"/>
                <w:spacing w:val="-3"/>
                <w:sz w:val="22"/>
              </w:rPr>
            </w:pPr>
            <w:r w:rsidRPr="0025669D">
              <w:rPr>
                <w:rFonts w:ascii="Times New Roman" w:hAnsi="Times New Roman" w:cs="Times New Roman"/>
                <w:spacing w:val="-3"/>
                <w:sz w:val="22"/>
              </w:rPr>
              <w:t>Viral infection (e.g., influenza, herpes infections), fever</w:t>
            </w:r>
          </w:p>
          <w:p w14:paraId="2481B52B" w14:textId="77777777" w:rsidR="004A10AE" w:rsidRPr="0025669D" w:rsidRDefault="004A10AE" w:rsidP="007947DB">
            <w:pPr>
              <w:wordWrap/>
              <w:spacing w:after="20" w:line="240" w:lineRule="auto"/>
              <w:contextualSpacing/>
              <w:jc w:val="left"/>
              <w:rPr>
                <w:rFonts w:ascii="Times New Roman" w:hAnsi="Times New Roman" w:cs="Times New Roman"/>
                <w:spacing w:val="-3"/>
                <w:sz w:val="22"/>
              </w:rPr>
            </w:pPr>
            <w:r w:rsidRPr="0025669D">
              <w:rPr>
                <w:rFonts w:ascii="Times New Roman" w:hAnsi="Times New Roman" w:cs="Times New Roman"/>
                <w:spacing w:val="-3"/>
                <w:sz w:val="22"/>
              </w:rPr>
              <w:t xml:space="preserve">Abscess, cellulitis, </w:t>
            </w:r>
            <w:proofErr w:type="spellStart"/>
            <w:r w:rsidRPr="0025669D">
              <w:rPr>
                <w:rFonts w:ascii="Times New Roman" w:hAnsi="Times New Roman" w:cs="Times New Roman"/>
                <w:spacing w:val="-3"/>
                <w:sz w:val="22"/>
              </w:rPr>
              <w:t>moniliasis</w:t>
            </w:r>
            <w:proofErr w:type="spellEnd"/>
            <w:r w:rsidRPr="0025669D">
              <w:rPr>
                <w:rFonts w:ascii="Times New Roman" w:hAnsi="Times New Roman" w:cs="Times New Roman"/>
                <w:spacing w:val="-3"/>
                <w:sz w:val="22"/>
              </w:rPr>
              <w:t>, sepsis, impaired healing, bacterial infection, tuberculosis, fungal infection</w:t>
            </w:r>
          </w:p>
          <w:p w14:paraId="1F0FEFD7" w14:textId="77777777" w:rsidR="004A10AE" w:rsidRPr="0025669D" w:rsidRDefault="004A10AE" w:rsidP="007947DB">
            <w:pPr>
              <w:wordWrap/>
              <w:spacing w:after="20" w:line="240" w:lineRule="auto"/>
              <w:contextualSpacing/>
              <w:jc w:val="left"/>
              <w:rPr>
                <w:rFonts w:ascii="Times New Roman" w:hAnsi="Times New Roman" w:cs="Times New Roman"/>
                <w:spacing w:val="-3"/>
                <w:sz w:val="22"/>
              </w:rPr>
            </w:pPr>
            <w:r w:rsidRPr="0025669D">
              <w:rPr>
                <w:rFonts w:ascii="Times New Roman" w:hAnsi="Times New Roman" w:cs="Times New Roman"/>
                <w:spacing w:val="-3"/>
                <w:sz w:val="22"/>
              </w:rPr>
              <w:t>Granulomatous lesion</w:t>
            </w:r>
          </w:p>
        </w:tc>
      </w:tr>
      <w:tr w:rsidR="004A10AE" w:rsidRPr="0025669D" w14:paraId="79B59475" w14:textId="77777777" w:rsidTr="005A4B0D">
        <w:trPr>
          <w:jc w:val="center"/>
        </w:trPr>
        <w:tc>
          <w:tcPr>
            <w:tcW w:w="1782" w:type="pct"/>
          </w:tcPr>
          <w:p w14:paraId="1F99714B" w14:textId="77777777" w:rsidR="004A10AE" w:rsidRPr="0025669D" w:rsidRDefault="004A10AE" w:rsidP="007947DB">
            <w:pPr>
              <w:wordWrap/>
              <w:spacing w:line="240" w:lineRule="auto"/>
              <w:contextualSpacing/>
              <w:jc w:val="left"/>
              <w:rPr>
                <w:rFonts w:ascii="Times New Roman" w:hAnsi="Times New Roman" w:cs="Times New Roman"/>
                <w:spacing w:val="-3"/>
                <w:sz w:val="22"/>
              </w:rPr>
            </w:pPr>
            <w:r w:rsidRPr="0025669D">
              <w:rPr>
                <w:rFonts w:ascii="Times New Roman" w:hAnsi="Times New Roman" w:cs="Times New Roman"/>
                <w:spacing w:val="-3"/>
                <w:sz w:val="22"/>
              </w:rPr>
              <w:t>Neoplasms benign, malignant and unspecified</w:t>
            </w:r>
          </w:p>
          <w:p w14:paraId="5C9BFC72" w14:textId="77777777" w:rsidR="004A10AE" w:rsidRPr="0025669D" w:rsidRDefault="004A10AE" w:rsidP="007947DB">
            <w:pPr>
              <w:wordWrap/>
              <w:spacing w:after="20" w:line="240" w:lineRule="auto"/>
              <w:contextualSpacing/>
              <w:jc w:val="left"/>
              <w:rPr>
                <w:rFonts w:ascii="Times New Roman" w:hAnsi="Times New Roman" w:cs="Times New Roman"/>
                <w:spacing w:val="-3"/>
                <w:sz w:val="22"/>
              </w:rPr>
            </w:pPr>
            <w:r w:rsidRPr="0025669D">
              <w:rPr>
                <w:rFonts w:ascii="Times New Roman" w:hAnsi="Times New Roman" w:cs="Times New Roman"/>
                <w:spacing w:val="-3"/>
                <w:sz w:val="22"/>
              </w:rPr>
              <w:t>Rare:</w:t>
            </w:r>
          </w:p>
        </w:tc>
        <w:tc>
          <w:tcPr>
            <w:tcW w:w="3218" w:type="pct"/>
          </w:tcPr>
          <w:p w14:paraId="67309613" w14:textId="77777777" w:rsidR="004A10AE" w:rsidRPr="0025669D" w:rsidRDefault="004A10AE" w:rsidP="007947DB">
            <w:pPr>
              <w:wordWrap/>
              <w:spacing w:line="240" w:lineRule="auto"/>
              <w:contextualSpacing/>
              <w:jc w:val="left"/>
              <w:rPr>
                <w:rFonts w:ascii="Times New Roman" w:hAnsi="Times New Roman" w:cs="Times New Roman"/>
                <w:spacing w:val="-3"/>
                <w:sz w:val="22"/>
              </w:rPr>
            </w:pPr>
          </w:p>
          <w:p w14:paraId="4DFA4FFC" w14:textId="77777777" w:rsidR="004A10AE" w:rsidRPr="0025669D" w:rsidRDefault="004A10AE" w:rsidP="007947DB">
            <w:pPr>
              <w:wordWrap/>
              <w:spacing w:after="20" w:line="240" w:lineRule="auto"/>
              <w:contextualSpacing/>
              <w:jc w:val="left"/>
              <w:rPr>
                <w:rFonts w:ascii="Times New Roman" w:hAnsi="Times New Roman" w:cs="Times New Roman"/>
                <w:spacing w:val="-3"/>
                <w:sz w:val="22"/>
              </w:rPr>
            </w:pPr>
          </w:p>
          <w:p w14:paraId="16DB64C5" w14:textId="77777777" w:rsidR="004A10AE" w:rsidRPr="0025669D" w:rsidRDefault="004A10AE" w:rsidP="007947DB">
            <w:pPr>
              <w:wordWrap/>
              <w:spacing w:after="20" w:line="240" w:lineRule="auto"/>
              <w:contextualSpacing/>
              <w:jc w:val="left"/>
              <w:rPr>
                <w:rFonts w:ascii="Times New Roman" w:hAnsi="Times New Roman" w:cs="Times New Roman"/>
                <w:spacing w:val="-3"/>
                <w:sz w:val="22"/>
              </w:rPr>
            </w:pPr>
            <w:r w:rsidRPr="0025669D">
              <w:rPr>
                <w:rFonts w:ascii="Times New Roman" w:hAnsi="Times New Roman" w:cs="Times New Roman"/>
                <w:spacing w:val="-3"/>
                <w:sz w:val="22"/>
              </w:rPr>
              <w:t>Lymphoma</w:t>
            </w:r>
          </w:p>
        </w:tc>
      </w:tr>
      <w:tr w:rsidR="004A10AE" w:rsidRPr="0025669D" w14:paraId="79BEC6B2" w14:textId="77777777" w:rsidTr="005A4B0D">
        <w:trPr>
          <w:jc w:val="center"/>
        </w:trPr>
        <w:tc>
          <w:tcPr>
            <w:tcW w:w="1782" w:type="pct"/>
          </w:tcPr>
          <w:p w14:paraId="460D43DD" w14:textId="77777777" w:rsidR="004A10AE" w:rsidRPr="0025669D" w:rsidRDefault="004A10AE" w:rsidP="007947DB">
            <w:pPr>
              <w:wordWrap/>
              <w:spacing w:after="20" w:line="240" w:lineRule="auto"/>
              <w:contextualSpacing/>
              <w:jc w:val="left"/>
              <w:rPr>
                <w:rFonts w:ascii="Times New Roman" w:hAnsi="Times New Roman" w:cs="Times New Roman"/>
                <w:spacing w:val="-3"/>
                <w:sz w:val="22"/>
              </w:rPr>
            </w:pPr>
            <w:r w:rsidRPr="0025669D">
              <w:rPr>
                <w:rFonts w:ascii="Times New Roman" w:hAnsi="Times New Roman" w:cs="Times New Roman"/>
                <w:spacing w:val="-3"/>
                <w:sz w:val="22"/>
              </w:rPr>
              <w:t>Immune disorders</w:t>
            </w:r>
          </w:p>
          <w:p w14:paraId="05F15CC4" w14:textId="77777777" w:rsidR="004A10AE" w:rsidRPr="0025669D" w:rsidRDefault="004A10AE" w:rsidP="007947DB">
            <w:pPr>
              <w:wordWrap/>
              <w:spacing w:after="20" w:line="240" w:lineRule="auto"/>
              <w:ind w:firstLine="284"/>
              <w:contextualSpacing/>
              <w:jc w:val="left"/>
              <w:rPr>
                <w:rFonts w:ascii="Times New Roman" w:hAnsi="Times New Roman" w:cs="Times New Roman"/>
                <w:spacing w:val="-3"/>
                <w:sz w:val="22"/>
              </w:rPr>
            </w:pPr>
            <w:r w:rsidRPr="0025669D">
              <w:rPr>
                <w:rFonts w:ascii="Times New Roman" w:hAnsi="Times New Roman" w:cs="Times New Roman"/>
                <w:spacing w:val="-3"/>
                <w:sz w:val="22"/>
              </w:rPr>
              <w:t>Common:</w:t>
            </w:r>
          </w:p>
          <w:p w14:paraId="178078C3" w14:textId="77777777" w:rsidR="004A10AE" w:rsidRPr="0025669D" w:rsidRDefault="004A10AE" w:rsidP="007947DB">
            <w:pPr>
              <w:wordWrap/>
              <w:spacing w:after="20" w:line="240" w:lineRule="auto"/>
              <w:ind w:firstLine="284"/>
              <w:contextualSpacing/>
              <w:jc w:val="left"/>
              <w:rPr>
                <w:rFonts w:ascii="Times New Roman" w:hAnsi="Times New Roman" w:cs="Times New Roman"/>
                <w:spacing w:val="-3"/>
                <w:sz w:val="22"/>
              </w:rPr>
            </w:pPr>
            <w:r w:rsidRPr="0025669D">
              <w:rPr>
                <w:rFonts w:ascii="Times New Roman" w:hAnsi="Times New Roman" w:cs="Times New Roman"/>
                <w:spacing w:val="-3"/>
                <w:sz w:val="22"/>
              </w:rPr>
              <w:t>Uncommon:</w:t>
            </w:r>
          </w:p>
          <w:p w14:paraId="36A5951A" w14:textId="77777777" w:rsidR="004A10AE" w:rsidRDefault="004A10AE" w:rsidP="007947DB">
            <w:pPr>
              <w:wordWrap/>
              <w:spacing w:after="20" w:line="240" w:lineRule="auto"/>
              <w:ind w:firstLine="284"/>
              <w:contextualSpacing/>
              <w:jc w:val="left"/>
              <w:rPr>
                <w:rFonts w:ascii="Times New Roman" w:hAnsi="Times New Roman" w:cs="Times New Roman"/>
                <w:spacing w:val="-3"/>
                <w:sz w:val="22"/>
              </w:rPr>
            </w:pPr>
          </w:p>
          <w:p w14:paraId="0955CC22" w14:textId="77777777" w:rsidR="004A10AE" w:rsidRPr="0025669D" w:rsidRDefault="004A10AE" w:rsidP="007947DB">
            <w:pPr>
              <w:wordWrap/>
              <w:spacing w:after="20" w:line="240" w:lineRule="auto"/>
              <w:ind w:firstLine="284"/>
              <w:contextualSpacing/>
              <w:jc w:val="left"/>
              <w:rPr>
                <w:rFonts w:ascii="Times New Roman" w:hAnsi="Times New Roman" w:cs="Times New Roman"/>
                <w:spacing w:val="-3"/>
                <w:sz w:val="22"/>
              </w:rPr>
            </w:pPr>
            <w:r w:rsidRPr="0025669D">
              <w:rPr>
                <w:rFonts w:ascii="Times New Roman" w:hAnsi="Times New Roman" w:cs="Times New Roman"/>
                <w:spacing w:val="-3"/>
                <w:sz w:val="22"/>
              </w:rPr>
              <w:t>Rare:</w:t>
            </w:r>
          </w:p>
        </w:tc>
        <w:tc>
          <w:tcPr>
            <w:tcW w:w="3218" w:type="pct"/>
          </w:tcPr>
          <w:p w14:paraId="3B84E4FB" w14:textId="77777777" w:rsidR="004A10AE" w:rsidRPr="0025669D" w:rsidRDefault="004A10AE" w:rsidP="007947DB">
            <w:pPr>
              <w:wordWrap/>
              <w:spacing w:after="20" w:line="240" w:lineRule="auto"/>
              <w:contextualSpacing/>
              <w:jc w:val="left"/>
              <w:rPr>
                <w:rFonts w:ascii="Times New Roman" w:hAnsi="Times New Roman" w:cs="Times New Roman"/>
                <w:spacing w:val="-3"/>
                <w:sz w:val="22"/>
              </w:rPr>
            </w:pPr>
          </w:p>
          <w:p w14:paraId="74514699" w14:textId="77777777" w:rsidR="004A10AE" w:rsidRPr="0025669D" w:rsidRDefault="004A10AE" w:rsidP="007947DB">
            <w:pPr>
              <w:wordWrap/>
              <w:spacing w:after="20" w:line="240" w:lineRule="auto"/>
              <w:contextualSpacing/>
              <w:jc w:val="left"/>
              <w:rPr>
                <w:rFonts w:ascii="Times New Roman" w:hAnsi="Times New Roman" w:cs="Times New Roman"/>
                <w:spacing w:val="-3"/>
                <w:sz w:val="22"/>
              </w:rPr>
            </w:pPr>
            <w:r w:rsidRPr="0025669D">
              <w:rPr>
                <w:rFonts w:ascii="Times New Roman" w:hAnsi="Times New Roman" w:cs="Times New Roman"/>
                <w:spacing w:val="-3"/>
                <w:sz w:val="22"/>
              </w:rPr>
              <w:t>Serum-sickness-like reactions</w:t>
            </w:r>
          </w:p>
          <w:p w14:paraId="6D0E5E7B" w14:textId="77777777" w:rsidR="004A10AE" w:rsidRPr="0025669D" w:rsidRDefault="004A10AE" w:rsidP="007947DB">
            <w:pPr>
              <w:wordWrap/>
              <w:spacing w:after="20" w:line="240" w:lineRule="auto"/>
              <w:contextualSpacing/>
              <w:jc w:val="left"/>
              <w:rPr>
                <w:rFonts w:ascii="Times New Roman" w:hAnsi="Times New Roman" w:cs="Times New Roman"/>
                <w:spacing w:val="-3"/>
                <w:sz w:val="22"/>
              </w:rPr>
            </w:pPr>
            <w:r w:rsidRPr="0025669D">
              <w:rPr>
                <w:rFonts w:ascii="Times New Roman" w:hAnsi="Times New Roman" w:cs="Times New Roman"/>
                <w:spacing w:val="-3"/>
                <w:sz w:val="22"/>
              </w:rPr>
              <w:t>Autoantibodies, lupus-like syndrome, complement factor</w:t>
            </w:r>
            <w:r>
              <w:rPr>
                <w:rFonts w:ascii="Times New Roman" w:hAnsi="Times New Roman" w:cs="Times New Roman" w:hint="eastAsia"/>
                <w:spacing w:val="-3"/>
                <w:sz w:val="22"/>
              </w:rPr>
              <w:t xml:space="preserve"> </w:t>
            </w:r>
            <w:r w:rsidRPr="0025669D">
              <w:rPr>
                <w:rFonts w:ascii="Times New Roman" w:hAnsi="Times New Roman" w:cs="Times New Roman"/>
                <w:spacing w:val="-3"/>
                <w:sz w:val="22"/>
              </w:rPr>
              <w:t>abnormality</w:t>
            </w:r>
          </w:p>
          <w:p w14:paraId="5B4B7B1C" w14:textId="77777777" w:rsidR="004A10AE" w:rsidRPr="0025669D" w:rsidRDefault="004A10AE" w:rsidP="007947DB">
            <w:pPr>
              <w:wordWrap/>
              <w:spacing w:after="20" w:line="240" w:lineRule="auto"/>
              <w:contextualSpacing/>
              <w:jc w:val="left"/>
              <w:rPr>
                <w:rFonts w:ascii="Times New Roman" w:hAnsi="Times New Roman" w:cs="Times New Roman"/>
                <w:spacing w:val="-3"/>
                <w:sz w:val="22"/>
              </w:rPr>
            </w:pPr>
            <w:r w:rsidRPr="0025669D">
              <w:rPr>
                <w:rFonts w:ascii="Times New Roman" w:hAnsi="Times New Roman" w:cs="Times New Roman"/>
                <w:spacing w:val="-3"/>
                <w:sz w:val="22"/>
              </w:rPr>
              <w:t>Sarcoid-like reaction</w:t>
            </w:r>
          </w:p>
        </w:tc>
      </w:tr>
      <w:tr w:rsidR="004A10AE" w:rsidRPr="0025669D" w14:paraId="21A01031" w14:textId="77777777" w:rsidTr="005A4B0D">
        <w:trPr>
          <w:jc w:val="center"/>
        </w:trPr>
        <w:tc>
          <w:tcPr>
            <w:tcW w:w="1782" w:type="pct"/>
          </w:tcPr>
          <w:p w14:paraId="26D99F97" w14:textId="77777777" w:rsidR="004A10AE" w:rsidRPr="0025669D" w:rsidRDefault="004A10AE" w:rsidP="007947DB">
            <w:pPr>
              <w:wordWrap/>
              <w:spacing w:after="20" w:line="240" w:lineRule="auto"/>
              <w:contextualSpacing/>
              <w:jc w:val="left"/>
              <w:rPr>
                <w:rFonts w:ascii="Times New Roman" w:hAnsi="Times New Roman" w:cs="Times New Roman"/>
                <w:spacing w:val="-3"/>
                <w:sz w:val="22"/>
              </w:rPr>
            </w:pPr>
            <w:r w:rsidRPr="0025669D">
              <w:rPr>
                <w:rFonts w:ascii="Times New Roman" w:hAnsi="Times New Roman" w:cs="Times New Roman"/>
                <w:spacing w:val="-3"/>
                <w:sz w:val="22"/>
              </w:rPr>
              <w:t>Blood disorders</w:t>
            </w:r>
          </w:p>
          <w:p w14:paraId="05CC202D" w14:textId="77777777" w:rsidR="004A10AE" w:rsidRPr="0025669D" w:rsidRDefault="004A10AE" w:rsidP="007947DB">
            <w:pPr>
              <w:wordWrap/>
              <w:spacing w:after="20" w:line="240" w:lineRule="auto"/>
              <w:ind w:firstLine="284"/>
              <w:contextualSpacing/>
              <w:jc w:val="left"/>
              <w:rPr>
                <w:rFonts w:ascii="Times New Roman" w:hAnsi="Times New Roman" w:cs="Times New Roman"/>
                <w:spacing w:val="-3"/>
                <w:sz w:val="22"/>
              </w:rPr>
            </w:pPr>
            <w:r w:rsidRPr="0025669D">
              <w:rPr>
                <w:rFonts w:ascii="Times New Roman" w:hAnsi="Times New Roman" w:cs="Times New Roman"/>
                <w:spacing w:val="-3"/>
                <w:sz w:val="22"/>
              </w:rPr>
              <w:t>Uncommon:</w:t>
            </w:r>
          </w:p>
        </w:tc>
        <w:tc>
          <w:tcPr>
            <w:tcW w:w="3218" w:type="pct"/>
          </w:tcPr>
          <w:p w14:paraId="02FB1A4B" w14:textId="77777777" w:rsidR="004A10AE" w:rsidRPr="0025669D" w:rsidRDefault="004A10AE" w:rsidP="007947DB">
            <w:pPr>
              <w:pStyle w:val="FootnoteText"/>
              <w:spacing w:after="20"/>
              <w:contextualSpacing/>
              <w:rPr>
                <w:rFonts w:ascii="Times New Roman" w:hAnsi="Times New Roman"/>
                <w:spacing w:val="-3"/>
                <w:sz w:val="22"/>
                <w:szCs w:val="22"/>
              </w:rPr>
            </w:pPr>
          </w:p>
          <w:p w14:paraId="762C6EB5" w14:textId="77777777" w:rsidR="004A10AE" w:rsidRPr="0025669D" w:rsidRDefault="004A10AE" w:rsidP="007947DB">
            <w:pPr>
              <w:pStyle w:val="FootnoteText"/>
              <w:spacing w:after="20"/>
              <w:contextualSpacing/>
              <w:rPr>
                <w:rFonts w:ascii="Times New Roman" w:hAnsi="Times New Roman"/>
                <w:spacing w:val="-3"/>
                <w:sz w:val="22"/>
                <w:szCs w:val="22"/>
              </w:rPr>
            </w:pPr>
            <w:r w:rsidRPr="0025669D">
              <w:rPr>
                <w:rFonts w:ascii="Times New Roman" w:hAnsi="Times New Roman"/>
                <w:spacing w:val="-3"/>
                <w:sz w:val="22"/>
                <w:szCs w:val="22"/>
              </w:rPr>
              <w:t xml:space="preserve">Anemia, </w:t>
            </w:r>
            <w:proofErr w:type="spellStart"/>
            <w:r w:rsidRPr="0025669D">
              <w:rPr>
                <w:rFonts w:ascii="Times New Roman" w:hAnsi="Times New Roman"/>
                <w:spacing w:val="-3"/>
                <w:sz w:val="22"/>
                <w:szCs w:val="22"/>
              </w:rPr>
              <w:t>leukopaenia</w:t>
            </w:r>
            <w:proofErr w:type="spellEnd"/>
            <w:r w:rsidRPr="0025669D">
              <w:rPr>
                <w:rFonts w:ascii="Times New Roman" w:hAnsi="Times New Roman"/>
                <w:spacing w:val="-3"/>
                <w:sz w:val="22"/>
                <w:szCs w:val="22"/>
              </w:rPr>
              <w:t xml:space="preserve">, lymphadenopathy, lymphocytosis, </w:t>
            </w:r>
            <w:proofErr w:type="spellStart"/>
            <w:r w:rsidRPr="0025669D">
              <w:rPr>
                <w:rFonts w:ascii="Times New Roman" w:hAnsi="Times New Roman"/>
                <w:spacing w:val="-3"/>
                <w:sz w:val="22"/>
                <w:szCs w:val="22"/>
              </w:rPr>
              <w:t>lymphopaenia</w:t>
            </w:r>
            <w:proofErr w:type="spellEnd"/>
            <w:r w:rsidRPr="0025669D">
              <w:rPr>
                <w:rFonts w:ascii="Times New Roman" w:hAnsi="Times New Roman"/>
                <w:spacing w:val="-3"/>
                <w:sz w:val="22"/>
                <w:szCs w:val="22"/>
              </w:rPr>
              <w:t xml:space="preserve">, </w:t>
            </w:r>
            <w:proofErr w:type="spellStart"/>
            <w:r w:rsidRPr="0025669D">
              <w:rPr>
                <w:rFonts w:ascii="Times New Roman" w:hAnsi="Times New Roman"/>
                <w:spacing w:val="-3"/>
                <w:sz w:val="22"/>
                <w:szCs w:val="22"/>
              </w:rPr>
              <w:t>neutropaenia</w:t>
            </w:r>
            <w:proofErr w:type="spellEnd"/>
            <w:r w:rsidRPr="0025669D">
              <w:rPr>
                <w:rFonts w:ascii="Times New Roman" w:hAnsi="Times New Roman"/>
                <w:spacing w:val="-3"/>
                <w:sz w:val="22"/>
                <w:szCs w:val="22"/>
              </w:rPr>
              <w:t xml:space="preserve">, </w:t>
            </w:r>
            <w:proofErr w:type="spellStart"/>
            <w:r w:rsidRPr="0025669D">
              <w:rPr>
                <w:rFonts w:ascii="Times New Roman" w:hAnsi="Times New Roman"/>
                <w:spacing w:val="-3"/>
                <w:sz w:val="22"/>
                <w:szCs w:val="22"/>
              </w:rPr>
              <w:t>thrombocytopaenia</w:t>
            </w:r>
            <w:proofErr w:type="spellEnd"/>
          </w:p>
        </w:tc>
      </w:tr>
      <w:tr w:rsidR="004A10AE" w:rsidRPr="0025669D" w14:paraId="55B863E2" w14:textId="77777777" w:rsidTr="005A4B0D">
        <w:trPr>
          <w:jc w:val="center"/>
        </w:trPr>
        <w:tc>
          <w:tcPr>
            <w:tcW w:w="1782" w:type="pct"/>
          </w:tcPr>
          <w:p w14:paraId="1499EA91" w14:textId="77777777" w:rsidR="004A10AE" w:rsidRPr="0025669D" w:rsidRDefault="004A10AE" w:rsidP="007947DB">
            <w:pPr>
              <w:wordWrap/>
              <w:spacing w:after="20" w:line="240" w:lineRule="auto"/>
              <w:contextualSpacing/>
              <w:jc w:val="left"/>
              <w:rPr>
                <w:rFonts w:ascii="Times New Roman" w:hAnsi="Times New Roman" w:cs="Times New Roman"/>
                <w:spacing w:val="-3"/>
                <w:sz w:val="22"/>
              </w:rPr>
            </w:pPr>
            <w:r w:rsidRPr="0025669D">
              <w:rPr>
                <w:rFonts w:ascii="Times New Roman" w:hAnsi="Times New Roman" w:cs="Times New Roman"/>
                <w:spacing w:val="-3"/>
                <w:sz w:val="22"/>
              </w:rPr>
              <w:t>Psychiatric disorders</w:t>
            </w:r>
          </w:p>
          <w:p w14:paraId="6FC86A14" w14:textId="77777777" w:rsidR="004A10AE" w:rsidRPr="0025669D" w:rsidRDefault="004A10AE" w:rsidP="007947DB">
            <w:pPr>
              <w:wordWrap/>
              <w:spacing w:after="20" w:line="240" w:lineRule="auto"/>
              <w:ind w:firstLine="284"/>
              <w:contextualSpacing/>
              <w:jc w:val="left"/>
              <w:rPr>
                <w:rFonts w:ascii="Times New Roman" w:hAnsi="Times New Roman" w:cs="Times New Roman"/>
                <w:spacing w:val="-3"/>
                <w:sz w:val="22"/>
              </w:rPr>
            </w:pPr>
            <w:r w:rsidRPr="0025669D">
              <w:rPr>
                <w:rFonts w:ascii="Times New Roman" w:hAnsi="Times New Roman" w:cs="Times New Roman"/>
                <w:spacing w:val="-3"/>
                <w:sz w:val="22"/>
              </w:rPr>
              <w:t>Uncommon:</w:t>
            </w:r>
          </w:p>
        </w:tc>
        <w:tc>
          <w:tcPr>
            <w:tcW w:w="3218" w:type="pct"/>
          </w:tcPr>
          <w:p w14:paraId="769A8450" w14:textId="77777777" w:rsidR="004A10AE" w:rsidRPr="0025669D" w:rsidRDefault="004A10AE" w:rsidP="007947DB">
            <w:pPr>
              <w:wordWrap/>
              <w:spacing w:after="20" w:line="240" w:lineRule="auto"/>
              <w:contextualSpacing/>
              <w:jc w:val="left"/>
              <w:rPr>
                <w:rFonts w:ascii="Times New Roman" w:hAnsi="Times New Roman" w:cs="Times New Roman"/>
                <w:spacing w:val="-3"/>
                <w:sz w:val="22"/>
                <w:lang w:val="fr-FR"/>
              </w:rPr>
            </w:pPr>
          </w:p>
          <w:p w14:paraId="20D2E56E" w14:textId="77777777" w:rsidR="004A10AE" w:rsidRPr="0025669D" w:rsidRDefault="004A10AE" w:rsidP="007947DB">
            <w:pPr>
              <w:wordWrap/>
              <w:spacing w:after="20" w:line="240" w:lineRule="auto"/>
              <w:contextualSpacing/>
              <w:jc w:val="left"/>
              <w:rPr>
                <w:rFonts w:ascii="Times New Roman" w:hAnsi="Times New Roman" w:cs="Times New Roman"/>
                <w:spacing w:val="-3"/>
                <w:sz w:val="22"/>
                <w:lang w:val="fr-FR"/>
              </w:rPr>
            </w:pPr>
            <w:proofErr w:type="spellStart"/>
            <w:r w:rsidRPr="0025669D">
              <w:rPr>
                <w:rFonts w:ascii="Times New Roman" w:hAnsi="Times New Roman" w:cs="Times New Roman"/>
                <w:spacing w:val="-3"/>
                <w:sz w:val="22"/>
                <w:lang w:val="fr-FR"/>
              </w:rPr>
              <w:t>Depression</w:t>
            </w:r>
            <w:proofErr w:type="spellEnd"/>
            <w:r w:rsidRPr="0025669D">
              <w:rPr>
                <w:rFonts w:ascii="Times New Roman" w:hAnsi="Times New Roman" w:cs="Times New Roman"/>
                <w:spacing w:val="-3"/>
                <w:sz w:val="22"/>
                <w:lang w:val="fr-FR"/>
              </w:rPr>
              <w:t xml:space="preserve">, confusion, agitation, </w:t>
            </w:r>
            <w:proofErr w:type="spellStart"/>
            <w:r w:rsidRPr="0025669D">
              <w:rPr>
                <w:rFonts w:ascii="Times New Roman" w:hAnsi="Times New Roman" w:cs="Times New Roman"/>
                <w:spacing w:val="-3"/>
                <w:sz w:val="22"/>
                <w:lang w:val="fr-FR"/>
              </w:rPr>
              <w:t>nervousness</w:t>
            </w:r>
            <w:proofErr w:type="spellEnd"/>
            <w:r w:rsidRPr="0025669D">
              <w:rPr>
                <w:rFonts w:ascii="Times New Roman" w:hAnsi="Times New Roman" w:cs="Times New Roman"/>
                <w:spacing w:val="-3"/>
                <w:sz w:val="22"/>
                <w:lang w:val="fr-FR"/>
              </w:rPr>
              <w:t xml:space="preserve">, somnolence, </w:t>
            </w:r>
            <w:proofErr w:type="spellStart"/>
            <w:r w:rsidRPr="0025669D">
              <w:rPr>
                <w:rFonts w:ascii="Times New Roman" w:hAnsi="Times New Roman" w:cs="Times New Roman"/>
                <w:spacing w:val="-3"/>
                <w:sz w:val="22"/>
                <w:lang w:val="fr-FR"/>
              </w:rPr>
              <w:t>insomnia</w:t>
            </w:r>
            <w:proofErr w:type="spellEnd"/>
          </w:p>
        </w:tc>
      </w:tr>
      <w:tr w:rsidR="004A10AE" w:rsidRPr="0025669D" w14:paraId="58389A06" w14:textId="77777777" w:rsidTr="005A4B0D">
        <w:trPr>
          <w:jc w:val="center"/>
        </w:trPr>
        <w:tc>
          <w:tcPr>
            <w:tcW w:w="1782" w:type="pct"/>
          </w:tcPr>
          <w:p w14:paraId="1DDCB46A" w14:textId="77777777" w:rsidR="004A10AE" w:rsidRPr="0025669D" w:rsidRDefault="004A10AE" w:rsidP="007947DB">
            <w:pPr>
              <w:wordWrap/>
              <w:spacing w:after="20" w:line="240" w:lineRule="auto"/>
              <w:contextualSpacing/>
              <w:jc w:val="left"/>
              <w:rPr>
                <w:rFonts w:ascii="Times New Roman" w:hAnsi="Times New Roman" w:cs="Times New Roman"/>
                <w:spacing w:val="-3"/>
                <w:sz w:val="22"/>
              </w:rPr>
            </w:pPr>
            <w:r w:rsidRPr="0025669D">
              <w:rPr>
                <w:rFonts w:ascii="Times New Roman" w:hAnsi="Times New Roman" w:cs="Times New Roman"/>
                <w:spacing w:val="-3"/>
                <w:sz w:val="22"/>
              </w:rPr>
              <w:t>Central and peripheral nervous system disorders</w:t>
            </w:r>
          </w:p>
          <w:p w14:paraId="3701FBC8" w14:textId="77777777" w:rsidR="004A10AE" w:rsidRPr="0025669D" w:rsidRDefault="004A10AE" w:rsidP="007947DB">
            <w:pPr>
              <w:wordWrap/>
              <w:spacing w:after="20" w:line="240" w:lineRule="auto"/>
              <w:ind w:firstLine="284"/>
              <w:contextualSpacing/>
              <w:jc w:val="left"/>
              <w:rPr>
                <w:rFonts w:ascii="Times New Roman" w:hAnsi="Times New Roman" w:cs="Times New Roman"/>
                <w:spacing w:val="-3"/>
                <w:sz w:val="22"/>
              </w:rPr>
            </w:pPr>
            <w:r w:rsidRPr="0025669D">
              <w:rPr>
                <w:rFonts w:ascii="Times New Roman" w:hAnsi="Times New Roman" w:cs="Times New Roman"/>
                <w:spacing w:val="-3"/>
                <w:sz w:val="22"/>
              </w:rPr>
              <w:t>Common:</w:t>
            </w:r>
          </w:p>
          <w:p w14:paraId="6225071D" w14:textId="77777777" w:rsidR="004A10AE" w:rsidRPr="0025669D" w:rsidRDefault="004A10AE" w:rsidP="007947DB">
            <w:pPr>
              <w:wordWrap/>
              <w:spacing w:after="20" w:line="240" w:lineRule="auto"/>
              <w:ind w:firstLine="284"/>
              <w:contextualSpacing/>
              <w:jc w:val="left"/>
              <w:rPr>
                <w:rFonts w:ascii="Times New Roman" w:hAnsi="Times New Roman" w:cs="Times New Roman"/>
                <w:spacing w:val="-3"/>
                <w:sz w:val="22"/>
              </w:rPr>
            </w:pPr>
            <w:r w:rsidRPr="0025669D">
              <w:rPr>
                <w:rFonts w:ascii="Times New Roman" w:hAnsi="Times New Roman" w:cs="Times New Roman"/>
                <w:spacing w:val="-3"/>
                <w:sz w:val="22"/>
              </w:rPr>
              <w:t>Uncommon:</w:t>
            </w:r>
          </w:p>
          <w:p w14:paraId="418ECD1C" w14:textId="77777777" w:rsidR="004A10AE" w:rsidRDefault="004A10AE" w:rsidP="007947DB">
            <w:pPr>
              <w:wordWrap/>
              <w:spacing w:after="20" w:line="240" w:lineRule="auto"/>
              <w:ind w:firstLine="284"/>
              <w:contextualSpacing/>
              <w:jc w:val="left"/>
              <w:rPr>
                <w:rFonts w:ascii="Times New Roman" w:hAnsi="Times New Roman" w:cs="Times New Roman"/>
                <w:spacing w:val="-3"/>
                <w:sz w:val="22"/>
              </w:rPr>
            </w:pPr>
          </w:p>
          <w:p w14:paraId="1E5F8264" w14:textId="77777777" w:rsidR="004A10AE" w:rsidRPr="0025669D" w:rsidRDefault="004A10AE" w:rsidP="007947DB">
            <w:pPr>
              <w:wordWrap/>
              <w:spacing w:after="20" w:line="240" w:lineRule="auto"/>
              <w:ind w:firstLine="284"/>
              <w:contextualSpacing/>
              <w:jc w:val="left"/>
              <w:rPr>
                <w:rFonts w:ascii="Times New Roman" w:hAnsi="Times New Roman" w:cs="Times New Roman"/>
                <w:spacing w:val="-3"/>
                <w:sz w:val="22"/>
              </w:rPr>
            </w:pPr>
            <w:r w:rsidRPr="0025669D">
              <w:rPr>
                <w:rFonts w:ascii="Times New Roman" w:hAnsi="Times New Roman" w:cs="Times New Roman"/>
                <w:spacing w:val="-3"/>
                <w:sz w:val="22"/>
              </w:rPr>
              <w:t>Rare:</w:t>
            </w:r>
          </w:p>
        </w:tc>
        <w:tc>
          <w:tcPr>
            <w:tcW w:w="3218" w:type="pct"/>
          </w:tcPr>
          <w:p w14:paraId="5119FA4A" w14:textId="77777777" w:rsidR="004A10AE" w:rsidRPr="0025669D" w:rsidRDefault="004A10AE" w:rsidP="007947DB">
            <w:pPr>
              <w:wordWrap/>
              <w:spacing w:after="20" w:line="240" w:lineRule="auto"/>
              <w:contextualSpacing/>
              <w:jc w:val="left"/>
              <w:rPr>
                <w:rFonts w:ascii="Times New Roman" w:hAnsi="Times New Roman" w:cs="Times New Roman"/>
                <w:spacing w:val="-3"/>
                <w:sz w:val="22"/>
              </w:rPr>
            </w:pPr>
          </w:p>
          <w:p w14:paraId="6CA3B90E" w14:textId="77777777" w:rsidR="004A10AE" w:rsidRPr="0025669D" w:rsidRDefault="004A10AE" w:rsidP="007947DB">
            <w:pPr>
              <w:wordWrap/>
              <w:spacing w:after="20" w:line="240" w:lineRule="auto"/>
              <w:contextualSpacing/>
              <w:jc w:val="left"/>
              <w:rPr>
                <w:rFonts w:ascii="Times New Roman" w:hAnsi="Times New Roman" w:cs="Times New Roman"/>
                <w:spacing w:val="-3"/>
                <w:sz w:val="22"/>
              </w:rPr>
            </w:pPr>
          </w:p>
          <w:p w14:paraId="5FFF358F" w14:textId="77777777" w:rsidR="004A10AE" w:rsidRPr="0025669D" w:rsidRDefault="004A10AE" w:rsidP="007947DB">
            <w:pPr>
              <w:wordWrap/>
              <w:spacing w:after="20" w:line="240" w:lineRule="auto"/>
              <w:contextualSpacing/>
              <w:jc w:val="left"/>
              <w:rPr>
                <w:rFonts w:ascii="Times New Roman" w:hAnsi="Times New Roman" w:cs="Times New Roman"/>
                <w:spacing w:val="-3"/>
                <w:sz w:val="22"/>
              </w:rPr>
            </w:pPr>
            <w:r w:rsidRPr="0025669D">
              <w:rPr>
                <w:rFonts w:ascii="Times New Roman" w:hAnsi="Times New Roman" w:cs="Times New Roman"/>
                <w:spacing w:val="-3"/>
                <w:sz w:val="22"/>
              </w:rPr>
              <w:t>Headache, vertigo/dizziness</w:t>
            </w:r>
          </w:p>
          <w:p w14:paraId="5CB6A94E" w14:textId="77777777" w:rsidR="004A10AE" w:rsidRPr="0025669D" w:rsidRDefault="004A10AE" w:rsidP="007947DB">
            <w:pPr>
              <w:wordWrap/>
              <w:spacing w:after="20" w:line="240" w:lineRule="auto"/>
              <w:contextualSpacing/>
              <w:jc w:val="left"/>
              <w:rPr>
                <w:rFonts w:ascii="Times New Roman" w:hAnsi="Times New Roman" w:cs="Times New Roman"/>
                <w:sz w:val="22"/>
              </w:rPr>
            </w:pPr>
            <w:r w:rsidRPr="0025669D">
              <w:rPr>
                <w:rFonts w:ascii="Times New Roman" w:hAnsi="Times New Roman" w:cs="Times New Roman"/>
                <w:sz w:val="22"/>
              </w:rPr>
              <w:t>Exacerbation of demyelinating disease suggestive of multiple sclerosis</w:t>
            </w:r>
          </w:p>
          <w:p w14:paraId="668A06ED" w14:textId="77777777" w:rsidR="004A10AE" w:rsidRPr="0025669D" w:rsidRDefault="004A10AE" w:rsidP="007947DB">
            <w:pPr>
              <w:wordWrap/>
              <w:spacing w:after="20" w:line="240" w:lineRule="auto"/>
              <w:contextualSpacing/>
              <w:jc w:val="left"/>
              <w:rPr>
                <w:rFonts w:ascii="Times New Roman" w:hAnsi="Times New Roman" w:cs="Times New Roman"/>
                <w:spacing w:val="-3"/>
                <w:sz w:val="22"/>
              </w:rPr>
            </w:pPr>
            <w:r w:rsidRPr="0025669D">
              <w:rPr>
                <w:rFonts w:ascii="Times New Roman" w:hAnsi="Times New Roman" w:cs="Times New Roman"/>
                <w:sz w:val="22"/>
              </w:rPr>
              <w:t xml:space="preserve">Meningitis </w:t>
            </w:r>
          </w:p>
        </w:tc>
      </w:tr>
      <w:tr w:rsidR="004A10AE" w:rsidRPr="0025669D" w14:paraId="48B2E49A" w14:textId="77777777" w:rsidTr="005A4B0D">
        <w:trPr>
          <w:jc w:val="center"/>
        </w:trPr>
        <w:tc>
          <w:tcPr>
            <w:tcW w:w="1782" w:type="pct"/>
          </w:tcPr>
          <w:p w14:paraId="0E79AF8D" w14:textId="77777777" w:rsidR="004A10AE" w:rsidRPr="0025669D" w:rsidRDefault="004A10AE" w:rsidP="007947DB">
            <w:pPr>
              <w:wordWrap/>
              <w:spacing w:after="20" w:line="240" w:lineRule="auto"/>
              <w:contextualSpacing/>
              <w:jc w:val="left"/>
              <w:rPr>
                <w:rFonts w:ascii="Times New Roman" w:hAnsi="Times New Roman" w:cs="Times New Roman"/>
                <w:spacing w:val="-3"/>
                <w:sz w:val="22"/>
              </w:rPr>
            </w:pPr>
            <w:r w:rsidRPr="0025669D">
              <w:rPr>
                <w:rFonts w:ascii="Times New Roman" w:hAnsi="Times New Roman" w:cs="Times New Roman"/>
                <w:spacing w:val="-3"/>
                <w:sz w:val="22"/>
              </w:rPr>
              <w:t>Vision and hearing disorders</w:t>
            </w:r>
          </w:p>
          <w:p w14:paraId="6D505FC1" w14:textId="77777777" w:rsidR="004A10AE" w:rsidRPr="0025669D" w:rsidRDefault="004A10AE" w:rsidP="007947DB">
            <w:pPr>
              <w:wordWrap/>
              <w:spacing w:after="20" w:line="240" w:lineRule="auto"/>
              <w:ind w:firstLine="284"/>
              <w:contextualSpacing/>
              <w:jc w:val="left"/>
              <w:rPr>
                <w:rFonts w:ascii="Times New Roman" w:hAnsi="Times New Roman" w:cs="Times New Roman"/>
                <w:spacing w:val="-3"/>
                <w:sz w:val="22"/>
              </w:rPr>
            </w:pPr>
            <w:r w:rsidRPr="0025669D">
              <w:rPr>
                <w:rFonts w:ascii="Times New Roman" w:hAnsi="Times New Roman" w:cs="Times New Roman"/>
                <w:spacing w:val="-3"/>
                <w:sz w:val="22"/>
              </w:rPr>
              <w:t>Uncommon:</w:t>
            </w:r>
          </w:p>
        </w:tc>
        <w:tc>
          <w:tcPr>
            <w:tcW w:w="3218" w:type="pct"/>
          </w:tcPr>
          <w:p w14:paraId="3F765D68" w14:textId="77777777" w:rsidR="004A10AE" w:rsidRPr="0025669D" w:rsidRDefault="004A10AE" w:rsidP="007947DB">
            <w:pPr>
              <w:wordWrap/>
              <w:spacing w:after="20" w:line="240" w:lineRule="auto"/>
              <w:contextualSpacing/>
              <w:jc w:val="left"/>
              <w:rPr>
                <w:rFonts w:ascii="Times New Roman" w:hAnsi="Times New Roman" w:cs="Times New Roman"/>
                <w:spacing w:val="-3"/>
                <w:sz w:val="22"/>
              </w:rPr>
            </w:pPr>
          </w:p>
          <w:p w14:paraId="3AEA4702" w14:textId="77777777" w:rsidR="004A10AE" w:rsidRPr="0025669D" w:rsidRDefault="004A10AE" w:rsidP="007947DB">
            <w:pPr>
              <w:wordWrap/>
              <w:spacing w:after="20" w:line="240" w:lineRule="auto"/>
              <w:contextualSpacing/>
              <w:jc w:val="left"/>
              <w:rPr>
                <w:rFonts w:ascii="Times New Roman" w:hAnsi="Times New Roman" w:cs="Times New Roman"/>
                <w:spacing w:val="-3"/>
                <w:sz w:val="22"/>
              </w:rPr>
            </w:pPr>
            <w:r w:rsidRPr="0025669D">
              <w:rPr>
                <w:rFonts w:ascii="Times New Roman" w:hAnsi="Times New Roman" w:cs="Times New Roman"/>
                <w:spacing w:val="-3"/>
                <w:sz w:val="22"/>
              </w:rPr>
              <w:t xml:space="preserve">Conjunctivitis, </w:t>
            </w:r>
            <w:proofErr w:type="spellStart"/>
            <w:r w:rsidRPr="0025669D">
              <w:rPr>
                <w:rFonts w:ascii="Times New Roman" w:hAnsi="Times New Roman" w:cs="Times New Roman"/>
                <w:spacing w:val="-3"/>
                <w:sz w:val="22"/>
              </w:rPr>
              <w:t>endophthalmitis</w:t>
            </w:r>
            <w:proofErr w:type="spellEnd"/>
            <w:r w:rsidRPr="0025669D">
              <w:rPr>
                <w:rFonts w:ascii="Times New Roman" w:hAnsi="Times New Roman" w:cs="Times New Roman"/>
                <w:spacing w:val="-3"/>
                <w:sz w:val="22"/>
              </w:rPr>
              <w:t xml:space="preserve">, </w:t>
            </w:r>
            <w:proofErr w:type="spellStart"/>
            <w:r w:rsidRPr="0025669D">
              <w:rPr>
                <w:rFonts w:ascii="Times New Roman" w:hAnsi="Times New Roman" w:cs="Times New Roman"/>
                <w:spacing w:val="-3"/>
                <w:sz w:val="22"/>
              </w:rPr>
              <w:t>keratoconjunctivitis</w:t>
            </w:r>
            <w:proofErr w:type="spellEnd"/>
          </w:p>
        </w:tc>
      </w:tr>
      <w:tr w:rsidR="004A10AE" w:rsidRPr="0025669D" w14:paraId="4F71C56A" w14:textId="77777777" w:rsidTr="005A4B0D">
        <w:trPr>
          <w:jc w:val="center"/>
        </w:trPr>
        <w:tc>
          <w:tcPr>
            <w:tcW w:w="1782" w:type="pct"/>
          </w:tcPr>
          <w:p w14:paraId="11F8CFB9" w14:textId="77777777" w:rsidR="004A10AE" w:rsidRPr="0025669D" w:rsidRDefault="004A10AE" w:rsidP="007947DB">
            <w:pPr>
              <w:keepNext/>
              <w:wordWrap/>
              <w:spacing w:after="20" w:line="240" w:lineRule="auto"/>
              <w:contextualSpacing/>
              <w:jc w:val="left"/>
              <w:rPr>
                <w:rFonts w:ascii="Times New Roman" w:hAnsi="Times New Roman" w:cs="Times New Roman"/>
                <w:spacing w:val="-3"/>
                <w:sz w:val="22"/>
              </w:rPr>
            </w:pPr>
            <w:r w:rsidRPr="0025669D">
              <w:rPr>
                <w:rFonts w:ascii="Times New Roman" w:hAnsi="Times New Roman" w:cs="Times New Roman"/>
                <w:spacing w:val="-3"/>
                <w:sz w:val="22"/>
              </w:rPr>
              <w:t>Cardiovascular disorders</w:t>
            </w:r>
          </w:p>
          <w:p w14:paraId="1145B5A4" w14:textId="77777777" w:rsidR="004A10AE" w:rsidRPr="0025669D" w:rsidRDefault="004A10AE" w:rsidP="007947DB">
            <w:pPr>
              <w:keepNext/>
              <w:wordWrap/>
              <w:spacing w:after="20" w:line="240" w:lineRule="auto"/>
              <w:ind w:firstLine="284"/>
              <w:contextualSpacing/>
              <w:jc w:val="left"/>
              <w:rPr>
                <w:rFonts w:ascii="Times New Roman" w:hAnsi="Times New Roman" w:cs="Times New Roman"/>
                <w:spacing w:val="-3"/>
                <w:sz w:val="22"/>
              </w:rPr>
            </w:pPr>
            <w:r w:rsidRPr="0025669D">
              <w:rPr>
                <w:rFonts w:ascii="Times New Roman" w:hAnsi="Times New Roman" w:cs="Times New Roman"/>
                <w:spacing w:val="-3"/>
                <w:sz w:val="22"/>
              </w:rPr>
              <w:t>Common:</w:t>
            </w:r>
          </w:p>
          <w:p w14:paraId="3A56085B" w14:textId="77777777" w:rsidR="004A10AE" w:rsidRPr="0025669D" w:rsidRDefault="004A10AE" w:rsidP="007947DB">
            <w:pPr>
              <w:keepNext/>
              <w:wordWrap/>
              <w:spacing w:after="20" w:line="240" w:lineRule="auto"/>
              <w:ind w:firstLine="284"/>
              <w:contextualSpacing/>
              <w:jc w:val="left"/>
              <w:rPr>
                <w:rFonts w:ascii="Times New Roman" w:hAnsi="Times New Roman" w:cs="Times New Roman"/>
                <w:spacing w:val="-3"/>
                <w:sz w:val="22"/>
              </w:rPr>
            </w:pPr>
            <w:r w:rsidRPr="0025669D">
              <w:rPr>
                <w:rFonts w:ascii="Times New Roman" w:hAnsi="Times New Roman" w:cs="Times New Roman"/>
                <w:spacing w:val="-3"/>
                <w:sz w:val="22"/>
              </w:rPr>
              <w:t>Uncommon:</w:t>
            </w:r>
          </w:p>
          <w:p w14:paraId="118B523E" w14:textId="77777777" w:rsidR="004A10AE" w:rsidRPr="0025669D" w:rsidRDefault="004A10AE" w:rsidP="007947DB">
            <w:pPr>
              <w:keepNext/>
              <w:wordWrap/>
              <w:spacing w:after="20" w:line="240" w:lineRule="auto"/>
              <w:ind w:firstLine="284"/>
              <w:contextualSpacing/>
              <w:jc w:val="left"/>
              <w:rPr>
                <w:rFonts w:ascii="Times New Roman" w:hAnsi="Times New Roman" w:cs="Times New Roman"/>
                <w:spacing w:val="-3"/>
                <w:sz w:val="22"/>
              </w:rPr>
            </w:pPr>
          </w:p>
          <w:p w14:paraId="28DEDD6E" w14:textId="77777777" w:rsidR="004A10AE" w:rsidRPr="0025669D" w:rsidRDefault="004A10AE" w:rsidP="007947DB">
            <w:pPr>
              <w:keepNext/>
              <w:wordWrap/>
              <w:spacing w:after="20" w:line="240" w:lineRule="auto"/>
              <w:ind w:firstLine="284"/>
              <w:contextualSpacing/>
              <w:jc w:val="left"/>
              <w:rPr>
                <w:rFonts w:ascii="Times New Roman" w:hAnsi="Times New Roman" w:cs="Times New Roman"/>
                <w:spacing w:val="-3"/>
                <w:sz w:val="22"/>
              </w:rPr>
            </w:pPr>
          </w:p>
          <w:p w14:paraId="08E194B0" w14:textId="77777777" w:rsidR="004A10AE" w:rsidRDefault="004A10AE" w:rsidP="007947DB">
            <w:pPr>
              <w:keepNext/>
              <w:wordWrap/>
              <w:spacing w:after="20" w:line="240" w:lineRule="auto"/>
              <w:ind w:firstLine="284"/>
              <w:contextualSpacing/>
              <w:jc w:val="left"/>
              <w:rPr>
                <w:rFonts w:ascii="Times New Roman" w:hAnsi="Times New Roman" w:cs="Times New Roman"/>
                <w:spacing w:val="-3"/>
                <w:sz w:val="22"/>
              </w:rPr>
            </w:pPr>
          </w:p>
          <w:p w14:paraId="5111E19A" w14:textId="77777777" w:rsidR="004A10AE" w:rsidRPr="0025669D" w:rsidRDefault="004A10AE" w:rsidP="007947DB">
            <w:pPr>
              <w:keepNext/>
              <w:wordWrap/>
              <w:spacing w:after="20" w:line="240" w:lineRule="auto"/>
              <w:ind w:firstLine="284"/>
              <w:contextualSpacing/>
              <w:jc w:val="left"/>
              <w:rPr>
                <w:rFonts w:ascii="Times New Roman" w:hAnsi="Times New Roman" w:cs="Times New Roman"/>
                <w:spacing w:val="-3"/>
                <w:sz w:val="22"/>
              </w:rPr>
            </w:pPr>
            <w:r w:rsidRPr="0025669D">
              <w:rPr>
                <w:rFonts w:ascii="Times New Roman" w:hAnsi="Times New Roman" w:cs="Times New Roman"/>
                <w:spacing w:val="-3"/>
                <w:sz w:val="22"/>
              </w:rPr>
              <w:t>Rare:</w:t>
            </w:r>
          </w:p>
        </w:tc>
        <w:tc>
          <w:tcPr>
            <w:tcW w:w="3218" w:type="pct"/>
          </w:tcPr>
          <w:p w14:paraId="3608BD98" w14:textId="77777777" w:rsidR="004A10AE" w:rsidRPr="0025669D" w:rsidRDefault="004A10AE" w:rsidP="007947DB">
            <w:pPr>
              <w:keepNext/>
              <w:wordWrap/>
              <w:spacing w:after="20" w:line="240" w:lineRule="auto"/>
              <w:contextualSpacing/>
              <w:jc w:val="left"/>
              <w:rPr>
                <w:rFonts w:ascii="Times New Roman" w:hAnsi="Times New Roman" w:cs="Times New Roman"/>
                <w:spacing w:val="-3"/>
                <w:sz w:val="22"/>
              </w:rPr>
            </w:pPr>
          </w:p>
          <w:p w14:paraId="085E323C" w14:textId="77777777" w:rsidR="004A10AE" w:rsidRPr="0025669D" w:rsidRDefault="004A10AE" w:rsidP="007947DB">
            <w:pPr>
              <w:keepNext/>
              <w:wordWrap/>
              <w:spacing w:after="20" w:line="240" w:lineRule="auto"/>
              <w:contextualSpacing/>
              <w:jc w:val="left"/>
              <w:rPr>
                <w:rFonts w:ascii="Times New Roman" w:hAnsi="Times New Roman" w:cs="Times New Roman"/>
                <w:spacing w:val="-3"/>
                <w:sz w:val="22"/>
              </w:rPr>
            </w:pPr>
            <w:r w:rsidRPr="0025669D">
              <w:rPr>
                <w:rFonts w:ascii="Times New Roman" w:hAnsi="Times New Roman" w:cs="Times New Roman"/>
                <w:spacing w:val="-3"/>
                <w:sz w:val="22"/>
              </w:rPr>
              <w:t>Flushing</w:t>
            </w:r>
          </w:p>
          <w:p w14:paraId="20B9DC40" w14:textId="77777777" w:rsidR="004A10AE" w:rsidRPr="0025669D" w:rsidRDefault="004A10AE" w:rsidP="007947DB">
            <w:pPr>
              <w:keepNext/>
              <w:wordWrap/>
              <w:spacing w:after="20" w:line="240" w:lineRule="auto"/>
              <w:contextualSpacing/>
              <w:jc w:val="left"/>
              <w:rPr>
                <w:rFonts w:ascii="Times New Roman" w:hAnsi="Times New Roman" w:cs="Times New Roman"/>
                <w:spacing w:val="-3"/>
                <w:sz w:val="22"/>
              </w:rPr>
            </w:pPr>
            <w:r w:rsidRPr="0025669D">
              <w:rPr>
                <w:rFonts w:ascii="Times New Roman" w:hAnsi="Times New Roman" w:cs="Times New Roman"/>
                <w:spacing w:val="-3"/>
                <w:sz w:val="22"/>
              </w:rPr>
              <w:t>Ecchymosis/</w:t>
            </w:r>
            <w:proofErr w:type="spellStart"/>
            <w:r w:rsidRPr="0025669D">
              <w:rPr>
                <w:rFonts w:ascii="Times New Roman" w:hAnsi="Times New Roman" w:cs="Times New Roman"/>
                <w:spacing w:val="-3"/>
                <w:sz w:val="22"/>
              </w:rPr>
              <w:t>haematoma</w:t>
            </w:r>
            <w:proofErr w:type="spellEnd"/>
            <w:r w:rsidRPr="0025669D">
              <w:rPr>
                <w:rFonts w:ascii="Times New Roman" w:hAnsi="Times New Roman" w:cs="Times New Roman"/>
                <w:spacing w:val="-3"/>
                <w:sz w:val="22"/>
              </w:rPr>
              <w:t xml:space="preserve">, hypertension, hypotension, syncope, </w:t>
            </w:r>
            <w:proofErr w:type="spellStart"/>
            <w:r w:rsidRPr="0025669D">
              <w:rPr>
                <w:rFonts w:ascii="Times New Roman" w:hAnsi="Times New Roman" w:cs="Times New Roman"/>
                <w:spacing w:val="-3"/>
                <w:sz w:val="22"/>
              </w:rPr>
              <w:t>petechia</w:t>
            </w:r>
            <w:proofErr w:type="spellEnd"/>
            <w:r w:rsidRPr="0025669D">
              <w:rPr>
                <w:rFonts w:ascii="Times New Roman" w:hAnsi="Times New Roman" w:cs="Times New Roman"/>
                <w:spacing w:val="-3"/>
                <w:sz w:val="22"/>
              </w:rPr>
              <w:t xml:space="preserve">, thrombophlebitis, palpitation, vasospasm, cyanosis, peripheral </w:t>
            </w:r>
            <w:proofErr w:type="spellStart"/>
            <w:r w:rsidRPr="0025669D">
              <w:rPr>
                <w:rFonts w:ascii="Times New Roman" w:hAnsi="Times New Roman" w:cs="Times New Roman"/>
                <w:spacing w:val="-3"/>
                <w:sz w:val="22"/>
              </w:rPr>
              <w:t>ischaemia</w:t>
            </w:r>
            <w:proofErr w:type="spellEnd"/>
            <w:r w:rsidRPr="0025669D">
              <w:rPr>
                <w:rFonts w:ascii="Times New Roman" w:hAnsi="Times New Roman" w:cs="Times New Roman"/>
                <w:spacing w:val="-3"/>
                <w:sz w:val="22"/>
              </w:rPr>
              <w:t>, arrhythmia, worsening heart failure*</w:t>
            </w:r>
            <w:r>
              <w:rPr>
                <w:rFonts w:ascii="Times New Roman" w:hAnsi="Times New Roman" w:cs="Times New Roman" w:hint="eastAsia"/>
                <w:spacing w:val="-3"/>
                <w:sz w:val="22"/>
              </w:rPr>
              <w:t xml:space="preserve">, </w:t>
            </w:r>
            <w:r w:rsidRPr="00F05AC3">
              <w:rPr>
                <w:rFonts w:ascii="Times New Roman" w:hAnsi="Times New Roman" w:cs="Times New Roman"/>
                <w:spacing w:val="-3"/>
                <w:sz w:val="22"/>
              </w:rPr>
              <w:t>bradycardia</w:t>
            </w:r>
          </w:p>
          <w:p w14:paraId="15433C6C" w14:textId="77777777" w:rsidR="004A10AE" w:rsidRPr="0025669D" w:rsidRDefault="004A10AE" w:rsidP="007947DB">
            <w:pPr>
              <w:keepNext/>
              <w:wordWrap/>
              <w:spacing w:after="20" w:line="240" w:lineRule="auto"/>
              <w:contextualSpacing/>
              <w:jc w:val="left"/>
              <w:rPr>
                <w:rFonts w:ascii="Times New Roman" w:hAnsi="Times New Roman" w:cs="Times New Roman"/>
                <w:spacing w:val="-3"/>
                <w:sz w:val="22"/>
              </w:rPr>
            </w:pPr>
            <w:r w:rsidRPr="0025669D">
              <w:rPr>
                <w:rFonts w:ascii="Times New Roman" w:hAnsi="Times New Roman" w:cs="Times New Roman"/>
                <w:spacing w:val="-3"/>
                <w:sz w:val="22"/>
              </w:rPr>
              <w:t>Circulatory failure, tachycardia</w:t>
            </w:r>
          </w:p>
        </w:tc>
      </w:tr>
      <w:tr w:rsidR="004A10AE" w:rsidRPr="0025669D" w14:paraId="38C314BC" w14:textId="77777777" w:rsidTr="005A4B0D">
        <w:trPr>
          <w:jc w:val="center"/>
        </w:trPr>
        <w:tc>
          <w:tcPr>
            <w:tcW w:w="1782" w:type="pct"/>
          </w:tcPr>
          <w:p w14:paraId="5AAF469A" w14:textId="77777777" w:rsidR="004A10AE" w:rsidRPr="0025669D" w:rsidRDefault="004A10AE" w:rsidP="007947DB">
            <w:pPr>
              <w:wordWrap/>
              <w:spacing w:after="20" w:line="240" w:lineRule="auto"/>
              <w:contextualSpacing/>
              <w:jc w:val="left"/>
              <w:rPr>
                <w:rFonts w:ascii="Times New Roman" w:hAnsi="Times New Roman" w:cs="Times New Roman"/>
                <w:spacing w:val="-3"/>
                <w:sz w:val="22"/>
              </w:rPr>
            </w:pPr>
            <w:r w:rsidRPr="0025669D">
              <w:rPr>
                <w:rFonts w:ascii="Times New Roman" w:hAnsi="Times New Roman" w:cs="Times New Roman"/>
                <w:spacing w:val="-3"/>
                <w:sz w:val="22"/>
              </w:rPr>
              <w:t>Respiratory system disorders</w:t>
            </w:r>
          </w:p>
          <w:p w14:paraId="11346CA5" w14:textId="77777777" w:rsidR="004A10AE" w:rsidRPr="0025669D" w:rsidRDefault="004A10AE" w:rsidP="007947DB">
            <w:pPr>
              <w:wordWrap/>
              <w:spacing w:after="20" w:line="240" w:lineRule="auto"/>
              <w:ind w:firstLine="284"/>
              <w:contextualSpacing/>
              <w:jc w:val="left"/>
              <w:rPr>
                <w:rFonts w:ascii="Times New Roman" w:hAnsi="Times New Roman" w:cs="Times New Roman"/>
                <w:spacing w:val="-3"/>
                <w:sz w:val="22"/>
              </w:rPr>
            </w:pPr>
            <w:r w:rsidRPr="0025669D">
              <w:rPr>
                <w:rFonts w:ascii="Times New Roman" w:hAnsi="Times New Roman" w:cs="Times New Roman"/>
                <w:spacing w:val="-3"/>
                <w:sz w:val="22"/>
              </w:rPr>
              <w:t>Common:</w:t>
            </w:r>
          </w:p>
          <w:p w14:paraId="2338C298" w14:textId="77777777" w:rsidR="004A10AE" w:rsidRPr="0025669D" w:rsidRDefault="004A10AE" w:rsidP="007947DB">
            <w:pPr>
              <w:wordWrap/>
              <w:spacing w:after="20" w:line="240" w:lineRule="auto"/>
              <w:ind w:firstLine="284"/>
              <w:contextualSpacing/>
              <w:jc w:val="left"/>
              <w:rPr>
                <w:rFonts w:ascii="Times New Roman" w:hAnsi="Times New Roman" w:cs="Times New Roman"/>
                <w:spacing w:val="-3"/>
                <w:sz w:val="22"/>
              </w:rPr>
            </w:pPr>
          </w:p>
          <w:p w14:paraId="538E1417" w14:textId="77777777" w:rsidR="004A10AE" w:rsidRPr="0025669D" w:rsidRDefault="004A10AE" w:rsidP="007947DB">
            <w:pPr>
              <w:wordWrap/>
              <w:spacing w:after="20" w:line="240" w:lineRule="auto"/>
              <w:ind w:firstLine="284"/>
              <w:contextualSpacing/>
              <w:jc w:val="left"/>
              <w:rPr>
                <w:rFonts w:ascii="Times New Roman" w:hAnsi="Times New Roman" w:cs="Times New Roman"/>
                <w:spacing w:val="-3"/>
                <w:sz w:val="22"/>
              </w:rPr>
            </w:pPr>
            <w:r w:rsidRPr="0025669D">
              <w:rPr>
                <w:rFonts w:ascii="Times New Roman" w:hAnsi="Times New Roman" w:cs="Times New Roman"/>
                <w:spacing w:val="-3"/>
                <w:sz w:val="22"/>
              </w:rPr>
              <w:t>Uncommon:</w:t>
            </w:r>
          </w:p>
          <w:p w14:paraId="0CA58C27" w14:textId="77777777" w:rsidR="004A10AE" w:rsidRPr="0025669D" w:rsidRDefault="004A10AE" w:rsidP="007947DB">
            <w:pPr>
              <w:wordWrap/>
              <w:spacing w:after="20" w:line="240" w:lineRule="auto"/>
              <w:ind w:firstLine="284"/>
              <w:contextualSpacing/>
              <w:jc w:val="left"/>
              <w:rPr>
                <w:rFonts w:ascii="Times New Roman" w:hAnsi="Times New Roman" w:cs="Times New Roman"/>
                <w:spacing w:val="-3"/>
                <w:sz w:val="22"/>
              </w:rPr>
            </w:pPr>
          </w:p>
          <w:p w14:paraId="45FE66D2" w14:textId="77777777" w:rsidR="004A10AE" w:rsidRPr="0025669D" w:rsidRDefault="004A10AE" w:rsidP="007947DB">
            <w:pPr>
              <w:wordWrap/>
              <w:spacing w:after="20" w:line="240" w:lineRule="auto"/>
              <w:ind w:firstLine="284"/>
              <w:contextualSpacing/>
              <w:jc w:val="left"/>
              <w:rPr>
                <w:rFonts w:ascii="Times New Roman" w:hAnsi="Times New Roman" w:cs="Times New Roman"/>
                <w:spacing w:val="-3"/>
                <w:sz w:val="22"/>
              </w:rPr>
            </w:pPr>
            <w:r w:rsidRPr="0025669D">
              <w:rPr>
                <w:rFonts w:ascii="Times New Roman" w:hAnsi="Times New Roman" w:cs="Times New Roman"/>
                <w:spacing w:val="-3"/>
                <w:sz w:val="22"/>
              </w:rPr>
              <w:t>Rare:</w:t>
            </w:r>
          </w:p>
        </w:tc>
        <w:tc>
          <w:tcPr>
            <w:tcW w:w="3218" w:type="pct"/>
          </w:tcPr>
          <w:p w14:paraId="4BBB5809" w14:textId="77777777" w:rsidR="004A10AE" w:rsidRPr="0025669D" w:rsidRDefault="004A10AE" w:rsidP="007947DB">
            <w:pPr>
              <w:wordWrap/>
              <w:spacing w:after="20" w:line="240" w:lineRule="auto"/>
              <w:contextualSpacing/>
              <w:jc w:val="left"/>
              <w:rPr>
                <w:rFonts w:ascii="Times New Roman" w:hAnsi="Times New Roman" w:cs="Times New Roman"/>
                <w:spacing w:val="-3"/>
                <w:sz w:val="22"/>
              </w:rPr>
            </w:pPr>
          </w:p>
          <w:p w14:paraId="6D2D31A0" w14:textId="77777777" w:rsidR="004A10AE" w:rsidRPr="0025669D" w:rsidRDefault="004A10AE" w:rsidP="007947DB">
            <w:pPr>
              <w:wordWrap/>
              <w:spacing w:after="20" w:line="240" w:lineRule="auto"/>
              <w:contextualSpacing/>
              <w:jc w:val="left"/>
              <w:rPr>
                <w:rFonts w:ascii="Times New Roman" w:hAnsi="Times New Roman" w:cs="Times New Roman"/>
                <w:spacing w:val="-3"/>
                <w:sz w:val="22"/>
              </w:rPr>
            </w:pPr>
            <w:r w:rsidRPr="0025669D">
              <w:rPr>
                <w:rFonts w:ascii="Times New Roman" w:hAnsi="Times New Roman" w:cs="Times New Roman"/>
                <w:spacing w:val="-3"/>
                <w:sz w:val="22"/>
              </w:rPr>
              <w:t xml:space="preserve">Upper respiratory tract infection, lower respiratory tract infection (e.g., bronchitis, pneumonia), </w:t>
            </w:r>
            <w:proofErr w:type="spellStart"/>
            <w:r w:rsidRPr="0025669D">
              <w:rPr>
                <w:rFonts w:ascii="Times New Roman" w:hAnsi="Times New Roman" w:cs="Times New Roman"/>
                <w:spacing w:val="-3"/>
                <w:sz w:val="22"/>
              </w:rPr>
              <w:t>dyspnoea</w:t>
            </w:r>
            <w:proofErr w:type="spellEnd"/>
            <w:r w:rsidRPr="0025669D">
              <w:rPr>
                <w:rFonts w:ascii="Times New Roman" w:hAnsi="Times New Roman" w:cs="Times New Roman"/>
                <w:spacing w:val="-3"/>
                <w:sz w:val="22"/>
              </w:rPr>
              <w:t>, sinusitis</w:t>
            </w:r>
          </w:p>
          <w:p w14:paraId="79D5B797" w14:textId="77777777" w:rsidR="004A10AE" w:rsidRPr="0025669D" w:rsidRDefault="004A10AE" w:rsidP="007947DB">
            <w:pPr>
              <w:wordWrap/>
              <w:spacing w:after="20" w:line="240" w:lineRule="auto"/>
              <w:contextualSpacing/>
              <w:jc w:val="left"/>
              <w:rPr>
                <w:rFonts w:ascii="Times New Roman" w:hAnsi="Times New Roman" w:cs="Times New Roman"/>
                <w:spacing w:val="-3"/>
                <w:sz w:val="22"/>
              </w:rPr>
            </w:pPr>
            <w:r w:rsidRPr="0025669D">
              <w:rPr>
                <w:rFonts w:ascii="Times New Roman" w:hAnsi="Times New Roman" w:cs="Times New Roman"/>
                <w:spacing w:val="-3"/>
                <w:sz w:val="22"/>
              </w:rPr>
              <w:t xml:space="preserve">Epistaxis, bronchospasm, pleurisy, respiratory tract allergic reaction, pulmonary </w:t>
            </w:r>
            <w:proofErr w:type="spellStart"/>
            <w:r w:rsidRPr="0025669D">
              <w:rPr>
                <w:rFonts w:ascii="Times New Roman" w:hAnsi="Times New Roman" w:cs="Times New Roman"/>
                <w:spacing w:val="-3"/>
                <w:sz w:val="22"/>
              </w:rPr>
              <w:t>oedema</w:t>
            </w:r>
            <w:proofErr w:type="spellEnd"/>
          </w:p>
          <w:p w14:paraId="16F10E6C" w14:textId="77777777" w:rsidR="004A10AE" w:rsidRPr="0025669D" w:rsidRDefault="004A10AE" w:rsidP="007947DB">
            <w:pPr>
              <w:wordWrap/>
              <w:spacing w:after="20" w:line="240" w:lineRule="auto"/>
              <w:contextualSpacing/>
              <w:jc w:val="left"/>
              <w:rPr>
                <w:rFonts w:ascii="Times New Roman" w:hAnsi="Times New Roman" w:cs="Times New Roman"/>
                <w:spacing w:val="-3"/>
                <w:sz w:val="22"/>
              </w:rPr>
            </w:pPr>
            <w:r w:rsidRPr="0025669D">
              <w:rPr>
                <w:rFonts w:ascii="Times New Roman" w:hAnsi="Times New Roman" w:cs="Times New Roman"/>
                <w:spacing w:val="-3"/>
                <w:sz w:val="22"/>
              </w:rPr>
              <w:t>Pleural effusion</w:t>
            </w:r>
          </w:p>
        </w:tc>
      </w:tr>
      <w:tr w:rsidR="004A10AE" w:rsidRPr="0025669D" w14:paraId="41C417C8" w14:textId="77777777" w:rsidTr="005A4B0D">
        <w:trPr>
          <w:jc w:val="center"/>
        </w:trPr>
        <w:tc>
          <w:tcPr>
            <w:tcW w:w="1782" w:type="pct"/>
          </w:tcPr>
          <w:p w14:paraId="2EFF3F6C" w14:textId="77777777" w:rsidR="004A10AE" w:rsidRPr="0025669D" w:rsidRDefault="004A10AE" w:rsidP="007947DB">
            <w:pPr>
              <w:wordWrap/>
              <w:spacing w:after="20" w:line="240" w:lineRule="auto"/>
              <w:contextualSpacing/>
              <w:jc w:val="left"/>
              <w:rPr>
                <w:rFonts w:ascii="Times New Roman" w:hAnsi="Times New Roman" w:cs="Times New Roman"/>
                <w:spacing w:val="-3"/>
                <w:sz w:val="22"/>
              </w:rPr>
            </w:pPr>
            <w:r w:rsidRPr="0025669D">
              <w:rPr>
                <w:rFonts w:ascii="Times New Roman" w:hAnsi="Times New Roman" w:cs="Times New Roman"/>
                <w:spacing w:val="-3"/>
                <w:sz w:val="22"/>
              </w:rPr>
              <w:t>Gastrointestinal system disorders</w:t>
            </w:r>
          </w:p>
          <w:p w14:paraId="1130E4E2" w14:textId="77777777" w:rsidR="004A10AE" w:rsidRPr="0025669D" w:rsidRDefault="004A10AE" w:rsidP="007947DB">
            <w:pPr>
              <w:wordWrap/>
              <w:spacing w:after="20" w:line="240" w:lineRule="auto"/>
              <w:ind w:firstLine="284"/>
              <w:contextualSpacing/>
              <w:jc w:val="left"/>
              <w:rPr>
                <w:rFonts w:ascii="Times New Roman" w:hAnsi="Times New Roman" w:cs="Times New Roman"/>
                <w:spacing w:val="-3"/>
                <w:sz w:val="22"/>
              </w:rPr>
            </w:pPr>
            <w:r w:rsidRPr="0025669D">
              <w:rPr>
                <w:rFonts w:ascii="Times New Roman" w:hAnsi="Times New Roman" w:cs="Times New Roman"/>
                <w:spacing w:val="-3"/>
                <w:sz w:val="22"/>
              </w:rPr>
              <w:t>Common:</w:t>
            </w:r>
          </w:p>
          <w:p w14:paraId="1BC972FE" w14:textId="77777777" w:rsidR="004A10AE" w:rsidRPr="0025669D" w:rsidRDefault="004A10AE" w:rsidP="007947DB">
            <w:pPr>
              <w:wordWrap/>
              <w:spacing w:after="20" w:line="240" w:lineRule="auto"/>
              <w:ind w:firstLine="284"/>
              <w:contextualSpacing/>
              <w:jc w:val="left"/>
              <w:rPr>
                <w:rFonts w:ascii="Times New Roman" w:hAnsi="Times New Roman" w:cs="Times New Roman"/>
                <w:spacing w:val="-3"/>
                <w:sz w:val="22"/>
              </w:rPr>
            </w:pPr>
            <w:r w:rsidRPr="0025669D">
              <w:rPr>
                <w:rFonts w:ascii="Times New Roman" w:hAnsi="Times New Roman" w:cs="Times New Roman"/>
                <w:spacing w:val="-3"/>
                <w:sz w:val="22"/>
              </w:rPr>
              <w:t>Uncommon:</w:t>
            </w:r>
          </w:p>
          <w:p w14:paraId="1A4D394A" w14:textId="77777777" w:rsidR="004A10AE" w:rsidRDefault="004A10AE" w:rsidP="007947DB">
            <w:pPr>
              <w:wordWrap/>
              <w:spacing w:after="20" w:line="240" w:lineRule="auto"/>
              <w:ind w:firstLine="284"/>
              <w:contextualSpacing/>
              <w:jc w:val="left"/>
              <w:rPr>
                <w:rFonts w:ascii="Times New Roman" w:hAnsi="Times New Roman" w:cs="Times New Roman"/>
                <w:spacing w:val="-3"/>
                <w:sz w:val="22"/>
              </w:rPr>
            </w:pPr>
          </w:p>
          <w:p w14:paraId="1F9B9C82" w14:textId="77777777" w:rsidR="004A10AE" w:rsidRPr="0025669D" w:rsidRDefault="004A10AE" w:rsidP="007947DB">
            <w:pPr>
              <w:wordWrap/>
              <w:spacing w:after="20" w:line="240" w:lineRule="auto"/>
              <w:ind w:firstLine="284"/>
              <w:contextualSpacing/>
              <w:jc w:val="left"/>
              <w:rPr>
                <w:rFonts w:ascii="Times New Roman" w:hAnsi="Times New Roman" w:cs="Times New Roman"/>
                <w:spacing w:val="-3"/>
                <w:sz w:val="22"/>
              </w:rPr>
            </w:pPr>
            <w:r w:rsidRPr="0025669D">
              <w:rPr>
                <w:rFonts w:ascii="Times New Roman" w:hAnsi="Times New Roman" w:cs="Times New Roman"/>
                <w:spacing w:val="-3"/>
                <w:sz w:val="22"/>
              </w:rPr>
              <w:t>Rare:</w:t>
            </w:r>
          </w:p>
        </w:tc>
        <w:tc>
          <w:tcPr>
            <w:tcW w:w="3218" w:type="pct"/>
          </w:tcPr>
          <w:p w14:paraId="2FCFEBCA" w14:textId="77777777" w:rsidR="004A10AE" w:rsidRPr="0025669D" w:rsidRDefault="004A10AE" w:rsidP="007947DB">
            <w:pPr>
              <w:wordWrap/>
              <w:spacing w:after="20" w:line="240" w:lineRule="auto"/>
              <w:contextualSpacing/>
              <w:jc w:val="left"/>
              <w:rPr>
                <w:rFonts w:ascii="Times New Roman" w:hAnsi="Times New Roman" w:cs="Times New Roman"/>
                <w:spacing w:val="-3"/>
                <w:sz w:val="22"/>
              </w:rPr>
            </w:pPr>
          </w:p>
          <w:p w14:paraId="56955F93" w14:textId="77777777" w:rsidR="004A10AE" w:rsidRPr="0025669D" w:rsidRDefault="004A10AE" w:rsidP="007947DB">
            <w:pPr>
              <w:wordWrap/>
              <w:spacing w:after="20" w:line="240" w:lineRule="auto"/>
              <w:contextualSpacing/>
              <w:jc w:val="left"/>
              <w:rPr>
                <w:rFonts w:ascii="Times New Roman" w:hAnsi="Times New Roman" w:cs="Times New Roman"/>
                <w:spacing w:val="-3"/>
                <w:sz w:val="22"/>
              </w:rPr>
            </w:pPr>
            <w:r w:rsidRPr="0025669D">
              <w:rPr>
                <w:rFonts w:ascii="Times New Roman" w:hAnsi="Times New Roman" w:cs="Times New Roman"/>
                <w:spacing w:val="-3"/>
                <w:sz w:val="22"/>
              </w:rPr>
              <w:t xml:space="preserve">Nausea, </w:t>
            </w:r>
            <w:proofErr w:type="spellStart"/>
            <w:r w:rsidRPr="0025669D">
              <w:rPr>
                <w:rFonts w:ascii="Times New Roman" w:hAnsi="Times New Roman" w:cs="Times New Roman"/>
                <w:spacing w:val="-3"/>
                <w:sz w:val="22"/>
              </w:rPr>
              <w:t>diarrhoea</w:t>
            </w:r>
            <w:proofErr w:type="spellEnd"/>
            <w:r w:rsidRPr="0025669D">
              <w:rPr>
                <w:rFonts w:ascii="Times New Roman" w:hAnsi="Times New Roman" w:cs="Times New Roman"/>
                <w:spacing w:val="-3"/>
                <w:sz w:val="22"/>
              </w:rPr>
              <w:t>, abdominal pain, dyspepsia</w:t>
            </w:r>
          </w:p>
          <w:p w14:paraId="3B807746" w14:textId="77777777" w:rsidR="004A10AE" w:rsidRPr="0025669D" w:rsidRDefault="004A10AE" w:rsidP="007947DB">
            <w:pPr>
              <w:wordWrap/>
              <w:spacing w:after="20" w:line="240" w:lineRule="auto"/>
              <w:contextualSpacing/>
              <w:jc w:val="left"/>
              <w:rPr>
                <w:rFonts w:ascii="Times New Roman" w:hAnsi="Times New Roman" w:cs="Times New Roman"/>
                <w:spacing w:val="-3"/>
                <w:sz w:val="22"/>
              </w:rPr>
            </w:pPr>
            <w:r w:rsidRPr="0025669D">
              <w:rPr>
                <w:rFonts w:ascii="Times New Roman" w:hAnsi="Times New Roman" w:cs="Times New Roman"/>
                <w:spacing w:val="-3"/>
                <w:sz w:val="22"/>
              </w:rPr>
              <w:t xml:space="preserve">Constipation, gastroesophageal reflux, </w:t>
            </w:r>
            <w:proofErr w:type="spellStart"/>
            <w:r w:rsidRPr="0025669D">
              <w:rPr>
                <w:rFonts w:ascii="Times New Roman" w:hAnsi="Times New Roman" w:cs="Times New Roman"/>
                <w:spacing w:val="-3"/>
                <w:sz w:val="22"/>
              </w:rPr>
              <w:t>cheilitis</w:t>
            </w:r>
            <w:proofErr w:type="spellEnd"/>
            <w:r w:rsidRPr="0025669D">
              <w:rPr>
                <w:rFonts w:ascii="Times New Roman" w:hAnsi="Times New Roman" w:cs="Times New Roman"/>
                <w:spacing w:val="-3"/>
                <w:sz w:val="22"/>
              </w:rPr>
              <w:t xml:space="preserve">, diverticulitis, </w:t>
            </w:r>
            <w:r w:rsidRPr="007114FF">
              <w:rPr>
                <w:rFonts w:ascii="Times New Roman" w:hAnsi="Times New Roman" w:cs="Times New Roman"/>
                <w:spacing w:val="-3"/>
                <w:sz w:val="22"/>
              </w:rPr>
              <w:t>intestinal obstruction</w:t>
            </w:r>
          </w:p>
          <w:p w14:paraId="4A6C8F59" w14:textId="77777777" w:rsidR="004A10AE" w:rsidRPr="0025669D" w:rsidRDefault="004A10AE" w:rsidP="007947DB">
            <w:pPr>
              <w:wordWrap/>
              <w:spacing w:after="20" w:line="240" w:lineRule="auto"/>
              <w:contextualSpacing/>
              <w:jc w:val="left"/>
              <w:rPr>
                <w:rFonts w:ascii="Times New Roman" w:hAnsi="Times New Roman" w:cs="Times New Roman"/>
                <w:spacing w:val="-3"/>
                <w:sz w:val="22"/>
              </w:rPr>
            </w:pPr>
            <w:r w:rsidRPr="0025669D">
              <w:rPr>
                <w:rFonts w:ascii="Times New Roman" w:hAnsi="Times New Roman" w:cs="Times New Roman"/>
                <w:spacing w:val="-3"/>
                <w:sz w:val="22"/>
              </w:rPr>
              <w:t xml:space="preserve">Intestinal perforation, intestinal stenosis, gastrointestinal </w:t>
            </w:r>
            <w:proofErr w:type="spellStart"/>
            <w:r w:rsidRPr="0025669D">
              <w:rPr>
                <w:rFonts w:ascii="Times New Roman" w:hAnsi="Times New Roman" w:cs="Times New Roman"/>
                <w:spacing w:val="-3"/>
                <w:sz w:val="22"/>
              </w:rPr>
              <w:t>haemorrhage</w:t>
            </w:r>
            <w:proofErr w:type="spellEnd"/>
          </w:p>
        </w:tc>
      </w:tr>
      <w:tr w:rsidR="004A10AE" w:rsidRPr="0025669D" w14:paraId="2BC91045" w14:textId="77777777" w:rsidTr="005A4B0D">
        <w:trPr>
          <w:jc w:val="center"/>
        </w:trPr>
        <w:tc>
          <w:tcPr>
            <w:tcW w:w="1782" w:type="pct"/>
          </w:tcPr>
          <w:p w14:paraId="1AD13451" w14:textId="77777777" w:rsidR="004A10AE" w:rsidRPr="0025669D" w:rsidRDefault="004A10AE" w:rsidP="00E75073">
            <w:pPr>
              <w:pageBreakBefore/>
              <w:wordWrap/>
              <w:spacing w:after="20" w:line="240" w:lineRule="auto"/>
              <w:contextualSpacing/>
              <w:jc w:val="left"/>
              <w:rPr>
                <w:rFonts w:ascii="Times New Roman" w:hAnsi="Times New Roman" w:cs="Times New Roman"/>
                <w:spacing w:val="-3"/>
                <w:sz w:val="22"/>
              </w:rPr>
            </w:pPr>
            <w:r w:rsidRPr="0025669D">
              <w:rPr>
                <w:rFonts w:ascii="Times New Roman" w:hAnsi="Times New Roman" w:cs="Times New Roman"/>
                <w:spacing w:val="-3"/>
                <w:sz w:val="22"/>
              </w:rPr>
              <w:lastRenderedPageBreak/>
              <w:t>Liver and biliary system disorders</w:t>
            </w:r>
          </w:p>
          <w:p w14:paraId="66D0C70A" w14:textId="77777777" w:rsidR="004A10AE" w:rsidRPr="0025669D" w:rsidRDefault="004A10AE" w:rsidP="007947DB">
            <w:pPr>
              <w:wordWrap/>
              <w:spacing w:after="20" w:line="240" w:lineRule="auto"/>
              <w:ind w:firstLine="284"/>
              <w:contextualSpacing/>
              <w:jc w:val="left"/>
              <w:rPr>
                <w:rFonts w:ascii="Times New Roman" w:hAnsi="Times New Roman" w:cs="Times New Roman"/>
                <w:spacing w:val="-3"/>
                <w:sz w:val="22"/>
              </w:rPr>
            </w:pPr>
            <w:r w:rsidRPr="0025669D">
              <w:rPr>
                <w:rFonts w:ascii="Times New Roman" w:hAnsi="Times New Roman" w:cs="Times New Roman"/>
                <w:spacing w:val="-3"/>
                <w:sz w:val="22"/>
              </w:rPr>
              <w:t>Common:</w:t>
            </w:r>
          </w:p>
          <w:p w14:paraId="7270ACA3" w14:textId="77777777" w:rsidR="004A10AE" w:rsidRPr="0025669D" w:rsidRDefault="004A10AE" w:rsidP="007947DB">
            <w:pPr>
              <w:wordWrap/>
              <w:spacing w:after="20" w:line="240" w:lineRule="auto"/>
              <w:ind w:firstLine="284"/>
              <w:contextualSpacing/>
              <w:jc w:val="left"/>
              <w:rPr>
                <w:rFonts w:ascii="Times New Roman" w:hAnsi="Times New Roman" w:cs="Times New Roman"/>
                <w:spacing w:val="-3"/>
                <w:sz w:val="22"/>
              </w:rPr>
            </w:pPr>
            <w:r w:rsidRPr="0025669D">
              <w:rPr>
                <w:rFonts w:ascii="Times New Roman" w:hAnsi="Times New Roman" w:cs="Times New Roman"/>
                <w:spacing w:val="-3"/>
                <w:sz w:val="22"/>
              </w:rPr>
              <w:t>Uncommon:</w:t>
            </w:r>
          </w:p>
          <w:p w14:paraId="679BD988" w14:textId="77777777" w:rsidR="004A10AE" w:rsidRPr="0025669D" w:rsidRDefault="004A10AE" w:rsidP="007947DB">
            <w:pPr>
              <w:wordWrap/>
              <w:spacing w:after="20" w:line="240" w:lineRule="auto"/>
              <w:ind w:firstLine="284"/>
              <w:contextualSpacing/>
              <w:jc w:val="left"/>
              <w:rPr>
                <w:rFonts w:ascii="Times New Roman" w:hAnsi="Times New Roman" w:cs="Times New Roman"/>
                <w:spacing w:val="-3"/>
                <w:sz w:val="22"/>
              </w:rPr>
            </w:pPr>
            <w:r w:rsidRPr="0025669D">
              <w:rPr>
                <w:rFonts w:ascii="Times New Roman" w:hAnsi="Times New Roman" w:cs="Times New Roman"/>
                <w:spacing w:val="-3"/>
                <w:sz w:val="22"/>
              </w:rPr>
              <w:t>Rare:</w:t>
            </w:r>
          </w:p>
        </w:tc>
        <w:tc>
          <w:tcPr>
            <w:tcW w:w="3218" w:type="pct"/>
          </w:tcPr>
          <w:p w14:paraId="60F51B09" w14:textId="77777777" w:rsidR="004A10AE" w:rsidRPr="0025669D" w:rsidRDefault="004A10AE" w:rsidP="007947DB">
            <w:pPr>
              <w:wordWrap/>
              <w:spacing w:after="20" w:line="240" w:lineRule="auto"/>
              <w:contextualSpacing/>
              <w:jc w:val="left"/>
              <w:rPr>
                <w:rFonts w:ascii="Times New Roman" w:hAnsi="Times New Roman" w:cs="Times New Roman"/>
                <w:spacing w:val="-3"/>
                <w:sz w:val="22"/>
              </w:rPr>
            </w:pPr>
          </w:p>
          <w:p w14:paraId="361AFFF0" w14:textId="77777777" w:rsidR="004A10AE" w:rsidRPr="0025669D" w:rsidRDefault="004A10AE" w:rsidP="007947DB">
            <w:pPr>
              <w:wordWrap/>
              <w:spacing w:after="20" w:line="240" w:lineRule="auto"/>
              <w:contextualSpacing/>
              <w:jc w:val="left"/>
              <w:rPr>
                <w:rFonts w:ascii="Times New Roman" w:hAnsi="Times New Roman" w:cs="Times New Roman"/>
                <w:spacing w:val="-3"/>
                <w:sz w:val="22"/>
              </w:rPr>
            </w:pPr>
            <w:r w:rsidRPr="0025669D">
              <w:rPr>
                <w:rFonts w:ascii="Times New Roman" w:hAnsi="Times New Roman" w:cs="Times New Roman"/>
                <w:spacing w:val="-3"/>
                <w:sz w:val="22"/>
              </w:rPr>
              <w:t>Abnormal hepatic function</w:t>
            </w:r>
          </w:p>
          <w:p w14:paraId="44D96198" w14:textId="77777777" w:rsidR="004A10AE" w:rsidRPr="0025669D" w:rsidRDefault="004A10AE" w:rsidP="007947DB">
            <w:pPr>
              <w:wordWrap/>
              <w:spacing w:after="20" w:line="240" w:lineRule="auto"/>
              <w:contextualSpacing/>
              <w:jc w:val="left"/>
              <w:rPr>
                <w:rFonts w:ascii="Times New Roman" w:hAnsi="Times New Roman" w:cs="Times New Roman"/>
                <w:spacing w:val="-3"/>
                <w:sz w:val="22"/>
              </w:rPr>
            </w:pPr>
            <w:r w:rsidRPr="0025669D">
              <w:rPr>
                <w:rFonts w:ascii="Times New Roman" w:hAnsi="Times New Roman" w:cs="Times New Roman"/>
                <w:spacing w:val="-3"/>
                <w:sz w:val="22"/>
              </w:rPr>
              <w:t>Cholecystitis</w:t>
            </w:r>
          </w:p>
          <w:p w14:paraId="6281E207" w14:textId="77777777" w:rsidR="004A10AE" w:rsidRPr="0025669D" w:rsidRDefault="004A10AE" w:rsidP="007947DB">
            <w:pPr>
              <w:wordWrap/>
              <w:spacing w:after="20" w:line="240" w:lineRule="auto"/>
              <w:contextualSpacing/>
              <w:jc w:val="left"/>
              <w:rPr>
                <w:rFonts w:ascii="Times New Roman" w:hAnsi="Times New Roman" w:cs="Times New Roman"/>
                <w:spacing w:val="-3"/>
                <w:sz w:val="22"/>
              </w:rPr>
            </w:pPr>
            <w:r w:rsidRPr="0025669D">
              <w:rPr>
                <w:rFonts w:ascii="Times New Roman" w:hAnsi="Times New Roman" w:cs="Times New Roman"/>
                <w:spacing w:val="-3"/>
                <w:sz w:val="22"/>
              </w:rPr>
              <w:t>Hepatitis</w:t>
            </w:r>
          </w:p>
        </w:tc>
      </w:tr>
      <w:tr w:rsidR="004A10AE" w:rsidRPr="0025669D" w14:paraId="0486A726" w14:textId="77777777" w:rsidTr="005A4B0D">
        <w:trPr>
          <w:jc w:val="center"/>
        </w:trPr>
        <w:tc>
          <w:tcPr>
            <w:tcW w:w="1782" w:type="pct"/>
          </w:tcPr>
          <w:p w14:paraId="5B81E5DB" w14:textId="77777777" w:rsidR="004A10AE" w:rsidRPr="0025669D" w:rsidRDefault="004A10AE" w:rsidP="007947DB">
            <w:pPr>
              <w:wordWrap/>
              <w:spacing w:after="20" w:line="240" w:lineRule="auto"/>
              <w:contextualSpacing/>
              <w:jc w:val="left"/>
              <w:rPr>
                <w:rFonts w:ascii="Times New Roman" w:hAnsi="Times New Roman" w:cs="Times New Roman"/>
                <w:spacing w:val="-3"/>
                <w:sz w:val="22"/>
              </w:rPr>
            </w:pPr>
            <w:r w:rsidRPr="0025669D">
              <w:rPr>
                <w:rFonts w:ascii="Times New Roman" w:hAnsi="Times New Roman" w:cs="Times New Roman"/>
                <w:spacing w:val="-3"/>
                <w:sz w:val="22"/>
              </w:rPr>
              <w:t>Skin and appendages disorders</w:t>
            </w:r>
          </w:p>
          <w:p w14:paraId="215BE4A4" w14:textId="77777777" w:rsidR="004A10AE" w:rsidRPr="0025669D" w:rsidRDefault="004A10AE" w:rsidP="007947DB">
            <w:pPr>
              <w:wordWrap/>
              <w:spacing w:after="20" w:line="240" w:lineRule="auto"/>
              <w:ind w:firstLine="284"/>
              <w:contextualSpacing/>
              <w:jc w:val="left"/>
              <w:rPr>
                <w:rFonts w:ascii="Times New Roman" w:hAnsi="Times New Roman" w:cs="Times New Roman"/>
                <w:spacing w:val="-3"/>
                <w:sz w:val="22"/>
              </w:rPr>
            </w:pPr>
            <w:r w:rsidRPr="0025669D">
              <w:rPr>
                <w:rFonts w:ascii="Times New Roman" w:hAnsi="Times New Roman" w:cs="Times New Roman"/>
                <w:spacing w:val="-3"/>
                <w:sz w:val="22"/>
              </w:rPr>
              <w:t>Common:</w:t>
            </w:r>
          </w:p>
          <w:p w14:paraId="5D5F3880" w14:textId="77777777" w:rsidR="004A10AE" w:rsidRPr="0025669D" w:rsidRDefault="004A10AE" w:rsidP="007947DB">
            <w:pPr>
              <w:wordWrap/>
              <w:spacing w:after="20" w:line="240" w:lineRule="auto"/>
              <w:ind w:firstLine="284"/>
              <w:contextualSpacing/>
              <w:jc w:val="left"/>
              <w:rPr>
                <w:rFonts w:ascii="Times New Roman" w:hAnsi="Times New Roman" w:cs="Times New Roman"/>
                <w:spacing w:val="-3"/>
                <w:sz w:val="22"/>
              </w:rPr>
            </w:pPr>
            <w:r w:rsidRPr="0025669D">
              <w:rPr>
                <w:rFonts w:ascii="Times New Roman" w:hAnsi="Times New Roman" w:cs="Times New Roman"/>
                <w:spacing w:val="-3"/>
                <w:sz w:val="22"/>
              </w:rPr>
              <w:t>Uncommon:</w:t>
            </w:r>
          </w:p>
        </w:tc>
        <w:tc>
          <w:tcPr>
            <w:tcW w:w="3218" w:type="pct"/>
          </w:tcPr>
          <w:p w14:paraId="290766EF" w14:textId="77777777" w:rsidR="004A10AE" w:rsidRPr="0025669D" w:rsidRDefault="004A10AE" w:rsidP="007947DB">
            <w:pPr>
              <w:wordWrap/>
              <w:spacing w:after="20" w:line="240" w:lineRule="auto"/>
              <w:contextualSpacing/>
              <w:jc w:val="left"/>
              <w:rPr>
                <w:rFonts w:ascii="Times New Roman" w:hAnsi="Times New Roman" w:cs="Times New Roman"/>
                <w:spacing w:val="-3"/>
                <w:sz w:val="22"/>
              </w:rPr>
            </w:pPr>
          </w:p>
          <w:p w14:paraId="1C04AFE6" w14:textId="77777777" w:rsidR="004A10AE" w:rsidRPr="0025669D" w:rsidRDefault="004A10AE" w:rsidP="007947DB">
            <w:pPr>
              <w:wordWrap/>
              <w:spacing w:after="20" w:line="240" w:lineRule="auto"/>
              <w:contextualSpacing/>
              <w:jc w:val="left"/>
              <w:rPr>
                <w:rFonts w:ascii="Times New Roman" w:hAnsi="Times New Roman" w:cs="Times New Roman"/>
                <w:spacing w:val="-3"/>
                <w:sz w:val="22"/>
              </w:rPr>
            </w:pPr>
            <w:r w:rsidRPr="0025669D">
              <w:rPr>
                <w:rFonts w:ascii="Times New Roman" w:hAnsi="Times New Roman" w:cs="Times New Roman"/>
                <w:spacing w:val="-3"/>
                <w:sz w:val="22"/>
              </w:rPr>
              <w:t xml:space="preserve">Rash, pruritus, </w:t>
            </w:r>
            <w:proofErr w:type="spellStart"/>
            <w:r w:rsidRPr="0025669D">
              <w:rPr>
                <w:rFonts w:ascii="Times New Roman" w:hAnsi="Times New Roman" w:cs="Times New Roman"/>
                <w:spacing w:val="-3"/>
                <w:sz w:val="22"/>
              </w:rPr>
              <w:t>urticaria</w:t>
            </w:r>
            <w:proofErr w:type="spellEnd"/>
            <w:r w:rsidRPr="0025669D">
              <w:rPr>
                <w:rFonts w:ascii="Times New Roman" w:hAnsi="Times New Roman" w:cs="Times New Roman"/>
                <w:spacing w:val="-3"/>
                <w:sz w:val="22"/>
              </w:rPr>
              <w:t xml:space="preserve">, increased sweating, dry skin </w:t>
            </w:r>
          </w:p>
          <w:p w14:paraId="7ADCD28F" w14:textId="77777777" w:rsidR="004A10AE" w:rsidRPr="0025669D" w:rsidRDefault="004A10AE" w:rsidP="007947DB">
            <w:pPr>
              <w:wordWrap/>
              <w:spacing w:after="20" w:line="240" w:lineRule="auto"/>
              <w:contextualSpacing/>
              <w:jc w:val="left"/>
              <w:rPr>
                <w:rFonts w:ascii="Times New Roman" w:hAnsi="Times New Roman" w:cs="Times New Roman"/>
                <w:spacing w:val="-3"/>
                <w:sz w:val="22"/>
              </w:rPr>
            </w:pPr>
            <w:r w:rsidRPr="0025669D">
              <w:rPr>
                <w:rFonts w:ascii="Times New Roman" w:hAnsi="Times New Roman" w:cs="Times New Roman"/>
                <w:spacing w:val="-3"/>
                <w:sz w:val="22"/>
              </w:rPr>
              <w:t>Fungal dermatitis/onychomycosis, eczema/</w:t>
            </w:r>
            <w:proofErr w:type="spellStart"/>
            <w:r w:rsidRPr="0025669D">
              <w:rPr>
                <w:rFonts w:ascii="Times New Roman" w:hAnsi="Times New Roman" w:cs="Times New Roman"/>
                <w:spacing w:val="-3"/>
                <w:sz w:val="22"/>
              </w:rPr>
              <w:t>seborrhoea</w:t>
            </w:r>
            <w:proofErr w:type="spellEnd"/>
            <w:r w:rsidRPr="0025669D">
              <w:rPr>
                <w:rFonts w:ascii="Times New Roman" w:hAnsi="Times New Roman" w:cs="Times New Roman"/>
                <w:spacing w:val="-3"/>
                <w:sz w:val="22"/>
              </w:rPr>
              <w:t xml:space="preserve">, </w:t>
            </w:r>
            <w:proofErr w:type="spellStart"/>
            <w:r w:rsidRPr="0025669D">
              <w:rPr>
                <w:rFonts w:ascii="Times New Roman" w:hAnsi="Times New Roman" w:cs="Times New Roman"/>
                <w:spacing w:val="-3"/>
                <w:sz w:val="22"/>
              </w:rPr>
              <w:t>hordeolum</w:t>
            </w:r>
            <w:proofErr w:type="spellEnd"/>
            <w:r w:rsidRPr="0025669D">
              <w:rPr>
                <w:rFonts w:ascii="Times New Roman" w:hAnsi="Times New Roman" w:cs="Times New Roman"/>
                <w:spacing w:val="-3"/>
                <w:sz w:val="22"/>
              </w:rPr>
              <w:t xml:space="preserve">, bullous eruption, </w:t>
            </w:r>
            <w:proofErr w:type="spellStart"/>
            <w:r w:rsidRPr="0025669D">
              <w:rPr>
                <w:rFonts w:ascii="Times New Roman" w:hAnsi="Times New Roman" w:cs="Times New Roman"/>
                <w:spacing w:val="-3"/>
                <w:sz w:val="22"/>
              </w:rPr>
              <w:t>furunculosis</w:t>
            </w:r>
            <w:proofErr w:type="spellEnd"/>
            <w:r w:rsidRPr="0025669D">
              <w:rPr>
                <w:rFonts w:ascii="Times New Roman" w:hAnsi="Times New Roman" w:cs="Times New Roman"/>
                <w:spacing w:val="-3"/>
                <w:sz w:val="22"/>
              </w:rPr>
              <w:t xml:space="preserve">, periorbital </w:t>
            </w:r>
            <w:proofErr w:type="spellStart"/>
            <w:r w:rsidRPr="0025669D">
              <w:rPr>
                <w:rFonts w:ascii="Times New Roman" w:hAnsi="Times New Roman" w:cs="Times New Roman"/>
                <w:spacing w:val="-3"/>
                <w:sz w:val="22"/>
              </w:rPr>
              <w:t>oedema</w:t>
            </w:r>
            <w:proofErr w:type="spellEnd"/>
            <w:r w:rsidRPr="0025669D">
              <w:rPr>
                <w:rFonts w:ascii="Times New Roman" w:hAnsi="Times New Roman" w:cs="Times New Roman"/>
                <w:spacing w:val="-3"/>
                <w:sz w:val="22"/>
              </w:rPr>
              <w:t>, hyperkeratosis, rosacea, verruca, abnormal skin pigmentation/</w:t>
            </w:r>
            <w:proofErr w:type="spellStart"/>
            <w:r w:rsidRPr="0025669D">
              <w:rPr>
                <w:rFonts w:ascii="Times New Roman" w:hAnsi="Times New Roman" w:cs="Times New Roman"/>
                <w:spacing w:val="-3"/>
                <w:sz w:val="22"/>
              </w:rPr>
              <w:t>colouring</w:t>
            </w:r>
            <w:proofErr w:type="spellEnd"/>
            <w:r w:rsidRPr="0025669D">
              <w:rPr>
                <w:rFonts w:ascii="Times New Roman" w:hAnsi="Times New Roman" w:cs="Times New Roman"/>
                <w:spacing w:val="-3"/>
                <w:sz w:val="22"/>
              </w:rPr>
              <w:t>, alopecia</w:t>
            </w:r>
          </w:p>
        </w:tc>
      </w:tr>
      <w:tr w:rsidR="004A10AE" w:rsidRPr="0025669D" w14:paraId="5C25C159" w14:textId="77777777" w:rsidTr="005A4B0D">
        <w:trPr>
          <w:jc w:val="center"/>
        </w:trPr>
        <w:tc>
          <w:tcPr>
            <w:tcW w:w="1782" w:type="pct"/>
          </w:tcPr>
          <w:p w14:paraId="3CC6FF33" w14:textId="77777777" w:rsidR="004A10AE" w:rsidRPr="0025669D" w:rsidRDefault="004A10AE" w:rsidP="007947DB">
            <w:pPr>
              <w:wordWrap/>
              <w:spacing w:after="20" w:line="240" w:lineRule="auto"/>
              <w:contextualSpacing/>
              <w:jc w:val="left"/>
              <w:rPr>
                <w:rFonts w:ascii="Times New Roman" w:hAnsi="Times New Roman" w:cs="Times New Roman"/>
                <w:spacing w:val="-3"/>
                <w:sz w:val="22"/>
              </w:rPr>
            </w:pPr>
            <w:proofErr w:type="spellStart"/>
            <w:r w:rsidRPr="0025669D">
              <w:rPr>
                <w:rFonts w:ascii="Times New Roman" w:hAnsi="Times New Roman" w:cs="Times New Roman"/>
                <w:spacing w:val="-3"/>
                <w:sz w:val="22"/>
              </w:rPr>
              <w:t>Musculo</w:t>
            </w:r>
            <w:proofErr w:type="spellEnd"/>
            <w:r w:rsidRPr="0025669D">
              <w:rPr>
                <w:rFonts w:ascii="Times New Roman" w:hAnsi="Times New Roman" w:cs="Times New Roman"/>
                <w:spacing w:val="-3"/>
                <w:sz w:val="22"/>
              </w:rPr>
              <w:t>-skeletal system disorders</w:t>
            </w:r>
          </w:p>
          <w:p w14:paraId="39390951" w14:textId="77777777" w:rsidR="004A10AE" w:rsidRPr="0025669D" w:rsidRDefault="004A10AE" w:rsidP="007947DB">
            <w:pPr>
              <w:wordWrap/>
              <w:spacing w:after="20" w:line="240" w:lineRule="auto"/>
              <w:ind w:firstLine="284"/>
              <w:contextualSpacing/>
              <w:jc w:val="left"/>
              <w:rPr>
                <w:rFonts w:ascii="Times New Roman" w:hAnsi="Times New Roman" w:cs="Times New Roman"/>
                <w:spacing w:val="-3"/>
                <w:sz w:val="22"/>
              </w:rPr>
            </w:pPr>
            <w:r w:rsidRPr="0025669D">
              <w:rPr>
                <w:rFonts w:ascii="Times New Roman" w:hAnsi="Times New Roman" w:cs="Times New Roman"/>
                <w:spacing w:val="-3"/>
                <w:sz w:val="22"/>
              </w:rPr>
              <w:t>Uncommon:</w:t>
            </w:r>
          </w:p>
        </w:tc>
        <w:tc>
          <w:tcPr>
            <w:tcW w:w="3218" w:type="pct"/>
          </w:tcPr>
          <w:p w14:paraId="5C272E55" w14:textId="77777777" w:rsidR="004A10AE" w:rsidRPr="0025669D" w:rsidRDefault="004A10AE" w:rsidP="007947DB">
            <w:pPr>
              <w:wordWrap/>
              <w:spacing w:after="20" w:line="240" w:lineRule="auto"/>
              <w:contextualSpacing/>
              <w:jc w:val="left"/>
              <w:rPr>
                <w:rFonts w:ascii="Times New Roman" w:hAnsi="Times New Roman" w:cs="Times New Roman"/>
                <w:spacing w:val="-3"/>
                <w:sz w:val="22"/>
              </w:rPr>
            </w:pPr>
          </w:p>
          <w:p w14:paraId="66295EC6" w14:textId="77777777" w:rsidR="004A10AE" w:rsidRPr="0025669D" w:rsidRDefault="004A10AE" w:rsidP="007947DB">
            <w:pPr>
              <w:wordWrap/>
              <w:spacing w:after="20" w:line="240" w:lineRule="auto"/>
              <w:contextualSpacing/>
              <w:jc w:val="left"/>
              <w:rPr>
                <w:rFonts w:ascii="Times New Roman" w:hAnsi="Times New Roman" w:cs="Times New Roman"/>
                <w:spacing w:val="-3"/>
                <w:sz w:val="22"/>
              </w:rPr>
            </w:pPr>
            <w:r w:rsidRPr="0025669D">
              <w:rPr>
                <w:rFonts w:ascii="Times New Roman" w:hAnsi="Times New Roman" w:cs="Times New Roman"/>
                <w:spacing w:val="-3"/>
                <w:sz w:val="22"/>
              </w:rPr>
              <w:t xml:space="preserve">Myalgia, </w:t>
            </w:r>
            <w:proofErr w:type="spellStart"/>
            <w:r w:rsidRPr="0025669D">
              <w:rPr>
                <w:rFonts w:ascii="Times New Roman" w:hAnsi="Times New Roman" w:cs="Times New Roman"/>
                <w:spacing w:val="-3"/>
                <w:sz w:val="22"/>
              </w:rPr>
              <w:t>arthalgia</w:t>
            </w:r>
            <w:proofErr w:type="spellEnd"/>
            <w:r w:rsidRPr="0025669D">
              <w:rPr>
                <w:rFonts w:ascii="Times New Roman" w:hAnsi="Times New Roman" w:cs="Times New Roman"/>
                <w:spacing w:val="-3"/>
                <w:sz w:val="22"/>
              </w:rPr>
              <w:t>, back pain</w:t>
            </w:r>
          </w:p>
        </w:tc>
      </w:tr>
      <w:tr w:rsidR="004A10AE" w:rsidRPr="0025669D" w14:paraId="0E51EB71" w14:textId="77777777" w:rsidTr="005A4B0D">
        <w:trPr>
          <w:jc w:val="center"/>
        </w:trPr>
        <w:tc>
          <w:tcPr>
            <w:tcW w:w="1782" w:type="pct"/>
          </w:tcPr>
          <w:p w14:paraId="2F7750FE" w14:textId="77777777" w:rsidR="004A10AE" w:rsidRPr="0025669D" w:rsidRDefault="004A10AE" w:rsidP="007947DB">
            <w:pPr>
              <w:wordWrap/>
              <w:spacing w:after="20" w:line="240" w:lineRule="auto"/>
              <w:contextualSpacing/>
              <w:jc w:val="left"/>
              <w:rPr>
                <w:rFonts w:ascii="Times New Roman" w:hAnsi="Times New Roman" w:cs="Times New Roman"/>
                <w:spacing w:val="-3"/>
                <w:sz w:val="22"/>
              </w:rPr>
            </w:pPr>
            <w:r w:rsidRPr="0025669D">
              <w:rPr>
                <w:rFonts w:ascii="Times New Roman" w:hAnsi="Times New Roman" w:cs="Times New Roman"/>
                <w:spacing w:val="-3"/>
                <w:sz w:val="22"/>
              </w:rPr>
              <w:t>Urinary system disorders</w:t>
            </w:r>
          </w:p>
          <w:p w14:paraId="0F6AFC10" w14:textId="77777777" w:rsidR="004A10AE" w:rsidRPr="0025669D" w:rsidRDefault="004A10AE" w:rsidP="007947DB">
            <w:pPr>
              <w:wordWrap/>
              <w:spacing w:after="20" w:line="240" w:lineRule="auto"/>
              <w:ind w:firstLine="284"/>
              <w:contextualSpacing/>
              <w:jc w:val="left"/>
              <w:rPr>
                <w:rFonts w:ascii="Times New Roman" w:hAnsi="Times New Roman" w:cs="Times New Roman"/>
                <w:spacing w:val="-3"/>
                <w:sz w:val="22"/>
              </w:rPr>
            </w:pPr>
            <w:r w:rsidRPr="0025669D">
              <w:rPr>
                <w:rFonts w:ascii="Times New Roman" w:hAnsi="Times New Roman" w:cs="Times New Roman"/>
                <w:spacing w:val="-3"/>
                <w:sz w:val="22"/>
              </w:rPr>
              <w:t>Uncommon:</w:t>
            </w:r>
          </w:p>
        </w:tc>
        <w:tc>
          <w:tcPr>
            <w:tcW w:w="3218" w:type="pct"/>
          </w:tcPr>
          <w:p w14:paraId="1654B8D9" w14:textId="77777777" w:rsidR="004A10AE" w:rsidRPr="0025669D" w:rsidRDefault="004A10AE" w:rsidP="007947DB">
            <w:pPr>
              <w:wordWrap/>
              <w:spacing w:after="20" w:line="240" w:lineRule="auto"/>
              <w:contextualSpacing/>
              <w:jc w:val="left"/>
              <w:rPr>
                <w:rFonts w:ascii="Times New Roman" w:hAnsi="Times New Roman" w:cs="Times New Roman"/>
                <w:spacing w:val="-3"/>
                <w:sz w:val="22"/>
              </w:rPr>
            </w:pPr>
          </w:p>
          <w:p w14:paraId="4B4417CD" w14:textId="77777777" w:rsidR="004A10AE" w:rsidRPr="0025669D" w:rsidRDefault="004A10AE" w:rsidP="007947DB">
            <w:pPr>
              <w:wordWrap/>
              <w:spacing w:after="20" w:line="240" w:lineRule="auto"/>
              <w:contextualSpacing/>
              <w:jc w:val="left"/>
              <w:rPr>
                <w:rFonts w:ascii="Times New Roman" w:hAnsi="Times New Roman" w:cs="Times New Roman"/>
                <w:spacing w:val="-3"/>
                <w:sz w:val="22"/>
              </w:rPr>
            </w:pPr>
            <w:r w:rsidRPr="0025669D">
              <w:rPr>
                <w:rFonts w:ascii="Times New Roman" w:hAnsi="Times New Roman" w:cs="Times New Roman"/>
                <w:spacing w:val="-3"/>
                <w:sz w:val="22"/>
              </w:rPr>
              <w:t>Urinary tract infection, pyelonephritis</w:t>
            </w:r>
          </w:p>
        </w:tc>
      </w:tr>
      <w:tr w:rsidR="004A10AE" w:rsidRPr="0025669D" w14:paraId="53DEDF68" w14:textId="77777777" w:rsidTr="005A4B0D">
        <w:trPr>
          <w:jc w:val="center"/>
        </w:trPr>
        <w:tc>
          <w:tcPr>
            <w:tcW w:w="1782" w:type="pct"/>
          </w:tcPr>
          <w:p w14:paraId="77C20AF7" w14:textId="77777777" w:rsidR="004A10AE" w:rsidRPr="0025669D" w:rsidRDefault="004A10AE" w:rsidP="007947DB">
            <w:pPr>
              <w:wordWrap/>
              <w:spacing w:after="20" w:line="240" w:lineRule="auto"/>
              <w:contextualSpacing/>
              <w:jc w:val="left"/>
              <w:rPr>
                <w:rFonts w:ascii="Times New Roman" w:hAnsi="Times New Roman" w:cs="Times New Roman"/>
                <w:spacing w:val="-3"/>
                <w:sz w:val="22"/>
              </w:rPr>
            </w:pPr>
            <w:r w:rsidRPr="0025669D">
              <w:rPr>
                <w:rFonts w:ascii="Times New Roman" w:hAnsi="Times New Roman" w:cs="Times New Roman"/>
                <w:spacing w:val="-3"/>
                <w:sz w:val="22"/>
              </w:rPr>
              <w:t>Reproductive disorders</w:t>
            </w:r>
          </w:p>
          <w:p w14:paraId="6A2B996B" w14:textId="77777777" w:rsidR="004A10AE" w:rsidRPr="0025669D" w:rsidRDefault="004A10AE" w:rsidP="007947DB">
            <w:pPr>
              <w:wordWrap/>
              <w:spacing w:after="20" w:line="240" w:lineRule="auto"/>
              <w:ind w:firstLine="284"/>
              <w:contextualSpacing/>
              <w:jc w:val="left"/>
              <w:rPr>
                <w:rFonts w:ascii="Times New Roman" w:hAnsi="Times New Roman" w:cs="Times New Roman"/>
                <w:spacing w:val="-3"/>
                <w:sz w:val="22"/>
              </w:rPr>
            </w:pPr>
            <w:r w:rsidRPr="0025669D">
              <w:rPr>
                <w:rFonts w:ascii="Times New Roman" w:hAnsi="Times New Roman" w:cs="Times New Roman"/>
                <w:spacing w:val="-3"/>
                <w:sz w:val="22"/>
              </w:rPr>
              <w:t>Uncommon:</w:t>
            </w:r>
          </w:p>
        </w:tc>
        <w:tc>
          <w:tcPr>
            <w:tcW w:w="3218" w:type="pct"/>
          </w:tcPr>
          <w:p w14:paraId="25A98918" w14:textId="77777777" w:rsidR="004A10AE" w:rsidRPr="0025669D" w:rsidRDefault="004A10AE" w:rsidP="007947DB">
            <w:pPr>
              <w:wordWrap/>
              <w:spacing w:after="20" w:line="240" w:lineRule="auto"/>
              <w:contextualSpacing/>
              <w:jc w:val="left"/>
              <w:rPr>
                <w:rFonts w:ascii="Times New Roman" w:hAnsi="Times New Roman" w:cs="Times New Roman"/>
                <w:spacing w:val="-3"/>
                <w:sz w:val="22"/>
              </w:rPr>
            </w:pPr>
          </w:p>
          <w:p w14:paraId="73FD34C8" w14:textId="77777777" w:rsidR="004A10AE" w:rsidRPr="0025669D" w:rsidRDefault="004A10AE" w:rsidP="007947DB">
            <w:pPr>
              <w:wordWrap/>
              <w:spacing w:after="20" w:line="240" w:lineRule="auto"/>
              <w:contextualSpacing/>
              <w:jc w:val="left"/>
              <w:rPr>
                <w:rFonts w:ascii="Times New Roman" w:hAnsi="Times New Roman" w:cs="Times New Roman"/>
                <w:spacing w:val="-3"/>
                <w:sz w:val="22"/>
              </w:rPr>
            </w:pPr>
            <w:r w:rsidRPr="0025669D">
              <w:rPr>
                <w:rFonts w:ascii="Times New Roman" w:hAnsi="Times New Roman" w:cs="Times New Roman"/>
                <w:spacing w:val="-3"/>
                <w:sz w:val="22"/>
              </w:rPr>
              <w:t>Vaginitis</w:t>
            </w:r>
          </w:p>
        </w:tc>
      </w:tr>
      <w:tr w:rsidR="004A10AE" w:rsidRPr="0025669D" w14:paraId="21D63733" w14:textId="77777777" w:rsidTr="005A4B0D">
        <w:trPr>
          <w:jc w:val="center"/>
        </w:trPr>
        <w:tc>
          <w:tcPr>
            <w:tcW w:w="1782" w:type="pct"/>
          </w:tcPr>
          <w:p w14:paraId="282D7146" w14:textId="77777777" w:rsidR="004A10AE" w:rsidRPr="0025669D" w:rsidRDefault="004A10AE" w:rsidP="007947DB">
            <w:pPr>
              <w:wordWrap/>
              <w:spacing w:after="20" w:line="240" w:lineRule="auto"/>
              <w:contextualSpacing/>
              <w:jc w:val="left"/>
              <w:rPr>
                <w:rFonts w:ascii="Times New Roman" w:hAnsi="Times New Roman" w:cs="Times New Roman"/>
                <w:spacing w:val="-3"/>
                <w:sz w:val="22"/>
              </w:rPr>
            </w:pPr>
            <w:r w:rsidRPr="0025669D">
              <w:rPr>
                <w:rFonts w:ascii="Times New Roman" w:hAnsi="Times New Roman" w:cs="Times New Roman"/>
                <w:spacing w:val="-3"/>
                <w:sz w:val="22"/>
              </w:rPr>
              <w:t>Body as a whole-general disorders</w:t>
            </w:r>
          </w:p>
          <w:p w14:paraId="725F51C2" w14:textId="77777777" w:rsidR="004A10AE" w:rsidRPr="0025669D" w:rsidRDefault="004A10AE" w:rsidP="007947DB">
            <w:pPr>
              <w:wordWrap/>
              <w:spacing w:after="20" w:line="240" w:lineRule="auto"/>
              <w:ind w:firstLine="284"/>
              <w:contextualSpacing/>
              <w:jc w:val="left"/>
              <w:rPr>
                <w:rFonts w:ascii="Times New Roman" w:hAnsi="Times New Roman" w:cs="Times New Roman"/>
                <w:spacing w:val="-3"/>
                <w:sz w:val="22"/>
              </w:rPr>
            </w:pPr>
            <w:r w:rsidRPr="0025669D">
              <w:rPr>
                <w:rFonts w:ascii="Times New Roman" w:hAnsi="Times New Roman" w:cs="Times New Roman"/>
                <w:spacing w:val="-3"/>
                <w:sz w:val="22"/>
              </w:rPr>
              <w:t>Common:</w:t>
            </w:r>
          </w:p>
          <w:p w14:paraId="4DD07CAE" w14:textId="77777777" w:rsidR="004A10AE" w:rsidRPr="0025669D" w:rsidRDefault="004A10AE" w:rsidP="007947DB">
            <w:pPr>
              <w:wordWrap/>
              <w:spacing w:after="20" w:line="240" w:lineRule="auto"/>
              <w:ind w:firstLine="284"/>
              <w:contextualSpacing/>
              <w:jc w:val="left"/>
              <w:rPr>
                <w:rFonts w:ascii="Times New Roman" w:hAnsi="Times New Roman" w:cs="Times New Roman"/>
                <w:spacing w:val="-3"/>
                <w:sz w:val="22"/>
              </w:rPr>
            </w:pPr>
            <w:r w:rsidRPr="0025669D">
              <w:rPr>
                <w:rFonts w:ascii="Times New Roman" w:hAnsi="Times New Roman" w:cs="Times New Roman"/>
                <w:spacing w:val="-3"/>
                <w:sz w:val="22"/>
              </w:rPr>
              <w:t>Uncommon:</w:t>
            </w:r>
          </w:p>
        </w:tc>
        <w:tc>
          <w:tcPr>
            <w:tcW w:w="3218" w:type="pct"/>
          </w:tcPr>
          <w:p w14:paraId="524C0D21" w14:textId="77777777" w:rsidR="004A10AE" w:rsidRPr="0025669D" w:rsidRDefault="004A10AE" w:rsidP="007947DB">
            <w:pPr>
              <w:wordWrap/>
              <w:spacing w:after="20" w:line="240" w:lineRule="auto"/>
              <w:contextualSpacing/>
              <w:jc w:val="left"/>
              <w:rPr>
                <w:rFonts w:ascii="Times New Roman" w:hAnsi="Times New Roman" w:cs="Times New Roman"/>
                <w:spacing w:val="-3"/>
                <w:sz w:val="22"/>
              </w:rPr>
            </w:pPr>
          </w:p>
          <w:p w14:paraId="4AA096BC" w14:textId="77777777" w:rsidR="004A10AE" w:rsidRPr="0025669D" w:rsidRDefault="004A10AE" w:rsidP="007947DB">
            <w:pPr>
              <w:wordWrap/>
              <w:spacing w:after="20" w:line="240" w:lineRule="auto"/>
              <w:contextualSpacing/>
              <w:jc w:val="left"/>
              <w:rPr>
                <w:rFonts w:ascii="Times New Roman" w:hAnsi="Times New Roman" w:cs="Times New Roman"/>
                <w:spacing w:val="-3"/>
                <w:sz w:val="22"/>
              </w:rPr>
            </w:pPr>
            <w:r w:rsidRPr="0025669D">
              <w:rPr>
                <w:rFonts w:ascii="Times New Roman" w:hAnsi="Times New Roman" w:cs="Times New Roman"/>
                <w:spacing w:val="-3"/>
                <w:sz w:val="22"/>
              </w:rPr>
              <w:t>Fatigue, chest pain, infusion-related reactions</w:t>
            </w:r>
          </w:p>
          <w:p w14:paraId="0DC38BC8" w14:textId="77777777" w:rsidR="004A10AE" w:rsidRPr="0025669D" w:rsidRDefault="004A10AE" w:rsidP="007947DB">
            <w:pPr>
              <w:wordWrap/>
              <w:spacing w:after="20" w:line="240" w:lineRule="auto"/>
              <w:contextualSpacing/>
              <w:jc w:val="left"/>
              <w:rPr>
                <w:rFonts w:ascii="Times New Roman" w:hAnsi="Times New Roman" w:cs="Times New Roman"/>
                <w:spacing w:val="-3"/>
                <w:sz w:val="22"/>
              </w:rPr>
            </w:pPr>
            <w:proofErr w:type="spellStart"/>
            <w:r w:rsidRPr="0025669D">
              <w:rPr>
                <w:rFonts w:ascii="Times New Roman" w:hAnsi="Times New Roman" w:cs="Times New Roman"/>
                <w:spacing w:val="-3"/>
                <w:sz w:val="22"/>
              </w:rPr>
              <w:t>Oedema</w:t>
            </w:r>
            <w:proofErr w:type="spellEnd"/>
            <w:r w:rsidRPr="0025669D">
              <w:rPr>
                <w:rFonts w:ascii="Times New Roman" w:hAnsi="Times New Roman" w:cs="Times New Roman"/>
                <w:spacing w:val="-3"/>
                <w:sz w:val="22"/>
              </w:rPr>
              <w:t>, hot flashes, infusion syndrome, pain, chills/rigors, anaphylactic reactions</w:t>
            </w:r>
          </w:p>
        </w:tc>
      </w:tr>
      <w:tr w:rsidR="004A10AE" w:rsidRPr="0025669D" w14:paraId="657FB76E" w14:textId="77777777" w:rsidTr="005A4B0D">
        <w:trPr>
          <w:jc w:val="center"/>
        </w:trPr>
        <w:tc>
          <w:tcPr>
            <w:tcW w:w="1782" w:type="pct"/>
          </w:tcPr>
          <w:p w14:paraId="32105434" w14:textId="77777777" w:rsidR="004A10AE" w:rsidRPr="0025669D" w:rsidRDefault="004A10AE" w:rsidP="007947DB">
            <w:pPr>
              <w:wordWrap/>
              <w:spacing w:after="20" w:line="240" w:lineRule="auto"/>
              <w:contextualSpacing/>
              <w:jc w:val="left"/>
              <w:rPr>
                <w:rFonts w:ascii="Times New Roman" w:hAnsi="Times New Roman" w:cs="Times New Roman"/>
                <w:spacing w:val="-3"/>
                <w:sz w:val="22"/>
              </w:rPr>
            </w:pPr>
            <w:r w:rsidRPr="0025669D">
              <w:rPr>
                <w:rFonts w:ascii="Times New Roman" w:hAnsi="Times New Roman" w:cs="Times New Roman"/>
                <w:spacing w:val="-3"/>
                <w:sz w:val="22"/>
              </w:rPr>
              <w:t>Administration/application site disorders</w:t>
            </w:r>
          </w:p>
          <w:p w14:paraId="377B1CF7" w14:textId="77777777" w:rsidR="004A10AE" w:rsidRPr="0025669D" w:rsidRDefault="004A10AE" w:rsidP="007947DB">
            <w:pPr>
              <w:wordWrap/>
              <w:spacing w:after="20" w:line="240" w:lineRule="auto"/>
              <w:ind w:firstLine="284"/>
              <w:contextualSpacing/>
              <w:jc w:val="left"/>
              <w:rPr>
                <w:rFonts w:ascii="Times New Roman" w:hAnsi="Times New Roman" w:cs="Times New Roman"/>
                <w:spacing w:val="-3"/>
                <w:sz w:val="22"/>
              </w:rPr>
            </w:pPr>
            <w:r w:rsidRPr="0025669D">
              <w:rPr>
                <w:rFonts w:ascii="Times New Roman" w:hAnsi="Times New Roman" w:cs="Times New Roman"/>
                <w:spacing w:val="-3"/>
                <w:sz w:val="22"/>
              </w:rPr>
              <w:t>Uncommon:</w:t>
            </w:r>
          </w:p>
        </w:tc>
        <w:tc>
          <w:tcPr>
            <w:tcW w:w="3218" w:type="pct"/>
          </w:tcPr>
          <w:p w14:paraId="091313EA" w14:textId="77777777" w:rsidR="004A10AE" w:rsidRPr="0025669D" w:rsidRDefault="004A10AE" w:rsidP="007947DB">
            <w:pPr>
              <w:wordWrap/>
              <w:spacing w:after="20" w:line="240" w:lineRule="auto"/>
              <w:contextualSpacing/>
              <w:jc w:val="left"/>
              <w:rPr>
                <w:rFonts w:ascii="Times New Roman" w:hAnsi="Times New Roman" w:cs="Times New Roman"/>
                <w:spacing w:val="-3"/>
                <w:sz w:val="22"/>
              </w:rPr>
            </w:pPr>
          </w:p>
          <w:p w14:paraId="3BEFA5DD" w14:textId="77777777" w:rsidR="004A10AE" w:rsidRDefault="004A10AE" w:rsidP="007947DB">
            <w:pPr>
              <w:wordWrap/>
              <w:spacing w:after="20" w:line="240" w:lineRule="auto"/>
              <w:contextualSpacing/>
              <w:jc w:val="left"/>
              <w:rPr>
                <w:rFonts w:ascii="Times New Roman" w:hAnsi="Times New Roman" w:cs="Times New Roman"/>
                <w:spacing w:val="-3"/>
                <w:sz w:val="22"/>
              </w:rPr>
            </w:pPr>
          </w:p>
          <w:p w14:paraId="73BAEF6A" w14:textId="77777777" w:rsidR="004A10AE" w:rsidRPr="0025669D" w:rsidRDefault="004A10AE" w:rsidP="007947DB">
            <w:pPr>
              <w:wordWrap/>
              <w:spacing w:after="20" w:line="240" w:lineRule="auto"/>
              <w:contextualSpacing/>
              <w:jc w:val="left"/>
              <w:rPr>
                <w:rFonts w:ascii="Times New Roman" w:hAnsi="Times New Roman" w:cs="Times New Roman"/>
                <w:spacing w:val="-3"/>
                <w:sz w:val="22"/>
              </w:rPr>
            </w:pPr>
            <w:r w:rsidRPr="0025669D">
              <w:rPr>
                <w:rFonts w:ascii="Times New Roman" w:hAnsi="Times New Roman" w:cs="Times New Roman"/>
                <w:spacing w:val="-3"/>
                <w:sz w:val="22"/>
              </w:rPr>
              <w:t>Injection site reactions</w:t>
            </w:r>
          </w:p>
        </w:tc>
      </w:tr>
    </w:tbl>
    <w:p w14:paraId="6FACF5D0" w14:textId="77777777" w:rsidR="004A10AE" w:rsidRDefault="004A10AE" w:rsidP="007947DB">
      <w:pPr>
        <w:pStyle w:val="BodyText2"/>
        <w:spacing w:after="20" w:line="240" w:lineRule="auto"/>
        <w:jc w:val="left"/>
        <w:rPr>
          <w:rFonts w:ascii="Times New Roman" w:hAnsi="Times New Roman" w:cs="Times New Roman"/>
          <w:szCs w:val="20"/>
        </w:rPr>
      </w:pPr>
      <w:r w:rsidRPr="0025669D">
        <w:rPr>
          <w:rFonts w:ascii="Times New Roman" w:hAnsi="Times New Roman" w:cs="Times New Roman"/>
          <w:szCs w:val="20"/>
        </w:rPr>
        <w:t xml:space="preserve">*reported in early phase studies evaluating </w:t>
      </w:r>
      <w:r>
        <w:rPr>
          <w:rFonts w:ascii="Times New Roman" w:eastAsia="Malgun Gothic" w:hAnsi="Times New Roman" w:cs="Times New Roman" w:hint="eastAsia"/>
          <w:color w:val="000000"/>
          <w:szCs w:val="20"/>
        </w:rPr>
        <w:t>i</w:t>
      </w:r>
      <w:r w:rsidRPr="0025669D">
        <w:rPr>
          <w:rFonts w:ascii="Times New Roman" w:eastAsia="Malgun Gothic" w:hAnsi="Times New Roman" w:cs="Times New Roman"/>
          <w:color w:val="000000"/>
          <w:szCs w:val="20"/>
        </w:rPr>
        <w:t>nfliximab</w:t>
      </w:r>
      <w:r w:rsidRPr="0025669D">
        <w:rPr>
          <w:rFonts w:ascii="Times New Roman" w:hAnsi="Times New Roman" w:cs="Times New Roman"/>
          <w:szCs w:val="20"/>
        </w:rPr>
        <w:t xml:space="preserve"> in patients with congestive heart failure</w:t>
      </w:r>
    </w:p>
    <w:p w14:paraId="595F1A42" w14:textId="77777777" w:rsidR="004A10AE" w:rsidRPr="00B1398C" w:rsidRDefault="004A10AE" w:rsidP="007947DB">
      <w:pPr>
        <w:pStyle w:val="Heading2"/>
        <w:tabs>
          <w:tab w:val="num" w:pos="1418"/>
        </w:tabs>
        <w:spacing w:after="120"/>
        <w:ind w:left="1702" w:hangingChars="709" w:hanging="1702"/>
        <w:rPr>
          <w:rFonts w:eastAsia="Malgun Gothic" w:cs="Times New Roman"/>
          <w:b w:val="0"/>
          <w:szCs w:val="24"/>
          <w:u w:val="single"/>
          <w:lang w:eastAsia="ko-KR"/>
        </w:rPr>
      </w:pPr>
      <w:r w:rsidRPr="00B1398C">
        <w:rPr>
          <w:rFonts w:eastAsia="Malgun Gothic" w:cs="Times New Roman"/>
          <w:b w:val="0"/>
          <w:szCs w:val="24"/>
          <w:u w:val="single"/>
          <w:lang w:eastAsia="ko-KR"/>
        </w:rPr>
        <w:t>Children and adolescent patients</w:t>
      </w:r>
    </w:p>
    <w:p w14:paraId="307F2CD2" w14:textId="77777777" w:rsidR="004A10AE" w:rsidRPr="00B10CE9" w:rsidRDefault="004A10AE" w:rsidP="007947DB">
      <w:pPr>
        <w:tabs>
          <w:tab w:val="left" w:pos="0"/>
          <w:tab w:val="left" w:pos="780"/>
        </w:tabs>
        <w:spacing w:after="0" w:line="240" w:lineRule="auto"/>
        <w:jc w:val="left"/>
        <w:rPr>
          <w:rFonts w:ascii="Times New Roman" w:hAnsi="Times New Roman" w:cs="Times New Roman"/>
          <w:i/>
          <w:iCs/>
          <w:sz w:val="24"/>
          <w:szCs w:val="24"/>
        </w:rPr>
      </w:pPr>
      <w:proofErr w:type="spellStart"/>
      <w:r w:rsidRPr="00B10CE9">
        <w:rPr>
          <w:rFonts w:ascii="Times New Roman" w:hAnsi="Times New Roman" w:cs="Times New Roman"/>
          <w:i/>
          <w:iCs/>
          <w:sz w:val="24"/>
          <w:szCs w:val="24"/>
        </w:rPr>
        <w:t>Paediatric</w:t>
      </w:r>
      <w:proofErr w:type="spellEnd"/>
      <w:r w:rsidRPr="00B10CE9">
        <w:rPr>
          <w:rFonts w:ascii="Times New Roman" w:hAnsi="Times New Roman" w:cs="Times New Roman"/>
          <w:i/>
          <w:iCs/>
          <w:sz w:val="24"/>
          <w:szCs w:val="24"/>
        </w:rPr>
        <w:t xml:space="preserve"> Crohn’s disease (c</w:t>
      </w:r>
      <w:r w:rsidRPr="00B10CE9">
        <w:rPr>
          <w:rFonts w:ascii="Times New Roman" w:hAnsi="Times New Roman" w:cs="Times New Roman"/>
          <w:i/>
          <w:sz w:val="24"/>
          <w:szCs w:val="24"/>
        </w:rPr>
        <w:t>hildren and adolescents (6-17 years))</w:t>
      </w:r>
    </w:p>
    <w:p w14:paraId="19E73BC6" w14:textId="77777777" w:rsidR="004A10AE" w:rsidRDefault="004A10AE" w:rsidP="007947DB">
      <w:pPr>
        <w:tabs>
          <w:tab w:val="left" w:pos="780"/>
        </w:tabs>
        <w:spacing w:after="0" w:line="240" w:lineRule="auto"/>
        <w:jc w:val="left"/>
        <w:rPr>
          <w:rFonts w:ascii="Times New Roman" w:hAnsi="Times New Roman" w:cs="Times New Roman"/>
          <w:sz w:val="24"/>
          <w:szCs w:val="24"/>
        </w:rPr>
      </w:pPr>
      <w:r w:rsidRPr="0025669D">
        <w:rPr>
          <w:rFonts w:ascii="Times New Roman" w:hAnsi="Times New Roman" w:cs="Times New Roman"/>
          <w:sz w:val="24"/>
          <w:szCs w:val="24"/>
        </w:rPr>
        <w:t>In general, the adverse events in children and adolescent patients who received infliximab were similar in frequency and type to those seen in adult Crohn’s disease patients. Differences from adults and other special considerations are discussed in the following paragraphs.</w:t>
      </w:r>
    </w:p>
    <w:p w14:paraId="56ECD958" w14:textId="77777777" w:rsidR="004A10AE" w:rsidRPr="0025669D" w:rsidRDefault="004A10AE" w:rsidP="007947DB">
      <w:pPr>
        <w:tabs>
          <w:tab w:val="left" w:pos="780"/>
        </w:tabs>
        <w:spacing w:after="0" w:line="240" w:lineRule="auto"/>
        <w:jc w:val="left"/>
        <w:rPr>
          <w:rFonts w:ascii="Times New Roman" w:hAnsi="Times New Roman" w:cs="Times New Roman"/>
          <w:sz w:val="24"/>
          <w:szCs w:val="24"/>
        </w:rPr>
      </w:pPr>
    </w:p>
    <w:p w14:paraId="575AEA92" w14:textId="77777777" w:rsidR="004A10AE" w:rsidRPr="0025669D" w:rsidRDefault="004A10AE" w:rsidP="007947DB">
      <w:pPr>
        <w:tabs>
          <w:tab w:val="left" w:pos="780"/>
        </w:tabs>
        <w:spacing w:line="240" w:lineRule="auto"/>
        <w:jc w:val="left"/>
        <w:rPr>
          <w:rFonts w:ascii="Times New Roman" w:hAnsi="Times New Roman" w:cs="Times New Roman"/>
          <w:sz w:val="24"/>
          <w:szCs w:val="24"/>
        </w:rPr>
      </w:pPr>
      <w:r w:rsidRPr="0025669D">
        <w:rPr>
          <w:rFonts w:ascii="Times New Roman" w:hAnsi="Times New Roman" w:cs="Times New Roman"/>
          <w:sz w:val="24"/>
          <w:szCs w:val="24"/>
        </w:rPr>
        <w:t xml:space="preserve">The following adverse events were reported more commonly in 103 children and adolescent Crohn’s disease patients </w:t>
      </w:r>
      <w:proofErr w:type="spellStart"/>
      <w:r w:rsidRPr="0025669D">
        <w:rPr>
          <w:rFonts w:ascii="Times New Roman" w:hAnsi="Times New Roman" w:cs="Times New Roman"/>
          <w:sz w:val="24"/>
          <w:szCs w:val="24"/>
        </w:rPr>
        <w:t>randomised</w:t>
      </w:r>
      <w:proofErr w:type="spellEnd"/>
      <w:r w:rsidRPr="0025669D">
        <w:rPr>
          <w:rFonts w:ascii="Times New Roman" w:hAnsi="Times New Roman" w:cs="Times New Roman"/>
          <w:sz w:val="24"/>
          <w:szCs w:val="24"/>
        </w:rPr>
        <w:t xml:space="preserve"> at week 10 administered 5 mg/kg infliximab through 54 weeks (out of a total of 112 patients who entered the REACH trial, see also CLINICAL TRIALS section) than in adult Crohn’s disease patients receiving a similar treatment regimen (ACCENT 1 trial, see also CLINICAL TRIALS section): </w:t>
      </w:r>
      <w:proofErr w:type="spellStart"/>
      <w:r w:rsidRPr="0025669D">
        <w:rPr>
          <w:rFonts w:ascii="Times New Roman" w:hAnsi="Times New Roman" w:cs="Times New Roman"/>
          <w:sz w:val="24"/>
          <w:szCs w:val="24"/>
        </w:rPr>
        <w:t>anaemia</w:t>
      </w:r>
      <w:proofErr w:type="spellEnd"/>
      <w:r w:rsidRPr="0025669D">
        <w:rPr>
          <w:rFonts w:ascii="Times New Roman" w:hAnsi="Times New Roman" w:cs="Times New Roman"/>
          <w:sz w:val="24"/>
          <w:szCs w:val="24"/>
        </w:rPr>
        <w:t xml:space="preserve"> (10.7%), blood in stool (9.7%), </w:t>
      </w:r>
      <w:proofErr w:type="spellStart"/>
      <w:r w:rsidRPr="0025669D">
        <w:rPr>
          <w:rFonts w:ascii="Times New Roman" w:hAnsi="Times New Roman" w:cs="Times New Roman"/>
          <w:sz w:val="24"/>
          <w:szCs w:val="24"/>
        </w:rPr>
        <w:t>leukopaenia</w:t>
      </w:r>
      <w:proofErr w:type="spellEnd"/>
      <w:r w:rsidRPr="0025669D">
        <w:rPr>
          <w:rFonts w:ascii="Times New Roman" w:hAnsi="Times New Roman" w:cs="Times New Roman"/>
          <w:sz w:val="24"/>
          <w:szCs w:val="24"/>
        </w:rPr>
        <w:t xml:space="preserve"> (8.7%), flushing (8.7%), viral infection (7.8%), </w:t>
      </w:r>
      <w:proofErr w:type="spellStart"/>
      <w:r w:rsidRPr="0025669D">
        <w:rPr>
          <w:rFonts w:ascii="Times New Roman" w:hAnsi="Times New Roman" w:cs="Times New Roman"/>
          <w:sz w:val="24"/>
          <w:szCs w:val="24"/>
        </w:rPr>
        <w:t>neutropaenia</w:t>
      </w:r>
      <w:proofErr w:type="spellEnd"/>
      <w:r w:rsidRPr="0025669D">
        <w:rPr>
          <w:rFonts w:ascii="Times New Roman" w:hAnsi="Times New Roman" w:cs="Times New Roman"/>
          <w:sz w:val="24"/>
          <w:szCs w:val="24"/>
        </w:rPr>
        <w:t xml:space="preserve"> (6.8%), bone fracture (6.8%), bacterial infection (5.8%), and respiratory tract allergic reaction (5.8%).</w:t>
      </w:r>
    </w:p>
    <w:p w14:paraId="55E5C891" w14:textId="77777777" w:rsidR="004A10AE" w:rsidRPr="0025669D" w:rsidRDefault="004A10AE" w:rsidP="007947DB">
      <w:pPr>
        <w:tabs>
          <w:tab w:val="left" w:pos="0"/>
          <w:tab w:val="left" w:pos="780"/>
        </w:tabs>
        <w:spacing w:after="0" w:line="240" w:lineRule="auto"/>
        <w:jc w:val="left"/>
        <w:rPr>
          <w:rFonts w:ascii="Times New Roman" w:hAnsi="Times New Roman" w:cs="Times New Roman"/>
          <w:sz w:val="24"/>
          <w:szCs w:val="24"/>
        </w:rPr>
      </w:pPr>
      <w:r w:rsidRPr="0025669D">
        <w:rPr>
          <w:rFonts w:ascii="Times New Roman" w:hAnsi="Times New Roman" w:cs="Times New Roman"/>
          <w:iCs/>
          <w:sz w:val="24"/>
          <w:szCs w:val="24"/>
        </w:rPr>
        <w:t>Infusion-related reactions</w:t>
      </w:r>
    </w:p>
    <w:p w14:paraId="6B4C413C" w14:textId="77777777" w:rsidR="004A10AE" w:rsidRPr="0025669D" w:rsidRDefault="004A10AE" w:rsidP="007947DB">
      <w:pPr>
        <w:tabs>
          <w:tab w:val="left" w:pos="0"/>
          <w:tab w:val="left" w:pos="780"/>
        </w:tabs>
        <w:spacing w:after="0" w:line="240" w:lineRule="auto"/>
        <w:jc w:val="left"/>
        <w:rPr>
          <w:rFonts w:ascii="Times New Roman" w:hAnsi="Times New Roman" w:cs="Times New Roman"/>
          <w:sz w:val="24"/>
          <w:szCs w:val="24"/>
        </w:rPr>
      </w:pPr>
      <w:r w:rsidRPr="0025669D">
        <w:rPr>
          <w:rFonts w:ascii="Times New Roman" w:hAnsi="Times New Roman" w:cs="Times New Roman"/>
          <w:sz w:val="24"/>
          <w:szCs w:val="24"/>
        </w:rPr>
        <w:t xml:space="preserve">Overall, in REACH, 17.5% of </w:t>
      </w:r>
      <w:proofErr w:type="spellStart"/>
      <w:r w:rsidRPr="0025669D">
        <w:rPr>
          <w:rFonts w:ascii="Times New Roman" w:hAnsi="Times New Roman" w:cs="Times New Roman"/>
          <w:sz w:val="24"/>
          <w:szCs w:val="24"/>
        </w:rPr>
        <w:t>randomised</w:t>
      </w:r>
      <w:proofErr w:type="spellEnd"/>
      <w:r w:rsidRPr="0025669D">
        <w:rPr>
          <w:rFonts w:ascii="Times New Roman" w:hAnsi="Times New Roman" w:cs="Times New Roman"/>
          <w:sz w:val="24"/>
          <w:szCs w:val="24"/>
        </w:rPr>
        <w:t xml:space="preserve"> patients experienced 1 or more infusion reactions, with 17.0% and 18.0% of patients in the 8-weekly and 12-weekly maintenance treatment groups, respectively. There were no serious infusion reactions, and 2 subjects in REACH had non-serious anaphylactic reactions.</w:t>
      </w:r>
    </w:p>
    <w:p w14:paraId="676F7D7A" w14:textId="77777777" w:rsidR="004A10AE" w:rsidRDefault="004A10AE" w:rsidP="007947DB">
      <w:pPr>
        <w:tabs>
          <w:tab w:val="left" w:pos="0"/>
          <w:tab w:val="left" w:pos="780"/>
        </w:tabs>
        <w:spacing w:after="0" w:line="240" w:lineRule="auto"/>
        <w:jc w:val="left"/>
        <w:rPr>
          <w:rFonts w:ascii="Times New Roman" w:hAnsi="Times New Roman" w:cs="Times New Roman"/>
          <w:iCs/>
          <w:sz w:val="24"/>
          <w:szCs w:val="24"/>
        </w:rPr>
      </w:pPr>
    </w:p>
    <w:p w14:paraId="3B2D93B4" w14:textId="77777777" w:rsidR="004A10AE" w:rsidRPr="0025669D" w:rsidRDefault="004A10AE" w:rsidP="007947DB">
      <w:pPr>
        <w:tabs>
          <w:tab w:val="left" w:pos="0"/>
          <w:tab w:val="left" w:pos="780"/>
        </w:tabs>
        <w:spacing w:after="0" w:line="240" w:lineRule="auto"/>
        <w:jc w:val="left"/>
        <w:rPr>
          <w:rFonts w:ascii="Times New Roman" w:hAnsi="Times New Roman" w:cs="Times New Roman"/>
          <w:sz w:val="24"/>
          <w:szCs w:val="24"/>
        </w:rPr>
      </w:pPr>
      <w:r w:rsidRPr="0025669D">
        <w:rPr>
          <w:rFonts w:ascii="Times New Roman" w:hAnsi="Times New Roman" w:cs="Times New Roman"/>
          <w:iCs/>
          <w:sz w:val="24"/>
          <w:szCs w:val="24"/>
        </w:rPr>
        <w:lastRenderedPageBreak/>
        <w:t>Immunogenicity</w:t>
      </w:r>
    </w:p>
    <w:p w14:paraId="5E8826D2" w14:textId="77777777" w:rsidR="004A10AE" w:rsidRPr="0025669D" w:rsidRDefault="004A10AE" w:rsidP="007947DB">
      <w:pPr>
        <w:tabs>
          <w:tab w:val="left" w:pos="0"/>
          <w:tab w:val="left" w:pos="780"/>
        </w:tabs>
        <w:spacing w:after="0" w:line="240" w:lineRule="auto"/>
        <w:jc w:val="left"/>
        <w:rPr>
          <w:rFonts w:ascii="Times New Roman" w:hAnsi="Times New Roman" w:cs="Times New Roman"/>
          <w:sz w:val="24"/>
          <w:szCs w:val="24"/>
        </w:rPr>
      </w:pPr>
      <w:r w:rsidRPr="0025669D">
        <w:rPr>
          <w:rFonts w:ascii="Times New Roman" w:hAnsi="Times New Roman" w:cs="Times New Roman"/>
          <w:sz w:val="24"/>
          <w:szCs w:val="24"/>
        </w:rPr>
        <w:t xml:space="preserve">Antibodies to </w:t>
      </w:r>
      <w:r>
        <w:rPr>
          <w:rFonts w:ascii="Times New Roman" w:hAnsi="Times New Roman" w:cs="Times New Roman" w:hint="eastAsia"/>
          <w:sz w:val="24"/>
          <w:szCs w:val="24"/>
        </w:rPr>
        <w:t>i</w:t>
      </w:r>
      <w:r w:rsidRPr="0025669D">
        <w:rPr>
          <w:rFonts w:ascii="Times New Roman" w:hAnsi="Times New Roman" w:cs="Times New Roman"/>
          <w:sz w:val="24"/>
          <w:szCs w:val="24"/>
        </w:rPr>
        <w:t>nfliximab developed in 3 (2.9%) children and adolescent patients.</w:t>
      </w:r>
    </w:p>
    <w:p w14:paraId="28463C9A" w14:textId="77777777" w:rsidR="004A10AE" w:rsidRDefault="004A10AE" w:rsidP="007947DB">
      <w:pPr>
        <w:tabs>
          <w:tab w:val="left" w:pos="0"/>
          <w:tab w:val="left" w:pos="780"/>
        </w:tabs>
        <w:spacing w:after="0" w:line="240" w:lineRule="auto"/>
        <w:jc w:val="left"/>
        <w:rPr>
          <w:rFonts w:ascii="Times New Roman" w:hAnsi="Times New Roman" w:cs="Times New Roman"/>
          <w:iCs/>
          <w:sz w:val="24"/>
          <w:szCs w:val="24"/>
        </w:rPr>
      </w:pPr>
    </w:p>
    <w:p w14:paraId="298FB285" w14:textId="77777777" w:rsidR="004A10AE" w:rsidRPr="0025669D" w:rsidRDefault="004A10AE" w:rsidP="007947DB">
      <w:pPr>
        <w:tabs>
          <w:tab w:val="left" w:pos="0"/>
          <w:tab w:val="left" w:pos="780"/>
        </w:tabs>
        <w:spacing w:after="0" w:line="240" w:lineRule="auto"/>
        <w:jc w:val="left"/>
        <w:rPr>
          <w:rFonts w:ascii="Times New Roman" w:hAnsi="Times New Roman" w:cs="Times New Roman"/>
          <w:sz w:val="24"/>
          <w:szCs w:val="24"/>
        </w:rPr>
      </w:pPr>
      <w:r w:rsidRPr="0025669D">
        <w:rPr>
          <w:rFonts w:ascii="Times New Roman" w:hAnsi="Times New Roman" w:cs="Times New Roman"/>
          <w:iCs/>
          <w:sz w:val="24"/>
          <w:szCs w:val="24"/>
        </w:rPr>
        <w:t>Infections</w:t>
      </w:r>
    </w:p>
    <w:p w14:paraId="08C0523D" w14:textId="77777777" w:rsidR="004A10AE" w:rsidRPr="0025669D" w:rsidRDefault="004A10AE" w:rsidP="007947DB">
      <w:pPr>
        <w:tabs>
          <w:tab w:val="left" w:pos="0"/>
        </w:tabs>
        <w:spacing w:after="0" w:line="240" w:lineRule="auto"/>
        <w:jc w:val="left"/>
        <w:rPr>
          <w:rFonts w:ascii="Times New Roman" w:hAnsi="Times New Roman" w:cs="Times New Roman"/>
          <w:sz w:val="24"/>
          <w:szCs w:val="24"/>
        </w:rPr>
      </w:pPr>
      <w:r w:rsidRPr="0025669D">
        <w:rPr>
          <w:rFonts w:ascii="Times New Roman" w:hAnsi="Times New Roman" w:cs="Times New Roman"/>
          <w:sz w:val="24"/>
          <w:szCs w:val="24"/>
        </w:rPr>
        <w:t xml:space="preserve">Infections were reported in 56.3% of </w:t>
      </w:r>
      <w:proofErr w:type="spellStart"/>
      <w:r w:rsidRPr="0025669D">
        <w:rPr>
          <w:rFonts w:ascii="Times New Roman" w:hAnsi="Times New Roman" w:cs="Times New Roman"/>
          <w:sz w:val="24"/>
          <w:szCs w:val="24"/>
        </w:rPr>
        <w:t>randomised</w:t>
      </w:r>
      <w:proofErr w:type="spellEnd"/>
      <w:r w:rsidRPr="0025669D">
        <w:rPr>
          <w:rFonts w:ascii="Times New Roman" w:hAnsi="Times New Roman" w:cs="Times New Roman"/>
          <w:sz w:val="24"/>
          <w:szCs w:val="24"/>
        </w:rPr>
        <w:t xml:space="preserve"> children and adolescent subjects treated with </w:t>
      </w:r>
      <w:r>
        <w:rPr>
          <w:rFonts w:ascii="Times New Roman" w:eastAsia="Malgun Gothic" w:hAnsi="Times New Roman" w:cs="Times New Roman" w:hint="eastAsia"/>
          <w:color w:val="000000"/>
          <w:sz w:val="24"/>
          <w:szCs w:val="24"/>
        </w:rPr>
        <w:t>i</w:t>
      </w:r>
      <w:r w:rsidRPr="0025669D">
        <w:rPr>
          <w:rFonts w:ascii="Times New Roman" w:eastAsia="Malgun Gothic" w:hAnsi="Times New Roman" w:cs="Times New Roman"/>
          <w:color w:val="000000"/>
          <w:sz w:val="24"/>
          <w:szCs w:val="24"/>
        </w:rPr>
        <w:t>nfliximab</w:t>
      </w:r>
      <w:r w:rsidRPr="0025669D">
        <w:rPr>
          <w:rFonts w:ascii="Times New Roman" w:hAnsi="Times New Roman" w:cs="Times New Roman"/>
          <w:sz w:val="24"/>
          <w:szCs w:val="24"/>
        </w:rPr>
        <w:t xml:space="preserve"> (REACH trial), and in 50.4% of subjects in adult’s Crohn’s (ACCENT 1 trial). In the REACH trial, infections were reported more frequently for subjects who received 8-weekly as opposed to 12-weekly infusions (73.6% and 38.0%, respectively), while serious infections were reported for 3 subjects in the q8 week and 4 subjects in the 12-weekly maintenance treatment group. The most commonly reported infections were upper respiratory tract infection and pharyngitis, and the most commonly reported serious infection was abscess. Pneumonia was reported in 3 patients, 2 in the 8-weekly and 1 in the 12-weekly maintenance treatment groups. Herpes zoster was reported in 2 patients in the 8-weekly maintenance treatment group.</w:t>
      </w:r>
    </w:p>
    <w:p w14:paraId="551FB14C" w14:textId="77777777" w:rsidR="004A10AE" w:rsidRDefault="004A10AE" w:rsidP="007947DB">
      <w:pPr>
        <w:tabs>
          <w:tab w:val="left" w:pos="0"/>
        </w:tabs>
        <w:spacing w:after="0" w:line="240" w:lineRule="auto"/>
        <w:jc w:val="left"/>
        <w:rPr>
          <w:rFonts w:ascii="Times New Roman" w:hAnsi="Times New Roman" w:cs="Times New Roman"/>
          <w:i/>
          <w:sz w:val="24"/>
          <w:szCs w:val="24"/>
        </w:rPr>
      </w:pPr>
    </w:p>
    <w:p w14:paraId="3BE180DC" w14:textId="77777777" w:rsidR="004A10AE" w:rsidRPr="00B10CE9" w:rsidRDefault="004A10AE" w:rsidP="007947DB">
      <w:pPr>
        <w:tabs>
          <w:tab w:val="left" w:pos="0"/>
        </w:tabs>
        <w:spacing w:after="0" w:line="240" w:lineRule="auto"/>
        <w:jc w:val="left"/>
        <w:rPr>
          <w:rFonts w:ascii="Times New Roman" w:hAnsi="Times New Roman" w:cs="Times New Roman"/>
          <w:i/>
          <w:sz w:val="24"/>
          <w:szCs w:val="24"/>
        </w:rPr>
      </w:pPr>
      <w:proofErr w:type="spellStart"/>
      <w:r w:rsidRPr="00B10CE9">
        <w:rPr>
          <w:rFonts w:ascii="Times New Roman" w:hAnsi="Times New Roman" w:cs="Times New Roman"/>
          <w:i/>
          <w:sz w:val="24"/>
          <w:szCs w:val="24"/>
        </w:rPr>
        <w:t>Paediatric</w:t>
      </w:r>
      <w:proofErr w:type="spellEnd"/>
      <w:r w:rsidRPr="00B10CE9">
        <w:rPr>
          <w:rFonts w:ascii="Times New Roman" w:hAnsi="Times New Roman" w:cs="Times New Roman"/>
          <w:i/>
          <w:sz w:val="24"/>
          <w:szCs w:val="24"/>
        </w:rPr>
        <w:t xml:space="preserve"> ulcerative colitis (children and adolescents (6-17 years))</w:t>
      </w:r>
    </w:p>
    <w:p w14:paraId="55194000" w14:textId="77777777" w:rsidR="004A10AE" w:rsidRPr="0025669D" w:rsidRDefault="004A10AE" w:rsidP="007947DB">
      <w:pPr>
        <w:tabs>
          <w:tab w:val="left" w:pos="0"/>
        </w:tabs>
        <w:spacing w:after="0" w:line="240" w:lineRule="auto"/>
        <w:jc w:val="left"/>
        <w:rPr>
          <w:rFonts w:ascii="Times New Roman" w:hAnsi="Times New Roman" w:cs="Times New Roman"/>
          <w:sz w:val="24"/>
          <w:szCs w:val="24"/>
        </w:rPr>
      </w:pPr>
      <w:r w:rsidRPr="0025669D">
        <w:rPr>
          <w:rFonts w:ascii="Times New Roman" w:hAnsi="Times New Roman" w:cs="Times New Roman"/>
          <w:sz w:val="24"/>
          <w:szCs w:val="24"/>
        </w:rPr>
        <w:t xml:space="preserve">Overall proportions of patients with adverse events and serious adverse events were generally consistent in the </w:t>
      </w:r>
      <w:proofErr w:type="spellStart"/>
      <w:r w:rsidRPr="0025669D">
        <w:rPr>
          <w:rFonts w:ascii="Times New Roman" w:hAnsi="Times New Roman" w:cs="Times New Roman"/>
          <w:sz w:val="24"/>
          <w:szCs w:val="24"/>
        </w:rPr>
        <w:t>paediatric</w:t>
      </w:r>
      <w:proofErr w:type="spellEnd"/>
      <w:r w:rsidRPr="0025669D">
        <w:rPr>
          <w:rFonts w:ascii="Times New Roman" w:hAnsi="Times New Roman" w:cs="Times New Roman"/>
          <w:sz w:val="24"/>
          <w:szCs w:val="24"/>
        </w:rPr>
        <w:t xml:space="preserve"> ulcerative colitis and adult ulcerative colitis (ACT 1 and ACT 2) studies. In the </w:t>
      </w:r>
      <w:proofErr w:type="spellStart"/>
      <w:r w:rsidRPr="0025669D">
        <w:rPr>
          <w:rFonts w:ascii="Times New Roman" w:hAnsi="Times New Roman" w:cs="Times New Roman"/>
          <w:sz w:val="24"/>
          <w:szCs w:val="24"/>
        </w:rPr>
        <w:t>paediatric</w:t>
      </w:r>
      <w:proofErr w:type="spellEnd"/>
      <w:r w:rsidRPr="0025669D">
        <w:rPr>
          <w:rFonts w:ascii="Times New Roman" w:hAnsi="Times New Roman" w:cs="Times New Roman"/>
          <w:sz w:val="24"/>
          <w:szCs w:val="24"/>
        </w:rPr>
        <w:t xml:space="preserve"> ulcerative colitis study (C0168T72), the most common adverse event was worsening of ulcerative colitis, the incidence of which was higher in patients on the every 12 week vs. the every 8 week dosing regimen. In ACT 1 and ACT 2 studies, the most common adverse event was headache. The most common serious adverse event across these three studies was worsening of ulcerative colitis.</w:t>
      </w:r>
    </w:p>
    <w:p w14:paraId="44B93629" w14:textId="77777777" w:rsidR="004A10AE" w:rsidRDefault="004A10AE" w:rsidP="007947DB">
      <w:pPr>
        <w:tabs>
          <w:tab w:val="left" w:pos="0"/>
        </w:tabs>
        <w:spacing w:after="0" w:line="240" w:lineRule="auto"/>
        <w:jc w:val="left"/>
        <w:rPr>
          <w:rFonts w:ascii="Times New Roman" w:hAnsi="Times New Roman" w:cs="Times New Roman"/>
          <w:sz w:val="24"/>
          <w:szCs w:val="24"/>
        </w:rPr>
      </w:pPr>
    </w:p>
    <w:p w14:paraId="105FADE5" w14:textId="77777777" w:rsidR="004A10AE" w:rsidRPr="0025669D" w:rsidRDefault="004A10AE" w:rsidP="007947DB">
      <w:pPr>
        <w:tabs>
          <w:tab w:val="left" w:pos="0"/>
        </w:tabs>
        <w:spacing w:after="0" w:line="240" w:lineRule="auto"/>
        <w:jc w:val="left"/>
        <w:rPr>
          <w:rFonts w:ascii="Times New Roman" w:hAnsi="Times New Roman" w:cs="Times New Roman"/>
          <w:sz w:val="24"/>
          <w:szCs w:val="24"/>
        </w:rPr>
      </w:pPr>
      <w:r w:rsidRPr="0025669D">
        <w:rPr>
          <w:rFonts w:ascii="Times New Roman" w:hAnsi="Times New Roman" w:cs="Times New Roman"/>
          <w:sz w:val="24"/>
          <w:szCs w:val="24"/>
        </w:rPr>
        <w:t>Infections</w:t>
      </w:r>
    </w:p>
    <w:p w14:paraId="419EEC5A" w14:textId="77777777" w:rsidR="004A10AE" w:rsidRDefault="004A10AE" w:rsidP="007947DB">
      <w:pPr>
        <w:tabs>
          <w:tab w:val="left" w:pos="0"/>
        </w:tabs>
        <w:spacing w:after="0" w:line="240" w:lineRule="auto"/>
        <w:jc w:val="left"/>
        <w:rPr>
          <w:rFonts w:ascii="Times New Roman" w:hAnsi="Times New Roman" w:cs="Times New Roman"/>
          <w:sz w:val="24"/>
          <w:szCs w:val="24"/>
        </w:rPr>
      </w:pPr>
      <w:r w:rsidRPr="0025669D">
        <w:rPr>
          <w:rFonts w:ascii="Times New Roman" w:hAnsi="Times New Roman" w:cs="Times New Roman"/>
          <w:sz w:val="24"/>
          <w:szCs w:val="24"/>
        </w:rPr>
        <w:t xml:space="preserve">Infections were reported in 31 (51.7%) of 60 treated patients in C0168T72 and 22 (36.7%) required oral or parenteral antimicrobial treatment. The proportion of patients with infections in C0168T72 was similar to that in the </w:t>
      </w:r>
      <w:proofErr w:type="spellStart"/>
      <w:r w:rsidRPr="0025669D">
        <w:rPr>
          <w:rFonts w:ascii="Times New Roman" w:hAnsi="Times New Roman" w:cs="Times New Roman"/>
          <w:sz w:val="24"/>
          <w:szCs w:val="24"/>
        </w:rPr>
        <w:t>paediatric</w:t>
      </w:r>
      <w:proofErr w:type="spellEnd"/>
      <w:r w:rsidRPr="0025669D">
        <w:rPr>
          <w:rFonts w:ascii="Times New Roman" w:hAnsi="Times New Roman" w:cs="Times New Roman"/>
          <w:sz w:val="24"/>
          <w:szCs w:val="24"/>
        </w:rPr>
        <w:t xml:space="preserve"> Crohn's disease study (REACH) but higher than the proportion in the adults ulcerative colitis studies (ACT 1 and ACT 2). Unlike REACH, in which infections were reported more frequently for patients who received every 8 week as opposed to every 12 week infusions; in C0168T72, the overall incidence of infections was similar in the every 8 week (13/22 [59.1%]) and every 12 week (14/23 [60.9%] maintenance treatment groups. In C0168T72, serious infections were reported for 3 of 22 (13.6%) patients in the every 8 week and 3 of 23 (13.0%) patients in the every 12 week maintenance treatment group. Upper respiratory tract infection (7/60 [11.7%]) and pharyngitis (5/60 [8.3%]) were the most frequently reported respiratory infections among all treated patients. The infections occurring in more than one patient in a treatment group that required antimicrobial treatment were pharyngitis (4/60 [6.7%]), urinary tract infection (4/60 [6.7%]), and bronchitis (2/60 [3.3%]).</w:t>
      </w:r>
    </w:p>
    <w:p w14:paraId="08DE2173" w14:textId="77777777" w:rsidR="004A10AE" w:rsidRPr="0025669D" w:rsidRDefault="004A10AE" w:rsidP="007947DB">
      <w:pPr>
        <w:tabs>
          <w:tab w:val="left" w:pos="0"/>
        </w:tabs>
        <w:spacing w:after="0" w:line="240" w:lineRule="auto"/>
        <w:jc w:val="left"/>
        <w:rPr>
          <w:rFonts w:ascii="Times New Roman" w:hAnsi="Times New Roman" w:cs="Times New Roman"/>
          <w:sz w:val="24"/>
          <w:szCs w:val="24"/>
        </w:rPr>
      </w:pPr>
    </w:p>
    <w:p w14:paraId="4CB5E9B4" w14:textId="77777777" w:rsidR="004A10AE" w:rsidRPr="0025669D" w:rsidRDefault="004A10AE" w:rsidP="007947DB">
      <w:pPr>
        <w:tabs>
          <w:tab w:val="left" w:pos="0"/>
        </w:tabs>
        <w:spacing w:after="0" w:line="240" w:lineRule="auto"/>
        <w:jc w:val="left"/>
        <w:rPr>
          <w:rFonts w:ascii="Times New Roman" w:hAnsi="Times New Roman" w:cs="Times New Roman"/>
          <w:sz w:val="24"/>
          <w:szCs w:val="24"/>
        </w:rPr>
      </w:pPr>
      <w:r w:rsidRPr="0025669D">
        <w:rPr>
          <w:rFonts w:ascii="Times New Roman" w:hAnsi="Times New Roman" w:cs="Times New Roman"/>
          <w:sz w:val="24"/>
          <w:szCs w:val="24"/>
        </w:rPr>
        <w:t>Infusion-related reactions</w:t>
      </w:r>
    </w:p>
    <w:p w14:paraId="79D38FAE" w14:textId="77777777" w:rsidR="004A10AE" w:rsidRDefault="004A10AE" w:rsidP="007947DB">
      <w:pPr>
        <w:tabs>
          <w:tab w:val="left" w:pos="0"/>
        </w:tabs>
        <w:spacing w:after="0" w:line="240" w:lineRule="auto"/>
        <w:jc w:val="left"/>
        <w:rPr>
          <w:rFonts w:ascii="Times New Roman" w:hAnsi="Times New Roman" w:cs="Times New Roman"/>
          <w:sz w:val="24"/>
          <w:szCs w:val="24"/>
        </w:rPr>
      </w:pPr>
      <w:r w:rsidRPr="0025669D">
        <w:rPr>
          <w:rFonts w:ascii="Times New Roman" w:hAnsi="Times New Roman" w:cs="Times New Roman"/>
          <w:sz w:val="24"/>
          <w:szCs w:val="24"/>
        </w:rPr>
        <w:t>Overall, 8 (13.3%) of 60 treated patients experienced one or more infusion reactions, with 4 of 22 (18.2%) in the every 8 week and 3 of 23 (13.0%) in the every 12 week treatment maintenance group. No serious infusion reactions were reported. All infusion reactions were mild or moderate in intensity.</w:t>
      </w:r>
    </w:p>
    <w:p w14:paraId="443BF8A0" w14:textId="7461432B" w:rsidR="00AC3E0C" w:rsidRDefault="00AC3E0C">
      <w:pPr>
        <w:widowControl/>
        <w:wordWrap/>
        <w:autoSpaceDE/>
        <w:autoSpaceDN/>
        <w:rPr>
          <w:rFonts w:ascii="Times New Roman" w:hAnsi="Times New Roman" w:cs="Times New Roman"/>
          <w:sz w:val="24"/>
          <w:szCs w:val="24"/>
        </w:rPr>
      </w:pPr>
      <w:r>
        <w:rPr>
          <w:rFonts w:ascii="Times New Roman" w:hAnsi="Times New Roman" w:cs="Times New Roman"/>
          <w:sz w:val="24"/>
          <w:szCs w:val="24"/>
        </w:rPr>
        <w:lastRenderedPageBreak/>
        <w:br w:type="page"/>
      </w:r>
    </w:p>
    <w:p w14:paraId="4BBDFA0D" w14:textId="77777777" w:rsidR="004A10AE" w:rsidRPr="0025669D" w:rsidRDefault="004A10AE" w:rsidP="007947DB">
      <w:pPr>
        <w:tabs>
          <w:tab w:val="left" w:pos="0"/>
        </w:tabs>
        <w:spacing w:after="0" w:line="240" w:lineRule="auto"/>
        <w:jc w:val="left"/>
        <w:rPr>
          <w:rFonts w:ascii="Times New Roman" w:hAnsi="Times New Roman" w:cs="Times New Roman"/>
          <w:sz w:val="24"/>
          <w:szCs w:val="24"/>
        </w:rPr>
      </w:pPr>
      <w:r w:rsidRPr="0025669D">
        <w:rPr>
          <w:rFonts w:ascii="Times New Roman" w:hAnsi="Times New Roman" w:cs="Times New Roman"/>
          <w:sz w:val="24"/>
          <w:szCs w:val="24"/>
        </w:rPr>
        <w:lastRenderedPageBreak/>
        <w:t>Immunogenicity</w:t>
      </w:r>
    </w:p>
    <w:p w14:paraId="522E9C17" w14:textId="77777777" w:rsidR="004A10AE" w:rsidRPr="0025669D" w:rsidRDefault="004A10AE" w:rsidP="007947DB">
      <w:pPr>
        <w:tabs>
          <w:tab w:val="left" w:pos="0"/>
        </w:tabs>
        <w:spacing w:after="0" w:line="240" w:lineRule="auto"/>
        <w:jc w:val="left"/>
        <w:rPr>
          <w:rFonts w:ascii="Times New Roman" w:hAnsi="Times New Roman" w:cs="Times New Roman"/>
          <w:sz w:val="24"/>
          <w:szCs w:val="24"/>
        </w:rPr>
      </w:pPr>
      <w:r w:rsidRPr="0025669D">
        <w:rPr>
          <w:rFonts w:ascii="Times New Roman" w:hAnsi="Times New Roman" w:cs="Times New Roman"/>
          <w:sz w:val="24"/>
          <w:szCs w:val="24"/>
        </w:rPr>
        <w:t xml:space="preserve">Antibodies to </w:t>
      </w:r>
      <w:r>
        <w:rPr>
          <w:rFonts w:ascii="Times New Roman" w:hAnsi="Times New Roman" w:cs="Times New Roman" w:hint="eastAsia"/>
          <w:sz w:val="24"/>
          <w:szCs w:val="24"/>
        </w:rPr>
        <w:t>i</w:t>
      </w:r>
      <w:r w:rsidRPr="0025669D">
        <w:rPr>
          <w:rFonts w:ascii="Times New Roman" w:hAnsi="Times New Roman" w:cs="Times New Roman"/>
          <w:sz w:val="24"/>
          <w:szCs w:val="24"/>
        </w:rPr>
        <w:t>nfliximab were detected in 4 (7.7%) patients through week 54.</w:t>
      </w:r>
    </w:p>
    <w:p w14:paraId="6126F040" w14:textId="77777777" w:rsidR="004A10AE" w:rsidRDefault="004A10AE" w:rsidP="007947DB">
      <w:pPr>
        <w:tabs>
          <w:tab w:val="left" w:pos="0"/>
        </w:tabs>
        <w:spacing w:after="0" w:line="240" w:lineRule="auto"/>
        <w:jc w:val="left"/>
        <w:rPr>
          <w:rFonts w:ascii="Times New Roman" w:hAnsi="Times New Roman" w:cs="Times New Roman"/>
          <w:sz w:val="24"/>
          <w:szCs w:val="24"/>
        </w:rPr>
      </w:pPr>
    </w:p>
    <w:p w14:paraId="2DDBB58C" w14:textId="77777777" w:rsidR="004A10AE" w:rsidRPr="0025669D" w:rsidRDefault="004A10AE" w:rsidP="007947DB">
      <w:pPr>
        <w:tabs>
          <w:tab w:val="left" w:pos="0"/>
        </w:tabs>
        <w:spacing w:after="0" w:line="240" w:lineRule="auto"/>
        <w:jc w:val="left"/>
        <w:rPr>
          <w:rFonts w:ascii="Times New Roman" w:hAnsi="Times New Roman" w:cs="Times New Roman"/>
          <w:sz w:val="24"/>
          <w:szCs w:val="24"/>
        </w:rPr>
      </w:pPr>
      <w:r w:rsidRPr="0025669D">
        <w:rPr>
          <w:rFonts w:ascii="Times New Roman" w:hAnsi="Times New Roman" w:cs="Times New Roman"/>
          <w:sz w:val="24"/>
          <w:szCs w:val="24"/>
        </w:rPr>
        <w:t>Post-marketing Experience:</w:t>
      </w:r>
    </w:p>
    <w:p w14:paraId="60D07DB8" w14:textId="77777777" w:rsidR="004A10AE" w:rsidRPr="0025669D" w:rsidRDefault="004A10AE" w:rsidP="007947DB">
      <w:pPr>
        <w:tabs>
          <w:tab w:val="left" w:pos="0"/>
        </w:tabs>
        <w:spacing w:after="0" w:line="240" w:lineRule="auto"/>
        <w:jc w:val="left"/>
        <w:rPr>
          <w:rFonts w:ascii="Times New Roman" w:hAnsi="Times New Roman" w:cs="Times New Roman"/>
          <w:sz w:val="24"/>
          <w:szCs w:val="24"/>
        </w:rPr>
      </w:pPr>
      <w:r w:rsidRPr="0025669D">
        <w:rPr>
          <w:rFonts w:ascii="Times New Roman" w:hAnsi="Times New Roman" w:cs="Times New Roman"/>
          <w:sz w:val="24"/>
          <w:szCs w:val="24"/>
        </w:rPr>
        <w:t xml:space="preserve">During post-marketing experience, a rare type of </w:t>
      </w:r>
      <w:proofErr w:type="spellStart"/>
      <w:r w:rsidRPr="0025669D">
        <w:rPr>
          <w:rFonts w:ascii="Times New Roman" w:hAnsi="Times New Roman" w:cs="Times New Roman"/>
          <w:sz w:val="24"/>
          <w:szCs w:val="24"/>
        </w:rPr>
        <w:t>hepatosplenic</w:t>
      </w:r>
      <w:proofErr w:type="spellEnd"/>
      <w:r w:rsidRPr="0025669D">
        <w:rPr>
          <w:rFonts w:ascii="Times New Roman" w:hAnsi="Times New Roman" w:cs="Times New Roman"/>
          <w:sz w:val="24"/>
          <w:szCs w:val="24"/>
        </w:rPr>
        <w:t xml:space="preserve"> T-cell lymphoma has been reported in patients with Crohn’s disease or ulcerative colitis treated with </w:t>
      </w:r>
      <w:r>
        <w:rPr>
          <w:rFonts w:ascii="Times New Roman" w:eastAsia="Malgun Gothic" w:hAnsi="Times New Roman" w:cs="Times New Roman" w:hint="eastAsia"/>
          <w:color w:val="000000"/>
          <w:sz w:val="24"/>
          <w:szCs w:val="24"/>
        </w:rPr>
        <w:t>i</w:t>
      </w:r>
      <w:r w:rsidRPr="0025669D">
        <w:rPr>
          <w:rFonts w:ascii="Times New Roman" w:eastAsia="Malgun Gothic" w:hAnsi="Times New Roman" w:cs="Times New Roman"/>
          <w:color w:val="000000"/>
          <w:sz w:val="24"/>
          <w:szCs w:val="24"/>
        </w:rPr>
        <w:t>nfliximab</w:t>
      </w:r>
      <w:r w:rsidRPr="0025669D">
        <w:rPr>
          <w:rFonts w:ascii="Times New Roman" w:hAnsi="Times New Roman" w:cs="Times New Roman"/>
          <w:sz w:val="24"/>
          <w:szCs w:val="24"/>
        </w:rPr>
        <w:t>, the majority of whom were adolescent or young adult males (see PRECAUTIONS).</w:t>
      </w:r>
    </w:p>
    <w:p w14:paraId="3973EF16" w14:textId="77777777" w:rsidR="004A10AE" w:rsidRDefault="004A10AE" w:rsidP="007947DB">
      <w:pPr>
        <w:spacing w:after="0" w:line="240" w:lineRule="auto"/>
        <w:jc w:val="left"/>
        <w:rPr>
          <w:rFonts w:ascii="Times New Roman" w:hAnsi="Times New Roman" w:cs="Times New Roman"/>
          <w:i/>
          <w:sz w:val="24"/>
          <w:szCs w:val="24"/>
        </w:rPr>
      </w:pPr>
    </w:p>
    <w:p w14:paraId="2FA7E068" w14:textId="77777777" w:rsidR="004A10AE" w:rsidRPr="0025669D" w:rsidRDefault="004A10AE" w:rsidP="007947DB">
      <w:pPr>
        <w:spacing w:after="0" w:line="240" w:lineRule="auto"/>
        <w:jc w:val="left"/>
        <w:rPr>
          <w:rFonts w:ascii="Times New Roman" w:hAnsi="Times New Roman" w:cs="Times New Roman"/>
          <w:i/>
          <w:sz w:val="24"/>
          <w:szCs w:val="24"/>
        </w:rPr>
      </w:pPr>
      <w:r w:rsidRPr="0025669D">
        <w:rPr>
          <w:rFonts w:ascii="Times New Roman" w:hAnsi="Times New Roman" w:cs="Times New Roman"/>
          <w:i/>
          <w:sz w:val="24"/>
          <w:szCs w:val="24"/>
        </w:rPr>
        <w:t>Juvenile Rheumatoid Arthritis</w:t>
      </w:r>
    </w:p>
    <w:p w14:paraId="5658BF36" w14:textId="77777777" w:rsidR="004A10AE" w:rsidRDefault="004A10AE" w:rsidP="007947DB">
      <w:pPr>
        <w:spacing w:after="0" w:line="240" w:lineRule="auto"/>
        <w:jc w:val="left"/>
        <w:rPr>
          <w:rFonts w:ascii="Times New Roman" w:hAnsi="Times New Roman" w:cs="Times New Roman"/>
          <w:sz w:val="24"/>
          <w:szCs w:val="24"/>
        </w:rPr>
      </w:pPr>
      <w:r w:rsidRPr="0025669D">
        <w:rPr>
          <w:rFonts w:ascii="Times New Roman" w:eastAsia="Malgun Gothic" w:hAnsi="Times New Roman" w:cs="Times New Roman"/>
          <w:color w:val="000000"/>
          <w:sz w:val="24"/>
          <w:szCs w:val="24"/>
        </w:rPr>
        <w:t>Infliximab</w:t>
      </w:r>
      <w:r w:rsidRPr="0025669D">
        <w:rPr>
          <w:rFonts w:ascii="Times New Roman" w:hAnsi="Times New Roman" w:cs="Times New Roman"/>
          <w:sz w:val="24"/>
          <w:szCs w:val="24"/>
        </w:rPr>
        <w:t xml:space="preserve"> was studied in a trial in 120 patients (age range: 4-17 years old) with active JRA despite methotrexate. Patients received 3 mg/kg </w:t>
      </w:r>
      <w:r>
        <w:rPr>
          <w:rFonts w:ascii="Times New Roman" w:eastAsia="Malgun Gothic" w:hAnsi="Times New Roman" w:cs="Times New Roman" w:hint="eastAsia"/>
          <w:color w:val="000000"/>
          <w:sz w:val="24"/>
          <w:szCs w:val="24"/>
        </w:rPr>
        <w:t>i</w:t>
      </w:r>
      <w:r w:rsidRPr="0025669D">
        <w:rPr>
          <w:rFonts w:ascii="Times New Roman" w:eastAsia="Malgun Gothic" w:hAnsi="Times New Roman" w:cs="Times New Roman"/>
          <w:color w:val="000000"/>
          <w:sz w:val="24"/>
          <w:szCs w:val="24"/>
        </w:rPr>
        <w:t>nfliximab</w:t>
      </w:r>
      <w:r w:rsidRPr="0025669D">
        <w:rPr>
          <w:rFonts w:ascii="Times New Roman" w:hAnsi="Times New Roman" w:cs="Times New Roman"/>
          <w:sz w:val="24"/>
          <w:szCs w:val="24"/>
        </w:rPr>
        <w:t xml:space="preserve"> or placebo intravenously at weeks 0, 2, and 6. Subjects </w:t>
      </w:r>
      <w:proofErr w:type="spellStart"/>
      <w:r w:rsidRPr="0025669D">
        <w:rPr>
          <w:rFonts w:ascii="Times New Roman" w:hAnsi="Times New Roman" w:cs="Times New Roman"/>
          <w:sz w:val="24"/>
          <w:szCs w:val="24"/>
        </w:rPr>
        <w:t>randomised</w:t>
      </w:r>
      <w:proofErr w:type="spellEnd"/>
      <w:r w:rsidRPr="0025669D">
        <w:rPr>
          <w:rFonts w:ascii="Times New Roman" w:hAnsi="Times New Roman" w:cs="Times New Roman"/>
          <w:sz w:val="24"/>
          <w:szCs w:val="24"/>
        </w:rPr>
        <w:t xml:space="preserve"> to placebo crossed over to receive 6 mg/kg </w:t>
      </w:r>
      <w:r>
        <w:rPr>
          <w:rFonts w:ascii="Times New Roman" w:eastAsia="Malgun Gothic" w:hAnsi="Times New Roman" w:cs="Times New Roman" w:hint="eastAsia"/>
          <w:color w:val="000000"/>
          <w:sz w:val="24"/>
          <w:szCs w:val="24"/>
        </w:rPr>
        <w:t>i</w:t>
      </w:r>
      <w:r w:rsidRPr="0025669D">
        <w:rPr>
          <w:rFonts w:ascii="Times New Roman" w:eastAsia="Malgun Gothic" w:hAnsi="Times New Roman" w:cs="Times New Roman"/>
          <w:color w:val="000000"/>
          <w:sz w:val="24"/>
          <w:szCs w:val="24"/>
        </w:rPr>
        <w:t>nfliximab</w:t>
      </w:r>
      <w:r w:rsidRPr="0025669D">
        <w:rPr>
          <w:rFonts w:ascii="Times New Roman" w:hAnsi="Times New Roman" w:cs="Times New Roman"/>
          <w:sz w:val="24"/>
          <w:szCs w:val="24"/>
        </w:rPr>
        <w:t xml:space="preserve"> at weeks 14, 16 and 20 and then every 8 weeks through to week 44. Subjects </w:t>
      </w:r>
      <w:proofErr w:type="spellStart"/>
      <w:r w:rsidRPr="0025669D">
        <w:rPr>
          <w:rFonts w:ascii="Times New Roman" w:hAnsi="Times New Roman" w:cs="Times New Roman"/>
          <w:sz w:val="24"/>
          <w:szCs w:val="24"/>
        </w:rPr>
        <w:t>randomised</w:t>
      </w:r>
      <w:proofErr w:type="spellEnd"/>
      <w:r w:rsidRPr="0025669D">
        <w:rPr>
          <w:rFonts w:ascii="Times New Roman" w:hAnsi="Times New Roman" w:cs="Times New Roman"/>
          <w:sz w:val="24"/>
          <w:szCs w:val="24"/>
        </w:rPr>
        <w:t xml:space="preserve"> to 3</w:t>
      </w:r>
      <w:r>
        <w:rPr>
          <w:rFonts w:ascii="Times New Roman" w:hAnsi="Times New Roman" w:cs="Times New Roman"/>
          <w:sz w:val="24"/>
          <w:szCs w:val="24"/>
        </w:rPr>
        <w:t> </w:t>
      </w:r>
      <w:r w:rsidRPr="0025669D">
        <w:rPr>
          <w:rFonts w:ascii="Times New Roman" w:hAnsi="Times New Roman" w:cs="Times New Roman"/>
          <w:sz w:val="24"/>
          <w:szCs w:val="24"/>
        </w:rPr>
        <w:t xml:space="preserve">mg/kg </w:t>
      </w:r>
      <w:r>
        <w:rPr>
          <w:rFonts w:ascii="Times New Roman" w:eastAsia="Malgun Gothic" w:hAnsi="Times New Roman" w:cs="Times New Roman" w:hint="eastAsia"/>
          <w:color w:val="000000"/>
          <w:sz w:val="24"/>
          <w:szCs w:val="24"/>
        </w:rPr>
        <w:t>i</w:t>
      </w:r>
      <w:r w:rsidRPr="0025669D">
        <w:rPr>
          <w:rFonts w:ascii="Times New Roman" w:eastAsia="Malgun Gothic" w:hAnsi="Times New Roman" w:cs="Times New Roman"/>
          <w:color w:val="000000"/>
          <w:sz w:val="24"/>
          <w:szCs w:val="24"/>
        </w:rPr>
        <w:t xml:space="preserve">nfliximab </w:t>
      </w:r>
      <w:r w:rsidRPr="0025669D">
        <w:rPr>
          <w:rFonts w:ascii="Times New Roman" w:hAnsi="Times New Roman" w:cs="Times New Roman"/>
          <w:sz w:val="24"/>
          <w:szCs w:val="24"/>
        </w:rPr>
        <w:t xml:space="preserve">continued to receive the same dose of </w:t>
      </w:r>
      <w:r w:rsidRPr="0025669D">
        <w:rPr>
          <w:rFonts w:ascii="Times New Roman" w:eastAsia="Malgun Gothic" w:hAnsi="Times New Roman" w:cs="Times New Roman"/>
          <w:sz w:val="24"/>
          <w:szCs w:val="24"/>
        </w:rPr>
        <w:t>infliximab</w:t>
      </w:r>
      <w:r w:rsidRPr="0025669D">
        <w:rPr>
          <w:rFonts w:ascii="Times New Roman" w:hAnsi="Times New Roman" w:cs="Times New Roman"/>
          <w:sz w:val="24"/>
          <w:szCs w:val="24"/>
        </w:rPr>
        <w:t xml:space="preserve"> at weeks 14, 20 and then every 8 weeks through to week 44. This study did not provide conclusive evidence for the efficacy of </w:t>
      </w:r>
      <w:r>
        <w:rPr>
          <w:rFonts w:ascii="Times New Roman" w:eastAsia="Malgun Gothic" w:hAnsi="Times New Roman" w:cs="Times New Roman" w:hint="eastAsia"/>
          <w:color w:val="000000"/>
          <w:sz w:val="24"/>
          <w:szCs w:val="24"/>
        </w:rPr>
        <w:t>i</w:t>
      </w:r>
      <w:r w:rsidRPr="0025669D">
        <w:rPr>
          <w:rFonts w:ascii="Times New Roman" w:eastAsia="Malgun Gothic" w:hAnsi="Times New Roman" w:cs="Times New Roman"/>
          <w:color w:val="000000"/>
          <w:sz w:val="24"/>
          <w:szCs w:val="24"/>
        </w:rPr>
        <w:t>nfliximab</w:t>
      </w:r>
      <w:r w:rsidRPr="0025669D">
        <w:rPr>
          <w:rFonts w:ascii="Times New Roman" w:hAnsi="Times New Roman" w:cs="Times New Roman"/>
          <w:sz w:val="24"/>
          <w:szCs w:val="24"/>
        </w:rPr>
        <w:t xml:space="preserve"> in JRA. </w:t>
      </w:r>
    </w:p>
    <w:p w14:paraId="25AC54C2" w14:textId="77777777" w:rsidR="004A10AE" w:rsidRPr="0025669D" w:rsidRDefault="004A10AE" w:rsidP="007947DB">
      <w:pPr>
        <w:spacing w:after="0" w:line="240" w:lineRule="auto"/>
        <w:jc w:val="left"/>
        <w:rPr>
          <w:rFonts w:ascii="Times New Roman" w:hAnsi="Times New Roman" w:cs="Times New Roman"/>
          <w:sz w:val="24"/>
          <w:szCs w:val="24"/>
        </w:rPr>
      </w:pPr>
    </w:p>
    <w:p w14:paraId="5F3C5DA8" w14:textId="77777777" w:rsidR="004A10AE" w:rsidRPr="0025669D" w:rsidRDefault="004A10AE" w:rsidP="007947DB">
      <w:pPr>
        <w:adjustRightInd w:val="0"/>
        <w:spacing w:after="0" w:line="240" w:lineRule="auto"/>
        <w:jc w:val="left"/>
        <w:rPr>
          <w:rFonts w:ascii="Times New Roman" w:hAnsi="Times New Roman" w:cs="Times New Roman"/>
          <w:iCs/>
          <w:sz w:val="24"/>
          <w:szCs w:val="24"/>
        </w:rPr>
      </w:pPr>
      <w:r w:rsidRPr="0025669D">
        <w:rPr>
          <w:rFonts w:ascii="Times New Roman" w:hAnsi="Times New Roman" w:cs="Times New Roman"/>
          <w:iCs/>
          <w:sz w:val="24"/>
          <w:szCs w:val="24"/>
        </w:rPr>
        <w:t>Infusion reactions</w:t>
      </w:r>
    </w:p>
    <w:p w14:paraId="29E1E54D" w14:textId="77777777" w:rsidR="004A10AE" w:rsidRPr="0025669D" w:rsidRDefault="004A10AE" w:rsidP="007947DB">
      <w:pPr>
        <w:adjustRightInd w:val="0"/>
        <w:spacing w:after="0" w:line="240" w:lineRule="auto"/>
        <w:jc w:val="left"/>
        <w:rPr>
          <w:rFonts w:ascii="Times New Roman" w:hAnsi="Times New Roman" w:cs="Times New Roman"/>
          <w:sz w:val="24"/>
          <w:szCs w:val="24"/>
        </w:rPr>
      </w:pPr>
      <w:r w:rsidRPr="0025669D">
        <w:rPr>
          <w:rFonts w:ascii="Times New Roman" w:hAnsi="Times New Roman" w:cs="Times New Roman"/>
          <w:sz w:val="24"/>
          <w:szCs w:val="24"/>
        </w:rPr>
        <w:t xml:space="preserve">Infusion reactions occurred in 35 % of patients with JRA receiving 3 mg/kg compared with 17.5% of patients receiving 6 mg/kg. In the 3 mg/kg </w:t>
      </w:r>
      <w:r>
        <w:rPr>
          <w:rFonts w:ascii="Times New Roman" w:eastAsia="Malgun Gothic" w:hAnsi="Times New Roman" w:cs="Times New Roman" w:hint="eastAsia"/>
          <w:color w:val="000000"/>
          <w:sz w:val="24"/>
          <w:szCs w:val="24"/>
        </w:rPr>
        <w:t>i</w:t>
      </w:r>
      <w:r w:rsidRPr="0025669D">
        <w:rPr>
          <w:rFonts w:ascii="Times New Roman" w:eastAsia="Malgun Gothic" w:hAnsi="Times New Roman" w:cs="Times New Roman"/>
          <w:color w:val="000000"/>
          <w:sz w:val="24"/>
          <w:szCs w:val="24"/>
        </w:rPr>
        <w:t>nfliximab</w:t>
      </w:r>
      <w:r w:rsidRPr="0025669D">
        <w:rPr>
          <w:rFonts w:ascii="Times New Roman" w:hAnsi="Times New Roman" w:cs="Times New Roman"/>
          <w:sz w:val="24"/>
          <w:szCs w:val="24"/>
        </w:rPr>
        <w:t xml:space="preserve"> group, 4 out of 60 patients had a serious infusion reaction and 3 patients reported a possible anaphylactic reaction (2 of which were among the serious infusion reactions). In the 6 mg/kg group, 2 out of 57 patients had a serious infusion reaction, one of whom had a possible anaphylactic reaction.</w:t>
      </w:r>
    </w:p>
    <w:p w14:paraId="5A268AB2" w14:textId="77777777" w:rsidR="004A10AE" w:rsidRDefault="004A10AE" w:rsidP="007947DB">
      <w:pPr>
        <w:adjustRightInd w:val="0"/>
        <w:spacing w:after="0" w:line="240" w:lineRule="auto"/>
        <w:jc w:val="left"/>
        <w:rPr>
          <w:rFonts w:ascii="Times New Roman" w:hAnsi="Times New Roman" w:cs="Times New Roman"/>
          <w:iCs/>
          <w:sz w:val="24"/>
          <w:szCs w:val="24"/>
        </w:rPr>
      </w:pPr>
    </w:p>
    <w:p w14:paraId="13A3B2B2" w14:textId="77777777" w:rsidR="004A10AE" w:rsidRPr="0025669D" w:rsidRDefault="004A10AE" w:rsidP="007947DB">
      <w:pPr>
        <w:adjustRightInd w:val="0"/>
        <w:spacing w:after="0" w:line="240" w:lineRule="auto"/>
        <w:jc w:val="left"/>
        <w:rPr>
          <w:rFonts w:ascii="Times New Roman" w:hAnsi="Times New Roman" w:cs="Times New Roman"/>
          <w:iCs/>
          <w:sz w:val="24"/>
          <w:szCs w:val="24"/>
        </w:rPr>
      </w:pPr>
      <w:r w:rsidRPr="0025669D">
        <w:rPr>
          <w:rFonts w:ascii="Times New Roman" w:hAnsi="Times New Roman" w:cs="Times New Roman"/>
          <w:iCs/>
          <w:sz w:val="24"/>
          <w:szCs w:val="24"/>
        </w:rPr>
        <w:t>Immunogenicity</w:t>
      </w:r>
    </w:p>
    <w:p w14:paraId="0A0B1CF3" w14:textId="77777777" w:rsidR="004A10AE" w:rsidRPr="0025669D" w:rsidRDefault="004A10AE" w:rsidP="007947DB">
      <w:pPr>
        <w:adjustRightInd w:val="0"/>
        <w:spacing w:after="0" w:line="240" w:lineRule="auto"/>
        <w:jc w:val="left"/>
        <w:rPr>
          <w:rFonts w:ascii="Times New Roman" w:hAnsi="Times New Roman" w:cs="Times New Roman"/>
          <w:sz w:val="24"/>
          <w:szCs w:val="24"/>
        </w:rPr>
      </w:pPr>
      <w:r w:rsidRPr="0025669D">
        <w:rPr>
          <w:rFonts w:ascii="Times New Roman" w:hAnsi="Times New Roman" w:cs="Times New Roman"/>
          <w:sz w:val="24"/>
          <w:szCs w:val="24"/>
        </w:rPr>
        <w:t xml:space="preserve">Antibodies to infliximab developed in 38 % of patients receiving 3 mg/kg compared with 12% of patients receiving 6 mg/kg. The antibody </w:t>
      </w:r>
      <w:proofErr w:type="spellStart"/>
      <w:r w:rsidRPr="0025669D">
        <w:rPr>
          <w:rFonts w:ascii="Times New Roman" w:hAnsi="Times New Roman" w:cs="Times New Roman"/>
          <w:sz w:val="24"/>
          <w:szCs w:val="24"/>
        </w:rPr>
        <w:t>titres</w:t>
      </w:r>
      <w:proofErr w:type="spellEnd"/>
      <w:r w:rsidRPr="0025669D">
        <w:rPr>
          <w:rFonts w:ascii="Times New Roman" w:hAnsi="Times New Roman" w:cs="Times New Roman"/>
          <w:sz w:val="24"/>
          <w:szCs w:val="24"/>
        </w:rPr>
        <w:t xml:space="preserve"> were notably higher for the 3 mg/kg compared to the 6 mg/kg group.</w:t>
      </w:r>
    </w:p>
    <w:p w14:paraId="67625849" w14:textId="77777777" w:rsidR="004A10AE" w:rsidRDefault="004A10AE" w:rsidP="007947DB">
      <w:pPr>
        <w:adjustRightInd w:val="0"/>
        <w:spacing w:after="0" w:line="240" w:lineRule="auto"/>
        <w:jc w:val="left"/>
        <w:rPr>
          <w:rFonts w:ascii="Times New Roman" w:hAnsi="Times New Roman" w:cs="Times New Roman"/>
          <w:iCs/>
          <w:sz w:val="24"/>
          <w:szCs w:val="24"/>
        </w:rPr>
      </w:pPr>
    </w:p>
    <w:p w14:paraId="42E1E9B2" w14:textId="77777777" w:rsidR="004A10AE" w:rsidRPr="0025669D" w:rsidRDefault="004A10AE" w:rsidP="007947DB">
      <w:pPr>
        <w:adjustRightInd w:val="0"/>
        <w:spacing w:after="0" w:line="240" w:lineRule="auto"/>
        <w:jc w:val="left"/>
        <w:rPr>
          <w:rFonts w:ascii="Times New Roman" w:hAnsi="Times New Roman" w:cs="Times New Roman"/>
          <w:iCs/>
          <w:sz w:val="24"/>
          <w:szCs w:val="24"/>
        </w:rPr>
      </w:pPr>
      <w:r w:rsidRPr="0025669D">
        <w:rPr>
          <w:rFonts w:ascii="Times New Roman" w:hAnsi="Times New Roman" w:cs="Times New Roman"/>
          <w:iCs/>
          <w:sz w:val="24"/>
          <w:szCs w:val="24"/>
        </w:rPr>
        <w:t>Infections</w:t>
      </w:r>
    </w:p>
    <w:p w14:paraId="6FCF3132" w14:textId="77777777" w:rsidR="004A10AE" w:rsidRDefault="004A10AE" w:rsidP="007947DB">
      <w:pPr>
        <w:adjustRightInd w:val="0"/>
        <w:spacing w:after="0" w:line="240" w:lineRule="auto"/>
        <w:jc w:val="left"/>
        <w:rPr>
          <w:rFonts w:ascii="Times New Roman" w:hAnsi="Times New Roman" w:cs="Times New Roman"/>
          <w:sz w:val="24"/>
          <w:szCs w:val="24"/>
        </w:rPr>
      </w:pPr>
      <w:r w:rsidRPr="0025669D">
        <w:rPr>
          <w:rFonts w:ascii="Times New Roman" w:hAnsi="Times New Roman" w:cs="Times New Roman"/>
          <w:sz w:val="24"/>
          <w:szCs w:val="24"/>
        </w:rPr>
        <w:t>Infections occurred in 68% (41/60) of children receiving 3 mg/kg over 52 weeks, 65% (37/57) of children receiving infliximab 6 mg/kg over 38 weeks and 47% (28/60) of children receiving placebo over 14 weeks.</w:t>
      </w:r>
    </w:p>
    <w:p w14:paraId="275C91E2" w14:textId="77777777" w:rsidR="00681BCE" w:rsidRDefault="00681BCE" w:rsidP="007947DB">
      <w:pPr>
        <w:adjustRightInd w:val="0"/>
        <w:spacing w:after="0" w:line="240" w:lineRule="auto"/>
        <w:jc w:val="left"/>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1"/>
        <w:gridCol w:w="5941"/>
      </w:tblGrid>
      <w:tr w:rsidR="004A10AE" w:rsidRPr="0025669D" w14:paraId="49C261D9" w14:textId="77777777" w:rsidTr="005A4B0D">
        <w:trPr>
          <w:cantSplit/>
          <w:tblHeader/>
        </w:trPr>
        <w:tc>
          <w:tcPr>
            <w:tcW w:w="5000" w:type="pct"/>
            <w:gridSpan w:val="2"/>
            <w:tcBorders>
              <w:top w:val="nil"/>
              <w:left w:val="nil"/>
              <w:bottom w:val="single" w:sz="4" w:space="0" w:color="auto"/>
              <w:right w:val="nil"/>
            </w:tcBorders>
          </w:tcPr>
          <w:p w14:paraId="7A9F3BB4" w14:textId="4E59C6D5" w:rsidR="004A10AE" w:rsidRPr="0094117E" w:rsidRDefault="004A10AE" w:rsidP="007947DB">
            <w:pPr>
              <w:pStyle w:val="Caption"/>
              <w:keepNext/>
              <w:spacing w:after="0" w:line="240" w:lineRule="auto"/>
              <w:ind w:left="880" w:hangingChars="400" w:hanging="880"/>
              <w:rPr>
                <w:rFonts w:ascii="Times New Roman" w:hAnsi="Times New Roman" w:cs="Times New Roman"/>
                <w:sz w:val="22"/>
                <w:szCs w:val="22"/>
              </w:rPr>
            </w:pPr>
            <w:bookmarkStart w:id="15" w:name="_Ref484153773"/>
            <w:r w:rsidRPr="008C1B2C">
              <w:rPr>
                <w:rFonts w:ascii="Times New Roman" w:hAnsi="Times New Roman" w:cs="Times New Roman"/>
                <w:sz w:val="22"/>
                <w:szCs w:val="22"/>
              </w:rPr>
              <w:t xml:space="preserve">Table </w:t>
            </w:r>
            <w:r w:rsidRPr="008C1B2C">
              <w:rPr>
                <w:rFonts w:ascii="Times New Roman" w:hAnsi="Times New Roman" w:cs="Times New Roman"/>
                <w:sz w:val="22"/>
                <w:szCs w:val="22"/>
              </w:rPr>
              <w:fldChar w:fldCharType="begin"/>
            </w:r>
            <w:r w:rsidRPr="008C1B2C">
              <w:rPr>
                <w:rFonts w:ascii="Times New Roman" w:hAnsi="Times New Roman" w:cs="Times New Roman"/>
                <w:sz w:val="22"/>
                <w:szCs w:val="22"/>
              </w:rPr>
              <w:instrText xml:space="preserve"> SEQ Table \* ARABIC </w:instrText>
            </w:r>
            <w:r w:rsidRPr="008C1B2C">
              <w:rPr>
                <w:rFonts w:ascii="Times New Roman" w:hAnsi="Times New Roman" w:cs="Times New Roman"/>
                <w:sz w:val="22"/>
                <w:szCs w:val="22"/>
              </w:rPr>
              <w:fldChar w:fldCharType="separate"/>
            </w:r>
            <w:r w:rsidR="005A6BF4">
              <w:rPr>
                <w:rFonts w:ascii="Times New Roman" w:hAnsi="Times New Roman" w:cs="Times New Roman"/>
                <w:noProof/>
                <w:sz w:val="22"/>
                <w:szCs w:val="22"/>
              </w:rPr>
              <w:t>13</w:t>
            </w:r>
            <w:r w:rsidRPr="008C1B2C">
              <w:rPr>
                <w:rFonts w:ascii="Times New Roman" w:hAnsi="Times New Roman" w:cs="Times New Roman"/>
                <w:sz w:val="22"/>
                <w:szCs w:val="22"/>
              </w:rPr>
              <w:fldChar w:fldCharType="end"/>
            </w:r>
            <w:bookmarkEnd w:id="15"/>
            <w:r w:rsidRPr="008C1B2C">
              <w:rPr>
                <w:rFonts w:ascii="Times New Roman" w:hAnsi="Times New Roman" w:cs="Times New Roman"/>
                <w:sz w:val="22"/>
                <w:szCs w:val="22"/>
              </w:rPr>
              <w:t xml:space="preserve">. Undesirable effects in post-marketing reports (common </w:t>
            </w:r>
            <w:r w:rsidRPr="008C1B2C">
              <w:rPr>
                <w:rFonts w:ascii="Times New Roman" w:hAnsi="Times New Roman" w:cs="Times New Roman"/>
                <w:sz w:val="22"/>
                <w:szCs w:val="22"/>
              </w:rPr>
              <w:sym w:font="Symbol" w:char="F03E"/>
            </w:r>
            <w:r w:rsidRPr="008C1B2C">
              <w:rPr>
                <w:rFonts w:ascii="Times New Roman" w:hAnsi="Times New Roman" w:cs="Times New Roman"/>
                <w:sz w:val="22"/>
                <w:szCs w:val="22"/>
              </w:rPr>
              <w:t xml:space="preserve">1/100, </w:t>
            </w:r>
            <w:r w:rsidRPr="008C1B2C">
              <w:rPr>
                <w:rFonts w:ascii="Times New Roman" w:hAnsi="Times New Roman" w:cs="Times New Roman"/>
                <w:sz w:val="22"/>
                <w:szCs w:val="22"/>
              </w:rPr>
              <w:sym w:font="Symbol" w:char="F03C"/>
            </w:r>
            <w:r w:rsidRPr="008C1B2C">
              <w:rPr>
                <w:rFonts w:ascii="Times New Roman" w:hAnsi="Times New Roman" w:cs="Times New Roman"/>
                <w:sz w:val="22"/>
                <w:szCs w:val="22"/>
              </w:rPr>
              <w:t xml:space="preserve">1/10; uncommon </w:t>
            </w:r>
            <w:r w:rsidRPr="008C1B2C">
              <w:rPr>
                <w:rFonts w:ascii="Times New Roman" w:hAnsi="Times New Roman" w:cs="Times New Roman"/>
                <w:sz w:val="22"/>
                <w:szCs w:val="22"/>
              </w:rPr>
              <w:sym w:font="Symbol" w:char="F03E"/>
            </w:r>
            <w:r w:rsidRPr="008C1B2C">
              <w:rPr>
                <w:rFonts w:ascii="Times New Roman" w:hAnsi="Times New Roman" w:cs="Times New Roman"/>
                <w:sz w:val="22"/>
                <w:szCs w:val="22"/>
              </w:rPr>
              <w:t xml:space="preserve">1/1000, </w:t>
            </w:r>
            <w:r w:rsidRPr="008C1B2C">
              <w:rPr>
                <w:rFonts w:ascii="Times New Roman" w:hAnsi="Times New Roman" w:cs="Times New Roman"/>
                <w:sz w:val="22"/>
                <w:szCs w:val="22"/>
              </w:rPr>
              <w:sym w:font="Symbol" w:char="F03C"/>
            </w:r>
            <w:r w:rsidRPr="008C1B2C">
              <w:rPr>
                <w:rFonts w:ascii="Times New Roman" w:hAnsi="Times New Roman" w:cs="Times New Roman"/>
                <w:sz w:val="22"/>
                <w:szCs w:val="22"/>
              </w:rPr>
              <w:t xml:space="preserve">1/100; rare </w:t>
            </w:r>
            <w:r w:rsidRPr="008C1B2C">
              <w:rPr>
                <w:rFonts w:ascii="Times New Roman" w:hAnsi="Times New Roman" w:cs="Times New Roman"/>
                <w:sz w:val="22"/>
                <w:szCs w:val="22"/>
              </w:rPr>
              <w:sym w:font="Symbol" w:char="F03C"/>
            </w:r>
            <w:r w:rsidRPr="008C1B2C">
              <w:rPr>
                <w:rFonts w:ascii="Times New Roman" w:hAnsi="Times New Roman" w:cs="Times New Roman"/>
                <w:sz w:val="22"/>
                <w:szCs w:val="22"/>
              </w:rPr>
              <w:t>1/1000; very rare &lt;1/10,000)</w:t>
            </w:r>
          </w:p>
        </w:tc>
      </w:tr>
      <w:tr w:rsidR="004A10AE" w:rsidRPr="0025669D" w14:paraId="3ACBFBC6" w14:textId="77777777" w:rsidTr="005A4B0D">
        <w:trPr>
          <w:cantSplit/>
        </w:trPr>
        <w:tc>
          <w:tcPr>
            <w:tcW w:w="1786" w:type="pct"/>
            <w:tcBorders>
              <w:top w:val="single" w:sz="4" w:space="0" w:color="auto"/>
            </w:tcBorders>
          </w:tcPr>
          <w:p w14:paraId="4130AC9B" w14:textId="77777777" w:rsidR="004A10AE" w:rsidRPr="000E12EB" w:rsidRDefault="004A10AE" w:rsidP="007947DB">
            <w:pPr>
              <w:pStyle w:val="NoSpacing"/>
              <w:rPr>
                <w:rFonts w:ascii="Times New Roman" w:hAnsi="Times New Roman" w:cs="Times New Roman"/>
                <w:sz w:val="22"/>
              </w:rPr>
            </w:pPr>
            <w:r w:rsidRPr="000E12EB">
              <w:rPr>
                <w:rFonts w:ascii="Times New Roman" w:hAnsi="Times New Roman" w:cs="Times New Roman"/>
                <w:sz w:val="22"/>
              </w:rPr>
              <w:t>Nervous System Disorders</w:t>
            </w:r>
          </w:p>
          <w:p w14:paraId="035A89EF" w14:textId="77777777" w:rsidR="004A10AE" w:rsidRPr="000E12EB" w:rsidRDefault="004A10AE" w:rsidP="007947DB">
            <w:pPr>
              <w:spacing w:after="0" w:line="240" w:lineRule="auto"/>
              <w:jc w:val="right"/>
              <w:rPr>
                <w:rFonts w:ascii="Times New Roman" w:hAnsi="Times New Roman" w:cs="Times New Roman"/>
                <w:sz w:val="22"/>
              </w:rPr>
            </w:pPr>
            <w:r w:rsidRPr="000E12EB">
              <w:rPr>
                <w:rFonts w:ascii="Times New Roman" w:hAnsi="Times New Roman" w:cs="Times New Roman"/>
                <w:sz w:val="22"/>
              </w:rPr>
              <w:t>Rare:</w:t>
            </w:r>
          </w:p>
          <w:p w14:paraId="436A3E36" w14:textId="77777777" w:rsidR="004A10AE" w:rsidRPr="000E12EB" w:rsidRDefault="004A10AE" w:rsidP="007947DB">
            <w:pPr>
              <w:spacing w:after="0" w:line="240" w:lineRule="auto"/>
              <w:jc w:val="left"/>
              <w:rPr>
                <w:rFonts w:ascii="Times New Roman" w:hAnsi="Times New Roman" w:cs="Times New Roman"/>
                <w:sz w:val="22"/>
              </w:rPr>
            </w:pPr>
          </w:p>
          <w:p w14:paraId="5DE173C9" w14:textId="77777777" w:rsidR="004A10AE" w:rsidRPr="000E12EB" w:rsidRDefault="004A10AE" w:rsidP="007947DB">
            <w:pPr>
              <w:spacing w:after="0" w:line="240" w:lineRule="auto"/>
              <w:jc w:val="left"/>
              <w:rPr>
                <w:rFonts w:ascii="Times New Roman" w:hAnsi="Times New Roman" w:cs="Times New Roman"/>
                <w:sz w:val="22"/>
              </w:rPr>
            </w:pPr>
          </w:p>
          <w:p w14:paraId="2D23BB84" w14:textId="77777777" w:rsidR="004A10AE" w:rsidRPr="000E12EB" w:rsidRDefault="004A10AE" w:rsidP="007947DB">
            <w:pPr>
              <w:spacing w:after="0" w:line="240" w:lineRule="auto"/>
              <w:jc w:val="left"/>
              <w:rPr>
                <w:rFonts w:ascii="Times New Roman" w:hAnsi="Times New Roman" w:cs="Times New Roman"/>
                <w:sz w:val="22"/>
              </w:rPr>
            </w:pPr>
          </w:p>
          <w:p w14:paraId="4EDD7418" w14:textId="77777777" w:rsidR="004A10AE" w:rsidRDefault="004A10AE" w:rsidP="007947DB">
            <w:pPr>
              <w:spacing w:after="0" w:line="240" w:lineRule="auto"/>
              <w:jc w:val="left"/>
              <w:rPr>
                <w:rFonts w:ascii="Times New Roman" w:hAnsi="Times New Roman" w:cs="Times New Roman"/>
                <w:sz w:val="22"/>
              </w:rPr>
            </w:pPr>
          </w:p>
          <w:p w14:paraId="38892537" w14:textId="77777777" w:rsidR="0008419E" w:rsidRPr="000E12EB" w:rsidRDefault="0008419E" w:rsidP="007947DB">
            <w:pPr>
              <w:spacing w:after="0" w:line="240" w:lineRule="auto"/>
              <w:jc w:val="left"/>
              <w:rPr>
                <w:rFonts w:ascii="Times New Roman" w:hAnsi="Times New Roman" w:cs="Times New Roman"/>
                <w:sz w:val="22"/>
              </w:rPr>
            </w:pPr>
          </w:p>
          <w:p w14:paraId="631E2E2B" w14:textId="77777777" w:rsidR="004A10AE" w:rsidRPr="000E12EB" w:rsidRDefault="004A10AE" w:rsidP="007947DB">
            <w:pPr>
              <w:spacing w:after="0" w:line="240" w:lineRule="auto"/>
              <w:jc w:val="right"/>
              <w:rPr>
                <w:rFonts w:ascii="Times New Roman" w:hAnsi="Times New Roman" w:cs="Times New Roman"/>
                <w:sz w:val="22"/>
              </w:rPr>
            </w:pPr>
            <w:r w:rsidRPr="000E12EB">
              <w:rPr>
                <w:rFonts w:ascii="Times New Roman" w:hAnsi="Times New Roman" w:cs="Times New Roman"/>
                <w:sz w:val="22"/>
              </w:rPr>
              <w:t>Very rare:</w:t>
            </w:r>
          </w:p>
          <w:p w14:paraId="20BB9EF4" w14:textId="5E8C6025" w:rsidR="005F3A08" w:rsidRPr="000E12EB" w:rsidRDefault="005F3A08" w:rsidP="007947DB">
            <w:pPr>
              <w:spacing w:after="0" w:line="240" w:lineRule="auto"/>
              <w:jc w:val="right"/>
              <w:rPr>
                <w:rFonts w:ascii="Times New Roman" w:hAnsi="Times New Roman" w:cs="Times New Roman"/>
                <w:sz w:val="22"/>
              </w:rPr>
            </w:pPr>
          </w:p>
        </w:tc>
        <w:tc>
          <w:tcPr>
            <w:tcW w:w="3214" w:type="pct"/>
            <w:tcBorders>
              <w:top w:val="single" w:sz="4" w:space="0" w:color="auto"/>
            </w:tcBorders>
          </w:tcPr>
          <w:p w14:paraId="58CDAF23" w14:textId="77777777" w:rsidR="004A10AE" w:rsidRPr="000E12EB" w:rsidRDefault="004A10AE" w:rsidP="007947DB">
            <w:pPr>
              <w:spacing w:after="0" w:line="240" w:lineRule="auto"/>
              <w:jc w:val="left"/>
              <w:rPr>
                <w:rFonts w:ascii="Times New Roman" w:hAnsi="Times New Roman" w:cs="Times New Roman"/>
                <w:sz w:val="22"/>
              </w:rPr>
            </w:pPr>
          </w:p>
          <w:p w14:paraId="65C4A9E7" w14:textId="61A3DECC" w:rsidR="004A10AE" w:rsidRPr="000E12EB" w:rsidRDefault="004A10AE" w:rsidP="007947DB">
            <w:pPr>
              <w:spacing w:after="0" w:line="240" w:lineRule="auto"/>
              <w:jc w:val="left"/>
              <w:rPr>
                <w:rFonts w:ascii="Times New Roman" w:hAnsi="Times New Roman" w:cs="Times New Roman"/>
                <w:sz w:val="22"/>
              </w:rPr>
            </w:pPr>
            <w:r w:rsidRPr="000E12EB">
              <w:rPr>
                <w:rFonts w:ascii="Times New Roman" w:hAnsi="Times New Roman" w:cs="Times New Roman"/>
                <w:sz w:val="22"/>
              </w:rPr>
              <w:t xml:space="preserve">Central nervous system demyelinating disorders (such as multiple sclerosis and optic neuritis), </w:t>
            </w:r>
            <w:r w:rsidR="005F29C6">
              <w:rPr>
                <w:rFonts w:ascii="Times New Roman" w:hAnsi="Times New Roman" w:cs="Times New Roman" w:hint="eastAsia"/>
                <w:sz w:val="22"/>
              </w:rPr>
              <w:t xml:space="preserve">cerebrovascular accidents*, </w:t>
            </w:r>
            <w:r w:rsidRPr="000E12EB">
              <w:rPr>
                <w:rFonts w:ascii="Times New Roman" w:hAnsi="Times New Roman" w:cs="Times New Roman"/>
                <w:sz w:val="22"/>
              </w:rPr>
              <w:t>peripheral demyelinating disorders (such as Guillain-Barre syndrome, chronic inflammatory demyelinating polyneuropathy, and multifocal motor neuropathy), neuropathies, numbness, tingling, seizure</w:t>
            </w:r>
          </w:p>
          <w:p w14:paraId="44B6FB1A" w14:textId="493BB6E7" w:rsidR="005F3A08" w:rsidRPr="000E12EB" w:rsidRDefault="004A10AE" w:rsidP="007947DB">
            <w:pPr>
              <w:spacing w:after="0" w:line="240" w:lineRule="auto"/>
              <w:jc w:val="left"/>
              <w:rPr>
                <w:rFonts w:ascii="Times New Roman" w:hAnsi="Times New Roman" w:cs="Times New Roman"/>
                <w:sz w:val="22"/>
              </w:rPr>
            </w:pPr>
            <w:r w:rsidRPr="000E12EB">
              <w:rPr>
                <w:rFonts w:ascii="Times New Roman" w:hAnsi="Times New Roman" w:cs="Times New Roman"/>
                <w:sz w:val="22"/>
              </w:rPr>
              <w:t>Transverse myelitis</w:t>
            </w:r>
          </w:p>
        </w:tc>
      </w:tr>
      <w:tr w:rsidR="004A10AE" w:rsidRPr="0025669D" w14:paraId="4C581C25" w14:textId="77777777" w:rsidTr="005A4B0D">
        <w:trPr>
          <w:cantSplit/>
          <w:trHeight w:val="910"/>
        </w:trPr>
        <w:tc>
          <w:tcPr>
            <w:tcW w:w="1786" w:type="pct"/>
          </w:tcPr>
          <w:p w14:paraId="3E86A0EA" w14:textId="77777777" w:rsidR="004A10AE" w:rsidRPr="000E12EB" w:rsidRDefault="004A10AE" w:rsidP="007947DB">
            <w:pPr>
              <w:spacing w:after="0" w:line="240" w:lineRule="auto"/>
              <w:jc w:val="left"/>
              <w:rPr>
                <w:rFonts w:ascii="Times New Roman" w:hAnsi="Times New Roman" w:cs="Times New Roman"/>
                <w:sz w:val="22"/>
              </w:rPr>
            </w:pPr>
            <w:r w:rsidRPr="000E12EB">
              <w:rPr>
                <w:rFonts w:ascii="Times New Roman" w:hAnsi="Times New Roman" w:cs="Times New Roman"/>
                <w:sz w:val="22"/>
              </w:rPr>
              <w:lastRenderedPageBreak/>
              <w:t>Blood</w:t>
            </w:r>
            <w:r w:rsidRPr="000E12EB">
              <w:rPr>
                <w:rFonts w:ascii="Times New Roman" w:hAnsi="Times New Roman" w:cs="Times New Roman" w:hint="eastAsia"/>
                <w:sz w:val="22"/>
              </w:rPr>
              <w:t xml:space="preserve"> and Lymphatic Disorders</w:t>
            </w:r>
          </w:p>
          <w:p w14:paraId="4DD7FD82" w14:textId="77777777" w:rsidR="004A10AE" w:rsidRPr="000E12EB" w:rsidRDefault="004A10AE" w:rsidP="007947DB">
            <w:pPr>
              <w:spacing w:after="0" w:line="240" w:lineRule="auto"/>
              <w:jc w:val="right"/>
              <w:rPr>
                <w:rFonts w:ascii="Times New Roman" w:hAnsi="Times New Roman" w:cs="Times New Roman"/>
                <w:sz w:val="22"/>
              </w:rPr>
            </w:pPr>
            <w:r w:rsidRPr="000E12EB">
              <w:rPr>
                <w:rFonts w:ascii="Times New Roman" w:hAnsi="Times New Roman" w:cs="Times New Roman"/>
                <w:sz w:val="22"/>
              </w:rPr>
              <w:t>Rare:</w:t>
            </w:r>
          </w:p>
          <w:p w14:paraId="72254F85" w14:textId="77777777" w:rsidR="004A10AE" w:rsidRPr="000E12EB" w:rsidRDefault="004A10AE" w:rsidP="007947DB">
            <w:pPr>
              <w:spacing w:after="0" w:line="240" w:lineRule="auto"/>
              <w:jc w:val="right"/>
              <w:rPr>
                <w:rFonts w:ascii="Times New Roman" w:hAnsi="Times New Roman" w:cs="Times New Roman"/>
                <w:sz w:val="22"/>
              </w:rPr>
            </w:pPr>
          </w:p>
          <w:p w14:paraId="1C68A5B8" w14:textId="77777777" w:rsidR="004A10AE" w:rsidRPr="000E12EB" w:rsidRDefault="004A10AE" w:rsidP="007947DB">
            <w:pPr>
              <w:spacing w:after="0" w:line="240" w:lineRule="auto"/>
              <w:jc w:val="right"/>
              <w:rPr>
                <w:rFonts w:ascii="Times New Roman" w:hAnsi="Times New Roman" w:cs="Times New Roman"/>
                <w:sz w:val="22"/>
              </w:rPr>
            </w:pPr>
            <w:r w:rsidRPr="000E12EB">
              <w:rPr>
                <w:rFonts w:ascii="Times New Roman" w:hAnsi="Times New Roman" w:cs="Times New Roman"/>
                <w:sz w:val="22"/>
              </w:rPr>
              <w:t>Very rare:</w:t>
            </w:r>
          </w:p>
        </w:tc>
        <w:tc>
          <w:tcPr>
            <w:tcW w:w="3214" w:type="pct"/>
          </w:tcPr>
          <w:p w14:paraId="75AA35D1" w14:textId="77777777" w:rsidR="004A10AE" w:rsidRPr="000E12EB" w:rsidRDefault="004A10AE" w:rsidP="007947DB">
            <w:pPr>
              <w:spacing w:after="0" w:line="240" w:lineRule="auto"/>
              <w:jc w:val="left"/>
              <w:rPr>
                <w:rFonts w:ascii="Times New Roman" w:hAnsi="Times New Roman" w:cs="Times New Roman"/>
                <w:sz w:val="22"/>
              </w:rPr>
            </w:pPr>
          </w:p>
          <w:p w14:paraId="1DDF990D" w14:textId="395DE8B0" w:rsidR="004A10AE" w:rsidRPr="005F29C6" w:rsidRDefault="004A10AE" w:rsidP="007947DB">
            <w:pPr>
              <w:spacing w:after="0" w:line="240" w:lineRule="auto"/>
              <w:jc w:val="left"/>
              <w:rPr>
                <w:rFonts w:ascii="Times New Roman" w:hAnsi="Times New Roman" w:cs="Times New Roman"/>
                <w:sz w:val="22"/>
              </w:rPr>
            </w:pPr>
            <w:proofErr w:type="spellStart"/>
            <w:r w:rsidRPr="000E12EB">
              <w:rPr>
                <w:rFonts w:ascii="Times New Roman" w:hAnsi="Times New Roman" w:cs="Times New Roman"/>
                <w:sz w:val="22"/>
              </w:rPr>
              <w:t>Pancytopaenia</w:t>
            </w:r>
            <w:proofErr w:type="spellEnd"/>
            <w:r w:rsidRPr="000E12EB">
              <w:rPr>
                <w:rFonts w:ascii="Times New Roman" w:hAnsi="Times New Roman" w:cs="Times New Roman"/>
                <w:sz w:val="22"/>
              </w:rPr>
              <w:t xml:space="preserve">, </w:t>
            </w:r>
            <w:r w:rsidRPr="005F29C6">
              <w:rPr>
                <w:rFonts w:ascii="Times New Roman" w:hAnsi="Times New Roman" w:cs="Times New Roman"/>
                <w:sz w:val="22"/>
              </w:rPr>
              <w:t>agran</w:t>
            </w:r>
            <w:r w:rsidR="00CB3710" w:rsidRPr="005F29C6">
              <w:rPr>
                <w:rFonts w:ascii="Times New Roman" w:hAnsi="Times New Roman" w:cs="Times New Roman"/>
                <w:sz w:val="22"/>
              </w:rPr>
              <w:t>ulo</w:t>
            </w:r>
            <w:r w:rsidRPr="005F29C6">
              <w:rPr>
                <w:rFonts w:ascii="Times New Roman" w:hAnsi="Times New Roman" w:cs="Times New Roman"/>
                <w:sz w:val="22"/>
              </w:rPr>
              <w:t>cytosis</w:t>
            </w:r>
            <w:r w:rsidR="007E053F" w:rsidRPr="005F29C6">
              <w:rPr>
                <w:rFonts w:ascii="Times New Roman" w:hAnsi="Times New Roman" w:cs="Times New Roman"/>
                <w:sz w:val="22"/>
              </w:rPr>
              <w:t xml:space="preserve"> </w:t>
            </w:r>
            <w:r w:rsidRPr="005F29C6">
              <w:rPr>
                <w:rFonts w:ascii="Times New Roman" w:hAnsi="Times New Roman" w:cs="Times New Roman"/>
                <w:sz w:val="22"/>
              </w:rPr>
              <w:t>(including infants exposed</w:t>
            </w:r>
            <w:r w:rsidRPr="000E12EB">
              <w:rPr>
                <w:rFonts w:ascii="Times New Roman" w:hAnsi="Times New Roman" w:cs="Times New Roman"/>
                <w:i/>
                <w:sz w:val="22"/>
              </w:rPr>
              <w:t xml:space="preserve"> in utero </w:t>
            </w:r>
            <w:r w:rsidRPr="005F29C6">
              <w:rPr>
                <w:rFonts w:ascii="Times New Roman" w:hAnsi="Times New Roman" w:cs="Times New Roman"/>
                <w:sz w:val="22"/>
              </w:rPr>
              <w:t>to infliximab).</w:t>
            </w:r>
          </w:p>
          <w:p w14:paraId="25FF4072" w14:textId="77777777" w:rsidR="004A10AE" w:rsidRPr="000E12EB" w:rsidRDefault="004A10AE" w:rsidP="007947DB">
            <w:pPr>
              <w:spacing w:after="0" w:line="240" w:lineRule="auto"/>
              <w:jc w:val="left"/>
              <w:rPr>
                <w:rFonts w:ascii="Times New Roman" w:hAnsi="Times New Roman" w:cs="Times New Roman"/>
                <w:sz w:val="22"/>
              </w:rPr>
            </w:pPr>
            <w:proofErr w:type="spellStart"/>
            <w:r w:rsidRPr="000E12EB">
              <w:rPr>
                <w:rFonts w:ascii="Times New Roman" w:hAnsi="Times New Roman" w:cs="Times New Roman"/>
                <w:sz w:val="22"/>
              </w:rPr>
              <w:t>Haemolytic</w:t>
            </w:r>
            <w:proofErr w:type="spellEnd"/>
            <w:r w:rsidRPr="000E12EB">
              <w:rPr>
                <w:rFonts w:ascii="Times New Roman" w:hAnsi="Times New Roman" w:cs="Times New Roman"/>
                <w:sz w:val="22"/>
              </w:rPr>
              <w:t xml:space="preserve"> </w:t>
            </w:r>
            <w:proofErr w:type="spellStart"/>
            <w:r w:rsidRPr="000E12EB">
              <w:rPr>
                <w:rFonts w:ascii="Times New Roman" w:hAnsi="Times New Roman" w:cs="Times New Roman"/>
                <w:sz w:val="22"/>
              </w:rPr>
              <w:t>anaemia</w:t>
            </w:r>
            <w:proofErr w:type="spellEnd"/>
            <w:r w:rsidRPr="000E12EB">
              <w:rPr>
                <w:rFonts w:ascii="Times New Roman" w:hAnsi="Times New Roman" w:cs="Times New Roman"/>
                <w:sz w:val="22"/>
              </w:rPr>
              <w:t xml:space="preserve">, idiopathic </w:t>
            </w:r>
            <w:proofErr w:type="spellStart"/>
            <w:r w:rsidRPr="000E12EB">
              <w:rPr>
                <w:rFonts w:ascii="Times New Roman" w:hAnsi="Times New Roman" w:cs="Times New Roman"/>
                <w:sz w:val="22"/>
              </w:rPr>
              <w:t>thrombocytopaenic</w:t>
            </w:r>
            <w:proofErr w:type="spellEnd"/>
            <w:r w:rsidRPr="000E12EB">
              <w:rPr>
                <w:rFonts w:ascii="Times New Roman" w:hAnsi="Times New Roman" w:cs="Times New Roman"/>
                <w:sz w:val="22"/>
              </w:rPr>
              <w:t xml:space="preserve"> purpura, thrombotic </w:t>
            </w:r>
            <w:proofErr w:type="spellStart"/>
            <w:r w:rsidRPr="000E12EB">
              <w:rPr>
                <w:rFonts w:ascii="Times New Roman" w:hAnsi="Times New Roman" w:cs="Times New Roman"/>
                <w:sz w:val="22"/>
              </w:rPr>
              <w:t>thrombocytopaenic</w:t>
            </w:r>
            <w:proofErr w:type="spellEnd"/>
            <w:r w:rsidRPr="000E12EB">
              <w:rPr>
                <w:rFonts w:ascii="Times New Roman" w:hAnsi="Times New Roman" w:cs="Times New Roman"/>
                <w:sz w:val="22"/>
              </w:rPr>
              <w:t xml:space="preserve"> purpura</w:t>
            </w:r>
          </w:p>
        </w:tc>
      </w:tr>
      <w:tr w:rsidR="004A10AE" w:rsidRPr="0025669D" w14:paraId="4FB5D7BF" w14:textId="77777777" w:rsidTr="005A4B0D">
        <w:trPr>
          <w:cantSplit/>
        </w:trPr>
        <w:tc>
          <w:tcPr>
            <w:tcW w:w="1786" w:type="pct"/>
          </w:tcPr>
          <w:p w14:paraId="6B3CA343" w14:textId="77777777" w:rsidR="004A10AE" w:rsidRPr="000E12EB" w:rsidRDefault="004A10AE" w:rsidP="007947DB">
            <w:pPr>
              <w:spacing w:after="0" w:line="240" w:lineRule="auto"/>
              <w:jc w:val="left"/>
              <w:rPr>
                <w:rFonts w:ascii="Times New Roman" w:hAnsi="Times New Roman" w:cs="Times New Roman"/>
                <w:sz w:val="22"/>
              </w:rPr>
            </w:pPr>
            <w:r w:rsidRPr="000E12EB">
              <w:rPr>
                <w:rFonts w:ascii="Times New Roman" w:hAnsi="Times New Roman" w:cs="Times New Roman" w:hint="eastAsia"/>
                <w:sz w:val="22"/>
              </w:rPr>
              <w:t>Hepato</w:t>
            </w:r>
            <w:r w:rsidRPr="000E12EB">
              <w:rPr>
                <w:rFonts w:ascii="Times New Roman" w:hAnsi="Times New Roman" w:cs="Times New Roman"/>
                <w:sz w:val="22"/>
              </w:rPr>
              <w:t xml:space="preserve">biliary </w:t>
            </w:r>
            <w:r w:rsidRPr="000E12EB">
              <w:rPr>
                <w:rFonts w:ascii="Times New Roman" w:hAnsi="Times New Roman" w:cs="Times New Roman" w:hint="eastAsia"/>
                <w:sz w:val="22"/>
              </w:rPr>
              <w:t>S</w:t>
            </w:r>
            <w:r w:rsidRPr="000E12EB">
              <w:rPr>
                <w:rFonts w:ascii="Times New Roman" w:hAnsi="Times New Roman" w:cs="Times New Roman"/>
                <w:sz w:val="22"/>
              </w:rPr>
              <w:t>ystem</w:t>
            </w:r>
            <w:r w:rsidRPr="000E12EB">
              <w:rPr>
                <w:rFonts w:ascii="Times New Roman" w:hAnsi="Times New Roman" w:cs="Times New Roman" w:hint="eastAsia"/>
                <w:sz w:val="22"/>
              </w:rPr>
              <w:t xml:space="preserve"> Disorders</w:t>
            </w:r>
          </w:p>
          <w:p w14:paraId="105029CB" w14:textId="77777777" w:rsidR="004A10AE" w:rsidRPr="000E12EB" w:rsidRDefault="004A10AE" w:rsidP="007947DB">
            <w:pPr>
              <w:spacing w:after="0" w:line="240" w:lineRule="auto"/>
              <w:jc w:val="right"/>
              <w:rPr>
                <w:rFonts w:ascii="Times New Roman" w:hAnsi="Times New Roman" w:cs="Times New Roman"/>
                <w:sz w:val="22"/>
              </w:rPr>
            </w:pPr>
            <w:r w:rsidRPr="000E12EB">
              <w:rPr>
                <w:rFonts w:ascii="Times New Roman" w:hAnsi="Times New Roman" w:cs="Times New Roman"/>
                <w:sz w:val="22"/>
              </w:rPr>
              <w:t>Rare:</w:t>
            </w:r>
          </w:p>
          <w:p w14:paraId="6E600C29" w14:textId="77777777" w:rsidR="004A10AE" w:rsidRPr="000E12EB" w:rsidRDefault="004A10AE" w:rsidP="007947DB">
            <w:pPr>
              <w:spacing w:after="0" w:line="240" w:lineRule="auto"/>
              <w:jc w:val="right"/>
              <w:rPr>
                <w:rFonts w:ascii="Times New Roman" w:hAnsi="Times New Roman" w:cs="Times New Roman"/>
                <w:sz w:val="22"/>
              </w:rPr>
            </w:pPr>
          </w:p>
          <w:p w14:paraId="75BF82AB" w14:textId="77777777" w:rsidR="004A10AE" w:rsidRPr="000E12EB" w:rsidRDefault="004A10AE" w:rsidP="007947DB">
            <w:pPr>
              <w:spacing w:after="0" w:line="240" w:lineRule="auto"/>
              <w:jc w:val="right"/>
              <w:rPr>
                <w:rFonts w:ascii="Times New Roman" w:hAnsi="Times New Roman" w:cs="Times New Roman"/>
                <w:sz w:val="22"/>
              </w:rPr>
            </w:pPr>
            <w:r w:rsidRPr="000E12EB">
              <w:rPr>
                <w:rFonts w:ascii="Times New Roman" w:hAnsi="Times New Roman" w:cs="Times New Roman"/>
                <w:sz w:val="22"/>
              </w:rPr>
              <w:t>Very rare:</w:t>
            </w:r>
          </w:p>
        </w:tc>
        <w:tc>
          <w:tcPr>
            <w:tcW w:w="3214" w:type="pct"/>
          </w:tcPr>
          <w:p w14:paraId="4F04CB0A" w14:textId="77777777" w:rsidR="004A10AE" w:rsidRPr="000E12EB" w:rsidRDefault="004A10AE" w:rsidP="007947DB">
            <w:pPr>
              <w:spacing w:after="0" w:line="240" w:lineRule="auto"/>
              <w:jc w:val="left"/>
              <w:rPr>
                <w:rFonts w:ascii="Times New Roman" w:hAnsi="Times New Roman" w:cs="Times New Roman"/>
                <w:sz w:val="22"/>
              </w:rPr>
            </w:pPr>
          </w:p>
          <w:p w14:paraId="05EE0E49" w14:textId="12E486D9" w:rsidR="004A10AE" w:rsidRPr="000E12EB" w:rsidRDefault="004A10AE" w:rsidP="007947DB">
            <w:pPr>
              <w:spacing w:after="0" w:line="240" w:lineRule="auto"/>
              <w:jc w:val="left"/>
              <w:rPr>
                <w:rFonts w:ascii="Times New Roman" w:hAnsi="Times New Roman" w:cs="Times New Roman"/>
                <w:sz w:val="22"/>
              </w:rPr>
            </w:pPr>
            <w:r w:rsidRPr="000E12EB">
              <w:rPr>
                <w:rFonts w:ascii="Times New Roman" w:hAnsi="Times New Roman" w:cs="Times New Roman"/>
                <w:sz w:val="22"/>
              </w:rPr>
              <w:t xml:space="preserve">Hepatitis, hepatitis B reactivation, jaundice, autoimmune hepatitis, liver failure </w:t>
            </w:r>
          </w:p>
          <w:p w14:paraId="18A6BD38" w14:textId="77777777" w:rsidR="004A10AE" w:rsidRPr="000E12EB" w:rsidRDefault="004A10AE" w:rsidP="007947DB">
            <w:pPr>
              <w:spacing w:after="0" w:line="240" w:lineRule="auto"/>
              <w:jc w:val="left"/>
              <w:rPr>
                <w:rFonts w:ascii="Times New Roman" w:hAnsi="Times New Roman" w:cs="Times New Roman"/>
                <w:sz w:val="22"/>
              </w:rPr>
            </w:pPr>
            <w:r w:rsidRPr="000E12EB">
              <w:rPr>
                <w:rFonts w:ascii="Times New Roman" w:hAnsi="Times New Roman" w:cs="Times New Roman"/>
                <w:sz w:val="22"/>
              </w:rPr>
              <w:t xml:space="preserve">Hepatocellular damage, </w:t>
            </w:r>
            <w:proofErr w:type="spellStart"/>
            <w:r w:rsidRPr="000E12EB">
              <w:rPr>
                <w:rFonts w:ascii="Times New Roman" w:hAnsi="Times New Roman" w:cs="Times New Roman"/>
                <w:sz w:val="22"/>
              </w:rPr>
              <w:t>Hepatosplenic</w:t>
            </w:r>
            <w:proofErr w:type="spellEnd"/>
            <w:r w:rsidRPr="000E12EB">
              <w:rPr>
                <w:rFonts w:ascii="Times New Roman" w:hAnsi="Times New Roman" w:cs="Times New Roman"/>
                <w:sz w:val="22"/>
              </w:rPr>
              <w:t xml:space="preserve"> T-cell lymphoma (primarily in adolescents and </w:t>
            </w:r>
            <w:r w:rsidRPr="000E12EB">
              <w:rPr>
                <w:rFonts w:ascii="Times New Roman" w:hAnsi="Times New Roman" w:cs="Times New Roman" w:hint="eastAsia"/>
                <w:sz w:val="22"/>
              </w:rPr>
              <w:t xml:space="preserve">the vast majority in </w:t>
            </w:r>
            <w:r w:rsidRPr="000E12EB">
              <w:rPr>
                <w:rFonts w:ascii="Times New Roman" w:hAnsi="Times New Roman" w:cs="Times New Roman"/>
                <w:sz w:val="22"/>
              </w:rPr>
              <w:t>young adults with Crohn’s disease and ulcerative colitis)</w:t>
            </w:r>
          </w:p>
        </w:tc>
      </w:tr>
      <w:tr w:rsidR="004A10AE" w:rsidRPr="0025669D" w14:paraId="0D31A8CB" w14:textId="77777777" w:rsidTr="005A4B0D">
        <w:trPr>
          <w:cantSplit/>
        </w:trPr>
        <w:tc>
          <w:tcPr>
            <w:tcW w:w="1786" w:type="pct"/>
          </w:tcPr>
          <w:p w14:paraId="0E22A264" w14:textId="77777777" w:rsidR="004A10AE" w:rsidRPr="000E12EB" w:rsidRDefault="004A10AE" w:rsidP="007947DB">
            <w:pPr>
              <w:spacing w:after="0" w:line="240" w:lineRule="auto"/>
              <w:jc w:val="left"/>
              <w:rPr>
                <w:rFonts w:ascii="Times New Roman" w:hAnsi="Times New Roman" w:cs="Times New Roman"/>
                <w:sz w:val="22"/>
              </w:rPr>
            </w:pPr>
            <w:r w:rsidRPr="000E12EB">
              <w:rPr>
                <w:rFonts w:ascii="Times New Roman" w:hAnsi="Times New Roman" w:cs="Times New Roman"/>
                <w:sz w:val="22"/>
              </w:rPr>
              <w:t>Cardi</w:t>
            </w:r>
            <w:r w:rsidRPr="000E12EB">
              <w:rPr>
                <w:rFonts w:ascii="Times New Roman" w:hAnsi="Times New Roman" w:cs="Times New Roman" w:hint="eastAsia"/>
                <w:sz w:val="22"/>
              </w:rPr>
              <w:t>ac Disorders</w:t>
            </w:r>
          </w:p>
          <w:p w14:paraId="2D8F56B6" w14:textId="6A32514F" w:rsidR="005F29C6" w:rsidRDefault="005F29C6" w:rsidP="007947DB">
            <w:pPr>
              <w:spacing w:after="0" w:line="240" w:lineRule="auto"/>
              <w:jc w:val="right"/>
              <w:rPr>
                <w:rFonts w:ascii="Times New Roman" w:hAnsi="Times New Roman" w:cs="Times New Roman"/>
                <w:sz w:val="22"/>
              </w:rPr>
            </w:pPr>
            <w:r>
              <w:rPr>
                <w:rFonts w:ascii="Times New Roman" w:hAnsi="Times New Roman" w:cs="Times New Roman" w:hint="eastAsia"/>
                <w:sz w:val="22"/>
              </w:rPr>
              <w:t>Uncommon:</w:t>
            </w:r>
          </w:p>
          <w:p w14:paraId="6EFE5A5B" w14:textId="1F0C7D36" w:rsidR="005F29C6" w:rsidRDefault="005F29C6" w:rsidP="007947DB">
            <w:pPr>
              <w:spacing w:after="0" w:line="240" w:lineRule="auto"/>
              <w:jc w:val="right"/>
              <w:rPr>
                <w:rFonts w:ascii="Times New Roman" w:hAnsi="Times New Roman" w:cs="Times New Roman"/>
                <w:sz w:val="22"/>
              </w:rPr>
            </w:pPr>
            <w:r>
              <w:rPr>
                <w:rFonts w:ascii="Times New Roman" w:hAnsi="Times New Roman" w:cs="Times New Roman" w:hint="eastAsia"/>
                <w:sz w:val="22"/>
              </w:rPr>
              <w:t>Rare:</w:t>
            </w:r>
          </w:p>
          <w:p w14:paraId="61BC8E4C" w14:textId="77777777" w:rsidR="004A10AE" w:rsidRPr="000E12EB" w:rsidRDefault="004A10AE" w:rsidP="007947DB">
            <w:pPr>
              <w:spacing w:after="0" w:line="240" w:lineRule="auto"/>
              <w:jc w:val="right"/>
              <w:rPr>
                <w:rFonts w:ascii="Times New Roman" w:hAnsi="Times New Roman" w:cs="Times New Roman"/>
                <w:sz w:val="22"/>
              </w:rPr>
            </w:pPr>
            <w:r w:rsidRPr="000E12EB">
              <w:rPr>
                <w:rFonts w:ascii="Times New Roman" w:hAnsi="Times New Roman" w:cs="Times New Roman"/>
                <w:sz w:val="22"/>
              </w:rPr>
              <w:t>Very rare:</w:t>
            </w:r>
          </w:p>
        </w:tc>
        <w:tc>
          <w:tcPr>
            <w:tcW w:w="3214" w:type="pct"/>
          </w:tcPr>
          <w:p w14:paraId="19ABEDC0" w14:textId="77777777" w:rsidR="004A10AE" w:rsidRPr="000E12EB" w:rsidRDefault="004A10AE" w:rsidP="007947DB">
            <w:pPr>
              <w:spacing w:after="0" w:line="240" w:lineRule="auto"/>
              <w:jc w:val="left"/>
              <w:rPr>
                <w:rFonts w:ascii="Times New Roman" w:hAnsi="Times New Roman" w:cs="Times New Roman"/>
                <w:sz w:val="22"/>
              </w:rPr>
            </w:pPr>
          </w:p>
          <w:p w14:paraId="092C6FA8" w14:textId="27663DC2" w:rsidR="005F29C6" w:rsidRDefault="005F29C6" w:rsidP="007947DB">
            <w:pPr>
              <w:spacing w:after="0" w:line="240" w:lineRule="auto"/>
              <w:jc w:val="left"/>
              <w:rPr>
                <w:rFonts w:ascii="Times New Roman" w:hAnsi="Times New Roman" w:cs="Times New Roman"/>
                <w:sz w:val="22"/>
              </w:rPr>
            </w:pPr>
            <w:r>
              <w:rPr>
                <w:rFonts w:ascii="Times New Roman" w:hAnsi="Times New Roman" w:cs="Times New Roman" w:hint="eastAsia"/>
                <w:sz w:val="22"/>
              </w:rPr>
              <w:t>Arrhythmia*</w:t>
            </w:r>
          </w:p>
          <w:p w14:paraId="08C43502" w14:textId="0BC2A4AA" w:rsidR="005F29C6" w:rsidRDefault="005F29C6" w:rsidP="007947DB">
            <w:pPr>
              <w:spacing w:after="0" w:line="240" w:lineRule="auto"/>
              <w:jc w:val="left"/>
              <w:rPr>
                <w:rFonts w:ascii="Times New Roman" w:hAnsi="Times New Roman" w:cs="Times New Roman"/>
                <w:sz w:val="22"/>
              </w:rPr>
            </w:pPr>
            <w:r>
              <w:rPr>
                <w:rFonts w:ascii="Times New Roman" w:hAnsi="Times New Roman" w:cs="Times New Roman"/>
                <w:sz w:val="22"/>
              </w:rPr>
              <w:t>M</w:t>
            </w:r>
            <w:r>
              <w:rPr>
                <w:rFonts w:ascii="Times New Roman" w:hAnsi="Times New Roman" w:cs="Times New Roman" w:hint="eastAsia"/>
                <w:sz w:val="22"/>
              </w:rPr>
              <w:t>yocardial ischemia/myocardial infarction*</w:t>
            </w:r>
          </w:p>
          <w:p w14:paraId="73CCA70E" w14:textId="77777777" w:rsidR="004A10AE" w:rsidRPr="000E12EB" w:rsidRDefault="004A10AE" w:rsidP="007947DB">
            <w:pPr>
              <w:spacing w:after="0" w:line="240" w:lineRule="auto"/>
              <w:jc w:val="left"/>
              <w:rPr>
                <w:rFonts w:ascii="Times New Roman" w:hAnsi="Times New Roman" w:cs="Times New Roman"/>
                <w:sz w:val="22"/>
              </w:rPr>
            </w:pPr>
            <w:r w:rsidRPr="000E12EB">
              <w:rPr>
                <w:rFonts w:ascii="Times New Roman" w:hAnsi="Times New Roman" w:cs="Times New Roman"/>
                <w:sz w:val="22"/>
              </w:rPr>
              <w:t>Pericardial effusion</w:t>
            </w:r>
          </w:p>
        </w:tc>
      </w:tr>
      <w:tr w:rsidR="005F29C6" w:rsidRPr="0025669D" w14:paraId="3DC4828E" w14:textId="77777777" w:rsidTr="005A4B0D">
        <w:trPr>
          <w:cantSplit/>
        </w:trPr>
        <w:tc>
          <w:tcPr>
            <w:tcW w:w="1786" w:type="pct"/>
          </w:tcPr>
          <w:p w14:paraId="36D15043" w14:textId="1700E98B" w:rsidR="005F29C6" w:rsidRDefault="005F29C6" w:rsidP="007947DB">
            <w:pPr>
              <w:spacing w:after="0" w:line="240" w:lineRule="auto"/>
              <w:jc w:val="left"/>
              <w:rPr>
                <w:rFonts w:ascii="Times New Roman" w:hAnsi="Times New Roman" w:cs="Times New Roman"/>
                <w:sz w:val="22"/>
              </w:rPr>
            </w:pPr>
            <w:r>
              <w:rPr>
                <w:rFonts w:ascii="Times New Roman" w:hAnsi="Times New Roman" w:cs="Times New Roman" w:hint="eastAsia"/>
                <w:sz w:val="22"/>
              </w:rPr>
              <w:t>Eye Disorders</w:t>
            </w:r>
          </w:p>
          <w:p w14:paraId="7BBEE713" w14:textId="190C2CC0" w:rsidR="005F29C6" w:rsidRPr="000E12EB" w:rsidRDefault="005F29C6" w:rsidP="005F29C6">
            <w:pPr>
              <w:spacing w:after="0" w:line="240" w:lineRule="auto"/>
              <w:jc w:val="right"/>
              <w:rPr>
                <w:rFonts w:ascii="Times New Roman" w:hAnsi="Times New Roman" w:cs="Times New Roman"/>
                <w:sz w:val="22"/>
              </w:rPr>
            </w:pPr>
            <w:r>
              <w:rPr>
                <w:rFonts w:ascii="Times New Roman" w:hAnsi="Times New Roman" w:cs="Times New Roman" w:hint="eastAsia"/>
                <w:sz w:val="22"/>
              </w:rPr>
              <w:t>Unknown:</w:t>
            </w:r>
          </w:p>
        </w:tc>
        <w:tc>
          <w:tcPr>
            <w:tcW w:w="3214" w:type="pct"/>
          </w:tcPr>
          <w:p w14:paraId="031D7E85" w14:textId="77777777" w:rsidR="005F29C6" w:rsidRDefault="005F29C6" w:rsidP="007947DB">
            <w:pPr>
              <w:spacing w:after="0" w:line="240" w:lineRule="auto"/>
              <w:jc w:val="left"/>
              <w:rPr>
                <w:rFonts w:ascii="Times New Roman" w:hAnsi="Times New Roman" w:cs="Times New Roman"/>
                <w:sz w:val="22"/>
              </w:rPr>
            </w:pPr>
          </w:p>
          <w:p w14:paraId="65B3CCCB" w14:textId="09E2B3DC" w:rsidR="005F29C6" w:rsidRPr="000E12EB" w:rsidRDefault="005F29C6" w:rsidP="007947DB">
            <w:pPr>
              <w:spacing w:after="0" w:line="240" w:lineRule="auto"/>
              <w:jc w:val="left"/>
              <w:rPr>
                <w:rFonts w:ascii="Times New Roman" w:hAnsi="Times New Roman" w:cs="Times New Roman"/>
                <w:sz w:val="22"/>
              </w:rPr>
            </w:pPr>
            <w:r>
              <w:rPr>
                <w:rFonts w:ascii="Times New Roman" w:hAnsi="Times New Roman" w:cs="Times New Roman" w:hint="eastAsia"/>
                <w:sz w:val="22"/>
              </w:rPr>
              <w:t>Transient visual loss</w:t>
            </w:r>
          </w:p>
        </w:tc>
      </w:tr>
      <w:tr w:rsidR="004A10AE" w:rsidRPr="0025669D" w14:paraId="1F222A77" w14:textId="77777777" w:rsidTr="005A4B0D">
        <w:trPr>
          <w:cantSplit/>
        </w:trPr>
        <w:tc>
          <w:tcPr>
            <w:tcW w:w="1786" w:type="pct"/>
          </w:tcPr>
          <w:p w14:paraId="45252C04" w14:textId="77777777" w:rsidR="004A10AE" w:rsidRPr="000E12EB" w:rsidRDefault="004A10AE" w:rsidP="007947DB">
            <w:pPr>
              <w:spacing w:after="0" w:line="240" w:lineRule="auto"/>
              <w:jc w:val="left"/>
              <w:rPr>
                <w:rFonts w:ascii="Times New Roman" w:hAnsi="Times New Roman" w:cs="Times New Roman"/>
                <w:sz w:val="22"/>
              </w:rPr>
            </w:pPr>
            <w:r w:rsidRPr="000E12EB">
              <w:rPr>
                <w:rFonts w:ascii="Times New Roman" w:hAnsi="Times New Roman" w:cs="Times New Roman" w:hint="eastAsia"/>
                <w:sz w:val="22"/>
              </w:rPr>
              <w:t>General Disorders and Administration Site Disorders</w:t>
            </w:r>
          </w:p>
          <w:p w14:paraId="3E167F1A" w14:textId="77777777" w:rsidR="004A10AE" w:rsidRPr="000E12EB" w:rsidRDefault="004A10AE" w:rsidP="007947DB">
            <w:pPr>
              <w:spacing w:after="0" w:line="240" w:lineRule="auto"/>
              <w:jc w:val="right"/>
              <w:rPr>
                <w:rFonts w:ascii="Times New Roman" w:hAnsi="Times New Roman" w:cs="Times New Roman"/>
                <w:sz w:val="22"/>
              </w:rPr>
            </w:pPr>
            <w:r w:rsidRPr="000E12EB">
              <w:rPr>
                <w:rFonts w:ascii="Times New Roman" w:hAnsi="Times New Roman" w:cs="Times New Roman"/>
                <w:sz w:val="22"/>
              </w:rPr>
              <w:t>Common:</w:t>
            </w:r>
          </w:p>
          <w:p w14:paraId="0016E6A2" w14:textId="77777777" w:rsidR="004A10AE" w:rsidRPr="000E12EB" w:rsidRDefault="004A10AE" w:rsidP="007947DB">
            <w:pPr>
              <w:spacing w:after="0" w:line="240" w:lineRule="auto"/>
              <w:jc w:val="right"/>
              <w:rPr>
                <w:rFonts w:ascii="Times New Roman" w:hAnsi="Times New Roman" w:cs="Times New Roman"/>
                <w:sz w:val="22"/>
              </w:rPr>
            </w:pPr>
            <w:r w:rsidRPr="000E12EB">
              <w:rPr>
                <w:rFonts w:ascii="Times New Roman" w:hAnsi="Times New Roman" w:cs="Times New Roman"/>
                <w:sz w:val="22"/>
              </w:rPr>
              <w:t>Uncommon:</w:t>
            </w:r>
          </w:p>
          <w:p w14:paraId="099A94B2" w14:textId="77777777" w:rsidR="004A10AE" w:rsidRPr="000E12EB" w:rsidRDefault="004A10AE" w:rsidP="007947DB">
            <w:pPr>
              <w:spacing w:after="0" w:line="240" w:lineRule="auto"/>
              <w:jc w:val="right"/>
              <w:rPr>
                <w:rFonts w:ascii="Times New Roman" w:hAnsi="Times New Roman" w:cs="Times New Roman"/>
                <w:sz w:val="22"/>
              </w:rPr>
            </w:pPr>
            <w:r w:rsidRPr="000E12EB">
              <w:rPr>
                <w:rFonts w:ascii="Times New Roman" w:hAnsi="Times New Roman" w:cs="Times New Roman"/>
                <w:sz w:val="22"/>
              </w:rPr>
              <w:t>Rare:</w:t>
            </w:r>
          </w:p>
        </w:tc>
        <w:tc>
          <w:tcPr>
            <w:tcW w:w="3214" w:type="pct"/>
          </w:tcPr>
          <w:p w14:paraId="0A471ADB" w14:textId="77777777" w:rsidR="004A10AE" w:rsidRPr="000E12EB" w:rsidRDefault="004A10AE" w:rsidP="007947DB">
            <w:pPr>
              <w:spacing w:after="0" w:line="240" w:lineRule="auto"/>
              <w:jc w:val="left"/>
              <w:rPr>
                <w:rFonts w:ascii="Times New Roman" w:hAnsi="Times New Roman" w:cs="Times New Roman"/>
                <w:sz w:val="22"/>
              </w:rPr>
            </w:pPr>
          </w:p>
          <w:p w14:paraId="64DDE871" w14:textId="77777777" w:rsidR="004A10AE" w:rsidRPr="000E12EB" w:rsidRDefault="004A10AE" w:rsidP="007947DB">
            <w:pPr>
              <w:spacing w:after="0" w:line="240" w:lineRule="auto"/>
              <w:jc w:val="left"/>
              <w:rPr>
                <w:rFonts w:ascii="Times New Roman" w:hAnsi="Times New Roman" w:cs="Times New Roman"/>
                <w:sz w:val="22"/>
              </w:rPr>
            </w:pPr>
          </w:p>
          <w:p w14:paraId="302B1721" w14:textId="77777777" w:rsidR="004A10AE" w:rsidRPr="000E12EB" w:rsidRDefault="004A10AE" w:rsidP="007947DB">
            <w:pPr>
              <w:spacing w:after="0" w:line="240" w:lineRule="auto"/>
              <w:jc w:val="left"/>
              <w:rPr>
                <w:rFonts w:ascii="Times New Roman" w:hAnsi="Times New Roman" w:cs="Times New Roman"/>
                <w:sz w:val="22"/>
              </w:rPr>
            </w:pPr>
            <w:r w:rsidRPr="000E12EB">
              <w:rPr>
                <w:rFonts w:ascii="Times New Roman" w:hAnsi="Times New Roman" w:cs="Times New Roman"/>
                <w:sz w:val="22"/>
              </w:rPr>
              <w:t>Infusion-related reactions</w:t>
            </w:r>
          </w:p>
          <w:p w14:paraId="002319B8" w14:textId="77777777" w:rsidR="004A10AE" w:rsidRPr="000E12EB" w:rsidRDefault="004A10AE" w:rsidP="007947DB">
            <w:pPr>
              <w:spacing w:after="0" w:line="240" w:lineRule="auto"/>
              <w:jc w:val="left"/>
              <w:rPr>
                <w:rFonts w:ascii="Times New Roman" w:hAnsi="Times New Roman" w:cs="Times New Roman"/>
                <w:sz w:val="22"/>
              </w:rPr>
            </w:pPr>
            <w:r w:rsidRPr="000E12EB">
              <w:rPr>
                <w:rFonts w:ascii="Times New Roman" w:hAnsi="Times New Roman" w:cs="Times New Roman"/>
                <w:sz w:val="22"/>
              </w:rPr>
              <w:t>Anaphylactic reactions</w:t>
            </w:r>
          </w:p>
          <w:p w14:paraId="5D9E5B51" w14:textId="77777777" w:rsidR="004A10AE" w:rsidRPr="000E12EB" w:rsidRDefault="004A10AE" w:rsidP="007947DB">
            <w:pPr>
              <w:spacing w:after="0" w:line="240" w:lineRule="auto"/>
              <w:jc w:val="left"/>
              <w:rPr>
                <w:rFonts w:ascii="Times New Roman" w:hAnsi="Times New Roman" w:cs="Times New Roman"/>
                <w:sz w:val="22"/>
              </w:rPr>
            </w:pPr>
            <w:r w:rsidRPr="000E12EB">
              <w:rPr>
                <w:rFonts w:ascii="Times New Roman" w:hAnsi="Times New Roman" w:cs="Times New Roman"/>
                <w:sz w:val="22"/>
              </w:rPr>
              <w:t>Anaphylactic shock, cutaneous and systemic vasculitis</w:t>
            </w:r>
          </w:p>
        </w:tc>
      </w:tr>
      <w:tr w:rsidR="004A10AE" w:rsidRPr="0025669D" w14:paraId="6EFE5713" w14:textId="77777777" w:rsidTr="005A4B0D">
        <w:trPr>
          <w:cantSplit/>
        </w:trPr>
        <w:tc>
          <w:tcPr>
            <w:tcW w:w="1786" w:type="pct"/>
          </w:tcPr>
          <w:p w14:paraId="7CC3D8A4" w14:textId="77777777" w:rsidR="004A10AE" w:rsidRPr="000E12EB" w:rsidRDefault="004A10AE" w:rsidP="007947DB">
            <w:pPr>
              <w:pStyle w:val="BodyText"/>
              <w:spacing w:after="0"/>
              <w:rPr>
                <w:sz w:val="22"/>
                <w:szCs w:val="22"/>
                <w:lang w:eastAsia="ko-KR"/>
              </w:rPr>
            </w:pPr>
            <w:r w:rsidRPr="000E12EB">
              <w:rPr>
                <w:rFonts w:hint="eastAsia"/>
                <w:sz w:val="22"/>
                <w:szCs w:val="22"/>
                <w:lang w:eastAsia="ko-KR"/>
              </w:rPr>
              <w:t>Infections and Infestations</w:t>
            </w:r>
          </w:p>
          <w:p w14:paraId="005AFB60" w14:textId="77777777" w:rsidR="004A10AE" w:rsidRPr="000E12EB" w:rsidRDefault="004A10AE" w:rsidP="007947DB">
            <w:pPr>
              <w:spacing w:after="0" w:line="240" w:lineRule="auto"/>
              <w:jc w:val="right"/>
              <w:rPr>
                <w:rFonts w:ascii="Times New Roman" w:hAnsi="Times New Roman" w:cs="Times New Roman"/>
                <w:sz w:val="22"/>
              </w:rPr>
            </w:pPr>
            <w:r w:rsidRPr="000E12EB">
              <w:rPr>
                <w:rFonts w:ascii="Times New Roman" w:hAnsi="Times New Roman" w:cs="Times New Roman"/>
                <w:sz w:val="22"/>
              </w:rPr>
              <w:t>Rare:</w:t>
            </w:r>
          </w:p>
          <w:p w14:paraId="3D6A45A7" w14:textId="77777777" w:rsidR="004A10AE" w:rsidRPr="000E12EB" w:rsidRDefault="004A10AE" w:rsidP="007947DB">
            <w:pPr>
              <w:spacing w:after="0" w:line="240" w:lineRule="auto"/>
              <w:jc w:val="right"/>
              <w:rPr>
                <w:rFonts w:ascii="Times New Roman" w:hAnsi="Times New Roman" w:cs="Times New Roman"/>
                <w:sz w:val="22"/>
              </w:rPr>
            </w:pPr>
          </w:p>
          <w:p w14:paraId="30FEDEDA" w14:textId="77777777" w:rsidR="004A10AE" w:rsidRPr="000E12EB" w:rsidRDefault="004A10AE" w:rsidP="007947DB">
            <w:pPr>
              <w:spacing w:after="0" w:line="240" w:lineRule="auto"/>
              <w:jc w:val="right"/>
              <w:rPr>
                <w:rFonts w:ascii="Times New Roman" w:hAnsi="Times New Roman" w:cs="Times New Roman"/>
                <w:sz w:val="22"/>
              </w:rPr>
            </w:pPr>
          </w:p>
          <w:p w14:paraId="3CB8287D" w14:textId="77777777" w:rsidR="004A10AE" w:rsidRPr="000E12EB" w:rsidRDefault="004A10AE" w:rsidP="007947DB">
            <w:pPr>
              <w:spacing w:after="0" w:line="240" w:lineRule="auto"/>
              <w:jc w:val="right"/>
              <w:rPr>
                <w:rFonts w:ascii="Times New Roman" w:hAnsi="Times New Roman" w:cs="Times New Roman"/>
                <w:sz w:val="22"/>
              </w:rPr>
            </w:pPr>
          </w:p>
          <w:p w14:paraId="7FF60E56" w14:textId="77777777" w:rsidR="004A10AE" w:rsidRPr="000E12EB" w:rsidRDefault="004A10AE" w:rsidP="007947DB">
            <w:pPr>
              <w:spacing w:after="0" w:line="240" w:lineRule="auto"/>
              <w:jc w:val="right"/>
              <w:rPr>
                <w:rFonts w:ascii="Times New Roman" w:hAnsi="Times New Roman" w:cs="Times New Roman"/>
                <w:sz w:val="22"/>
              </w:rPr>
            </w:pPr>
          </w:p>
          <w:p w14:paraId="1D90EBA9" w14:textId="77777777" w:rsidR="004A10AE" w:rsidRPr="000E12EB" w:rsidRDefault="004A10AE" w:rsidP="007947DB">
            <w:pPr>
              <w:spacing w:after="0" w:line="240" w:lineRule="auto"/>
              <w:jc w:val="right"/>
              <w:rPr>
                <w:rFonts w:ascii="Times New Roman" w:hAnsi="Times New Roman" w:cs="Times New Roman"/>
                <w:sz w:val="22"/>
              </w:rPr>
            </w:pPr>
            <w:r w:rsidRPr="000E12EB">
              <w:rPr>
                <w:rFonts w:ascii="Times New Roman" w:hAnsi="Times New Roman" w:cs="Times New Roman"/>
                <w:sz w:val="22"/>
              </w:rPr>
              <w:t>Very rare:</w:t>
            </w:r>
          </w:p>
        </w:tc>
        <w:tc>
          <w:tcPr>
            <w:tcW w:w="3214" w:type="pct"/>
          </w:tcPr>
          <w:p w14:paraId="5BAD73F5" w14:textId="77777777" w:rsidR="004A10AE" w:rsidRPr="000E12EB" w:rsidRDefault="004A10AE" w:rsidP="007947DB">
            <w:pPr>
              <w:spacing w:after="0" w:line="240" w:lineRule="auto"/>
              <w:jc w:val="left"/>
              <w:rPr>
                <w:rFonts w:ascii="Times New Roman" w:hAnsi="Times New Roman" w:cs="Times New Roman"/>
                <w:sz w:val="22"/>
              </w:rPr>
            </w:pPr>
          </w:p>
          <w:p w14:paraId="2846555F" w14:textId="3AE00BF4" w:rsidR="004A10AE" w:rsidRPr="000E12EB" w:rsidRDefault="004A10AE" w:rsidP="007947DB">
            <w:pPr>
              <w:spacing w:after="0" w:line="240" w:lineRule="auto"/>
              <w:jc w:val="left"/>
              <w:rPr>
                <w:rFonts w:ascii="Times New Roman" w:hAnsi="Times New Roman" w:cs="Times New Roman"/>
                <w:sz w:val="22"/>
              </w:rPr>
            </w:pPr>
            <w:r w:rsidRPr="000E12EB">
              <w:rPr>
                <w:rFonts w:ascii="Times New Roman" w:hAnsi="Times New Roman" w:cs="Times New Roman"/>
                <w:sz w:val="22"/>
              </w:rPr>
              <w:t xml:space="preserve">Opportunistic infections such as atypical mycobacteria, tuberculosis, pneumocystis </w:t>
            </w:r>
            <w:proofErr w:type="spellStart"/>
            <w:r w:rsidRPr="000E12EB">
              <w:rPr>
                <w:rFonts w:ascii="Times New Roman" w:hAnsi="Times New Roman" w:cs="Times New Roman"/>
                <w:sz w:val="22"/>
              </w:rPr>
              <w:t>carinii</w:t>
            </w:r>
            <w:proofErr w:type="spellEnd"/>
            <w:r w:rsidRPr="000E12EB">
              <w:rPr>
                <w:rFonts w:ascii="Times New Roman" w:hAnsi="Times New Roman" w:cs="Times New Roman"/>
                <w:sz w:val="22"/>
              </w:rPr>
              <w:t xml:space="preserve"> pneumonia (PCP), histoplasmosis, </w:t>
            </w:r>
            <w:proofErr w:type="spellStart"/>
            <w:r w:rsidRPr="000E12EB">
              <w:rPr>
                <w:rFonts w:ascii="Times New Roman" w:hAnsi="Times New Roman" w:cs="Times New Roman"/>
                <w:sz w:val="22"/>
              </w:rPr>
              <w:t>coccidioidomycosis</w:t>
            </w:r>
            <w:proofErr w:type="spellEnd"/>
            <w:r w:rsidRPr="000E12EB">
              <w:rPr>
                <w:rFonts w:ascii="Times New Roman" w:hAnsi="Times New Roman" w:cs="Times New Roman"/>
                <w:sz w:val="22"/>
              </w:rPr>
              <w:t xml:space="preserve">, </w:t>
            </w:r>
            <w:proofErr w:type="spellStart"/>
            <w:r w:rsidRPr="000E12EB">
              <w:rPr>
                <w:rFonts w:ascii="Times New Roman" w:hAnsi="Times New Roman" w:cs="Times New Roman"/>
                <w:sz w:val="22"/>
              </w:rPr>
              <w:t>cryptococcosis</w:t>
            </w:r>
            <w:proofErr w:type="spellEnd"/>
            <w:r w:rsidRPr="000E12EB">
              <w:rPr>
                <w:rFonts w:ascii="Times New Roman" w:hAnsi="Times New Roman" w:cs="Times New Roman"/>
                <w:sz w:val="22"/>
              </w:rPr>
              <w:t xml:space="preserve">, aspergillosis, </w:t>
            </w:r>
            <w:proofErr w:type="spellStart"/>
            <w:r w:rsidRPr="000E12EB">
              <w:rPr>
                <w:rFonts w:ascii="Times New Roman" w:hAnsi="Times New Roman" w:cs="Times New Roman"/>
                <w:sz w:val="22"/>
              </w:rPr>
              <w:t>listeriosis</w:t>
            </w:r>
            <w:proofErr w:type="spellEnd"/>
            <w:r w:rsidRPr="000E12EB">
              <w:rPr>
                <w:rFonts w:ascii="Times New Roman" w:hAnsi="Times New Roman" w:cs="Times New Roman"/>
                <w:sz w:val="22"/>
              </w:rPr>
              <w:t xml:space="preserve">, candidiasis, </w:t>
            </w:r>
            <w:r w:rsidRPr="005F29C6">
              <w:rPr>
                <w:rFonts w:ascii="Times New Roman" w:hAnsi="Times New Roman" w:cs="Times New Roman"/>
                <w:iCs/>
                <w:sz w:val="22"/>
              </w:rPr>
              <w:t>and vaccine</w:t>
            </w:r>
            <w:r w:rsidRPr="000E12EB">
              <w:rPr>
                <w:rFonts w:ascii="Times New Roman" w:hAnsi="Times New Roman" w:cs="Times New Roman"/>
                <w:i/>
                <w:iCs/>
                <w:sz w:val="22"/>
              </w:rPr>
              <w:t xml:space="preserve"> </w:t>
            </w:r>
            <w:r w:rsidRPr="005F29C6">
              <w:rPr>
                <w:rFonts w:ascii="Times New Roman" w:hAnsi="Times New Roman" w:cs="Times New Roman"/>
                <w:iCs/>
                <w:sz w:val="22"/>
              </w:rPr>
              <w:t xml:space="preserve">breakthrough infection (after </w:t>
            </w:r>
            <w:r w:rsidRPr="005F29C6">
              <w:rPr>
                <w:rFonts w:ascii="Times New Roman" w:hAnsi="Times New Roman" w:cs="Times New Roman"/>
                <w:i/>
                <w:iCs/>
                <w:sz w:val="22"/>
              </w:rPr>
              <w:t>in utero</w:t>
            </w:r>
            <w:r w:rsidR="005F29C6">
              <w:rPr>
                <w:rFonts w:ascii="Times New Roman" w:hAnsi="Times New Roman" w:cs="Times New Roman" w:hint="eastAsia"/>
                <w:iCs/>
                <w:sz w:val="22"/>
              </w:rPr>
              <w:t>)</w:t>
            </w:r>
            <w:r w:rsidRPr="005F29C6">
              <w:rPr>
                <w:rFonts w:ascii="Times New Roman" w:hAnsi="Times New Roman" w:cs="Times New Roman"/>
                <w:iCs/>
                <w:sz w:val="22"/>
              </w:rPr>
              <w:t xml:space="preserve"> exposure to infliximab*</w:t>
            </w:r>
            <w:r w:rsidR="005F29C6" w:rsidRPr="005F29C6">
              <w:rPr>
                <w:rFonts w:ascii="Times New Roman" w:hAnsi="Times New Roman" w:cs="Times New Roman" w:hint="eastAsia"/>
                <w:iCs/>
                <w:sz w:val="22"/>
              </w:rPr>
              <w:t>*</w:t>
            </w:r>
          </w:p>
          <w:p w14:paraId="2D45EF69" w14:textId="77777777" w:rsidR="004A10AE" w:rsidRPr="000E12EB" w:rsidRDefault="004A10AE" w:rsidP="007947DB">
            <w:pPr>
              <w:spacing w:after="0" w:line="240" w:lineRule="auto"/>
              <w:jc w:val="left"/>
              <w:rPr>
                <w:rFonts w:ascii="Times New Roman" w:hAnsi="Times New Roman" w:cs="Times New Roman"/>
                <w:sz w:val="22"/>
              </w:rPr>
            </w:pPr>
            <w:r w:rsidRPr="000E12EB">
              <w:rPr>
                <w:rFonts w:ascii="Times New Roman" w:hAnsi="Times New Roman" w:cs="Times New Roman"/>
                <w:sz w:val="22"/>
              </w:rPr>
              <w:t>Salmonellosis</w:t>
            </w:r>
          </w:p>
        </w:tc>
      </w:tr>
      <w:tr w:rsidR="004A10AE" w:rsidRPr="0025669D" w14:paraId="31257B4F" w14:textId="77777777" w:rsidTr="005A4B0D">
        <w:trPr>
          <w:cantSplit/>
        </w:trPr>
        <w:tc>
          <w:tcPr>
            <w:tcW w:w="1786" w:type="pct"/>
          </w:tcPr>
          <w:p w14:paraId="2E5F5C21" w14:textId="77777777" w:rsidR="004A10AE" w:rsidRDefault="004A10AE" w:rsidP="007947DB">
            <w:pPr>
              <w:pStyle w:val="BodyText"/>
              <w:spacing w:after="0"/>
              <w:rPr>
                <w:sz w:val="22"/>
                <w:szCs w:val="22"/>
                <w:lang w:eastAsia="ko-KR"/>
              </w:rPr>
            </w:pPr>
            <w:r w:rsidRPr="0025669D">
              <w:rPr>
                <w:sz w:val="22"/>
                <w:szCs w:val="22"/>
              </w:rPr>
              <w:t>Respiratory</w:t>
            </w:r>
            <w:r>
              <w:rPr>
                <w:rFonts w:hint="eastAsia"/>
                <w:sz w:val="22"/>
                <w:szCs w:val="22"/>
                <w:lang w:eastAsia="ko-KR"/>
              </w:rPr>
              <w:t>, Thoracic and Mediastinal Disorders</w:t>
            </w:r>
            <w:r w:rsidRPr="0025669D">
              <w:rPr>
                <w:sz w:val="22"/>
                <w:szCs w:val="22"/>
              </w:rPr>
              <w:t xml:space="preserve">                          </w:t>
            </w:r>
          </w:p>
          <w:p w14:paraId="1B5E2AF1" w14:textId="77777777" w:rsidR="004A10AE" w:rsidRPr="0025669D" w:rsidRDefault="004A10AE" w:rsidP="007947DB">
            <w:pPr>
              <w:pStyle w:val="BodyText"/>
              <w:spacing w:after="0"/>
              <w:jc w:val="right"/>
              <w:rPr>
                <w:sz w:val="22"/>
                <w:szCs w:val="22"/>
              </w:rPr>
            </w:pPr>
            <w:r w:rsidRPr="0025669D">
              <w:rPr>
                <w:sz w:val="22"/>
                <w:szCs w:val="22"/>
              </w:rPr>
              <w:t>Rare:</w:t>
            </w:r>
          </w:p>
        </w:tc>
        <w:tc>
          <w:tcPr>
            <w:tcW w:w="3214" w:type="pct"/>
          </w:tcPr>
          <w:p w14:paraId="06A227EF" w14:textId="77777777" w:rsidR="004A10AE" w:rsidRDefault="004A10AE" w:rsidP="007947DB">
            <w:pPr>
              <w:spacing w:after="0" w:line="240" w:lineRule="auto"/>
              <w:jc w:val="left"/>
              <w:rPr>
                <w:rFonts w:ascii="Times New Roman" w:hAnsi="Times New Roman" w:cs="Times New Roman"/>
                <w:sz w:val="22"/>
              </w:rPr>
            </w:pPr>
          </w:p>
          <w:p w14:paraId="15E2C123" w14:textId="77777777" w:rsidR="004A10AE" w:rsidRDefault="004A10AE" w:rsidP="007947DB">
            <w:pPr>
              <w:spacing w:after="0" w:line="240" w:lineRule="auto"/>
              <w:jc w:val="left"/>
              <w:rPr>
                <w:rFonts w:ascii="Times New Roman" w:hAnsi="Times New Roman" w:cs="Times New Roman"/>
                <w:sz w:val="22"/>
              </w:rPr>
            </w:pPr>
          </w:p>
          <w:p w14:paraId="37180FDE" w14:textId="77777777" w:rsidR="004A10AE" w:rsidRPr="0025669D" w:rsidRDefault="004A10AE" w:rsidP="007947DB">
            <w:pPr>
              <w:spacing w:after="0" w:line="240" w:lineRule="auto"/>
              <w:jc w:val="left"/>
              <w:rPr>
                <w:rFonts w:ascii="Times New Roman" w:hAnsi="Times New Roman" w:cs="Times New Roman"/>
                <w:sz w:val="22"/>
              </w:rPr>
            </w:pPr>
            <w:r w:rsidRPr="0025669D">
              <w:rPr>
                <w:rFonts w:ascii="Times New Roman" w:hAnsi="Times New Roman" w:cs="Times New Roman"/>
                <w:sz w:val="22"/>
              </w:rPr>
              <w:t>Interstitial pneumonitis/fibrosis</w:t>
            </w:r>
          </w:p>
        </w:tc>
      </w:tr>
      <w:tr w:rsidR="004A10AE" w:rsidRPr="0025669D" w14:paraId="38D32A11" w14:textId="77777777" w:rsidTr="005A4B0D">
        <w:trPr>
          <w:cantSplit/>
        </w:trPr>
        <w:tc>
          <w:tcPr>
            <w:tcW w:w="1786" w:type="pct"/>
          </w:tcPr>
          <w:p w14:paraId="05F8605E" w14:textId="77777777" w:rsidR="004A10AE" w:rsidRDefault="004A10AE" w:rsidP="007947DB">
            <w:pPr>
              <w:pStyle w:val="BodyText"/>
              <w:spacing w:after="0"/>
              <w:rPr>
                <w:sz w:val="22"/>
                <w:szCs w:val="22"/>
                <w:lang w:eastAsia="ko-KR"/>
              </w:rPr>
            </w:pPr>
            <w:r>
              <w:rPr>
                <w:rFonts w:hint="eastAsia"/>
                <w:sz w:val="22"/>
                <w:szCs w:val="22"/>
                <w:lang w:eastAsia="ko-KR"/>
              </w:rPr>
              <w:t>Neoplasm Benign and Malignant</w:t>
            </w:r>
          </w:p>
          <w:p w14:paraId="2495A162" w14:textId="77777777" w:rsidR="004A10AE" w:rsidRDefault="004A10AE" w:rsidP="007947DB">
            <w:pPr>
              <w:pStyle w:val="BodyText"/>
              <w:spacing w:after="0"/>
              <w:jc w:val="right"/>
              <w:rPr>
                <w:sz w:val="22"/>
                <w:szCs w:val="22"/>
                <w:lang w:eastAsia="ko-KR"/>
              </w:rPr>
            </w:pPr>
            <w:r>
              <w:rPr>
                <w:rFonts w:hint="eastAsia"/>
                <w:sz w:val="22"/>
                <w:szCs w:val="22"/>
                <w:lang w:eastAsia="ko-KR"/>
              </w:rPr>
              <w:t>Rare:</w:t>
            </w:r>
          </w:p>
          <w:p w14:paraId="1B5CFF06" w14:textId="77777777" w:rsidR="004A10AE" w:rsidRDefault="004A10AE" w:rsidP="007947DB">
            <w:pPr>
              <w:pStyle w:val="BodyText"/>
              <w:spacing w:after="0"/>
              <w:jc w:val="right"/>
              <w:rPr>
                <w:sz w:val="22"/>
                <w:szCs w:val="22"/>
                <w:lang w:eastAsia="ko-KR"/>
              </w:rPr>
            </w:pPr>
            <w:r>
              <w:rPr>
                <w:rFonts w:hint="eastAsia"/>
                <w:sz w:val="22"/>
                <w:szCs w:val="22"/>
                <w:lang w:eastAsia="ko-KR"/>
              </w:rPr>
              <w:t>Very rare:</w:t>
            </w:r>
          </w:p>
          <w:p w14:paraId="59B05B86" w14:textId="77777777" w:rsidR="004A10AE" w:rsidRDefault="004A10AE" w:rsidP="007947DB">
            <w:pPr>
              <w:pStyle w:val="BodyText"/>
              <w:spacing w:after="0"/>
              <w:jc w:val="right"/>
              <w:rPr>
                <w:sz w:val="22"/>
                <w:szCs w:val="22"/>
                <w:lang w:eastAsia="ko-KR"/>
              </w:rPr>
            </w:pPr>
            <w:r>
              <w:rPr>
                <w:rFonts w:hint="eastAsia"/>
                <w:sz w:val="22"/>
                <w:szCs w:val="22"/>
                <w:lang w:eastAsia="ko-KR"/>
              </w:rPr>
              <w:t>Frequency unknown:</w:t>
            </w:r>
          </w:p>
        </w:tc>
        <w:tc>
          <w:tcPr>
            <w:tcW w:w="3214" w:type="pct"/>
          </w:tcPr>
          <w:p w14:paraId="5DB4156B" w14:textId="77777777" w:rsidR="004A10AE" w:rsidRDefault="004A10AE" w:rsidP="007947DB">
            <w:pPr>
              <w:spacing w:after="0" w:line="240" w:lineRule="auto"/>
              <w:jc w:val="left"/>
              <w:rPr>
                <w:rFonts w:ascii="Times New Roman" w:hAnsi="Times New Roman" w:cs="Times New Roman"/>
                <w:sz w:val="22"/>
              </w:rPr>
            </w:pPr>
          </w:p>
          <w:p w14:paraId="60A69FBB" w14:textId="1AA5DC64" w:rsidR="004A10AE" w:rsidRDefault="004A10AE" w:rsidP="007947DB">
            <w:pPr>
              <w:spacing w:after="0" w:line="240" w:lineRule="auto"/>
              <w:jc w:val="left"/>
              <w:rPr>
                <w:rFonts w:ascii="Times New Roman" w:hAnsi="Times New Roman" w:cs="Times New Roman"/>
                <w:sz w:val="22"/>
              </w:rPr>
            </w:pPr>
            <w:r>
              <w:rPr>
                <w:rFonts w:ascii="Times New Roman" w:hAnsi="Times New Roman" w:cs="Times New Roman" w:hint="eastAsia"/>
                <w:sz w:val="22"/>
              </w:rPr>
              <w:t>Melanoma</w:t>
            </w:r>
            <w:r w:rsidR="005F29C6">
              <w:rPr>
                <w:rFonts w:ascii="Times New Roman" w:hAnsi="Times New Roman" w:cs="Times New Roman" w:hint="eastAsia"/>
                <w:sz w:val="22"/>
              </w:rPr>
              <w:t xml:space="preserve">, </w:t>
            </w:r>
            <w:proofErr w:type="spellStart"/>
            <w:r w:rsidR="005F29C6">
              <w:rPr>
                <w:rFonts w:ascii="Times New Roman" w:hAnsi="Times New Roman" w:cs="Times New Roman" w:hint="eastAsia"/>
                <w:sz w:val="22"/>
              </w:rPr>
              <w:t>leukaemia</w:t>
            </w:r>
            <w:proofErr w:type="spellEnd"/>
          </w:p>
          <w:p w14:paraId="734ABE6B" w14:textId="77777777" w:rsidR="004A10AE" w:rsidRDefault="004A10AE" w:rsidP="007947DB">
            <w:pPr>
              <w:spacing w:after="0" w:line="240" w:lineRule="auto"/>
              <w:jc w:val="left"/>
              <w:rPr>
                <w:rFonts w:ascii="Times New Roman" w:hAnsi="Times New Roman" w:cs="Times New Roman"/>
                <w:sz w:val="22"/>
              </w:rPr>
            </w:pPr>
            <w:r>
              <w:rPr>
                <w:rFonts w:ascii="Times New Roman" w:hAnsi="Times New Roman" w:cs="Times New Roman" w:hint="eastAsia"/>
                <w:sz w:val="22"/>
              </w:rPr>
              <w:t>Merkel cell carcinoma</w:t>
            </w:r>
          </w:p>
          <w:p w14:paraId="157807E2" w14:textId="680499C7" w:rsidR="004A10AE" w:rsidRDefault="004A10AE" w:rsidP="007947DB">
            <w:pPr>
              <w:spacing w:after="0" w:line="240" w:lineRule="auto"/>
              <w:jc w:val="left"/>
              <w:rPr>
                <w:rFonts w:ascii="Times New Roman" w:hAnsi="Times New Roman" w:cs="Times New Roman"/>
                <w:sz w:val="22"/>
              </w:rPr>
            </w:pPr>
            <w:r>
              <w:rPr>
                <w:rFonts w:ascii="Times New Roman" w:hAnsi="Times New Roman" w:cs="Times New Roman" w:hint="eastAsia"/>
                <w:sz w:val="22"/>
              </w:rPr>
              <w:t>Basal cell carcinoma, squamous cell carcinoma</w:t>
            </w:r>
            <w:r w:rsidR="005F3A08">
              <w:rPr>
                <w:rFonts w:ascii="Times New Roman" w:hAnsi="Times New Roman" w:cs="Times New Roman" w:hint="eastAsia"/>
                <w:sz w:val="22"/>
              </w:rPr>
              <w:t>, cervical cancer</w:t>
            </w:r>
            <w:r w:rsidR="005F29C6">
              <w:rPr>
                <w:rFonts w:ascii="Times New Roman" w:hAnsi="Times New Roman" w:cs="Times New Roman" w:hint="eastAsia"/>
                <w:sz w:val="22"/>
              </w:rPr>
              <w:t xml:space="preserve">, </w:t>
            </w:r>
            <w:proofErr w:type="spellStart"/>
            <w:r w:rsidR="005F29C6">
              <w:rPr>
                <w:rFonts w:ascii="Times New Roman" w:hAnsi="Times New Roman" w:cs="Times New Roman" w:hint="eastAsia"/>
                <w:sz w:val="22"/>
              </w:rPr>
              <w:t>paediatric</w:t>
            </w:r>
            <w:proofErr w:type="spellEnd"/>
            <w:r w:rsidR="005F29C6">
              <w:rPr>
                <w:rFonts w:ascii="Times New Roman" w:hAnsi="Times New Roman" w:cs="Times New Roman" w:hint="eastAsia"/>
                <w:sz w:val="22"/>
              </w:rPr>
              <w:t xml:space="preserve"> malignancy</w:t>
            </w:r>
          </w:p>
        </w:tc>
      </w:tr>
      <w:tr w:rsidR="005F29C6" w:rsidRPr="0025669D" w14:paraId="1D466C3E" w14:textId="77777777" w:rsidTr="005A4B0D">
        <w:trPr>
          <w:cantSplit/>
        </w:trPr>
        <w:tc>
          <w:tcPr>
            <w:tcW w:w="1786" w:type="pct"/>
          </w:tcPr>
          <w:p w14:paraId="33D66E8F" w14:textId="77777777" w:rsidR="005F29C6" w:rsidRDefault="005F29C6" w:rsidP="007947DB">
            <w:pPr>
              <w:pStyle w:val="BodyText"/>
              <w:spacing w:after="0"/>
              <w:rPr>
                <w:sz w:val="22"/>
                <w:szCs w:val="22"/>
                <w:lang w:eastAsia="ko-KR"/>
              </w:rPr>
            </w:pPr>
            <w:r>
              <w:rPr>
                <w:rFonts w:hint="eastAsia"/>
                <w:sz w:val="22"/>
                <w:szCs w:val="22"/>
                <w:lang w:eastAsia="ko-KR"/>
              </w:rPr>
              <w:t>Skin and Subcutaneous Tissue Disorders</w:t>
            </w:r>
          </w:p>
          <w:p w14:paraId="31BAC126" w14:textId="445C36AC" w:rsidR="005F29C6" w:rsidRDefault="005F29C6" w:rsidP="005F29C6">
            <w:pPr>
              <w:pStyle w:val="BodyText"/>
              <w:spacing w:after="0"/>
              <w:jc w:val="right"/>
              <w:rPr>
                <w:sz w:val="22"/>
                <w:szCs w:val="22"/>
                <w:lang w:eastAsia="ko-KR"/>
              </w:rPr>
            </w:pPr>
            <w:r>
              <w:rPr>
                <w:rFonts w:hint="eastAsia"/>
                <w:sz w:val="22"/>
                <w:szCs w:val="22"/>
                <w:lang w:eastAsia="ko-KR"/>
              </w:rPr>
              <w:t>Rare:</w:t>
            </w:r>
          </w:p>
        </w:tc>
        <w:tc>
          <w:tcPr>
            <w:tcW w:w="3214" w:type="pct"/>
          </w:tcPr>
          <w:p w14:paraId="47385470" w14:textId="77777777" w:rsidR="005F29C6" w:rsidRDefault="005F29C6" w:rsidP="007947DB">
            <w:pPr>
              <w:spacing w:after="0" w:line="240" w:lineRule="auto"/>
              <w:jc w:val="left"/>
              <w:rPr>
                <w:rFonts w:ascii="Times New Roman" w:hAnsi="Times New Roman" w:cs="Times New Roman"/>
                <w:sz w:val="22"/>
              </w:rPr>
            </w:pPr>
          </w:p>
          <w:p w14:paraId="570C276D" w14:textId="77777777" w:rsidR="005F29C6" w:rsidRDefault="005F29C6" w:rsidP="007947DB">
            <w:pPr>
              <w:spacing w:after="0" w:line="240" w:lineRule="auto"/>
              <w:jc w:val="left"/>
              <w:rPr>
                <w:rFonts w:ascii="Times New Roman" w:hAnsi="Times New Roman" w:cs="Times New Roman"/>
                <w:sz w:val="22"/>
              </w:rPr>
            </w:pPr>
          </w:p>
          <w:p w14:paraId="6490ACEA" w14:textId="0851592B" w:rsidR="005F29C6" w:rsidRDefault="005F29C6" w:rsidP="007947DB">
            <w:pPr>
              <w:spacing w:after="0" w:line="240" w:lineRule="auto"/>
              <w:jc w:val="left"/>
              <w:rPr>
                <w:rFonts w:ascii="Times New Roman" w:hAnsi="Times New Roman" w:cs="Times New Roman"/>
                <w:sz w:val="22"/>
              </w:rPr>
            </w:pPr>
            <w:r>
              <w:rPr>
                <w:rFonts w:ascii="Times New Roman" w:hAnsi="Times New Roman" w:cs="Times New Roman" w:hint="eastAsia"/>
                <w:sz w:val="22"/>
              </w:rPr>
              <w:t xml:space="preserve">Toxic epidermal necrolysis, Stevens-Johnson syndrome, erythema </w:t>
            </w:r>
            <w:proofErr w:type="spellStart"/>
            <w:r>
              <w:rPr>
                <w:rFonts w:ascii="Times New Roman" w:hAnsi="Times New Roman" w:cs="Times New Roman" w:hint="eastAsia"/>
                <w:sz w:val="22"/>
              </w:rPr>
              <w:t>multiforme</w:t>
            </w:r>
            <w:proofErr w:type="spellEnd"/>
          </w:p>
        </w:tc>
      </w:tr>
    </w:tbl>
    <w:p w14:paraId="312645FA" w14:textId="45EBB1D8" w:rsidR="00BD3350" w:rsidRDefault="00BD3350" w:rsidP="00BD3350">
      <w:pPr>
        <w:spacing w:after="0" w:line="240" w:lineRule="auto"/>
        <w:jc w:val="left"/>
        <w:rPr>
          <w:rFonts w:ascii="Times New Roman" w:hAnsi="Times New Roman" w:cs="Times New Roman"/>
          <w:i/>
          <w:iCs/>
          <w:szCs w:val="20"/>
        </w:rPr>
      </w:pPr>
      <w:r>
        <w:rPr>
          <w:rFonts w:ascii="Times New Roman" w:hAnsi="Times New Roman" w:cs="Times New Roman" w:hint="eastAsia"/>
          <w:i/>
          <w:iCs/>
          <w:szCs w:val="20"/>
        </w:rPr>
        <w:t>* Within 24 hours</w:t>
      </w:r>
    </w:p>
    <w:p w14:paraId="18019429" w14:textId="7E1288E7" w:rsidR="004A10AE" w:rsidRDefault="004A10AE" w:rsidP="00BD3350">
      <w:pPr>
        <w:spacing w:after="0" w:line="240" w:lineRule="auto"/>
        <w:jc w:val="left"/>
        <w:rPr>
          <w:rFonts w:ascii="Times New Roman" w:hAnsi="Times New Roman" w:cs="Times New Roman"/>
          <w:i/>
          <w:iCs/>
          <w:szCs w:val="20"/>
        </w:rPr>
      </w:pPr>
      <w:r w:rsidRPr="002C1FFC">
        <w:rPr>
          <w:rFonts w:ascii="Times New Roman" w:hAnsi="Times New Roman" w:cs="Times New Roman"/>
          <w:i/>
          <w:iCs/>
          <w:szCs w:val="20"/>
        </w:rPr>
        <w:t>*</w:t>
      </w:r>
      <w:r w:rsidR="00BD3350">
        <w:rPr>
          <w:rFonts w:ascii="Times New Roman" w:hAnsi="Times New Roman" w:cs="Times New Roman" w:hint="eastAsia"/>
          <w:i/>
          <w:iCs/>
          <w:szCs w:val="20"/>
        </w:rPr>
        <w:t>*</w:t>
      </w:r>
      <w:r w:rsidRPr="002C1FFC">
        <w:rPr>
          <w:rFonts w:ascii="Times New Roman" w:hAnsi="Times New Roman" w:cs="Times New Roman"/>
          <w:i/>
          <w:iCs/>
          <w:szCs w:val="20"/>
        </w:rPr>
        <w:t xml:space="preserve"> including bovine tuberculosis [disseminated BCG infection (see PRECAUTIONS – Live Vaccines/Therapeutic Infectious Agents)].</w:t>
      </w:r>
    </w:p>
    <w:p w14:paraId="38523408" w14:textId="77777777" w:rsidR="00BD3350" w:rsidRPr="002C1FFC" w:rsidRDefault="00BD3350" w:rsidP="00BD3350">
      <w:pPr>
        <w:spacing w:after="0" w:line="240" w:lineRule="auto"/>
        <w:jc w:val="left"/>
        <w:rPr>
          <w:rFonts w:ascii="Times New Roman" w:hAnsi="Times New Roman" w:cs="Times New Roman"/>
          <w:szCs w:val="20"/>
        </w:rPr>
      </w:pPr>
    </w:p>
    <w:p w14:paraId="44A2F35E" w14:textId="77777777" w:rsidR="00BD3350" w:rsidRDefault="004A10AE" w:rsidP="00BD3350">
      <w:pPr>
        <w:spacing w:after="0" w:line="240" w:lineRule="auto"/>
        <w:jc w:val="left"/>
        <w:rPr>
          <w:rFonts w:ascii="Times New Roman" w:hAnsi="Times New Roman" w:cs="Times New Roman"/>
          <w:b/>
          <w:sz w:val="24"/>
          <w:szCs w:val="24"/>
        </w:rPr>
      </w:pPr>
      <w:r w:rsidRPr="0025669D">
        <w:rPr>
          <w:rFonts w:ascii="Times New Roman" w:hAnsi="Times New Roman" w:cs="Times New Roman"/>
          <w:sz w:val="24"/>
          <w:szCs w:val="24"/>
        </w:rPr>
        <w:t>Post-marketing reports:</w:t>
      </w:r>
      <w:r w:rsidRPr="0025669D">
        <w:rPr>
          <w:rFonts w:ascii="Times New Roman" w:hAnsi="Times New Roman" w:cs="Times New Roman"/>
          <w:b/>
          <w:sz w:val="24"/>
          <w:szCs w:val="24"/>
        </w:rPr>
        <w:t xml:space="preserve"> </w:t>
      </w:r>
    </w:p>
    <w:p w14:paraId="566D8E59" w14:textId="7D530F39" w:rsidR="00BD3350" w:rsidRPr="00BD3350" w:rsidRDefault="004A10AE" w:rsidP="00BD3350">
      <w:pPr>
        <w:spacing w:after="0" w:line="240" w:lineRule="auto"/>
        <w:jc w:val="left"/>
        <w:rPr>
          <w:rFonts w:ascii="Times New Roman" w:hAnsi="Times New Roman" w:cs="Times New Roman"/>
          <w:sz w:val="24"/>
          <w:szCs w:val="24"/>
        </w:rPr>
      </w:pPr>
      <w:r w:rsidRPr="0025669D">
        <w:rPr>
          <w:rFonts w:ascii="Times New Roman" w:hAnsi="Times New Roman" w:cs="Times New Roman"/>
          <w:sz w:val="24"/>
          <w:szCs w:val="24"/>
        </w:rPr>
        <w:t xml:space="preserve">In </w:t>
      </w:r>
      <w:proofErr w:type="spellStart"/>
      <w:r w:rsidRPr="0025669D">
        <w:rPr>
          <w:rFonts w:ascii="Times New Roman" w:hAnsi="Times New Roman" w:cs="Times New Roman"/>
          <w:sz w:val="24"/>
          <w:szCs w:val="24"/>
        </w:rPr>
        <w:t>postmarketing</w:t>
      </w:r>
      <w:proofErr w:type="spellEnd"/>
      <w:r w:rsidRPr="0025669D">
        <w:rPr>
          <w:rFonts w:ascii="Times New Roman" w:hAnsi="Times New Roman" w:cs="Times New Roman"/>
          <w:sz w:val="24"/>
          <w:szCs w:val="24"/>
        </w:rPr>
        <w:t xml:space="preserve"> spontaneous reporting, Stevens-Johnson syndrome, toxic epidermal </w:t>
      </w:r>
      <w:r w:rsidRPr="0025669D">
        <w:rPr>
          <w:rFonts w:ascii="Times New Roman" w:hAnsi="Times New Roman" w:cs="Times New Roman"/>
          <w:sz w:val="24"/>
          <w:szCs w:val="24"/>
        </w:rPr>
        <w:lastRenderedPageBreak/>
        <w:t xml:space="preserve">necrolysis, erythema </w:t>
      </w:r>
      <w:proofErr w:type="spellStart"/>
      <w:r w:rsidRPr="0025669D">
        <w:rPr>
          <w:rFonts w:ascii="Times New Roman" w:hAnsi="Times New Roman" w:cs="Times New Roman"/>
          <w:sz w:val="24"/>
          <w:szCs w:val="24"/>
        </w:rPr>
        <w:t>multiforme</w:t>
      </w:r>
      <w:proofErr w:type="spellEnd"/>
      <w:r w:rsidRPr="0025669D">
        <w:rPr>
          <w:rFonts w:ascii="Times New Roman" w:hAnsi="Times New Roman" w:cs="Times New Roman"/>
          <w:sz w:val="24"/>
          <w:szCs w:val="24"/>
        </w:rPr>
        <w:t xml:space="preserve">, </w:t>
      </w:r>
      <w:proofErr w:type="spellStart"/>
      <w:r w:rsidRPr="0025669D">
        <w:rPr>
          <w:rFonts w:ascii="Times New Roman" w:hAnsi="Times New Roman" w:cs="Times New Roman"/>
          <w:sz w:val="24"/>
          <w:szCs w:val="24"/>
        </w:rPr>
        <w:t>paediatric</w:t>
      </w:r>
      <w:proofErr w:type="spellEnd"/>
      <w:r w:rsidRPr="0025669D">
        <w:rPr>
          <w:rFonts w:ascii="Times New Roman" w:hAnsi="Times New Roman" w:cs="Times New Roman"/>
          <w:sz w:val="24"/>
          <w:szCs w:val="24"/>
        </w:rPr>
        <w:t xml:space="preserve"> malignancy, and </w:t>
      </w:r>
      <w:proofErr w:type="spellStart"/>
      <w:r w:rsidRPr="0025669D">
        <w:rPr>
          <w:rFonts w:ascii="Times New Roman" w:hAnsi="Times New Roman" w:cs="Times New Roman"/>
          <w:sz w:val="24"/>
          <w:szCs w:val="24"/>
        </w:rPr>
        <w:t>leukaemia</w:t>
      </w:r>
      <w:proofErr w:type="spellEnd"/>
      <w:r w:rsidRPr="0025669D">
        <w:rPr>
          <w:rFonts w:ascii="Times New Roman" w:hAnsi="Times New Roman" w:cs="Times New Roman"/>
          <w:sz w:val="24"/>
          <w:szCs w:val="24"/>
        </w:rPr>
        <w:t xml:space="preserve"> have been reported. </w:t>
      </w:r>
      <w:r w:rsidR="00BD3350">
        <w:rPr>
          <w:rFonts w:ascii="Times New Roman" w:hAnsi="Times New Roman" w:cs="Times New Roman" w:hint="eastAsia"/>
          <w:sz w:val="24"/>
          <w:szCs w:val="24"/>
        </w:rPr>
        <w:t xml:space="preserve">During or </w:t>
      </w:r>
      <w:proofErr w:type="spellStart"/>
      <w:r w:rsidR="00BD3350">
        <w:rPr>
          <w:rFonts w:ascii="Times New Roman" w:hAnsi="Times New Roman" w:cs="Times New Roman" w:hint="eastAsia"/>
          <w:sz w:val="24"/>
          <w:szCs w:val="24"/>
        </w:rPr>
        <w:t>withing</w:t>
      </w:r>
      <w:proofErr w:type="spellEnd"/>
      <w:r w:rsidR="00BD3350">
        <w:rPr>
          <w:rFonts w:ascii="Times New Roman" w:hAnsi="Times New Roman" w:cs="Times New Roman" w:hint="eastAsia"/>
          <w:sz w:val="24"/>
          <w:szCs w:val="24"/>
        </w:rPr>
        <w:t xml:space="preserve"> 2 hours of infliximab infusion, </w:t>
      </w:r>
      <w:r w:rsidRPr="0025669D">
        <w:rPr>
          <w:rFonts w:ascii="Times New Roman" w:hAnsi="Times New Roman" w:cs="Times New Roman"/>
          <w:sz w:val="24"/>
          <w:szCs w:val="24"/>
        </w:rPr>
        <w:t>transient visual loss</w:t>
      </w:r>
      <w:r w:rsidR="00BD3350">
        <w:rPr>
          <w:rFonts w:ascii="Times New Roman" w:hAnsi="Times New Roman" w:cs="Times New Roman" w:hint="eastAsia"/>
          <w:sz w:val="24"/>
          <w:szCs w:val="24"/>
        </w:rPr>
        <w:t xml:space="preserve">, </w:t>
      </w:r>
      <w:r w:rsidRPr="0025669D">
        <w:rPr>
          <w:rFonts w:ascii="Times New Roman" w:hAnsi="Times New Roman" w:cs="Times New Roman"/>
          <w:sz w:val="24"/>
          <w:szCs w:val="24"/>
        </w:rPr>
        <w:t xml:space="preserve">myocardial </w:t>
      </w:r>
      <w:proofErr w:type="spellStart"/>
      <w:r w:rsidRPr="0025669D">
        <w:rPr>
          <w:rFonts w:ascii="Times New Roman" w:hAnsi="Times New Roman" w:cs="Times New Roman"/>
          <w:sz w:val="24"/>
          <w:szCs w:val="24"/>
        </w:rPr>
        <w:t>ischaemia</w:t>
      </w:r>
      <w:proofErr w:type="spellEnd"/>
      <w:r w:rsidRPr="0025669D">
        <w:rPr>
          <w:rFonts w:ascii="Times New Roman" w:hAnsi="Times New Roman" w:cs="Times New Roman"/>
          <w:sz w:val="24"/>
          <w:szCs w:val="24"/>
        </w:rPr>
        <w:t>/myocardial infarction</w:t>
      </w:r>
      <w:r w:rsidR="00BD3350">
        <w:rPr>
          <w:rFonts w:ascii="Times New Roman" w:hAnsi="Times New Roman" w:cs="Times New Roman" w:hint="eastAsia"/>
          <w:sz w:val="24"/>
          <w:szCs w:val="24"/>
        </w:rPr>
        <w:t xml:space="preserve"> and arrhythmia have occurred. </w:t>
      </w:r>
      <w:r w:rsidR="00BD3350" w:rsidRPr="00BD3350">
        <w:rPr>
          <w:rFonts w:ascii="Times New Roman" w:hAnsi="Times New Roman" w:cs="Times New Roman"/>
          <w:sz w:val="24"/>
          <w:szCs w:val="24"/>
        </w:rPr>
        <w:t xml:space="preserve">Fatal and non-fatal cases of cerebrovascular accidents and myocardial </w:t>
      </w:r>
      <w:proofErr w:type="spellStart"/>
      <w:r w:rsidR="00BD3350" w:rsidRPr="00BD3350">
        <w:rPr>
          <w:rFonts w:ascii="Times New Roman" w:hAnsi="Times New Roman" w:cs="Times New Roman"/>
          <w:sz w:val="24"/>
          <w:szCs w:val="24"/>
        </w:rPr>
        <w:t>ischaemia</w:t>
      </w:r>
      <w:proofErr w:type="spellEnd"/>
      <w:r w:rsidR="00BD3350" w:rsidRPr="00BD3350">
        <w:rPr>
          <w:rFonts w:ascii="Times New Roman" w:hAnsi="Times New Roman" w:cs="Times New Roman"/>
          <w:sz w:val="24"/>
          <w:szCs w:val="24"/>
        </w:rPr>
        <w:t>/infarction have been reported</w:t>
      </w:r>
      <w:r w:rsidR="00BD3350">
        <w:rPr>
          <w:rFonts w:ascii="Times New Roman" w:hAnsi="Times New Roman" w:cs="Times New Roman"/>
          <w:sz w:val="24"/>
          <w:szCs w:val="24"/>
        </w:rPr>
        <w:t xml:space="preserve"> within 24 hours of infusion.</w:t>
      </w:r>
      <w:r w:rsidR="00BD3350">
        <w:rPr>
          <w:rFonts w:ascii="Times New Roman" w:hAnsi="Times New Roman" w:cs="Times New Roman" w:hint="eastAsia"/>
          <w:sz w:val="24"/>
          <w:szCs w:val="24"/>
        </w:rPr>
        <w:t xml:space="preserve"> </w:t>
      </w:r>
      <w:r w:rsidR="00BD3350" w:rsidRPr="00BD3350">
        <w:rPr>
          <w:rFonts w:ascii="Times New Roman" w:hAnsi="Times New Roman" w:cs="Times New Roman"/>
          <w:sz w:val="24"/>
          <w:szCs w:val="24"/>
        </w:rPr>
        <w:t>There have also been reports of arrhythmia occurring within 24 hours of</w:t>
      </w:r>
    </w:p>
    <w:p w14:paraId="43FACE1D" w14:textId="77777777" w:rsidR="00BD3350" w:rsidRPr="00BD3350" w:rsidRDefault="00BD3350" w:rsidP="00BD3350">
      <w:pPr>
        <w:spacing w:after="0" w:line="240" w:lineRule="auto"/>
        <w:jc w:val="left"/>
        <w:rPr>
          <w:rFonts w:ascii="Times New Roman" w:hAnsi="Times New Roman" w:cs="Times New Roman"/>
          <w:sz w:val="24"/>
          <w:szCs w:val="24"/>
        </w:rPr>
      </w:pPr>
      <w:r w:rsidRPr="00BD3350">
        <w:rPr>
          <w:rFonts w:ascii="Times New Roman" w:hAnsi="Times New Roman" w:cs="Times New Roman"/>
          <w:sz w:val="24"/>
          <w:szCs w:val="24"/>
        </w:rPr>
        <w:t xml:space="preserve"> </w:t>
      </w:r>
    </w:p>
    <w:p w14:paraId="0F9DB566" w14:textId="357BC732" w:rsidR="004A10AE" w:rsidRPr="0025669D" w:rsidRDefault="00BD3350" w:rsidP="00BD3350">
      <w:pPr>
        <w:spacing w:after="0" w:line="240" w:lineRule="auto"/>
        <w:jc w:val="left"/>
        <w:rPr>
          <w:rFonts w:ascii="Times New Roman" w:hAnsi="Times New Roman" w:cs="Times New Roman"/>
          <w:sz w:val="24"/>
          <w:szCs w:val="24"/>
          <w:u w:val="single"/>
        </w:rPr>
      </w:pPr>
      <w:proofErr w:type="gramStart"/>
      <w:r w:rsidRPr="00BD3350">
        <w:rPr>
          <w:rFonts w:ascii="Times New Roman" w:hAnsi="Times New Roman" w:cs="Times New Roman"/>
          <w:sz w:val="24"/>
          <w:szCs w:val="24"/>
        </w:rPr>
        <w:t>infusion</w:t>
      </w:r>
      <w:proofErr w:type="gramEnd"/>
      <w:r w:rsidRPr="00BD3350">
        <w:rPr>
          <w:rFonts w:ascii="Times New Roman" w:hAnsi="Times New Roman" w:cs="Times New Roman"/>
          <w:sz w:val="24"/>
          <w:szCs w:val="24"/>
        </w:rPr>
        <w:t>.</w:t>
      </w:r>
      <w:r>
        <w:rPr>
          <w:rFonts w:ascii="Times New Roman" w:hAnsi="Times New Roman" w:cs="Times New Roman" w:hint="eastAsia"/>
          <w:sz w:val="24"/>
          <w:szCs w:val="24"/>
        </w:rPr>
        <w:t xml:space="preserve"> </w:t>
      </w:r>
      <w:r w:rsidR="004A10AE" w:rsidRPr="0025669D">
        <w:rPr>
          <w:rFonts w:ascii="Times New Roman" w:hAnsi="Times New Roman" w:cs="Times New Roman"/>
          <w:sz w:val="24"/>
          <w:szCs w:val="24"/>
        </w:rPr>
        <w:t>In addition, interstitial lung disease (including pulmonary fibrosis/interstitial pneumonitis) has been observed, which in some cases may be very rarely rapidly aggressive.</w:t>
      </w:r>
    </w:p>
    <w:p w14:paraId="3044CEFD" w14:textId="77777777" w:rsidR="004A10AE" w:rsidRPr="00B1398C" w:rsidRDefault="004A10AE" w:rsidP="007947DB">
      <w:pPr>
        <w:pStyle w:val="Heading2"/>
        <w:tabs>
          <w:tab w:val="num" w:pos="1418"/>
        </w:tabs>
        <w:spacing w:after="0"/>
        <w:ind w:left="1702" w:hangingChars="709" w:hanging="1702"/>
        <w:rPr>
          <w:rFonts w:eastAsia="Malgun Gothic" w:cs="Times New Roman"/>
          <w:b w:val="0"/>
          <w:szCs w:val="24"/>
          <w:u w:val="single"/>
          <w:lang w:eastAsia="ko-KR"/>
        </w:rPr>
      </w:pPr>
      <w:r w:rsidRPr="00B1398C">
        <w:rPr>
          <w:rFonts w:eastAsia="Malgun Gothic" w:cs="Times New Roman"/>
          <w:b w:val="0"/>
          <w:szCs w:val="24"/>
          <w:u w:val="single"/>
          <w:lang w:eastAsia="ko-KR"/>
        </w:rPr>
        <w:t xml:space="preserve">Psoriasis: New-Onset and Exacerbations </w:t>
      </w:r>
    </w:p>
    <w:p w14:paraId="5AC59DF2" w14:textId="77777777" w:rsidR="004A10AE" w:rsidRPr="0025669D" w:rsidRDefault="004A10AE" w:rsidP="007947DB">
      <w:pPr>
        <w:spacing w:after="0" w:line="240" w:lineRule="auto"/>
        <w:jc w:val="left"/>
        <w:rPr>
          <w:rFonts w:ascii="Times New Roman" w:hAnsi="Times New Roman" w:cs="Times New Roman"/>
          <w:sz w:val="24"/>
          <w:szCs w:val="24"/>
        </w:rPr>
      </w:pPr>
      <w:r w:rsidRPr="0025669D">
        <w:rPr>
          <w:rFonts w:ascii="Times New Roman" w:hAnsi="Times New Roman" w:cs="Times New Roman"/>
          <w:sz w:val="24"/>
          <w:szCs w:val="24"/>
        </w:rPr>
        <w:t xml:space="preserve">Cases of new onset psoriasis, including pustular psoriasis and palmoplantar psoriasis, have been reported with the use of TNF-blockers, including </w:t>
      </w:r>
      <w:r>
        <w:rPr>
          <w:rFonts w:ascii="Times New Roman" w:eastAsia="Malgun Gothic" w:hAnsi="Times New Roman" w:cs="Times New Roman" w:hint="eastAsia"/>
          <w:color w:val="000000"/>
          <w:sz w:val="24"/>
          <w:szCs w:val="24"/>
        </w:rPr>
        <w:t>i</w:t>
      </w:r>
      <w:r w:rsidRPr="0025669D">
        <w:rPr>
          <w:rFonts w:ascii="Times New Roman" w:eastAsia="Malgun Gothic" w:hAnsi="Times New Roman" w:cs="Times New Roman"/>
          <w:color w:val="000000"/>
          <w:sz w:val="24"/>
          <w:szCs w:val="24"/>
        </w:rPr>
        <w:t>nfliximab</w:t>
      </w:r>
      <w:r w:rsidRPr="0025669D">
        <w:rPr>
          <w:rFonts w:ascii="Times New Roman" w:hAnsi="Times New Roman" w:cs="Times New Roman"/>
          <w:sz w:val="24"/>
          <w:szCs w:val="24"/>
        </w:rPr>
        <w:t xml:space="preserve">. Cases of exacerbation of pre-existing psoriasis have also been reported with the use of TNF-blockers. Many of these patients were taking concomitant </w:t>
      </w:r>
      <w:proofErr w:type="spellStart"/>
      <w:r w:rsidRPr="0025669D">
        <w:rPr>
          <w:rFonts w:ascii="Times New Roman" w:hAnsi="Times New Roman" w:cs="Times New Roman"/>
          <w:sz w:val="24"/>
          <w:szCs w:val="24"/>
        </w:rPr>
        <w:t>immunosuppressants</w:t>
      </w:r>
      <w:proofErr w:type="spellEnd"/>
      <w:r w:rsidRPr="0025669D">
        <w:rPr>
          <w:rFonts w:ascii="Times New Roman" w:hAnsi="Times New Roman" w:cs="Times New Roman"/>
          <w:sz w:val="24"/>
          <w:szCs w:val="24"/>
        </w:rPr>
        <w:t xml:space="preserve"> (e.g., MTX, corticosteroids). Some of these patients required </w:t>
      </w:r>
      <w:proofErr w:type="spellStart"/>
      <w:r w:rsidRPr="0025669D">
        <w:rPr>
          <w:rFonts w:ascii="Times New Roman" w:hAnsi="Times New Roman" w:cs="Times New Roman"/>
          <w:sz w:val="24"/>
          <w:szCs w:val="24"/>
        </w:rPr>
        <w:t>hospitalisation</w:t>
      </w:r>
      <w:proofErr w:type="spellEnd"/>
      <w:r w:rsidRPr="0025669D">
        <w:rPr>
          <w:rFonts w:ascii="Times New Roman" w:hAnsi="Times New Roman" w:cs="Times New Roman"/>
          <w:sz w:val="24"/>
          <w:szCs w:val="24"/>
        </w:rPr>
        <w:t xml:space="preserve">. Most patients had improvement of their psoriasis following discontinuation of their TNF-blocker. Some patients have had recurrences of the psoriasis when they were re-challenged with a different TNF-blocker. Discontinuation of </w:t>
      </w:r>
      <w:r>
        <w:rPr>
          <w:rFonts w:ascii="Times New Roman" w:eastAsia="Malgun Gothic" w:hAnsi="Times New Roman" w:cs="Times New Roman" w:hint="eastAsia"/>
          <w:color w:val="000000"/>
          <w:sz w:val="24"/>
          <w:szCs w:val="24"/>
        </w:rPr>
        <w:t>i</w:t>
      </w:r>
      <w:r w:rsidRPr="0025669D">
        <w:rPr>
          <w:rFonts w:ascii="Times New Roman" w:eastAsia="Malgun Gothic" w:hAnsi="Times New Roman" w:cs="Times New Roman"/>
          <w:color w:val="000000"/>
          <w:sz w:val="24"/>
          <w:szCs w:val="24"/>
        </w:rPr>
        <w:t>nfliximab</w:t>
      </w:r>
      <w:r w:rsidRPr="0025669D">
        <w:rPr>
          <w:rFonts w:ascii="Times New Roman" w:hAnsi="Times New Roman" w:cs="Times New Roman"/>
          <w:sz w:val="24"/>
          <w:szCs w:val="24"/>
        </w:rPr>
        <w:t xml:space="preserve"> should be considered for severe cases and those that do not improve or that worsen despite topical treatments.</w:t>
      </w:r>
    </w:p>
    <w:p w14:paraId="6A49252D" w14:textId="77777777" w:rsidR="004A10AE" w:rsidRPr="00B1398C" w:rsidRDefault="004A10AE" w:rsidP="007947DB">
      <w:pPr>
        <w:pStyle w:val="Heading2"/>
        <w:tabs>
          <w:tab w:val="num" w:pos="1418"/>
        </w:tabs>
        <w:spacing w:after="0"/>
        <w:ind w:left="1702" w:hangingChars="709" w:hanging="1702"/>
        <w:rPr>
          <w:rFonts w:eastAsia="Malgun Gothic" w:cs="Times New Roman"/>
          <w:b w:val="0"/>
          <w:szCs w:val="24"/>
          <w:u w:val="single"/>
          <w:lang w:eastAsia="ko-KR"/>
        </w:rPr>
      </w:pPr>
      <w:r w:rsidRPr="00B1398C">
        <w:rPr>
          <w:rFonts w:eastAsia="Malgun Gothic" w:cs="Times New Roman"/>
          <w:b w:val="0"/>
          <w:szCs w:val="24"/>
          <w:u w:val="single"/>
          <w:lang w:eastAsia="ko-KR"/>
        </w:rPr>
        <w:t>Infusion-related reactions</w:t>
      </w:r>
    </w:p>
    <w:p w14:paraId="13242E81" w14:textId="77777777" w:rsidR="004A10AE" w:rsidRPr="0025669D" w:rsidRDefault="004A10AE" w:rsidP="007947DB">
      <w:pPr>
        <w:spacing w:after="0" w:line="240" w:lineRule="auto"/>
        <w:jc w:val="left"/>
        <w:rPr>
          <w:rFonts w:ascii="Times New Roman" w:hAnsi="Times New Roman" w:cs="Times New Roman"/>
          <w:sz w:val="24"/>
          <w:szCs w:val="24"/>
        </w:rPr>
      </w:pPr>
      <w:r w:rsidRPr="0025669D">
        <w:rPr>
          <w:rFonts w:ascii="Times New Roman" w:hAnsi="Times New Roman" w:cs="Times New Roman"/>
          <w:sz w:val="24"/>
          <w:szCs w:val="24"/>
        </w:rPr>
        <w:t>An infusion related reaction was defined in clinical studies, as any adverse event occurring during an infusion or within 1 hour after an infusion. In phase 3 clinical studies, 18% of infliximab-treated patients compared with 5% of placebo-treated patients experienced an infusion-related reaction.</w:t>
      </w:r>
      <w:r w:rsidRPr="0025669D">
        <w:rPr>
          <w:rFonts w:ascii="Times New Roman" w:hAnsi="Times New Roman" w:cs="Times New Roman"/>
          <w:i/>
          <w:sz w:val="24"/>
          <w:szCs w:val="24"/>
        </w:rPr>
        <w:t xml:space="preserve"> </w:t>
      </w:r>
      <w:r w:rsidRPr="0025669D">
        <w:rPr>
          <w:rFonts w:ascii="Times New Roman" w:hAnsi="Times New Roman" w:cs="Times New Roman"/>
          <w:sz w:val="24"/>
          <w:szCs w:val="24"/>
        </w:rPr>
        <w:t xml:space="preserve">Among all </w:t>
      </w:r>
      <w:r>
        <w:rPr>
          <w:rFonts w:ascii="Times New Roman" w:eastAsia="Malgun Gothic" w:hAnsi="Times New Roman" w:cs="Times New Roman" w:hint="eastAsia"/>
          <w:color w:val="000000"/>
          <w:sz w:val="24"/>
          <w:szCs w:val="24"/>
        </w:rPr>
        <w:t>i</w:t>
      </w:r>
      <w:r w:rsidRPr="0025669D">
        <w:rPr>
          <w:rFonts w:ascii="Times New Roman" w:eastAsia="Malgun Gothic" w:hAnsi="Times New Roman" w:cs="Times New Roman"/>
          <w:color w:val="000000"/>
          <w:sz w:val="24"/>
          <w:szCs w:val="24"/>
        </w:rPr>
        <w:t>nfliximab</w:t>
      </w:r>
      <w:r w:rsidRPr="0025669D">
        <w:rPr>
          <w:rFonts w:ascii="Times New Roman" w:hAnsi="Times New Roman" w:cs="Times New Roman"/>
          <w:sz w:val="24"/>
          <w:szCs w:val="24"/>
        </w:rPr>
        <w:t xml:space="preserve"> infusions, approximately 3% of infusions were accompanied by nonspecific symptoms such as fever or chills, &lt;1% were accompanied by pruritus or </w:t>
      </w:r>
      <w:proofErr w:type="spellStart"/>
      <w:r w:rsidRPr="0025669D">
        <w:rPr>
          <w:rFonts w:ascii="Times New Roman" w:hAnsi="Times New Roman" w:cs="Times New Roman"/>
          <w:sz w:val="24"/>
          <w:szCs w:val="24"/>
        </w:rPr>
        <w:t>urticaria</w:t>
      </w:r>
      <w:proofErr w:type="spellEnd"/>
      <w:r w:rsidRPr="0025669D">
        <w:rPr>
          <w:rFonts w:ascii="Times New Roman" w:hAnsi="Times New Roman" w:cs="Times New Roman"/>
          <w:sz w:val="24"/>
          <w:szCs w:val="24"/>
        </w:rPr>
        <w:t xml:space="preserve">, 1% were accompanied by cardiopulmonary reactions (primary chest pain, hypotension, hypertension or </w:t>
      </w:r>
      <w:proofErr w:type="spellStart"/>
      <w:r w:rsidRPr="0025669D">
        <w:rPr>
          <w:rFonts w:ascii="Times New Roman" w:hAnsi="Times New Roman" w:cs="Times New Roman"/>
          <w:sz w:val="24"/>
          <w:szCs w:val="24"/>
        </w:rPr>
        <w:t>dyspnoea</w:t>
      </w:r>
      <w:proofErr w:type="spellEnd"/>
      <w:r w:rsidRPr="0025669D">
        <w:rPr>
          <w:rFonts w:ascii="Times New Roman" w:hAnsi="Times New Roman" w:cs="Times New Roman"/>
          <w:sz w:val="24"/>
          <w:szCs w:val="24"/>
        </w:rPr>
        <w:t>) and 0.1% were accompanied by combined symptoms of pruritus/</w:t>
      </w:r>
      <w:proofErr w:type="spellStart"/>
      <w:r w:rsidRPr="0025669D">
        <w:rPr>
          <w:rFonts w:ascii="Times New Roman" w:hAnsi="Times New Roman" w:cs="Times New Roman"/>
          <w:sz w:val="24"/>
          <w:szCs w:val="24"/>
        </w:rPr>
        <w:t>urticaria</w:t>
      </w:r>
      <w:proofErr w:type="spellEnd"/>
      <w:r w:rsidRPr="0025669D">
        <w:rPr>
          <w:rFonts w:ascii="Times New Roman" w:hAnsi="Times New Roman" w:cs="Times New Roman"/>
          <w:sz w:val="24"/>
          <w:szCs w:val="24"/>
        </w:rPr>
        <w:t xml:space="preserve"> and cardiopulmonary reactions. Discontinuation of treatment resulted in 2% of patients and all patients recovered with or without medical therapy. Infusion-related effects in patients were more likely to occur during the first (8%) and less likely, on subsequent infusions (second, 7%; third, 6%; and fourth, 5%; etc.). Patients who became positive for antibodies to infliximab were more likely (approximately 2-3 fold) to have an infusion reaction than were those who were negative. Use of concomitant immunosuppressant agents appeared to reduce the frequency of infusion-related reactions.</w:t>
      </w:r>
    </w:p>
    <w:p w14:paraId="6E18C7B4" w14:textId="77777777" w:rsidR="004A10AE" w:rsidRDefault="004A10AE" w:rsidP="007947DB">
      <w:pPr>
        <w:spacing w:after="0" w:line="240" w:lineRule="auto"/>
        <w:jc w:val="left"/>
        <w:rPr>
          <w:rFonts w:ascii="Times New Roman" w:hAnsi="Times New Roman" w:cs="Times New Roman"/>
          <w:sz w:val="24"/>
          <w:szCs w:val="24"/>
        </w:rPr>
      </w:pPr>
    </w:p>
    <w:p w14:paraId="47B2311D" w14:textId="77777777" w:rsidR="004A10AE" w:rsidRPr="0025669D" w:rsidRDefault="004A10AE" w:rsidP="007947DB">
      <w:pPr>
        <w:spacing w:line="240" w:lineRule="auto"/>
        <w:jc w:val="left"/>
        <w:rPr>
          <w:rFonts w:ascii="Times New Roman" w:hAnsi="Times New Roman" w:cs="Times New Roman"/>
          <w:sz w:val="24"/>
          <w:szCs w:val="24"/>
        </w:rPr>
      </w:pPr>
      <w:r w:rsidRPr="0025669D">
        <w:rPr>
          <w:rFonts w:ascii="Times New Roman" w:hAnsi="Times New Roman" w:cs="Times New Roman"/>
          <w:sz w:val="24"/>
          <w:szCs w:val="24"/>
        </w:rPr>
        <w:t xml:space="preserve">Of infliximab-treated patients who had an infusion reaction during the induction period, 27% experienced an infusion reaction during the maintenance period. Of patients who did not have an infusion reaction during the induction period, 9% experienced an infusion reaction during the maintenance period.  </w:t>
      </w:r>
    </w:p>
    <w:p w14:paraId="1A12EE98" w14:textId="77777777" w:rsidR="004A10AE" w:rsidRDefault="004A10AE" w:rsidP="007947DB">
      <w:pPr>
        <w:spacing w:line="240" w:lineRule="auto"/>
        <w:jc w:val="left"/>
        <w:rPr>
          <w:rFonts w:ascii="Times New Roman" w:hAnsi="Times New Roman" w:cs="Times New Roman"/>
          <w:sz w:val="24"/>
          <w:szCs w:val="24"/>
        </w:rPr>
      </w:pPr>
      <w:r w:rsidRPr="0025669D">
        <w:rPr>
          <w:rFonts w:ascii="Times New Roman" w:hAnsi="Times New Roman" w:cs="Times New Roman"/>
          <w:sz w:val="24"/>
          <w:szCs w:val="24"/>
        </w:rPr>
        <w:t xml:space="preserve">In the ASPIRE study, 66% of the patients (686 out of 1040) received at least one shortened infusion of 90 minutes or less and 44% of the patients (454 out of 1040) received at least one shortened infusion of 60 minutes or less. Of the infliximab-treated patients who received at least one shortened infusion, infusion-related reactions occurred in 15% of the patients and </w:t>
      </w:r>
      <w:r w:rsidRPr="0025669D">
        <w:rPr>
          <w:rFonts w:ascii="Times New Roman" w:hAnsi="Times New Roman" w:cs="Times New Roman"/>
          <w:sz w:val="24"/>
          <w:szCs w:val="24"/>
        </w:rPr>
        <w:lastRenderedPageBreak/>
        <w:t>serious infusion reactions occurred in 0.4% of the patients.</w:t>
      </w:r>
    </w:p>
    <w:p w14:paraId="404C47BE" w14:textId="05F88068" w:rsidR="004A10AE" w:rsidRPr="0025669D" w:rsidRDefault="004A10AE" w:rsidP="007947DB">
      <w:pPr>
        <w:spacing w:line="240" w:lineRule="auto"/>
        <w:jc w:val="left"/>
        <w:rPr>
          <w:rFonts w:ascii="Times New Roman" w:hAnsi="Times New Roman" w:cs="Times New Roman"/>
          <w:sz w:val="24"/>
          <w:szCs w:val="24"/>
        </w:rPr>
      </w:pPr>
      <w:r w:rsidRPr="004934BB">
        <w:rPr>
          <w:rFonts w:ascii="Times New Roman" w:hAnsi="Times New Roman" w:cs="Times New Roman"/>
          <w:sz w:val="24"/>
          <w:szCs w:val="24"/>
        </w:rPr>
        <w:t xml:space="preserve">In a post hoc analysis of ten Phase 3 clinical studies, in patients receiving </w:t>
      </w:r>
      <w:r>
        <w:rPr>
          <w:rFonts w:ascii="Times New Roman" w:hAnsi="Times New Roman" w:cs="Times New Roman" w:hint="eastAsia"/>
          <w:sz w:val="24"/>
          <w:szCs w:val="24"/>
        </w:rPr>
        <w:t>infliximab</w:t>
      </w:r>
      <w:r w:rsidRPr="004934BB">
        <w:rPr>
          <w:rFonts w:ascii="Times New Roman" w:hAnsi="Times New Roman" w:cs="Times New Roman"/>
          <w:sz w:val="24"/>
          <w:szCs w:val="24"/>
        </w:rPr>
        <w:t xml:space="preserve"> with or without concomitant </w:t>
      </w:r>
      <w:proofErr w:type="spellStart"/>
      <w:r w:rsidRPr="004934BB">
        <w:rPr>
          <w:rFonts w:ascii="Times New Roman" w:hAnsi="Times New Roman" w:cs="Times New Roman"/>
          <w:sz w:val="24"/>
          <w:szCs w:val="24"/>
        </w:rPr>
        <w:t>immunomodulator</w:t>
      </w:r>
      <w:proofErr w:type="spellEnd"/>
      <w:r w:rsidRPr="004934BB">
        <w:rPr>
          <w:rFonts w:ascii="Times New Roman" w:hAnsi="Times New Roman" w:cs="Times New Roman"/>
          <w:sz w:val="24"/>
          <w:szCs w:val="24"/>
        </w:rPr>
        <w:t xml:space="preserve"> therapy, 13-19% of patients receiving </w:t>
      </w:r>
      <w:r>
        <w:rPr>
          <w:rFonts w:ascii="Times New Roman" w:hAnsi="Times New Roman" w:cs="Times New Roman" w:hint="eastAsia"/>
          <w:sz w:val="24"/>
          <w:szCs w:val="24"/>
        </w:rPr>
        <w:t>infliximab</w:t>
      </w:r>
      <w:r w:rsidRPr="004934BB">
        <w:rPr>
          <w:rFonts w:ascii="Times New Roman" w:hAnsi="Times New Roman" w:cs="Times New Roman"/>
          <w:sz w:val="24"/>
          <w:szCs w:val="24"/>
        </w:rPr>
        <w:t xml:space="preserve"> at a low infusion rate (≤ 6 mg/kg/2-hr) experienced an infusion-related reaction, compared to 15-16% of patients receiving </w:t>
      </w:r>
      <w:r>
        <w:rPr>
          <w:rFonts w:ascii="Times New Roman" w:hAnsi="Times New Roman" w:cs="Times New Roman" w:hint="eastAsia"/>
          <w:sz w:val="24"/>
          <w:szCs w:val="24"/>
        </w:rPr>
        <w:t>infliximab</w:t>
      </w:r>
      <w:r w:rsidRPr="004934BB">
        <w:rPr>
          <w:rFonts w:ascii="Times New Roman" w:hAnsi="Times New Roman" w:cs="Times New Roman"/>
          <w:sz w:val="24"/>
          <w:szCs w:val="24"/>
        </w:rPr>
        <w:t xml:space="preserve"> at a high infusion rate (&gt; 6 mg/kg/2-hr). Of patients receiving </w:t>
      </w:r>
      <w:r>
        <w:rPr>
          <w:rFonts w:ascii="Times New Roman" w:hAnsi="Times New Roman" w:cs="Times New Roman" w:hint="eastAsia"/>
          <w:sz w:val="24"/>
          <w:szCs w:val="24"/>
        </w:rPr>
        <w:t>infliximab</w:t>
      </w:r>
      <w:r w:rsidRPr="004934BB">
        <w:rPr>
          <w:rFonts w:ascii="Times New Roman" w:hAnsi="Times New Roman" w:cs="Times New Roman"/>
          <w:sz w:val="24"/>
          <w:szCs w:val="24"/>
        </w:rPr>
        <w:t xml:space="preserve"> at a low infusion rate, 0.4%-0.7% experienced a serious infusion-related reaction, compared to 0.4%-0.5% of patients receiving </w:t>
      </w:r>
      <w:r>
        <w:rPr>
          <w:rFonts w:ascii="Times New Roman" w:hAnsi="Times New Roman" w:cs="Times New Roman" w:hint="eastAsia"/>
          <w:sz w:val="24"/>
          <w:szCs w:val="24"/>
        </w:rPr>
        <w:t>infliximab</w:t>
      </w:r>
      <w:r w:rsidRPr="004934BB">
        <w:rPr>
          <w:rFonts w:ascii="Times New Roman" w:hAnsi="Times New Roman" w:cs="Times New Roman"/>
          <w:sz w:val="24"/>
          <w:szCs w:val="24"/>
        </w:rPr>
        <w:t xml:space="preserve"> at a high infusion rate.</w:t>
      </w:r>
    </w:p>
    <w:p w14:paraId="49690B0E" w14:textId="77777777" w:rsidR="004A10AE" w:rsidRPr="0025669D" w:rsidRDefault="004A10AE" w:rsidP="007947DB">
      <w:pPr>
        <w:adjustRightInd w:val="0"/>
        <w:spacing w:after="0" w:line="240" w:lineRule="auto"/>
        <w:jc w:val="left"/>
        <w:rPr>
          <w:rFonts w:ascii="Times New Roman" w:eastAsia="Malgun Gothic" w:hAnsi="Times New Roman" w:cs="Times New Roman"/>
          <w:color w:val="000000"/>
          <w:sz w:val="24"/>
          <w:szCs w:val="24"/>
        </w:rPr>
      </w:pPr>
      <w:r w:rsidRPr="0025669D">
        <w:rPr>
          <w:rFonts w:ascii="Times New Roman" w:hAnsi="Times New Roman" w:cs="Times New Roman"/>
          <w:bCs/>
          <w:color w:val="000000"/>
          <w:sz w:val="24"/>
          <w:szCs w:val="24"/>
        </w:rPr>
        <w:t xml:space="preserve">Infusion reactions following re-administration of </w:t>
      </w:r>
      <w:r>
        <w:rPr>
          <w:rFonts w:ascii="Times New Roman" w:eastAsia="Malgun Gothic" w:hAnsi="Times New Roman" w:cs="Times New Roman" w:hint="eastAsia"/>
          <w:color w:val="000000"/>
          <w:sz w:val="24"/>
          <w:szCs w:val="24"/>
        </w:rPr>
        <w:t>i</w:t>
      </w:r>
      <w:r w:rsidRPr="0025669D">
        <w:rPr>
          <w:rFonts w:ascii="Times New Roman" w:eastAsia="Malgun Gothic" w:hAnsi="Times New Roman" w:cs="Times New Roman"/>
          <w:color w:val="000000"/>
          <w:sz w:val="24"/>
          <w:szCs w:val="24"/>
        </w:rPr>
        <w:t xml:space="preserve">nfliximab </w:t>
      </w:r>
    </w:p>
    <w:p w14:paraId="5DD9F96B" w14:textId="77777777" w:rsidR="004A10AE" w:rsidRDefault="004A10AE" w:rsidP="007947DB">
      <w:pPr>
        <w:adjustRightInd w:val="0"/>
        <w:spacing w:after="0" w:line="240" w:lineRule="auto"/>
        <w:jc w:val="left"/>
        <w:rPr>
          <w:rFonts w:ascii="Times New Roman" w:hAnsi="Times New Roman" w:cs="Times New Roman"/>
          <w:color w:val="000000"/>
          <w:sz w:val="24"/>
          <w:szCs w:val="24"/>
        </w:rPr>
      </w:pPr>
      <w:r w:rsidRPr="0025669D">
        <w:rPr>
          <w:rFonts w:ascii="Times New Roman" w:hAnsi="Times New Roman" w:cs="Times New Roman"/>
          <w:color w:val="000000"/>
          <w:sz w:val="24"/>
          <w:szCs w:val="24"/>
        </w:rPr>
        <w:t xml:space="preserve">In rheumatoid arthritis, Crohn’s disease, and psoriasis clinical trials, re-administration of </w:t>
      </w:r>
      <w:r>
        <w:rPr>
          <w:rFonts w:ascii="Times New Roman" w:hAnsi="Times New Roman" w:cs="Times New Roman" w:hint="eastAsia"/>
          <w:color w:val="000000"/>
          <w:sz w:val="24"/>
          <w:szCs w:val="24"/>
        </w:rPr>
        <w:t>i</w:t>
      </w:r>
      <w:r w:rsidRPr="0025669D">
        <w:rPr>
          <w:rFonts w:ascii="Times New Roman" w:eastAsia="Malgun Gothic" w:hAnsi="Times New Roman" w:cs="Times New Roman"/>
          <w:color w:val="000000"/>
          <w:sz w:val="24"/>
          <w:szCs w:val="24"/>
        </w:rPr>
        <w:t>nfliximab</w:t>
      </w:r>
      <w:r w:rsidRPr="0025669D">
        <w:rPr>
          <w:rFonts w:ascii="Times New Roman" w:hAnsi="Times New Roman" w:cs="Times New Roman"/>
          <w:color w:val="000000"/>
          <w:sz w:val="24"/>
          <w:szCs w:val="24"/>
        </w:rPr>
        <w:t xml:space="preserve"> after a period of no treatment resulted in a higher incidence of infusion reactions relative to regular maintenance treatment.</w:t>
      </w:r>
    </w:p>
    <w:p w14:paraId="0E4255D7" w14:textId="77777777" w:rsidR="004A10AE" w:rsidRPr="0025669D" w:rsidRDefault="004A10AE" w:rsidP="007947DB">
      <w:pPr>
        <w:adjustRightInd w:val="0"/>
        <w:spacing w:after="0" w:line="240" w:lineRule="auto"/>
        <w:jc w:val="left"/>
        <w:rPr>
          <w:rFonts w:ascii="Times New Roman" w:hAnsi="Times New Roman" w:cs="Times New Roman"/>
          <w:bCs/>
          <w:color w:val="000000"/>
          <w:sz w:val="24"/>
          <w:szCs w:val="24"/>
        </w:rPr>
      </w:pPr>
    </w:p>
    <w:p w14:paraId="21E3D606" w14:textId="77777777" w:rsidR="004A10AE" w:rsidRPr="0086701A" w:rsidRDefault="004A10AE" w:rsidP="007947DB">
      <w:pPr>
        <w:spacing w:line="240" w:lineRule="auto"/>
        <w:jc w:val="left"/>
        <w:rPr>
          <w:rFonts w:ascii="Times New Roman" w:hAnsi="Times New Roman" w:cs="Times New Roman"/>
          <w:sz w:val="24"/>
          <w:szCs w:val="24"/>
        </w:rPr>
      </w:pPr>
      <w:r w:rsidRPr="0086701A">
        <w:rPr>
          <w:rFonts w:ascii="Times New Roman" w:hAnsi="Times New Roman" w:cs="Times New Roman"/>
          <w:sz w:val="24"/>
          <w:szCs w:val="24"/>
        </w:rPr>
        <w:t xml:space="preserve">In a clinical trial of patients with moderate to severe psoriasis designed to assess the efficacy and safety of long-term maintenance therapy versus re-treatment with an induction cycle of </w:t>
      </w:r>
      <w:r w:rsidRPr="0086701A">
        <w:rPr>
          <w:rFonts w:ascii="Times New Roman" w:hAnsi="Times New Roman" w:cs="Times New Roman" w:hint="eastAsia"/>
          <w:sz w:val="24"/>
          <w:szCs w:val="24"/>
        </w:rPr>
        <w:t>i</w:t>
      </w:r>
      <w:r w:rsidRPr="0086701A">
        <w:rPr>
          <w:rFonts w:ascii="Times New Roman" w:hAnsi="Times New Roman" w:cs="Times New Roman"/>
          <w:sz w:val="24"/>
          <w:szCs w:val="24"/>
        </w:rPr>
        <w:t xml:space="preserve">nfliximab, 4% (8/219) of patients in the intermittent therapy arm experienced serious infusion reactions versus &lt;1% (1/222) in the maintenance therapy arm. Patients enrolled in this trial did not receive any concomitant immunosuppressant therapy. Intermittent therapy in this trial was defined as the re-administration of an induction cycle (maximum of four infusions at 0, 2, 6, and 14 weeks) of </w:t>
      </w:r>
      <w:r w:rsidRPr="0086701A">
        <w:rPr>
          <w:rFonts w:ascii="Times New Roman" w:hAnsi="Times New Roman" w:cs="Times New Roman" w:hint="eastAsia"/>
          <w:sz w:val="24"/>
          <w:szCs w:val="24"/>
        </w:rPr>
        <w:t>i</w:t>
      </w:r>
      <w:r w:rsidRPr="0086701A">
        <w:rPr>
          <w:rFonts w:ascii="Times New Roman" w:hAnsi="Times New Roman" w:cs="Times New Roman"/>
          <w:sz w:val="24"/>
          <w:szCs w:val="24"/>
        </w:rPr>
        <w:t xml:space="preserve">nfliximab upon disease flare after a period of no treatment. In this study, the majority of serious infusion reactions occurred during the second infusion at Week 2. Symptoms included, but were not limited to, </w:t>
      </w:r>
      <w:proofErr w:type="spellStart"/>
      <w:r w:rsidRPr="0086701A">
        <w:rPr>
          <w:rFonts w:ascii="Times New Roman" w:hAnsi="Times New Roman" w:cs="Times New Roman"/>
          <w:sz w:val="24"/>
          <w:szCs w:val="24"/>
        </w:rPr>
        <w:t>dyspnoea</w:t>
      </w:r>
      <w:proofErr w:type="spellEnd"/>
      <w:r w:rsidRPr="0086701A">
        <w:rPr>
          <w:rFonts w:ascii="Times New Roman" w:hAnsi="Times New Roman" w:cs="Times New Roman"/>
          <w:sz w:val="24"/>
          <w:szCs w:val="24"/>
        </w:rPr>
        <w:t xml:space="preserve">, </w:t>
      </w:r>
      <w:proofErr w:type="spellStart"/>
      <w:r w:rsidRPr="0086701A">
        <w:rPr>
          <w:rFonts w:ascii="Times New Roman" w:hAnsi="Times New Roman" w:cs="Times New Roman"/>
          <w:sz w:val="24"/>
          <w:szCs w:val="24"/>
        </w:rPr>
        <w:t>urticaria</w:t>
      </w:r>
      <w:proofErr w:type="spellEnd"/>
      <w:r w:rsidRPr="0086701A">
        <w:rPr>
          <w:rFonts w:ascii="Times New Roman" w:hAnsi="Times New Roman" w:cs="Times New Roman"/>
          <w:sz w:val="24"/>
          <w:szCs w:val="24"/>
        </w:rPr>
        <w:t xml:space="preserve">, facial </w:t>
      </w:r>
      <w:proofErr w:type="spellStart"/>
      <w:r w:rsidRPr="0086701A">
        <w:rPr>
          <w:rFonts w:ascii="Times New Roman" w:hAnsi="Times New Roman" w:cs="Times New Roman"/>
          <w:sz w:val="24"/>
          <w:szCs w:val="24"/>
        </w:rPr>
        <w:t>oedema</w:t>
      </w:r>
      <w:proofErr w:type="spellEnd"/>
      <w:r w:rsidRPr="0086701A">
        <w:rPr>
          <w:rFonts w:ascii="Times New Roman" w:hAnsi="Times New Roman" w:cs="Times New Roman"/>
          <w:sz w:val="24"/>
          <w:szCs w:val="24"/>
        </w:rPr>
        <w:t xml:space="preserve">, and hypotension. In all cases, </w:t>
      </w:r>
      <w:r w:rsidRPr="0086701A">
        <w:rPr>
          <w:rFonts w:ascii="Times New Roman" w:hAnsi="Times New Roman" w:cs="Times New Roman" w:hint="eastAsia"/>
          <w:sz w:val="24"/>
          <w:szCs w:val="24"/>
        </w:rPr>
        <w:t>i</w:t>
      </w:r>
      <w:r w:rsidRPr="0086701A">
        <w:rPr>
          <w:rFonts w:ascii="Times New Roman" w:hAnsi="Times New Roman" w:cs="Times New Roman"/>
          <w:sz w:val="24"/>
          <w:szCs w:val="24"/>
        </w:rPr>
        <w:t>nfliximab treatment was discontinued and/or other treatment instituted with complete resolution of signs and symptoms.</w:t>
      </w:r>
    </w:p>
    <w:p w14:paraId="3C967182" w14:textId="77777777" w:rsidR="004A10AE" w:rsidRPr="00B1398C" w:rsidRDefault="004A10AE" w:rsidP="007947DB">
      <w:pPr>
        <w:pStyle w:val="Heading2"/>
        <w:tabs>
          <w:tab w:val="num" w:pos="1418"/>
        </w:tabs>
        <w:spacing w:after="0"/>
        <w:ind w:left="1702" w:hangingChars="709" w:hanging="1702"/>
        <w:rPr>
          <w:rFonts w:eastAsia="Malgun Gothic" w:cs="Times New Roman"/>
          <w:b w:val="0"/>
          <w:szCs w:val="24"/>
          <w:u w:val="single"/>
          <w:lang w:eastAsia="ko-KR"/>
        </w:rPr>
      </w:pPr>
      <w:r w:rsidRPr="00B1398C">
        <w:rPr>
          <w:rFonts w:eastAsia="Malgun Gothic" w:cs="Times New Roman"/>
          <w:b w:val="0"/>
          <w:szCs w:val="24"/>
          <w:u w:val="single"/>
          <w:lang w:eastAsia="ko-KR"/>
        </w:rPr>
        <w:t>Delayed Hypersensitivity</w:t>
      </w:r>
    </w:p>
    <w:p w14:paraId="728D4D15" w14:textId="77777777" w:rsidR="004A10AE" w:rsidRPr="0025669D" w:rsidRDefault="004A10AE" w:rsidP="007947DB">
      <w:pPr>
        <w:spacing w:after="0" w:line="240" w:lineRule="auto"/>
        <w:jc w:val="left"/>
        <w:rPr>
          <w:rFonts w:ascii="Times New Roman" w:hAnsi="Times New Roman" w:cs="Times New Roman"/>
          <w:sz w:val="24"/>
          <w:szCs w:val="24"/>
        </w:rPr>
      </w:pPr>
      <w:r w:rsidRPr="0025669D">
        <w:rPr>
          <w:rFonts w:ascii="Times New Roman" w:hAnsi="Times New Roman" w:cs="Times New Roman"/>
          <w:sz w:val="24"/>
          <w:szCs w:val="24"/>
        </w:rPr>
        <w:t xml:space="preserve">In a clinical study of 41 patients retreated with a liquid formulation of </w:t>
      </w:r>
      <w:r>
        <w:rPr>
          <w:rFonts w:ascii="Times New Roman" w:eastAsia="Malgun Gothic" w:hAnsi="Times New Roman" w:cs="Times New Roman" w:hint="eastAsia"/>
          <w:color w:val="000000"/>
          <w:sz w:val="24"/>
          <w:szCs w:val="24"/>
        </w:rPr>
        <w:t>i</w:t>
      </w:r>
      <w:r w:rsidRPr="0025669D">
        <w:rPr>
          <w:rFonts w:ascii="Times New Roman" w:eastAsia="Malgun Gothic" w:hAnsi="Times New Roman" w:cs="Times New Roman"/>
          <w:color w:val="000000"/>
          <w:sz w:val="24"/>
          <w:szCs w:val="24"/>
        </w:rPr>
        <w:t>nfliximab</w:t>
      </w:r>
      <w:r w:rsidRPr="0025669D">
        <w:rPr>
          <w:rFonts w:ascii="Times New Roman" w:hAnsi="Times New Roman" w:cs="Times New Roman"/>
          <w:sz w:val="24"/>
          <w:szCs w:val="24"/>
        </w:rPr>
        <w:t xml:space="preserve">, which is no longer in use, following a 2 to 4 year period without </w:t>
      </w:r>
      <w:r>
        <w:rPr>
          <w:rFonts w:ascii="Times New Roman" w:eastAsia="Malgun Gothic" w:hAnsi="Times New Roman" w:cs="Times New Roman" w:hint="eastAsia"/>
          <w:color w:val="000000"/>
          <w:sz w:val="24"/>
          <w:szCs w:val="24"/>
        </w:rPr>
        <w:t>i</w:t>
      </w:r>
      <w:r w:rsidRPr="0025669D">
        <w:rPr>
          <w:rFonts w:ascii="Times New Roman" w:eastAsia="Malgun Gothic" w:hAnsi="Times New Roman" w:cs="Times New Roman"/>
          <w:color w:val="000000"/>
          <w:sz w:val="24"/>
          <w:szCs w:val="24"/>
        </w:rPr>
        <w:t>nfliximab</w:t>
      </w:r>
      <w:r w:rsidRPr="0025669D">
        <w:rPr>
          <w:rFonts w:ascii="Times New Roman" w:hAnsi="Times New Roman" w:cs="Times New Roman"/>
          <w:sz w:val="24"/>
          <w:szCs w:val="24"/>
        </w:rPr>
        <w:t xml:space="preserve"> treatment, 10 patients experienced undesirable effects manifesting 3 to 12 days following infusion. In 6 of these patients, the effects were considered serious. Signs and symptoms included myalgia and/or arthralgia with fever and/or rash. Some patients also experienced pruritus, facial, hand or lip </w:t>
      </w:r>
      <w:proofErr w:type="spellStart"/>
      <w:r w:rsidRPr="0025669D">
        <w:rPr>
          <w:rFonts w:ascii="Times New Roman" w:hAnsi="Times New Roman" w:cs="Times New Roman"/>
          <w:sz w:val="24"/>
          <w:szCs w:val="24"/>
        </w:rPr>
        <w:t>oedema</w:t>
      </w:r>
      <w:proofErr w:type="spellEnd"/>
      <w:r w:rsidRPr="0025669D">
        <w:rPr>
          <w:rFonts w:ascii="Times New Roman" w:hAnsi="Times New Roman" w:cs="Times New Roman"/>
          <w:sz w:val="24"/>
          <w:szCs w:val="24"/>
        </w:rPr>
        <w:t xml:space="preserve">, dysphagia, </w:t>
      </w:r>
      <w:proofErr w:type="spellStart"/>
      <w:r w:rsidRPr="0025669D">
        <w:rPr>
          <w:rFonts w:ascii="Times New Roman" w:hAnsi="Times New Roman" w:cs="Times New Roman"/>
          <w:sz w:val="24"/>
          <w:szCs w:val="24"/>
        </w:rPr>
        <w:t>urticaria</w:t>
      </w:r>
      <w:proofErr w:type="spellEnd"/>
      <w:r w:rsidRPr="0025669D">
        <w:rPr>
          <w:rFonts w:ascii="Times New Roman" w:hAnsi="Times New Roman" w:cs="Times New Roman"/>
          <w:sz w:val="24"/>
          <w:szCs w:val="24"/>
        </w:rPr>
        <w:t xml:space="preserve">, sore throat and/or headache. The clinical data are not adequate to determine if occurrence of these reactions is due to the different formulations administered to these patients in this study. Patients’ signs and symptoms improved substantially or resolved with treatment in all cases. There are insufficient data on the incidence of these events after drug-free intervals of 1 to 2 years. These events have been observed only infrequently in clinical studies and post-marketing surveillance with retreatment intervals up to 1 year. In the </w:t>
      </w:r>
      <w:r>
        <w:rPr>
          <w:rFonts w:ascii="Times New Roman" w:hAnsi="Times New Roman" w:cs="Times New Roman"/>
          <w:sz w:val="24"/>
          <w:szCs w:val="24"/>
        </w:rPr>
        <w:t>Phase 3</w:t>
      </w:r>
      <w:r w:rsidRPr="0025669D">
        <w:rPr>
          <w:rFonts w:ascii="Times New Roman" w:hAnsi="Times New Roman" w:cs="Times New Roman"/>
          <w:sz w:val="24"/>
          <w:szCs w:val="24"/>
        </w:rPr>
        <w:t xml:space="preserve"> psoriasis study, 1% (4/366) of patients experienced symptoms of arthralgia, myalgia, fever and rash early in the treatment course following infliximab infusions.</w:t>
      </w:r>
    </w:p>
    <w:p w14:paraId="31D31C0F" w14:textId="77777777" w:rsidR="004A10AE" w:rsidRPr="00B1398C" w:rsidRDefault="004A10AE" w:rsidP="007947DB">
      <w:pPr>
        <w:pStyle w:val="Heading2"/>
        <w:tabs>
          <w:tab w:val="num" w:pos="1418"/>
        </w:tabs>
        <w:spacing w:after="0"/>
        <w:ind w:left="1702" w:hangingChars="709" w:hanging="1702"/>
        <w:rPr>
          <w:rFonts w:eastAsia="Malgun Gothic" w:cs="Times New Roman"/>
          <w:b w:val="0"/>
          <w:szCs w:val="24"/>
          <w:u w:val="single"/>
          <w:lang w:eastAsia="ko-KR"/>
        </w:rPr>
      </w:pPr>
      <w:r w:rsidRPr="00B1398C">
        <w:rPr>
          <w:rFonts w:eastAsia="Malgun Gothic" w:cs="Times New Roman"/>
          <w:b w:val="0"/>
          <w:szCs w:val="24"/>
          <w:u w:val="single"/>
          <w:lang w:eastAsia="ko-KR"/>
        </w:rPr>
        <w:t>Immunogenicity</w:t>
      </w:r>
    </w:p>
    <w:p w14:paraId="0AE847D7" w14:textId="77777777" w:rsidR="004A10AE" w:rsidRDefault="004A10AE" w:rsidP="00DB2063">
      <w:pPr>
        <w:spacing w:line="240" w:lineRule="auto"/>
        <w:jc w:val="left"/>
        <w:rPr>
          <w:rFonts w:ascii="Times New Roman" w:hAnsi="Times New Roman" w:cs="Times New Roman"/>
          <w:sz w:val="24"/>
          <w:szCs w:val="24"/>
        </w:rPr>
      </w:pPr>
      <w:r w:rsidRPr="0025669D">
        <w:rPr>
          <w:rFonts w:ascii="Times New Roman" w:hAnsi="Times New Roman" w:cs="Times New Roman"/>
          <w:sz w:val="24"/>
          <w:szCs w:val="24"/>
        </w:rPr>
        <w:t>Patients who developed antibodies to infliximab were more likely to develop infusion-related reactions. In clinical studies using single and multiple infliximab doses ranging from 1 to 20</w:t>
      </w:r>
      <w:r>
        <w:rPr>
          <w:rFonts w:ascii="Times New Roman" w:hAnsi="Times New Roman" w:cs="Times New Roman"/>
          <w:sz w:val="24"/>
          <w:szCs w:val="24"/>
        </w:rPr>
        <w:t> </w:t>
      </w:r>
      <w:r w:rsidRPr="0025669D">
        <w:rPr>
          <w:rFonts w:ascii="Times New Roman" w:hAnsi="Times New Roman" w:cs="Times New Roman"/>
          <w:sz w:val="24"/>
          <w:szCs w:val="24"/>
        </w:rPr>
        <w:t xml:space="preserve">mg/kg, antibodies to infliximab were detected in approximately 24% of patients with any </w:t>
      </w:r>
      <w:r w:rsidRPr="0025669D">
        <w:rPr>
          <w:rFonts w:ascii="Times New Roman" w:hAnsi="Times New Roman" w:cs="Times New Roman"/>
          <w:sz w:val="24"/>
          <w:szCs w:val="24"/>
        </w:rPr>
        <w:lastRenderedPageBreak/>
        <w:t>immunosuppressant therapy, and in approximately 37% of patients without immunosuppressant therapy. In rheumatoid arthritis patients who received the recommended repeated treatment dose regimens with methotrexate, approximately 8% of patients developed antibodies to infliximab. In psoriatic arthritis patients who received 5 mg/kg with and without methotrexate, antibodies occurred overall in 15% of patients (antibodies occurred in 4% of patients receiving methotrexate and in 26% of patients not receiving methotrexate at baseline).</w:t>
      </w:r>
      <w:r w:rsidRPr="0025669D">
        <w:rPr>
          <w:rFonts w:ascii="Times New Roman" w:hAnsi="Times New Roman" w:cs="Times New Roman"/>
          <w:color w:val="0000FF"/>
          <w:sz w:val="24"/>
          <w:szCs w:val="24"/>
        </w:rPr>
        <w:t xml:space="preserve"> </w:t>
      </w:r>
      <w:r w:rsidRPr="0025669D">
        <w:rPr>
          <w:rFonts w:ascii="Times New Roman" w:hAnsi="Times New Roman" w:cs="Times New Roman"/>
          <w:sz w:val="24"/>
          <w:szCs w:val="24"/>
        </w:rPr>
        <w:t xml:space="preserve">Of Crohn’s disease patients who received maintenance treatment, approximately 6-13% developed antibodies to infliximab. The antibody incidence was 2-3 </w:t>
      </w:r>
      <w:proofErr w:type="gramStart"/>
      <w:r w:rsidRPr="0025669D">
        <w:rPr>
          <w:rFonts w:ascii="Times New Roman" w:hAnsi="Times New Roman" w:cs="Times New Roman"/>
          <w:sz w:val="24"/>
          <w:szCs w:val="24"/>
        </w:rPr>
        <w:t>fold</w:t>
      </w:r>
      <w:proofErr w:type="gramEnd"/>
      <w:r w:rsidRPr="0025669D">
        <w:rPr>
          <w:rFonts w:ascii="Times New Roman" w:hAnsi="Times New Roman" w:cs="Times New Roman"/>
          <w:sz w:val="24"/>
          <w:szCs w:val="24"/>
        </w:rPr>
        <w:t xml:space="preserve"> higher for patients treated episodically</w:t>
      </w:r>
      <w:r w:rsidRPr="0025669D">
        <w:rPr>
          <w:rFonts w:ascii="Times New Roman" w:hAnsi="Times New Roman" w:cs="Times New Roman"/>
          <w:color w:val="FF0000"/>
          <w:sz w:val="24"/>
          <w:szCs w:val="24"/>
        </w:rPr>
        <w:t>.</w:t>
      </w:r>
      <w:r w:rsidRPr="0025669D">
        <w:rPr>
          <w:rFonts w:ascii="Times New Roman" w:hAnsi="Times New Roman" w:cs="Times New Roman"/>
          <w:sz w:val="24"/>
          <w:szCs w:val="24"/>
        </w:rPr>
        <w:t xml:space="preserve"> Due to methodological shortcomings, a negative assay did not exclude the presence of antibodies to infliximab. Some patients who developed high </w:t>
      </w:r>
      <w:proofErr w:type="spellStart"/>
      <w:r w:rsidRPr="0025669D">
        <w:rPr>
          <w:rFonts w:ascii="Times New Roman" w:hAnsi="Times New Roman" w:cs="Times New Roman"/>
          <w:sz w:val="24"/>
          <w:szCs w:val="24"/>
        </w:rPr>
        <w:t>titres</w:t>
      </w:r>
      <w:proofErr w:type="spellEnd"/>
      <w:r w:rsidRPr="0025669D">
        <w:rPr>
          <w:rFonts w:ascii="Times New Roman" w:hAnsi="Times New Roman" w:cs="Times New Roman"/>
          <w:sz w:val="24"/>
          <w:szCs w:val="24"/>
        </w:rPr>
        <w:t xml:space="preserve"> of antibodies to infliximab had evidence of reduced efficacy. In a </w:t>
      </w:r>
      <w:r>
        <w:rPr>
          <w:rFonts w:ascii="Times New Roman" w:hAnsi="Times New Roman" w:cs="Times New Roman"/>
          <w:sz w:val="24"/>
          <w:szCs w:val="24"/>
        </w:rPr>
        <w:t>Phase 3</w:t>
      </w:r>
      <w:r w:rsidRPr="0025669D">
        <w:rPr>
          <w:rFonts w:ascii="Times New Roman" w:hAnsi="Times New Roman" w:cs="Times New Roman"/>
          <w:sz w:val="24"/>
          <w:szCs w:val="24"/>
        </w:rPr>
        <w:t xml:space="preserve"> psoriasis study in which patients were treated with infliximab induction followed by every 8-week maintenance infusions without concomitant immunosuppressive therapy, antibodies were detected in approximately 20% of patients.</w:t>
      </w:r>
    </w:p>
    <w:p w14:paraId="4BEF74C7" w14:textId="643FC97C" w:rsidR="00DB2063" w:rsidRPr="00AE1FBC" w:rsidRDefault="003E0B79" w:rsidP="00DB2063">
      <w:pPr>
        <w:spacing w:line="240" w:lineRule="auto"/>
        <w:jc w:val="left"/>
        <w:rPr>
          <w:rFonts w:ascii="Times New Roman" w:hAnsi="Times New Roman" w:cs="Times New Roman"/>
          <w:sz w:val="24"/>
          <w:szCs w:val="24"/>
        </w:rPr>
      </w:pPr>
      <w:r>
        <w:rPr>
          <w:rFonts w:ascii="Times New Roman" w:hAnsi="Times New Roman" w:cs="Times New Roman" w:hint="eastAsia"/>
          <w:sz w:val="24"/>
          <w:szCs w:val="24"/>
        </w:rPr>
        <w:t>Refer to</w:t>
      </w:r>
      <w:r w:rsidR="00AE1FBC">
        <w:rPr>
          <w:rFonts w:ascii="Times New Roman" w:hAnsi="Times New Roman" w:cs="Times New Roman" w:hint="eastAsia"/>
          <w:sz w:val="24"/>
          <w:szCs w:val="24"/>
        </w:rPr>
        <w:t xml:space="preserve"> </w:t>
      </w:r>
      <w:r w:rsidR="00AE1FBC" w:rsidRPr="00AE1FBC">
        <w:rPr>
          <w:rFonts w:ascii="Times New Roman" w:hAnsi="Times New Roman" w:cs="Times New Roman" w:hint="eastAsia"/>
          <w:i/>
          <w:sz w:val="24"/>
          <w:szCs w:val="24"/>
        </w:rPr>
        <w:t xml:space="preserve">Comparability of </w:t>
      </w:r>
      <w:r w:rsidR="00D5664D">
        <w:rPr>
          <w:rFonts w:ascii="Times New Roman" w:hAnsi="Times New Roman" w:cs="Times New Roman" w:hint="eastAsia"/>
          <w:i/>
          <w:sz w:val="24"/>
          <w:szCs w:val="24"/>
        </w:rPr>
        <w:t>RENFLEXIS</w:t>
      </w:r>
      <w:r w:rsidR="00AE1FBC" w:rsidRPr="00D5664D">
        <w:rPr>
          <w:rFonts w:ascii="Times New Roman" w:hAnsi="Times New Roman" w:cs="Times New Roman"/>
          <w:i/>
          <w:sz w:val="24"/>
          <w:szCs w:val="24"/>
        </w:rPr>
        <w:t xml:space="preserve"> </w:t>
      </w:r>
      <w:r w:rsidR="00D5664D" w:rsidRPr="00D5664D">
        <w:rPr>
          <w:rFonts w:ascii="Times New Roman" w:hAnsi="Times New Roman" w:cs="Times New Roman"/>
          <w:i/>
          <w:sz w:val="24"/>
          <w:szCs w:val="24"/>
        </w:rPr>
        <w:t>with</w:t>
      </w:r>
      <w:r w:rsidR="00D5664D" w:rsidRPr="00D5664D">
        <w:rPr>
          <w:rStyle w:val="CommentReference"/>
          <w:rFonts w:ascii="Times New Roman" w:hAnsi="Times New Roman" w:cs="Times New Roman"/>
          <w:kern w:val="0"/>
          <w:sz w:val="24"/>
          <w:szCs w:val="24"/>
        </w:rPr>
        <w:t xml:space="preserve"> </w:t>
      </w:r>
      <w:proofErr w:type="spellStart"/>
      <w:r w:rsidR="00AE1FBC" w:rsidRPr="00D5664D">
        <w:rPr>
          <w:rFonts w:ascii="Times New Roman" w:hAnsi="Times New Roman" w:cs="Times New Roman"/>
          <w:i/>
          <w:sz w:val="24"/>
          <w:szCs w:val="24"/>
        </w:rPr>
        <w:t>Remicade</w:t>
      </w:r>
      <w:proofErr w:type="spellEnd"/>
      <w:r w:rsidR="00AE1FBC" w:rsidRPr="00AE1FBC">
        <w:rPr>
          <w:rFonts w:ascii="Times New Roman" w:hAnsi="Times New Roman" w:cs="Times New Roman"/>
          <w:i/>
          <w:sz w:val="24"/>
          <w:szCs w:val="24"/>
          <w:vertAlign w:val="superscript"/>
        </w:rPr>
        <w:t>®</w:t>
      </w:r>
      <w:r w:rsidR="00AE1FBC">
        <w:rPr>
          <w:rFonts w:ascii="Times New Roman" w:hAnsi="Times New Roman" w:cs="Times New Roman" w:hint="eastAsia"/>
          <w:sz w:val="24"/>
          <w:szCs w:val="24"/>
        </w:rPr>
        <w:t xml:space="preserve"> </w:t>
      </w:r>
      <w:r>
        <w:rPr>
          <w:rFonts w:ascii="Times New Roman" w:hAnsi="Times New Roman" w:cs="Times New Roman" w:hint="eastAsia"/>
          <w:sz w:val="24"/>
          <w:szCs w:val="24"/>
        </w:rPr>
        <w:t xml:space="preserve">section for information on the immunogenicity of RENFLEXIS. </w:t>
      </w:r>
    </w:p>
    <w:p w14:paraId="0C18B529" w14:textId="77777777" w:rsidR="004A10AE" w:rsidRPr="00B1398C" w:rsidRDefault="004A10AE" w:rsidP="007947DB">
      <w:pPr>
        <w:pStyle w:val="Heading2"/>
        <w:tabs>
          <w:tab w:val="num" w:pos="1418"/>
        </w:tabs>
        <w:spacing w:after="0"/>
        <w:ind w:left="1702" w:hangingChars="709" w:hanging="1702"/>
        <w:rPr>
          <w:rFonts w:eastAsia="Malgun Gothic" w:cs="Times New Roman"/>
          <w:b w:val="0"/>
          <w:szCs w:val="24"/>
          <w:u w:val="single"/>
          <w:lang w:eastAsia="ko-KR"/>
        </w:rPr>
      </w:pPr>
      <w:r w:rsidRPr="00B1398C">
        <w:rPr>
          <w:rFonts w:eastAsia="Malgun Gothic" w:cs="Times New Roman"/>
          <w:b w:val="0"/>
          <w:szCs w:val="24"/>
          <w:u w:val="single"/>
          <w:lang w:eastAsia="ko-KR"/>
        </w:rPr>
        <w:t>Infections</w:t>
      </w:r>
    </w:p>
    <w:p w14:paraId="2AEAA642" w14:textId="77777777" w:rsidR="004A10AE" w:rsidRDefault="004A10AE" w:rsidP="007947DB">
      <w:pPr>
        <w:spacing w:after="0" w:line="240" w:lineRule="auto"/>
        <w:jc w:val="left"/>
        <w:rPr>
          <w:rFonts w:ascii="Times New Roman" w:hAnsi="Times New Roman" w:cs="Times New Roman"/>
          <w:sz w:val="24"/>
          <w:szCs w:val="24"/>
        </w:rPr>
      </w:pPr>
      <w:r w:rsidRPr="0025669D">
        <w:rPr>
          <w:rFonts w:ascii="Times New Roman" w:hAnsi="Times New Roman" w:cs="Times New Roman"/>
          <w:sz w:val="24"/>
          <w:szCs w:val="24"/>
        </w:rPr>
        <w:t xml:space="preserve">In clinical studies, 35% of </w:t>
      </w:r>
      <w:r>
        <w:rPr>
          <w:rFonts w:ascii="Times New Roman" w:eastAsia="Malgun Gothic" w:hAnsi="Times New Roman" w:cs="Times New Roman" w:hint="eastAsia"/>
          <w:color w:val="000000"/>
          <w:sz w:val="24"/>
          <w:szCs w:val="24"/>
        </w:rPr>
        <w:t>i</w:t>
      </w:r>
      <w:r w:rsidRPr="0025669D">
        <w:rPr>
          <w:rFonts w:ascii="Times New Roman" w:eastAsia="Malgun Gothic" w:hAnsi="Times New Roman" w:cs="Times New Roman"/>
          <w:color w:val="000000"/>
          <w:sz w:val="24"/>
          <w:szCs w:val="24"/>
        </w:rPr>
        <w:t xml:space="preserve">nfliximab </w:t>
      </w:r>
      <w:r w:rsidRPr="0025669D">
        <w:rPr>
          <w:rFonts w:ascii="Times New Roman" w:hAnsi="Times New Roman" w:cs="Times New Roman"/>
          <w:sz w:val="24"/>
          <w:szCs w:val="24"/>
        </w:rPr>
        <w:t xml:space="preserve">-treated patients experienced infections compared with 22% of placebo-treated patients. Serious infections, such as pneumonia, were reported in 5% of both </w:t>
      </w:r>
      <w:r>
        <w:rPr>
          <w:rFonts w:ascii="Times New Roman" w:eastAsia="Malgun Gothic" w:hAnsi="Times New Roman" w:cs="Times New Roman" w:hint="eastAsia"/>
          <w:color w:val="000000"/>
          <w:sz w:val="24"/>
          <w:szCs w:val="24"/>
        </w:rPr>
        <w:t>i</w:t>
      </w:r>
      <w:r w:rsidRPr="0025669D">
        <w:rPr>
          <w:rFonts w:ascii="Times New Roman" w:eastAsia="Malgun Gothic" w:hAnsi="Times New Roman" w:cs="Times New Roman"/>
          <w:color w:val="000000"/>
          <w:sz w:val="24"/>
          <w:szCs w:val="24"/>
        </w:rPr>
        <w:t>nfliximab</w:t>
      </w:r>
      <w:r w:rsidRPr="0025669D">
        <w:rPr>
          <w:rFonts w:ascii="Times New Roman" w:hAnsi="Times New Roman" w:cs="Times New Roman"/>
          <w:sz w:val="24"/>
          <w:szCs w:val="24"/>
        </w:rPr>
        <w:t xml:space="preserve">-treated patients and placebo-treated patients (see PRECAUTIONS). In a </w:t>
      </w:r>
      <w:r>
        <w:rPr>
          <w:rFonts w:ascii="Times New Roman" w:hAnsi="Times New Roman" w:cs="Times New Roman"/>
          <w:sz w:val="24"/>
          <w:szCs w:val="24"/>
        </w:rPr>
        <w:t>Phase 3</w:t>
      </w:r>
      <w:r w:rsidRPr="0025669D">
        <w:rPr>
          <w:rFonts w:ascii="Times New Roman" w:hAnsi="Times New Roman" w:cs="Times New Roman"/>
          <w:sz w:val="24"/>
          <w:szCs w:val="24"/>
        </w:rPr>
        <w:t xml:space="preserve"> psoriasis study, after 24 weeks of follow-up, 1% (3/298) of infliximab-treated psoriasis patients compared to 0% (0/76) of placebo-treated patients developed serious infections.</w:t>
      </w:r>
    </w:p>
    <w:p w14:paraId="06F90CF1" w14:textId="77777777" w:rsidR="004A10AE" w:rsidRPr="0025669D" w:rsidRDefault="004A10AE" w:rsidP="007947DB">
      <w:pPr>
        <w:spacing w:after="0" w:line="240" w:lineRule="auto"/>
        <w:jc w:val="left"/>
        <w:rPr>
          <w:rFonts w:ascii="Times New Roman" w:hAnsi="Times New Roman" w:cs="Times New Roman"/>
          <w:sz w:val="24"/>
          <w:szCs w:val="24"/>
        </w:rPr>
      </w:pPr>
    </w:p>
    <w:p w14:paraId="1B7240A9" w14:textId="77777777" w:rsidR="004A10AE" w:rsidRPr="0025669D" w:rsidRDefault="004A10AE" w:rsidP="007947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right="-46"/>
        <w:jc w:val="left"/>
        <w:rPr>
          <w:rFonts w:ascii="Times New Roman" w:hAnsi="Times New Roman" w:cs="Times New Roman"/>
          <w:snapToGrid w:val="0"/>
          <w:sz w:val="24"/>
          <w:szCs w:val="24"/>
        </w:rPr>
      </w:pPr>
      <w:r w:rsidRPr="0025669D">
        <w:rPr>
          <w:rFonts w:ascii="Times New Roman" w:hAnsi="Times New Roman" w:cs="Times New Roman"/>
          <w:snapToGrid w:val="0"/>
          <w:sz w:val="24"/>
          <w:szCs w:val="24"/>
        </w:rPr>
        <w:t xml:space="preserve">In post marketing surveillance, opportunistic infections such as tuberculosis, pneumocystis </w:t>
      </w:r>
      <w:proofErr w:type="spellStart"/>
      <w:r w:rsidRPr="0025669D">
        <w:rPr>
          <w:rFonts w:ascii="Times New Roman" w:hAnsi="Times New Roman" w:cs="Times New Roman"/>
          <w:snapToGrid w:val="0"/>
          <w:sz w:val="24"/>
          <w:szCs w:val="24"/>
        </w:rPr>
        <w:t>carinii</w:t>
      </w:r>
      <w:proofErr w:type="spellEnd"/>
      <w:r w:rsidRPr="0025669D">
        <w:rPr>
          <w:rFonts w:ascii="Times New Roman" w:hAnsi="Times New Roman" w:cs="Times New Roman"/>
          <w:snapToGrid w:val="0"/>
          <w:sz w:val="24"/>
          <w:szCs w:val="24"/>
        </w:rPr>
        <w:t xml:space="preserve"> pneumonia (PCP), </w:t>
      </w:r>
      <w:proofErr w:type="gramStart"/>
      <w:r w:rsidRPr="0025669D">
        <w:rPr>
          <w:rFonts w:ascii="Times New Roman" w:hAnsi="Times New Roman" w:cs="Times New Roman"/>
          <w:snapToGrid w:val="0"/>
          <w:sz w:val="24"/>
          <w:szCs w:val="24"/>
        </w:rPr>
        <w:t>histoplasmosis</w:t>
      </w:r>
      <w:proofErr w:type="gramEnd"/>
      <w:r w:rsidRPr="0025669D">
        <w:rPr>
          <w:rFonts w:ascii="Times New Roman" w:hAnsi="Times New Roman" w:cs="Times New Roman"/>
          <w:snapToGrid w:val="0"/>
          <w:sz w:val="24"/>
          <w:szCs w:val="24"/>
        </w:rPr>
        <w:t xml:space="preserve">, </w:t>
      </w:r>
      <w:proofErr w:type="spellStart"/>
      <w:r w:rsidRPr="0025669D">
        <w:rPr>
          <w:rFonts w:ascii="Times New Roman" w:hAnsi="Times New Roman" w:cs="Times New Roman"/>
          <w:snapToGrid w:val="0"/>
          <w:sz w:val="24"/>
          <w:szCs w:val="24"/>
        </w:rPr>
        <w:t>listeriosis</w:t>
      </w:r>
      <w:proofErr w:type="spellEnd"/>
      <w:r w:rsidRPr="0025669D">
        <w:rPr>
          <w:rFonts w:ascii="Times New Roman" w:hAnsi="Times New Roman" w:cs="Times New Roman"/>
          <w:snapToGrid w:val="0"/>
          <w:sz w:val="24"/>
          <w:szCs w:val="24"/>
        </w:rPr>
        <w:t xml:space="preserve">, </w:t>
      </w:r>
      <w:proofErr w:type="spellStart"/>
      <w:r w:rsidRPr="0025669D">
        <w:rPr>
          <w:rFonts w:ascii="Times New Roman" w:hAnsi="Times New Roman" w:cs="Times New Roman"/>
          <w:snapToGrid w:val="0"/>
          <w:sz w:val="24"/>
          <w:szCs w:val="24"/>
        </w:rPr>
        <w:t>coccidioidomycosis</w:t>
      </w:r>
      <w:proofErr w:type="spellEnd"/>
      <w:r w:rsidRPr="0025669D">
        <w:rPr>
          <w:rFonts w:ascii="Times New Roman" w:hAnsi="Times New Roman" w:cs="Times New Roman"/>
          <w:snapToGrid w:val="0"/>
          <w:sz w:val="24"/>
          <w:szCs w:val="24"/>
        </w:rPr>
        <w:t xml:space="preserve">, aspergillosis and </w:t>
      </w:r>
      <w:proofErr w:type="spellStart"/>
      <w:r w:rsidRPr="0025669D">
        <w:rPr>
          <w:rFonts w:ascii="Times New Roman" w:hAnsi="Times New Roman" w:cs="Times New Roman"/>
          <w:snapToGrid w:val="0"/>
          <w:sz w:val="24"/>
          <w:szCs w:val="24"/>
        </w:rPr>
        <w:t>oesophageal</w:t>
      </w:r>
      <w:proofErr w:type="spellEnd"/>
      <w:r w:rsidRPr="0025669D">
        <w:rPr>
          <w:rFonts w:ascii="Times New Roman" w:hAnsi="Times New Roman" w:cs="Times New Roman"/>
          <w:snapToGrid w:val="0"/>
          <w:sz w:val="24"/>
          <w:szCs w:val="24"/>
        </w:rPr>
        <w:t xml:space="preserve"> candidiasis have been reported.</w:t>
      </w:r>
    </w:p>
    <w:p w14:paraId="09275556" w14:textId="4B3D7843" w:rsidR="004A10AE" w:rsidRPr="0025669D" w:rsidRDefault="004A10AE" w:rsidP="007947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right="-46"/>
        <w:jc w:val="left"/>
        <w:rPr>
          <w:rFonts w:ascii="Times New Roman" w:hAnsi="Times New Roman" w:cs="Times New Roman"/>
          <w:bCs/>
          <w:sz w:val="24"/>
          <w:szCs w:val="24"/>
        </w:rPr>
      </w:pPr>
      <w:r w:rsidRPr="0025669D">
        <w:rPr>
          <w:rFonts w:ascii="Times New Roman" w:hAnsi="Times New Roman" w:cs="Times New Roman"/>
          <w:sz w:val="24"/>
          <w:szCs w:val="24"/>
        </w:rPr>
        <w:t xml:space="preserve">In </w:t>
      </w:r>
      <w:proofErr w:type="spellStart"/>
      <w:r w:rsidRPr="0025669D">
        <w:rPr>
          <w:rFonts w:ascii="Times New Roman" w:hAnsi="Times New Roman" w:cs="Times New Roman"/>
          <w:sz w:val="24"/>
          <w:szCs w:val="24"/>
        </w:rPr>
        <w:t>postmarketing</w:t>
      </w:r>
      <w:proofErr w:type="spellEnd"/>
      <w:r w:rsidRPr="0025669D">
        <w:rPr>
          <w:rFonts w:ascii="Times New Roman" w:hAnsi="Times New Roman" w:cs="Times New Roman"/>
          <w:sz w:val="24"/>
          <w:szCs w:val="24"/>
        </w:rPr>
        <w:t xml:space="preserve"> spontaneous reporting, infections are the most common serious adverse event. Some of the cases have resulted in fatal outcome. Cases of tuberculosis, sometimes fatal, including </w:t>
      </w:r>
      <w:proofErr w:type="spellStart"/>
      <w:r w:rsidRPr="0025669D">
        <w:rPr>
          <w:rFonts w:ascii="Times New Roman" w:hAnsi="Times New Roman" w:cs="Times New Roman"/>
          <w:sz w:val="24"/>
          <w:szCs w:val="24"/>
        </w:rPr>
        <w:t>miliary</w:t>
      </w:r>
      <w:proofErr w:type="spellEnd"/>
      <w:r w:rsidRPr="0025669D">
        <w:rPr>
          <w:rFonts w:ascii="Times New Roman" w:hAnsi="Times New Roman" w:cs="Times New Roman"/>
          <w:sz w:val="24"/>
          <w:szCs w:val="24"/>
        </w:rPr>
        <w:t xml:space="preserve"> tuberculosis and tuberculosis with </w:t>
      </w:r>
      <w:proofErr w:type="spellStart"/>
      <w:r w:rsidRPr="0025669D">
        <w:rPr>
          <w:rFonts w:ascii="Times New Roman" w:hAnsi="Times New Roman" w:cs="Times New Roman"/>
          <w:sz w:val="24"/>
          <w:szCs w:val="24"/>
        </w:rPr>
        <w:t>extrapulmonary</w:t>
      </w:r>
      <w:proofErr w:type="spellEnd"/>
      <w:r w:rsidRPr="0025669D">
        <w:rPr>
          <w:rFonts w:ascii="Times New Roman" w:hAnsi="Times New Roman" w:cs="Times New Roman"/>
          <w:sz w:val="24"/>
          <w:szCs w:val="24"/>
        </w:rPr>
        <w:t xml:space="preserve"> location (see PRECAUTIONS), and protozoal infections </w:t>
      </w:r>
      <w:r w:rsidRPr="0025669D">
        <w:rPr>
          <w:rFonts w:ascii="Times New Roman" w:hAnsi="Times New Roman" w:cs="Times New Roman"/>
          <w:bCs/>
          <w:sz w:val="24"/>
          <w:szCs w:val="24"/>
        </w:rPr>
        <w:t>have been reported.</w:t>
      </w:r>
    </w:p>
    <w:p w14:paraId="450171B9" w14:textId="77777777" w:rsidR="004A10AE" w:rsidRPr="00B1398C" w:rsidRDefault="004A10AE" w:rsidP="007947DB">
      <w:pPr>
        <w:pStyle w:val="Heading2"/>
        <w:tabs>
          <w:tab w:val="num" w:pos="1418"/>
        </w:tabs>
        <w:spacing w:after="0"/>
        <w:ind w:left="1702" w:hangingChars="709" w:hanging="1702"/>
        <w:rPr>
          <w:rFonts w:eastAsia="Malgun Gothic" w:cs="Times New Roman"/>
          <w:b w:val="0"/>
          <w:szCs w:val="24"/>
          <w:u w:val="single"/>
          <w:lang w:eastAsia="ko-KR"/>
        </w:rPr>
      </w:pPr>
      <w:r w:rsidRPr="00B1398C">
        <w:rPr>
          <w:rFonts w:eastAsia="Malgun Gothic" w:cs="Times New Roman"/>
          <w:b w:val="0"/>
          <w:szCs w:val="24"/>
          <w:u w:val="single"/>
          <w:lang w:eastAsia="ko-KR"/>
        </w:rPr>
        <w:t>Malignancies and lymphoproliferative disorders</w:t>
      </w:r>
    </w:p>
    <w:p w14:paraId="6374A9DC" w14:textId="77777777" w:rsidR="004A10AE" w:rsidRDefault="004A10AE" w:rsidP="007947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46"/>
        <w:jc w:val="left"/>
        <w:rPr>
          <w:rFonts w:ascii="Times New Roman" w:hAnsi="Times New Roman" w:cs="Times New Roman"/>
          <w:sz w:val="24"/>
          <w:szCs w:val="24"/>
        </w:rPr>
      </w:pPr>
      <w:r w:rsidRPr="0086701A">
        <w:rPr>
          <w:rFonts w:ascii="Times New Roman" w:hAnsi="Times New Roman" w:cs="Times New Roman"/>
          <w:sz w:val="24"/>
          <w:szCs w:val="24"/>
        </w:rPr>
        <w:t>In clinical studies with infliximab, in which 5780 patients were treated, representing 5494 patient-years, 5 cases of lymphomas and 26 non-lymphoma malignancies were detected as compared with no lymphomas and 1 non-lymphoma malignancy in 1600 placebo-treated patients observed during 941 patient years.</w:t>
      </w:r>
    </w:p>
    <w:p w14:paraId="0DA54D18" w14:textId="77777777" w:rsidR="004A10AE" w:rsidRPr="0086701A" w:rsidRDefault="004A10AE" w:rsidP="007947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46"/>
        <w:jc w:val="left"/>
        <w:rPr>
          <w:rFonts w:ascii="Times New Roman" w:hAnsi="Times New Roman" w:cs="Times New Roman"/>
          <w:sz w:val="24"/>
          <w:szCs w:val="24"/>
        </w:rPr>
      </w:pPr>
    </w:p>
    <w:p w14:paraId="198B41FA" w14:textId="77777777" w:rsidR="004A10AE" w:rsidRPr="0025669D" w:rsidRDefault="004A10AE" w:rsidP="007947DB">
      <w:pPr>
        <w:spacing w:line="240" w:lineRule="auto"/>
        <w:jc w:val="left"/>
        <w:rPr>
          <w:rFonts w:ascii="Times New Roman" w:hAnsi="Times New Roman" w:cs="Times New Roman"/>
          <w:sz w:val="24"/>
          <w:szCs w:val="24"/>
        </w:rPr>
      </w:pPr>
      <w:r w:rsidRPr="0025669D">
        <w:rPr>
          <w:rFonts w:ascii="Times New Roman" w:hAnsi="Times New Roman" w:cs="Times New Roman"/>
          <w:snapToGrid w:val="0"/>
          <w:sz w:val="24"/>
          <w:szCs w:val="24"/>
        </w:rPr>
        <w:t>In long-term safety follow-up of clinical studies with infliximab of up to 5 years, representing 6234 patient years, 5 cases of lymphoma and 38 cases of non-lymphoma malignancies were reported.</w:t>
      </w:r>
    </w:p>
    <w:p w14:paraId="0E6EC666" w14:textId="77777777" w:rsidR="004A10AE" w:rsidRPr="0025669D" w:rsidRDefault="004A10AE" w:rsidP="007947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right="-46"/>
        <w:jc w:val="left"/>
        <w:rPr>
          <w:rFonts w:ascii="Times New Roman" w:hAnsi="Times New Roman" w:cs="Times New Roman"/>
          <w:sz w:val="24"/>
          <w:szCs w:val="24"/>
        </w:rPr>
      </w:pPr>
      <w:r w:rsidRPr="0086701A">
        <w:rPr>
          <w:rFonts w:ascii="Times New Roman" w:hAnsi="Times New Roman" w:cs="Times New Roman"/>
          <w:sz w:val="24"/>
          <w:szCs w:val="24"/>
        </w:rPr>
        <w:t xml:space="preserve">From August 1998 to August 2005, 1909 cases of suspected malignancies have been reported </w:t>
      </w:r>
      <w:r w:rsidRPr="0086701A">
        <w:rPr>
          <w:rFonts w:ascii="Times New Roman" w:hAnsi="Times New Roman" w:cs="Times New Roman"/>
          <w:sz w:val="24"/>
          <w:szCs w:val="24"/>
        </w:rPr>
        <w:lastRenderedPageBreak/>
        <w:t>from post-marketing, clinical trials and registries (321 in Crohn’s disease patients, 1302 in rheumatoid arthritis patients and 286 in patients with other or unknown indications). Among those there were 347 lymphoma cases. During this period, the estimated exposure is 1,909,941 patient years since first exposure (see PRECAUTIONS, Malignancies and lymphoproliferative disorders).</w:t>
      </w:r>
    </w:p>
    <w:p w14:paraId="4ABE01D5" w14:textId="77777777" w:rsidR="004A10AE" w:rsidRDefault="004A10AE" w:rsidP="007947DB">
      <w:pPr>
        <w:spacing w:line="240" w:lineRule="auto"/>
        <w:jc w:val="left"/>
        <w:rPr>
          <w:rFonts w:ascii="Times New Roman" w:hAnsi="Times New Roman" w:cs="Times New Roman"/>
          <w:color w:val="000000"/>
          <w:sz w:val="24"/>
          <w:szCs w:val="24"/>
        </w:rPr>
      </w:pPr>
      <w:r w:rsidRPr="0025669D">
        <w:rPr>
          <w:rFonts w:ascii="Times New Roman" w:hAnsi="Times New Roman" w:cs="Times New Roman"/>
          <w:sz w:val="24"/>
          <w:szCs w:val="24"/>
        </w:rPr>
        <w:t>In the controlled portions of some clinical trials of the TNF-blocking agents, more cases of non-lymphoma malignancy have been observed among patients receiving a TNF-blocker compared with control patients.</w:t>
      </w:r>
      <w:r w:rsidRPr="0025669D">
        <w:rPr>
          <w:rFonts w:ascii="Times New Roman" w:hAnsi="Times New Roman" w:cs="Times New Roman"/>
          <w:color w:val="000000"/>
          <w:sz w:val="24"/>
          <w:szCs w:val="24"/>
        </w:rPr>
        <w:t xml:space="preserve"> In an exploratory clinical trial evaluating the use of </w:t>
      </w:r>
      <w:r>
        <w:rPr>
          <w:rFonts w:ascii="Times New Roman" w:eastAsia="Malgun Gothic" w:hAnsi="Times New Roman" w:cs="Times New Roman" w:hint="eastAsia"/>
          <w:color w:val="000000"/>
          <w:sz w:val="24"/>
          <w:szCs w:val="24"/>
        </w:rPr>
        <w:t>i</w:t>
      </w:r>
      <w:r w:rsidRPr="0025669D">
        <w:rPr>
          <w:rFonts w:ascii="Times New Roman" w:eastAsia="Malgun Gothic" w:hAnsi="Times New Roman" w:cs="Times New Roman"/>
          <w:color w:val="000000"/>
          <w:sz w:val="24"/>
          <w:szCs w:val="24"/>
        </w:rPr>
        <w:t>nfliximab</w:t>
      </w:r>
      <w:r w:rsidRPr="0025669D">
        <w:rPr>
          <w:rFonts w:ascii="Times New Roman" w:hAnsi="Times New Roman" w:cs="Times New Roman"/>
          <w:color w:val="000000"/>
          <w:sz w:val="24"/>
          <w:szCs w:val="24"/>
        </w:rPr>
        <w:t xml:space="preserve"> in patients with moderate to severe chronic obstructive pulmonary disease (COPD), more malignancies were reported in </w:t>
      </w:r>
      <w:r>
        <w:rPr>
          <w:rFonts w:ascii="Times New Roman" w:eastAsia="Malgun Gothic" w:hAnsi="Times New Roman" w:cs="Times New Roman" w:hint="eastAsia"/>
          <w:color w:val="000000"/>
          <w:sz w:val="24"/>
          <w:szCs w:val="24"/>
        </w:rPr>
        <w:t>i</w:t>
      </w:r>
      <w:r w:rsidRPr="0025669D">
        <w:rPr>
          <w:rFonts w:ascii="Times New Roman" w:eastAsia="Malgun Gothic" w:hAnsi="Times New Roman" w:cs="Times New Roman"/>
          <w:color w:val="000000"/>
          <w:sz w:val="24"/>
          <w:szCs w:val="24"/>
        </w:rPr>
        <w:t>nfliximab</w:t>
      </w:r>
      <w:r w:rsidRPr="0025669D">
        <w:rPr>
          <w:rFonts w:ascii="Times New Roman" w:hAnsi="Times New Roman" w:cs="Times New Roman"/>
          <w:color w:val="000000"/>
          <w:sz w:val="24"/>
          <w:szCs w:val="24"/>
        </w:rPr>
        <w:t>-treated patients compared with control patients, 5.7% [95% CI 2.65% - 10.6%] vs. 1% [95% CI 0.03% - 7.0%]. The malignancies were mainly lung and head and neck. All patients had a history of heavy smoking.</w:t>
      </w:r>
    </w:p>
    <w:p w14:paraId="06E526B9" w14:textId="6794399A" w:rsidR="005F3A08" w:rsidRPr="005F3A08" w:rsidRDefault="005F3A08" w:rsidP="005F3A08">
      <w:pPr>
        <w:spacing w:line="240" w:lineRule="auto"/>
        <w:jc w:val="left"/>
        <w:rPr>
          <w:rFonts w:ascii="Times New Roman" w:hAnsi="Times New Roman" w:cs="Times New Roman"/>
          <w:sz w:val="24"/>
          <w:szCs w:val="24"/>
        </w:rPr>
      </w:pPr>
      <w:r w:rsidRPr="005F3A08">
        <w:rPr>
          <w:rFonts w:ascii="Times New Roman" w:hAnsi="Times New Roman" w:cs="Times New Roman"/>
          <w:sz w:val="24"/>
          <w:szCs w:val="24"/>
        </w:rPr>
        <w:t>A population-based retrospective cohort study found an increased</w:t>
      </w:r>
      <w:r>
        <w:rPr>
          <w:rFonts w:ascii="Times New Roman" w:hAnsi="Times New Roman" w:cs="Times New Roman"/>
          <w:sz w:val="24"/>
          <w:szCs w:val="24"/>
        </w:rPr>
        <w:t xml:space="preserve"> incidence of cervical cancer</w:t>
      </w:r>
      <w:r>
        <w:rPr>
          <w:rFonts w:ascii="Times New Roman" w:hAnsi="Times New Roman" w:cs="Times New Roman" w:hint="eastAsia"/>
          <w:sz w:val="24"/>
          <w:szCs w:val="24"/>
        </w:rPr>
        <w:t xml:space="preserve"> </w:t>
      </w:r>
      <w:r>
        <w:rPr>
          <w:rFonts w:ascii="Times New Roman" w:hAnsi="Times New Roman" w:cs="Times New Roman"/>
          <w:sz w:val="24"/>
          <w:szCs w:val="24"/>
        </w:rPr>
        <w:t xml:space="preserve">in women with rheumatoid arthritis </w:t>
      </w:r>
      <w:r w:rsidRPr="005F3A08">
        <w:rPr>
          <w:rFonts w:ascii="Times New Roman" w:hAnsi="Times New Roman" w:cs="Times New Roman"/>
          <w:sz w:val="24"/>
          <w:szCs w:val="24"/>
        </w:rPr>
        <w:t>treated with infliximab compared</w:t>
      </w:r>
      <w:r>
        <w:rPr>
          <w:rFonts w:ascii="Times New Roman" w:hAnsi="Times New Roman" w:cs="Times New Roman" w:hint="eastAsia"/>
          <w:sz w:val="24"/>
          <w:szCs w:val="24"/>
        </w:rPr>
        <w:t xml:space="preserve"> </w:t>
      </w:r>
      <w:r w:rsidRPr="005F3A08">
        <w:rPr>
          <w:rFonts w:ascii="Times New Roman" w:hAnsi="Times New Roman" w:cs="Times New Roman"/>
          <w:sz w:val="24"/>
          <w:szCs w:val="24"/>
        </w:rPr>
        <w:t>to biologics-naïve patients or the general population, including those over 60 years of age (see PRECAUTIONS).</w:t>
      </w:r>
    </w:p>
    <w:p w14:paraId="76592CDB" w14:textId="77777777" w:rsidR="004A10AE" w:rsidRPr="0025669D" w:rsidRDefault="004A10AE" w:rsidP="007947DB">
      <w:pPr>
        <w:spacing w:line="240" w:lineRule="auto"/>
        <w:jc w:val="left"/>
        <w:rPr>
          <w:rFonts w:ascii="Times New Roman" w:hAnsi="Times New Roman" w:cs="Times New Roman"/>
          <w:sz w:val="24"/>
          <w:szCs w:val="24"/>
          <w:u w:val="single"/>
        </w:rPr>
      </w:pPr>
      <w:r w:rsidRPr="0025669D">
        <w:rPr>
          <w:rFonts w:ascii="Times New Roman" w:hAnsi="Times New Roman" w:cs="Times New Roman"/>
          <w:sz w:val="24"/>
          <w:szCs w:val="24"/>
        </w:rPr>
        <w:t xml:space="preserve">During </w:t>
      </w:r>
      <w:proofErr w:type="spellStart"/>
      <w:r w:rsidRPr="0025669D">
        <w:rPr>
          <w:rFonts w:ascii="Times New Roman" w:hAnsi="Times New Roman" w:cs="Times New Roman"/>
          <w:sz w:val="24"/>
          <w:szCs w:val="24"/>
        </w:rPr>
        <w:t>postmarketing</w:t>
      </w:r>
      <w:proofErr w:type="spellEnd"/>
      <w:r w:rsidRPr="0025669D">
        <w:rPr>
          <w:rFonts w:ascii="Times New Roman" w:hAnsi="Times New Roman" w:cs="Times New Roman"/>
          <w:sz w:val="24"/>
          <w:szCs w:val="24"/>
        </w:rPr>
        <w:t xml:space="preserve"> experience, a rare type of </w:t>
      </w:r>
      <w:proofErr w:type="spellStart"/>
      <w:r w:rsidRPr="0025669D">
        <w:rPr>
          <w:rFonts w:ascii="Times New Roman" w:hAnsi="Times New Roman" w:cs="Times New Roman"/>
          <w:sz w:val="24"/>
          <w:szCs w:val="24"/>
        </w:rPr>
        <w:t>hepatosplenic</w:t>
      </w:r>
      <w:proofErr w:type="spellEnd"/>
      <w:r w:rsidRPr="0025669D">
        <w:rPr>
          <w:rFonts w:ascii="Times New Roman" w:hAnsi="Times New Roman" w:cs="Times New Roman"/>
          <w:sz w:val="24"/>
          <w:szCs w:val="24"/>
        </w:rPr>
        <w:t xml:space="preserve"> T-cell lymphoma has been reported in adolescent and young adult patients with Crohn’s disease treated with </w:t>
      </w:r>
      <w:r>
        <w:rPr>
          <w:rFonts w:ascii="Times New Roman" w:eastAsia="Malgun Gothic" w:hAnsi="Times New Roman" w:cs="Times New Roman" w:hint="eastAsia"/>
          <w:color w:val="000000"/>
          <w:sz w:val="24"/>
          <w:szCs w:val="24"/>
        </w:rPr>
        <w:t>i</w:t>
      </w:r>
      <w:r w:rsidRPr="0025669D">
        <w:rPr>
          <w:rFonts w:ascii="Times New Roman" w:eastAsia="Malgun Gothic" w:hAnsi="Times New Roman" w:cs="Times New Roman"/>
          <w:color w:val="000000"/>
          <w:sz w:val="24"/>
          <w:szCs w:val="24"/>
        </w:rPr>
        <w:t>nfliximab</w:t>
      </w:r>
      <w:r w:rsidRPr="0025669D">
        <w:rPr>
          <w:rFonts w:ascii="Times New Roman" w:hAnsi="Times New Roman" w:cs="Times New Roman"/>
          <w:sz w:val="24"/>
          <w:szCs w:val="24"/>
        </w:rPr>
        <w:t xml:space="preserve"> (see PRECAUTIONS – </w:t>
      </w:r>
      <w:r w:rsidRPr="0025669D">
        <w:rPr>
          <w:rFonts w:ascii="Times New Roman" w:hAnsi="Times New Roman" w:cs="Times New Roman"/>
          <w:spacing w:val="-3"/>
          <w:sz w:val="24"/>
          <w:szCs w:val="24"/>
        </w:rPr>
        <w:t>Malignancies and lymphoproliferative disorders</w:t>
      </w:r>
      <w:r w:rsidRPr="0025669D">
        <w:rPr>
          <w:rFonts w:ascii="Times New Roman" w:hAnsi="Times New Roman" w:cs="Times New Roman"/>
          <w:sz w:val="24"/>
          <w:szCs w:val="24"/>
        </w:rPr>
        <w:t>).</w:t>
      </w:r>
    </w:p>
    <w:p w14:paraId="561ABDA6" w14:textId="77777777" w:rsidR="004A10AE" w:rsidRPr="00B1398C" w:rsidRDefault="004A10AE" w:rsidP="007947DB">
      <w:pPr>
        <w:pStyle w:val="Heading2"/>
        <w:tabs>
          <w:tab w:val="num" w:pos="1418"/>
        </w:tabs>
        <w:spacing w:after="0"/>
        <w:ind w:left="1702" w:hangingChars="709" w:hanging="1702"/>
        <w:rPr>
          <w:rFonts w:eastAsia="Malgun Gothic" w:cs="Times New Roman"/>
          <w:b w:val="0"/>
          <w:szCs w:val="24"/>
          <w:u w:val="single"/>
          <w:lang w:eastAsia="ko-KR"/>
        </w:rPr>
      </w:pPr>
      <w:r w:rsidRPr="00B1398C">
        <w:rPr>
          <w:rFonts w:eastAsia="Malgun Gothic" w:cs="Times New Roman"/>
          <w:b w:val="0"/>
          <w:szCs w:val="24"/>
          <w:u w:val="single"/>
          <w:lang w:eastAsia="ko-KR"/>
        </w:rPr>
        <w:t>Heart failure</w:t>
      </w:r>
    </w:p>
    <w:p w14:paraId="5AEA7F51" w14:textId="77777777" w:rsidR="004A10AE" w:rsidRPr="0025669D" w:rsidRDefault="004A10AE" w:rsidP="007947DB">
      <w:pPr>
        <w:spacing w:after="0" w:line="240" w:lineRule="auto"/>
        <w:jc w:val="left"/>
        <w:rPr>
          <w:rFonts w:ascii="Times New Roman" w:hAnsi="Times New Roman" w:cs="Times New Roman"/>
          <w:sz w:val="24"/>
          <w:szCs w:val="24"/>
        </w:rPr>
      </w:pPr>
      <w:r w:rsidRPr="0025669D">
        <w:rPr>
          <w:rFonts w:ascii="Times New Roman" w:hAnsi="Times New Roman" w:cs="Times New Roman"/>
          <w:sz w:val="24"/>
          <w:szCs w:val="24"/>
        </w:rPr>
        <w:t xml:space="preserve">In a </w:t>
      </w:r>
      <w:r>
        <w:rPr>
          <w:rFonts w:ascii="Times New Roman" w:hAnsi="Times New Roman" w:cs="Times New Roman"/>
          <w:sz w:val="24"/>
          <w:szCs w:val="24"/>
        </w:rPr>
        <w:t>Phase 2</w:t>
      </w:r>
      <w:r w:rsidRPr="0025669D">
        <w:rPr>
          <w:rFonts w:ascii="Times New Roman" w:hAnsi="Times New Roman" w:cs="Times New Roman"/>
          <w:sz w:val="24"/>
          <w:szCs w:val="24"/>
        </w:rPr>
        <w:t xml:space="preserve"> study aimed at evaluating </w:t>
      </w:r>
      <w:r>
        <w:rPr>
          <w:rFonts w:ascii="Times New Roman" w:eastAsia="Malgun Gothic" w:hAnsi="Times New Roman" w:cs="Times New Roman" w:hint="eastAsia"/>
          <w:color w:val="000000"/>
          <w:sz w:val="24"/>
          <w:szCs w:val="24"/>
        </w:rPr>
        <w:t>i</w:t>
      </w:r>
      <w:r w:rsidRPr="0025669D">
        <w:rPr>
          <w:rFonts w:ascii="Times New Roman" w:eastAsia="Malgun Gothic" w:hAnsi="Times New Roman" w:cs="Times New Roman"/>
          <w:color w:val="000000"/>
          <w:sz w:val="24"/>
          <w:szCs w:val="24"/>
        </w:rPr>
        <w:t>nfliximab</w:t>
      </w:r>
      <w:r w:rsidRPr="0025669D">
        <w:rPr>
          <w:rFonts w:ascii="Times New Roman" w:hAnsi="Times New Roman" w:cs="Times New Roman"/>
          <w:sz w:val="24"/>
          <w:szCs w:val="24"/>
        </w:rPr>
        <w:t xml:space="preserve"> in moderate to severe congestive heart failure (CHF), higher incidence of mortality due to worsening of heart failure was seen in patients treated with </w:t>
      </w:r>
      <w:r>
        <w:rPr>
          <w:rFonts w:ascii="Times New Roman" w:eastAsia="Malgun Gothic" w:hAnsi="Times New Roman" w:cs="Times New Roman" w:hint="eastAsia"/>
          <w:color w:val="000000"/>
          <w:sz w:val="24"/>
          <w:szCs w:val="24"/>
        </w:rPr>
        <w:t>i</w:t>
      </w:r>
      <w:r w:rsidRPr="0025669D">
        <w:rPr>
          <w:rFonts w:ascii="Times New Roman" w:eastAsia="Malgun Gothic" w:hAnsi="Times New Roman" w:cs="Times New Roman"/>
          <w:color w:val="000000"/>
          <w:sz w:val="24"/>
          <w:szCs w:val="24"/>
        </w:rPr>
        <w:t>nfliximab</w:t>
      </w:r>
      <w:r w:rsidRPr="0025669D">
        <w:rPr>
          <w:rFonts w:ascii="Times New Roman" w:hAnsi="Times New Roman" w:cs="Times New Roman"/>
          <w:sz w:val="24"/>
          <w:szCs w:val="24"/>
        </w:rPr>
        <w:t xml:space="preserve">, especially those treated with the higher dose of 10 mg/kg. There have been post-marketing reports of worsening heart failure, with and without identifiable precipitating factors, in patients taking </w:t>
      </w:r>
      <w:r>
        <w:rPr>
          <w:rFonts w:ascii="Times New Roman" w:eastAsia="Malgun Gothic" w:hAnsi="Times New Roman" w:cs="Times New Roman" w:hint="eastAsia"/>
          <w:color w:val="000000"/>
          <w:sz w:val="24"/>
          <w:szCs w:val="24"/>
        </w:rPr>
        <w:t>i</w:t>
      </w:r>
      <w:r w:rsidRPr="0025669D">
        <w:rPr>
          <w:rFonts w:ascii="Times New Roman" w:eastAsia="Malgun Gothic" w:hAnsi="Times New Roman" w:cs="Times New Roman"/>
          <w:color w:val="000000"/>
          <w:sz w:val="24"/>
          <w:szCs w:val="24"/>
        </w:rPr>
        <w:t>nfliximab</w:t>
      </w:r>
      <w:r w:rsidRPr="0025669D">
        <w:rPr>
          <w:rFonts w:ascii="Times New Roman" w:hAnsi="Times New Roman" w:cs="Times New Roman"/>
          <w:sz w:val="24"/>
          <w:szCs w:val="24"/>
        </w:rPr>
        <w:t>. There have also been rare post-marketing reports of new onset heart failure, including heart failure in patients without known pre-existing cardiovascular disease. Some of these patients have been under 50 years of age.</w:t>
      </w:r>
    </w:p>
    <w:p w14:paraId="7123237C" w14:textId="77777777" w:rsidR="004A10AE" w:rsidRPr="00B1398C" w:rsidRDefault="004A10AE" w:rsidP="007947DB">
      <w:pPr>
        <w:pStyle w:val="Heading2"/>
        <w:tabs>
          <w:tab w:val="num" w:pos="1418"/>
        </w:tabs>
        <w:spacing w:after="0"/>
        <w:ind w:left="1702" w:hangingChars="709" w:hanging="1702"/>
        <w:rPr>
          <w:rFonts w:eastAsia="Malgun Gothic" w:cs="Times New Roman"/>
          <w:b w:val="0"/>
          <w:szCs w:val="24"/>
          <w:u w:val="single"/>
          <w:lang w:eastAsia="ko-KR"/>
        </w:rPr>
      </w:pPr>
      <w:r w:rsidRPr="00B1398C">
        <w:rPr>
          <w:rFonts w:eastAsia="Malgun Gothic" w:cs="Times New Roman"/>
          <w:b w:val="0"/>
          <w:szCs w:val="24"/>
          <w:u w:val="single"/>
          <w:lang w:eastAsia="ko-KR"/>
        </w:rPr>
        <w:t>Autoantibodies / Lupus-like Syndrome</w:t>
      </w:r>
    </w:p>
    <w:p w14:paraId="6C153CD0" w14:textId="77777777" w:rsidR="004A10AE" w:rsidRPr="0025669D" w:rsidRDefault="004A10AE" w:rsidP="007947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46"/>
        <w:jc w:val="left"/>
        <w:rPr>
          <w:rFonts w:ascii="Times New Roman" w:hAnsi="Times New Roman" w:cs="Times New Roman"/>
          <w:sz w:val="24"/>
          <w:szCs w:val="24"/>
        </w:rPr>
      </w:pPr>
      <w:r w:rsidRPr="0025669D">
        <w:rPr>
          <w:rFonts w:ascii="Times New Roman" w:hAnsi="Times New Roman" w:cs="Times New Roman"/>
          <w:sz w:val="24"/>
          <w:szCs w:val="24"/>
        </w:rPr>
        <w:t xml:space="preserve">In clinical studies approximately 52% of (1261) infliximab-treated patients who were ANA negative at baseline developed a positive ANA during the trial (compared with approximately 19% of 129 placebo-treated patients). Anti-dsDNA antibodies developed in approximately 17% (261) of patients treated with </w:t>
      </w:r>
      <w:r w:rsidRPr="0086701A">
        <w:rPr>
          <w:rFonts w:ascii="Times New Roman" w:hAnsi="Times New Roman" w:cs="Times New Roman" w:hint="eastAsia"/>
          <w:sz w:val="24"/>
          <w:szCs w:val="24"/>
        </w:rPr>
        <w:t>i</w:t>
      </w:r>
      <w:r w:rsidRPr="0086701A">
        <w:rPr>
          <w:rFonts w:ascii="Times New Roman" w:hAnsi="Times New Roman" w:cs="Times New Roman"/>
          <w:sz w:val="24"/>
          <w:szCs w:val="24"/>
        </w:rPr>
        <w:t>nfliximab (compared with 0% of 162 placebo-treated patients</w:t>
      </w:r>
      <w:r w:rsidRPr="0025669D">
        <w:rPr>
          <w:rFonts w:ascii="Times New Roman" w:hAnsi="Times New Roman" w:cs="Times New Roman"/>
          <w:sz w:val="24"/>
          <w:szCs w:val="24"/>
        </w:rPr>
        <w:t>. At the last evaluation, 150 of these 261 infliximab-treated patients (57%) remained anti-dsDNA positive. Clinical signs consistent with a lupus-like syndrome remain uncommon.</w:t>
      </w:r>
    </w:p>
    <w:p w14:paraId="05CADFA4" w14:textId="77777777" w:rsidR="004A10AE" w:rsidRPr="00B1398C" w:rsidRDefault="004A10AE" w:rsidP="007947DB">
      <w:pPr>
        <w:pStyle w:val="Heading2"/>
        <w:tabs>
          <w:tab w:val="num" w:pos="1418"/>
        </w:tabs>
        <w:spacing w:after="0"/>
        <w:ind w:left="1702" w:hangingChars="709" w:hanging="1702"/>
        <w:rPr>
          <w:rFonts w:eastAsia="Malgun Gothic" w:cs="Times New Roman"/>
          <w:b w:val="0"/>
          <w:szCs w:val="24"/>
          <w:u w:val="single"/>
          <w:lang w:eastAsia="ko-KR"/>
        </w:rPr>
      </w:pPr>
      <w:r w:rsidRPr="00B1398C">
        <w:rPr>
          <w:rFonts w:eastAsia="Malgun Gothic" w:cs="Times New Roman"/>
          <w:b w:val="0"/>
          <w:szCs w:val="24"/>
          <w:u w:val="single"/>
          <w:lang w:eastAsia="ko-KR"/>
        </w:rPr>
        <w:t>Hepatobiliary Events</w:t>
      </w:r>
    </w:p>
    <w:p w14:paraId="52F25598" w14:textId="5878FB74" w:rsidR="004A10AE" w:rsidRDefault="004A10AE" w:rsidP="007947DB">
      <w:pPr>
        <w:spacing w:after="0" w:line="240" w:lineRule="auto"/>
        <w:jc w:val="left"/>
        <w:rPr>
          <w:rFonts w:ascii="Times New Roman" w:hAnsi="Times New Roman" w:cs="Times New Roman"/>
          <w:sz w:val="24"/>
          <w:szCs w:val="24"/>
        </w:rPr>
      </w:pPr>
      <w:r w:rsidRPr="0025669D">
        <w:rPr>
          <w:rFonts w:ascii="Times New Roman" w:hAnsi="Times New Roman" w:cs="Times New Roman"/>
          <w:sz w:val="24"/>
          <w:szCs w:val="24"/>
        </w:rPr>
        <w:t xml:space="preserve">In post-marketing surveillance, cases of jaundice and hepatitis, some with features of autoimmune hepatitis, have been reported in patients receiving </w:t>
      </w:r>
      <w:r>
        <w:rPr>
          <w:rFonts w:ascii="Times New Roman" w:eastAsia="Malgun Gothic" w:hAnsi="Times New Roman" w:cs="Times New Roman" w:hint="eastAsia"/>
          <w:color w:val="000000"/>
          <w:sz w:val="24"/>
          <w:szCs w:val="24"/>
        </w:rPr>
        <w:t>i</w:t>
      </w:r>
      <w:r w:rsidRPr="0025669D">
        <w:rPr>
          <w:rFonts w:ascii="Times New Roman" w:eastAsia="Malgun Gothic" w:hAnsi="Times New Roman" w:cs="Times New Roman"/>
          <w:color w:val="000000"/>
          <w:sz w:val="24"/>
          <w:szCs w:val="24"/>
        </w:rPr>
        <w:t>nfliximab</w:t>
      </w:r>
      <w:r w:rsidRPr="0025669D">
        <w:rPr>
          <w:rFonts w:ascii="Times New Roman" w:hAnsi="Times New Roman" w:cs="Times New Roman"/>
          <w:sz w:val="24"/>
          <w:szCs w:val="24"/>
        </w:rPr>
        <w:t xml:space="preserve"> (</w:t>
      </w:r>
      <w:r w:rsidRPr="00BD3350">
        <w:rPr>
          <w:rFonts w:ascii="Times New Roman" w:hAnsi="Times New Roman" w:cs="Times New Roman"/>
          <w:sz w:val="24"/>
          <w:szCs w:val="24"/>
        </w:rPr>
        <w:t xml:space="preserve">see </w:t>
      </w:r>
      <w:r w:rsidR="00BD3350" w:rsidRPr="00BD3350">
        <w:rPr>
          <w:rFonts w:ascii="Times New Roman" w:hAnsi="Times New Roman" w:cs="Times New Roman"/>
          <w:sz w:val="24"/>
          <w:szCs w:val="24"/>
        </w:rPr>
        <w:fldChar w:fldCharType="begin"/>
      </w:r>
      <w:r w:rsidR="00BD3350" w:rsidRPr="00BD3350">
        <w:rPr>
          <w:rFonts w:ascii="Times New Roman" w:hAnsi="Times New Roman" w:cs="Times New Roman"/>
          <w:sz w:val="24"/>
          <w:szCs w:val="24"/>
        </w:rPr>
        <w:instrText xml:space="preserve"> REF _Ref484153773 \h </w:instrText>
      </w:r>
      <w:r w:rsidR="00BD3350">
        <w:rPr>
          <w:rFonts w:ascii="Times New Roman" w:hAnsi="Times New Roman" w:cs="Times New Roman"/>
          <w:sz w:val="24"/>
          <w:szCs w:val="24"/>
        </w:rPr>
        <w:instrText xml:space="preserve"> \* MERGEFORMAT </w:instrText>
      </w:r>
      <w:r w:rsidR="00BD3350" w:rsidRPr="00BD3350">
        <w:rPr>
          <w:rFonts w:ascii="Times New Roman" w:hAnsi="Times New Roman" w:cs="Times New Roman"/>
          <w:sz w:val="24"/>
          <w:szCs w:val="24"/>
        </w:rPr>
      </w:r>
      <w:r w:rsidR="00BD3350" w:rsidRPr="00BD3350">
        <w:rPr>
          <w:rFonts w:ascii="Times New Roman" w:hAnsi="Times New Roman" w:cs="Times New Roman"/>
          <w:sz w:val="24"/>
          <w:szCs w:val="24"/>
        </w:rPr>
        <w:fldChar w:fldCharType="separate"/>
      </w:r>
      <w:r w:rsidR="005A6BF4" w:rsidRPr="005A6BF4">
        <w:rPr>
          <w:rFonts w:ascii="Times New Roman" w:hAnsi="Times New Roman" w:cs="Times New Roman"/>
          <w:sz w:val="24"/>
          <w:szCs w:val="24"/>
        </w:rPr>
        <w:t xml:space="preserve">Table </w:t>
      </w:r>
      <w:r w:rsidR="005A6BF4" w:rsidRPr="005A6BF4">
        <w:rPr>
          <w:rFonts w:ascii="Times New Roman" w:hAnsi="Times New Roman" w:cs="Times New Roman"/>
          <w:noProof/>
          <w:sz w:val="24"/>
          <w:szCs w:val="24"/>
        </w:rPr>
        <w:t>13</w:t>
      </w:r>
      <w:r w:rsidR="00BD3350" w:rsidRPr="00BD3350">
        <w:rPr>
          <w:rFonts w:ascii="Times New Roman" w:hAnsi="Times New Roman" w:cs="Times New Roman"/>
          <w:sz w:val="24"/>
          <w:szCs w:val="24"/>
        </w:rPr>
        <w:fldChar w:fldCharType="end"/>
      </w:r>
      <w:r w:rsidRPr="0025669D">
        <w:rPr>
          <w:rFonts w:ascii="Times New Roman" w:hAnsi="Times New Roman" w:cs="Times New Roman"/>
          <w:sz w:val="24"/>
          <w:szCs w:val="24"/>
        </w:rPr>
        <w:t xml:space="preserve">). A causal relationship between </w:t>
      </w:r>
      <w:r>
        <w:rPr>
          <w:rFonts w:ascii="Times New Roman" w:eastAsia="Malgun Gothic" w:hAnsi="Times New Roman" w:cs="Times New Roman" w:hint="eastAsia"/>
          <w:color w:val="000000"/>
          <w:sz w:val="24"/>
          <w:szCs w:val="24"/>
        </w:rPr>
        <w:t>i</w:t>
      </w:r>
      <w:r w:rsidRPr="0025669D">
        <w:rPr>
          <w:rFonts w:ascii="Times New Roman" w:eastAsia="Malgun Gothic" w:hAnsi="Times New Roman" w:cs="Times New Roman"/>
          <w:color w:val="000000"/>
          <w:sz w:val="24"/>
          <w:szCs w:val="24"/>
        </w:rPr>
        <w:t>nfliximab</w:t>
      </w:r>
      <w:r w:rsidRPr="0025669D">
        <w:rPr>
          <w:rFonts w:ascii="Times New Roman" w:hAnsi="Times New Roman" w:cs="Times New Roman"/>
          <w:sz w:val="24"/>
          <w:szCs w:val="24"/>
        </w:rPr>
        <w:t xml:space="preserve"> and these events has not been established.</w:t>
      </w:r>
    </w:p>
    <w:p w14:paraId="35CA78D8" w14:textId="77777777" w:rsidR="004A10AE" w:rsidRPr="0025669D" w:rsidRDefault="004A10AE" w:rsidP="007947DB">
      <w:pPr>
        <w:spacing w:after="0" w:line="240" w:lineRule="auto"/>
        <w:jc w:val="left"/>
        <w:rPr>
          <w:rFonts w:ascii="Times New Roman" w:hAnsi="Times New Roman" w:cs="Times New Roman"/>
          <w:sz w:val="24"/>
          <w:szCs w:val="24"/>
        </w:rPr>
      </w:pPr>
    </w:p>
    <w:p w14:paraId="338ABB07" w14:textId="02263910" w:rsidR="004A10AE" w:rsidRDefault="004A10AE" w:rsidP="007947DB">
      <w:pPr>
        <w:spacing w:line="240" w:lineRule="auto"/>
        <w:jc w:val="left"/>
        <w:rPr>
          <w:rFonts w:ascii="Times New Roman" w:hAnsi="Times New Roman" w:cs="Times New Roman"/>
          <w:sz w:val="24"/>
          <w:szCs w:val="24"/>
        </w:rPr>
      </w:pPr>
      <w:r w:rsidRPr="0025669D">
        <w:rPr>
          <w:rFonts w:ascii="Times New Roman" w:hAnsi="Times New Roman" w:cs="Times New Roman"/>
          <w:sz w:val="24"/>
          <w:szCs w:val="24"/>
        </w:rPr>
        <w:t xml:space="preserve">In clinical trials, mild or moderate elevations of ALT and AST have been observed in patients receiving </w:t>
      </w:r>
      <w:r w:rsidRPr="0025669D">
        <w:rPr>
          <w:rFonts w:ascii="Times New Roman" w:eastAsia="Malgun Gothic" w:hAnsi="Times New Roman" w:cs="Times New Roman"/>
          <w:color w:val="000000"/>
          <w:sz w:val="24"/>
          <w:szCs w:val="24"/>
        </w:rPr>
        <w:t>Infliximab</w:t>
      </w:r>
      <w:r w:rsidRPr="0025669D">
        <w:rPr>
          <w:rFonts w:ascii="Times New Roman" w:hAnsi="Times New Roman" w:cs="Times New Roman"/>
          <w:sz w:val="24"/>
          <w:szCs w:val="24"/>
        </w:rPr>
        <w:t xml:space="preserve"> without progression to severe hepatic injury. Elevations of ALT ≥5 x ULN </w:t>
      </w:r>
      <w:proofErr w:type="gramStart"/>
      <w:r w:rsidRPr="0025669D">
        <w:rPr>
          <w:rFonts w:ascii="Times New Roman" w:hAnsi="Times New Roman" w:cs="Times New Roman"/>
          <w:sz w:val="24"/>
          <w:szCs w:val="24"/>
        </w:rPr>
        <w:t>have</w:t>
      </w:r>
      <w:proofErr w:type="gramEnd"/>
      <w:r w:rsidRPr="0025669D">
        <w:rPr>
          <w:rFonts w:ascii="Times New Roman" w:hAnsi="Times New Roman" w:cs="Times New Roman"/>
          <w:sz w:val="24"/>
          <w:szCs w:val="24"/>
        </w:rPr>
        <w:t xml:space="preserve"> been observed </w:t>
      </w:r>
      <w:r w:rsidRPr="00160472">
        <w:rPr>
          <w:rFonts w:ascii="Times New Roman" w:hAnsi="Times New Roman" w:cs="Times New Roman"/>
          <w:sz w:val="24"/>
          <w:szCs w:val="24"/>
        </w:rPr>
        <w:t xml:space="preserve">(see </w:t>
      </w:r>
      <w:r w:rsidRPr="00160472">
        <w:rPr>
          <w:rFonts w:ascii="Times New Roman" w:hAnsi="Times New Roman" w:cs="Times New Roman"/>
          <w:sz w:val="24"/>
          <w:szCs w:val="24"/>
        </w:rPr>
        <w:fldChar w:fldCharType="begin"/>
      </w:r>
      <w:r w:rsidRPr="00160472">
        <w:rPr>
          <w:rFonts w:ascii="Times New Roman" w:hAnsi="Times New Roman" w:cs="Times New Roman"/>
          <w:sz w:val="24"/>
          <w:szCs w:val="24"/>
        </w:rPr>
        <w:instrText xml:space="preserve"> REF _Ref423970007 \h </w:instrText>
      </w:r>
      <w:r>
        <w:rPr>
          <w:rFonts w:ascii="Times New Roman" w:hAnsi="Times New Roman" w:cs="Times New Roman"/>
          <w:sz w:val="24"/>
          <w:szCs w:val="24"/>
        </w:rPr>
        <w:instrText xml:space="preserve"> \* MERGEFORMAT </w:instrText>
      </w:r>
      <w:r w:rsidRPr="00160472">
        <w:rPr>
          <w:rFonts w:ascii="Times New Roman" w:hAnsi="Times New Roman" w:cs="Times New Roman"/>
          <w:sz w:val="24"/>
          <w:szCs w:val="24"/>
        </w:rPr>
      </w:r>
      <w:r w:rsidRPr="00160472">
        <w:rPr>
          <w:rFonts w:ascii="Times New Roman" w:hAnsi="Times New Roman" w:cs="Times New Roman"/>
          <w:sz w:val="24"/>
          <w:szCs w:val="24"/>
        </w:rPr>
        <w:fldChar w:fldCharType="separate"/>
      </w:r>
      <w:r w:rsidR="005A6BF4" w:rsidRPr="005A6BF4">
        <w:rPr>
          <w:rFonts w:ascii="Times New Roman" w:hAnsi="Times New Roman" w:cs="Times New Roman"/>
          <w:sz w:val="24"/>
          <w:szCs w:val="24"/>
        </w:rPr>
        <w:t xml:space="preserve">Table </w:t>
      </w:r>
      <w:r w:rsidR="005A6BF4" w:rsidRPr="005A6BF4">
        <w:rPr>
          <w:rFonts w:ascii="Times New Roman" w:hAnsi="Times New Roman" w:cs="Times New Roman"/>
          <w:noProof/>
          <w:sz w:val="24"/>
          <w:szCs w:val="24"/>
        </w:rPr>
        <w:t>14</w:t>
      </w:r>
      <w:r w:rsidRPr="00160472">
        <w:rPr>
          <w:rFonts w:ascii="Times New Roman" w:hAnsi="Times New Roman" w:cs="Times New Roman"/>
          <w:sz w:val="24"/>
          <w:szCs w:val="24"/>
        </w:rPr>
        <w:fldChar w:fldCharType="end"/>
      </w:r>
      <w:r w:rsidRPr="00160472">
        <w:rPr>
          <w:rFonts w:ascii="Times New Roman" w:hAnsi="Times New Roman" w:cs="Times New Roman"/>
          <w:sz w:val="24"/>
          <w:szCs w:val="24"/>
        </w:rPr>
        <w:t>). Elevations</w:t>
      </w:r>
      <w:r w:rsidRPr="0025669D">
        <w:rPr>
          <w:rFonts w:ascii="Times New Roman" w:hAnsi="Times New Roman" w:cs="Times New Roman"/>
          <w:sz w:val="24"/>
          <w:szCs w:val="24"/>
        </w:rPr>
        <w:t xml:space="preserve"> of aminotransferases were observed (ALT more common than AST) in a greater proportion of patients receiving </w:t>
      </w:r>
      <w:r>
        <w:rPr>
          <w:rFonts w:ascii="Times New Roman" w:eastAsia="Malgun Gothic" w:hAnsi="Times New Roman" w:cs="Times New Roman" w:hint="eastAsia"/>
          <w:color w:val="000000"/>
          <w:sz w:val="24"/>
          <w:szCs w:val="24"/>
        </w:rPr>
        <w:t>i</w:t>
      </w:r>
      <w:r w:rsidRPr="0025669D">
        <w:rPr>
          <w:rFonts w:ascii="Times New Roman" w:eastAsia="Malgun Gothic" w:hAnsi="Times New Roman" w:cs="Times New Roman"/>
          <w:color w:val="000000"/>
          <w:sz w:val="24"/>
          <w:szCs w:val="24"/>
        </w:rPr>
        <w:t>nfliximab</w:t>
      </w:r>
      <w:r w:rsidRPr="0025669D">
        <w:rPr>
          <w:rFonts w:ascii="Times New Roman" w:hAnsi="Times New Roman" w:cs="Times New Roman"/>
          <w:sz w:val="24"/>
          <w:szCs w:val="24"/>
        </w:rPr>
        <w:t xml:space="preserve"> than in controls, both when </w:t>
      </w:r>
      <w:r>
        <w:rPr>
          <w:rFonts w:ascii="Times New Roman" w:eastAsia="Malgun Gothic" w:hAnsi="Times New Roman" w:cs="Times New Roman" w:hint="eastAsia"/>
          <w:color w:val="000000"/>
          <w:sz w:val="24"/>
          <w:szCs w:val="24"/>
        </w:rPr>
        <w:t>i</w:t>
      </w:r>
      <w:r w:rsidRPr="0025669D">
        <w:rPr>
          <w:rFonts w:ascii="Times New Roman" w:eastAsia="Malgun Gothic" w:hAnsi="Times New Roman" w:cs="Times New Roman"/>
          <w:color w:val="000000"/>
          <w:sz w:val="24"/>
          <w:szCs w:val="24"/>
        </w:rPr>
        <w:t>nfliximab</w:t>
      </w:r>
      <w:r w:rsidRPr="0025669D">
        <w:rPr>
          <w:rFonts w:ascii="Times New Roman" w:hAnsi="Times New Roman" w:cs="Times New Roman"/>
          <w:sz w:val="24"/>
          <w:szCs w:val="24"/>
        </w:rPr>
        <w:t xml:space="preserve"> was given as monotherapy and when it was used in combination with other immunosuppressive agents. Most aminotransferase abnormalities were transient; however, a small number of patients experienced more prolonged elevations.  In general, patients who developed ALT and AST elevations were asymptomatic, and the abnormalities decreased or resolved with either continuation or discontinuation of </w:t>
      </w:r>
      <w:r>
        <w:rPr>
          <w:rFonts w:ascii="Times New Roman" w:eastAsia="Malgun Gothic" w:hAnsi="Times New Roman" w:cs="Times New Roman" w:hint="eastAsia"/>
          <w:color w:val="000000"/>
          <w:sz w:val="24"/>
          <w:szCs w:val="24"/>
        </w:rPr>
        <w:t>i</w:t>
      </w:r>
      <w:r w:rsidRPr="0025669D">
        <w:rPr>
          <w:rFonts w:ascii="Times New Roman" w:eastAsia="Malgun Gothic" w:hAnsi="Times New Roman" w:cs="Times New Roman"/>
          <w:color w:val="000000"/>
          <w:sz w:val="24"/>
          <w:szCs w:val="24"/>
        </w:rPr>
        <w:t>nfliximab</w:t>
      </w:r>
      <w:r w:rsidRPr="0025669D">
        <w:rPr>
          <w:rFonts w:ascii="Times New Roman" w:hAnsi="Times New Roman" w:cs="Times New Roman"/>
          <w:sz w:val="24"/>
          <w:szCs w:val="24"/>
        </w:rPr>
        <w:t>, or modification of concomitant medications.</w:t>
      </w:r>
    </w:p>
    <w:p w14:paraId="0F67D376" w14:textId="77777777" w:rsidR="00E75073" w:rsidRDefault="00E75073" w:rsidP="007947DB">
      <w:pPr>
        <w:spacing w:line="240" w:lineRule="auto"/>
        <w:jc w:val="left"/>
        <w:rPr>
          <w:rFonts w:ascii="Times New Roman" w:hAnsi="Times New Roman" w:cs="Times New Roman"/>
          <w:sz w:val="24"/>
          <w:szCs w:val="24"/>
        </w:rPr>
      </w:pPr>
    </w:p>
    <w:p w14:paraId="6C35DD19" w14:textId="0334A2FC" w:rsidR="004A10AE" w:rsidRPr="008C1B2C" w:rsidRDefault="004A10AE" w:rsidP="007947DB">
      <w:pPr>
        <w:pStyle w:val="Caption"/>
        <w:keepNext/>
        <w:spacing w:after="0" w:line="240" w:lineRule="auto"/>
        <w:ind w:left="880" w:hangingChars="400" w:hanging="880"/>
        <w:rPr>
          <w:rFonts w:ascii="Times New Roman" w:hAnsi="Times New Roman" w:cs="Times New Roman"/>
          <w:sz w:val="22"/>
          <w:szCs w:val="22"/>
        </w:rPr>
      </w:pPr>
      <w:bookmarkStart w:id="16" w:name="_Ref423970007"/>
      <w:proofErr w:type="gramStart"/>
      <w:r w:rsidRPr="008C1B2C">
        <w:rPr>
          <w:rFonts w:ascii="Times New Roman" w:hAnsi="Times New Roman" w:cs="Times New Roman"/>
          <w:sz w:val="22"/>
          <w:szCs w:val="22"/>
        </w:rPr>
        <w:t xml:space="preserve">Table </w:t>
      </w:r>
      <w:r w:rsidRPr="008C1B2C">
        <w:rPr>
          <w:rFonts w:ascii="Times New Roman" w:hAnsi="Times New Roman" w:cs="Times New Roman"/>
          <w:sz w:val="22"/>
          <w:szCs w:val="22"/>
        </w:rPr>
        <w:fldChar w:fldCharType="begin"/>
      </w:r>
      <w:r w:rsidRPr="008C1B2C">
        <w:rPr>
          <w:rFonts w:ascii="Times New Roman" w:hAnsi="Times New Roman" w:cs="Times New Roman"/>
          <w:sz w:val="22"/>
          <w:szCs w:val="22"/>
        </w:rPr>
        <w:instrText xml:space="preserve"> SEQ Table \* ARABIC </w:instrText>
      </w:r>
      <w:r w:rsidRPr="008C1B2C">
        <w:rPr>
          <w:rFonts w:ascii="Times New Roman" w:hAnsi="Times New Roman" w:cs="Times New Roman"/>
          <w:sz w:val="22"/>
          <w:szCs w:val="22"/>
        </w:rPr>
        <w:fldChar w:fldCharType="separate"/>
      </w:r>
      <w:r w:rsidR="005A6BF4">
        <w:rPr>
          <w:rFonts w:ascii="Times New Roman" w:hAnsi="Times New Roman" w:cs="Times New Roman"/>
          <w:noProof/>
          <w:sz w:val="22"/>
          <w:szCs w:val="22"/>
        </w:rPr>
        <w:t>14</w:t>
      </w:r>
      <w:r w:rsidRPr="008C1B2C">
        <w:rPr>
          <w:rFonts w:ascii="Times New Roman" w:hAnsi="Times New Roman" w:cs="Times New Roman"/>
          <w:sz w:val="22"/>
          <w:szCs w:val="22"/>
        </w:rPr>
        <w:fldChar w:fldCharType="end"/>
      </w:r>
      <w:bookmarkEnd w:id="16"/>
      <w:r w:rsidRPr="008C1B2C">
        <w:rPr>
          <w:rFonts w:ascii="Times New Roman" w:hAnsi="Times New Roman" w:cs="Times New Roman"/>
          <w:sz w:val="22"/>
          <w:szCs w:val="22"/>
        </w:rPr>
        <w:t>.</w:t>
      </w:r>
      <w:proofErr w:type="gramEnd"/>
      <w:r w:rsidRPr="008C1B2C">
        <w:rPr>
          <w:rFonts w:ascii="Times New Roman" w:hAnsi="Times New Roman" w:cs="Times New Roman"/>
          <w:sz w:val="22"/>
          <w:szCs w:val="22"/>
        </w:rPr>
        <w:t xml:space="preserve"> Proportion of patients with increased ALT activity in Clinical Trials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80"/>
        <w:gridCol w:w="863"/>
        <w:gridCol w:w="1078"/>
        <w:gridCol w:w="884"/>
        <w:gridCol w:w="1057"/>
        <w:gridCol w:w="887"/>
        <w:gridCol w:w="1054"/>
        <w:gridCol w:w="884"/>
        <w:gridCol w:w="1055"/>
      </w:tblGrid>
      <w:tr w:rsidR="004A10AE" w:rsidRPr="000213FB" w14:paraId="7A58A617" w14:textId="77777777" w:rsidTr="005A4B0D">
        <w:trPr>
          <w:cantSplit/>
          <w:trHeight w:val="20"/>
        </w:trPr>
        <w:tc>
          <w:tcPr>
            <w:tcW w:w="801" w:type="pct"/>
            <w:vMerge w:val="restart"/>
          </w:tcPr>
          <w:p w14:paraId="696FF4F3" w14:textId="77777777" w:rsidR="004A10AE" w:rsidRPr="000213FB" w:rsidRDefault="004A10AE" w:rsidP="007947DB">
            <w:pPr>
              <w:wordWrap/>
              <w:spacing w:after="0" w:line="240" w:lineRule="auto"/>
              <w:jc w:val="left"/>
              <w:rPr>
                <w:rFonts w:ascii="Times New Roman" w:hAnsi="Times New Roman" w:cs="Times New Roman"/>
                <w:szCs w:val="20"/>
              </w:rPr>
            </w:pPr>
            <w:r w:rsidRPr="000213FB">
              <w:rPr>
                <w:rFonts w:ascii="Times New Roman" w:hAnsi="Times New Roman" w:cs="Times New Roman"/>
                <w:szCs w:val="20"/>
              </w:rPr>
              <w:t>Indication</w:t>
            </w:r>
          </w:p>
        </w:tc>
        <w:tc>
          <w:tcPr>
            <w:tcW w:w="1050" w:type="pct"/>
            <w:gridSpan w:val="2"/>
            <w:vAlign w:val="center"/>
          </w:tcPr>
          <w:p w14:paraId="07150BA3" w14:textId="77777777" w:rsidR="004A10AE" w:rsidRPr="000213FB" w:rsidRDefault="004A10AE" w:rsidP="007947DB">
            <w:pPr>
              <w:wordWrap/>
              <w:spacing w:after="0" w:line="240" w:lineRule="auto"/>
              <w:jc w:val="center"/>
              <w:rPr>
                <w:rFonts w:ascii="Times New Roman" w:hAnsi="Times New Roman" w:cs="Times New Roman"/>
                <w:szCs w:val="20"/>
              </w:rPr>
            </w:pPr>
            <w:r w:rsidRPr="000213FB">
              <w:rPr>
                <w:rFonts w:ascii="Times New Roman" w:hAnsi="Times New Roman" w:cs="Times New Roman"/>
                <w:szCs w:val="20"/>
              </w:rPr>
              <w:t>Number of patients evaluated for ALT</w:t>
            </w:r>
          </w:p>
        </w:tc>
        <w:tc>
          <w:tcPr>
            <w:tcW w:w="1050" w:type="pct"/>
            <w:gridSpan w:val="2"/>
            <w:vAlign w:val="center"/>
          </w:tcPr>
          <w:p w14:paraId="4D6C1B45" w14:textId="77777777" w:rsidR="004A10AE" w:rsidRPr="000213FB" w:rsidRDefault="004A10AE" w:rsidP="007947DB">
            <w:pPr>
              <w:wordWrap/>
              <w:spacing w:after="0" w:line="240" w:lineRule="auto"/>
              <w:jc w:val="center"/>
              <w:rPr>
                <w:rFonts w:ascii="Times New Roman" w:hAnsi="Times New Roman" w:cs="Times New Roman"/>
                <w:szCs w:val="20"/>
              </w:rPr>
            </w:pPr>
            <w:r w:rsidRPr="000213FB">
              <w:rPr>
                <w:rFonts w:ascii="Times New Roman" w:hAnsi="Times New Roman" w:cs="Times New Roman"/>
                <w:szCs w:val="20"/>
              </w:rPr>
              <w:t>Median follow-up (</w:t>
            </w:r>
            <w:proofErr w:type="spellStart"/>
            <w:r w:rsidRPr="000213FB">
              <w:rPr>
                <w:rFonts w:ascii="Times New Roman" w:hAnsi="Times New Roman" w:cs="Times New Roman"/>
                <w:szCs w:val="20"/>
              </w:rPr>
              <w:t>wks</w:t>
            </w:r>
            <w:proofErr w:type="spellEnd"/>
            <w:r w:rsidRPr="000213FB">
              <w:rPr>
                <w:rFonts w:ascii="Times New Roman" w:hAnsi="Times New Roman" w:cs="Times New Roman"/>
                <w:szCs w:val="20"/>
              </w:rPr>
              <w:t>)</w:t>
            </w:r>
            <w:r w:rsidRPr="000213FB">
              <w:rPr>
                <w:rFonts w:ascii="Times New Roman" w:hAnsi="Times New Roman" w:cs="Times New Roman"/>
                <w:szCs w:val="20"/>
                <w:vertAlign w:val="superscript"/>
              </w:rPr>
              <w:t>3</w:t>
            </w:r>
          </w:p>
        </w:tc>
        <w:tc>
          <w:tcPr>
            <w:tcW w:w="1050" w:type="pct"/>
            <w:gridSpan w:val="2"/>
            <w:vAlign w:val="center"/>
          </w:tcPr>
          <w:p w14:paraId="475F029A" w14:textId="77777777" w:rsidR="004A10AE" w:rsidRPr="000213FB" w:rsidRDefault="004A10AE" w:rsidP="007947DB">
            <w:pPr>
              <w:wordWrap/>
              <w:spacing w:after="0" w:line="240" w:lineRule="auto"/>
              <w:jc w:val="center"/>
              <w:rPr>
                <w:rFonts w:ascii="Times New Roman" w:hAnsi="Times New Roman" w:cs="Times New Roman"/>
                <w:szCs w:val="20"/>
              </w:rPr>
            </w:pPr>
            <w:r w:rsidRPr="000213FB">
              <w:rPr>
                <w:rFonts w:ascii="Times New Roman" w:hAnsi="Times New Roman" w:cs="Times New Roman"/>
                <w:szCs w:val="20"/>
              </w:rPr>
              <w:t>≥3 x ULN</w:t>
            </w:r>
          </w:p>
        </w:tc>
        <w:tc>
          <w:tcPr>
            <w:tcW w:w="1049" w:type="pct"/>
            <w:gridSpan w:val="2"/>
            <w:vAlign w:val="center"/>
          </w:tcPr>
          <w:p w14:paraId="22F3B44D" w14:textId="77777777" w:rsidR="004A10AE" w:rsidRPr="000213FB" w:rsidRDefault="004A10AE" w:rsidP="007947DB">
            <w:pPr>
              <w:wordWrap/>
              <w:spacing w:after="0" w:line="240" w:lineRule="auto"/>
              <w:jc w:val="center"/>
              <w:rPr>
                <w:rFonts w:ascii="Times New Roman" w:hAnsi="Times New Roman" w:cs="Times New Roman"/>
                <w:szCs w:val="20"/>
              </w:rPr>
            </w:pPr>
            <w:r w:rsidRPr="000213FB">
              <w:rPr>
                <w:rFonts w:ascii="Times New Roman" w:hAnsi="Times New Roman" w:cs="Times New Roman"/>
                <w:szCs w:val="20"/>
              </w:rPr>
              <w:t>≥5 x ULN</w:t>
            </w:r>
          </w:p>
        </w:tc>
      </w:tr>
      <w:tr w:rsidR="004A10AE" w:rsidRPr="000213FB" w14:paraId="3BF53A63" w14:textId="77777777" w:rsidTr="005A4B0D">
        <w:trPr>
          <w:cantSplit/>
          <w:trHeight w:val="20"/>
        </w:trPr>
        <w:tc>
          <w:tcPr>
            <w:tcW w:w="801" w:type="pct"/>
            <w:vMerge/>
          </w:tcPr>
          <w:p w14:paraId="35E8C26F" w14:textId="77777777" w:rsidR="004A10AE" w:rsidRPr="000213FB" w:rsidRDefault="004A10AE" w:rsidP="007947DB">
            <w:pPr>
              <w:wordWrap/>
              <w:spacing w:after="0" w:line="240" w:lineRule="auto"/>
              <w:jc w:val="left"/>
              <w:rPr>
                <w:rFonts w:ascii="Times New Roman" w:hAnsi="Times New Roman" w:cs="Times New Roman"/>
                <w:szCs w:val="20"/>
              </w:rPr>
            </w:pPr>
          </w:p>
        </w:tc>
        <w:tc>
          <w:tcPr>
            <w:tcW w:w="467" w:type="pct"/>
            <w:vAlign w:val="center"/>
          </w:tcPr>
          <w:p w14:paraId="3D77DC63" w14:textId="77777777" w:rsidR="004A10AE" w:rsidRPr="00760FDF" w:rsidRDefault="004A10AE" w:rsidP="007947DB">
            <w:pPr>
              <w:pStyle w:val="EndnoteText"/>
              <w:spacing w:after="0"/>
              <w:jc w:val="center"/>
            </w:pPr>
            <w:r w:rsidRPr="00760FDF">
              <w:t>placebo</w:t>
            </w:r>
          </w:p>
        </w:tc>
        <w:tc>
          <w:tcPr>
            <w:tcW w:w="583" w:type="pct"/>
            <w:vAlign w:val="center"/>
          </w:tcPr>
          <w:p w14:paraId="3A4EA76B" w14:textId="77777777" w:rsidR="004A10AE" w:rsidRPr="00760FDF" w:rsidRDefault="004A10AE" w:rsidP="007947DB">
            <w:pPr>
              <w:pStyle w:val="EndnoteText"/>
              <w:spacing w:after="0"/>
              <w:jc w:val="center"/>
            </w:pPr>
            <w:r w:rsidRPr="00760FDF">
              <w:t>infliximab</w:t>
            </w:r>
          </w:p>
        </w:tc>
        <w:tc>
          <w:tcPr>
            <w:tcW w:w="478" w:type="pct"/>
            <w:vAlign w:val="center"/>
          </w:tcPr>
          <w:p w14:paraId="76798B76" w14:textId="77777777" w:rsidR="004A10AE" w:rsidRPr="00760FDF" w:rsidRDefault="004A10AE" w:rsidP="007947DB">
            <w:pPr>
              <w:pStyle w:val="EndnoteText"/>
              <w:spacing w:after="0"/>
              <w:jc w:val="center"/>
            </w:pPr>
            <w:r w:rsidRPr="00760FDF">
              <w:t>placebo</w:t>
            </w:r>
          </w:p>
        </w:tc>
        <w:tc>
          <w:tcPr>
            <w:tcW w:w="572" w:type="pct"/>
            <w:vAlign w:val="center"/>
          </w:tcPr>
          <w:p w14:paraId="2FE814AC" w14:textId="77777777" w:rsidR="004A10AE" w:rsidRPr="00760FDF" w:rsidRDefault="004A10AE" w:rsidP="007947DB">
            <w:pPr>
              <w:pStyle w:val="EndnoteText"/>
              <w:spacing w:after="0"/>
              <w:jc w:val="center"/>
            </w:pPr>
            <w:r w:rsidRPr="00760FDF">
              <w:t>infliximab</w:t>
            </w:r>
          </w:p>
        </w:tc>
        <w:tc>
          <w:tcPr>
            <w:tcW w:w="480" w:type="pct"/>
            <w:vAlign w:val="center"/>
          </w:tcPr>
          <w:p w14:paraId="756DC60D" w14:textId="77777777" w:rsidR="004A10AE" w:rsidRPr="00760FDF" w:rsidRDefault="004A10AE" w:rsidP="007947DB">
            <w:pPr>
              <w:pStyle w:val="EndnoteText"/>
              <w:spacing w:after="0"/>
              <w:jc w:val="center"/>
            </w:pPr>
            <w:r w:rsidRPr="00760FDF">
              <w:t>placebo</w:t>
            </w:r>
          </w:p>
        </w:tc>
        <w:tc>
          <w:tcPr>
            <w:tcW w:w="570" w:type="pct"/>
            <w:vAlign w:val="center"/>
          </w:tcPr>
          <w:p w14:paraId="0F53CA13" w14:textId="77777777" w:rsidR="004A10AE" w:rsidRPr="00760FDF" w:rsidRDefault="004A10AE" w:rsidP="007947DB">
            <w:pPr>
              <w:pStyle w:val="EndnoteText"/>
              <w:spacing w:after="0"/>
              <w:jc w:val="center"/>
            </w:pPr>
            <w:r w:rsidRPr="00760FDF">
              <w:t>infliximab</w:t>
            </w:r>
          </w:p>
        </w:tc>
        <w:tc>
          <w:tcPr>
            <w:tcW w:w="478" w:type="pct"/>
            <w:vAlign w:val="center"/>
          </w:tcPr>
          <w:p w14:paraId="1C7BFD37" w14:textId="77777777" w:rsidR="004A10AE" w:rsidRPr="00760FDF" w:rsidRDefault="004A10AE" w:rsidP="007947DB">
            <w:pPr>
              <w:pStyle w:val="EndnoteText"/>
              <w:spacing w:after="0"/>
              <w:jc w:val="center"/>
            </w:pPr>
            <w:r w:rsidRPr="00760FDF">
              <w:t>placebo</w:t>
            </w:r>
          </w:p>
        </w:tc>
        <w:tc>
          <w:tcPr>
            <w:tcW w:w="571" w:type="pct"/>
            <w:vAlign w:val="center"/>
          </w:tcPr>
          <w:p w14:paraId="5BADF74D" w14:textId="77777777" w:rsidR="004A10AE" w:rsidRPr="00760FDF" w:rsidRDefault="004A10AE" w:rsidP="007947DB">
            <w:pPr>
              <w:pStyle w:val="EndnoteText"/>
              <w:spacing w:after="0"/>
              <w:jc w:val="center"/>
            </w:pPr>
            <w:r w:rsidRPr="00760FDF">
              <w:t>infliximab</w:t>
            </w:r>
          </w:p>
        </w:tc>
      </w:tr>
      <w:tr w:rsidR="004A10AE" w:rsidRPr="000213FB" w14:paraId="75BC5068" w14:textId="77777777" w:rsidTr="005A4B0D">
        <w:trPr>
          <w:cantSplit/>
          <w:trHeight w:val="20"/>
        </w:trPr>
        <w:tc>
          <w:tcPr>
            <w:tcW w:w="801" w:type="pct"/>
          </w:tcPr>
          <w:p w14:paraId="49CDB3A4" w14:textId="77777777" w:rsidR="004A10AE" w:rsidRPr="000213FB" w:rsidRDefault="004A10AE" w:rsidP="007947DB">
            <w:pPr>
              <w:wordWrap/>
              <w:spacing w:before="40" w:after="0" w:line="240" w:lineRule="auto"/>
              <w:jc w:val="left"/>
              <w:rPr>
                <w:rFonts w:ascii="Times New Roman" w:hAnsi="Times New Roman" w:cs="Times New Roman"/>
                <w:szCs w:val="20"/>
              </w:rPr>
            </w:pPr>
            <w:r w:rsidRPr="000213FB">
              <w:rPr>
                <w:rFonts w:ascii="Times New Roman" w:hAnsi="Times New Roman" w:cs="Times New Roman"/>
                <w:szCs w:val="20"/>
              </w:rPr>
              <w:t>Rheumatoid arthritis</w:t>
            </w:r>
            <w:r w:rsidRPr="000213FB">
              <w:rPr>
                <w:rFonts w:ascii="Times New Roman" w:hAnsi="Times New Roman" w:cs="Times New Roman"/>
                <w:szCs w:val="20"/>
                <w:vertAlign w:val="superscript"/>
              </w:rPr>
              <w:t>1</w:t>
            </w:r>
          </w:p>
        </w:tc>
        <w:tc>
          <w:tcPr>
            <w:tcW w:w="467" w:type="pct"/>
            <w:vAlign w:val="center"/>
          </w:tcPr>
          <w:p w14:paraId="737185F3" w14:textId="77777777" w:rsidR="004A10AE" w:rsidRPr="00760FDF" w:rsidRDefault="004A10AE" w:rsidP="007947DB">
            <w:pPr>
              <w:wordWrap/>
              <w:spacing w:before="40" w:after="0" w:line="240" w:lineRule="auto"/>
              <w:jc w:val="center"/>
              <w:rPr>
                <w:rFonts w:ascii="Times New Roman" w:hAnsi="Times New Roman" w:cs="Times New Roman"/>
                <w:szCs w:val="20"/>
              </w:rPr>
            </w:pPr>
            <w:r w:rsidRPr="00760FDF">
              <w:rPr>
                <w:rFonts w:ascii="Times New Roman" w:hAnsi="Times New Roman" w:cs="Times New Roman"/>
                <w:szCs w:val="20"/>
              </w:rPr>
              <w:t>375</w:t>
            </w:r>
          </w:p>
        </w:tc>
        <w:tc>
          <w:tcPr>
            <w:tcW w:w="583" w:type="pct"/>
            <w:vAlign w:val="center"/>
          </w:tcPr>
          <w:p w14:paraId="652CA047" w14:textId="77777777" w:rsidR="004A10AE" w:rsidRPr="00760FDF" w:rsidRDefault="004A10AE" w:rsidP="007947DB">
            <w:pPr>
              <w:wordWrap/>
              <w:spacing w:before="40" w:after="0" w:line="240" w:lineRule="auto"/>
              <w:jc w:val="center"/>
              <w:rPr>
                <w:rFonts w:ascii="Times New Roman" w:hAnsi="Times New Roman" w:cs="Times New Roman"/>
                <w:szCs w:val="20"/>
              </w:rPr>
            </w:pPr>
            <w:r w:rsidRPr="00760FDF">
              <w:rPr>
                <w:rFonts w:ascii="Times New Roman" w:hAnsi="Times New Roman" w:cs="Times New Roman"/>
                <w:szCs w:val="20"/>
              </w:rPr>
              <w:t>1087</w:t>
            </w:r>
          </w:p>
        </w:tc>
        <w:tc>
          <w:tcPr>
            <w:tcW w:w="478" w:type="pct"/>
            <w:vAlign w:val="center"/>
          </w:tcPr>
          <w:p w14:paraId="7C0DBE4C" w14:textId="77777777" w:rsidR="004A10AE" w:rsidRPr="00760FDF" w:rsidRDefault="004A10AE" w:rsidP="007947DB">
            <w:pPr>
              <w:wordWrap/>
              <w:spacing w:before="40" w:after="0" w:line="240" w:lineRule="auto"/>
              <w:jc w:val="center"/>
              <w:rPr>
                <w:rFonts w:ascii="Times New Roman" w:hAnsi="Times New Roman" w:cs="Times New Roman"/>
                <w:szCs w:val="20"/>
              </w:rPr>
            </w:pPr>
            <w:r w:rsidRPr="00760FDF">
              <w:rPr>
                <w:rFonts w:ascii="Times New Roman" w:hAnsi="Times New Roman" w:cs="Times New Roman"/>
                <w:szCs w:val="20"/>
              </w:rPr>
              <w:t>58.1</w:t>
            </w:r>
          </w:p>
        </w:tc>
        <w:tc>
          <w:tcPr>
            <w:tcW w:w="572" w:type="pct"/>
            <w:vAlign w:val="center"/>
          </w:tcPr>
          <w:p w14:paraId="364A6923" w14:textId="77777777" w:rsidR="004A10AE" w:rsidRPr="00760FDF" w:rsidRDefault="004A10AE" w:rsidP="007947DB">
            <w:pPr>
              <w:wordWrap/>
              <w:spacing w:before="40" w:after="0" w:line="240" w:lineRule="auto"/>
              <w:jc w:val="center"/>
              <w:rPr>
                <w:rFonts w:ascii="Times New Roman" w:hAnsi="Times New Roman" w:cs="Times New Roman"/>
                <w:szCs w:val="20"/>
              </w:rPr>
            </w:pPr>
            <w:r w:rsidRPr="00760FDF">
              <w:rPr>
                <w:rFonts w:ascii="Times New Roman" w:hAnsi="Times New Roman" w:cs="Times New Roman"/>
                <w:szCs w:val="20"/>
              </w:rPr>
              <w:t>58.3</w:t>
            </w:r>
          </w:p>
        </w:tc>
        <w:tc>
          <w:tcPr>
            <w:tcW w:w="480" w:type="pct"/>
            <w:vAlign w:val="center"/>
          </w:tcPr>
          <w:p w14:paraId="5FB04366" w14:textId="77777777" w:rsidR="004A10AE" w:rsidRPr="00760FDF" w:rsidRDefault="004A10AE" w:rsidP="007947DB">
            <w:pPr>
              <w:pStyle w:val="Footer"/>
              <w:wordWrap/>
              <w:spacing w:before="40" w:after="0" w:line="240" w:lineRule="auto"/>
              <w:jc w:val="center"/>
              <w:rPr>
                <w:rFonts w:ascii="Times New Roman" w:hAnsi="Times New Roman" w:cs="Times New Roman"/>
                <w:szCs w:val="20"/>
              </w:rPr>
            </w:pPr>
            <w:r w:rsidRPr="00760FDF">
              <w:rPr>
                <w:rFonts w:ascii="Times New Roman" w:hAnsi="Times New Roman" w:cs="Times New Roman"/>
                <w:szCs w:val="20"/>
              </w:rPr>
              <w:t>3.2%</w:t>
            </w:r>
          </w:p>
        </w:tc>
        <w:tc>
          <w:tcPr>
            <w:tcW w:w="570" w:type="pct"/>
            <w:vAlign w:val="center"/>
          </w:tcPr>
          <w:p w14:paraId="0816782D" w14:textId="77777777" w:rsidR="004A10AE" w:rsidRPr="00760FDF" w:rsidRDefault="004A10AE" w:rsidP="007947DB">
            <w:pPr>
              <w:wordWrap/>
              <w:spacing w:before="40" w:after="0" w:line="240" w:lineRule="auto"/>
              <w:jc w:val="center"/>
              <w:rPr>
                <w:rFonts w:ascii="Times New Roman" w:hAnsi="Times New Roman" w:cs="Times New Roman"/>
                <w:szCs w:val="20"/>
              </w:rPr>
            </w:pPr>
            <w:r w:rsidRPr="00760FDF">
              <w:rPr>
                <w:rFonts w:ascii="Times New Roman" w:hAnsi="Times New Roman" w:cs="Times New Roman"/>
                <w:szCs w:val="20"/>
              </w:rPr>
              <w:t>3.9%</w:t>
            </w:r>
          </w:p>
        </w:tc>
        <w:tc>
          <w:tcPr>
            <w:tcW w:w="478" w:type="pct"/>
            <w:vAlign w:val="center"/>
          </w:tcPr>
          <w:p w14:paraId="610CFAD6" w14:textId="77777777" w:rsidR="004A10AE" w:rsidRPr="00760FDF" w:rsidRDefault="004A10AE" w:rsidP="007947DB">
            <w:pPr>
              <w:wordWrap/>
              <w:spacing w:before="40" w:after="0" w:line="240" w:lineRule="auto"/>
              <w:jc w:val="center"/>
              <w:rPr>
                <w:rFonts w:ascii="Times New Roman" w:hAnsi="Times New Roman" w:cs="Times New Roman"/>
                <w:szCs w:val="20"/>
              </w:rPr>
            </w:pPr>
            <w:r w:rsidRPr="00760FDF">
              <w:rPr>
                <w:rFonts w:ascii="Times New Roman" w:hAnsi="Times New Roman" w:cs="Times New Roman"/>
                <w:szCs w:val="20"/>
              </w:rPr>
              <w:t>0.8%</w:t>
            </w:r>
          </w:p>
        </w:tc>
        <w:tc>
          <w:tcPr>
            <w:tcW w:w="571" w:type="pct"/>
            <w:vAlign w:val="center"/>
          </w:tcPr>
          <w:p w14:paraId="49FFCF30" w14:textId="77777777" w:rsidR="004A10AE" w:rsidRPr="00760FDF" w:rsidRDefault="004A10AE" w:rsidP="007947DB">
            <w:pPr>
              <w:wordWrap/>
              <w:spacing w:before="40" w:after="0" w:line="240" w:lineRule="auto"/>
              <w:jc w:val="center"/>
              <w:rPr>
                <w:rFonts w:ascii="Times New Roman" w:hAnsi="Times New Roman" w:cs="Times New Roman"/>
                <w:szCs w:val="20"/>
              </w:rPr>
            </w:pPr>
            <w:r w:rsidRPr="00760FDF">
              <w:rPr>
                <w:rFonts w:ascii="Times New Roman" w:hAnsi="Times New Roman" w:cs="Times New Roman"/>
                <w:szCs w:val="20"/>
              </w:rPr>
              <w:t>0.9%</w:t>
            </w:r>
          </w:p>
        </w:tc>
      </w:tr>
      <w:tr w:rsidR="004A10AE" w:rsidRPr="000213FB" w14:paraId="680EA159" w14:textId="77777777" w:rsidTr="005A4B0D">
        <w:trPr>
          <w:cantSplit/>
          <w:trHeight w:val="20"/>
        </w:trPr>
        <w:tc>
          <w:tcPr>
            <w:tcW w:w="801" w:type="pct"/>
          </w:tcPr>
          <w:p w14:paraId="54659C2B" w14:textId="77777777" w:rsidR="004A10AE" w:rsidRPr="000213FB" w:rsidRDefault="004A10AE" w:rsidP="007947DB">
            <w:pPr>
              <w:wordWrap/>
              <w:spacing w:before="40" w:after="0" w:line="240" w:lineRule="auto"/>
              <w:jc w:val="left"/>
              <w:rPr>
                <w:rFonts w:ascii="Times New Roman" w:hAnsi="Times New Roman" w:cs="Times New Roman"/>
                <w:szCs w:val="20"/>
              </w:rPr>
            </w:pPr>
            <w:r w:rsidRPr="000213FB">
              <w:rPr>
                <w:rFonts w:ascii="Times New Roman" w:hAnsi="Times New Roman" w:cs="Times New Roman"/>
                <w:szCs w:val="20"/>
              </w:rPr>
              <w:t>Crohn’s disease</w:t>
            </w:r>
            <w:r w:rsidRPr="000213FB">
              <w:rPr>
                <w:rFonts w:ascii="Times New Roman" w:hAnsi="Times New Roman" w:cs="Times New Roman"/>
                <w:szCs w:val="20"/>
                <w:vertAlign w:val="superscript"/>
              </w:rPr>
              <w:t>2</w:t>
            </w:r>
          </w:p>
        </w:tc>
        <w:tc>
          <w:tcPr>
            <w:tcW w:w="467" w:type="pct"/>
            <w:vAlign w:val="center"/>
          </w:tcPr>
          <w:p w14:paraId="5924F729" w14:textId="77777777" w:rsidR="004A10AE" w:rsidRPr="00760FDF" w:rsidRDefault="004A10AE" w:rsidP="007947DB">
            <w:pPr>
              <w:wordWrap/>
              <w:spacing w:before="40" w:after="0" w:line="240" w:lineRule="auto"/>
              <w:jc w:val="center"/>
              <w:rPr>
                <w:rFonts w:ascii="Times New Roman" w:hAnsi="Times New Roman" w:cs="Times New Roman"/>
                <w:szCs w:val="20"/>
              </w:rPr>
            </w:pPr>
            <w:r w:rsidRPr="00760FDF">
              <w:rPr>
                <w:rFonts w:ascii="Times New Roman" w:hAnsi="Times New Roman" w:cs="Times New Roman"/>
                <w:szCs w:val="20"/>
              </w:rPr>
              <w:t>173</w:t>
            </w:r>
          </w:p>
        </w:tc>
        <w:tc>
          <w:tcPr>
            <w:tcW w:w="583" w:type="pct"/>
            <w:vAlign w:val="center"/>
          </w:tcPr>
          <w:p w14:paraId="7A2ABC0E" w14:textId="77777777" w:rsidR="004A10AE" w:rsidRPr="00760FDF" w:rsidRDefault="004A10AE" w:rsidP="007947DB">
            <w:pPr>
              <w:wordWrap/>
              <w:spacing w:before="40" w:after="0" w:line="240" w:lineRule="auto"/>
              <w:jc w:val="center"/>
              <w:rPr>
                <w:rFonts w:ascii="Times New Roman" w:hAnsi="Times New Roman" w:cs="Times New Roman"/>
                <w:szCs w:val="20"/>
              </w:rPr>
            </w:pPr>
            <w:r w:rsidRPr="00760FDF">
              <w:rPr>
                <w:rFonts w:ascii="Times New Roman" w:hAnsi="Times New Roman" w:cs="Times New Roman"/>
                <w:szCs w:val="20"/>
              </w:rPr>
              <w:t>703</w:t>
            </w:r>
          </w:p>
        </w:tc>
        <w:tc>
          <w:tcPr>
            <w:tcW w:w="478" w:type="pct"/>
            <w:vAlign w:val="center"/>
          </w:tcPr>
          <w:p w14:paraId="547D4EF5" w14:textId="77777777" w:rsidR="004A10AE" w:rsidRPr="00760FDF" w:rsidRDefault="004A10AE" w:rsidP="007947DB">
            <w:pPr>
              <w:wordWrap/>
              <w:spacing w:before="40" w:after="0" w:line="240" w:lineRule="auto"/>
              <w:jc w:val="center"/>
              <w:rPr>
                <w:rFonts w:ascii="Times New Roman" w:hAnsi="Times New Roman" w:cs="Times New Roman"/>
                <w:szCs w:val="20"/>
              </w:rPr>
            </w:pPr>
            <w:r w:rsidRPr="00760FDF">
              <w:rPr>
                <w:rFonts w:ascii="Times New Roman" w:hAnsi="Times New Roman" w:cs="Times New Roman"/>
                <w:szCs w:val="20"/>
              </w:rPr>
              <w:t>54.1</w:t>
            </w:r>
          </w:p>
        </w:tc>
        <w:tc>
          <w:tcPr>
            <w:tcW w:w="572" w:type="pct"/>
            <w:vAlign w:val="center"/>
          </w:tcPr>
          <w:p w14:paraId="664B002B" w14:textId="77777777" w:rsidR="004A10AE" w:rsidRPr="00760FDF" w:rsidRDefault="004A10AE" w:rsidP="007947DB">
            <w:pPr>
              <w:wordWrap/>
              <w:spacing w:before="40" w:after="0" w:line="240" w:lineRule="auto"/>
              <w:jc w:val="center"/>
              <w:rPr>
                <w:rFonts w:ascii="Times New Roman" w:hAnsi="Times New Roman" w:cs="Times New Roman"/>
                <w:szCs w:val="20"/>
              </w:rPr>
            </w:pPr>
            <w:r w:rsidRPr="00760FDF">
              <w:rPr>
                <w:rFonts w:ascii="Times New Roman" w:hAnsi="Times New Roman" w:cs="Times New Roman"/>
                <w:szCs w:val="20"/>
              </w:rPr>
              <w:t>54.1</w:t>
            </w:r>
          </w:p>
        </w:tc>
        <w:tc>
          <w:tcPr>
            <w:tcW w:w="480" w:type="pct"/>
            <w:vAlign w:val="center"/>
          </w:tcPr>
          <w:p w14:paraId="6652526D" w14:textId="77777777" w:rsidR="004A10AE" w:rsidRPr="00760FDF" w:rsidRDefault="004A10AE" w:rsidP="007947DB">
            <w:pPr>
              <w:wordWrap/>
              <w:spacing w:before="40" w:after="0" w:line="240" w:lineRule="auto"/>
              <w:jc w:val="center"/>
              <w:rPr>
                <w:rFonts w:ascii="Times New Roman" w:hAnsi="Times New Roman" w:cs="Times New Roman"/>
                <w:szCs w:val="20"/>
              </w:rPr>
            </w:pPr>
            <w:r w:rsidRPr="00760FDF">
              <w:rPr>
                <w:rFonts w:ascii="Times New Roman" w:hAnsi="Times New Roman" w:cs="Times New Roman"/>
                <w:szCs w:val="20"/>
              </w:rPr>
              <w:t>3.5%</w:t>
            </w:r>
          </w:p>
        </w:tc>
        <w:tc>
          <w:tcPr>
            <w:tcW w:w="570" w:type="pct"/>
            <w:vAlign w:val="center"/>
          </w:tcPr>
          <w:p w14:paraId="7F311382" w14:textId="77777777" w:rsidR="004A10AE" w:rsidRPr="00760FDF" w:rsidRDefault="004A10AE" w:rsidP="007947DB">
            <w:pPr>
              <w:wordWrap/>
              <w:spacing w:before="40" w:after="0" w:line="240" w:lineRule="auto"/>
              <w:jc w:val="center"/>
              <w:rPr>
                <w:rFonts w:ascii="Times New Roman" w:hAnsi="Times New Roman" w:cs="Times New Roman"/>
                <w:szCs w:val="20"/>
              </w:rPr>
            </w:pPr>
            <w:r w:rsidRPr="00760FDF">
              <w:rPr>
                <w:rFonts w:ascii="Times New Roman" w:hAnsi="Times New Roman" w:cs="Times New Roman"/>
                <w:szCs w:val="20"/>
              </w:rPr>
              <w:t>5.1%</w:t>
            </w:r>
          </w:p>
        </w:tc>
        <w:tc>
          <w:tcPr>
            <w:tcW w:w="478" w:type="pct"/>
            <w:vAlign w:val="center"/>
          </w:tcPr>
          <w:p w14:paraId="18C6625B" w14:textId="77777777" w:rsidR="004A10AE" w:rsidRPr="00760FDF" w:rsidRDefault="004A10AE" w:rsidP="007947DB">
            <w:pPr>
              <w:wordWrap/>
              <w:spacing w:before="40" w:after="0" w:line="240" w:lineRule="auto"/>
              <w:jc w:val="center"/>
              <w:rPr>
                <w:rFonts w:ascii="Times New Roman" w:hAnsi="Times New Roman" w:cs="Times New Roman"/>
                <w:szCs w:val="20"/>
              </w:rPr>
            </w:pPr>
            <w:r w:rsidRPr="00760FDF">
              <w:rPr>
                <w:rFonts w:ascii="Times New Roman" w:hAnsi="Times New Roman" w:cs="Times New Roman"/>
                <w:szCs w:val="20"/>
              </w:rPr>
              <w:t>0.0%</w:t>
            </w:r>
          </w:p>
        </w:tc>
        <w:tc>
          <w:tcPr>
            <w:tcW w:w="571" w:type="pct"/>
            <w:vAlign w:val="center"/>
          </w:tcPr>
          <w:p w14:paraId="0DB807C4" w14:textId="77777777" w:rsidR="004A10AE" w:rsidRPr="00760FDF" w:rsidRDefault="004A10AE" w:rsidP="007947DB">
            <w:pPr>
              <w:wordWrap/>
              <w:spacing w:before="40" w:after="0" w:line="240" w:lineRule="auto"/>
              <w:jc w:val="center"/>
              <w:rPr>
                <w:rFonts w:ascii="Times New Roman" w:hAnsi="Times New Roman" w:cs="Times New Roman"/>
                <w:szCs w:val="20"/>
              </w:rPr>
            </w:pPr>
            <w:r w:rsidRPr="00760FDF">
              <w:rPr>
                <w:rFonts w:ascii="Times New Roman" w:hAnsi="Times New Roman" w:cs="Times New Roman"/>
                <w:szCs w:val="20"/>
              </w:rPr>
              <w:t>1.7%</w:t>
            </w:r>
          </w:p>
        </w:tc>
      </w:tr>
      <w:tr w:rsidR="004A10AE" w:rsidRPr="000213FB" w14:paraId="6789CA87" w14:textId="77777777" w:rsidTr="005A4B0D">
        <w:trPr>
          <w:cantSplit/>
          <w:trHeight w:val="20"/>
        </w:trPr>
        <w:tc>
          <w:tcPr>
            <w:tcW w:w="801" w:type="pct"/>
          </w:tcPr>
          <w:p w14:paraId="1450C78C" w14:textId="77777777" w:rsidR="004A10AE" w:rsidRPr="000213FB" w:rsidRDefault="004A10AE" w:rsidP="007947DB">
            <w:pPr>
              <w:wordWrap/>
              <w:spacing w:before="40" w:after="0" w:line="240" w:lineRule="auto"/>
              <w:jc w:val="left"/>
              <w:rPr>
                <w:rFonts w:ascii="Times New Roman" w:hAnsi="Times New Roman" w:cs="Times New Roman"/>
                <w:szCs w:val="20"/>
              </w:rPr>
            </w:pPr>
            <w:proofErr w:type="spellStart"/>
            <w:r w:rsidRPr="000213FB">
              <w:rPr>
                <w:rFonts w:ascii="Times New Roman" w:hAnsi="Times New Roman" w:cs="Times New Roman"/>
                <w:szCs w:val="20"/>
              </w:rPr>
              <w:t>Paediatric</w:t>
            </w:r>
            <w:proofErr w:type="spellEnd"/>
            <w:r w:rsidRPr="000213FB">
              <w:rPr>
                <w:rFonts w:ascii="Times New Roman" w:hAnsi="Times New Roman" w:cs="Times New Roman"/>
                <w:szCs w:val="20"/>
              </w:rPr>
              <w:t xml:space="preserve"> Crohn’s disease</w:t>
            </w:r>
          </w:p>
        </w:tc>
        <w:tc>
          <w:tcPr>
            <w:tcW w:w="467" w:type="pct"/>
            <w:vAlign w:val="center"/>
          </w:tcPr>
          <w:p w14:paraId="7A041521" w14:textId="77777777" w:rsidR="004A10AE" w:rsidRPr="00760FDF" w:rsidRDefault="004A10AE" w:rsidP="007947DB">
            <w:pPr>
              <w:wordWrap/>
              <w:spacing w:before="40" w:after="0" w:line="240" w:lineRule="auto"/>
              <w:jc w:val="center"/>
              <w:rPr>
                <w:rFonts w:ascii="Times New Roman" w:hAnsi="Times New Roman" w:cs="Times New Roman"/>
                <w:szCs w:val="20"/>
              </w:rPr>
            </w:pPr>
            <w:r w:rsidRPr="00760FDF">
              <w:rPr>
                <w:rFonts w:ascii="Times New Roman" w:hAnsi="Times New Roman" w:cs="Times New Roman"/>
                <w:szCs w:val="20"/>
              </w:rPr>
              <w:t>N/A</w:t>
            </w:r>
          </w:p>
        </w:tc>
        <w:tc>
          <w:tcPr>
            <w:tcW w:w="583" w:type="pct"/>
            <w:vAlign w:val="center"/>
          </w:tcPr>
          <w:p w14:paraId="09AB99F0" w14:textId="77777777" w:rsidR="004A10AE" w:rsidRPr="00760FDF" w:rsidRDefault="004A10AE" w:rsidP="007947DB">
            <w:pPr>
              <w:wordWrap/>
              <w:spacing w:before="40" w:after="0" w:line="240" w:lineRule="auto"/>
              <w:jc w:val="center"/>
              <w:rPr>
                <w:rFonts w:ascii="Times New Roman" w:hAnsi="Times New Roman" w:cs="Times New Roman"/>
                <w:szCs w:val="20"/>
              </w:rPr>
            </w:pPr>
            <w:r w:rsidRPr="00760FDF">
              <w:rPr>
                <w:rFonts w:ascii="Times New Roman" w:hAnsi="Times New Roman" w:cs="Times New Roman"/>
                <w:szCs w:val="20"/>
              </w:rPr>
              <w:t>139</w:t>
            </w:r>
          </w:p>
        </w:tc>
        <w:tc>
          <w:tcPr>
            <w:tcW w:w="478" w:type="pct"/>
            <w:vAlign w:val="center"/>
          </w:tcPr>
          <w:p w14:paraId="173D44E9" w14:textId="77777777" w:rsidR="004A10AE" w:rsidRPr="00760FDF" w:rsidRDefault="004A10AE" w:rsidP="007947DB">
            <w:pPr>
              <w:wordWrap/>
              <w:spacing w:before="40" w:after="0" w:line="240" w:lineRule="auto"/>
              <w:jc w:val="center"/>
              <w:rPr>
                <w:rFonts w:ascii="Times New Roman" w:hAnsi="Times New Roman" w:cs="Times New Roman"/>
                <w:szCs w:val="20"/>
              </w:rPr>
            </w:pPr>
            <w:r w:rsidRPr="00760FDF">
              <w:rPr>
                <w:rFonts w:ascii="Times New Roman" w:hAnsi="Times New Roman" w:cs="Times New Roman"/>
                <w:szCs w:val="20"/>
              </w:rPr>
              <w:t>N/A</w:t>
            </w:r>
          </w:p>
        </w:tc>
        <w:tc>
          <w:tcPr>
            <w:tcW w:w="572" w:type="pct"/>
            <w:vAlign w:val="center"/>
          </w:tcPr>
          <w:p w14:paraId="24896561" w14:textId="77777777" w:rsidR="004A10AE" w:rsidRPr="00760FDF" w:rsidRDefault="004A10AE" w:rsidP="007947DB">
            <w:pPr>
              <w:wordWrap/>
              <w:spacing w:before="40" w:after="0" w:line="240" w:lineRule="auto"/>
              <w:jc w:val="center"/>
              <w:rPr>
                <w:rFonts w:ascii="Times New Roman" w:hAnsi="Times New Roman" w:cs="Times New Roman"/>
                <w:szCs w:val="20"/>
              </w:rPr>
            </w:pPr>
            <w:r w:rsidRPr="00760FDF">
              <w:rPr>
                <w:rFonts w:ascii="Times New Roman" w:hAnsi="Times New Roman" w:cs="Times New Roman"/>
                <w:szCs w:val="20"/>
              </w:rPr>
              <w:t>53.0</w:t>
            </w:r>
          </w:p>
        </w:tc>
        <w:tc>
          <w:tcPr>
            <w:tcW w:w="480" w:type="pct"/>
            <w:vAlign w:val="center"/>
          </w:tcPr>
          <w:p w14:paraId="4602FFB2" w14:textId="77777777" w:rsidR="004A10AE" w:rsidRPr="00760FDF" w:rsidRDefault="004A10AE" w:rsidP="007947DB">
            <w:pPr>
              <w:pStyle w:val="Ballongtext"/>
              <w:spacing w:before="40"/>
              <w:jc w:val="center"/>
              <w:rPr>
                <w:rFonts w:ascii="Times New Roman" w:hAnsi="Times New Roman" w:cs="Times New Roman"/>
                <w:sz w:val="20"/>
                <w:szCs w:val="20"/>
              </w:rPr>
            </w:pPr>
            <w:r w:rsidRPr="00760FDF">
              <w:rPr>
                <w:rFonts w:ascii="Times New Roman" w:hAnsi="Times New Roman" w:cs="Times New Roman"/>
                <w:sz w:val="20"/>
                <w:szCs w:val="20"/>
              </w:rPr>
              <w:t>N/A</w:t>
            </w:r>
          </w:p>
        </w:tc>
        <w:tc>
          <w:tcPr>
            <w:tcW w:w="570" w:type="pct"/>
            <w:vAlign w:val="center"/>
          </w:tcPr>
          <w:p w14:paraId="7C18381C" w14:textId="77777777" w:rsidR="004A10AE" w:rsidRPr="00760FDF" w:rsidRDefault="004A10AE" w:rsidP="007947DB">
            <w:pPr>
              <w:wordWrap/>
              <w:spacing w:before="40" w:after="0" w:line="240" w:lineRule="auto"/>
              <w:jc w:val="center"/>
              <w:rPr>
                <w:rFonts w:ascii="Times New Roman" w:hAnsi="Times New Roman" w:cs="Times New Roman"/>
                <w:szCs w:val="20"/>
              </w:rPr>
            </w:pPr>
            <w:r w:rsidRPr="00760FDF">
              <w:rPr>
                <w:rFonts w:ascii="Times New Roman" w:hAnsi="Times New Roman" w:cs="Times New Roman"/>
                <w:szCs w:val="20"/>
              </w:rPr>
              <w:t>4.4%</w:t>
            </w:r>
          </w:p>
        </w:tc>
        <w:tc>
          <w:tcPr>
            <w:tcW w:w="478" w:type="pct"/>
            <w:vAlign w:val="center"/>
          </w:tcPr>
          <w:p w14:paraId="482D9251" w14:textId="77777777" w:rsidR="004A10AE" w:rsidRPr="00760FDF" w:rsidRDefault="004A10AE" w:rsidP="007947DB">
            <w:pPr>
              <w:wordWrap/>
              <w:spacing w:before="40" w:after="0" w:line="240" w:lineRule="auto"/>
              <w:jc w:val="center"/>
              <w:rPr>
                <w:rFonts w:ascii="Times New Roman" w:hAnsi="Times New Roman" w:cs="Times New Roman"/>
                <w:szCs w:val="20"/>
              </w:rPr>
            </w:pPr>
            <w:r w:rsidRPr="00760FDF">
              <w:rPr>
                <w:rFonts w:ascii="Times New Roman" w:hAnsi="Times New Roman" w:cs="Times New Roman"/>
                <w:szCs w:val="20"/>
              </w:rPr>
              <w:t>N/A</w:t>
            </w:r>
          </w:p>
        </w:tc>
        <w:tc>
          <w:tcPr>
            <w:tcW w:w="571" w:type="pct"/>
            <w:vAlign w:val="center"/>
          </w:tcPr>
          <w:p w14:paraId="175308EB" w14:textId="77777777" w:rsidR="004A10AE" w:rsidRPr="00760FDF" w:rsidRDefault="004A10AE" w:rsidP="007947DB">
            <w:pPr>
              <w:wordWrap/>
              <w:spacing w:before="40" w:after="0" w:line="240" w:lineRule="auto"/>
              <w:jc w:val="center"/>
              <w:rPr>
                <w:rFonts w:ascii="Times New Roman" w:hAnsi="Times New Roman" w:cs="Times New Roman"/>
                <w:szCs w:val="20"/>
              </w:rPr>
            </w:pPr>
            <w:r w:rsidRPr="00760FDF">
              <w:rPr>
                <w:rFonts w:ascii="Times New Roman" w:hAnsi="Times New Roman" w:cs="Times New Roman"/>
                <w:szCs w:val="20"/>
              </w:rPr>
              <w:t>1.5%</w:t>
            </w:r>
          </w:p>
        </w:tc>
      </w:tr>
      <w:tr w:rsidR="004A10AE" w:rsidRPr="000213FB" w14:paraId="77E34029" w14:textId="77777777" w:rsidTr="005A4B0D">
        <w:trPr>
          <w:cantSplit/>
          <w:trHeight w:val="20"/>
        </w:trPr>
        <w:tc>
          <w:tcPr>
            <w:tcW w:w="801" w:type="pct"/>
          </w:tcPr>
          <w:p w14:paraId="2C2B8EDC" w14:textId="77777777" w:rsidR="004A10AE" w:rsidRPr="000213FB" w:rsidRDefault="004A10AE" w:rsidP="007947DB">
            <w:pPr>
              <w:wordWrap/>
              <w:spacing w:before="40" w:after="0" w:line="240" w:lineRule="auto"/>
              <w:jc w:val="left"/>
              <w:rPr>
                <w:rFonts w:ascii="Times New Roman" w:hAnsi="Times New Roman" w:cs="Times New Roman"/>
                <w:szCs w:val="20"/>
              </w:rPr>
            </w:pPr>
            <w:r w:rsidRPr="000213FB">
              <w:rPr>
                <w:rFonts w:ascii="Times New Roman" w:hAnsi="Times New Roman" w:cs="Times New Roman"/>
                <w:szCs w:val="20"/>
              </w:rPr>
              <w:t>Ulcerative colitis</w:t>
            </w:r>
          </w:p>
        </w:tc>
        <w:tc>
          <w:tcPr>
            <w:tcW w:w="467" w:type="pct"/>
            <w:vAlign w:val="center"/>
          </w:tcPr>
          <w:p w14:paraId="1E146464" w14:textId="77777777" w:rsidR="004A10AE" w:rsidRPr="00760FDF" w:rsidRDefault="004A10AE" w:rsidP="007947DB">
            <w:pPr>
              <w:wordWrap/>
              <w:spacing w:before="40" w:after="0" w:line="240" w:lineRule="auto"/>
              <w:jc w:val="center"/>
              <w:rPr>
                <w:rFonts w:ascii="Times New Roman" w:hAnsi="Times New Roman" w:cs="Times New Roman"/>
                <w:szCs w:val="20"/>
              </w:rPr>
            </w:pPr>
            <w:r w:rsidRPr="00760FDF">
              <w:rPr>
                <w:rFonts w:ascii="Times New Roman" w:hAnsi="Times New Roman" w:cs="Times New Roman"/>
                <w:szCs w:val="20"/>
              </w:rPr>
              <w:t>242</w:t>
            </w:r>
          </w:p>
        </w:tc>
        <w:tc>
          <w:tcPr>
            <w:tcW w:w="583" w:type="pct"/>
            <w:vAlign w:val="center"/>
          </w:tcPr>
          <w:p w14:paraId="0F5C1B56" w14:textId="77777777" w:rsidR="004A10AE" w:rsidRPr="00760FDF" w:rsidRDefault="004A10AE" w:rsidP="007947DB">
            <w:pPr>
              <w:wordWrap/>
              <w:spacing w:before="40" w:after="0" w:line="240" w:lineRule="auto"/>
              <w:jc w:val="center"/>
              <w:rPr>
                <w:rFonts w:ascii="Times New Roman" w:hAnsi="Times New Roman" w:cs="Times New Roman"/>
                <w:szCs w:val="20"/>
              </w:rPr>
            </w:pPr>
            <w:r w:rsidRPr="00760FDF">
              <w:rPr>
                <w:rFonts w:ascii="Times New Roman" w:hAnsi="Times New Roman" w:cs="Times New Roman"/>
                <w:szCs w:val="20"/>
              </w:rPr>
              <w:t>482</w:t>
            </w:r>
          </w:p>
        </w:tc>
        <w:tc>
          <w:tcPr>
            <w:tcW w:w="478" w:type="pct"/>
            <w:vAlign w:val="center"/>
          </w:tcPr>
          <w:p w14:paraId="5B915EE6" w14:textId="77777777" w:rsidR="004A10AE" w:rsidRPr="00760FDF" w:rsidRDefault="004A10AE" w:rsidP="007947DB">
            <w:pPr>
              <w:wordWrap/>
              <w:spacing w:before="40" w:after="0" w:line="240" w:lineRule="auto"/>
              <w:jc w:val="center"/>
              <w:rPr>
                <w:rFonts w:ascii="Times New Roman" w:hAnsi="Times New Roman" w:cs="Times New Roman"/>
                <w:szCs w:val="20"/>
              </w:rPr>
            </w:pPr>
            <w:r w:rsidRPr="00760FDF">
              <w:rPr>
                <w:rFonts w:ascii="Times New Roman" w:hAnsi="Times New Roman" w:cs="Times New Roman"/>
                <w:szCs w:val="20"/>
              </w:rPr>
              <w:t>30.1</w:t>
            </w:r>
          </w:p>
        </w:tc>
        <w:tc>
          <w:tcPr>
            <w:tcW w:w="572" w:type="pct"/>
            <w:vAlign w:val="center"/>
          </w:tcPr>
          <w:p w14:paraId="72F28148" w14:textId="77777777" w:rsidR="004A10AE" w:rsidRPr="00760FDF" w:rsidRDefault="004A10AE" w:rsidP="007947DB">
            <w:pPr>
              <w:wordWrap/>
              <w:spacing w:before="40" w:after="0" w:line="240" w:lineRule="auto"/>
              <w:jc w:val="center"/>
              <w:rPr>
                <w:rFonts w:ascii="Times New Roman" w:hAnsi="Times New Roman" w:cs="Times New Roman"/>
                <w:szCs w:val="20"/>
              </w:rPr>
            </w:pPr>
            <w:r w:rsidRPr="00760FDF">
              <w:rPr>
                <w:rFonts w:ascii="Times New Roman" w:hAnsi="Times New Roman" w:cs="Times New Roman"/>
                <w:szCs w:val="20"/>
              </w:rPr>
              <w:t>30.8</w:t>
            </w:r>
          </w:p>
        </w:tc>
        <w:tc>
          <w:tcPr>
            <w:tcW w:w="480" w:type="pct"/>
            <w:vAlign w:val="center"/>
          </w:tcPr>
          <w:p w14:paraId="5C569E4A" w14:textId="77777777" w:rsidR="004A10AE" w:rsidRPr="00760FDF" w:rsidRDefault="004A10AE" w:rsidP="007947DB">
            <w:pPr>
              <w:wordWrap/>
              <w:spacing w:before="40" w:after="0" w:line="240" w:lineRule="auto"/>
              <w:jc w:val="center"/>
              <w:rPr>
                <w:rFonts w:ascii="Times New Roman" w:hAnsi="Times New Roman" w:cs="Times New Roman"/>
                <w:szCs w:val="20"/>
              </w:rPr>
            </w:pPr>
            <w:r w:rsidRPr="00760FDF">
              <w:rPr>
                <w:rFonts w:ascii="Times New Roman" w:hAnsi="Times New Roman" w:cs="Times New Roman"/>
                <w:szCs w:val="20"/>
              </w:rPr>
              <w:t>1.2%</w:t>
            </w:r>
          </w:p>
        </w:tc>
        <w:tc>
          <w:tcPr>
            <w:tcW w:w="570" w:type="pct"/>
            <w:vAlign w:val="center"/>
          </w:tcPr>
          <w:p w14:paraId="020375BF" w14:textId="77777777" w:rsidR="004A10AE" w:rsidRPr="00760FDF" w:rsidRDefault="004A10AE" w:rsidP="007947DB">
            <w:pPr>
              <w:wordWrap/>
              <w:spacing w:before="40" w:after="0" w:line="240" w:lineRule="auto"/>
              <w:jc w:val="center"/>
              <w:rPr>
                <w:rFonts w:ascii="Times New Roman" w:hAnsi="Times New Roman" w:cs="Times New Roman"/>
                <w:szCs w:val="20"/>
              </w:rPr>
            </w:pPr>
            <w:r w:rsidRPr="00760FDF">
              <w:rPr>
                <w:rFonts w:ascii="Times New Roman" w:hAnsi="Times New Roman" w:cs="Times New Roman"/>
                <w:szCs w:val="20"/>
              </w:rPr>
              <w:t>2.5%</w:t>
            </w:r>
          </w:p>
        </w:tc>
        <w:tc>
          <w:tcPr>
            <w:tcW w:w="478" w:type="pct"/>
            <w:vAlign w:val="center"/>
          </w:tcPr>
          <w:p w14:paraId="59C8D356" w14:textId="77777777" w:rsidR="004A10AE" w:rsidRPr="00760FDF" w:rsidRDefault="004A10AE" w:rsidP="007947DB">
            <w:pPr>
              <w:wordWrap/>
              <w:spacing w:before="40" w:after="0" w:line="240" w:lineRule="auto"/>
              <w:jc w:val="center"/>
              <w:rPr>
                <w:rFonts w:ascii="Times New Roman" w:hAnsi="Times New Roman" w:cs="Times New Roman"/>
                <w:szCs w:val="20"/>
              </w:rPr>
            </w:pPr>
            <w:r w:rsidRPr="00760FDF">
              <w:rPr>
                <w:rFonts w:ascii="Times New Roman" w:hAnsi="Times New Roman" w:cs="Times New Roman"/>
                <w:szCs w:val="20"/>
              </w:rPr>
              <w:t>0.4%</w:t>
            </w:r>
          </w:p>
        </w:tc>
        <w:tc>
          <w:tcPr>
            <w:tcW w:w="571" w:type="pct"/>
            <w:vAlign w:val="center"/>
          </w:tcPr>
          <w:p w14:paraId="086077DE" w14:textId="77777777" w:rsidR="004A10AE" w:rsidRPr="00760FDF" w:rsidRDefault="004A10AE" w:rsidP="007947DB">
            <w:pPr>
              <w:wordWrap/>
              <w:spacing w:before="40" w:after="0" w:line="240" w:lineRule="auto"/>
              <w:jc w:val="center"/>
              <w:rPr>
                <w:rFonts w:ascii="Times New Roman" w:hAnsi="Times New Roman" w:cs="Times New Roman"/>
                <w:szCs w:val="20"/>
              </w:rPr>
            </w:pPr>
            <w:r w:rsidRPr="00760FDF">
              <w:rPr>
                <w:rFonts w:ascii="Times New Roman" w:hAnsi="Times New Roman" w:cs="Times New Roman"/>
                <w:szCs w:val="20"/>
              </w:rPr>
              <w:t>0.6%</w:t>
            </w:r>
          </w:p>
        </w:tc>
      </w:tr>
      <w:tr w:rsidR="004A10AE" w:rsidRPr="000213FB" w14:paraId="12412D7F" w14:textId="77777777" w:rsidTr="005A4B0D">
        <w:trPr>
          <w:cantSplit/>
          <w:trHeight w:val="20"/>
        </w:trPr>
        <w:tc>
          <w:tcPr>
            <w:tcW w:w="801" w:type="pct"/>
          </w:tcPr>
          <w:p w14:paraId="64214DCB" w14:textId="77777777" w:rsidR="004A10AE" w:rsidRPr="000213FB" w:rsidRDefault="004A10AE" w:rsidP="007947DB">
            <w:pPr>
              <w:wordWrap/>
              <w:spacing w:before="40" w:after="0" w:line="240" w:lineRule="auto"/>
              <w:jc w:val="left"/>
              <w:rPr>
                <w:rFonts w:ascii="Times New Roman" w:hAnsi="Times New Roman" w:cs="Times New Roman"/>
                <w:szCs w:val="20"/>
              </w:rPr>
            </w:pPr>
            <w:proofErr w:type="spellStart"/>
            <w:r w:rsidRPr="000213FB">
              <w:rPr>
                <w:rFonts w:ascii="Times New Roman" w:hAnsi="Times New Roman" w:cs="Times New Roman"/>
                <w:szCs w:val="20"/>
              </w:rPr>
              <w:t>Paediatric</w:t>
            </w:r>
            <w:proofErr w:type="spellEnd"/>
            <w:r w:rsidRPr="000213FB">
              <w:rPr>
                <w:rFonts w:ascii="Times New Roman" w:hAnsi="Times New Roman" w:cs="Times New Roman"/>
                <w:szCs w:val="20"/>
              </w:rPr>
              <w:t xml:space="preserve"> Ulcerative </w:t>
            </w:r>
            <w:r>
              <w:rPr>
                <w:rFonts w:ascii="Times New Roman" w:hAnsi="Times New Roman" w:cs="Times New Roman"/>
                <w:szCs w:val="20"/>
              </w:rPr>
              <w:t>c</w:t>
            </w:r>
            <w:r w:rsidRPr="000213FB">
              <w:rPr>
                <w:rFonts w:ascii="Times New Roman" w:hAnsi="Times New Roman" w:cs="Times New Roman"/>
                <w:szCs w:val="20"/>
              </w:rPr>
              <w:t>olitis</w:t>
            </w:r>
          </w:p>
        </w:tc>
        <w:tc>
          <w:tcPr>
            <w:tcW w:w="467" w:type="pct"/>
            <w:vAlign w:val="center"/>
          </w:tcPr>
          <w:p w14:paraId="6CB249F9" w14:textId="77777777" w:rsidR="004A10AE" w:rsidRPr="00760FDF" w:rsidRDefault="004A10AE" w:rsidP="007947DB">
            <w:pPr>
              <w:wordWrap/>
              <w:spacing w:before="40" w:after="0" w:line="240" w:lineRule="auto"/>
              <w:jc w:val="center"/>
              <w:rPr>
                <w:rFonts w:ascii="Times New Roman" w:hAnsi="Times New Roman" w:cs="Times New Roman"/>
                <w:szCs w:val="20"/>
              </w:rPr>
            </w:pPr>
            <w:r w:rsidRPr="00760FDF">
              <w:rPr>
                <w:rFonts w:ascii="Times New Roman" w:hAnsi="Times New Roman" w:cs="Times New Roman"/>
                <w:szCs w:val="20"/>
              </w:rPr>
              <w:t>N/A</w:t>
            </w:r>
          </w:p>
        </w:tc>
        <w:tc>
          <w:tcPr>
            <w:tcW w:w="583" w:type="pct"/>
            <w:vAlign w:val="center"/>
          </w:tcPr>
          <w:p w14:paraId="0ECCBE83" w14:textId="77777777" w:rsidR="004A10AE" w:rsidRPr="00760FDF" w:rsidRDefault="004A10AE" w:rsidP="007947DB">
            <w:pPr>
              <w:wordWrap/>
              <w:spacing w:before="40" w:after="0" w:line="240" w:lineRule="auto"/>
              <w:jc w:val="center"/>
              <w:rPr>
                <w:rFonts w:ascii="Times New Roman" w:hAnsi="Times New Roman" w:cs="Times New Roman"/>
                <w:szCs w:val="20"/>
              </w:rPr>
            </w:pPr>
            <w:r w:rsidRPr="00760FDF">
              <w:rPr>
                <w:rFonts w:ascii="Times New Roman" w:hAnsi="Times New Roman" w:cs="Times New Roman"/>
                <w:szCs w:val="20"/>
              </w:rPr>
              <w:t>60</w:t>
            </w:r>
          </w:p>
        </w:tc>
        <w:tc>
          <w:tcPr>
            <w:tcW w:w="478" w:type="pct"/>
            <w:vAlign w:val="center"/>
          </w:tcPr>
          <w:p w14:paraId="5FB54E07" w14:textId="77777777" w:rsidR="004A10AE" w:rsidRPr="00760FDF" w:rsidRDefault="004A10AE" w:rsidP="007947DB">
            <w:pPr>
              <w:wordWrap/>
              <w:spacing w:before="40" w:after="0" w:line="240" w:lineRule="auto"/>
              <w:jc w:val="center"/>
              <w:rPr>
                <w:rFonts w:ascii="Times New Roman" w:hAnsi="Times New Roman" w:cs="Times New Roman"/>
                <w:szCs w:val="20"/>
              </w:rPr>
            </w:pPr>
            <w:r w:rsidRPr="00760FDF">
              <w:rPr>
                <w:rFonts w:ascii="Times New Roman" w:hAnsi="Times New Roman" w:cs="Times New Roman"/>
                <w:szCs w:val="20"/>
              </w:rPr>
              <w:t>N/A</w:t>
            </w:r>
          </w:p>
        </w:tc>
        <w:tc>
          <w:tcPr>
            <w:tcW w:w="572" w:type="pct"/>
            <w:vAlign w:val="center"/>
          </w:tcPr>
          <w:p w14:paraId="497F435A" w14:textId="77777777" w:rsidR="004A10AE" w:rsidRPr="00760FDF" w:rsidRDefault="004A10AE" w:rsidP="007947DB">
            <w:pPr>
              <w:wordWrap/>
              <w:spacing w:before="40" w:after="0" w:line="240" w:lineRule="auto"/>
              <w:jc w:val="center"/>
              <w:rPr>
                <w:rFonts w:ascii="Times New Roman" w:hAnsi="Times New Roman" w:cs="Times New Roman"/>
                <w:szCs w:val="20"/>
              </w:rPr>
            </w:pPr>
            <w:r w:rsidRPr="00760FDF">
              <w:rPr>
                <w:rFonts w:ascii="Times New Roman" w:hAnsi="Times New Roman" w:cs="Times New Roman"/>
                <w:szCs w:val="20"/>
              </w:rPr>
              <w:t>49.4</w:t>
            </w:r>
          </w:p>
        </w:tc>
        <w:tc>
          <w:tcPr>
            <w:tcW w:w="480" w:type="pct"/>
            <w:vAlign w:val="center"/>
          </w:tcPr>
          <w:p w14:paraId="3247A13F" w14:textId="77777777" w:rsidR="004A10AE" w:rsidRPr="00760FDF" w:rsidRDefault="004A10AE" w:rsidP="007947DB">
            <w:pPr>
              <w:wordWrap/>
              <w:spacing w:before="40" w:after="0" w:line="240" w:lineRule="auto"/>
              <w:jc w:val="center"/>
              <w:rPr>
                <w:rFonts w:ascii="Times New Roman" w:hAnsi="Times New Roman" w:cs="Times New Roman"/>
                <w:szCs w:val="20"/>
              </w:rPr>
            </w:pPr>
            <w:r w:rsidRPr="00760FDF">
              <w:rPr>
                <w:rFonts w:ascii="Times New Roman" w:hAnsi="Times New Roman" w:cs="Times New Roman"/>
                <w:szCs w:val="20"/>
              </w:rPr>
              <w:t>N/A</w:t>
            </w:r>
          </w:p>
        </w:tc>
        <w:tc>
          <w:tcPr>
            <w:tcW w:w="570" w:type="pct"/>
            <w:vAlign w:val="center"/>
          </w:tcPr>
          <w:p w14:paraId="0101C7A8" w14:textId="77777777" w:rsidR="004A10AE" w:rsidRPr="00760FDF" w:rsidRDefault="004A10AE" w:rsidP="007947DB">
            <w:pPr>
              <w:wordWrap/>
              <w:spacing w:before="40" w:after="0" w:line="240" w:lineRule="auto"/>
              <w:jc w:val="center"/>
              <w:rPr>
                <w:rFonts w:ascii="Times New Roman" w:hAnsi="Times New Roman" w:cs="Times New Roman"/>
                <w:szCs w:val="20"/>
              </w:rPr>
            </w:pPr>
            <w:r w:rsidRPr="00760FDF">
              <w:rPr>
                <w:rFonts w:ascii="Times New Roman" w:hAnsi="Times New Roman" w:cs="Times New Roman"/>
                <w:szCs w:val="20"/>
              </w:rPr>
              <w:t>6.7%</w:t>
            </w:r>
          </w:p>
        </w:tc>
        <w:tc>
          <w:tcPr>
            <w:tcW w:w="478" w:type="pct"/>
            <w:vAlign w:val="center"/>
          </w:tcPr>
          <w:p w14:paraId="3C551C5F" w14:textId="77777777" w:rsidR="004A10AE" w:rsidRPr="00760FDF" w:rsidRDefault="004A10AE" w:rsidP="007947DB">
            <w:pPr>
              <w:wordWrap/>
              <w:spacing w:before="40" w:after="0" w:line="240" w:lineRule="auto"/>
              <w:jc w:val="center"/>
              <w:rPr>
                <w:rFonts w:ascii="Times New Roman" w:hAnsi="Times New Roman" w:cs="Times New Roman"/>
                <w:szCs w:val="20"/>
              </w:rPr>
            </w:pPr>
            <w:r w:rsidRPr="00760FDF">
              <w:rPr>
                <w:rFonts w:ascii="Times New Roman" w:hAnsi="Times New Roman" w:cs="Times New Roman"/>
                <w:szCs w:val="20"/>
              </w:rPr>
              <w:t>N/A</w:t>
            </w:r>
          </w:p>
        </w:tc>
        <w:tc>
          <w:tcPr>
            <w:tcW w:w="571" w:type="pct"/>
            <w:vAlign w:val="center"/>
          </w:tcPr>
          <w:p w14:paraId="282E4606" w14:textId="77777777" w:rsidR="004A10AE" w:rsidRPr="00760FDF" w:rsidRDefault="004A10AE" w:rsidP="007947DB">
            <w:pPr>
              <w:wordWrap/>
              <w:spacing w:before="40" w:after="0" w:line="240" w:lineRule="auto"/>
              <w:jc w:val="center"/>
              <w:rPr>
                <w:rFonts w:ascii="Times New Roman" w:hAnsi="Times New Roman" w:cs="Times New Roman"/>
                <w:szCs w:val="20"/>
              </w:rPr>
            </w:pPr>
            <w:r w:rsidRPr="00760FDF">
              <w:rPr>
                <w:rFonts w:ascii="Times New Roman" w:hAnsi="Times New Roman" w:cs="Times New Roman"/>
                <w:szCs w:val="20"/>
              </w:rPr>
              <w:t>1.7%</w:t>
            </w:r>
          </w:p>
        </w:tc>
      </w:tr>
      <w:tr w:rsidR="004A10AE" w:rsidRPr="000213FB" w14:paraId="79E4E4BB" w14:textId="77777777" w:rsidTr="005A4B0D">
        <w:trPr>
          <w:cantSplit/>
          <w:trHeight w:val="20"/>
        </w:trPr>
        <w:tc>
          <w:tcPr>
            <w:tcW w:w="801" w:type="pct"/>
          </w:tcPr>
          <w:p w14:paraId="697B2864" w14:textId="77777777" w:rsidR="004A10AE" w:rsidRPr="000213FB" w:rsidRDefault="004A10AE" w:rsidP="007947DB">
            <w:pPr>
              <w:wordWrap/>
              <w:spacing w:before="40" w:after="0" w:line="240" w:lineRule="auto"/>
              <w:jc w:val="left"/>
              <w:rPr>
                <w:rFonts w:ascii="Times New Roman" w:hAnsi="Times New Roman" w:cs="Times New Roman"/>
                <w:szCs w:val="20"/>
              </w:rPr>
            </w:pPr>
            <w:r w:rsidRPr="000213FB">
              <w:rPr>
                <w:rFonts w:ascii="Times New Roman" w:hAnsi="Times New Roman" w:cs="Times New Roman"/>
                <w:szCs w:val="20"/>
              </w:rPr>
              <w:t>Ankylosing spondylitis</w:t>
            </w:r>
          </w:p>
        </w:tc>
        <w:tc>
          <w:tcPr>
            <w:tcW w:w="467" w:type="pct"/>
            <w:vAlign w:val="center"/>
          </w:tcPr>
          <w:p w14:paraId="34C97A91" w14:textId="77777777" w:rsidR="004A10AE" w:rsidRPr="00760FDF" w:rsidRDefault="004A10AE" w:rsidP="007947DB">
            <w:pPr>
              <w:wordWrap/>
              <w:spacing w:before="40" w:after="0" w:line="240" w:lineRule="auto"/>
              <w:jc w:val="center"/>
              <w:rPr>
                <w:rFonts w:ascii="Times New Roman" w:hAnsi="Times New Roman" w:cs="Times New Roman"/>
                <w:szCs w:val="20"/>
              </w:rPr>
            </w:pPr>
            <w:r w:rsidRPr="00760FDF">
              <w:rPr>
                <w:rFonts w:ascii="Times New Roman" w:hAnsi="Times New Roman" w:cs="Times New Roman"/>
                <w:szCs w:val="20"/>
              </w:rPr>
              <w:t>76</w:t>
            </w:r>
          </w:p>
        </w:tc>
        <w:tc>
          <w:tcPr>
            <w:tcW w:w="583" w:type="pct"/>
            <w:vAlign w:val="center"/>
          </w:tcPr>
          <w:p w14:paraId="306FD848" w14:textId="77777777" w:rsidR="004A10AE" w:rsidRPr="00760FDF" w:rsidRDefault="004A10AE" w:rsidP="007947DB">
            <w:pPr>
              <w:wordWrap/>
              <w:spacing w:before="40" w:after="0" w:line="240" w:lineRule="auto"/>
              <w:jc w:val="center"/>
              <w:rPr>
                <w:rFonts w:ascii="Times New Roman" w:hAnsi="Times New Roman" w:cs="Times New Roman"/>
                <w:szCs w:val="20"/>
              </w:rPr>
            </w:pPr>
            <w:r w:rsidRPr="00760FDF">
              <w:rPr>
                <w:rFonts w:ascii="Times New Roman" w:hAnsi="Times New Roman" w:cs="Times New Roman"/>
                <w:szCs w:val="20"/>
              </w:rPr>
              <w:t>275</w:t>
            </w:r>
          </w:p>
        </w:tc>
        <w:tc>
          <w:tcPr>
            <w:tcW w:w="478" w:type="pct"/>
            <w:vAlign w:val="center"/>
          </w:tcPr>
          <w:p w14:paraId="4DC90032" w14:textId="77777777" w:rsidR="004A10AE" w:rsidRPr="00760FDF" w:rsidRDefault="004A10AE" w:rsidP="007947DB">
            <w:pPr>
              <w:wordWrap/>
              <w:spacing w:before="40" w:after="0" w:line="240" w:lineRule="auto"/>
              <w:jc w:val="center"/>
              <w:rPr>
                <w:rFonts w:ascii="Times New Roman" w:hAnsi="Times New Roman" w:cs="Times New Roman"/>
                <w:szCs w:val="20"/>
              </w:rPr>
            </w:pPr>
            <w:r w:rsidRPr="00760FDF">
              <w:rPr>
                <w:rFonts w:ascii="Times New Roman" w:hAnsi="Times New Roman" w:cs="Times New Roman"/>
                <w:szCs w:val="20"/>
              </w:rPr>
              <w:t>24.1</w:t>
            </w:r>
          </w:p>
        </w:tc>
        <w:tc>
          <w:tcPr>
            <w:tcW w:w="572" w:type="pct"/>
            <w:vAlign w:val="center"/>
          </w:tcPr>
          <w:p w14:paraId="3319674A" w14:textId="77777777" w:rsidR="004A10AE" w:rsidRPr="00760FDF" w:rsidRDefault="004A10AE" w:rsidP="007947DB">
            <w:pPr>
              <w:wordWrap/>
              <w:spacing w:before="40" w:after="0" w:line="240" w:lineRule="auto"/>
              <w:jc w:val="center"/>
              <w:rPr>
                <w:rFonts w:ascii="Times New Roman" w:hAnsi="Times New Roman" w:cs="Times New Roman"/>
                <w:szCs w:val="20"/>
              </w:rPr>
            </w:pPr>
            <w:r w:rsidRPr="00760FDF">
              <w:rPr>
                <w:rFonts w:ascii="Times New Roman" w:hAnsi="Times New Roman" w:cs="Times New Roman"/>
                <w:szCs w:val="20"/>
              </w:rPr>
              <w:t>101.9</w:t>
            </w:r>
          </w:p>
        </w:tc>
        <w:tc>
          <w:tcPr>
            <w:tcW w:w="480" w:type="pct"/>
            <w:vAlign w:val="center"/>
          </w:tcPr>
          <w:p w14:paraId="709C55A6" w14:textId="77777777" w:rsidR="004A10AE" w:rsidRPr="00760FDF" w:rsidRDefault="004A10AE" w:rsidP="007947DB">
            <w:pPr>
              <w:wordWrap/>
              <w:spacing w:before="40" w:after="0" w:line="240" w:lineRule="auto"/>
              <w:jc w:val="center"/>
              <w:rPr>
                <w:rFonts w:ascii="Times New Roman" w:hAnsi="Times New Roman" w:cs="Times New Roman"/>
                <w:szCs w:val="20"/>
              </w:rPr>
            </w:pPr>
            <w:r w:rsidRPr="00760FDF">
              <w:rPr>
                <w:rFonts w:ascii="Times New Roman" w:hAnsi="Times New Roman" w:cs="Times New Roman"/>
                <w:szCs w:val="20"/>
              </w:rPr>
              <w:t>0.0%</w:t>
            </w:r>
          </w:p>
        </w:tc>
        <w:tc>
          <w:tcPr>
            <w:tcW w:w="570" w:type="pct"/>
            <w:vAlign w:val="center"/>
          </w:tcPr>
          <w:p w14:paraId="388EC45B" w14:textId="77777777" w:rsidR="004A10AE" w:rsidRPr="00760FDF" w:rsidRDefault="004A10AE" w:rsidP="007947DB">
            <w:pPr>
              <w:wordWrap/>
              <w:spacing w:before="40" w:after="0" w:line="240" w:lineRule="auto"/>
              <w:jc w:val="center"/>
              <w:rPr>
                <w:rFonts w:ascii="Times New Roman" w:hAnsi="Times New Roman" w:cs="Times New Roman"/>
                <w:szCs w:val="20"/>
              </w:rPr>
            </w:pPr>
            <w:r w:rsidRPr="00760FDF">
              <w:rPr>
                <w:rFonts w:ascii="Times New Roman" w:hAnsi="Times New Roman" w:cs="Times New Roman"/>
                <w:szCs w:val="20"/>
              </w:rPr>
              <w:t>9.5%</w:t>
            </w:r>
          </w:p>
        </w:tc>
        <w:tc>
          <w:tcPr>
            <w:tcW w:w="478" w:type="pct"/>
            <w:vAlign w:val="center"/>
          </w:tcPr>
          <w:p w14:paraId="580FA50F" w14:textId="77777777" w:rsidR="004A10AE" w:rsidRPr="00760FDF" w:rsidRDefault="004A10AE" w:rsidP="007947DB">
            <w:pPr>
              <w:wordWrap/>
              <w:spacing w:before="40" w:after="0" w:line="240" w:lineRule="auto"/>
              <w:jc w:val="center"/>
              <w:rPr>
                <w:rFonts w:ascii="Times New Roman" w:hAnsi="Times New Roman" w:cs="Times New Roman"/>
                <w:szCs w:val="20"/>
              </w:rPr>
            </w:pPr>
            <w:r w:rsidRPr="00760FDF">
              <w:rPr>
                <w:rFonts w:ascii="Times New Roman" w:hAnsi="Times New Roman" w:cs="Times New Roman"/>
                <w:szCs w:val="20"/>
              </w:rPr>
              <w:t>0.0%</w:t>
            </w:r>
          </w:p>
        </w:tc>
        <w:tc>
          <w:tcPr>
            <w:tcW w:w="571" w:type="pct"/>
            <w:vAlign w:val="center"/>
          </w:tcPr>
          <w:p w14:paraId="6B3C0DA8" w14:textId="77777777" w:rsidR="004A10AE" w:rsidRPr="00760FDF" w:rsidRDefault="004A10AE" w:rsidP="007947DB">
            <w:pPr>
              <w:wordWrap/>
              <w:spacing w:before="40" w:after="0" w:line="240" w:lineRule="auto"/>
              <w:jc w:val="center"/>
              <w:rPr>
                <w:rFonts w:ascii="Times New Roman" w:hAnsi="Times New Roman" w:cs="Times New Roman"/>
                <w:szCs w:val="20"/>
              </w:rPr>
            </w:pPr>
            <w:r w:rsidRPr="00760FDF">
              <w:rPr>
                <w:rFonts w:ascii="Times New Roman" w:hAnsi="Times New Roman" w:cs="Times New Roman"/>
                <w:szCs w:val="20"/>
              </w:rPr>
              <w:t>3.6%</w:t>
            </w:r>
          </w:p>
        </w:tc>
      </w:tr>
      <w:tr w:rsidR="004A10AE" w:rsidRPr="000213FB" w14:paraId="65E66B98" w14:textId="77777777" w:rsidTr="005A4B0D">
        <w:trPr>
          <w:cantSplit/>
          <w:trHeight w:val="20"/>
        </w:trPr>
        <w:tc>
          <w:tcPr>
            <w:tcW w:w="801" w:type="pct"/>
          </w:tcPr>
          <w:p w14:paraId="5D27E021" w14:textId="77777777" w:rsidR="004A10AE" w:rsidRPr="000213FB" w:rsidRDefault="004A10AE" w:rsidP="007947DB">
            <w:pPr>
              <w:wordWrap/>
              <w:spacing w:before="40" w:after="0" w:line="240" w:lineRule="auto"/>
              <w:jc w:val="left"/>
              <w:rPr>
                <w:rFonts w:ascii="Times New Roman" w:hAnsi="Times New Roman" w:cs="Times New Roman"/>
                <w:szCs w:val="20"/>
              </w:rPr>
            </w:pPr>
            <w:r w:rsidRPr="000213FB">
              <w:rPr>
                <w:rFonts w:ascii="Times New Roman" w:hAnsi="Times New Roman" w:cs="Times New Roman"/>
                <w:szCs w:val="20"/>
              </w:rPr>
              <w:t>Psoriatic arthritis</w:t>
            </w:r>
          </w:p>
        </w:tc>
        <w:tc>
          <w:tcPr>
            <w:tcW w:w="467" w:type="pct"/>
            <w:vAlign w:val="center"/>
          </w:tcPr>
          <w:p w14:paraId="5DCE381D" w14:textId="77777777" w:rsidR="004A10AE" w:rsidRPr="00760FDF" w:rsidRDefault="004A10AE" w:rsidP="007947DB">
            <w:pPr>
              <w:wordWrap/>
              <w:spacing w:before="40" w:after="0" w:line="240" w:lineRule="auto"/>
              <w:jc w:val="center"/>
              <w:rPr>
                <w:rFonts w:ascii="Times New Roman" w:hAnsi="Times New Roman" w:cs="Times New Roman"/>
                <w:szCs w:val="20"/>
              </w:rPr>
            </w:pPr>
            <w:r w:rsidRPr="00760FDF">
              <w:rPr>
                <w:rFonts w:ascii="Times New Roman" w:hAnsi="Times New Roman" w:cs="Times New Roman"/>
                <w:szCs w:val="20"/>
              </w:rPr>
              <w:t>98</w:t>
            </w:r>
          </w:p>
        </w:tc>
        <w:tc>
          <w:tcPr>
            <w:tcW w:w="583" w:type="pct"/>
            <w:vAlign w:val="center"/>
          </w:tcPr>
          <w:p w14:paraId="4B4BA07A" w14:textId="77777777" w:rsidR="004A10AE" w:rsidRPr="00760FDF" w:rsidRDefault="004A10AE" w:rsidP="007947DB">
            <w:pPr>
              <w:wordWrap/>
              <w:spacing w:before="40" w:after="0" w:line="240" w:lineRule="auto"/>
              <w:jc w:val="center"/>
              <w:rPr>
                <w:rFonts w:ascii="Times New Roman" w:hAnsi="Times New Roman" w:cs="Times New Roman"/>
                <w:szCs w:val="20"/>
              </w:rPr>
            </w:pPr>
            <w:r w:rsidRPr="00760FDF">
              <w:rPr>
                <w:rFonts w:ascii="Times New Roman" w:hAnsi="Times New Roman" w:cs="Times New Roman"/>
                <w:szCs w:val="20"/>
              </w:rPr>
              <w:t>191</w:t>
            </w:r>
          </w:p>
        </w:tc>
        <w:tc>
          <w:tcPr>
            <w:tcW w:w="478" w:type="pct"/>
            <w:vAlign w:val="center"/>
          </w:tcPr>
          <w:p w14:paraId="2F585066" w14:textId="77777777" w:rsidR="004A10AE" w:rsidRPr="00760FDF" w:rsidRDefault="004A10AE" w:rsidP="007947DB">
            <w:pPr>
              <w:wordWrap/>
              <w:spacing w:before="40" w:after="0" w:line="240" w:lineRule="auto"/>
              <w:jc w:val="center"/>
              <w:rPr>
                <w:rFonts w:ascii="Times New Roman" w:hAnsi="Times New Roman" w:cs="Times New Roman"/>
                <w:szCs w:val="20"/>
              </w:rPr>
            </w:pPr>
            <w:r w:rsidRPr="00760FDF">
              <w:rPr>
                <w:rFonts w:ascii="Times New Roman" w:hAnsi="Times New Roman" w:cs="Times New Roman"/>
                <w:szCs w:val="20"/>
              </w:rPr>
              <w:t>18.1</w:t>
            </w:r>
          </w:p>
        </w:tc>
        <w:tc>
          <w:tcPr>
            <w:tcW w:w="572" w:type="pct"/>
            <w:vAlign w:val="center"/>
          </w:tcPr>
          <w:p w14:paraId="6A1117FE" w14:textId="77777777" w:rsidR="004A10AE" w:rsidRPr="00760FDF" w:rsidRDefault="004A10AE" w:rsidP="007947DB">
            <w:pPr>
              <w:wordWrap/>
              <w:spacing w:before="40" w:after="0" w:line="240" w:lineRule="auto"/>
              <w:jc w:val="center"/>
              <w:rPr>
                <w:rFonts w:ascii="Times New Roman" w:hAnsi="Times New Roman" w:cs="Times New Roman"/>
                <w:szCs w:val="20"/>
              </w:rPr>
            </w:pPr>
            <w:r w:rsidRPr="00760FDF">
              <w:rPr>
                <w:rFonts w:ascii="Times New Roman" w:hAnsi="Times New Roman" w:cs="Times New Roman"/>
                <w:szCs w:val="20"/>
              </w:rPr>
              <w:t>39.1</w:t>
            </w:r>
          </w:p>
        </w:tc>
        <w:tc>
          <w:tcPr>
            <w:tcW w:w="480" w:type="pct"/>
            <w:vAlign w:val="center"/>
          </w:tcPr>
          <w:p w14:paraId="2CD25B4B" w14:textId="77777777" w:rsidR="004A10AE" w:rsidRPr="00760FDF" w:rsidRDefault="004A10AE" w:rsidP="007947DB">
            <w:pPr>
              <w:wordWrap/>
              <w:spacing w:before="40" w:after="0" w:line="240" w:lineRule="auto"/>
              <w:jc w:val="center"/>
              <w:rPr>
                <w:rFonts w:ascii="Times New Roman" w:hAnsi="Times New Roman" w:cs="Times New Roman"/>
                <w:szCs w:val="20"/>
              </w:rPr>
            </w:pPr>
            <w:r w:rsidRPr="00760FDF">
              <w:rPr>
                <w:rFonts w:ascii="Times New Roman" w:hAnsi="Times New Roman" w:cs="Times New Roman"/>
                <w:szCs w:val="20"/>
              </w:rPr>
              <w:t>0.0%</w:t>
            </w:r>
          </w:p>
        </w:tc>
        <w:tc>
          <w:tcPr>
            <w:tcW w:w="570" w:type="pct"/>
            <w:vAlign w:val="center"/>
          </w:tcPr>
          <w:p w14:paraId="1D0514EE" w14:textId="77777777" w:rsidR="004A10AE" w:rsidRPr="00760FDF" w:rsidRDefault="004A10AE" w:rsidP="007947DB">
            <w:pPr>
              <w:wordWrap/>
              <w:spacing w:before="40" w:after="0" w:line="240" w:lineRule="auto"/>
              <w:jc w:val="center"/>
              <w:rPr>
                <w:rFonts w:ascii="Times New Roman" w:hAnsi="Times New Roman" w:cs="Times New Roman"/>
                <w:szCs w:val="20"/>
              </w:rPr>
            </w:pPr>
            <w:r w:rsidRPr="00760FDF">
              <w:rPr>
                <w:rFonts w:ascii="Times New Roman" w:hAnsi="Times New Roman" w:cs="Times New Roman"/>
                <w:szCs w:val="20"/>
              </w:rPr>
              <w:t>6.8%</w:t>
            </w:r>
          </w:p>
        </w:tc>
        <w:tc>
          <w:tcPr>
            <w:tcW w:w="478" w:type="pct"/>
            <w:vAlign w:val="center"/>
          </w:tcPr>
          <w:p w14:paraId="6700A947" w14:textId="77777777" w:rsidR="004A10AE" w:rsidRPr="00760FDF" w:rsidRDefault="004A10AE" w:rsidP="007947DB">
            <w:pPr>
              <w:wordWrap/>
              <w:spacing w:before="40" w:after="0" w:line="240" w:lineRule="auto"/>
              <w:jc w:val="center"/>
              <w:rPr>
                <w:rFonts w:ascii="Times New Roman" w:hAnsi="Times New Roman" w:cs="Times New Roman"/>
                <w:szCs w:val="20"/>
              </w:rPr>
            </w:pPr>
            <w:r w:rsidRPr="00760FDF">
              <w:rPr>
                <w:rFonts w:ascii="Times New Roman" w:hAnsi="Times New Roman" w:cs="Times New Roman"/>
                <w:szCs w:val="20"/>
              </w:rPr>
              <w:t>0.0%</w:t>
            </w:r>
          </w:p>
        </w:tc>
        <w:tc>
          <w:tcPr>
            <w:tcW w:w="571" w:type="pct"/>
            <w:vAlign w:val="center"/>
          </w:tcPr>
          <w:p w14:paraId="1F6AF930" w14:textId="77777777" w:rsidR="004A10AE" w:rsidRPr="00760FDF" w:rsidRDefault="004A10AE" w:rsidP="007947DB">
            <w:pPr>
              <w:wordWrap/>
              <w:spacing w:before="40" w:after="0" w:line="240" w:lineRule="auto"/>
              <w:jc w:val="center"/>
              <w:rPr>
                <w:rFonts w:ascii="Times New Roman" w:hAnsi="Times New Roman" w:cs="Times New Roman"/>
                <w:szCs w:val="20"/>
              </w:rPr>
            </w:pPr>
            <w:r w:rsidRPr="00760FDF">
              <w:rPr>
                <w:rFonts w:ascii="Times New Roman" w:hAnsi="Times New Roman" w:cs="Times New Roman"/>
                <w:szCs w:val="20"/>
              </w:rPr>
              <w:t>2.1%</w:t>
            </w:r>
          </w:p>
        </w:tc>
      </w:tr>
      <w:tr w:rsidR="004A10AE" w:rsidRPr="000213FB" w14:paraId="1BC03736" w14:textId="77777777" w:rsidTr="005A4B0D">
        <w:trPr>
          <w:cantSplit/>
          <w:trHeight w:val="20"/>
        </w:trPr>
        <w:tc>
          <w:tcPr>
            <w:tcW w:w="801" w:type="pct"/>
          </w:tcPr>
          <w:p w14:paraId="53BA9928" w14:textId="77777777" w:rsidR="004A10AE" w:rsidRPr="000213FB" w:rsidRDefault="004A10AE" w:rsidP="007947DB">
            <w:pPr>
              <w:wordWrap/>
              <w:spacing w:before="40" w:after="0" w:line="240" w:lineRule="auto"/>
              <w:jc w:val="left"/>
              <w:rPr>
                <w:rFonts w:ascii="Times New Roman" w:hAnsi="Times New Roman" w:cs="Times New Roman"/>
                <w:szCs w:val="20"/>
              </w:rPr>
            </w:pPr>
            <w:r w:rsidRPr="000213FB">
              <w:rPr>
                <w:rFonts w:ascii="Times New Roman" w:hAnsi="Times New Roman" w:cs="Times New Roman"/>
                <w:szCs w:val="20"/>
              </w:rPr>
              <w:t>Plaque psoriasis</w:t>
            </w:r>
          </w:p>
        </w:tc>
        <w:tc>
          <w:tcPr>
            <w:tcW w:w="467" w:type="pct"/>
            <w:vAlign w:val="center"/>
          </w:tcPr>
          <w:p w14:paraId="389285CC" w14:textId="77777777" w:rsidR="004A10AE" w:rsidRPr="00760FDF" w:rsidRDefault="004A10AE" w:rsidP="007947DB">
            <w:pPr>
              <w:wordWrap/>
              <w:spacing w:before="40" w:after="0" w:line="240" w:lineRule="auto"/>
              <w:jc w:val="center"/>
              <w:rPr>
                <w:rFonts w:ascii="Times New Roman" w:hAnsi="Times New Roman" w:cs="Times New Roman"/>
                <w:szCs w:val="20"/>
              </w:rPr>
            </w:pPr>
            <w:r w:rsidRPr="00760FDF">
              <w:rPr>
                <w:rFonts w:ascii="Times New Roman" w:hAnsi="Times New Roman" w:cs="Times New Roman"/>
                <w:szCs w:val="20"/>
              </w:rPr>
              <w:t>281</w:t>
            </w:r>
          </w:p>
        </w:tc>
        <w:tc>
          <w:tcPr>
            <w:tcW w:w="583" w:type="pct"/>
            <w:vAlign w:val="center"/>
          </w:tcPr>
          <w:p w14:paraId="6823BD05" w14:textId="77777777" w:rsidR="004A10AE" w:rsidRPr="00760FDF" w:rsidRDefault="004A10AE" w:rsidP="007947DB">
            <w:pPr>
              <w:wordWrap/>
              <w:spacing w:before="40" w:after="0" w:line="240" w:lineRule="auto"/>
              <w:jc w:val="center"/>
              <w:rPr>
                <w:rFonts w:ascii="Times New Roman" w:hAnsi="Times New Roman" w:cs="Times New Roman"/>
                <w:szCs w:val="20"/>
              </w:rPr>
            </w:pPr>
            <w:r w:rsidRPr="00760FDF">
              <w:rPr>
                <w:rFonts w:ascii="Times New Roman" w:hAnsi="Times New Roman" w:cs="Times New Roman"/>
                <w:szCs w:val="20"/>
              </w:rPr>
              <w:t>1175</w:t>
            </w:r>
          </w:p>
        </w:tc>
        <w:tc>
          <w:tcPr>
            <w:tcW w:w="478" w:type="pct"/>
            <w:vAlign w:val="center"/>
          </w:tcPr>
          <w:p w14:paraId="3E1767D2" w14:textId="77777777" w:rsidR="004A10AE" w:rsidRPr="00760FDF" w:rsidRDefault="004A10AE" w:rsidP="007947DB">
            <w:pPr>
              <w:wordWrap/>
              <w:spacing w:before="40" w:after="0" w:line="240" w:lineRule="auto"/>
              <w:jc w:val="center"/>
              <w:rPr>
                <w:rFonts w:ascii="Times New Roman" w:hAnsi="Times New Roman" w:cs="Times New Roman"/>
                <w:szCs w:val="20"/>
              </w:rPr>
            </w:pPr>
            <w:r w:rsidRPr="00760FDF">
              <w:rPr>
                <w:rFonts w:ascii="Times New Roman" w:hAnsi="Times New Roman" w:cs="Times New Roman"/>
                <w:szCs w:val="20"/>
              </w:rPr>
              <w:t>16.1</w:t>
            </w:r>
          </w:p>
        </w:tc>
        <w:tc>
          <w:tcPr>
            <w:tcW w:w="572" w:type="pct"/>
            <w:vAlign w:val="center"/>
          </w:tcPr>
          <w:p w14:paraId="22F6B88F" w14:textId="77777777" w:rsidR="004A10AE" w:rsidRPr="00760FDF" w:rsidRDefault="004A10AE" w:rsidP="007947DB">
            <w:pPr>
              <w:wordWrap/>
              <w:spacing w:before="40" w:after="0" w:line="240" w:lineRule="auto"/>
              <w:jc w:val="center"/>
              <w:rPr>
                <w:rFonts w:ascii="Times New Roman" w:hAnsi="Times New Roman" w:cs="Times New Roman"/>
                <w:szCs w:val="20"/>
              </w:rPr>
            </w:pPr>
            <w:r w:rsidRPr="00760FDF">
              <w:rPr>
                <w:rFonts w:ascii="Times New Roman" w:hAnsi="Times New Roman" w:cs="Times New Roman"/>
                <w:szCs w:val="20"/>
              </w:rPr>
              <w:t>50.1</w:t>
            </w:r>
          </w:p>
        </w:tc>
        <w:tc>
          <w:tcPr>
            <w:tcW w:w="480" w:type="pct"/>
            <w:vAlign w:val="center"/>
          </w:tcPr>
          <w:p w14:paraId="6E13148C" w14:textId="77777777" w:rsidR="004A10AE" w:rsidRPr="00760FDF" w:rsidRDefault="004A10AE" w:rsidP="007947DB">
            <w:pPr>
              <w:wordWrap/>
              <w:spacing w:before="40" w:after="0" w:line="240" w:lineRule="auto"/>
              <w:jc w:val="center"/>
              <w:rPr>
                <w:rFonts w:ascii="Times New Roman" w:hAnsi="Times New Roman" w:cs="Times New Roman"/>
                <w:szCs w:val="20"/>
              </w:rPr>
            </w:pPr>
            <w:r w:rsidRPr="00760FDF">
              <w:rPr>
                <w:rFonts w:ascii="Times New Roman" w:hAnsi="Times New Roman" w:cs="Times New Roman"/>
                <w:szCs w:val="20"/>
              </w:rPr>
              <w:t>0.4%</w:t>
            </w:r>
          </w:p>
        </w:tc>
        <w:tc>
          <w:tcPr>
            <w:tcW w:w="570" w:type="pct"/>
            <w:vAlign w:val="center"/>
          </w:tcPr>
          <w:p w14:paraId="6D082D73" w14:textId="77777777" w:rsidR="004A10AE" w:rsidRPr="00760FDF" w:rsidRDefault="004A10AE" w:rsidP="007947DB">
            <w:pPr>
              <w:wordWrap/>
              <w:spacing w:before="40" w:after="0" w:line="240" w:lineRule="auto"/>
              <w:jc w:val="center"/>
              <w:rPr>
                <w:rFonts w:ascii="Times New Roman" w:hAnsi="Times New Roman" w:cs="Times New Roman"/>
                <w:szCs w:val="20"/>
              </w:rPr>
            </w:pPr>
            <w:r w:rsidRPr="00760FDF">
              <w:rPr>
                <w:rFonts w:ascii="Times New Roman" w:hAnsi="Times New Roman" w:cs="Times New Roman"/>
                <w:szCs w:val="20"/>
              </w:rPr>
              <w:t>7.7%</w:t>
            </w:r>
          </w:p>
        </w:tc>
        <w:tc>
          <w:tcPr>
            <w:tcW w:w="478" w:type="pct"/>
            <w:vAlign w:val="center"/>
          </w:tcPr>
          <w:p w14:paraId="6DC498E0" w14:textId="77777777" w:rsidR="004A10AE" w:rsidRPr="00760FDF" w:rsidRDefault="004A10AE" w:rsidP="007947DB">
            <w:pPr>
              <w:wordWrap/>
              <w:spacing w:before="40" w:after="0" w:line="240" w:lineRule="auto"/>
              <w:jc w:val="center"/>
              <w:rPr>
                <w:rFonts w:ascii="Times New Roman" w:hAnsi="Times New Roman" w:cs="Times New Roman"/>
                <w:szCs w:val="20"/>
              </w:rPr>
            </w:pPr>
            <w:r w:rsidRPr="00760FDF">
              <w:rPr>
                <w:rFonts w:ascii="Times New Roman" w:hAnsi="Times New Roman" w:cs="Times New Roman"/>
                <w:szCs w:val="20"/>
              </w:rPr>
              <w:t>0.0%</w:t>
            </w:r>
          </w:p>
        </w:tc>
        <w:tc>
          <w:tcPr>
            <w:tcW w:w="571" w:type="pct"/>
            <w:vAlign w:val="center"/>
          </w:tcPr>
          <w:p w14:paraId="2A29AC35" w14:textId="77777777" w:rsidR="004A10AE" w:rsidRPr="00760FDF" w:rsidRDefault="004A10AE" w:rsidP="007947DB">
            <w:pPr>
              <w:wordWrap/>
              <w:spacing w:before="40" w:after="0" w:line="240" w:lineRule="auto"/>
              <w:jc w:val="center"/>
              <w:rPr>
                <w:rFonts w:ascii="Times New Roman" w:hAnsi="Times New Roman" w:cs="Times New Roman"/>
                <w:szCs w:val="20"/>
              </w:rPr>
            </w:pPr>
            <w:r w:rsidRPr="00760FDF">
              <w:rPr>
                <w:rFonts w:ascii="Times New Roman" w:hAnsi="Times New Roman" w:cs="Times New Roman"/>
                <w:szCs w:val="20"/>
              </w:rPr>
              <w:t>3.4%</w:t>
            </w:r>
          </w:p>
        </w:tc>
      </w:tr>
    </w:tbl>
    <w:p w14:paraId="3812D0CF" w14:textId="77777777" w:rsidR="004A10AE" w:rsidRPr="0025669D" w:rsidRDefault="004A10AE" w:rsidP="007947DB">
      <w:pPr>
        <w:pStyle w:val="NoSpacing"/>
        <w:jc w:val="left"/>
        <w:rPr>
          <w:rFonts w:ascii="Times New Roman" w:hAnsi="Times New Roman" w:cs="Times New Roman"/>
          <w:szCs w:val="20"/>
        </w:rPr>
      </w:pPr>
      <w:r w:rsidRPr="0025669D">
        <w:rPr>
          <w:rFonts w:ascii="Times New Roman" w:hAnsi="Times New Roman" w:cs="Times New Roman"/>
          <w:szCs w:val="20"/>
          <w:vertAlign w:val="superscript"/>
        </w:rPr>
        <w:t>1</w:t>
      </w:r>
      <w:r w:rsidRPr="0025669D">
        <w:rPr>
          <w:rFonts w:ascii="Times New Roman" w:hAnsi="Times New Roman" w:cs="Times New Roman"/>
          <w:szCs w:val="20"/>
        </w:rPr>
        <w:t xml:space="preserve"> Placebo patients received methotrexate while infliximab patients received both infliximab and methotrexate.</w:t>
      </w:r>
    </w:p>
    <w:p w14:paraId="44E165E6" w14:textId="77777777" w:rsidR="004A10AE" w:rsidRPr="0025669D" w:rsidRDefault="004A10AE" w:rsidP="007947DB">
      <w:pPr>
        <w:pStyle w:val="NoSpacing"/>
        <w:jc w:val="left"/>
        <w:rPr>
          <w:rFonts w:ascii="Times New Roman" w:hAnsi="Times New Roman" w:cs="Times New Roman"/>
          <w:szCs w:val="20"/>
        </w:rPr>
      </w:pPr>
      <w:r w:rsidRPr="0025669D">
        <w:rPr>
          <w:rFonts w:ascii="Times New Roman" w:hAnsi="Times New Roman" w:cs="Times New Roman"/>
          <w:szCs w:val="20"/>
          <w:vertAlign w:val="superscript"/>
        </w:rPr>
        <w:t>2</w:t>
      </w:r>
      <w:r w:rsidRPr="0025669D">
        <w:rPr>
          <w:rFonts w:ascii="Times New Roman" w:hAnsi="Times New Roman" w:cs="Times New Roman"/>
          <w:szCs w:val="20"/>
        </w:rPr>
        <w:t xml:space="preserve"> Placebo patients in the 2 </w:t>
      </w:r>
      <w:r>
        <w:rPr>
          <w:rFonts w:ascii="Times New Roman" w:hAnsi="Times New Roman" w:cs="Times New Roman"/>
          <w:szCs w:val="20"/>
        </w:rPr>
        <w:t>Phase 3</w:t>
      </w:r>
      <w:r w:rsidRPr="0025669D">
        <w:rPr>
          <w:rFonts w:ascii="Times New Roman" w:hAnsi="Times New Roman" w:cs="Times New Roman"/>
          <w:szCs w:val="20"/>
        </w:rPr>
        <w:t xml:space="preserve"> trials in Crohn’s disease, ACCENT I and ACCENT II, received an initial dose of 5 mg/kg infliximab at study start and were on placebo in the maintenance phase.  Patients who were </w:t>
      </w:r>
      <w:proofErr w:type="spellStart"/>
      <w:r w:rsidRPr="0025669D">
        <w:rPr>
          <w:rFonts w:ascii="Times New Roman" w:hAnsi="Times New Roman" w:cs="Times New Roman"/>
          <w:szCs w:val="20"/>
        </w:rPr>
        <w:t>randomised</w:t>
      </w:r>
      <w:proofErr w:type="spellEnd"/>
      <w:r w:rsidRPr="0025669D">
        <w:rPr>
          <w:rFonts w:ascii="Times New Roman" w:hAnsi="Times New Roman" w:cs="Times New Roman"/>
          <w:szCs w:val="20"/>
        </w:rPr>
        <w:t xml:space="preserve"> to the placebo maintenance group and then later crossed over to infliximab are included in the infliximab group in the ALT analysis. </w:t>
      </w:r>
    </w:p>
    <w:p w14:paraId="160EF416" w14:textId="77777777" w:rsidR="004A10AE" w:rsidRDefault="004A10AE" w:rsidP="007947DB">
      <w:pPr>
        <w:pStyle w:val="NoSpacing"/>
        <w:jc w:val="left"/>
        <w:rPr>
          <w:rFonts w:ascii="Times New Roman" w:hAnsi="Times New Roman" w:cs="Times New Roman"/>
          <w:szCs w:val="20"/>
        </w:rPr>
      </w:pPr>
      <w:r w:rsidRPr="0025669D">
        <w:rPr>
          <w:rFonts w:ascii="Times New Roman" w:hAnsi="Times New Roman" w:cs="Times New Roman"/>
          <w:szCs w:val="20"/>
          <w:vertAlign w:val="superscript"/>
        </w:rPr>
        <w:t xml:space="preserve">3 </w:t>
      </w:r>
      <w:r w:rsidRPr="0025669D">
        <w:rPr>
          <w:rFonts w:ascii="Times New Roman" w:hAnsi="Times New Roman" w:cs="Times New Roman"/>
          <w:szCs w:val="20"/>
        </w:rPr>
        <w:t>Median follow-up is based on patients treated.</w:t>
      </w:r>
    </w:p>
    <w:p w14:paraId="6C5EBA96" w14:textId="056233F5" w:rsidR="00754114" w:rsidRDefault="00754114" w:rsidP="007947DB">
      <w:pPr>
        <w:pStyle w:val="NoSpacing"/>
        <w:jc w:val="left"/>
        <w:rPr>
          <w:rFonts w:ascii="Times New Roman" w:hAnsi="Times New Roman" w:cs="Times New Roman"/>
          <w:szCs w:val="20"/>
        </w:rPr>
      </w:pPr>
    </w:p>
    <w:p w14:paraId="17253CED" w14:textId="060D7EB1" w:rsidR="000726D1" w:rsidRPr="00940C20" w:rsidRDefault="000726D1" w:rsidP="007947DB">
      <w:pPr>
        <w:pStyle w:val="Heading2"/>
        <w:tabs>
          <w:tab w:val="num" w:pos="1418"/>
        </w:tabs>
        <w:spacing w:after="120"/>
        <w:ind w:left="1702" w:hangingChars="709" w:hanging="1702"/>
        <w:rPr>
          <w:rFonts w:eastAsia="Malgun Gothic" w:cs="Times New Roman"/>
          <w:i/>
          <w:szCs w:val="24"/>
          <w:lang w:eastAsia="ko-KR"/>
        </w:rPr>
      </w:pPr>
      <w:r w:rsidRPr="00940C20">
        <w:rPr>
          <w:rFonts w:eastAsia="Malgun Gothic" w:cs="Times New Roman" w:hint="eastAsia"/>
          <w:i/>
          <w:szCs w:val="24"/>
          <w:lang w:eastAsia="ko-KR"/>
        </w:rPr>
        <w:t>Compara</w:t>
      </w:r>
      <w:r w:rsidR="00522CE2">
        <w:rPr>
          <w:rFonts w:eastAsia="Malgun Gothic" w:cs="Times New Roman" w:hint="eastAsia"/>
          <w:i/>
          <w:szCs w:val="24"/>
          <w:lang w:eastAsia="ko-KR"/>
        </w:rPr>
        <w:t>bility</w:t>
      </w:r>
      <w:r w:rsidRPr="00940C20">
        <w:rPr>
          <w:rFonts w:eastAsia="Malgun Gothic" w:cs="Times New Roman" w:hint="eastAsia"/>
          <w:i/>
          <w:szCs w:val="24"/>
          <w:lang w:eastAsia="ko-KR"/>
        </w:rPr>
        <w:t xml:space="preserve"> of </w:t>
      </w:r>
      <w:r w:rsidRPr="00940C20">
        <w:rPr>
          <w:rFonts w:eastAsia="Malgun Gothic" w:cs="Times New Roman"/>
          <w:i/>
          <w:szCs w:val="24"/>
          <w:lang w:eastAsia="ko-KR"/>
        </w:rPr>
        <w:t>RENFLEXIS</w:t>
      </w:r>
      <w:r w:rsidRPr="00940C20">
        <w:rPr>
          <w:rFonts w:eastAsia="Malgun Gothic" w:cs="Times New Roman" w:hint="eastAsia"/>
          <w:i/>
          <w:szCs w:val="24"/>
          <w:lang w:eastAsia="ko-KR"/>
        </w:rPr>
        <w:t xml:space="preserve"> </w:t>
      </w:r>
      <w:r w:rsidR="006A70C0">
        <w:rPr>
          <w:rFonts w:eastAsia="Malgun Gothic" w:cs="Times New Roman" w:hint="eastAsia"/>
          <w:i/>
          <w:szCs w:val="24"/>
          <w:lang w:eastAsia="ko-KR"/>
        </w:rPr>
        <w:t>with</w:t>
      </w:r>
      <w:r w:rsidR="006A70C0" w:rsidRPr="00940C20">
        <w:rPr>
          <w:rFonts w:eastAsia="Malgun Gothic" w:cs="Times New Roman" w:hint="eastAsia"/>
          <w:i/>
          <w:szCs w:val="24"/>
          <w:lang w:eastAsia="ko-KR"/>
        </w:rPr>
        <w:t xml:space="preserve"> </w:t>
      </w:r>
      <w:proofErr w:type="spellStart"/>
      <w:r w:rsidRPr="00940C20">
        <w:rPr>
          <w:rFonts w:eastAsia="Malgun Gothic" w:cs="Times New Roman" w:hint="eastAsia"/>
          <w:i/>
          <w:szCs w:val="24"/>
          <w:lang w:eastAsia="ko-KR"/>
        </w:rPr>
        <w:t>Remicade</w:t>
      </w:r>
      <w:proofErr w:type="spellEnd"/>
      <w:r w:rsidRPr="00940C20">
        <w:rPr>
          <w:rFonts w:eastAsia="Malgun Gothic" w:cs="Times New Roman"/>
          <w:i/>
          <w:szCs w:val="24"/>
          <w:vertAlign w:val="superscript"/>
          <w:lang w:eastAsia="ko-KR"/>
        </w:rPr>
        <w:t>®</w:t>
      </w:r>
    </w:p>
    <w:p w14:paraId="0A9F1868" w14:textId="0413C03E" w:rsidR="000726D1" w:rsidRPr="00EC690C" w:rsidRDefault="000726D1" w:rsidP="007947DB">
      <w:pPr>
        <w:pStyle w:val="NoSpacing"/>
        <w:wordWrap/>
        <w:spacing w:after="200"/>
        <w:jc w:val="left"/>
        <w:rPr>
          <w:rFonts w:ascii="Times New Roman" w:hAnsi="Times New Roman" w:cs="Times New Roman"/>
          <w:sz w:val="24"/>
          <w:szCs w:val="24"/>
        </w:rPr>
      </w:pPr>
      <w:r w:rsidRPr="00EC690C">
        <w:rPr>
          <w:rFonts w:ascii="Times New Roman" w:hAnsi="Times New Roman" w:cs="Times New Roman"/>
          <w:sz w:val="24"/>
          <w:szCs w:val="24"/>
        </w:rPr>
        <w:t xml:space="preserve">The safety profile was assessed in the Phase I Study SB2-G11-NHV and the Phase III Study SB2-G31-RA. The safety profile of RENFLEXIS was consistent with what has been previously reported for infliximab. </w:t>
      </w:r>
    </w:p>
    <w:p w14:paraId="14780C20" w14:textId="77777777" w:rsidR="000726D1" w:rsidRPr="00EC690C" w:rsidRDefault="000726D1" w:rsidP="007947DB">
      <w:pPr>
        <w:pStyle w:val="BodyText"/>
        <w:spacing w:after="200"/>
        <w:rPr>
          <w:rFonts w:eastAsiaTheme="minorEastAsia"/>
          <w:kern w:val="2"/>
          <w:lang w:val="en-US" w:eastAsia="ko-KR"/>
        </w:rPr>
      </w:pPr>
      <w:r w:rsidRPr="00EC690C">
        <w:rPr>
          <w:rFonts w:eastAsiaTheme="minorEastAsia"/>
          <w:kern w:val="2"/>
          <w:lang w:val="en-US" w:eastAsia="ko-KR"/>
        </w:rPr>
        <w:lastRenderedPageBreak/>
        <w:t xml:space="preserve">During clinical studies with </w:t>
      </w:r>
      <w:r w:rsidRPr="00EC690C">
        <w:t>RENFLEXIS</w:t>
      </w:r>
      <w:r w:rsidRPr="00EC690C">
        <w:rPr>
          <w:rFonts w:eastAsiaTheme="minorEastAsia"/>
          <w:kern w:val="2"/>
          <w:lang w:val="en-US" w:eastAsia="ko-KR"/>
        </w:rPr>
        <w:t xml:space="preserve">, 53 healthy subjects </w:t>
      </w:r>
      <w:r>
        <w:rPr>
          <w:rFonts w:eastAsiaTheme="minorEastAsia" w:hint="eastAsia"/>
          <w:kern w:val="2"/>
          <w:lang w:val="en-US" w:eastAsia="ko-KR"/>
        </w:rPr>
        <w:t xml:space="preserve">each </w:t>
      </w:r>
      <w:r w:rsidRPr="00EC690C">
        <w:rPr>
          <w:rFonts w:eastAsiaTheme="minorEastAsia"/>
          <w:kern w:val="2"/>
          <w:lang w:val="en-US" w:eastAsia="ko-KR"/>
        </w:rPr>
        <w:t xml:space="preserve">were exposed to a single dose of </w:t>
      </w:r>
      <w:r w:rsidRPr="00EC690C">
        <w:t>RENFLEXIS</w:t>
      </w:r>
      <w:r>
        <w:rPr>
          <w:rFonts w:hint="eastAsia"/>
          <w:lang w:eastAsia="ko-KR"/>
        </w:rPr>
        <w:t>,</w:t>
      </w:r>
      <w:r w:rsidRPr="00EC690C">
        <w:rPr>
          <w:lang w:eastAsia="ko-KR"/>
        </w:rPr>
        <w:t xml:space="preserve"> EU </w:t>
      </w:r>
      <w:proofErr w:type="spellStart"/>
      <w:r w:rsidRPr="00EC690C">
        <w:rPr>
          <w:lang w:eastAsia="ko-KR"/>
        </w:rPr>
        <w:t>Remicade</w:t>
      </w:r>
      <w:proofErr w:type="spellEnd"/>
      <w:r w:rsidRPr="00EC690C">
        <w:rPr>
          <w:vertAlign w:val="superscript"/>
          <w:lang w:eastAsia="ko-KR"/>
        </w:rPr>
        <w:t>®</w:t>
      </w:r>
      <w:r w:rsidRPr="00EC690C">
        <w:rPr>
          <w:lang w:eastAsia="ko-KR"/>
        </w:rPr>
        <w:t xml:space="preserve"> and US </w:t>
      </w:r>
      <w:proofErr w:type="spellStart"/>
      <w:r w:rsidRPr="00EC690C">
        <w:rPr>
          <w:lang w:eastAsia="ko-KR"/>
        </w:rPr>
        <w:t>Remicade</w:t>
      </w:r>
      <w:proofErr w:type="spellEnd"/>
      <w:r w:rsidRPr="00EC690C">
        <w:rPr>
          <w:vertAlign w:val="superscript"/>
          <w:lang w:eastAsia="ko-KR"/>
        </w:rPr>
        <w:t>®</w:t>
      </w:r>
      <w:r w:rsidRPr="00EC690C">
        <w:rPr>
          <w:rFonts w:eastAsiaTheme="minorEastAsia"/>
          <w:kern w:val="2"/>
          <w:lang w:val="en-US" w:eastAsia="ko-KR"/>
        </w:rPr>
        <w:t xml:space="preserve">, and </w:t>
      </w:r>
      <w:r>
        <w:rPr>
          <w:rFonts w:eastAsiaTheme="minorEastAsia" w:hint="eastAsia"/>
          <w:kern w:val="2"/>
          <w:lang w:val="en-US" w:eastAsia="ko-KR"/>
        </w:rPr>
        <w:t xml:space="preserve">583 patients </w:t>
      </w:r>
      <w:r w:rsidRPr="00EC690C">
        <w:rPr>
          <w:rFonts w:eastAsiaTheme="minorEastAsia"/>
          <w:kern w:val="2"/>
          <w:lang w:val="en-US" w:eastAsia="ko-KR"/>
        </w:rPr>
        <w:t xml:space="preserve">with </w:t>
      </w:r>
      <w:r w:rsidRPr="00EC690C">
        <w:t>rheumatoid arthritis</w:t>
      </w:r>
      <w:r w:rsidRPr="00EC690C">
        <w:rPr>
          <w:rFonts w:eastAsiaTheme="minorEastAsia"/>
          <w:kern w:val="2"/>
          <w:lang w:val="en-US" w:eastAsia="ko-KR"/>
        </w:rPr>
        <w:t xml:space="preserve"> (RA) were exposed to </w:t>
      </w:r>
      <w:r>
        <w:rPr>
          <w:rFonts w:eastAsiaTheme="minorEastAsia" w:hint="eastAsia"/>
          <w:kern w:val="2"/>
          <w:lang w:val="en-US" w:eastAsia="ko-KR"/>
        </w:rPr>
        <w:t xml:space="preserve">infliximab (290 patients to </w:t>
      </w:r>
      <w:r w:rsidRPr="00EC690C">
        <w:t>RENFLEXIS</w:t>
      </w:r>
      <w:r w:rsidRPr="00EC690C">
        <w:rPr>
          <w:rFonts w:eastAsiaTheme="minorEastAsia"/>
          <w:kern w:val="2"/>
          <w:lang w:val="en-US" w:eastAsia="ko-KR"/>
        </w:rPr>
        <w:t xml:space="preserve"> </w:t>
      </w:r>
      <w:r>
        <w:rPr>
          <w:rFonts w:eastAsiaTheme="minorEastAsia" w:hint="eastAsia"/>
          <w:kern w:val="2"/>
          <w:lang w:val="en-US" w:eastAsia="ko-KR"/>
        </w:rPr>
        <w:t xml:space="preserve">and 293 patients to EU </w:t>
      </w:r>
      <w:proofErr w:type="spellStart"/>
      <w:r>
        <w:rPr>
          <w:rFonts w:eastAsiaTheme="minorEastAsia" w:hint="eastAsia"/>
          <w:kern w:val="2"/>
          <w:lang w:val="en-US" w:eastAsia="ko-KR"/>
        </w:rPr>
        <w:t>Remicade</w:t>
      </w:r>
      <w:proofErr w:type="spellEnd"/>
      <w:r w:rsidRPr="00EC690C">
        <w:rPr>
          <w:rFonts w:eastAsiaTheme="minorEastAsia"/>
          <w:kern w:val="2"/>
          <w:vertAlign w:val="superscript"/>
          <w:lang w:val="en-US" w:eastAsia="ko-KR"/>
        </w:rPr>
        <w:t>®</w:t>
      </w:r>
      <w:r>
        <w:rPr>
          <w:rFonts w:eastAsiaTheme="minorEastAsia" w:hint="eastAsia"/>
          <w:kern w:val="2"/>
          <w:lang w:val="en-US" w:eastAsia="ko-KR"/>
        </w:rPr>
        <w:t xml:space="preserve">) </w:t>
      </w:r>
      <w:r w:rsidRPr="00EC690C">
        <w:rPr>
          <w:rFonts w:eastAsiaTheme="minorEastAsia"/>
          <w:kern w:val="2"/>
          <w:lang w:val="en-US" w:eastAsia="ko-KR"/>
        </w:rPr>
        <w:t>for up to</w:t>
      </w:r>
      <w:r>
        <w:rPr>
          <w:rFonts w:eastAsiaTheme="minorEastAsia" w:hint="eastAsia"/>
          <w:kern w:val="2"/>
          <w:lang w:val="en-US" w:eastAsia="ko-KR"/>
        </w:rPr>
        <w:t xml:space="preserve"> 54 weeks during </w:t>
      </w:r>
      <w:proofErr w:type="spellStart"/>
      <w:r>
        <w:rPr>
          <w:rFonts w:eastAsiaTheme="minorEastAsia" w:hint="eastAsia"/>
          <w:kern w:val="2"/>
          <w:lang w:val="en-US" w:eastAsia="ko-KR"/>
        </w:rPr>
        <w:t>randomised</w:t>
      </w:r>
      <w:proofErr w:type="spellEnd"/>
      <w:r>
        <w:rPr>
          <w:rFonts w:eastAsiaTheme="minorEastAsia" w:hint="eastAsia"/>
          <w:kern w:val="2"/>
          <w:lang w:val="en-US" w:eastAsia="ko-KR"/>
        </w:rPr>
        <w:t>, double-blind period</w:t>
      </w:r>
      <w:r w:rsidRPr="00EC690C">
        <w:rPr>
          <w:rFonts w:eastAsiaTheme="minorEastAsia"/>
          <w:kern w:val="2"/>
          <w:lang w:val="en-US" w:eastAsia="ko-KR"/>
        </w:rPr>
        <w:t>.</w:t>
      </w:r>
    </w:p>
    <w:p w14:paraId="5C75DFE5" w14:textId="0F1EDAD1" w:rsidR="000726D1" w:rsidRPr="00EC690C" w:rsidRDefault="000726D1" w:rsidP="007947DB">
      <w:pPr>
        <w:pStyle w:val="NoSpacing"/>
        <w:wordWrap/>
        <w:spacing w:after="200"/>
        <w:jc w:val="left"/>
        <w:rPr>
          <w:rFonts w:ascii="Times New Roman" w:hAnsi="Times New Roman" w:cs="Times New Roman"/>
          <w:sz w:val="24"/>
          <w:szCs w:val="24"/>
        </w:rPr>
      </w:pPr>
      <w:r w:rsidRPr="00EC690C">
        <w:rPr>
          <w:rFonts w:ascii="Times New Roman" w:hAnsi="Times New Roman" w:cs="Times New Roman"/>
          <w:sz w:val="24"/>
          <w:szCs w:val="24"/>
        </w:rPr>
        <w:t xml:space="preserve">During the </w:t>
      </w:r>
      <w:proofErr w:type="spellStart"/>
      <w:r w:rsidRPr="00EC690C">
        <w:rPr>
          <w:rFonts w:ascii="Times New Roman" w:hAnsi="Times New Roman" w:cs="Times New Roman"/>
          <w:sz w:val="24"/>
          <w:szCs w:val="24"/>
        </w:rPr>
        <w:t>randomised</w:t>
      </w:r>
      <w:proofErr w:type="spellEnd"/>
      <w:r w:rsidRPr="00EC690C">
        <w:rPr>
          <w:rFonts w:ascii="Times New Roman" w:hAnsi="Times New Roman" w:cs="Times New Roman"/>
          <w:sz w:val="24"/>
          <w:szCs w:val="24"/>
        </w:rPr>
        <w:t xml:space="preserve">, double-blind period of Study SB2-G31-RA, 179 (61.7%) patients from the RENFLEXIS treatment group and 191 (65.2%) patients from the </w:t>
      </w:r>
      <w:proofErr w:type="spellStart"/>
      <w:r w:rsidRPr="00EC690C">
        <w:rPr>
          <w:rFonts w:ascii="Times New Roman" w:hAnsi="Times New Roman" w:cs="Times New Roman"/>
          <w:sz w:val="24"/>
          <w:szCs w:val="24"/>
        </w:rPr>
        <w:t>Remicade</w:t>
      </w:r>
      <w:proofErr w:type="spellEnd"/>
      <w:r w:rsidRPr="00EC690C">
        <w:rPr>
          <w:rFonts w:ascii="Times New Roman" w:hAnsi="Times New Roman" w:cs="Times New Roman"/>
          <w:sz w:val="24"/>
          <w:szCs w:val="24"/>
          <w:vertAlign w:val="superscript"/>
        </w:rPr>
        <w:t>®</w:t>
      </w:r>
      <w:r w:rsidRPr="00EC690C">
        <w:rPr>
          <w:rFonts w:ascii="Times New Roman" w:hAnsi="Times New Roman" w:cs="Times New Roman"/>
          <w:sz w:val="24"/>
          <w:szCs w:val="24"/>
        </w:rPr>
        <w:t xml:space="preserve"> treatment group experienced treatment-emergent adverse events (TEAEs).</w:t>
      </w:r>
      <w:r w:rsidR="00AF1618">
        <w:rPr>
          <w:rFonts w:ascii="Times New Roman" w:hAnsi="Times New Roman" w:cs="Times New Roman" w:hint="eastAsia"/>
          <w:sz w:val="24"/>
          <w:szCs w:val="24"/>
        </w:rPr>
        <w:t xml:space="preserve"> 29 (10.0%) patients from </w:t>
      </w:r>
      <w:r w:rsidR="00AF1618" w:rsidRPr="00EC690C">
        <w:rPr>
          <w:rFonts w:ascii="Times New Roman" w:hAnsi="Times New Roman" w:cs="Times New Roman"/>
          <w:sz w:val="24"/>
          <w:szCs w:val="24"/>
        </w:rPr>
        <w:t>RENFLEXIS treatment group</w:t>
      </w:r>
      <w:r w:rsidR="00AF1618">
        <w:rPr>
          <w:rFonts w:ascii="Times New Roman" w:hAnsi="Times New Roman" w:cs="Times New Roman" w:hint="eastAsia"/>
          <w:sz w:val="24"/>
          <w:szCs w:val="24"/>
        </w:rPr>
        <w:t xml:space="preserve"> and 31 (10.6%) patients from </w:t>
      </w:r>
      <w:proofErr w:type="spellStart"/>
      <w:r w:rsidR="00AF1618">
        <w:rPr>
          <w:rFonts w:ascii="Times New Roman" w:hAnsi="Times New Roman" w:cs="Times New Roman" w:hint="eastAsia"/>
          <w:sz w:val="24"/>
          <w:szCs w:val="24"/>
        </w:rPr>
        <w:t>Rem</w:t>
      </w:r>
      <w:r w:rsidR="00AF1618" w:rsidRPr="00EC690C">
        <w:rPr>
          <w:rFonts w:ascii="Times New Roman" w:hAnsi="Times New Roman" w:cs="Times New Roman"/>
          <w:sz w:val="24"/>
          <w:szCs w:val="24"/>
        </w:rPr>
        <w:t>icade</w:t>
      </w:r>
      <w:proofErr w:type="spellEnd"/>
      <w:r w:rsidR="00AF1618" w:rsidRPr="00EC690C">
        <w:rPr>
          <w:rFonts w:ascii="Times New Roman" w:hAnsi="Times New Roman" w:cs="Times New Roman"/>
          <w:sz w:val="24"/>
          <w:szCs w:val="24"/>
          <w:vertAlign w:val="superscript"/>
        </w:rPr>
        <w:t>®</w:t>
      </w:r>
      <w:r w:rsidR="00AF1618" w:rsidRPr="00EC690C">
        <w:rPr>
          <w:rFonts w:ascii="Times New Roman" w:hAnsi="Times New Roman" w:cs="Times New Roman"/>
          <w:sz w:val="24"/>
          <w:szCs w:val="24"/>
        </w:rPr>
        <w:t xml:space="preserve"> treatment group experienced</w:t>
      </w:r>
      <w:r w:rsidR="00AF1618">
        <w:rPr>
          <w:rFonts w:ascii="Times New Roman" w:hAnsi="Times New Roman" w:cs="Times New Roman" w:hint="eastAsia"/>
          <w:sz w:val="24"/>
          <w:szCs w:val="24"/>
        </w:rPr>
        <w:t xml:space="preserve"> serious TEAEs.</w:t>
      </w:r>
      <w:r w:rsidRPr="00EC690C">
        <w:rPr>
          <w:rFonts w:ascii="Times New Roman" w:hAnsi="Times New Roman" w:cs="Times New Roman"/>
          <w:sz w:val="24"/>
          <w:szCs w:val="24"/>
        </w:rPr>
        <w:t xml:space="preserve"> Most of the TEAEs reported were mild to moderate in severity. A total of 70 (24.1%) patients from the RENFLEXIS treatment group and 69 (23.5%) patients from the </w:t>
      </w:r>
      <w:proofErr w:type="spellStart"/>
      <w:r w:rsidRPr="00EC690C">
        <w:rPr>
          <w:rFonts w:ascii="Times New Roman" w:hAnsi="Times New Roman" w:cs="Times New Roman"/>
          <w:sz w:val="24"/>
          <w:szCs w:val="24"/>
        </w:rPr>
        <w:t>Remicade</w:t>
      </w:r>
      <w:proofErr w:type="spellEnd"/>
      <w:r w:rsidRPr="00EC690C">
        <w:rPr>
          <w:rFonts w:ascii="Times New Roman" w:hAnsi="Times New Roman" w:cs="Times New Roman"/>
          <w:sz w:val="24"/>
          <w:szCs w:val="24"/>
          <w:vertAlign w:val="superscript"/>
        </w:rPr>
        <w:t>®</w:t>
      </w:r>
      <w:r w:rsidRPr="00EC690C">
        <w:rPr>
          <w:rFonts w:ascii="Times New Roman" w:hAnsi="Times New Roman" w:cs="Times New Roman"/>
          <w:sz w:val="24"/>
          <w:szCs w:val="24"/>
        </w:rPr>
        <w:t xml:space="preserve"> treatment group experienced</w:t>
      </w:r>
      <w:r>
        <w:rPr>
          <w:rFonts w:ascii="Times New Roman" w:hAnsi="Times New Roman" w:cs="Times New Roman" w:hint="eastAsia"/>
          <w:sz w:val="24"/>
          <w:szCs w:val="24"/>
        </w:rPr>
        <w:t xml:space="preserve"> </w:t>
      </w:r>
      <w:r w:rsidRPr="00EC690C">
        <w:rPr>
          <w:rFonts w:ascii="Times New Roman" w:hAnsi="Times New Roman" w:cs="Times New Roman"/>
          <w:sz w:val="24"/>
          <w:szCs w:val="24"/>
        </w:rPr>
        <w:t>TEAEs that were determined to be related to the treatment.</w:t>
      </w:r>
      <w:r w:rsidR="00AF1618">
        <w:rPr>
          <w:rFonts w:ascii="Times New Roman" w:hAnsi="Times New Roman" w:cs="Times New Roman" w:hint="eastAsia"/>
          <w:sz w:val="24"/>
          <w:szCs w:val="24"/>
        </w:rPr>
        <w:t xml:space="preserve"> </w:t>
      </w:r>
    </w:p>
    <w:p w14:paraId="311B3DD7" w14:textId="54C19DED" w:rsidR="000726D1" w:rsidRDefault="0080260C" w:rsidP="007947DB">
      <w:pPr>
        <w:wordWrap/>
        <w:autoSpaceDE/>
        <w:autoSpaceDN/>
        <w:spacing w:line="240" w:lineRule="auto"/>
        <w:jc w:val="left"/>
        <w:rPr>
          <w:rFonts w:ascii="Times New Roman" w:eastAsia="Malgun Gothic" w:hAnsi="Times New Roman" w:cs="Times New Roman"/>
          <w:kern w:val="0"/>
          <w:sz w:val="24"/>
          <w:szCs w:val="24"/>
          <w:lang w:val="en-GB"/>
        </w:rPr>
      </w:pPr>
      <w:r>
        <w:rPr>
          <w:rFonts w:ascii="Times New Roman" w:hAnsi="Times New Roman" w:cs="Times New Roman" w:hint="eastAsia"/>
          <w:sz w:val="24"/>
          <w:szCs w:val="24"/>
        </w:rPr>
        <w:t xml:space="preserve">Any </w:t>
      </w:r>
      <w:r w:rsidR="000726D1" w:rsidRPr="00EC690C">
        <w:rPr>
          <w:rFonts w:ascii="Times New Roman" w:hAnsi="Times New Roman" w:cs="Times New Roman"/>
          <w:sz w:val="24"/>
          <w:szCs w:val="24"/>
        </w:rPr>
        <w:t xml:space="preserve">TEAEs that occurred in </w:t>
      </w:r>
      <w:r w:rsidR="000726D1">
        <w:rPr>
          <w:rFonts w:ascii="Times New Roman" w:hAnsi="Times New Roman" w:cs="Times New Roman" w:hint="eastAsia"/>
          <w:sz w:val="24"/>
          <w:szCs w:val="24"/>
        </w:rPr>
        <w:t xml:space="preserve">at least </w:t>
      </w:r>
      <w:r w:rsidR="000726D1" w:rsidRPr="00EC690C">
        <w:rPr>
          <w:rFonts w:ascii="Times New Roman" w:hAnsi="Times New Roman" w:cs="Times New Roman"/>
          <w:sz w:val="24"/>
          <w:szCs w:val="24"/>
        </w:rPr>
        <w:t xml:space="preserve">1% of all patients who received RENFLEXIS or </w:t>
      </w:r>
      <w:proofErr w:type="spellStart"/>
      <w:r w:rsidR="000726D1" w:rsidRPr="00EC690C">
        <w:rPr>
          <w:rFonts w:ascii="Times New Roman" w:hAnsi="Times New Roman" w:cs="Times New Roman"/>
          <w:sz w:val="24"/>
          <w:szCs w:val="24"/>
        </w:rPr>
        <w:t>Remicade</w:t>
      </w:r>
      <w:proofErr w:type="spellEnd"/>
      <w:r w:rsidR="000726D1" w:rsidRPr="00EC690C">
        <w:rPr>
          <w:rFonts w:ascii="Times New Roman" w:hAnsi="Times New Roman" w:cs="Times New Roman"/>
          <w:sz w:val="24"/>
          <w:szCs w:val="24"/>
          <w:vertAlign w:val="superscript"/>
        </w:rPr>
        <w:t>®</w:t>
      </w:r>
      <w:r w:rsidR="000726D1" w:rsidRPr="00EC690C">
        <w:rPr>
          <w:rFonts w:ascii="Times New Roman" w:hAnsi="Times New Roman" w:cs="Times New Roman"/>
          <w:sz w:val="24"/>
          <w:szCs w:val="24"/>
        </w:rPr>
        <w:t xml:space="preserve"> in Study SB2-G31-RA are outlined in </w:t>
      </w:r>
      <w:r w:rsidR="000726D1" w:rsidRPr="00EC690C">
        <w:rPr>
          <w:rFonts w:ascii="Times New Roman" w:hAnsi="Times New Roman" w:cs="Times New Roman"/>
          <w:sz w:val="24"/>
          <w:szCs w:val="24"/>
        </w:rPr>
        <w:fldChar w:fldCharType="begin"/>
      </w:r>
      <w:r w:rsidR="000726D1" w:rsidRPr="00EC690C">
        <w:rPr>
          <w:rFonts w:ascii="Times New Roman" w:hAnsi="Times New Roman" w:cs="Times New Roman"/>
          <w:sz w:val="24"/>
          <w:szCs w:val="24"/>
        </w:rPr>
        <w:instrText xml:space="preserve"> REF _Ref425520228 \h  \* MERGEFORMAT </w:instrText>
      </w:r>
      <w:r w:rsidR="000726D1" w:rsidRPr="00EC690C">
        <w:rPr>
          <w:rFonts w:ascii="Times New Roman" w:hAnsi="Times New Roman" w:cs="Times New Roman"/>
          <w:sz w:val="24"/>
          <w:szCs w:val="24"/>
        </w:rPr>
      </w:r>
      <w:r w:rsidR="000726D1" w:rsidRPr="00EC690C">
        <w:rPr>
          <w:rFonts w:ascii="Times New Roman" w:hAnsi="Times New Roman" w:cs="Times New Roman"/>
          <w:sz w:val="24"/>
          <w:szCs w:val="24"/>
        </w:rPr>
        <w:fldChar w:fldCharType="separate"/>
      </w:r>
      <w:r w:rsidR="005A6BF4" w:rsidRPr="005A6BF4">
        <w:rPr>
          <w:rFonts w:ascii="Times New Roman" w:hAnsi="Times New Roman" w:cs="Times New Roman"/>
          <w:sz w:val="24"/>
          <w:szCs w:val="24"/>
        </w:rPr>
        <w:t>Table 15</w:t>
      </w:r>
      <w:r w:rsidR="000726D1" w:rsidRPr="00EC690C">
        <w:rPr>
          <w:rFonts w:ascii="Times New Roman" w:hAnsi="Times New Roman" w:cs="Times New Roman"/>
          <w:sz w:val="24"/>
          <w:szCs w:val="24"/>
        </w:rPr>
        <w:fldChar w:fldCharType="end"/>
      </w:r>
      <w:r w:rsidR="000726D1" w:rsidRPr="00EC690C">
        <w:rPr>
          <w:rFonts w:ascii="Times New Roman" w:eastAsia="Malgun Gothic" w:hAnsi="Times New Roman" w:cs="Times New Roman"/>
          <w:kern w:val="0"/>
          <w:sz w:val="24"/>
          <w:szCs w:val="24"/>
          <w:lang w:val="en-GB"/>
        </w:rPr>
        <w:t>.</w:t>
      </w:r>
    </w:p>
    <w:p w14:paraId="22D47EFE" w14:textId="77777777" w:rsidR="00E75073" w:rsidRPr="00EC690C" w:rsidRDefault="00E75073" w:rsidP="007947DB">
      <w:pPr>
        <w:wordWrap/>
        <w:autoSpaceDE/>
        <w:autoSpaceDN/>
        <w:spacing w:line="240" w:lineRule="auto"/>
        <w:jc w:val="left"/>
        <w:rPr>
          <w:rFonts w:ascii="Times New Roman" w:eastAsia="Malgun Gothic" w:hAnsi="Times New Roman" w:cs="Times New Roman"/>
          <w:kern w:val="0"/>
          <w:sz w:val="24"/>
          <w:szCs w:val="24"/>
          <w:lang w:val="en-GB"/>
        </w:rPr>
      </w:pPr>
    </w:p>
    <w:p w14:paraId="7D203F49" w14:textId="7FF90CEE" w:rsidR="000726D1" w:rsidRDefault="000726D1" w:rsidP="007947DB">
      <w:pPr>
        <w:pStyle w:val="Caption"/>
        <w:keepNext/>
        <w:spacing w:after="0" w:line="240" w:lineRule="auto"/>
        <w:ind w:left="880" w:hangingChars="400" w:hanging="880"/>
        <w:rPr>
          <w:rFonts w:ascii="Times New Roman" w:hAnsi="Times New Roman" w:cs="Times New Roman"/>
          <w:sz w:val="22"/>
          <w:szCs w:val="22"/>
        </w:rPr>
      </w:pPr>
      <w:bookmarkStart w:id="17" w:name="_Ref425520228"/>
      <w:proofErr w:type="gramStart"/>
      <w:r w:rsidRPr="007947DB">
        <w:rPr>
          <w:rFonts w:ascii="Times New Roman" w:hAnsi="Times New Roman" w:cs="Times New Roman"/>
          <w:sz w:val="22"/>
          <w:szCs w:val="22"/>
        </w:rPr>
        <w:t xml:space="preserve">Table </w:t>
      </w:r>
      <w:r w:rsidRPr="007947DB">
        <w:rPr>
          <w:rFonts w:ascii="Times New Roman" w:hAnsi="Times New Roman" w:cs="Times New Roman"/>
          <w:sz w:val="22"/>
          <w:szCs w:val="22"/>
        </w:rPr>
        <w:fldChar w:fldCharType="begin"/>
      </w:r>
      <w:r w:rsidRPr="007947DB">
        <w:rPr>
          <w:rFonts w:ascii="Times New Roman" w:hAnsi="Times New Roman" w:cs="Times New Roman"/>
          <w:sz w:val="22"/>
          <w:szCs w:val="22"/>
        </w:rPr>
        <w:instrText xml:space="preserve"> SEQ Table \* ARABIC </w:instrText>
      </w:r>
      <w:r w:rsidRPr="007947DB">
        <w:rPr>
          <w:rFonts w:ascii="Times New Roman" w:hAnsi="Times New Roman" w:cs="Times New Roman"/>
          <w:sz w:val="22"/>
          <w:szCs w:val="22"/>
        </w:rPr>
        <w:fldChar w:fldCharType="separate"/>
      </w:r>
      <w:r w:rsidR="005A6BF4">
        <w:rPr>
          <w:rFonts w:ascii="Times New Roman" w:hAnsi="Times New Roman" w:cs="Times New Roman"/>
          <w:noProof/>
          <w:sz w:val="22"/>
          <w:szCs w:val="22"/>
        </w:rPr>
        <w:t>15</w:t>
      </w:r>
      <w:r w:rsidRPr="007947DB">
        <w:rPr>
          <w:rFonts w:ascii="Times New Roman" w:hAnsi="Times New Roman" w:cs="Times New Roman"/>
          <w:sz w:val="22"/>
          <w:szCs w:val="22"/>
        </w:rPr>
        <w:fldChar w:fldCharType="end"/>
      </w:r>
      <w:bookmarkEnd w:id="17"/>
      <w:r w:rsidRPr="007947DB">
        <w:rPr>
          <w:rFonts w:ascii="Times New Roman" w:hAnsi="Times New Roman" w:cs="Times New Roman"/>
          <w:sz w:val="22"/>
          <w:szCs w:val="22"/>
        </w:rPr>
        <w:t>.</w:t>
      </w:r>
      <w:proofErr w:type="gramEnd"/>
      <w:r w:rsidRPr="007947DB">
        <w:rPr>
          <w:rFonts w:ascii="Times New Roman" w:hAnsi="Times New Roman" w:cs="Times New Roman"/>
          <w:sz w:val="22"/>
          <w:szCs w:val="22"/>
        </w:rPr>
        <w:t xml:space="preserve"> Percent of RA Patients Reporting </w:t>
      </w:r>
      <w:r w:rsidRPr="007947DB">
        <w:rPr>
          <w:rFonts w:ascii="Times New Roman" w:hAnsi="Times New Roman" w:cs="Times New Roman" w:hint="eastAsia"/>
          <w:sz w:val="22"/>
          <w:szCs w:val="22"/>
        </w:rPr>
        <w:t xml:space="preserve">Treatment-Emergent Adverse Events </w:t>
      </w:r>
      <w:r w:rsidR="006A70C0" w:rsidRPr="006A70C0">
        <w:rPr>
          <w:rFonts w:ascii="Times New Roman" w:hAnsi="Times New Roman" w:cs="Times New Roman"/>
          <w:sz w:val="22"/>
          <w:szCs w:val="22"/>
        </w:rPr>
        <w:t>≥ 1%</w:t>
      </w:r>
      <w:r w:rsidR="006A70C0" w:rsidRPr="006A70C0">
        <w:rPr>
          <w:rFonts w:ascii="Times New Roman" w:hAnsi="Times New Roman" w:cs="Times New Roman" w:hint="eastAsia"/>
          <w:sz w:val="22"/>
          <w:szCs w:val="22"/>
        </w:rPr>
        <w:t xml:space="preserve"> in Controlled Study; Full Analysis Set</w:t>
      </w:r>
      <w:r w:rsidRPr="007947DB">
        <w:rPr>
          <w:rFonts w:ascii="Times New Roman" w:hAnsi="Times New Roman" w:cs="Times New Roman"/>
          <w:sz w:val="22"/>
          <w:szCs w:val="22"/>
        </w:rPr>
        <w:t xml:space="preserve"> (Study SB2-G31-RA)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2"/>
        <w:gridCol w:w="1983"/>
        <w:gridCol w:w="1139"/>
        <w:gridCol w:w="1129"/>
        <w:gridCol w:w="993"/>
        <w:gridCol w:w="1196"/>
      </w:tblGrid>
      <w:tr w:rsidR="000726D1" w:rsidRPr="00003699" w14:paraId="298D206A" w14:textId="77777777" w:rsidTr="00FB6B72">
        <w:trPr>
          <w:trHeight w:val="20"/>
          <w:tblHeader/>
        </w:trPr>
        <w:tc>
          <w:tcPr>
            <w:tcW w:w="1516" w:type="pct"/>
            <w:vMerge w:val="restart"/>
            <w:shd w:val="clear" w:color="auto" w:fill="auto"/>
            <w:vAlign w:val="center"/>
            <w:hideMark/>
          </w:tcPr>
          <w:p w14:paraId="5928E015" w14:textId="77777777" w:rsidR="000726D1" w:rsidRPr="0029636B" w:rsidRDefault="000726D1" w:rsidP="007947DB">
            <w:pPr>
              <w:pStyle w:val="NoSpacing"/>
              <w:jc w:val="center"/>
              <w:rPr>
                <w:rFonts w:ascii="Times New Roman" w:hAnsi="Times New Roman" w:cs="Times New Roman"/>
                <w:b/>
                <w:szCs w:val="20"/>
              </w:rPr>
            </w:pPr>
            <w:r w:rsidRPr="0029636B">
              <w:rPr>
                <w:rFonts w:ascii="Times New Roman" w:hAnsi="Times New Roman" w:cs="Times New Roman"/>
                <w:b/>
                <w:szCs w:val="20"/>
              </w:rPr>
              <w:t>System Organ Class</w:t>
            </w:r>
          </w:p>
        </w:tc>
        <w:tc>
          <w:tcPr>
            <w:tcW w:w="1073" w:type="pct"/>
            <w:vMerge w:val="restart"/>
            <w:shd w:val="clear" w:color="auto" w:fill="auto"/>
            <w:vAlign w:val="center"/>
            <w:hideMark/>
          </w:tcPr>
          <w:p w14:paraId="10297C8B" w14:textId="77777777" w:rsidR="000726D1" w:rsidRPr="0029636B" w:rsidRDefault="000726D1" w:rsidP="007947DB">
            <w:pPr>
              <w:pStyle w:val="NoSpacing"/>
              <w:jc w:val="center"/>
              <w:rPr>
                <w:rFonts w:ascii="Times New Roman" w:hAnsi="Times New Roman" w:cs="Times New Roman"/>
                <w:b/>
                <w:szCs w:val="20"/>
              </w:rPr>
            </w:pPr>
            <w:r w:rsidRPr="0029636B">
              <w:rPr>
                <w:rFonts w:ascii="Times New Roman" w:hAnsi="Times New Roman" w:cs="Times New Roman"/>
                <w:b/>
                <w:szCs w:val="20"/>
              </w:rPr>
              <w:t>Preferred Term</w:t>
            </w:r>
          </w:p>
        </w:tc>
        <w:tc>
          <w:tcPr>
            <w:tcW w:w="1227" w:type="pct"/>
            <w:gridSpan w:val="2"/>
            <w:shd w:val="clear" w:color="auto" w:fill="auto"/>
            <w:noWrap/>
            <w:hideMark/>
          </w:tcPr>
          <w:p w14:paraId="229B9E17" w14:textId="77777777" w:rsidR="000726D1" w:rsidRPr="0029636B" w:rsidRDefault="000726D1" w:rsidP="007947DB">
            <w:pPr>
              <w:pStyle w:val="NoSpacing"/>
              <w:jc w:val="center"/>
              <w:rPr>
                <w:rFonts w:ascii="Times New Roman" w:hAnsi="Times New Roman" w:cs="Times New Roman"/>
                <w:b/>
                <w:szCs w:val="20"/>
              </w:rPr>
            </w:pPr>
            <w:r w:rsidRPr="0029636B">
              <w:rPr>
                <w:rFonts w:ascii="Times New Roman" w:hAnsi="Times New Roman" w:cs="Times New Roman"/>
                <w:b/>
                <w:szCs w:val="20"/>
              </w:rPr>
              <w:t>RENFLEXIS</w:t>
            </w:r>
          </w:p>
          <w:p w14:paraId="470C97AB" w14:textId="77777777" w:rsidR="000726D1" w:rsidRPr="0029636B" w:rsidRDefault="000726D1" w:rsidP="007947DB">
            <w:pPr>
              <w:pStyle w:val="NoSpacing"/>
              <w:jc w:val="center"/>
              <w:rPr>
                <w:rFonts w:ascii="Times New Roman" w:hAnsi="Times New Roman" w:cs="Times New Roman"/>
                <w:b/>
                <w:szCs w:val="20"/>
              </w:rPr>
            </w:pPr>
            <w:r w:rsidRPr="0029636B">
              <w:rPr>
                <w:rFonts w:ascii="Times New Roman" w:hAnsi="Times New Roman" w:cs="Times New Roman"/>
                <w:b/>
                <w:szCs w:val="20"/>
              </w:rPr>
              <w:t>N=290</w:t>
            </w:r>
          </w:p>
          <w:p w14:paraId="4923679E" w14:textId="77777777" w:rsidR="000726D1" w:rsidRPr="0029636B" w:rsidRDefault="000726D1" w:rsidP="007947DB">
            <w:pPr>
              <w:pStyle w:val="NoSpacing"/>
              <w:jc w:val="center"/>
              <w:rPr>
                <w:rFonts w:ascii="Times New Roman" w:hAnsi="Times New Roman" w:cs="Times New Roman"/>
                <w:b/>
                <w:szCs w:val="20"/>
              </w:rPr>
            </w:pPr>
            <w:r w:rsidRPr="0029636B">
              <w:rPr>
                <w:rFonts w:ascii="Times New Roman" w:hAnsi="Times New Roman" w:cs="Times New Roman"/>
                <w:b/>
                <w:szCs w:val="20"/>
              </w:rPr>
              <w:t>(3 mg/</w:t>
            </w:r>
            <w:proofErr w:type="spellStart"/>
            <w:r w:rsidRPr="0029636B">
              <w:rPr>
                <w:rFonts w:ascii="Times New Roman" w:hAnsi="Times New Roman" w:cs="Times New Roman"/>
                <w:b/>
                <w:szCs w:val="20"/>
              </w:rPr>
              <w:t>kg</w:t>
            </w:r>
            <w:r w:rsidRPr="0029636B">
              <w:rPr>
                <w:rFonts w:ascii="Times New Roman" w:hAnsi="Times New Roman" w:cs="Times New Roman"/>
                <w:b/>
                <w:szCs w:val="20"/>
                <w:vertAlign w:val="superscript"/>
              </w:rPr>
              <w:t>a</w:t>
            </w:r>
            <w:proofErr w:type="spellEnd"/>
            <w:r w:rsidRPr="0029636B">
              <w:rPr>
                <w:rFonts w:ascii="Times New Roman" w:hAnsi="Times New Roman" w:cs="Times New Roman"/>
                <w:b/>
                <w:szCs w:val="20"/>
              </w:rPr>
              <w:t>)</w:t>
            </w:r>
          </w:p>
        </w:tc>
        <w:tc>
          <w:tcPr>
            <w:tcW w:w="1184" w:type="pct"/>
            <w:gridSpan w:val="2"/>
            <w:shd w:val="clear" w:color="auto" w:fill="auto"/>
            <w:noWrap/>
            <w:hideMark/>
          </w:tcPr>
          <w:p w14:paraId="6E4AF2D6" w14:textId="77777777" w:rsidR="000726D1" w:rsidRPr="00003699" w:rsidRDefault="000726D1" w:rsidP="007947DB">
            <w:pPr>
              <w:pStyle w:val="NoSpacing"/>
              <w:jc w:val="center"/>
              <w:rPr>
                <w:rFonts w:ascii="Times New Roman" w:hAnsi="Times New Roman" w:cs="Times New Roman"/>
                <w:b/>
                <w:szCs w:val="20"/>
                <w:vertAlign w:val="superscript"/>
                <w:lang w:val="pt-BR"/>
              </w:rPr>
            </w:pPr>
            <w:r w:rsidRPr="00003699">
              <w:rPr>
                <w:rFonts w:ascii="Times New Roman" w:hAnsi="Times New Roman" w:cs="Times New Roman"/>
                <w:b/>
                <w:szCs w:val="20"/>
                <w:lang w:val="pt-BR"/>
              </w:rPr>
              <w:t>Remicade</w:t>
            </w:r>
            <w:r w:rsidRPr="00003699">
              <w:rPr>
                <w:rFonts w:ascii="Times New Roman" w:hAnsi="Times New Roman" w:cs="Times New Roman"/>
                <w:b/>
                <w:szCs w:val="20"/>
                <w:vertAlign w:val="superscript"/>
                <w:lang w:val="pt-BR"/>
              </w:rPr>
              <w:t>®</w:t>
            </w:r>
          </w:p>
          <w:p w14:paraId="4C52DECC" w14:textId="77777777" w:rsidR="000726D1" w:rsidRPr="00003699" w:rsidRDefault="000726D1" w:rsidP="007947DB">
            <w:pPr>
              <w:pStyle w:val="NoSpacing"/>
              <w:jc w:val="center"/>
              <w:rPr>
                <w:rFonts w:ascii="Times New Roman" w:hAnsi="Times New Roman" w:cs="Times New Roman"/>
                <w:b/>
                <w:szCs w:val="20"/>
                <w:lang w:val="pt-BR"/>
              </w:rPr>
            </w:pPr>
            <w:r w:rsidRPr="00003699">
              <w:rPr>
                <w:rFonts w:ascii="Times New Roman" w:hAnsi="Times New Roman" w:cs="Times New Roman"/>
                <w:b/>
                <w:szCs w:val="20"/>
                <w:lang w:val="pt-BR"/>
              </w:rPr>
              <w:t>N=293</w:t>
            </w:r>
          </w:p>
          <w:p w14:paraId="223A16E5" w14:textId="77777777" w:rsidR="000726D1" w:rsidRPr="00003699" w:rsidRDefault="000726D1" w:rsidP="007947DB">
            <w:pPr>
              <w:pStyle w:val="NoSpacing"/>
              <w:jc w:val="center"/>
              <w:rPr>
                <w:rFonts w:ascii="Times New Roman" w:hAnsi="Times New Roman" w:cs="Times New Roman"/>
                <w:b/>
                <w:szCs w:val="20"/>
                <w:lang w:val="pt-BR"/>
              </w:rPr>
            </w:pPr>
            <w:r w:rsidRPr="00003699">
              <w:rPr>
                <w:rFonts w:ascii="Times New Roman" w:hAnsi="Times New Roman" w:cs="Times New Roman"/>
                <w:b/>
                <w:szCs w:val="20"/>
                <w:lang w:val="pt-BR"/>
              </w:rPr>
              <w:t>(3 mg/kg</w:t>
            </w:r>
            <w:r w:rsidRPr="00003699">
              <w:rPr>
                <w:rFonts w:ascii="Times New Roman" w:hAnsi="Times New Roman" w:cs="Times New Roman"/>
                <w:b/>
                <w:szCs w:val="20"/>
                <w:vertAlign w:val="superscript"/>
                <w:lang w:val="pt-BR"/>
              </w:rPr>
              <w:t>a</w:t>
            </w:r>
            <w:r w:rsidRPr="00003699">
              <w:rPr>
                <w:rFonts w:ascii="Times New Roman" w:hAnsi="Times New Roman" w:cs="Times New Roman"/>
                <w:b/>
                <w:szCs w:val="20"/>
                <w:lang w:val="pt-BR"/>
              </w:rPr>
              <w:t>)</w:t>
            </w:r>
          </w:p>
        </w:tc>
      </w:tr>
      <w:tr w:rsidR="000726D1" w:rsidRPr="0029636B" w14:paraId="662354E7" w14:textId="77777777" w:rsidTr="001056E5">
        <w:trPr>
          <w:trHeight w:val="20"/>
          <w:tblHeader/>
        </w:trPr>
        <w:tc>
          <w:tcPr>
            <w:tcW w:w="1516" w:type="pct"/>
            <w:vMerge/>
            <w:shd w:val="clear" w:color="auto" w:fill="auto"/>
            <w:vAlign w:val="center"/>
          </w:tcPr>
          <w:p w14:paraId="26215874" w14:textId="77777777" w:rsidR="000726D1" w:rsidRPr="00003699" w:rsidRDefault="000726D1" w:rsidP="007947DB">
            <w:pPr>
              <w:pStyle w:val="NoSpacing"/>
              <w:jc w:val="left"/>
              <w:rPr>
                <w:rFonts w:ascii="Times New Roman" w:hAnsi="Times New Roman" w:cs="Times New Roman"/>
                <w:b/>
                <w:szCs w:val="20"/>
                <w:lang w:val="pt-BR"/>
              </w:rPr>
            </w:pPr>
          </w:p>
        </w:tc>
        <w:tc>
          <w:tcPr>
            <w:tcW w:w="1073" w:type="pct"/>
            <w:vMerge/>
            <w:shd w:val="clear" w:color="auto" w:fill="auto"/>
            <w:vAlign w:val="center"/>
          </w:tcPr>
          <w:p w14:paraId="684B1ABA" w14:textId="77777777" w:rsidR="000726D1" w:rsidRPr="00003699" w:rsidRDefault="000726D1" w:rsidP="007947DB">
            <w:pPr>
              <w:pStyle w:val="NoSpacing"/>
              <w:jc w:val="left"/>
              <w:rPr>
                <w:rFonts w:ascii="Times New Roman" w:hAnsi="Times New Roman" w:cs="Times New Roman"/>
                <w:b/>
                <w:szCs w:val="20"/>
                <w:lang w:val="pt-BR"/>
              </w:rPr>
            </w:pPr>
          </w:p>
        </w:tc>
        <w:tc>
          <w:tcPr>
            <w:tcW w:w="616" w:type="pct"/>
            <w:shd w:val="clear" w:color="auto" w:fill="auto"/>
            <w:noWrap/>
          </w:tcPr>
          <w:p w14:paraId="244D4171" w14:textId="77777777" w:rsidR="000726D1" w:rsidRPr="0029636B" w:rsidRDefault="000726D1" w:rsidP="007947DB">
            <w:pPr>
              <w:pStyle w:val="NoSpacing"/>
              <w:jc w:val="center"/>
              <w:rPr>
                <w:rFonts w:ascii="Times New Roman" w:hAnsi="Times New Roman" w:cs="Times New Roman"/>
                <w:b/>
                <w:szCs w:val="20"/>
              </w:rPr>
            </w:pPr>
            <w:r w:rsidRPr="0029636B">
              <w:rPr>
                <w:rFonts w:ascii="Times New Roman" w:hAnsi="Times New Roman" w:cs="Times New Roman"/>
                <w:b/>
                <w:szCs w:val="20"/>
              </w:rPr>
              <w:t xml:space="preserve">n </w:t>
            </w:r>
          </w:p>
        </w:tc>
        <w:tc>
          <w:tcPr>
            <w:tcW w:w="611" w:type="pct"/>
          </w:tcPr>
          <w:p w14:paraId="42D446CB" w14:textId="77777777" w:rsidR="000726D1" w:rsidRPr="0029636B" w:rsidRDefault="000726D1" w:rsidP="007947DB">
            <w:pPr>
              <w:pStyle w:val="NoSpacing"/>
              <w:jc w:val="center"/>
              <w:rPr>
                <w:rFonts w:ascii="Times New Roman" w:hAnsi="Times New Roman" w:cs="Times New Roman"/>
                <w:b/>
                <w:szCs w:val="20"/>
              </w:rPr>
            </w:pPr>
            <w:r w:rsidRPr="0029636B">
              <w:rPr>
                <w:rFonts w:ascii="Times New Roman" w:hAnsi="Times New Roman" w:cs="Times New Roman"/>
                <w:b/>
                <w:szCs w:val="20"/>
              </w:rPr>
              <w:t>(%)</w:t>
            </w:r>
          </w:p>
        </w:tc>
        <w:tc>
          <w:tcPr>
            <w:tcW w:w="537" w:type="pct"/>
            <w:shd w:val="clear" w:color="auto" w:fill="auto"/>
            <w:noWrap/>
          </w:tcPr>
          <w:p w14:paraId="64ACC32B" w14:textId="77777777" w:rsidR="000726D1" w:rsidRPr="0029636B" w:rsidRDefault="000726D1" w:rsidP="007947DB">
            <w:pPr>
              <w:pStyle w:val="NoSpacing"/>
              <w:jc w:val="center"/>
              <w:rPr>
                <w:rFonts w:ascii="Times New Roman" w:hAnsi="Times New Roman" w:cs="Times New Roman"/>
                <w:b/>
                <w:szCs w:val="20"/>
              </w:rPr>
            </w:pPr>
            <w:r w:rsidRPr="0029636B">
              <w:rPr>
                <w:rFonts w:ascii="Times New Roman" w:hAnsi="Times New Roman" w:cs="Times New Roman"/>
                <w:b/>
                <w:szCs w:val="20"/>
              </w:rPr>
              <w:t>n</w:t>
            </w:r>
          </w:p>
        </w:tc>
        <w:tc>
          <w:tcPr>
            <w:tcW w:w="647" w:type="pct"/>
          </w:tcPr>
          <w:p w14:paraId="52C83843" w14:textId="77777777" w:rsidR="000726D1" w:rsidRPr="0029636B" w:rsidRDefault="000726D1" w:rsidP="007947DB">
            <w:pPr>
              <w:pStyle w:val="NoSpacing"/>
              <w:jc w:val="center"/>
              <w:rPr>
                <w:rFonts w:ascii="Times New Roman" w:hAnsi="Times New Roman" w:cs="Times New Roman"/>
                <w:b/>
                <w:szCs w:val="20"/>
              </w:rPr>
            </w:pPr>
            <w:r w:rsidRPr="0029636B">
              <w:rPr>
                <w:rFonts w:ascii="Times New Roman" w:hAnsi="Times New Roman" w:cs="Times New Roman"/>
                <w:b/>
                <w:szCs w:val="20"/>
              </w:rPr>
              <w:t>(%)</w:t>
            </w:r>
          </w:p>
        </w:tc>
      </w:tr>
      <w:tr w:rsidR="00FB6B72" w:rsidRPr="0029636B" w14:paraId="4FE1D6F6" w14:textId="77777777" w:rsidTr="001056E5">
        <w:trPr>
          <w:trHeight w:val="20"/>
        </w:trPr>
        <w:tc>
          <w:tcPr>
            <w:tcW w:w="1516" w:type="pct"/>
            <w:vMerge w:val="restart"/>
            <w:shd w:val="clear" w:color="auto" w:fill="auto"/>
          </w:tcPr>
          <w:p w14:paraId="04B69AE0" w14:textId="7729E142" w:rsidR="00FB6B72" w:rsidRPr="0029636B" w:rsidRDefault="00FB6B72" w:rsidP="007947DB">
            <w:pPr>
              <w:pStyle w:val="NoSpacing"/>
              <w:jc w:val="left"/>
              <w:rPr>
                <w:rFonts w:ascii="Times New Roman" w:hAnsi="Times New Roman" w:cs="Times New Roman"/>
                <w:szCs w:val="20"/>
              </w:rPr>
            </w:pPr>
            <w:r w:rsidRPr="0029636B">
              <w:rPr>
                <w:rFonts w:ascii="Times New Roman" w:hAnsi="Times New Roman" w:cs="Times New Roman"/>
                <w:szCs w:val="20"/>
              </w:rPr>
              <w:t>Blood and Lymphatic System Disorders</w:t>
            </w:r>
          </w:p>
        </w:tc>
        <w:tc>
          <w:tcPr>
            <w:tcW w:w="1073" w:type="pct"/>
            <w:shd w:val="clear" w:color="auto" w:fill="auto"/>
            <w:vAlign w:val="center"/>
          </w:tcPr>
          <w:p w14:paraId="6C602949" w14:textId="5A60E307" w:rsidR="00FB6B72" w:rsidRPr="0029636B" w:rsidRDefault="00FB6B72" w:rsidP="007947DB">
            <w:pPr>
              <w:pStyle w:val="NoSpacing"/>
              <w:jc w:val="left"/>
              <w:rPr>
                <w:rFonts w:ascii="Times New Roman" w:hAnsi="Times New Roman" w:cs="Times New Roman"/>
                <w:szCs w:val="20"/>
              </w:rPr>
            </w:pPr>
            <w:proofErr w:type="spellStart"/>
            <w:r>
              <w:rPr>
                <w:rFonts w:ascii="Times New Roman" w:hAnsi="Times New Roman" w:cs="Times New Roman"/>
                <w:szCs w:val="20"/>
              </w:rPr>
              <w:t>A</w:t>
            </w:r>
            <w:r>
              <w:rPr>
                <w:rFonts w:ascii="Times New Roman" w:hAnsi="Times New Roman" w:cs="Times New Roman" w:hint="eastAsia"/>
                <w:szCs w:val="20"/>
              </w:rPr>
              <w:t>naemia</w:t>
            </w:r>
            <w:proofErr w:type="spellEnd"/>
            <w:r>
              <w:rPr>
                <w:rFonts w:ascii="Times New Roman" w:hAnsi="Times New Roman" w:cs="Times New Roman" w:hint="eastAsia"/>
                <w:szCs w:val="20"/>
              </w:rPr>
              <w:t xml:space="preserve"> </w:t>
            </w:r>
          </w:p>
        </w:tc>
        <w:tc>
          <w:tcPr>
            <w:tcW w:w="616" w:type="pct"/>
            <w:shd w:val="clear" w:color="auto" w:fill="auto"/>
            <w:noWrap/>
            <w:vAlign w:val="center"/>
          </w:tcPr>
          <w:p w14:paraId="401CD247" w14:textId="44320EAF" w:rsidR="00FB6B72" w:rsidRPr="0029636B" w:rsidRDefault="00FB6B72" w:rsidP="007947DB">
            <w:pPr>
              <w:pStyle w:val="NoSpacing"/>
              <w:jc w:val="center"/>
              <w:rPr>
                <w:rFonts w:ascii="Times New Roman" w:hAnsi="Times New Roman" w:cs="Times New Roman"/>
                <w:szCs w:val="20"/>
              </w:rPr>
            </w:pPr>
            <w:r>
              <w:rPr>
                <w:rFonts w:ascii="Times New Roman" w:hAnsi="Times New Roman" w:cs="Times New Roman" w:hint="eastAsia"/>
                <w:szCs w:val="20"/>
              </w:rPr>
              <w:t>3</w:t>
            </w:r>
          </w:p>
        </w:tc>
        <w:tc>
          <w:tcPr>
            <w:tcW w:w="611" w:type="pct"/>
            <w:vAlign w:val="center"/>
          </w:tcPr>
          <w:p w14:paraId="2CBBB1E7" w14:textId="6F5B4A06" w:rsidR="00FB6B72" w:rsidRPr="0029636B" w:rsidRDefault="00FB6B72" w:rsidP="007947DB">
            <w:pPr>
              <w:pStyle w:val="NoSpacing"/>
              <w:jc w:val="center"/>
              <w:rPr>
                <w:rFonts w:ascii="Times New Roman" w:hAnsi="Times New Roman" w:cs="Times New Roman"/>
                <w:szCs w:val="20"/>
              </w:rPr>
            </w:pPr>
            <w:r>
              <w:rPr>
                <w:rFonts w:ascii="Times New Roman" w:hAnsi="Times New Roman" w:cs="Times New Roman" w:hint="eastAsia"/>
                <w:szCs w:val="20"/>
              </w:rPr>
              <w:t>1.0</w:t>
            </w:r>
          </w:p>
        </w:tc>
        <w:tc>
          <w:tcPr>
            <w:tcW w:w="537" w:type="pct"/>
            <w:shd w:val="clear" w:color="auto" w:fill="auto"/>
            <w:noWrap/>
            <w:vAlign w:val="center"/>
          </w:tcPr>
          <w:p w14:paraId="37A4C907" w14:textId="3FC3EC3B" w:rsidR="00FB6B72" w:rsidRPr="0029636B" w:rsidRDefault="00FB6B72" w:rsidP="007947DB">
            <w:pPr>
              <w:pStyle w:val="NoSpacing"/>
              <w:jc w:val="center"/>
              <w:rPr>
                <w:rFonts w:ascii="Times New Roman" w:hAnsi="Times New Roman" w:cs="Times New Roman"/>
                <w:szCs w:val="20"/>
              </w:rPr>
            </w:pPr>
            <w:r>
              <w:rPr>
                <w:rFonts w:ascii="Times New Roman" w:hAnsi="Times New Roman" w:cs="Times New Roman" w:hint="eastAsia"/>
                <w:szCs w:val="20"/>
              </w:rPr>
              <w:t>2</w:t>
            </w:r>
          </w:p>
        </w:tc>
        <w:tc>
          <w:tcPr>
            <w:tcW w:w="647" w:type="pct"/>
            <w:vAlign w:val="center"/>
          </w:tcPr>
          <w:p w14:paraId="47C0F0C7" w14:textId="51BFDE65" w:rsidR="00FB6B72" w:rsidRPr="0029636B" w:rsidRDefault="00FB6B72" w:rsidP="007947DB">
            <w:pPr>
              <w:pStyle w:val="NoSpacing"/>
              <w:jc w:val="center"/>
              <w:rPr>
                <w:rFonts w:ascii="Times New Roman" w:hAnsi="Times New Roman" w:cs="Times New Roman"/>
                <w:szCs w:val="20"/>
              </w:rPr>
            </w:pPr>
            <w:r>
              <w:rPr>
                <w:rFonts w:ascii="Times New Roman" w:hAnsi="Times New Roman" w:cs="Times New Roman" w:hint="eastAsia"/>
                <w:szCs w:val="20"/>
              </w:rPr>
              <w:t>0.7</w:t>
            </w:r>
          </w:p>
        </w:tc>
      </w:tr>
      <w:tr w:rsidR="00FB6B72" w:rsidRPr="0029636B" w14:paraId="53BED898" w14:textId="77777777" w:rsidTr="001056E5">
        <w:trPr>
          <w:trHeight w:val="20"/>
        </w:trPr>
        <w:tc>
          <w:tcPr>
            <w:tcW w:w="1516" w:type="pct"/>
            <w:vMerge/>
            <w:shd w:val="clear" w:color="auto" w:fill="auto"/>
          </w:tcPr>
          <w:p w14:paraId="26007EF3" w14:textId="19B2B080" w:rsidR="00FB6B72" w:rsidRPr="0029636B" w:rsidRDefault="00FB6B72" w:rsidP="007947DB">
            <w:pPr>
              <w:pStyle w:val="NoSpacing"/>
              <w:jc w:val="left"/>
              <w:rPr>
                <w:rFonts w:ascii="Times New Roman" w:hAnsi="Times New Roman" w:cs="Times New Roman"/>
                <w:szCs w:val="20"/>
              </w:rPr>
            </w:pPr>
          </w:p>
        </w:tc>
        <w:tc>
          <w:tcPr>
            <w:tcW w:w="1073" w:type="pct"/>
            <w:shd w:val="clear" w:color="auto" w:fill="auto"/>
            <w:vAlign w:val="center"/>
          </w:tcPr>
          <w:p w14:paraId="7C12F31C" w14:textId="0B73EB70" w:rsidR="00FB6B72" w:rsidRPr="0029636B" w:rsidRDefault="00FB6B72" w:rsidP="007947DB">
            <w:pPr>
              <w:pStyle w:val="NoSpacing"/>
              <w:jc w:val="left"/>
              <w:rPr>
                <w:rFonts w:ascii="Times New Roman" w:hAnsi="Times New Roman" w:cs="Times New Roman"/>
                <w:szCs w:val="20"/>
              </w:rPr>
            </w:pPr>
            <w:r>
              <w:rPr>
                <w:rFonts w:ascii="Times New Roman" w:hAnsi="Times New Roman" w:cs="Times New Roman" w:hint="eastAsia"/>
                <w:szCs w:val="20"/>
              </w:rPr>
              <w:t>Leukopenia</w:t>
            </w:r>
          </w:p>
        </w:tc>
        <w:tc>
          <w:tcPr>
            <w:tcW w:w="616" w:type="pct"/>
            <w:shd w:val="clear" w:color="auto" w:fill="auto"/>
            <w:noWrap/>
            <w:vAlign w:val="center"/>
          </w:tcPr>
          <w:p w14:paraId="7E057A45" w14:textId="55B3F76A" w:rsidR="00FB6B72" w:rsidRPr="0029636B" w:rsidRDefault="00FB6B72" w:rsidP="007947DB">
            <w:pPr>
              <w:pStyle w:val="NoSpacing"/>
              <w:jc w:val="center"/>
              <w:rPr>
                <w:rFonts w:ascii="Times New Roman" w:hAnsi="Times New Roman" w:cs="Times New Roman"/>
                <w:szCs w:val="20"/>
              </w:rPr>
            </w:pPr>
            <w:r>
              <w:rPr>
                <w:rFonts w:ascii="Times New Roman" w:hAnsi="Times New Roman" w:cs="Times New Roman" w:hint="eastAsia"/>
                <w:szCs w:val="20"/>
              </w:rPr>
              <w:t>3</w:t>
            </w:r>
          </w:p>
        </w:tc>
        <w:tc>
          <w:tcPr>
            <w:tcW w:w="611" w:type="pct"/>
            <w:vAlign w:val="center"/>
          </w:tcPr>
          <w:p w14:paraId="3330A812" w14:textId="74277C24" w:rsidR="00FB6B72" w:rsidRPr="0029636B" w:rsidRDefault="00FB6B72" w:rsidP="007947DB">
            <w:pPr>
              <w:pStyle w:val="NoSpacing"/>
              <w:jc w:val="center"/>
              <w:rPr>
                <w:rFonts w:ascii="Times New Roman" w:hAnsi="Times New Roman" w:cs="Times New Roman"/>
                <w:szCs w:val="20"/>
              </w:rPr>
            </w:pPr>
            <w:r>
              <w:rPr>
                <w:rFonts w:ascii="Times New Roman" w:hAnsi="Times New Roman" w:cs="Times New Roman" w:hint="eastAsia"/>
                <w:szCs w:val="20"/>
              </w:rPr>
              <w:t>1.0</w:t>
            </w:r>
          </w:p>
        </w:tc>
        <w:tc>
          <w:tcPr>
            <w:tcW w:w="537" w:type="pct"/>
            <w:shd w:val="clear" w:color="auto" w:fill="auto"/>
            <w:noWrap/>
            <w:vAlign w:val="center"/>
          </w:tcPr>
          <w:p w14:paraId="6CAC8FE1" w14:textId="7E7427F6" w:rsidR="00FB6B72" w:rsidRPr="0029636B" w:rsidRDefault="00FB6B72" w:rsidP="007947DB">
            <w:pPr>
              <w:pStyle w:val="NoSpacing"/>
              <w:jc w:val="center"/>
              <w:rPr>
                <w:rFonts w:ascii="Times New Roman" w:hAnsi="Times New Roman" w:cs="Times New Roman"/>
                <w:szCs w:val="20"/>
              </w:rPr>
            </w:pPr>
            <w:r>
              <w:rPr>
                <w:rFonts w:ascii="Times New Roman" w:hAnsi="Times New Roman" w:cs="Times New Roman" w:hint="eastAsia"/>
                <w:szCs w:val="20"/>
              </w:rPr>
              <w:t>3</w:t>
            </w:r>
          </w:p>
        </w:tc>
        <w:tc>
          <w:tcPr>
            <w:tcW w:w="647" w:type="pct"/>
            <w:vAlign w:val="center"/>
          </w:tcPr>
          <w:p w14:paraId="3318A6AC" w14:textId="492DFBD5" w:rsidR="00FB6B72" w:rsidRPr="0029636B" w:rsidRDefault="00FB6B72" w:rsidP="007947DB">
            <w:pPr>
              <w:pStyle w:val="NoSpacing"/>
              <w:jc w:val="center"/>
              <w:rPr>
                <w:rFonts w:ascii="Times New Roman" w:hAnsi="Times New Roman" w:cs="Times New Roman"/>
                <w:szCs w:val="20"/>
              </w:rPr>
            </w:pPr>
            <w:r>
              <w:rPr>
                <w:rFonts w:ascii="Times New Roman" w:hAnsi="Times New Roman" w:cs="Times New Roman" w:hint="eastAsia"/>
                <w:szCs w:val="20"/>
              </w:rPr>
              <w:t>1.0</w:t>
            </w:r>
          </w:p>
        </w:tc>
      </w:tr>
      <w:tr w:rsidR="00FB6B72" w:rsidRPr="0029636B" w14:paraId="5B885F60" w14:textId="77777777" w:rsidTr="00FB6B72">
        <w:trPr>
          <w:trHeight w:val="20"/>
        </w:trPr>
        <w:tc>
          <w:tcPr>
            <w:tcW w:w="1516" w:type="pct"/>
            <w:vMerge/>
            <w:shd w:val="clear" w:color="auto" w:fill="auto"/>
            <w:hideMark/>
          </w:tcPr>
          <w:p w14:paraId="747D17B4" w14:textId="68AB493B" w:rsidR="00FB6B72" w:rsidRPr="0029636B" w:rsidRDefault="00FB6B72" w:rsidP="007947DB">
            <w:pPr>
              <w:pStyle w:val="NoSpacing"/>
              <w:jc w:val="left"/>
              <w:rPr>
                <w:rFonts w:ascii="Times New Roman" w:hAnsi="Times New Roman" w:cs="Times New Roman"/>
                <w:szCs w:val="20"/>
              </w:rPr>
            </w:pPr>
          </w:p>
        </w:tc>
        <w:tc>
          <w:tcPr>
            <w:tcW w:w="1073" w:type="pct"/>
            <w:shd w:val="clear" w:color="auto" w:fill="auto"/>
            <w:vAlign w:val="center"/>
          </w:tcPr>
          <w:p w14:paraId="7E0342E8" w14:textId="2F77B1BC" w:rsidR="00FB6B72" w:rsidRPr="0029636B" w:rsidRDefault="00FB6B72" w:rsidP="007947DB">
            <w:pPr>
              <w:pStyle w:val="NoSpacing"/>
              <w:jc w:val="left"/>
              <w:rPr>
                <w:rFonts w:ascii="Times New Roman" w:hAnsi="Times New Roman" w:cs="Times New Roman"/>
                <w:szCs w:val="20"/>
              </w:rPr>
            </w:pPr>
            <w:r>
              <w:rPr>
                <w:rFonts w:ascii="Times New Roman" w:hAnsi="Times New Roman" w:cs="Times New Roman" w:hint="eastAsia"/>
                <w:szCs w:val="20"/>
              </w:rPr>
              <w:t>Lymphopenia</w:t>
            </w:r>
          </w:p>
        </w:tc>
        <w:tc>
          <w:tcPr>
            <w:tcW w:w="616" w:type="pct"/>
            <w:shd w:val="clear" w:color="auto" w:fill="auto"/>
            <w:noWrap/>
            <w:vAlign w:val="center"/>
          </w:tcPr>
          <w:p w14:paraId="5E2ABB7C" w14:textId="1DEA3611" w:rsidR="00FB6B72" w:rsidRPr="0029636B" w:rsidRDefault="00FB6B72" w:rsidP="007947DB">
            <w:pPr>
              <w:pStyle w:val="NoSpacing"/>
              <w:jc w:val="center"/>
              <w:rPr>
                <w:rFonts w:ascii="Times New Roman" w:hAnsi="Times New Roman" w:cs="Times New Roman"/>
                <w:szCs w:val="20"/>
              </w:rPr>
            </w:pPr>
            <w:r>
              <w:rPr>
                <w:rFonts w:ascii="Times New Roman" w:hAnsi="Times New Roman" w:cs="Times New Roman" w:hint="eastAsia"/>
                <w:szCs w:val="20"/>
              </w:rPr>
              <w:t>3</w:t>
            </w:r>
          </w:p>
        </w:tc>
        <w:tc>
          <w:tcPr>
            <w:tcW w:w="611" w:type="pct"/>
            <w:vAlign w:val="center"/>
          </w:tcPr>
          <w:p w14:paraId="286771F8" w14:textId="3D28E991" w:rsidR="00FB6B72" w:rsidRPr="0029636B" w:rsidRDefault="00FB6B72" w:rsidP="007947DB">
            <w:pPr>
              <w:pStyle w:val="NoSpacing"/>
              <w:jc w:val="center"/>
              <w:rPr>
                <w:rFonts w:ascii="Times New Roman" w:hAnsi="Times New Roman" w:cs="Times New Roman"/>
                <w:szCs w:val="20"/>
              </w:rPr>
            </w:pPr>
            <w:r>
              <w:rPr>
                <w:rFonts w:ascii="Times New Roman" w:hAnsi="Times New Roman" w:cs="Times New Roman" w:hint="eastAsia"/>
                <w:szCs w:val="20"/>
              </w:rPr>
              <w:t>1.0</w:t>
            </w:r>
          </w:p>
        </w:tc>
        <w:tc>
          <w:tcPr>
            <w:tcW w:w="537" w:type="pct"/>
            <w:shd w:val="clear" w:color="auto" w:fill="auto"/>
            <w:noWrap/>
            <w:vAlign w:val="center"/>
          </w:tcPr>
          <w:p w14:paraId="238BFC7B" w14:textId="65952CC6" w:rsidR="00FB6B72" w:rsidRPr="0029636B" w:rsidRDefault="00FB6B72" w:rsidP="007947DB">
            <w:pPr>
              <w:pStyle w:val="NoSpacing"/>
              <w:jc w:val="center"/>
              <w:rPr>
                <w:rFonts w:ascii="Times New Roman" w:hAnsi="Times New Roman" w:cs="Times New Roman"/>
                <w:szCs w:val="20"/>
              </w:rPr>
            </w:pPr>
            <w:r>
              <w:rPr>
                <w:rFonts w:ascii="Times New Roman" w:hAnsi="Times New Roman" w:cs="Times New Roman" w:hint="eastAsia"/>
                <w:szCs w:val="20"/>
              </w:rPr>
              <w:t>2</w:t>
            </w:r>
          </w:p>
        </w:tc>
        <w:tc>
          <w:tcPr>
            <w:tcW w:w="647" w:type="pct"/>
            <w:vAlign w:val="center"/>
          </w:tcPr>
          <w:p w14:paraId="4C61B5CD" w14:textId="26E3A49D" w:rsidR="00FB6B72" w:rsidRPr="0029636B" w:rsidRDefault="00FB6B72" w:rsidP="007947DB">
            <w:pPr>
              <w:pStyle w:val="NoSpacing"/>
              <w:jc w:val="center"/>
              <w:rPr>
                <w:rFonts w:ascii="Times New Roman" w:hAnsi="Times New Roman" w:cs="Times New Roman"/>
                <w:szCs w:val="20"/>
              </w:rPr>
            </w:pPr>
            <w:r>
              <w:rPr>
                <w:rFonts w:ascii="Times New Roman" w:hAnsi="Times New Roman" w:cs="Times New Roman" w:hint="eastAsia"/>
                <w:szCs w:val="20"/>
              </w:rPr>
              <w:t>0.7</w:t>
            </w:r>
          </w:p>
        </w:tc>
      </w:tr>
      <w:tr w:rsidR="00FB6B72" w:rsidRPr="0029636B" w14:paraId="7E76E410" w14:textId="77777777" w:rsidTr="001056E5">
        <w:trPr>
          <w:trHeight w:val="20"/>
        </w:trPr>
        <w:tc>
          <w:tcPr>
            <w:tcW w:w="1516" w:type="pct"/>
            <w:vMerge/>
            <w:shd w:val="clear" w:color="auto" w:fill="auto"/>
          </w:tcPr>
          <w:p w14:paraId="142E53C7" w14:textId="77777777" w:rsidR="00FB6B72" w:rsidRPr="0029636B" w:rsidRDefault="00FB6B72" w:rsidP="007947DB">
            <w:pPr>
              <w:pStyle w:val="NoSpacing"/>
              <w:jc w:val="left"/>
              <w:rPr>
                <w:rFonts w:ascii="Times New Roman" w:hAnsi="Times New Roman" w:cs="Times New Roman"/>
                <w:szCs w:val="20"/>
              </w:rPr>
            </w:pPr>
          </w:p>
        </w:tc>
        <w:tc>
          <w:tcPr>
            <w:tcW w:w="1073" w:type="pct"/>
            <w:shd w:val="clear" w:color="auto" w:fill="auto"/>
            <w:vAlign w:val="center"/>
          </w:tcPr>
          <w:p w14:paraId="5050C2A6" w14:textId="6B8152B5" w:rsidR="00FB6B72" w:rsidRPr="0029636B" w:rsidRDefault="00FB6B72" w:rsidP="007947DB">
            <w:pPr>
              <w:pStyle w:val="NoSpacing"/>
              <w:jc w:val="left"/>
              <w:rPr>
                <w:rFonts w:ascii="Times New Roman" w:hAnsi="Times New Roman" w:cs="Times New Roman"/>
                <w:szCs w:val="20"/>
              </w:rPr>
            </w:pPr>
            <w:r w:rsidRPr="0029636B">
              <w:rPr>
                <w:rFonts w:ascii="Times New Roman" w:hAnsi="Times New Roman" w:cs="Times New Roman"/>
                <w:szCs w:val="20"/>
              </w:rPr>
              <w:t>Neutropenia</w:t>
            </w:r>
          </w:p>
        </w:tc>
        <w:tc>
          <w:tcPr>
            <w:tcW w:w="616" w:type="pct"/>
            <w:shd w:val="clear" w:color="auto" w:fill="auto"/>
            <w:noWrap/>
            <w:vAlign w:val="center"/>
          </w:tcPr>
          <w:p w14:paraId="45482D7A" w14:textId="4B67B370" w:rsidR="00FB6B72" w:rsidRPr="0029636B" w:rsidRDefault="00FB6B72" w:rsidP="007947DB">
            <w:pPr>
              <w:pStyle w:val="NoSpacing"/>
              <w:jc w:val="center"/>
              <w:rPr>
                <w:rFonts w:ascii="Times New Roman" w:hAnsi="Times New Roman" w:cs="Times New Roman"/>
                <w:szCs w:val="20"/>
              </w:rPr>
            </w:pPr>
            <w:r>
              <w:rPr>
                <w:rFonts w:ascii="Times New Roman" w:hAnsi="Times New Roman" w:cs="Times New Roman" w:hint="eastAsia"/>
                <w:szCs w:val="20"/>
              </w:rPr>
              <w:t>2</w:t>
            </w:r>
          </w:p>
        </w:tc>
        <w:tc>
          <w:tcPr>
            <w:tcW w:w="611" w:type="pct"/>
            <w:vAlign w:val="center"/>
          </w:tcPr>
          <w:p w14:paraId="7D056C9F" w14:textId="645BBBA8" w:rsidR="00FB6B72" w:rsidRPr="0029636B" w:rsidRDefault="00FB6B72" w:rsidP="007947DB">
            <w:pPr>
              <w:pStyle w:val="NoSpacing"/>
              <w:jc w:val="center"/>
              <w:rPr>
                <w:rFonts w:ascii="Times New Roman" w:hAnsi="Times New Roman" w:cs="Times New Roman"/>
                <w:szCs w:val="20"/>
              </w:rPr>
            </w:pPr>
            <w:r>
              <w:rPr>
                <w:rFonts w:ascii="Times New Roman" w:hAnsi="Times New Roman" w:cs="Times New Roman" w:hint="eastAsia"/>
                <w:szCs w:val="20"/>
              </w:rPr>
              <w:t>0.7</w:t>
            </w:r>
          </w:p>
        </w:tc>
        <w:tc>
          <w:tcPr>
            <w:tcW w:w="537" w:type="pct"/>
            <w:shd w:val="clear" w:color="auto" w:fill="auto"/>
            <w:noWrap/>
            <w:vAlign w:val="center"/>
          </w:tcPr>
          <w:p w14:paraId="5424FEA8" w14:textId="69F408B6" w:rsidR="00FB6B72" w:rsidRPr="0029636B" w:rsidRDefault="00FB6B72" w:rsidP="007947DB">
            <w:pPr>
              <w:pStyle w:val="NoSpacing"/>
              <w:jc w:val="center"/>
              <w:rPr>
                <w:rFonts w:ascii="Times New Roman" w:hAnsi="Times New Roman" w:cs="Times New Roman"/>
                <w:szCs w:val="20"/>
              </w:rPr>
            </w:pPr>
            <w:r w:rsidRPr="0029636B">
              <w:rPr>
                <w:rFonts w:ascii="Times New Roman" w:hAnsi="Times New Roman" w:cs="Times New Roman"/>
                <w:szCs w:val="20"/>
              </w:rPr>
              <w:t>3</w:t>
            </w:r>
          </w:p>
        </w:tc>
        <w:tc>
          <w:tcPr>
            <w:tcW w:w="647" w:type="pct"/>
            <w:vAlign w:val="center"/>
          </w:tcPr>
          <w:p w14:paraId="2A4A4647" w14:textId="51FF1F42" w:rsidR="00FB6B72" w:rsidRPr="0029636B" w:rsidRDefault="00FB6B72" w:rsidP="007947DB">
            <w:pPr>
              <w:pStyle w:val="NoSpacing"/>
              <w:jc w:val="center"/>
              <w:rPr>
                <w:rFonts w:ascii="Times New Roman" w:hAnsi="Times New Roman" w:cs="Times New Roman"/>
                <w:szCs w:val="20"/>
              </w:rPr>
            </w:pPr>
            <w:r w:rsidRPr="0029636B">
              <w:rPr>
                <w:rFonts w:ascii="Times New Roman" w:hAnsi="Times New Roman" w:cs="Times New Roman"/>
                <w:szCs w:val="20"/>
              </w:rPr>
              <w:t>1.0</w:t>
            </w:r>
          </w:p>
        </w:tc>
      </w:tr>
      <w:tr w:rsidR="00FB6B72" w:rsidRPr="0029636B" w14:paraId="502FFF73" w14:textId="77777777" w:rsidTr="001056E5">
        <w:trPr>
          <w:trHeight w:val="20"/>
        </w:trPr>
        <w:tc>
          <w:tcPr>
            <w:tcW w:w="1516" w:type="pct"/>
            <w:vMerge/>
            <w:shd w:val="clear" w:color="auto" w:fill="auto"/>
          </w:tcPr>
          <w:p w14:paraId="367EB641" w14:textId="77777777" w:rsidR="00FB6B72" w:rsidRPr="0029636B" w:rsidRDefault="00FB6B72" w:rsidP="007947DB">
            <w:pPr>
              <w:pStyle w:val="NoSpacing"/>
              <w:jc w:val="left"/>
              <w:rPr>
                <w:rFonts w:ascii="Times New Roman" w:hAnsi="Times New Roman" w:cs="Times New Roman"/>
                <w:szCs w:val="20"/>
              </w:rPr>
            </w:pPr>
          </w:p>
        </w:tc>
        <w:tc>
          <w:tcPr>
            <w:tcW w:w="1073" w:type="pct"/>
            <w:shd w:val="clear" w:color="auto" w:fill="auto"/>
            <w:vAlign w:val="center"/>
          </w:tcPr>
          <w:p w14:paraId="36229A2E" w14:textId="261A7EEC" w:rsidR="00FB6B72" w:rsidRPr="0029636B" w:rsidRDefault="00FB6B72" w:rsidP="007947DB">
            <w:pPr>
              <w:pStyle w:val="NoSpacing"/>
              <w:jc w:val="left"/>
              <w:rPr>
                <w:rFonts w:ascii="Times New Roman" w:hAnsi="Times New Roman" w:cs="Times New Roman"/>
                <w:szCs w:val="20"/>
              </w:rPr>
            </w:pPr>
            <w:r>
              <w:rPr>
                <w:rFonts w:ascii="Times New Roman" w:hAnsi="Times New Roman" w:cs="Times New Roman" w:hint="eastAsia"/>
                <w:szCs w:val="20"/>
              </w:rPr>
              <w:t xml:space="preserve">Iron Deficiency </w:t>
            </w:r>
            <w:proofErr w:type="spellStart"/>
            <w:r>
              <w:rPr>
                <w:rFonts w:ascii="Times New Roman" w:hAnsi="Times New Roman" w:cs="Times New Roman" w:hint="eastAsia"/>
                <w:szCs w:val="20"/>
              </w:rPr>
              <w:t>Anaemia</w:t>
            </w:r>
            <w:proofErr w:type="spellEnd"/>
          </w:p>
        </w:tc>
        <w:tc>
          <w:tcPr>
            <w:tcW w:w="616" w:type="pct"/>
            <w:shd w:val="clear" w:color="auto" w:fill="auto"/>
            <w:noWrap/>
            <w:vAlign w:val="center"/>
          </w:tcPr>
          <w:p w14:paraId="6881A3E3" w14:textId="573988ED" w:rsidR="00FB6B72" w:rsidRPr="0029636B" w:rsidRDefault="00FB6B72" w:rsidP="007947DB">
            <w:pPr>
              <w:pStyle w:val="NoSpacing"/>
              <w:jc w:val="center"/>
              <w:rPr>
                <w:rFonts w:ascii="Times New Roman" w:hAnsi="Times New Roman" w:cs="Times New Roman"/>
                <w:szCs w:val="20"/>
              </w:rPr>
            </w:pPr>
            <w:r w:rsidRPr="0029636B">
              <w:rPr>
                <w:rFonts w:ascii="Times New Roman" w:hAnsi="Times New Roman" w:cs="Times New Roman"/>
                <w:szCs w:val="20"/>
              </w:rPr>
              <w:t>0</w:t>
            </w:r>
          </w:p>
        </w:tc>
        <w:tc>
          <w:tcPr>
            <w:tcW w:w="611" w:type="pct"/>
            <w:vAlign w:val="center"/>
          </w:tcPr>
          <w:p w14:paraId="507918C0" w14:textId="164703D2" w:rsidR="00FB6B72" w:rsidRPr="0029636B" w:rsidRDefault="00FB6B72" w:rsidP="007947DB">
            <w:pPr>
              <w:pStyle w:val="NoSpacing"/>
              <w:jc w:val="center"/>
              <w:rPr>
                <w:rFonts w:ascii="Times New Roman" w:hAnsi="Times New Roman" w:cs="Times New Roman"/>
                <w:szCs w:val="20"/>
              </w:rPr>
            </w:pPr>
            <w:r w:rsidRPr="0029636B">
              <w:rPr>
                <w:rFonts w:ascii="Times New Roman" w:hAnsi="Times New Roman" w:cs="Times New Roman"/>
                <w:szCs w:val="20"/>
              </w:rPr>
              <w:t>0.0</w:t>
            </w:r>
          </w:p>
        </w:tc>
        <w:tc>
          <w:tcPr>
            <w:tcW w:w="537" w:type="pct"/>
            <w:shd w:val="clear" w:color="auto" w:fill="auto"/>
            <w:noWrap/>
            <w:vAlign w:val="center"/>
          </w:tcPr>
          <w:p w14:paraId="50B75D0F" w14:textId="53E5496E" w:rsidR="00FB6B72" w:rsidRPr="0029636B" w:rsidRDefault="00FB6B72" w:rsidP="007947DB">
            <w:pPr>
              <w:pStyle w:val="NoSpacing"/>
              <w:jc w:val="center"/>
              <w:rPr>
                <w:rFonts w:ascii="Times New Roman" w:hAnsi="Times New Roman" w:cs="Times New Roman"/>
                <w:szCs w:val="20"/>
              </w:rPr>
            </w:pPr>
            <w:r w:rsidRPr="0029636B">
              <w:rPr>
                <w:rFonts w:ascii="Times New Roman" w:hAnsi="Times New Roman" w:cs="Times New Roman"/>
                <w:szCs w:val="20"/>
              </w:rPr>
              <w:t>3</w:t>
            </w:r>
          </w:p>
        </w:tc>
        <w:tc>
          <w:tcPr>
            <w:tcW w:w="647" w:type="pct"/>
            <w:vAlign w:val="center"/>
          </w:tcPr>
          <w:p w14:paraId="2579E417" w14:textId="1E3EE4C5" w:rsidR="00FB6B72" w:rsidRPr="0029636B" w:rsidRDefault="00FB6B72" w:rsidP="007947DB">
            <w:pPr>
              <w:pStyle w:val="NoSpacing"/>
              <w:jc w:val="center"/>
              <w:rPr>
                <w:rFonts w:ascii="Times New Roman" w:hAnsi="Times New Roman" w:cs="Times New Roman"/>
                <w:szCs w:val="20"/>
              </w:rPr>
            </w:pPr>
            <w:r w:rsidRPr="0029636B">
              <w:rPr>
                <w:rFonts w:ascii="Times New Roman" w:hAnsi="Times New Roman" w:cs="Times New Roman"/>
                <w:szCs w:val="20"/>
              </w:rPr>
              <w:t>1.0</w:t>
            </w:r>
          </w:p>
        </w:tc>
      </w:tr>
      <w:tr w:rsidR="00FB6B72" w:rsidRPr="0029636B" w14:paraId="6F416F88" w14:textId="77777777" w:rsidTr="001056E5">
        <w:trPr>
          <w:trHeight w:val="20"/>
        </w:trPr>
        <w:tc>
          <w:tcPr>
            <w:tcW w:w="1516" w:type="pct"/>
            <w:vMerge w:val="restart"/>
            <w:shd w:val="clear" w:color="auto" w:fill="auto"/>
          </w:tcPr>
          <w:p w14:paraId="0D31E371" w14:textId="0A5AEEE9" w:rsidR="00FB6B72" w:rsidRPr="0029636B" w:rsidRDefault="00FB6B72" w:rsidP="007947DB">
            <w:pPr>
              <w:pStyle w:val="NoSpacing"/>
              <w:jc w:val="left"/>
              <w:rPr>
                <w:rFonts w:ascii="Times New Roman" w:hAnsi="Times New Roman" w:cs="Times New Roman"/>
                <w:szCs w:val="20"/>
              </w:rPr>
            </w:pPr>
            <w:r>
              <w:rPr>
                <w:rFonts w:ascii="Times New Roman" w:hAnsi="Times New Roman" w:cs="Times New Roman" w:hint="eastAsia"/>
                <w:szCs w:val="20"/>
              </w:rPr>
              <w:t>Eye Disorders</w:t>
            </w:r>
          </w:p>
        </w:tc>
        <w:tc>
          <w:tcPr>
            <w:tcW w:w="1073" w:type="pct"/>
            <w:shd w:val="clear" w:color="auto" w:fill="auto"/>
            <w:vAlign w:val="center"/>
          </w:tcPr>
          <w:p w14:paraId="4DEF1448" w14:textId="208DEFF6" w:rsidR="00FB6B72" w:rsidRDefault="00FB6B72" w:rsidP="007947DB">
            <w:pPr>
              <w:pStyle w:val="NoSpacing"/>
              <w:jc w:val="left"/>
              <w:rPr>
                <w:rFonts w:ascii="Times New Roman" w:hAnsi="Times New Roman" w:cs="Times New Roman"/>
                <w:szCs w:val="20"/>
              </w:rPr>
            </w:pPr>
            <w:r>
              <w:rPr>
                <w:rFonts w:ascii="Times New Roman" w:hAnsi="Times New Roman" w:cs="Times New Roman" w:hint="eastAsia"/>
                <w:szCs w:val="20"/>
              </w:rPr>
              <w:t>Cataract</w:t>
            </w:r>
          </w:p>
        </w:tc>
        <w:tc>
          <w:tcPr>
            <w:tcW w:w="616" w:type="pct"/>
            <w:shd w:val="clear" w:color="auto" w:fill="auto"/>
            <w:noWrap/>
            <w:vAlign w:val="center"/>
          </w:tcPr>
          <w:p w14:paraId="67E9EAC4" w14:textId="11E92F83" w:rsidR="00FB6B72" w:rsidRPr="0029636B" w:rsidRDefault="00FB6B72" w:rsidP="007947DB">
            <w:pPr>
              <w:pStyle w:val="NoSpacing"/>
              <w:jc w:val="center"/>
              <w:rPr>
                <w:rFonts w:ascii="Times New Roman" w:hAnsi="Times New Roman" w:cs="Times New Roman"/>
                <w:szCs w:val="20"/>
              </w:rPr>
            </w:pPr>
            <w:r>
              <w:rPr>
                <w:rFonts w:ascii="Times New Roman" w:hAnsi="Times New Roman" w:cs="Times New Roman" w:hint="eastAsia"/>
                <w:szCs w:val="20"/>
              </w:rPr>
              <w:t>3</w:t>
            </w:r>
          </w:p>
        </w:tc>
        <w:tc>
          <w:tcPr>
            <w:tcW w:w="611" w:type="pct"/>
            <w:vAlign w:val="center"/>
          </w:tcPr>
          <w:p w14:paraId="13E04E87" w14:textId="6441AC31" w:rsidR="00FB6B72" w:rsidRPr="0029636B" w:rsidRDefault="00FB6B72" w:rsidP="007947DB">
            <w:pPr>
              <w:pStyle w:val="NoSpacing"/>
              <w:jc w:val="center"/>
              <w:rPr>
                <w:rFonts w:ascii="Times New Roman" w:hAnsi="Times New Roman" w:cs="Times New Roman"/>
                <w:szCs w:val="20"/>
              </w:rPr>
            </w:pPr>
            <w:r>
              <w:rPr>
                <w:rFonts w:ascii="Times New Roman" w:hAnsi="Times New Roman" w:cs="Times New Roman" w:hint="eastAsia"/>
                <w:szCs w:val="20"/>
              </w:rPr>
              <w:t>1.0</w:t>
            </w:r>
          </w:p>
        </w:tc>
        <w:tc>
          <w:tcPr>
            <w:tcW w:w="537" w:type="pct"/>
            <w:shd w:val="clear" w:color="auto" w:fill="auto"/>
            <w:noWrap/>
            <w:vAlign w:val="center"/>
          </w:tcPr>
          <w:p w14:paraId="1F31450C" w14:textId="3E6E1E68" w:rsidR="00FB6B72" w:rsidRPr="0029636B" w:rsidRDefault="00FB6B72" w:rsidP="007947DB">
            <w:pPr>
              <w:pStyle w:val="NoSpacing"/>
              <w:jc w:val="center"/>
              <w:rPr>
                <w:rFonts w:ascii="Times New Roman" w:hAnsi="Times New Roman" w:cs="Times New Roman"/>
                <w:szCs w:val="20"/>
              </w:rPr>
            </w:pPr>
            <w:r>
              <w:rPr>
                <w:rFonts w:ascii="Times New Roman" w:hAnsi="Times New Roman" w:cs="Times New Roman" w:hint="eastAsia"/>
                <w:szCs w:val="20"/>
              </w:rPr>
              <w:t>0</w:t>
            </w:r>
          </w:p>
        </w:tc>
        <w:tc>
          <w:tcPr>
            <w:tcW w:w="647" w:type="pct"/>
            <w:vAlign w:val="center"/>
          </w:tcPr>
          <w:p w14:paraId="40329315" w14:textId="3A9D597E" w:rsidR="00FB6B72" w:rsidRPr="0029636B" w:rsidRDefault="00FB6B72" w:rsidP="007947DB">
            <w:pPr>
              <w:pStyle w:val="NoSpacing"/>
              <w:jc w:val="center"/>
              <w:rPr>
                <w:rFonts w:ascii="Times New Roman" w:hAnsi="Times New Roman" w:cs="Times New Roman"/>
                <w:szCs w:val="20"/>
              </w:rPr>
            </w:pPr>
            <w:r>
              <w:rPr>
                <w:rFonts w:ascii="Times New Roman" w:hAnsi="Times New Roman" w:cs="Times New Roman" w:hint="eastAsia"/>
                <w:szCs w:val="20"/>
              </w:rPr>
              <w:t>0.0</w:t>
            </w:r>
          </w:p>
        </w:tc>
      </w:tr>
      <w:tr w:rsidR="00FB6B72" w:rsidRPr="0029636B" w14:paraId="530C6562" w14:textId="77777777" w:rsidTr="001056E5">
        <w:trPr>
          <w:trHeight w:val="20"/>
        </w:trPr>
        <w:tc>
          <w:tcPr>
            <w:tcW w:w="1516" w:type="pct"/>
            <w:vMerge/>
            <w:shd w:val="clear" w:color="auto" w:fill="auto"/>
          </w:tcPr>
          <w:p w14:paraId="1205AF07" w14:textId="77777777" w:rsidR="00FB6B72" w:rsidRDefault="00FB6B72" w:rsidP="007947DB">
            <w:pPr>
              <w:pStyle w:val="NoSpacing"/>
              <w:jc w:val="left"/>
              <w:rPr>
                <w:rFonts w:ascii="Times New Roman" w:hAnsi="Times New Roman" w:cs="Times New Roman"/>
                <w:szCs w:val="20"/>
              </w:rPr>
            </w:pPr>
          </w:p>
        </w:tc>
        <w:tc>
          <w:tcPr>
            <w:tcW w:w="1073" w:type="pct"/>
            <w:shd w:val="clear" w:color="auto" w:fill="auto"/>
            <w:vAlign w:val="center"/>
          </w:tcPr>
          <w:p w14:paraId="7F18526A" w14:textId="4DB72E92" w:rsidR="00FB6B72" w:rsidRDefault="00FB6B72" w:rsidP="007947DB">
            <w:pPr>
              <w:pStyle w:val="NoSpacing"/>
              <w:jc w:val="left"/>
              <w:rPr>
                <w:rFonts w:ascii="Times New Roman" w:hAnsi="Times New Roman" w:cs="Times New Roman"/>
                <w:szCs w:val="20"/>
              </w:rPr>
            </w:pPr>
            <w:r>
              <w:rPr>
                <w:rFonts w:ascii="Times New Roman" w:hAnsi="Times New Roman" w:cs="Times New Roman" w:hint="eastAsia"/>
                <w:szCs w:val="20"/>
              </w:rPr>
              <w:t>Conjunctivitis</w:t>
            </w:r>
          </w:p>
        </w:tc>
        <w:tc>
          <w:tcPr>
            <w:tcW w:w="616" w:type="pct"/>
            <w:shd w:val="clear" w:color="auto" w:fill="auto"/>
            <w:noWrap/>
            <w:vAlign w:val="center"/>
          </w:tcPr>
          <w:p w14:paraId="631EB985" w14:textId="7F672AEF" w:rsidR="00FB6B72" w:rsidRPr="0029636B" w:rsidRDefault="00FB6B72" w:rsidP="007947DB">
            <w:pPr>
              <w:pStyle w:val="NoSpacing"/>
              <w:jc w:val="center"/>
              <w:rPr>
                <w:rFonts w:ascii="Times New Roman" w:hAnsi="Times New Roman" w:cs="Times New Roman"/>
                <w:szCs w:val="20"/>
              </w:rPr>
            </w:pPr>
            <w:r>
              <w:rPr>
                <w:rFonts w:ascii="Times New Roman" w:hAnsi="Times New Roman" w:cs="Times New Roman" w:hint="eastAsia"/>
                <w:szCs w:val="20"/>
              </w:rPr>
              <w:t>2</w:t>
            </w:r>
          </w:p>
        </w:tc>
        <w:tc>
          <w:tcPr>
            <w:tcW w:w="611" w:type="pct"/>
            <w:vAlign w:val="center"/>
          </w:tcPr>
          <w:p w14:paraId="2CC01DAD" w14:textId="5037FAED" w:rsidR="00FB6B72" w:rsidRPr="0029636B" w:rsidRDefault="00FB6B72" w:rsidP="007947DB">
            <w:pPr>
              <w:pStyle w:val="NoSpacing"/>
              <w:jc w:val="center"/>
              <w:rPr>
                <w:rFonts w:ascii="Times New Roman" w:hAnsi="Times New Roman" w:cs="Times New Roman"/>
                <w:szCs w:val="20"/>
              </w:rPr>
            </w:pPr>
            <w:r>
              <w:rPr>
                <w:rFonts w:ascii="Times New Roman" w:hAnsi="Times New Roman" w:cs="Times New Roman" w:hint="eastAsia"/>
                <w:szCs w:val="20"/>
              </w:rPr>
              <w:t>0.7</w:t>
            </w:r>
          </w:p>
        </w:tc>
        <w:tc>
          <w:tcPr>
            <w:tcW w:w="537" w:type="pct"/>
            <w:shd w:val="clear" w:color="auto" w:fill="auto"/>
            <w:noWrap/>
            <w:vAlign w:val="center"/>
          </w:tcPr>
          <w:p w14:paraId="613F4113" w14:textId="5F7528B5" w:rsidR="00FB6B72" w:rsidRPr="0029636B" w:rsidRDefault="00FB6B72" w:rsidP="007947DB">
            <w:pPr>
              <w:pStyle w:val="NoSpacing"/>
              <w:jc w:val="center"/>
              <w:rPr>
                <w:rFonts w:ascii="Times New Roman" w:hAnsi="Times New Roman" w:cs="Times New Roman"/>
                <w:szCs w:val="20"/>
              </w:rPr>
            </w:pPr>
            <w:r>
              <w:rPr>
                <w:rFonts w:ascii="Times New Roman" w:hAnsi="Times New Roman" w:cs="Times New Roman" w:hint="eastAsia"/>
                <w:szCs w:val="20"/>
              </w:rPr>
              <w:t>5</w:t>
            </w:r>
          </w:p>
        </w:tc>
        <w:tc>
          <w:tcPr>
            <w:tcW w:w="647" w:type="pct"/>
            <w:vAlign w:val="center"/>
          </w:tcPr>
          <w:p w14:paraId="52B05DD4" w14:textId="0BE7AEF6" w:rsidR="00FB6B72" w:rsidRPr="0029636B" w:rsidRDefault="00FB6B72" w:rsidP="007947DB">
            <w:pPr>
              <w:pStyle w:val="NoSpacing"/>
              <w:jc w:val="center"/>
              <w:rPr>
                <w:rFonts w:ascii="Times New Roman" w:hAnsi="Times New Roman" w:cs="Times New Roman"/>
                <w:szCs w:val="20"/>
              </w:rPr>
            </w:pPr>
            <w:r>
              <w:rPr>
                <w:rFonts w:ascii="Times New Roman" w:hAnsi="Times New Roman" w:cs="Times New Roman" w:hint="eastAsia"/>
                <w:szCs w:val="20"/>
              </w:rPr>
              <w:t>1.7</w:t>
            </w:r>
          </w:p>
        </w:tc>
      </w:tr>
      <w:tr w:rsidR="0043133A" w:rsidRPr="0029636B" w14:paraId="7A44F23D" w14:textId="77777777" w:rsidTr="001056E5">
        <w:trPr>
          <w:trHeight w:val="20"/>
        </w:trPr>
        <w:tc>
          <w:tcPr>
            <w:tcW w:w="1516" w:type="pct"/>
            <w:vMerge w:val="restart"/>
            <w:shd w:val="clear" w:color="auto" w:fill="auto"/>
          </w:tcPr>
          <w:p w14:paraId="6A985E17" w14:textId="21294F17" w:rsidR="0043133A" w:rsidRDefault="0043133A" w:rsidP="007947DB">
            <w:pPr>
              <w:pStyle w:val="NoSpacing"/>
              <w:jc w:val="left"/>
              <w:rPr>
                <w:rFonts w:ascii="Times New Roman" w:hAnsi="Times New Roman" w:cs="Times New Roman"/>
                <w:szCs w:val="20"/>
              </w:rPr>
            </w:pPr>
            <w:r>
              <w:rPr>
                <w:rFonts w:ascii="Times New Roman" w:hAnsi="Times New Roman" w:cs="Times New Roman" w:hint="eastAsia"/>
                <w:szCs w:val="20"/>
              </w:rPr>
              <w:t>Gastrointestinal Disorder</w:t>
            </w:r>
          </w:p>
        </w:tc>
        <w:tc>
          <w:tcPr>
            <w:tcW w:w="1073" w:type="pct"/>
            <w:shd w:val="clear" w:color="auto" w:fill="auto"/>
            <w:vAlign w:val="center"/>
          </w:tcPr>
          <w:p w14:paraId="725E7C02" w14:textId="5C7589F8" w:rsidR="0043133A" w:rsidRDefault="0043133A" w:rsidP="007947DB">
            <w:pPr>
              <w:pStyle w:val="NoSpacing"/>
              <w:jc w:val="left"/>
              <w:rPr>
                <w:rFonts w:ascii="Times New Roman" w:hAnsi="Times New Roman" w:cs="Times New Roman"/>
                <w:szCs w:val="20"/>
              </w:rPr>
            </w:pPr>
            <w:r>
              <w:rPr>
                <w:rFonts w:ascii="Times New Roman" w:hAnsi="Times New Roman" w:cs="Times New Roman" w:hint="eastAsia"/>
                <w:szCs w:val="20"/>
              </w:rPr>
              <w:t>Abnormal Pain Upper</w:t>
            </w:r>
          </w:p>
        </w:tc>
        <w:tc>
          <w:tcPr>
            <w:tcW w:w="616" w:type="pct"/>
            <w:shd w:val="clear" w:color="auto" w:fill="auto"/>
            <w:noWrap/>
            <w:vAlign w:val="center"/>
          </w:tcPr>
          <w:p w14:paraId="2DC848E5" w14:textId="255034E0" w:rsidR="0043133A" w:rsidRDefault="0043133A" w:rsidP="007947DB">
            <w:pPr>
              <w:pStyle w:val="NoSpacing"/>
              <w:jc w:val="center"/>
              <w:rPr>
                <w:rFonts w:ascii="Times New Roman" w:hAnsi="Times New Roman" w:cs="Times New Roman"/>
                <w:szCs w:val="20"/>
              </w:rPr>
            </w:pPr>
            <w:r>
              <w:rPr>
                <w:rFonts w:ascii="Times New Roman" w:hAnsi="Times New Roman" w:cs="Times New Roman" w:hint="eastAsia"/>
                <w:szCs w:val="20"/>
              </w:rPr>
              <w:t>4</w:t>
            </w:r>
          </w:p>
        </w:tc>
        <w:tc>
          <w:tcPr>
            <w:tcW w:w="611" w:type="pct"/>
            <w:vAlign w:val="center"/>
          </w:tcPr>
          <w:p w14:paraId="77A14FE1" w14:textId="1743EE93" w:rsidR="0043133A" w:rsidRDefault="0043133A" w:rsidP="007947DB">
            <w:pPr>
              <w:pStyle w:val="NoSpacing"/>
              <w:jc w:val="center"/>
              <w:rPr>
                <w:rFonts w:ascii="Times New Roman" w:hAnsi="Times New Roman" w:cs="Times New Roman"/>
                <w:szCs w:val="20"/>
              </w:rPr>
            </w:pPr>
            <w:r>
              <w:rPr>
                <w:rFonts w:ascii="Times New Roman" w:hAnsi="Times New Roman" w:cs="Times New Roman" w:hint="eastAsia"/>
                <w:szCs w:val="20"/>
              </w:rPr>
              <w:t>1.4</w:t>
            </w:r>
          </w:p>
        </w:tc>
        <w:tc>
          <w:tcPr>
            <w:tcW w:w="537" w:type="pct"/>
            <w:shd w:val="clear" w:color="auto" w:fill="auto"/>
            <w:noWrap/>
            <w:vAlign w:val="center"/>
          </w:tcPr>
          <w:p w14:paraId="02827104" w14:textId="1C745FC6" w:rsidR="0043133A" w:rsidRDefault="0043133A" w:rsidP="007947DB">
            <w:pPr>
              <w:pStyle w:val="NoSpacing"/>
              <w:jc w:val="center"/>
              <w:rPr>
                <w:rFonts w:ascii="Times New Roman" w:hAnsi="Times New Roman" w:cs="Times New Roman"/>
                <w:szCs w:val="20"/>
              </w:rPr>
            </w:pPr>
            <w:r>
              <w:rPr>
                <w:rFonts w:ascii="Times New Roman" w:hAnsi="Times New Roman" w:cs="Times New Roman" w:hint="eastAsia"/>
                <w:szCs w:val="20"/>
              </w:rPr>
              <w:t>6</w:t>
            </w:r>
          </w:p>
        </w:tc>
        <w:tc>
          <w:tcPr>
            <w:tcW w:w="647" w:type="pct"/>
            <w:vAlign w:val="center"/>
          </w:tcPr>
          <w:p w14:paraId="613646BF" w14:textId="378EBDE4" w:rsidR="0043133A" w:rsidRDefault="0043133A" w:rsidP="007947DB">
            <w:pPr>
              <w:pStyle w:val="NoSpacing"/>
              <w:jc w:val="center"/>
              <w:rPr>
                <w:rFonts w:ascii="Times New Roman" w:hAnsi="Times New Roman" w:cs="Times New Roman"/>
                <w:szCs w:val="20"/>
              </w:rPr>
            </w:pPr>
            <w:r>
              <w:rPr>
                <w:rFonts w:ascii="Times New Roman" w:hAnsi="Times New Roman" w:cs="Times New Roman" w:hint="eastAsia"/>
                <w:szCs w:val="20"/>
              </w:rPr>
              <w:t>2.0</w:t>
            </w:r>
          </w:p>
        </w:tc>
      </w:tr>
      <w:tr w:rsidR="0043133A" w:rsidRPr="0029636B" w14:paraId="230E7821" w14:textId="77777777" w:rsidTr="001056E5">
        <w:trPr>
          <w:trHeight w:val="20"/>
        </w:trPr>
        <w:tc>
          <w:tcPr>
            <w:tcW w:w="1516" w:type="pct"/>
            <w:vMerge/>
            <w:shd w:val="clear" w:color="auto" w:fill="auto"/>
          </w:tcPr>
          <w:p w14:paraId="1E0E131E" w14:textId="77777777" w:rsidR="0043133A" w:rsidRDefault="0043133A" w:rsidP="007947DB">
            <w:pPr>
              <w:pStyle w:val="NoSpacing"/>
              <w:jc w:val="left"/>
              <w:rPr>
                <w:rFonts w:ascii="Times New Roman" w:hAnsi="Times New Roman" w:cs="Times New Roman"/>
                <w:szCs w:val="20"/>
              </w:rPr>
            </w:pPr>
          </w:p>
        </w:tc>
        <w:tc>
          <w:tcPr>
            <w:tcW w:w="1073" w:type="pct"/>
            <w:shd w:val="clear" w:color="auto" w:fill="auto"/>
            <w:vAlign w:val="center"/>
          </w:tcPr>
          <w:p w14:paraId="1D0025E4" w14:textId="14302FA0" w:rsidR="0043133A" w:rsidRDefault="0043133A" w:rsidP="007947DB">
            <w:pPr>
              <w:pStyle w:val="NoSpacing"/>
              <w:jc w:val="left"/>
              <w:rPr>
                <w:rFonts w:ascii="Times New Roman" w:hAnsi="Times New Roman" w:cs="Times New Roman"/>
                <w:szCs w:val="20"/>
              </w:rPr>
            </w:pPr>
            <w:r>
              <w:rPr>
                <w:rFonts w:ascii="Times New Roman" w:hAnsi="Times New Roman" w:cs="Times New Roman" w:hint="eastAsia"/>
                <w:szCs w:val="20"/>
              </w:rPr>
              <w:t>Nausea</w:t>
            </w:r>
          </w:p>
        </w:tc>
        <w:tc>
          <w:tcPr>
            <w:tcW w:w="616" w:type="pct"/>
            <w:shd w:val="clear" w:color="auto" w:fill="auto"/>
            <w:noWrap/>
            <w:vAlign w:val="center"/>
          </w:tcPr>
          <w:p w14:paraId="29BA53F3" w14:textId="17581E6F" w:rsidR="0043133A" w:rsidRDefault="0043133A" w:rsidP="007947DB">
            <w:pPr>
              <w:pStyle w:val="NoSpacing"/>
              <w:jc w:val="center"/>
              <w:rPr>
                <w:rFonts w:ascii="Times New Roman" w:hAnsi="Times New Roman" w:cs="Times New Roman"/>
                <w:szCs w:val="20"/>
              </w:rPr>
            </w:pPr>
            <w:r>
              <w:rPr>
                <w:rFonts w:ascii="Times New Roman" w:hAnsi="Times New Roman" w:cs="Times New Roman" w:hint="eastAsia"/>
                <w:szCs w:val="20"/>
              </w:rPr>
              <w:t>4</w:t>
            </w:r>
          </w:p>
        </w:tc>
        <w:tc>
          <w:tcPr>
            <w:tcW w:w="611" w:type="pct"/>
            <w:vAlign w:val="center"/>
          </w:tcPr>
          <w:p w14:paraId="6C336CFD" w14:textId="2A944398" w:rsidR="0043133A" w:rsidRDefault="0043133A" w:rsidP="007947DB">
            <w:pPr>
              <w:pStyle w:val="NoSpacing"/>
              <w:jc w:val="center"/>
              <w:rPr>
                <w:rFonts w:ascii="Times New Roman" w:hAnsi="Times New Roman" w:cs="Times New Roman"/>
                <w:szCs w:val="20"/>
              </w:rPr>
            </w:pPr>
            <w:r>
              <w:rPr>
                <w:rFonts w:ascii="Times New Roman" w:hAnsi="Times New Roman" w:cs="Times New Roman" w:hint="eastAsia"/>
                <w:szCs w:val="20"/>
              </w:rPr>
              <w:t>1.4</w:t>
            </w:r>
          </w:p>
        </w:tc>
        <w:tc>
          <w:tcPr>
            <w:tcW w:w="537" w:type="pct"/>
            <w:shd w:val="clear" w:color="auto" w:fill="auto"/>
            <w:noWrap/>
            <w:vAlign w:val="center"/>
          </w:tcPr>
          <w:p w14:paraId="0BE90C57" w14:textId="71D15A34" w:rsidR="0043133A" w:rsidRDefault="0043133A" w:rsidP="007947DB">
            <w:pPr>
              <w:pStyle w:val="NoSpacing"/>
              <w:jc w:val="center"/>
              <w:rPr>
                <w:rFonts w:ascii="Times New Roman" w:hAnsi="Times New Roman" w:cs="Times New Roman"/>
                <w:szCs w:val="20"/>
              </w:rPr>
            </w:pPr>
            <w:r>
              <w:rPr>
                <w:rFonts w:ascii="Times New Roman" w:hAnsi="Times New Roman" w:cs="Times New Roman" w:hint="eastAsia"/>
                <w:szCs w:val="20"/>
              </w:rPr>
              <w:t>4</w:t>
            </w:r>
          </w:p>
        </w:tc>
        <w:tc>
          <w:tcPr>
            <w:tcW w:w="647" w:type="pct"/>
            <w:vAlign w:val="center"/>
          </w:tcPr>
          <w:p w14:paraId="068B24C6" w14:textId="077E706F" w:rsidR="0043133A" w:rsidRDefault="0043133A" w:rsidP="007947DB">
            <w:pPr>
              <w:pStyle w:val="NoSpacing"/>
              <w:jc w:val="center"/>
              <w:rPr>
                <w:rFonts w:ascii="Times New Roman" w:hAnsi="Times New Roman" w:cs="Times New Roman"/>
                <w:szCs w:val="20"/>
              </w:rPr>
            </w:pPr>
            <w:r>
              <w:rPr>
                <w:rFonts w:ascii="Times New Roman" w:hAnsi="Times New Roman" w:cs="Times New Roman" w:hint="eastAsia"/>
                <w:szCs w:val="20"/>
              </w:rPr>
              <w:t>1.4</w:t>
            </w:r>
          </w:p>
        </w:tc>
      </w:tr>
      <w:tr w:rsidR="0043133A" w:rsidRPr="0029636B" w14:paraId="5233C6D2" w14:textId="77777777" w:rsidTr="001056E5">
        <w:trPr>
          <w:trHeight w:val="20"/>
        </w:trPr>
        <w:tc>
          <w:tcPr>
            <w:tcW w:w="1516" w:type="pct"/>
            <w:vMerge/>
            <w:shd w:val="clear" w:color="auto" w:fill="auto"/>
          </w:tcPr>
          <w:p w14:paraId="59971978" w14:textId="77777777" w:rsidR="0043133A" w:rsidRDefault="0043133A" w:rsidP="007947DB">
            <w:pPr>
              <w:pStyle w:val="NoSpacing"/>
              <w:jc w:val="left"/>
              <w:rPr>
                <w:rFonts w:ascii="Times New Roman" w:hAnsi="Times New Roman" w:cs="Times New Roman"/>
                <w:szCs w:val="20"/>
              </w:rPr>
            </w:pPr>
          </w:p>
        </w:tc>
        <w:tc>
          <w:tcPr>
            <w:tcW w:w="1073" w:type="pct"/>
            <w:shd w:val="clear" w:color="auto" w:fill="auto"/>
            <w:vAlign w:val="center"/>
          </w:tcPr>
          <w:p w14:paraId="14B90004" w14:textId="3E5C5310" w:rsidR="0043133A" w:rsidRDefault="0043133A" w:rsidP="0043133A">
            <w:pPr>
              <w:pStyle w:val="NoSpacing"/>
              <w:jc w:val="left"/>
              <w:rPr>
                <w:rFonts w:ascii="Times New Roman" w:hAnsi="Times New Roman" w:cs="Times New Roman"/>
                <w:szCs w:val="20"/>
              </w:rPr>
            </w:pPr>
            <w:proofErr w:type="spellStart"/>
            <w:r>
              <w:rPr>
                <w:rFonts w:ascii="Times New Roman" w:hAnsi="Times New Roman" w:cs="Times New Roman" w:hint="eastAsia"/>
                <w:szCs w:val="20"/>
              </w:rPr>
              <w:t>Gastrooesophageal</w:t>
            </w:r>
            <w:proofErr w:type="spellEnd"/>
            <w:r>
              <w:rPr>
                <w:rFonts w:ascii="Times New Roman" w:hAnsi="Times New Roman" w:cs="Times New Roman" w:hint="eastAsia"/>
                <w:szCs w:val="20"/>
              </w:rPr>
              <w:t xml:space="preserve"> Reflux Disease</w:t>
            </w:r>
          </w:p>
        </w:tc>
        <w:tc>
          <w:tcPr>
            <w:tcW w:w="616" w:type="pct"/>
            <w:shd w:val="clear" w:color="auto" w:fill="auto"/>
            <w:noWrap/>
            <w:vAlign w:val="center"/>
          </w:tcPr>
          <w:p w14:paraId="184250C1" w14:textId="6198F7B7" w:rsidR="0043133A" w:rsidRDefault="0043133A" w:rsidP="007947DB">
            <w:pPr>
              <w:pStyle w:val="NoSpacing"/>
              <w:jc w:val="center"/>
              <w:rPr>
                <w:rFonts w:ascii="Times New Roman" w:hAnsi="Times New Roman" w:cs="Times New Roman"/>
                <w:szCs w:val="20"/>
              </w:rPr>
            </w:pPr>
            <w:r>
              <w:rPr>
                <w:rFonts w:ascii="Times New Roman" w:hAnsi="Times New Roman" w:cs="Times New Roman" w:hint="eastAsia"/>
                <w:szCs w:val="20"/>
              </w:rPr>
              <w:t>3</w:t>
            </w:r>
          </w:p>
        </w:tc>
        <w:tc>
          <w:tcPr>
            <w:tcW w:w="611" w:type="pct"/>
            <w:vAlign w:val="center"/>
          </w:tcPr>
          <w:p w14:paraId="4320B18A" w14:textId="58D75C0E" w:rsidR="0043133A" w:rsidRDefault="0043133A" w:rsidP="007947DB">
            <w:pPr>
              <w:pStyle w:val="NoSpacing"/>
              <w:jc w:val="center"/>
              <w:rPr>
                <w:rFonts w:ascii="Times New Roman" w:hAnsi="Times New Roman" w:cs="Times New Roman"/>
                <w:szCs w:val="20"/>
              </w:rPr>
            </w:pPr>
            <w:r>
              <w:rPr>
                <w:rFonts w:ascii="Times New Roman" w:hAnsi="Times New Roman" w:cs="Times New Roman" w:hint="eastAsia"/>
                <w:szCs w:val="20"/>
              </w:rPr>
              <w:t>1.0</w:t>
            </w:r>
          </w:p>
        </w:tc>
        <w:tc>
          <w:tcPr>
            <w:tcW w:w="537" w:type="pct"/>
            <w:shd w:val="clear" w:color="auto" w:fill="auto"/>
            <w:noWrap/>
            <w:vAlign w:val="center"/>
          </w:tcPr>
          <w:p w14:paraId="5847C22A" w14:textId="1EA1BA8D" w:rsidR="0043133A" w:rsidRDefault="0043133A" w:rsidP="007947DB">
            <w:pPr>
              <w:pStyle w:val="NoSpacing"/>
              <w:jc w:val="center"/>
              <w:rPr>
                <w:rFonts w:ascii="Times New Roman" w:hAnsi="Times New Roman" w:cs="Times New Roman"/>
                <w:szCs w:val="20"/>
              </w:rPr>
            </w:pPr>
            <w:r>
              <w:rPr>
                <w:rFonts w:ascii="Times New Roman" w:hAnsi="Times New Roman" w:cs="Times New Roman" w:hint="eastAsia"/>
                <w:szCs w:val="20"/>
              </w:rPr>
              <w:t>4</w:t>
            </w:r>
          </w:p>
        </w:tc>
        <w:tc>
          <w:tcPr>
            <w:tcW w:w="647" w:type="pct"/>
            <w:vAlign w:val="center"/>
          </w:tcPr>
          <w:p w14:paraId="53F0A697" w14:textId="3D7E7E3A" w:rsidR="0043133A" w:rsidRDefault="0043133A" w:rsidP="007947DB">
            <w:pPr>
              <w:pStyle w:val="NoSpacing"/>
              <w:jc w:val="center"/>
              <w:rPr>
                <w:rFonts w:ascii="Times New Roman" w:hAnsi="Times New Roman" w:cs="Times New Roman"/>
                <w:szCs w:val="20"/>
              </w:rPr>
            </w:pPr>
            <w:r>
              <w:rPr>
                <w:rFonts w:ascii="Times New Roman" w:hAnsi="Times New Roman" w:cs="Times New Roman" w:hint="eastAsia"/>
                <w:szCs w:val="20"/>
              </w:rPr>
              <w:t>1.4</w:t>
            </w:r>
          </w:p>
        </w:tc>
      </w:tr>
      <w:tr w:rsidR="0043133A" w:rsidRPr="0029636B" w14:paraId="359D54FE" w14:textId="77777777" w:rsidTr="001056E5">
        <w:trPr>
          <w:trHeight w:val="20"/>
        </w:trPr>
        <w:tc>
          <w:tcPr>
            <w:tcW w:w="1516" w:type="pct"/>
            <w:vMerge/>
            <w:shd w:val="clear" w:color="auto" w:fill="auto"/>
          </w:tcPr>
          <w:p w14:paraId="3A302E69" w14:textId="77777777" w:rsidR="0043133A" w:rsidRDefault="0043133A" w:rsidP="007947DB">
            <w:pPr>
              <w:pStyle w:val="NoSpacing"/>
              <w:jc w:val="left"/>
              <w:rPr>
                <w:rFonts w:ascii="Times New Roman" w:hAnsi="Times New Roman" w:cs="Times New Roman"/>
                <w:szCs w:val="20"/>
              </w:rPr>
            </w:pPr>
          </w:p>
        </w:tc>
        <w:tc>
          <w:tcPr>
            <w:tcW w:w="1073" w:type="pct"/>
            <w:shd w:val="clear" w:color="auto" w:fill="auto"/>
            <w:vAlign w:val="center"/>
          </w:tcPr>
          <w:p w14:paraId="65714038" w14:textId="45035520" w:rsidR="0043133A" w:rsidRDefault="0043133A" w:rsidP="007947DB">
            <w:pPr>
              <w:pStyle w:val="NoSpacing"/>
              <w:jc w:val="left"/>
              <w:rPr>
                <w:rFonts w:ascii="Times New Roman" w:hAnsi="Times New Roman" w:cs="Times New Roman"/>
                <w:szCs w:val="20"/>
              </w:rPr>
            </w:pPr>
            <w:r>
              <w:rPr>
                <w:rFonts w:ascii="Times New Roman" w:hAnsi="Times New Roman" w:cs="Times New Roman" w:hint="eastAsia"/>
                <w:szCs w:val="20"/>
              </w:rPr>
              <w:t>Tooth Ache</w:t>
            </w:r>
          </w:p>
        </w:tc>
        <w:tc>
          <w:tcPr>
            <w:tcW w:w="616" w:type="pct"/>
            <w:shd w:val="clear" w:color="auto" w:fill="auto"/>
            <w:noWrap/>
            <w:vAlign w:val="center"/>
          </w:tcPr>
          <w:p w14:paraId="44B98886" w14:textId="7F798020" w:rsidR="0043133A" w:rsidRDefault="0043133A" w:rsidP="007947DB">
            <w:pPr>
              <w:pStyle w:val="NoSpacing"/>
              <w:jc w:val="center"/>
              <w:rPr>
                <w:rFonts w:ascii="Times New Roman" w:hAnsi="Times New Roman" w:cs="Times New Roman"/>
                <w:szCs w:val="20"/>
              </w:rPr>
            </w:pPr>
            <w:r>
              <w:rPr>
                <w:rFonts w:ascii="Times New Roman" w:hAnsi="Times New Roman" w:cs="Times New Roman" w:hint="eastAsia"/>
                <w:szCs w:val="20"/>
              </w:rPr>
              <w:t>3</w:t>
            </w:r>
          </w:p>
        </w:tc>
        <w:tc>
          <w:tcPr>
            <w:tcW w:w="611" w:type="pct"/>
            <w:vAlign w:val="center"/>
          </w:tcPr>
          <w:p w14:paraId="1CB750E7" w14:textId="73355531" w:rsidR="0043133A" w:rsidRDefault="0043133A" w:rsidP="007947DB">
            <w:pPr>
              <w:pStyle w:val="NoSpacing"/>
              <w:jc w:val="center"/>
              <w:rPr>
                <w:rFonts w:ascii="Times New Roman" w:hAnsi="Times New Roman" w:cs="Times New Roman"/>
                <w:szCs w:val="20"/>
              </w:rPr>
            </w:pPr>
            <w:r>
              <w:rPr>
                <w:rFonts w:ascii="Times New Roman" w:hAnsi="Times New Roman" w:cs="Times New Roman" w:hint="eastAsia"/>
                <w:szCs w:val="20"/>
              </w:rPr>
              <w:t>1.0</w:t>
            </w:r>
          </w:p>
        </w:tc>
        <w:tc>
          <w:tcPr>
            <w:tcW w:w="537" w:type="pct"/>
            <w:shd w:val="clear" w:color="auto" w:fill="auto"/>
            <w:noWrap/>
            <w:vAlign w:val="center"/>
          </w:tcPr>
          <w:p w14:paraId="3FA767B0" w14:textId="0B38EC0E" w:rsidR="0043133A" w:rsidRDefault="0043133A" w:rsidP="007947DB">
            <w:pPr>
              <w:pStyle w:val="NoSpacing"/>
              <w:jc w:val="center"/>
              <w:rPr>
                <w:rFonts w:ascii="Times New Roman" w:hAnsi="Times New Roman" w:cs="Times New Roman"/>
                <w:szCs w:val="20"/>
              </w:rPr>
            </w:pPr>
            <w:r>
              <w:rPr>
                <w:rFonts w:ascii="Times New Roman" w:hAnsi="Times New Roman" w:cs="Times New Roman" w:hint="eastAsia"/>
                <w:szCs w:val="20"/>
              </w:rPr>
              <w:t>0</w:t>
            </w:r>
          </w:p>
        </w:tc>
        <w:tc>
          <w:tcPr>
            <w:tcW w:w="647" w:type="pct"/>
            <w:vAlign w:val="center"/>
          </w:tcPr>
          <w:p w14:paraId="1441A681" w14:textId="21C493A7" w:rsidR="0043133A" w:rsidRDefault="0043133A" w:rsidP="007947DB">
            <w:pPr>
              <w:pStyle w:val="NoSpacing"/>
              <w:jc w:val="center"/>
              <w:rPr>
                <w:rFonts w:ascii="Times New Roman" w:hAnsi="Times New Roman" w:cs="Times New Roman"/>
                <w:szCs w:val="20"/>
              </w:rPr>
            </w:pPr>
            <w:r>
              <w:rPr>
                <w:rFonts w:ascii="Times New Roman" w:hAnsi="Times New Roman" w:cs="Times New Roman" w:hint="eastAsia"/>
                <w:szCs w:val="20"/>
              </w:rPr>
              <w:t>0.0</w:t>
            </w:r>
          </w:p>
        </w:tc>
      </w:tr>
      <w:tr w:rsidR="0043133A" w:rsidRPr="0029636B" w14:paraId="234240AF" w14:textId="77777777" w:rsidTr="001056E5">
        <w:trPr>
          <w:trHeight w:val="20"/>
        </w:trPr>
        <w:tc>
          <w:tcPr>
            <w:tcW w:w="1516" w:type="pct"/>
            <w:vMerge/>
            <w:shd w:val="clear" w:color="auto" w:fill="auto"/>
          </w:tcPr>
          <w:p w14:paraId="7F304474" w14:textId="77777777" w:rsidR="0043133A" w:rsidRDefault="0043133A" w:rsidP="007947DB">
            <w:pPr>
              <w:pStyle w:val="NoSpacing"/>
              <w:jc w:val="left"/>
              <w:rPr>
                <w:rFonts w:ascii="Times New Roman" w:hAnsi="Times New Roman" w:cs="Times New Roman"/>
                <w:szCs w:val="20"/>
              </w:rPr>
            </w:pPr>
          </w:p>
        </w:tc>
        <w:tc>
          <w:tcPr>
            <w:tcW w:w="1073" w:type="pct"/>
            <w:shd w:val="clear" w:color="auto" w:fill="auto"/>
            <w:vAlign w:val="center"/>
          </w:tcPr>
          <w:p w14:paraId="79BF0BED" w14:textId="216FE46B" w:rsidR="0043133A" w:rsidRDefault="0043133A" w:rsidP="007947DB">
            <w:pPr>
              <w:pStyle w:val="NoSpacing"/>
              <w:jc w:val="left"/>
              <w:rPr>
                <w:rFonts w:ascii="Times New Roman" w:hAnsi="Times New Roman" w:cs="Times New Roman"/>
                <w:szCs w:val="20"/>
              </w:rPr>
            </w:pPr>
            <w:r>
              <w:rPr>
                <w:rFonts w:ascii="Times New Roman" w:hAnsi="Times New Roman" w:cs="Times New Roman" w:hint="eastAsia"/>
                <w:szCs w:val="20"/>
              </w:rPr>
              <w:t>Abdominal Pain</w:t>
            </w:r>
          </w:p>
        </w:tc>
        <w:tc>
          <w:tcPr>
            <w:tcW w:w="616" w:type="pct"/>
            <w:shd w:val="clear" w:color="auto" w:fill="auto"/>
            <w:noWrap/>
            <w:vAlign w:val="center"/>
          </w:tcPr>
          <w:p w14:paraId="3139719E" w14:textId="5820E828" w:rsidR="0043133A" w:rsidRDefault="0043133A" w:rsidP="007947DB">
            <w:pPr>
              <w:pStyle w:val="NoSpacing"/>
              <w:jc w:val="center"/>
              <w:rPr>
                <w:rFonts w:ascii="Times New Roman" w:hAnsi="Times New Roman" w:cs="Times New Roman"/>
                <w:szCs w:val="20"/>
              </w:rPr>
            </w:pPr>
            <w:r>
              <w:rPr>
                <w:rFonts w:ascii="Times New Roman" w:hAnsi="Times New Roman" w:cs="Times New Roman" w:hint="eastAsia"/>
                <w:szCs w:val="20"/>
              </w:rPr>
              <w:t>2</w:t>
            </w:r>
          </w:p>
        </w:tc>
        <w:tc>
          <w:tcPr>
            <w:tcW w:w="611" w:type="pct"/>
            <w:vAlign w:val="center"/>
          </w:tcPr>
          <w:p w14:paraId="03C8913F" w14:textId="5C4BC423" w:rsidR="0043133A" w:rsidRDefault="0043133A" w:rsidP="007947DB">
            <w:pPr>
              <w:pStyle w:val="NoSpacing"/>
              <w:jc w:val="center"/>
              <w:rPr>
                <w:rFonts w:ascii="Times New Roman" w:hAnsi="Times New Roman" w:cs="Times New Roman"/>
                <w:szCs w:val="20"/>
              </w:rPr>
            </w:pPr>
            <w:r>
              <w:rPr>
                <w:rFonts w:ascii="Times New Roman" w:hAnsi="Times New Roman" w:cs="Times New Roman" w:hint="eastAsia"/>
                <w:szCs w:val="20"/>
              </w:rPr>
              <w:t>0.7</w:t>
            </w:r>
          </w:p>
        </w:tc>
        <w:tc>
          <w:tcPr>
            <w:tcW w:w="537" w:type="pct"/>
            <w:shd w:val="clear" w:color="auto" w:fill="auto"/>
            <w:noWrap/>
            <w:vAlign w:val="center"/>
          </w:tcPr>
          <w:p w14:paraId="4078BF01" w14:textId="1D6FEDCA" w:rsidR="0043133A" w:rsidRDefault="0043133A" w:rsidP="007947DB">
            <w:pPr>
              <w:pStyle w:val="NoSpacing"/>
              <w:jc w:val="center"/>
              <w:rPr>
                <w:rFonts w:ascii="Times New Roman" w:hAnsi="Times New Roman" w:cs="Times New Roman"/>
                <w:szCs w:val="20"/>
              </w:rPr>
            </w:pPr>
            <w:r>
              <w:rPr>
                <w:rFonts w:ascii="Times New Roman" w:hAnsi="Times New Roman" w:cs="Times New Roman" w:hint="eastAsia"/>
                <w:szCs w:val="20"/>
              </w:rPr>
              <w:t>3</w:t>
            </w:r>
          </w:p>
        </w:tc>
        <w:tc>
          <w:tcPr>
            <w:tcW w:w="647" w:type="pct"/>
            <w:vAlign w:val="center"/>
          </w:tcPr>
          <w:p w14:paraId="73446E24" w14:textId="329419F6" w:rsidR="0043133A" w:rsidRDefault="0043133A" w:rsidP="007947DB">
            <w:pPr>
              <w:pStyle w:val="NoSpacing"/>
              <w:jc w:val="center"/>
              <w:rPr>
                <w:rFonts w:ascii="Times New Roman" w:hAnsi="Times New Roman" w:cs="Times New Roman"/>
                <w:szCs w:val="20"/>
              </w:rPr>
            </w:pPr>
            <w:r>
              <w:rPr>
                <w:rFonts w:ascii="Times New Roman" w:hAnsi="Times New Roman" w:cs="Times New Roman" w:hint="eastAsia"/>
                <w:szCs w:val="20"/>
              </w:rPr>
              <w:t>1.0</w:t>
            </w:r>
          </w:p>
        </w:tc>
      </w:tr>
      <w:tr w:rsidR="0043133A" w:rsidRPr="0029636B" w14:paraId="20F9AE07" w14:textId="77777777" w:rsidTr="001056E5">
        <w:trPr>
          <w:trHeight w:val="20"/>
        </w:trPr>
        <w:tc>
          <w:tcPr>
            <w:tcW w:w="1516" w:type="pct"/>
            <w:vMerge/>
            <w:shd w:val="clear" w:color="auto" w:fill="auto"/>
          </w:tcPr>
          <w:p w14:paraId="2BCBCFA1" w14:textId="77777777" w:rsidR="0043133A" w:rsidRDefault="0043133A" w:rsidP="007947DB">
            <w:pPr>
              <w:pStyle w:val="NoSpacing"/>
              <w:jc w:val="left"/>
              <w:rPr>
                <w:rFonts w:ascii="Times New Roman" w:hAnsi="Times New Roman" w:cs="Times New Roman"/>
                <w:szCs w:val="20"/>
              </w:rPr>
            </w:pPr>
          </w:p>
        </w:tc>
        <w:tc>
          <w:tcPr>
            <w:tcW w:w="1073" w:type="pct"/>
            <w:shd w:val="clear" w:color="auto" w:fill="auto"/>
            <w:vAlign w:val="center"/>
          </w:tcPr>
          <w:p w14:paraId="44E916B3" w14:textId="74C84A8A" w:rsidR="0043133A" w:rsidRDefault="0043133A" w:rsidP="007947DB">
            <w:pPr>
              <w:pStyle w:val="NoSpacing"/>
              <w:jc w:val="left"/>
              <w:rPr>
                <w:rFonts w:ascii="Times New Roman" w:hAnsi="Times New Roman" w:cs="Times New Roman"/>
                <w:szCs w:val="20"/>
              </w:rPr>
            </w:pPr>
            <w:proofErr w:type="spellStart"/>
            <w:r>
              <w:rPr>
                <w:rFonts w:ascii="Times New Roman" w:hAnsi="Times New Roman" w:cs="Times New Roman" w:hint="eastAsia"/>
                <w:szCs w:val="20"/>
              </w:rPr>
              <w:t>Diarrhoea</w:t>
            </w:r>
            <w:proofErr w:type="spellEnd"/>
          </w:p>
        </w:tc>
        <w:tc>
          <w:tcPr>
            <w:tcW w:w="616" w:type="pct"/>
            <w:shd w:val="clear" w:color="auto" w:fill="auto"/>
            <w:noWrap/>
            <w:vAlign w:val="center"/>
          </w:tcPr>
          <w:p w14:paraId="3D18A83F" w14:textId="6415F6F6" w:rsidR="0043133A" w:rsidRDefault="0043133A" w:rsidP="007947DB">
            <w:pPr>
              <w:pStyle w:val="NoSpacing"/>
              <w:jc w:val="center"/>
              <w:rPr>
                <w:rFonts w:ascii="Times New Roman" w:hAnsi="Times New Roman" w:cs="Times New Roman"/>
                <w:szCs w:val="20"/>
              </w:rPr>
            </w:pPr>
            <w:r>
              <w:rPr>
                <w:rFonts w:ascii="Times New Roman" w:hAnsi="Times New Roman" w:cs="Times New Roman" w:hint="eastAsia"/>
                <w:szCs w:val="20"/>
              </w:rPr>
              <w:t>1</w:t>
            </w:r>
          </w:p>
        </w:tc>
        <w:tc>
          <w:tcPr>
            <w:tcW w:w="611" w:type="pct"/>
            <w:vAlign w:val="center"/>
          </w:tcPr>
          <w:p w14:paraId="75FB3CD8" w14:textId="6B30A311" w:rsidR="0043133A" w:rsidRDefault="0043133A" w:rsidP="007947DB">
            <w:pPr>
              <w:pStyle w:val="NoSpacing"/>
              <w:jc w:val="center"/>
              <w:rPr>
                <w:rFonts w:ascii="Times New Roman" w:hAnsi="Times New Roman" w:cs="Times New Roman"/>
                <w:szCs w:val="20"/>
              </w:rPr>
            </w:pPr>
            <w:r>
              <w:rPr>
                <w:rFonts w:ascii="Times New Roman" w:hAnsi="Times New Roman" w:cs="Times New Roman" w:hint="eastAsia"/>
                <w:szCs w:val="20"/>
              </w:rPr>
              <w:t>0.3</w:t>
            </w:r>
          </w:p>
        </w:tc>
        <w:tc>
          <w:tcPr>
            <w:tcW w:w="537" w:type="pct"/>
            <w:shd w:val="clear" w:color="auto" w:fill="auto"/>
            <w:noWrap/>
            <w:vAlign w:val="center"/>
          </w:tcPr>
          <w:p w14:paraId="425A2101" w14:textId="7FA2A66D" w:rsidR="0043133A" w:rsidRDefault="0043133A" w:rsidP="007947DB">
            <w:pPr>
              <w:pStyle w:val="NoSpacing"/>
              <w:jc w:val="center"/>
              <w:rPr>
                <w:rFonts w:ascii="Times New Roman" w:hAnsi="Times New Roman" w:cs="Times New Roman"/>
                <w:szCs w:val="20"/>
              </w:rPr>
            </w:pPr>
            <w:r>
              <w:rPr>
                <w:rFonts w:ascii="Times New Roman" w:hAnsi="Times New Roman" w:cs="Times New Roman" w:hint="eastAsia"/>
                <w:szCs w:val="20"/>
              </w:rPr>
              <w:t>4</w:t>
            </w:r>
          </w:p>
        </w:tc>
        <w:tc>
          <w:tcPr>
            <w:tcW w:w="647" w:type="pct"/>
            <w:vAlign w:val="center"/>
          </w:tcPr>
          <w:p w14:paraId="16B10AD8" w14:textId="5DA987A0" w:rsidR="0043133A" w:rsidRDefault="0043133A" w:rsidP="007947DB">
            <w:pPr>
              <w:pStyle w:val="NoSpacing"/>
              <w:jc w:val="center"/>
              <w:rPr>
                <w:rFonts w:ascii="Times New Roman" w:hAnsi="Times New Roman" w:cs="Times New Roman"/>
                <w:szCs w:val="20"/>
              </w:rPr>
            </w:pPr>
            <w:r>
              <w:rPr>
                <w:rFonts w:ascii="Times New Roman" w:hAnsi="Times New Roman" w:cs="Times New Roman" w:hint="eastAsia"/>
                <w:szCs w:val="20"/>
              </w:rPr>
              <w:t>1.4</w:t>
            </w:r>
          </w:p>
        </w:tc>
      </w:tr>
      <w:tr w:rsidR="0043133A" w:rsidRPr="0029636B" w14:paraId="76CD0388" w14:textId="77777777" w:rsidTr="001056E5">
        <w:trPr>
          <w:trHeight w:val="20"/>
        </w:trPr>
        <w:tc>
          <w:tcPr>
            <w:tcW w:w="1516" w:type="pct"/>
            <w:vMerge/>
            <w:shd w:val="clear" w:color="auto" w:fill="auto"/>
          </w:tcPr>
          <w:p w14:paraId="6C612C95" w14:textId="77777777" w:rsidR="0043133A" w:rsidRDefault="0043133A" w:rsidP="007947DB">
            <w:pPr>
              <w:pStyle w:val="NoSpacing"/>
              <w:jc w:val="left"/>
              <w:rPr>
                <w:rFonts w:ascii="Times New Roman" w:hAnsi="Times New Roman" w:cs="Times New Roman"/>
                <w:szCs w:val="20"/>
              </w:rPr>
            </w:pPr>
          </w:p>
        </w:tc>
        <w:tc>
          <w:tcPr>
            <w:tcW w:w="1073" w:type="pct"/>
            <w:shd w:val="clear" w:color="auto" w:fill="auto"/>
            <w:vAlign w:val="center"/>
          </w:tcPr>
          <w:p w14:paraId="66F83608" w14:textId="4D1193C1" w:rsidR="0043133A" w:rsidRDefault="0043133A" w:rsidP="007947DB">
            <w:pPr>
              <w:pStyle w:val="NoSpacing"/>
              <w:jc w:val="left"/>
              <w:rPr>
                <w:rFonts w:ascii="Times New Roman" w:hAnsi="Times New Roman" w:cs="Times New Roman"/>
                <w:szCs w:val="20"/>
              </w:rPr>
            </w:pPr>
            <w:r>
              <w:rPr>
                <w:rFonts w:ascii="Times New Roman" w:hAnsi="Times New Roman" w:cs="Times New Roman" w:hint="eastAsia"/>
                <w:szCs w:val="20"/>
              </w:rPr>
              <w:t>Dyspepsia</w:t>
            </w:r>
          </w:p>
        </w:tc>
        <w:tc>
          <w:tcPr>
            <w:tcW w:w="616" w:type="pct"/>
            <w:shd w:val="clear" w:color="auto" w:fill="auto"/>
            <w:noWrap/>
            <w:vAlign w:val="center"/>
          </w:tcPr>
          <w:p w14:paraId="5B3DABF1" w14:textId="6533505F" w:rsidR="0043133A" w:rsidRDefault="0043133A" w:rsidP="007947DB">
            <w:pPr>
              <w:pStyle w:val="NoSpacing"/>
              <w:jc w:val="center"/>
              <w:rPr>
                <w:rFonts w:ascii="Times New Roman" w:hAnsi="Times New Roman" w:cs="Times New Roman"/>
                <w:szCs w:val="20"/>
              </w:rPr>
            </w:pPr>
            <w:r>
              <w:rPr>
                <w:rFonts w:ascii="Times New Roman" w:hAnsi="Times New Roman" w:cs="Times New Roman" w:hint="eastAsia"/>
                <w:szCs w:val="20"/>
              </w:rPr>
              <w:t>1</w:t>
            </w:r>
          </w:p>
        </w:tc>
        <w:tc>
          <w:tcPr>
            <w:tcW w:w="611" w:type="pct"/>
            <w:vAlign w:val="center"/>
          </w:tcPr>
          <w:p w14:paraId="67FA30FD" w14:textId="7C9F4944" w:rsidR="0043133A" w:rsidRDefault="0043133A" w:rsidP="007947DB">
            <w:pPr>
              <w:pStyle w:val="NoSpacing"/>
              <w:jc w:val="center"/>
              <w:rPr>
                <w:rFonts w:ascii="Times New Roman" w:hAnsi="Times New Roman" w:cs="Times New Roman"/>
                <w:szCs w:val="20"/>
              </w:rPr>
            </w:pPr>
            <w:r>
              <w:rPr>
                <w:rFonts w:ascii="Times New Roman" w:hAnsi="Times New Roman" w:cs="Times New Roman" w:hint="eastAsia"/>
                <w:szCs w:val="20"/>
              </w:rPr>
              <w:t>0.3</w:t>
            </w:r>
          </w:p>
        </w:tc>
        <w:tc>
          <w:tcPr>
            <w:tcW w:w="537" w:type="pct"/>
            <w:shd w:val="clear" w:color="auto" w:fill="auto"/>
            <w:noWrap/>
            <w:vAlign w:val="center"/>
          </w:tcPr>
          <w:p w14:paraId="04363E18" w14:textId="41B37FD5" w:rsidR="0043133A" w:rsidRDefault="0043133A" w:rsidP="007947DB">
            <w:pPr>
              <w:pStyle w:val="NoSpacing"/>
              <w:jc w:val="center"/>
              <w:rPr>
                <w:rFonts w:ascii="Times New Roman" w:hAnsi="Times New Roman" w:cs="Times New Roman"/>
                <w:szCs w:val="20"/>
              </w:rPr>
            </w:pPr>
            <w:r>
              <w:rPr>
                <w:rFonts w:ascii="Times New Roman" w:hAnsi="Times New Roman" w:cs="Times New Roman" w:hint="eastAsia"/>
                <w:szCs w:val="20"/>
              </w:rPr>
              <w:t>7</w:t>
            </w:r>
          </w:p>
        </w:tc>
        <w:tc>
          <w:tcPr>
            <w:tcW w:w="647" w:type="pct"/>
            <w:vAlign w:val="center"/>
          </w:tcPr>
          <w:p w14:paraId="2FF8CC94" w14:textId="549480E7" w:rsidR="0043133A" w:rsidRDefault="0043133A" w:rsidP="007947DB">
            <w:pPr>
              <w:pStyle w:val="NoSpacing"/>
              <w:jc w:val="center"/>
              <w:rPr>
                <w:rFonts w:ascii="Times New Roman" w:hAnsi="Times New Roman" w:cs="Times New Roman"/>
                <w:szCs w:val="20"/>
              </w:rPr>
            </w:pPr>
            <w:r>
              <w:rPr>
                <w:rFonts w:ascii="Times New Roman" w:hAnsi="Times New Roman" w:cs="Times New Roman" w:hint="eastAsia"/>
                <w:szCs w:val="20"/>
              </w:rPr>
              <w:t>2.4</w:t>
            </w:r>
          </w:p>
        </w:tc>
      </w:tr>
      <w:tr w:rsidR="0043133A" w:rsidRPr="0029636B" w14:paraId="2A492F0B" w14:textId="77777777" w:rsidTr="001056E5">
        <w:trPr>
          <w:trHeight w:val="20"/>
        </w:trPr>
        <w:tc>
          <w:tcPr>
            <w:tcW w:w="1516" w:type="pct"/>
            <w:vMerge/>
            <w:shd w:val="clear" w:color="auto" w:fill="auto"/>
          </w:tcPr>
          <w:p w14:paraId="50A7B91D" w14:textId="77777777" w:rsidR="0043133A" w:rsidRDefault="0043133A" w:rsidP="007947DB">
            <w:pPr>
              <w:pStyle w:val="NoSpacing"/>
              <w:jc w:val="left"/>
              <w:rPr>
                <w:rFonts w:ascii="Times New Roman" w:hAnsi="Times New Roman" w:cs="Times New Roman"/>
                <w:szCs w:val="20"/>
              </w:rPr>
            </w:pPr>
          </w:p>
        </w:tc>
        <w:tc>
          <w:tcPr>
            <w:tcW w:w="1073" w:type="pct"/>
            <w:shd w:val="clear" w:color="auto" w:fill="auto"/>
            <w:vAlign w:val="center"/>
          </w:tcPr>
          <w:p w14:paraId="4D755DA2" w14:textId="1B25AB5B" w:rsidR="0043133A" w:rsidRDefault="0043133A" w:rsidP="007947DB">
            <w:pPr>
              <w:pStyle w:val="NoSpacing"/>
              <w:jc w:val="left"/>
              <w:rPr>
                <w:rFonts w:ascii="Times New Roman" w:hAnsi="Times New Roman" w:cs="Times New Roman"/>
                <w:szCs w:val="20"/>
              </w:rPr>
            </w:pPr>
            <w:r>
              <w:rPr>
                <w:rFonts w:ascii="Times New Roman" w:hAnsi="Times New Roman" w:cs="Times New Roman" w:hint="eastAsia"/>
                <w:szCs w:val="20"/>
              </w:rPr>
              <w:t>Gastritis</w:t>
            </w:r>
          </w:p>
        </w:tc>
        <w:tc>
          <w:tcPr>
            <w:tcW w:w="616" w:type="pct"/>
            <w:shd w:val="clear" w:color="auto" w:fill="auto"/>
            <w:noWrap/>
            <w:vAlign w:val="center"/>
          </w:tcPr>
          <w:p w14:paraId="2A95F05C" w14:textId="4A2530B0" w:rsidR="0043133A" w:rsidRDefault="0043133A" w:rsidP="007947DB">
            <w:pPr>
              <w:pStyle w:val="NoSpacing"/>
              <w:jc w:val="center"/>
              <w:rPr>
                <w:rFonts w:ascii="Times New Roman" w:hAnsi="Times New Roman" w:cs="Times New Roman"/>
                <w:szCs w:val="20"/>
              </w:rPr>
            </w:pPr>
            <w:r>
              <w:rPr>
                <w:rFonts w:ascii="Times New Roman" w:hAnsi="Times New Roman" w:cs="Times New Roman" w:hint="eastAsia"/>
                <w:szCs w:val="20"/>
              </w:rPr>
              <w:t>1</w:t>
            </w:r>
          </w:p>
        </w:tc>
        <w:tc>
          <w:tcPr>
            <w:tcW w:w="611" w:type="pct"/>
            <w:vAlign w:val="center"/>
          </w:tcPr>
          <w:p w14:paraId="5532D176" w14:textId="11CC32C6" w:rsidR="0043133A" w:rsidRDefault="0043133A" w:rsidP="007947DB">
            <w:pPr>
              <w:pStyle w:val="NoSpacing"/>
              <w:jc w:val="center"/>
              <w:rPr>
                <w:rFonts w:ascii="Times New Roman" w:hAnsi="Times New Roman" w:cs="Times New Roman"/>
                <w:szCs w:val="20"/>
              </w:rPr>
            </w:pPr>
            <w:r>
              <w:rPr>
                <w:rFonts w:ascii="Times New Roman" w:hAnsi="Times New Roman" w:cs="Times New Roman" w:hint="eastAsia"/>
                <w:szCs w:val="20"/>
              </w:rPr>
              <w:t>0.3</w:t>
            </w:r>
          </w:p>
        </w:tc>
        <w:tc>
          <w:tcPr>
            <w:tcW w:w="537" w:type="pct"/>
            <w:shd w:val="clear" w:color="auto" w:fill="auto"/>
            <w:noWrap/>
            <w:vAlign w:val="center"/>
          </w:tcPr>
          <w:p w14:paraId="199A861E" w14:textId="6546B1A7" w:rsidR="0043133A" w:rsidRDefault="0043133A" w:rsidP="007947DB">
            <w:pPr>
              <w:pStyle w:val="NoSpacing"/>
              <w:jc w:val="center"/>
              <w:rPr>
                <w:rFonts w:ascii="Times New Roman" w:hAnsi="Times New Roman" w:cs="Times New Roman"/>
                <w:szCs w:val="20"/>
              </w:rPr>
            </w:pPr>
            <w:r>
              <w:rPr>
                <w:rFonts w:ascii="Times New Roman" w:hAnsi="Times New Roman" w:cs="Times New Roman" w:hint="eastAsia"/>
                <w:szCs w:val="20"/>
              </w:rPr>
              <w:t>3</w:t>
            </w:r>
          </w:p>
        </w:tc>
        <w:tc>
          <w:tcPr>
            <w:tcW w:w="647" w:type="pct"/>
            <w:vAlign w:val="center"/>
          </w:tcPr>
          <w:p w14:paraId="5817F61A" w14:textId="2B699939" w:rsidR="0043133A" w:rsidRDefault="0043133A" w:rsidP="007947DB">
            <w:pPr>
              <w:pStyle w:val="NoSpacing"/>
              <w:jc w:val="center"/>
              <w:rPr>
                <w:rFonts w:ascii="Times New Roman" w:hAnsi="Times New Roman" w:cs="Times New Roman"/>
                <w:szCs w:val="20"/>
              </w:rPr>
            </w:pPr>
            <w:r>
              <w:rPr>
                <w:rFonts w:ascii="Times New Roman" w:hAnsi="Times New Roman" w:cs="Times New Roman" w:hint="eastAsia"/>
                <w:szCs w:val="20"/>
              </w:rPr>
              <w:t>1.0</w:t>
            </w:r>
          </w:p>
        </w:tc>
      </w:tr>
      <w:tr w:rsidR="0043133A" w:rsidRPr="0029636B" w14:paraId="1DFCC3CB" w14:textId="77777777" w:rsidTr="0043133A">
        <w:trPr>
          <w:trHeight w:val="20"/>
        </w:trPr>
        <w:tc>
          <w:tcPr>
            <w:tcW w:w="1516" w:type="pct"/>
            <w:vMerge w:val="restart"/>
            <w:shd w:val="clear" w:color="auto" w:fill="auto"/>
            <w:hideMark/>
          </w:tcPr>
          <w:p w14:paraId="19BFC0EA" w14:textId="77777777" w:rsidR="0043133A" w:rsidRPr="0029636B" w:rsidRDefault="0043133A" w:rsidP="007947DB">
            <w:pPr>
              <w:pStyle w:val="NoSpacing"/>
              <w:jc w:val="left"/>
              <w:rPr>
                <w:rFonts w:ascii="Times New Roman" w:hAnsi="Times New Roman" w:cs="Times New Roman"/>
                <w:szCs w:val="20"/>
              </w:rPr>
            </w:pPr>
            <w:r w:rsidRPr="0029636B">
              <w:rPr>
                <w:rFonts w:ascii="Times New Roman" w:hAnsi="Times New Roman" w:cs="Times New Roman"/>
                <w:szCs w:val="20"/>
              </w:rPr>
              <w:t>General Disorders and Administration Site Conditions</w:t>
            </w:r>
          </w:p>
        </w:tc>
        <w:tc>
          <w:tcPr>
            <w:tcW w:w="1073" w:type="pct"/>
            <w:shd w:val="clear" w:color="auto" w:fill="auto"/>
            <w:vAlign w:val="center"/>
          </w:tcPr>
          <w:p w14:paraId="6C589F15" w14:textId="062ED81B" w:rsidR="0043133A" w:rsidRPr="0029636B" w:rsidRDefault="0043133A" w:rsidP="007947DB">
            <w:pPr>
              <w:pStyle w:val="NoSpacing"/>
              <w:jc w:val="left"/>
              <w:rPr>
                <w:rFonts w:ascii="Times New Roman" w:hAnsi="Times New Roman" w:cs="Times New Roman"/>
                <w:szCs w:val="20"/>
              </w:rPr>
            </w:pPr>
            <w:r>
              <w:rPr>
                <w:rFonts w:ascii="Times New Roman" w:hAnsi="Times New Roman" w:cs="Times New Roman" w:hint="eastAsia"/>
                <w:szCs w:val="20"/>
              </w:rPr>
              <w:t>Chest Pain</w:t>
            </w:r>
          </w:p>
        </w:tc>
        <w:tc>
          <w:tcPr>
            <w:tcW w:w="616" w:type="pct"/>
            <w:shd w:val="clear" w:color="auto" w:fill="auto"/>
            <w:noWrap/>
            <w:vAlign w:val="center"/>
          </w:tcPr>
          <w:p w14:paraId="1EDBCCCF" w14:textId="4E2538B5" w:rsidR="0043133A" w:rsidRPr="0029636B" w:rsidRDefault="0043133A" w:rsidP="007947DB">
            <w:pPr>
              <w:pStyle w:val="NoSpacing"/>
              <w:jc w:val="center"/>
              <w:rPr>
                <w:rFonts w:ascii="Times New Roman" w:hAnsi="Times New Roman" w:cs="Times New Roman"/>
                <w:szCs w:val="20"/>
              </w:rPr>
            </w:pPr>
            <w:r>
              <w:rPr>
                <w:rFonts w:ascii="Times New Roman" w:hAnsi="Times New Roman" w:cs="Times New Roman" w:hint="eastAsia"/>
                <w:szCs w:val="20"/>
              </w:rPr>
              <w:t>3</w:t>
            </w:r>
          </w:p>
        </w:tc>
        <w:tc>
          <w:tcPr>
            <w:tcW w:w="611" w:type="pct"/>
            <w:vAlign w:val="center"/>
          </w:tcPr>
          <w:p w14:paraId="714CF57E" w14:textId="04FD5ABD" w:rsidR="0043133A" w:rsidRPr="0029636B" w:rsidRDefault="0043133A" w:rsidP="007947DB">
            <w:pPr>
              <w:pStyle w:val="NoSpacing"/>
              <w:jc w:val="center"/>
              <w:rPr>
                <w:rFonts w:ascii="Times New Roman" w:hAnsi="Times New Roman" w:cs="Times New Roman"/>
                <w:szCs w:val="20"/>
              </w:rPr>
            </w:pPr>
            <w:r>
              <w:rPr>
                <w:rFonts w:ascii="Times New Roman" w:hAnsi="Times New Roman" w:cs="Times New Roman" w:hint="eastAsia"/>
                <w:szCs w:val="20"/>
              </w:rPr>
              <w:t>1.0</w:t>
            </w:r>
          </w:p>
        </w:tc>
        <w:tc>
          <w:tcPr>
            <w:tcW w:w="537" w:type="pct"/>
            <w:shd w:val="clear" w:color="auto" w:fill="auto"/>
            <w:noWrap/>
            <w:vAlign w:val="center"/>
          </w:tcPr>
          <w:p w14:paraId="3072C9E0" w14:textId="068EB61E" w:rsidR="0043133A" w:rsidRPr="0029636B" w:rsidRDefault="0043133A" w:rsidP="007947DB">
            <w:pPr>
              <w:pStyle w:val="NoSpacing"/>
              <w:jc w:val="center"/>
              <w:rPr>
                <w:rFonts w:ascii="Times New Roman" w:hAnsi="Times New Roman" w:cs="Times New Roman"/>
                <w:szCs w:val="20"/>
              </w:rPr>
            </w:pPr>
            <w:r>
              <w:rPr>
                <w:rFonts w:ascii="Times New Roman" w:hAnsi="Times New Roman" w:cs="Times New Roman" w:hint="eastAsia"/>
                <w:szCs w:val="20"/>
              </w:rPr>
              <w:t>0</w:t>
            </w:r>
          </w:p>
        </w:tc>
        <w:tc>
          <w:tcPr>
            <w:tcW w:w="647" w:type="pct"/>
            <w:vAlign w:val="center"/>
          </w:tcPr>
          <w:p w14:paraId="3EB76DD1" w14:textId="2BED4BE1" w:rsidR="0043133A" w:rsidRPr="0029636B" w:rsidRDefault="0043133A" w:rsidP="007947DB">
            <w:pPr>
              <w:pStyle w:val="NoSpacing"/>
              <w:jc w:val="center"/>
              <w:rPr>
                <w:rFonts w:ascii="Times New Roman" w:hAnsi="Times New Roman" w:cs="Times New Roman"/>
                <w:szCs w:val="20"/>
              </w:rPr>
            </w:pPr>
            <w:r>
              <w:rPr>
                <w:rFonts w:ascii="Times New Roman" w:hAnsi="Times New Roman" w:cs="Times New Roman" w:hint="eastAsia"/>
                <w:szCs w:val="20"/>
              </w:rPr>
              <w:t>0.0</w:t>
            </w:r>
          </w:p>
        </w:tc>
      </w:tr>
      <w:tr w:rsidR="0043133A" w:rsidRPr="0029636B" w14:paraId="6BC13C46" w14:textId="77777777" w:rsidTr="001056E5">
        <w:trPr>
          <w:trHeight w:val="20"/>
        </w:trPr>
        <w:tc>
          <w:tcPr>
            <w:tcW w:w="1516" w:type="pct"/>
            <w:vMerge/>
            <w:shd w:val="clear" w:color="auto" w:fill="auto"/>
          </w:tcPr>
          <w:p w14:paraId="036C512B" w14:textId="77777777" w:rsidR="0043133A" w:rsidRPr="0029636B" w:rsidRDefault="0043133A" w:rsidP="007947DB">
            <w:pPr>
              <w:pStyle w:val="NoSpacing"/>
              <w:jc w:val="left"/>
              <w:rPr>
                <w:rFonts w:ascii="Times New Roman" w:hAnsi="Times New Roman" w:cs="Times New Roman"/>
                <w:szCs w:val="20"/>
              </w:rPr>
            </w:pPr>
          </w:p>
        </w:tc>
        <w:tc>
          <w:tcPr>
            <w:tcW w:w="1073" w:type="pct"/>
            <w:shd w:val="clear" w:color="auto" w:fill="auto"/>
            <w:vAlign w:val="center"/>
          </w:tcPr>
          <w:p w14:paraId="6D72995D" w14:textId="519FAB7D" w:rsidR="0043133A" w:rsidRPr="0029636B" w:rsidRDefault="0043133A" w:rsidP="007947DB">
            <w:pPr>
              <w:pStyle w:val="NoSpacing"/>
              <w:jc w:val="left"/>
              <w:rPr>
                <w:rFonts w:ascii="Times New Roman" w:hAnsi="Times New Roman" w:cs="Times New Roman"/>
                <w:szCs w:val="20"/>
              </w:rPr>
            </w:pPr>
            <w:r w:rsidRPr="0029636B">
              <w:rPr>
                <w:rFonts w:ascii="Times New Roman" w:hAnsi="Times New Roman" w:cs="Times New Roman"/>
                <w:szCs w:val="20"/>
              </w:rPr>
              <w:t>Chills</w:t>
            </w:r>
          </w:p>
        </w:tc>
        <w:tc>
          <w:tcPr>
            <w:tcW w:w="616" w:type="pct"/>
            <w:shd w:val="clear" w:color="auto" w:fill="auto"/>
            <w:noWrap/>
            <w:vAlign w:val="center"/>
          </w:tcPr>
          <w:p w14:paraId="60726E35" w14:textId="7582BE10" w:rsidR="0043133A" w:rsidRPr="0029636B" w:rsidRDefault="0043133A" w:rsidP="007947DB">
            <w:pPr>
              <w:pStyle w:val="NoSpacing"/>
              <w:jc w:val="center"/>
              <w:rPr>
                <w:rFonts w:ascii="Times New Roman" w:hAnsi="Times New Roman" w:cs="Times New Roman"/>
                <w:szCs w:val="20"/>
              </w:rPr>
            </w:pPr>
            <w:r w:rsidRPr="0029636B">
              <w:rPr>
                <w:rFonts w:ascii="Times New Roman" w:hAnsi="Times New Roman" w:cs="Times New Roman"/>
                <w:szCs w:val="20"/>
              </w:rPr>
              <w:t>3</w:t>
            </w:r>
          </w:p>
        </w:tc>
        <w:tc>
          <w:tcPr>
            <w:tcW w:w="611" w:type="pct"/>
            <w:vAlign w:val="center"/>
          </w:tcPr>
          <w:p w14:paraId="20FAD6F9" w14:textId="33C25BFB" w:rsidR="0043133A" w:rsidRPr="0029636B" w:rsidRDefault="0043133A" w:rsidP="007947DB">
            <w:pPr>
              <w:pStyle w:val="NoSpacing"/>
              <w:jc w:val="center"/>
              <w:rPr>
                <w:rFonts w:ascii="Times New Roman" w:hAnsi="Times New Roman" w:cs="Times New Roman"/>
                <w:szCs w:val="20"/>
              </w:rPr>
            </w:pPr>
            <w:r w:rsidRPr="0029636B">
              <w:rPr>
                <w:rFonts w:ascii="Times New Roman" w:hAnsi="Times New Roman" w:cs="Times New Roman"/>
                <w:szCs w:val="20"/>
              </w:rPr>
              <w:t>1.0</w:t>
            </w:r>
          </w:p>
        </w:tc>
        <w:tc>
          <w:tcPr>
            <w:tcW w:w="537" w:type="pct"/>
            <w:shd w:val="clear" w:color="auto" w:fill="auto"/>
            <w:noWrap/>
            <w:vAlign w:val="center"/>
          </w:tcPr>
          <w:p w14:paraId="5215E1A0" w14:textId="25BC354D" w:rsidR="0043133A" w:rsidRPr="0029636B" w:rsidRDefault="0043133A" w:rsidP="007947DB">
            <w:pPr>
              <w:pStyle w:val="NoSpacing"/>
              <w:jc w:val="center"/>
              <w:rPr>
                <w:rFonts w:ascii="Times New Roman" w:hAnsi="Times New Roman" w:cs="Times New Roman"/>
                <w:szCs w:val="20"/>
              </w:rPr>
            </w:pPr>
            <w:r>
              <w:rPr>
                <w:rFonts w:ascii="Times New Roman" w:hAnsi="Times New Roman" w:cs="Times New Roman" w:hint="eastAsia"/>
                <w:szCs w:val="20"/>
              </w:rPr>
              <w:t>2</w:t>
            </w:r>
          </w:p>
        </w:tc>
        <w:tc>
          <w:tcPr>
            <w:tcW w:w="647" w:type="pct"/>
            <w:vAlign w:val="center"/>
          </w:tcPr>
          <w:p w14:paraId="2C7DA8CB" w14:textId="2D7035F7" w:rsidR="0043133A" w:rsidRPr="0029636B" w:rsidRDefault="0043133A" w:rsidP="007947DB">
            <w:pPr>
              <w:pStyle w:val="NoSpacing"/>
              <w:jc w:val="center"/>
              <w:rPr>
                <w:rFonts w:ascii="Times New Roman" w:hAnsi="Times New Roman" w:cs="Times New Roman"/>
                <w:szCs w:val="20"/>
              </w:rPr>
            </w:pPr>
            <w:r>
              <w:rPr>
                <w:rFonts w:ascii="Times New Roman" w:hAnsi="Times New Roman" w:cs="Times New Roman" w:hint="eastAsia"/>
                <w:szCs w:val="20"/>
              </w:rPr>
              <w:t>0.7</w:t>
            </w:r>
          </w:p>
        </w:tc>
      </w:tr>
      <w:tr w:rsidR="0043133A" w:rsidRPr="0029636B" w14:paraId="10BF37EF" w14:textId="77777777" w:rsidTr="001056E5">
        <w:trPr>
          <w:trHeight w:val="20"/>
        </w:trPr>
        <w:tc>
          <w:tcPr>
            <w:tcW w:w="1516" w:type="pct"/>
            <w:vMerge/>
            <w:shd w:val="clear" w:color="auto" w:fill="auto"/>
          </w:tcPr>
          <w:p w14:paraId="1F26314F" w14:textId="77777777" w:rsidR="0043133A" w:rsidRPr="0029636B" w:rsidRDefault="0043133A" w:rsidP="007947DB">
            <w:pPr>
              <w:pStyle w:val="NoSpacing"/>
              <w:jc w:val="left"/>
              <w:rPr>
                <w:rFonts w:ascii="Times New Roman" w:hAnsi="Times New Roman" w:cs="Times New Roman"/>
                <w:szCs w:val="20"/>
              </w:rPr>
            </w:pPr>
          </w:p>
        </w:tc>
        <w:tc>
          <w:tcPr>
            <w:tcW w:w="1073" w:type="pct"/>
            <w:shd w:val="clear" w:color="auto" w:fill="auto"/>
            <w:vAlign w:val="center"/>
          </w:tcPr>
          <w:p w14:paraId="173E6963" w14:textId="0A907E80" w:rsidR="0043133A" w:rsidRPr="0029636B" w:rsidRDefault="0043133A" w:rsidP="007947DB">
            <w:pPr>
              <w:pStyle w:val="NoSpacing"/>
              <w:jc w:val="left"/>
              <w:rPr>
                <w:rFonts w:ascii="Times New Roman" w:hAnsi="Times New Roman" w:cs="Times New Roman"/>
                <w:szCs w:val="20"/>
              </w:rPr>
            </w:pPr>
            <w:r>
              <w:rPr>
                <w:rFonts w:ascii="Times New Roman" w:hAnsi="Times New Roman" w:cs="Times New Roman" w:hint="eastAsia"/>
                <w:szCs w:val="20"/>
              </w:rPr>
              <w:t>Fatigue</w:t>
            </w:r>
          </w:p>
        </w:tc>
        <w:tc>
          <w:tcPr>
            <w:tcW w:w="616" w:type="pct"/>
            <w:shd w:val="clear" w:color="auto" w:fill="auto"/>
            <w:noWrap/>
            <w:vAlign w:val="center"/>
          </w:tcPr>
          <w:p w14:paraId="505DAB98" w14:textId="4061BC1B" w:rsidR="0043133A" w:rsidRPr="0029636B" w:rsidRDefault="0043133A" w:rsidP="007947DB">
            <w:pPr>
              <w:pStyle w:val="NoSpacing"/>
              <w:jc w:val="center"/>
              <w:rPr>
                <w:rFonts w:ascii="Times New Roman" w:hAnsi="Times New Roman" w:cs="Times New Roman"/>
                <w:szCs w:val="20"/>
              </w:rPr>
            </w:pPr>
            <w:r w:rsidRPr="0029636B">
              <w:rPr>
                <w:rFonts w:ascii="Times New Roman" w:hAnsi="Times New Roman" w:cs="Times New Roman"/>
                <w:szCs w:val="20"/>
              </w:rPr>
              <w:t>3</w:t>
            </w:r>
          </w:p>
        </w:tc>
        <w:tc>
          <w:tcPr>
            <w:tcW w:w="611" w:type="pct"/>
            <w:vAlign w:val="center"/>
          </w:tcPr>
          <w:p w14:paraId="348CBBA3" w14:textId="007A31F4" w:rsidR="0043133A" w:rsidRPr="0029636B" w:rsidRDefault="0043133A" w:rsidP="007947DB">
            <w:pPr>
              <w:pStyle w:val="NoSpacing"/>
              <w:jc w:val="center"/>
              <w:rPr>
                <w:rFonts w:ascii="Times New Roman" w:hAnsi="Times New Roman" w:cs="Times New Roman"/>
                <w:szCs w:val="20"/>
              </w:rPr>
            </w:pPr>
            <w:r w:rsidRPr="0029636B">
              <w:rPr>
                <w:rFonts w:ascii="Times New Roman" w:hAnsi="Times New Roman" w:cs="Times New Roman"/>
                <w:szCs w:val="20"/>
              </w:rPr>
              <w:t>1.0</w:t>
            </w:r>
          </w:p>
        </w:tc>
        <w:tc>
          <w:tcPr>
            <w:tcW w:w="537" w:type="pct"/>
            <w:shd w:val="clear" w:color="auto" w:fill="auto"/>
            <w:noWrap/>
            <w:vAlign w:val="center"/>
          </w:tcPr>
          <w:p w14:paraId="160738C1" w14:textId="4A417294" w:rsidR="0043133A" w:rsidRPr="0029636B" w:rsidRDefault="0043133A" w:rsidP="007947DB">
            <w:pPr>
              <w:pStyle w:val="NoSpacing"/>
              <w:jc w:val="center"/>
              <w:rPr>
                <w:rFonts w:ascii="Times New Roman" w:hAnsi="Times New Roman" w:cs="Times New Roman"/>
                <w:szCs w:val="20"/>
              </w:rPr>
            </w:pPr>
            <w:r>
              <w:rPr>
                <w:rFonts w:ascii="Times New Roman" w:hAnsi="Times New Roman" w:cs="Times New Roman" w:hint="eastAsia"/>
                <w:szCs w:val="20"/>
              </w:rPr>
              <w:t>1</w:t>
            </w:r>
          </w:p>
        </w:tc>
        <w:tc>
          <w:tcPr>
            <w:tcW w:w="647" w:type="pct"/>
            <w:vAlign w:val="center"/>
          </w:tcPr>
          <w:p w14:paraId="2E19041A" w14:textId="789B7D06" w:rsidR="0043133A" w:rsidRPr="0029636B" w:rsidRDefault="0043133A" w:rsidP="007947DB">
            <w:pPr>
              <w:pStyle w:val="NoSpacing"/>
              <w:jc w:val="center"/>
              <w:rPr>
                <w:rFonts w:ascii="Times New Roman" w:hAnsi="Times New Roman" w:cs="Times New Roman"/>
                <w:szCs w:val="20"/>
              </w:rPr>
            </w:pPr>
            <w:r>
              <w:rPr>
                <w:rFonts w:ascii="Times New Roman" w:hAnsi="Times New Roman" w:cs="Times New Roman" w:hint="eastAsia"/>
                <w:szCs w:val="20"/>
              </w:rPr>
              <w:t>0.3</w:t>
            </w:r>
          </w:p>
        </w:tc>
      </w:tr>
      <w:tr w:rsidR="0043133A" w:rsidRPr="0029636B" w14:paraId="5D01A24B" w14:textId="77777777" w:rsidTr="001056E5">
        <w:trPr>
          <w:trHeight w:val="20"/>
        </w:trPr>
        <w:tc>
          <w:tcPr>
            <w:tcW w:w="1516" w:type="pct"/>
            <w:vMerge/>
            <w:shd w:val="clear" w:color="auto" w:fill="auto"/>
          </w:tcPr>
          <w:p w14:paraId="1ABFBBDD" w14:textId="77777777" w:rsidR="0043133A" w:rsidRPr="0029636B" w:rsidRDefault="0043133A" w:rsidP="007947DB">
            <w:pPr>
              <w:pStyle w:val="NoSpacing"/>
              <w:jc w:val="left"/>
              <w:rPr>
                <w:rFonts w:ascii="Times New Roman" w:hAnsi="Times New Roman" w:cs="Times New Roman"/>
                <w:szCs w:val="20"/>
              </w:rPr>
            </w:pPr>
          </w:p>
        </w:tc>
        <w:tc>
          <w:tcPr>
            <w:tcW w:w="1073" w:type="pct"/>
            <w:shd w:val="clear" w:color="auto" w:fill="auto"/>
            <w:vAlign w:val="center"/>
          </w:tcPr>
          <w:p w14:paraId="4896DE95" w14:textId="4FE095DA" w:rsidR="0043133A" w:rsidRPr="0029636B" w:rsidRDefault="0043133A" w:rsidP="007947DB">
            <w:pPr>
              <w:pStyle w:val="NoSpacing"/>
              <w:jc w:val="left"/>
              <w:rPr>
                <w:rFonts w:ascii="Times New Roman" w:hAnsi="Times New Roman" w:cs="Times New Roman"/>
                <w:szCs w:val="20"/>
              </w:rPr>
            </w:pPr>
            <w:proofErr w:type="spellStart"/>
            <w:r>
              <w:rPr>
                <w:rFonts w:ascii="Times New Roman" w:hAnsi="Times New Roman" w:cs="Times New Roman" w:hint="eastAsia"/>
                <w:szCs w:val="20"/>
              </w:rPr>
              <w:t>Oedema</w:t>
            </w:r>
            <w:proofErr w:type="spellEnd"/>
            <w:r>
              <w:rPr>
                <w:rFonts w:ascii="Times New Roman" w:hAnsi="Times New Roman" w:cs="Times New Roman" w:hint="eastAsia"/>
                <w:szCs w:val="20"/>
              </w:rPr>
              <w:t xml:space="preserve"> Peripheral</w:t>
            </w:r>
          </w:p>
        </w:tc>
        <w:tc>
          <w:tcPr>
            <w:tcW w:w="616" w:type="pct"/>
            <w:shd w:val="clear" w:color="auto" w:fill="auto"/>
            <w:noWrap/>
            <w:vAlign w:val="center"/>
          </w:tcPr>
          <w:p w14:paraId="5EE5D70A" w14:textId="0438F6A1" w:rsidR="0043133A" w:rsidRPr="0029636B" w:rsidRDefault="0043133A" w:rsidP="007947DB">
            <w:pPr>
              <w:pStyle w:val="NoSpacing"/>
              <w:jc w:val="center"/>
              <w:rPr>
                <w:rFonts w:ascii="Times New Roman" w:hAnsi="Times New Roman" w:cs="Times New Roman"/>
                <w:szCs w:val="20"/>
              </w:rPr>
            </w:pPr>
            <w:r w:rsidRPr="0029636B">
              <w:rPr>
                <w:rFonts w:ascii="Times New Roman" w:hAnsi="Times New Roman" w:cs="Times New Roman"/>
                <w:szCs w:val="20"/>
              </w:rPr>
              <w:t>3</w:t>
            </w:r>
          </w:p>
        </w:tc>
        <w:tc>
          <w:tcPr>
            <w:tcW w:w="611" w:type="pct"/>
            <w:vAlign w:val="center"/>
          </w:tcPr>
          <w:p w14:paraId="32777D77" w14:textId="185A34E4" w:rsidR="0043133A" w:rsidRPr="0029636B" w:rsidRDefault="0043133A" w:rsidP="007947DB">
            <w:pPr>
              <w:pStyle w:val="NoSpacing"/>
              <w:jc w:val="center"/>
              <w:rPr>
                <w:rFonts w:ascii="Times New Roman" w:hAnsi="Times New Roman" w:cs="Times New Roman"/>
                <w:szCs w:val="20"/>
              </w:rPr>
            </w:pPr>
            <w:r w:rsidRPr="0029636B">
              <w:rPr>
                <w:rFonts w:ascii="Times New Roman" w:hAnsi="Times New Roman" w:cs="Times New Roman"/>
                <w:szCs w:val="20"/>
              </w:rPr>
              <w:t>1.0</w:t>
            </w:r>
          </w:p>
        </w:tc>
        <w:tc>
          <w:tcPr>
            <w:tcW w:w="537" w:type="pct"/>
            <w:shd w:val="clear" w:color="auto" w:fill="auto"/>
            <w:noWrap/>
            <w:vAlign w:val="center"/>
          </w:tcPr>
          <w:p w14:paraId="2D15081C" w14:textId="3498963F" w:rsidR="0043133A" w:rsidRPr="0029636B" w:rsidRDefault="0043133A" w:rsidP="007947DB">
            <w:pPr>
              <w:pStyle w:val="NoSpacing"/>
              <w:jc w:val="center"/>
              <w:rPr>
                <w:rFonts w:ascii="Times New Roman" w:hAnsi="Times New Roman" w:cs="Times New Roman"/>
                <w:szCs w:val="20"/>
              </w:rPr>
            </w:pPr>
            <w:r>
              <w:rPr>
                <w:rFonts w:ascii="Times New Roman" w:hAnsi="Times New Roman" w:cs="Times New Roman" w:hint="eastAsia"/>
                <w:szCs w:val="20"/>
              </w:rPr>
              <w:t>4</w:t>
            </w:r>
          </w:p>
        </w:tc>
        <w:tc>
          <w:tcPr>
            <w:tcW w:w="647" w:type="pct"/>
            <w:vAlign w:val="center"/>
          </w:tcPr>
          <w:p w14:paraId="1AE4F7C3" w14:textId="1C793E86" w:rsidR="0043133A" w:rsidRPr="0029636B" w:rsidRDefault="0043133A" w:rsidP="007947DB">
            <w:pPr>
              <w:pStyle w:val="NoSpacing"/>
              <w:jc w:val="center"/>
              <w:rPr>
                <w:rFonts w:ascii="Times New Roman" w:hAnsi="Times New Roman" w:cs="Times New Roman"/>
                <w:szCs w:val="20"/>
              </w:rPr>
            </w:pPr>
            <w:r>
              <w:rPr>
                <w:rFonts w:ascii="Times New Roman" w:hAnsi="Times New Roman" w:cs="Times New Roman" w:hint="eastAsia"/>
                <w:szCs w:val="20"/>
              </w:rPr>
              <w:t>1.4</w:t>
            </w:r>
          </w:p>
        </w:tc>
      </w:tr>
      <w:tr w:rsidR="0043133A" w:rsidRPr="0029636B" w14:paraId="274D1EE6" w14:textId="77777777" w:rsidTr="00E22D16">
        <w:trPr>
          <w:trHeight w:val="184"/>
        </w:trPr>
        <w:tc>
          <w:tcPr>
            <w:tcW w:w="1516" w:type="pct"/>
            <w:vMerge/>
            <w:shd w:val="clear" w:color="auto" w:fill="auto"/>
          </w:tcPr>
          <w:p w14:paraId="77F94C92" w14:textId="77777777" w:rsidR="0043133A" w:rsidRPr="0029636B" w:rsidRDefault="0043133A" w:rsidP="007947DB">
            <w:pPr>
              <w:pStyle w:val="NoSpacing"/>
              <w:jc w:val="left"/>
              <w:rPr>
                <w:rFonts w:ascii="Times New Roman" w:hAnsi="Times New Roman" w:cs="Times New Roman"/>
                <w:szCs w:val="20"/>
              </w:rPr>
            </w:pPr>
          </w:p>
        </w:tc>
        <w:tc>
          <w:tcPr>
            <w:tcW w:w="1073" w:type="pct"/>
            <w:shd w:val="clear" w:color="auto" w:fill="auto"/>
            <w:vAlign w:val="center"/>
          </w:tcPr>
          <w:p w14:paraId="31FB651E" w14:textId="4984CC4E" w:rsidR="0043133A" w:rsidRPr="0029636B" w:rsidRDefault="0043133A" w:rsidP="0043133A">
            <w:pPr>
              <w:pStyle w:val="NoSpacing"/>
              <w:jc w:val="left"/>
              <w:rPr>
                <w:rFonts w:ascii="Times New Roman" w:hAnsi="Times New Roman" w:cs="Times New Roman"/>
                <w:szCs w:val="20"/>
              </w:rPr>
            </w:pPr>
            <w:r>
              <w:rPr>
                <w:rFonts w:ascii="Times New Roman" w:hAnsi="Times New Roman" w:cs="Times New Roman" w:hint="eastAsia"/>
                <w:szCs w:val="20"/>
              </w:rPr>
              <w:t>Pyrexia</w:t>
            </w:r>
          </w:p>
        </w:tc>
        <w:tc>
          <w:tcPr>
            <w:tcW w:w="616" w:type="pct"/>
            <w:shd w:val="clear" w:color="auto" w:fill="auto"/>
            <w:noWrap/>
            <w:vAlign w:val="center"/>
          </w:tcPr>
          <w:p w14:paraId="1462EEEB" w14:textId="069EB6D0" w:rsidR="0043133A" w:rsidRPr="0029636B" w:rsidRDefault="0043133A" w:rsidP="0043133A">
            <w:pPr>
              <w:pStyle w:val="NoSpacing"/>
              <w:jc w:val="center"/>
              <w:rPr>
                <w:rFonts w:ascii="Times New Roman" w:hAnsi="Times New Roman" w:cs="Times New Roman"/>
                <w:szCs w:val="20"/>
              </w:rPr>
            </w:pPr>
            <w:r>
              <w:rPr>
                <w:rFonts w:ascii="Times New Roman" w:hAnsi="Times New Roman" w:cs="Times New Roman" w:hint="eastAsia"/>
                <w:szCs w:val="20"/>
              </w:rPr>
              <w:t>3</w:t>
            </w:r>
          </w:p>
        </w:tc>
        <w:tc>
          <w:tcPr>
            <w:tcW w:w="611" w:type="pct"/>
            <w:vAlign w:val="center"/>
          </w:tcPr>
          <w:p w14:paraId="327457A2" w14:textId="11D80150" w:rsidR="0043133A" w:rsidRPr="0029636B" w:rsidRDefault="0043133A" w:rsidP="0043133A">
            <w:pPr>
              <w:pStyle w:val="NoSpacing"/>
              <w:jc w:val="center"/>
              <w:rPr>
                <w:rFonts w:ascii="Times New Roman" w:hAnsi="Times New Roman" w:cs="Times New Roman"/>
                <w:szCs w:val="20"/>
              </w:rPr>
            </w:pPr>
            <w:r>
              <w:rPr>
                <w:rFonts w:ascii="Times New Roman" w:hAnsi="Times New Roman" w:cs="Times New Roman" w:hint="eastAsia"/>
                <w:szCs w:val="20"/>
              </w:rPr>
              <w:t>1.0</w:t>
            </w:r>
          </w:p>
        </w:tc>
        <w:tc>
          <w:tcPr>
            <w:tcW w:w="537" w:type="pct"/>
            <w:shd w:val="clear" w:color="auto" w:fill="auto"/>
            <w:noWrap/>
            <w:vAlign w:val="center"/>
          </w:tcPr>
          <w:p w14:paraId="3452A669" w14:textId="26B712EF" w:rsidR="0043133A" w:rsidRPr="0029636B" w:rsidRDefault="0043133A" w:rsidP="0043133A">
            <w:pPr>
              <w:pStyle w:val="NoSpacing"/>
              <w:jc w:val="center"/>
              <w:rPr>
                <w:rFonts w:ascii="Times New Roman" w:hAnsi="Times New Roman" w:cs="Times New Roman"/>
                <w:szCs w:val="20"/>
              </w:rPr>
            </w:pPr>
            <w:r>
              <w:rPr>
                <w:rFonts w:ascii="Times New Roman" w:hAnsi="Times New Roman" w:cs="Times New Roman" w:hint="eastAsia"/>
                <w:szCs w:val="20"/>
              </w:rPr>
              <w:t>8</w:t>
            </w:r>
          </w:p>
        </w:tc>
        <w:tc>
          <w:tcPr>
            <w:tcW w:w="647" w:type="pct"/>
            <w:vAlign w:val="center"/>
          </w:tcPr>
          <w:p w14:paraId="61C6EBB3" w14:textId="585E2F7E" w:rsidR="0043133A" w:rsidRPr="0029636B" w:rsidRDefault="0043133A" w:rsidP="0043133A">
            <w:pPr>
              <w:pStyle w:val="NoSpacing"/>
              <w:jc w:val="center"/>
              <w:rPr>
                <w:rFonts w:ascii="Times New Roman" w:hAnsi="Times New Roman" w:cs="Times New Roman"/>
                <w:szCs w:val="20"/>
              </w:rPr>
            </w:pPr>
            <w:r>
              <w:rPr>
                <w:rFonts w:ascii="Times New Roman" w:hAnsi="Times New Roman" w:cs="Times New Roman" w:hint="eastAsia"/>
                <w:szCs w:val="20"/>
              </w:rPr>
              <w:t>2.7</w:t>
            </w:r>
          </w:p>
        </w:tc>
      </w:tr>
      <w:tr w:rsidR="0043133A" w:rsidRPr="0029636B" w14:paraId="56789D20" w14:textId="77777777" w:rsidTr="001056E5">
        <w:trPr>
          <w:trHeight w:val="20"/>
        </w:trPr>
        <w:tc>
          <w:tcPr>
            <w:tcW w:w="1516" w:type="pct"/>
            <w:shd w:val="clear" w:color="auto" w:fill="auto"/>
            <w:vAlign w:val="center"/>
            <w:hideMark/>
          </w:tcPr>
          <w:p w14:paraId="77743851" w14:textId="77777777" w:rsidR="0043133A" w:rsidRPr="0029636B" w:rsidRDefault="0043133A" w:rsidP="007947DB">
            <w:pPr>
              <w:pStyle w:val="NoSpacing"/>
              <w:jc w:val="left"/>
              <w:rPr>
                <w:rFonts w:ascii="Times New Roman" w:hAnsi="Times New Roman" w:cs="Times New Roman"/>
                <w:szCs w:val="20"/>
              </w:rPr>
            </w:pPr>
            <w:r w:rsidRPr="0029636B">
              <w:rPr>
                <w:rFonts w:ascii="Times New Roman" w:hAnsi="Times New Roman" w:cs="Times New Roman"/>
                <w:szCs w:val="20"/>
              </w:rPr>
              <w:t>Immune System Disorders</w:t>
            </w:r>
          </w:p>
        </w:tc>
        <w:tc>
          <w:tcPr>
            <w:tcW w:w="1073" w:type="pct"/>
            <w:shd w:val="clear" w:color="auto" w:fill="auto"/>
            <w:vAlign w:val="center"/>
            <w:hideMark/>
          </w:tcPr>
          <w:p w14:paraId="40A16633" w14:textId="77777777" w:rsidR="0043133A" w:rsidRPr="0029636B" w:rsidRDefault="0043133A" w:rsidP="007947DB">
            <w:pPr>
              <w:pStyle w:val="NoSpacing"/>
              <w:jc w:val="left"/>
              <w:rPr>
                <w:rFonts w:ascii="Times New Roman" w:hAnsi="Times New Roman" w:cs="Times New Roman"/>
                <w:szCs w:val="20"/>
              </w:rPr>
            </w:pPr>
            <w:r w:rsidRPr="0029636B">
              <w:rPr>
                <w:rFonts w:ascii="Times New Roman" w:hAnsi="Times New Roman" w:cs="Times New Roman"/>
                <w:szCs w:val="20"/>
              </w:rPr>
              <w:t>Hypersensitivity</w:t>
            </w:r>
          </w:p>
        </w:tc>
        <w:tc>
          <w:tcPr>
            <w:tcW w:w="616" w:type="pct"/>
            <w:shd w:val="clear" w:color="auto" w:fill="auto"/>
            <w:noWrap/>
            <w:vAlign w:val="center"/>
            <w:hideMark/>
          </w:tcPr>
          <w:p w14:paraId="0ADA863A" w14:textId="77777777" w:rsidR="0043133A" w:rsidRPr="0029636B" w:rsidRDefault="0043133A" w:rsidP="007947DB">
            <w:pPr>
              <w:pStyle w:val="NoSpacing"/>
              <w:jc w:val="center"/>
              <w:rPr>
                <w:rFonts w:ascii="Times New Roman" w:hAnsi="Times New Roman" w:cs="Times New Roman"/>
                <w:szCs w:val="20"/>
              </w:rPr>
            </w:pPr>
            <w:r w:rsidRPr="0029636B">
              <w:rPr>
                <w:rFonts w:ascii="Times New Roman" w:hAnsi="Times New Roman" w:cs="Times New Roman"/>
                <w:szCs w:val="20"/>
              </w:rPr>
              <w:t>3</w:t>
            </w:r>
          </w:p>
        </w:tc>
        <w:tc>
          <w:tcPr>
            <w:tcW w:w="611" w:type="pct"/>
            <w:vAlign w:val="center"/>
          </w:tcPr>
          <w:p w14:paraId="7C5C0E6C" w14:textId="77777777" w:rsidR="0043133A" w:rsidRPr="0029636B" w:rsidRDefault="0043133A" w:rsidP="007947DB">
            <w:pPr>
              <w:pStyle w:val="NoSpacing"/>
              <w:jc w:val="center"/>
              <w:rPr>
                <w:rFonts w:ascii="Times New Roman" w:hAnsi="Times New Roman" w:cs="Times New Roman"/>
                <w:szCs w:val="20"/>
              </w:rPr>
            </w:pPr>
            <w:r w:rsidRPr="0029636B">
              <w:rPr>
                <w:rFonts w:ascii="Times New Roman" w:hAnsi="Times New Roman" w:cs="Times New Roman"/>
                <w:szCs w:val="20"/>
              </w:rPr>
              <w:t>1.0</w:t>
            </w:r>
          </w:p>
        </w:tc>
        <w:tc>
          <w:tcPr>
            <w:tcW w:w="537" w:type="pct"/>
            <w:shd w:val="clear" w:color="auto" w:fill="auto"/>
            <w:noWrap/>
            <w:vAlign w:val="center"/>
            <w:hideMark/>
          </w:tcPr>
          <w:p w14:paraId="72A23DA4" w14:textId="77777777" w:rsidR="0043133A" w:rsidRPr="0029636B" w:rsidRDefault="0043133A" w:rsidP="007947DB">
            <w:pPr>
              <w:pStyle w:val="NoSpacing"/>
              <w:jc w:val="center"/>
              <w:rPr>
                <w:rFonts w:ascii="Times New Roman" w:hAnsi="Times New Roman" w:cs="Times New Roman"/>
                <w:szCs w:val="20"/>
              </w:rPr>
            </w:pPr>
            <w:r w:rsidRPr="0029636B">
              <w:rPr>
                <w:rFonts w:ascii="Times New Roman" w:hAnsi="Times New Roman" w:cs="Times New Roman"/>
                <w:szCs w:val="20"/>
              </w:rPr>
              <w:t>2</w:t>
            </w:r>
          </w:p>
        </w:tc>
        <w:tc>
          <w:tcPr>
            <w:tcW w:w="647" w:type="pct"/>
            <w:vAlign w:val="center"/>
          </w:tcPr>
          <w:p w14:paraId="5523B8E2" w14:textId="77777777" w:rsidR="0043133A" w:rsidRPr="0029636B" w:rsidRDefault="0043133A" w:rsidP="007947DB">
            <w:pPr>
              <w:pStyle w:val="NoSpacing"/>
              <w:jc w:val="center"/>
              <w:rPr>
                <w:rFonts w:ascii="Times New Roman" w:hAnsi="Times New Roman" w:cs="Times New Roman"/>
                <w:szCs w:val="20"/>
              </w:rPr>
            </w:pPr>
            <w:r w:rsidRPr="0029636B">
              <w:rPr>
                <w:rFonts w:ascii="Times New Roman" w:hAnsi="Times New Roman" w:cs="Times New Roman"/>
                <w:szCs w:val="20"/>
              </w:rPr>
              <w:t>0.7</w:t>
            </w:r>
          </w:p>
        </w:tc>
      </w:tr>
      <w:tr w:rsidR="00232C58" w:rsidRPr="0029636B" w14:paraId="21BAE200" w14:textId="77777777" w:rsidTr="001056E5">
        <w:trPr>
          <w:trHeight w:val="20"/>
        </w:trPr>
        <w:tc>
          <w:tcPr>
            <w:tcW w:w="1516" w:type="pct"/>
            <w:vMerge w:val="restart"/>
            <w:shd w:val="clear" w:color="auto" w:fill="auto"/>
            <w:vAlign w:val="center"/>
          </w:tcPr>
          <w:p w14:paraId="3478C09D" w14:textId="6A7E27C7" w:rsidR="00232C58" w:rsidRPr="0029636B" w:rsidRDefault="00232C58" w:rsidP="007947DB">
            <w:pPr>
              <w:pStyle w:val="NoSpacing"/>
              <w:jc w:val="left"/>
              <w:rPr>
                <w:rFonts w:ascii="Times New Roman" w:hAnsi="Times New Roman" w:cs="Times New Roman"/>
                <w:szCs w:val="20"/>
              </w:rPr>
            </w:pPr>
            <w:r w:rsidRPr="0029636B">
              <w:rPr>
                <w:rFonts w:ascii="Times New Roman" w:hAnsi="Times New Roman" w:cs="Times New Roman"/>
                <w:szCs w:val="20"/>
              </w:rPr>
              <w:t>Infections and Infestations</w:t>
            </w:r>
          </w:p>
        </w:tc>
        <w:tc>
          <w:tcPr>
            <w:tcW w:w="1073" w:type="pct"/>
            <w:shd w:val="clear" w:color="auto" w:fill="auto"/>
            <w:vAlign w:val="center"/>
          </w:tcPr>
          <w:p w14:paraId="178211F7" w14:textId="1604B09C" w:rsidR="00232C58" w:rsidRPr="0029636B" w:rsidRDefault="00232C58" w:rsidP="0043133A">
            <w:pPr>
              <w:pStyle w:val="NoSpacing"/>
              <w:jc w:val="left"/>
              <w:rPr>
                <w:rFonts w:ascii="Times New Roman" w:hAnsi="Times New Roman" w:cs="Times New Roman"/>
                <w:szCs w:val="20"/>
              </w:rPr>
            </w:pPr>
            <w:r>
              <w:rPr>
                <w:rFonts w:ascii="Times New Roman" w:hAnsi="Times New Roman" w:cs="Times New Roman" w:hint="eastAsia"/>
                <w:szCs w:val="20"/>
              </w:rPr>
              <w:t>Latent Tuberculosis</w:t>
            </w:r>
          </w:p>
        </w:tc>
        <w:tc>
          <w:tcPr>
            <w:tcW w:w="616" w:type="pct"/>
            <w:shd w:val="clear" w:color="auto" w:fill="auto"/>
            <w:noWrap/>
            <w:vAlign w:val="center"/>
          </w:tcPr>
          <w:p w14:paraId="73F7FCC8" w14:textId="64E092B4" w:rsidR="00232C58" w:rsidRPr="0029636B" w:rsidRDefault="00232C58" w:rsidP="007947DB">
            <w:pPr>
              <w:pStyle w:val="NoSpacing"/>
              <w:jc w:val="center"/>
              <w:rPr>
                <w:rFonts w:ascii="Times New Roman" w:hAnsi="Times New Roman" w:cs="Times New Roman"/>
                <w:szCs w:val="20"/>
              </w:rPr>
            </w:pPr>
            <w:r>
              <w:rPr>
                <w:rFonts w:ascii="Times New Roman" w:hAnsi="Times New Roman" w:cs="Times New Roman" w:hint="eastAsia"/>
                <w:szCs w:val="20"/>
              </w:rPr>
              <w:t>19</w:t>
            </w:r>
          </w:p>
        </w:tc>
        <w:tc>
          <w:tcPr>
            <w:tcW w:w="611" w:type="pct"/>
            <w:vAlign w:val="center"/>
          </w:tcPr>
          <w:p w14:paraId="0BA96C83" w14:textId="1505F0C5" w:rsidR="00232C58" w:rsidRPr="0029636B" w:rsidRDefault="00232C58" w:rsidP="007947DB">
            <w:pPr>
              <w:pStyle w:val="NoSpacing"/>
              <w:jc w:val="center"/>
              <w:rPr>
                <w:rFonts w:ascii="Times New Roman" w:hAnsi="Times New Roman" w:cs="Times New Roman"/>
                <w:szCs w:val="20"/>
              </w:rPr>
            </w:pPr>
            <w:r>
              <w:rPr>
                <w:rFonts w:ascii="Times New Roman" w:hAnsi="Times New Roman" w:cs="Times New Roman" w:hint="eastAsia"/>
                <w:szCs w:val="20"/>
              </w:rPr>
              <w:t>6.6</w:t>
            </w:r>
          </w:p>
        </w:tc>
        <w:tc>
          <w:tcPr>
            <w:tcW w:w="537" w:type="pct"/>
            <w:shd w:val="clear" w:color="auto" w:fill="auto"/>
            <w:noWrap/>
            <w:vAlign w:val="center"/>
          </w:tcPr>
          <w:p w14:paraId="7DB4879F" w14:textId="04F4DCF1" w:rsidR="00232C58" w:rsidRPr="0029636B" w:rsidRDefault="00232C58" w:rsidP="007947DB">
            <w:pPr>
              <w:pStyle w:val="NoSpacing"/>
              <w:jc w:val="center"/>
              <w:rPr>
                <w:rFonts w:ascii="Times New Roman" w:hAnsi="Times New Roman" w:cs="Times New Roman"/>
                <w:szCs w:val="20"/>
              </w:rPr>
            </w:pPr>
            <w:r>
              <w:rPr>
                <w:rFonts w:ascii="Times New Roman" w:hAnsi="Times New Roman" w:cs="Times New Roman" w:hint="eastAsia"/>
                <w:szCs w:val="20"/>
              </w:rPr>
              <w:t>21</w:t>
            </w:r>
          </w:p>
        </w:tc>
        <w:tc>
          <w:tcPr>
            <w:tcW w:w="647" w:type="pct"/>
            <w:vAlign w:val="center"/>
          </w:tcPr>
          <w:p w14:paraId="11C3DB25" w14:textId="755BB088" w:rsidR="00232C58" w:rsidRPr="0029636B" w:rsidRDefault="00232C58" w:rsidP="007947DB">
            <w:pPr>
              <w:pStyle w:val="NoSpacing"/>
              <w:jc w:val="center"/>
              <w:rPr>
                <w:rFonts w:ascii="Times New Roman" w:hAnsi="Times New Roman" w:cs="Times New Roman"/>
                <w:szCs w:val="20"/>
              </w:rPr>
            </w:pPr>
            <w:r>
              <w:rPr>
                <w:rFonts w:ascii="Times New Roman" w:hAnsi="Times New Roman" w:cs="Times New Roman" w:hint="eastAsia"/>
                <w:szCs w:val="20"/>
              </w:rPr>
              <w:t>7.2</w:t>
            </w:r>
          </w:p>
        </w:tc>
      </w:tr>
      <w:tr w:rsidR="00232C58" w:rsidRPr="0029636B" w14:paraId="59271502" w14:textId="77777777" w:rsidTr="001056E5">
        <w:trPr>
          <w:trHeight w:val="20"/>
        </w:trPr>
        <w:tc>
          <w:tcPr>
            <w:tcW w:w="1516" w:type="pct"/>
            <w:vMerge/>
            <w:shd w:val="clear" w:color="auto" w:fill="auto"/>
            <w:vAlign w:val="center"/>
            <w:hideMark/>
          </w:tcPr>
          <w:p w14:paraId="6C30CB75" w14:textId="51B010B7" w:rsidR="00232C58" w:rsidRPr="0029636B" w:rsidRDefault="00232C58" w:rsidP="007947DB">
            <w:pPr>
              <w:pStyle w:val="NoSpacing"/>
              <w:jc w:val="left"/>
              <w:rPr>
                <w:rFonts w:ascii="Times New Roman" w:hAnsi="Times New Roman" w:cs="Times New Roman"/>
                <w:szCs w:val="20"/>
              </w:rPr>
            </w:pPr>
          </w:p>
        </w:tc>
        <w:tc>
          <w:tcPr>
            <w:tcW w:w="1073" w:type="pct"/>
            <w:shd w:val="clear" w:color="auto" w:fill="auto"/>
            <w:vAlign w:val="center"/>
            <w:hideMark/>
          </w:tcPr>
          <w:p w14:paraId="26FA4ADB" w14:textId="3050D85B" w:rsidR="00232C58" w:rsidRPr="0029636B" w:rsidRDefault="00232C58" w:rsidP="007947DB">
            <w:pPr>
              <w:pStyle w:val="NoSpacing"/>
              <w:jc w:val="left"/>
              <w:rPr>
                <w:rFonts w:ascii="Times New Roman" w:hAnsi="Times New Roman" w:cs="Times New Roman"/>
                <w:szCs w:val="20"/>
              </w:rPr>
            </w:pPr>
            <w:proofErr w:type="spellStart"/>
            <w:r w:rsidRPr="0029636B">
              <w:rPr>
                <w:rFonts w:ascii="Times New Roman" w:hAnsi="Times New Roman" w:cs="Times New Roman"/>
                <w:szCs w:val="20"/>
              </w:rPr>
              <w:t>Nasopharyngitis</w:t>
            </w:r>
            <w:proofErr w:type="spellEnd"/>
          </w:p>
        </w:tc>
        <w:tc>
          <w:tcPr>
            <w:tcW w:w="616" w:type="pct"/>
            <w:shd w:val="clear" w:color="auto" w:fill="auto"/>
            <w:noWrap/>
            <w:vAlign w:val="center"/>
            <w:hideMark/>
          </w:tcPr>
          <w:p w14:paraId="6B167711" w14:textId="2888DDE5" w:rsidR="00232C58" w:rsidRPr="0029636B" w:rsidRDefault="00232C58" w:rsidP="007947DB">
            <w:pPr>
              <w:pStyle w:val="NoSpacing"/>
              <w:jc w:val="center"/>
              <w:rPr>
                <w:rFonts w:ascii="Times New Roman" w:hAnsi="Times New Roman" w:cs="Times New Roman"/>
                <w:szCs w:val="20"/>
              </w:rPr>
            </w:pPr>
            <w:r>
              <w:rPr>
                <w:rFonts w:ascii="Times New Roman" w:hAnsi="Times New Roman" w:cs="Times New Roman" w:hint="eastAsia"/>
                <w:szCs w:val="20"/>
              </w:rPr>
              <w:t>18</w:t>
            </w:r>
          </w:p>
        </w:tc>
        <w:tc>
          <w:tcPr>
            <w:tcW w:w="611" w:type="pct"/>
            <w:vAlign w:val="center"/>
          </w:tcPr>
          <w:p w14:paraId="57E2BA44" w14:textId="3D53A707" w:rsidR="00232C58" w:rsidRPr="0029636B" w:rsidRDefault="00232C58" w:rsidP="0043133A">
            <w:pPr>
              <w:pStyle w:val="NoSpacing"/>
              <w:jc w:val="center"/>
              <w:rPr>
                <w:rFonts w:ascii="Times New Roman" w:hAnsi="Times New Roman" w:cs="Times New Roman"/>
                <w:szCs w:val="20"/>
              </w:rPr>
            </w:pPr>
            <w:r>
              <w:rPr>
                <w:rFonts w:ascii="Times New Roman" w:hAnsi="Times New Roman" w:cs="Times New Roman" w:hint="eastAsia"/>
                <w:szCs w:val="20"/>
              </w:rPr>
              <w:t>6</w:t>
            </w:r>
            <w:r w:rsidRPr="0029636B">
              <w:rPr>
                <w:rFonts w:ascii="Times New Roman" w:hAnsi="Times New Roman" w:cs="Times New Roman"/>
                <w:szCs w:val="20"/>
              </w:rPr>
              <w:t>.</w:t>
            </w:r>
            <w:r>
              <w:rPr>
                <w:rFonts w:ascii="Times New Roman" w:hAnsi="Times New Roman" w:cs="Times New Roman" w:hint="eastAsia"/>
                <w:szCs w:val="20"/>
              </w:rPr>
              <w:t>2</w:t>
            </w:r>
          </w:p>
        </w:tc>
        <w:tc>
          <w:tcPr>
            <w:tcW w:w="537" w:type="pct"/>
            <w:shd w:val="clear" w:color="auto" w:fill="auto"/>
            <w:noWrap/>
            <w:vAlign w:val="center"/>
            <w:hideMark/>
          </w:tcPr>
          <w:p w14:paraId="30109C8B" w14:textId="4D3B85D8" w:rsidR="00232C58" w:rsidRPr="0029636B" w:rsidRDefault="00232C58" w:rsidP="007947DB">
            <w:pPr>
              <w:pStyle w:val="NoSpacing"/>
              <w:jc w:val="center"/>
              <w:rPr>
                <w:rFonts w:ascii="Times New Roman" w:hAnsi="Times New Roman" w:cs="Times New Roman"/>
                <w:szCs w:val="20"/>
              </w:rPr>
            </w:pPr>
            <w:r>
              <w:rPr>
                <w:rFonts w:ascii="Times New Roman" w:hAnsi="Times New Roman" w:cs="Times New Roman" w:hint="eastAsia"/>
                <w:szCs w:val="20"/>
              </w:rPr>
              <w:t>20</w:t>
            </w:r>
          </w:p>
        </w:tc>
        <w:tc>
          <w:tcPr>
            <w:tcW w:w="647" w:type="pct"/>
            <w:vAlign w:val="center"/>
          </w:tcPr>
          <w:p w14:paraId="0852522C" w14:textId="7FB159A7" w:rsidR="00232C58" w:rsidRPr="0029636B" w:rsidRDefault="00232C58" w:rsidP="0043133A">
            <w:pPr>
              <w:pStyle w:val="NoSpacing"/>
              <w:jc w:val="center"/>
              <w:rPr>
                <w:rFonts w:ascii="Times New Roman" w:hAnsi="Times New Roman" w:cs="Times New Roman"/>
                <w:szCs w:val="20"/>
              </w:rPr>
            </w:pPr>
            <w:r>
              <w:rPr>
                <w:rFonts w:ascii="Times New Roman" w:hAnsi="Times New Roman" w:cs="Times New Roman" w:hint="eastAsia"/>
                <w:szCs w:val="20"/>
              </w:rPr>
              <w:t>6</w:t>
            </w:r>
            <w:r w:rsidRPr="0029636B">
              <w:rPr>
                <w:rFonts w:ascii="Times New Roman" w:hAnsi="Times New Roman" w:cs="Times New Roman"/>
                <w:szCs w:val="20"/>
              </w:rPr>
              <w:t>.</w:t>
            </w:r>
            <w:r>
              <w:rPr>
                <w:rFonts w:ascii="Times New Roman" w:hAnsi="Times New Roman" w:cs="Times New Roman" w:hint="eastAsia"/>
                <w:szCs w:val="20"/>
              </w:rPr>
              <w:t>8</w:t>
            </w:r>
          </w:p>
        </w:tc>
      </w:tr>
      <w:tr w:rsidR="00232C58" w:rsidRPr="0029636B" w14:paraId="4A1871B5" w14:textId="77777777" w:rsidTr="001056E5">
        <w:trPr>
          <w:trHeight w:val="20"/>
        </w:trPr>
        <w:tc>
          <w:tcPr>
            <w:tcW w:w="1516" w:type="pct"/>
            <w:vMerge/>
            <w:shd w:val="clear" w:color="auto" w:fill="auto"/>
            <w:vAlign w:val="center"/>
          </w:tcPr>
          <w:p w14:paraId="64F9FA11" w14:textId="77777777" w:rsidR="00232C58" w:rsidRPr="0029636B" w:rsidRDefault="00232C58" w:rsidP="007947DB">
            <w:pPr>
              <w:pStyle w:val="NoSpacing"/>
              <w:jc w:val="left"/>
              <w:rPr>
                <w:rFonts w:ascii="Times New Roman" w:hAnsi="Times New Roman" w:cs="Times New Roman"/>
                <w:szCs w:val="20"/>
              </w:rPr>
            </w:pPr>
          </w:p>
        </w:tc>
        <w:tc>
          <w:tcPr>
            <w:tcW w:w="1073" w:type="pct"/>
            <w:shd w:val="clear" w:color="auto" w:fill="auto"/>
            <w:vAlign w:val="center"/>
          </w:tcPr>
          <w:p w14:paraId="64FB44D3" w14:textId="2525F845" w:rsidR="00232C58" w:rsidRPr="0029636B" w:rsidRDefault="00BC66F4" w:rsidP="00BC66F4">
            <w:pPr>
              <w:pStyle w:val="NoSpacing"/>
              <w:jc w:val="left"/>
              <w:rPr>
                <w:rFonts w:ascii="Times New Roman" w:hAnsi="Times New Roman" w:cs="Times New Roman"/>
                <w:szCs w:val="20"/>
              </w:rPr>
            </w:pPr>
            <w:r>
              <w:rPr>
                <w:rFonts w:ascii="Times New Roman" w:hAnsi="Times New Roman" w:cs="Times New Roman"/>
                <w:szCs w:val="20"/>
              </w:rPr>
              <w:t>U</w:t>
            </w:r>
            <w:r>
              <w:rPr>
                <w:rFonts w:ascii="Times New Roman" w:hAnsi="Times New Roman" w:cs="Times New Roman" w:hint="eastAsia"/>
                <w:szCs w:val="20"/>
              </w:rPr>
              <w:t>pper Respiratory Tract Infection</w:t>
            </w:r>
          </w:p>
        </w:tc>
        <w:tc>
          <w:tcPr>
            <w:tcW w:w="616" w:type="pct"/>
            <w:shd w:val="clear" w:color="auto" w:fill="auto"/>
            <w:noWrap/>
            <w:vAlign w:val="center"/>
          </w:tcPr>
          <w:p w14:paraId="168C4D03" w14:textId="16DB3AA6" w:rsidR="00232C58" w:rsidRPr="0029636B" w:rsidRDefault="00232C58" w:rsidP="007947DB">
            <w:pPr>
              <w:pStyle w:val="NoSpacing"/>
              <w:jc w:val="center"/>
              <w:rPr>
                <w:rFonts w:ascii="Times New Roman" w:hAnsi="Times New Roman" w:cs="Times New Roman"/>
                <w:szCs w:val="20"/>
              </w:rPr>
            </w:pPr>
            <w:r>
              <w:rPr>
                <w:rFonts w:ascii="Times New Roman" w:hAnsi="Times New Roman" w:cs="Times New Roman" w:hint="eastAsia"/>
                <w:szCs w:val="20"/>
              </w:rPr>
              <w:t>12</w:t>
            </w:r>
          </w:p>
        </w:tc>
        <w:tc>
          <w:tcPr>
            <w:tcW w:w="611" w:type="pct"/>
            <w:vAlign w:val="center"/>
          </w:tcPr>
          <w:p w14:paraId="1F733752" w14:textId="520510DC" w:rsidR="00232C58" w:rsidRPr="0029636B" w:rsidRDefault="00232C58" w:rsidP="007947DB">
            <w:pPr>
              <w:pStyle w:val="NoSpacing"/>
              <w:jc w:val="center"/>
              <w:rPr>
                <w:rFonts w:ascii="Times New Roman" w:hAnsi="Times New Roman" w:cs="Times New Roman"/>
                <w:szCs w:val="20"/>
              </w:rPr>
            </w:pPr>
            <w:r>
              <w:rPr>
                <w:rFonts w:ascii="Times New Roman" w:hAnsi="Times New Roman" w:cs="Times New Roman" w:hint="eastAsia"/>
                <w:szCs w:val="20"/>
              </w:rPr>
              <w:t>4.1</w:t>
            </w:r>
          </w:p>
        </w:tc>
        <w:tc>
          <w:tcPr>
            <w:tcW w:w="537" w:type="pct"/>
            <w:shd w:val="clear" w:color="auto" w:fill="auto"/>
            <w:noWrap/>
            <w:vAlign w:val="center"/>
          </w:tcPr>
          <w:p w14:paraId="221E065A" w14:textId="2615E5FE" w:rsidR="00232C58" w:rsidRPr="0029636B" w:rsidRDefault="00232C58" w:rsidP="007947DB">
            <w:pPr>
              <w:pStyle w:val="NoSpacing"/>
              <w:jc w:val="center"/>
              <w:rPr>
                <w:rFonts w:ascii="Times New Roman" w:hAnsi="Times New Roman" w:cs="Times New Roman"/>
                <w:szCs w:val="20"/>
              </w:rPr>
            </w:pPr>
            <w:r>
              <w:rPr>
                <w:rFonts w:ascii="Times New Roman" w:hAnsi="Times New Roman" w:cs="Times New Roman" w:hint="eastAsia"/>
                <w:szCs w:val="20"/>
              </w:rPr>
              <w:t>11</w:t>
            </w:r>
          </w:p>
        </w:tc>
        <w:tc>
          <w:tcPr>
            <w:tcW w:w="647" w:type="pct"/>
            <w:vAlign w:val="center"/>
          </w:tcPr>
          <w:p w14:paraId="74E6820F" w14:textId="782EF5B1" w:rsidR="00232C58" w:rsidRPr="0029636B" w:rsidRDefault="00232C58" w:rsidP="007947DB">
            <w:pPr>
              <w:pStyle w:val="NoSpacing"/>
              <w:jc w:val="center"/>
              <w:rPr>
                <w:rFonts w:ascii="Times New Roman" w:hAnsi="Times New Roman" w:cs="Times New Roman"/>
                <w:szCs w:val="20"/>
              </w:rPr>
            </w:pPr>
            <w:r>
              <w:rPr>
                <w:rFonts w:ascii="Times New Roman" w:hAnsi="Times New Roman" w:cs="Times New Roman" w:hint="eastAsia"/>
                <w:szCs w:val="20"/>
              </w:rPr>
              <w:t>3.8</w:t>
            </w:r>
          </w:p>
        </w:tc>
      </w:tr>
      <w:tr w:rsidR="00232C58" w:rsidRPr="0029636B" w14:paraId="18664CA0" w14:textId="77777777" w:rsidTr="001056E5">
        <w:trPr>
          <w:trHeight w:val="20"/>
        </w:trPr>
        <w:tc>
          <w:tcPr>
            <w:tcW w:w="1516" w:type="pct"/>
            <w:vMerge/>
            <w:shd w:val="clear" w:color="auto" w:fill="auto"/>
            <w:vAlign w:val="center"/>
            <w:hideMark/>
          </w:tcPr>
          <w:p w14:paraId="4B5DE251" w14:textId="77777777" w:rsidR="00232C58" w:rsidRPr="0029636B" w:rsidRDefault="00232C58" w:rsidP="007947DB">
            <w:pPr>
              <w:pStyle w:val="NoSpacing"/>
              <w:jc w:val="left"/>
              <w:rPr>
                <w:rFonts w:ascii="Times New Roman" w:hAnsi="Times New Roman" w:cs="Times New Roman"/>
                <w:szCs w:val="20"/>
              </w:rPr>
            </w:pPr>
          </w:p>
        </w:tc>
        <w:tc>
          <w:tcPr>
            <w:tcW w:w="1073" w:type="pct"/>
            <w:shd w:val="clear" w:color="auto" w:fill="auto"/>
            <w:vAlign w:val="center"/>
            <w:hideMark/>
          </w:tcPr>
          <w:p w14:paraId="6BC0092D" w14:textId="51C9635D" w:rsidR="00232C58" w:rsidRPr="0029636B" w:rsidRDefault="00BC66F4" w:rsidP="00BC66F4">
            <w:pPr>
              <w:pStyle w:val="NoSpacing"/>
              <w:jc w:val="left"/>
              <w:rPr>
                <w:rFonts w:ascii="Times New Roman" w:hAnsi="Times New Roman" w:cs="Times New Roman"/>
                <w:szCs w:val="20"/>
              </w:rPr>
            </w:pPr>
            <w:r>
              <w:rPr>
                <w:rFonts w:ascii="Times New Roman" w:hAnsi="Times New Roman" w:cs="Times New Roman" w:hint="eastAsia"/>
                <w:szCs w:val="20"/>
              </w:rPr>
              <w:t>Bronchitis</w:t>
            </w:r>
          </w:p>
        </w:tc>
        <w:tc>
          <w:tcPr>
            <w:tcW w:w="616" w:type="pct"/>
            <w:shd w:val="clear" w:color="auto" w:fill="auto"/>
            <w:noWrap/>
            <w:vAlign w:val="center"/>
            <w:hideMark/>
          </w:tcPr>
          <w:p w14:paraId="412CF5B0" w14:textId="35F5BED4" w:rsidR="00232C58" w:rsidRPr="0029636B" w:rsidRDefault="00232C58" w:rsidP="007947DB">
            <w:pPr>
              <w:pStyle w:val="NoSpacing"/>
              <w:jc w:val="center"/>
              <w:rPr>
                <w:rFonts w:ascii="Times New Roman" w:hAnsi="Times New Roman" w:cs="Times New Roman"/>
                <w:szCs w:val="20"/>
              </w:rPr>
            </w:pPr>
            <w:r>
              <w:rPr>
                <w:rFonts w:ascii="Times New Roman" w:hAnsi="Times New Roman" w:cs="Times New Roman" w:hint="eastAsia"/>
                <w:szCs w:val="20"/>
              </w:rPr>
              <w:t>9</w:t>
            </w:r>
          </w:p>
        </w:tc>
        <w:tc>
          <w:tcPr>
            <w:tcW w:w="611" w:type="pct"/>
            <w:vAlign w:val="center"/>
          </w:tcPr>
          <w:p w14:paraId="74DA41D1" w14:textId="2FA68EE7" w:rsidR="00232C58" w:rsidRPr="0029636B" w:rsidRDefault="00232C58" w:rsidP="0043133A">
            <w:pPr>
              <w:pStyle w:val="NoSpacing"/>
              <w:jc w:val="center"/>
              <w:rPr>
                <w:rFonts w:ascii="Times New Roman" w:hAnsi="Times New Roman" w:cs="Times New Roman"/>
                <w:szCs w:val="20"/>
              </w:rPr>
            </w:pPr>
            <w:r>
              <w:rPr>
                <w:rFonts w:ascii="Times New Roman" w:hAnsi="Times New Roman" w:cs="Times New Roman" w:hint="eastAsia"/>
                <w:szCs w:val="20"/>
              </w:rPr>
              <w:t>3.</w:t>
            </w:r>
            <w:r w:rsidRPr="0029636B">
              <w:rPr>
                <w:rFonts w:ascii="Times New Roman" w:hAnsi="Times New Roman" w:cs="Times New Roman"/>
                <w:szCs w:val="20"/>
              </w:rPr>
              <w:t>1</w:t>
            </w:r>
          </w:p>
        </w:tc>
        <w:tc>
          <w:tcPr>
            <w:tcW w:w="537" w:type="pct"/>
            <w:shd w:val="clear" w:color="auto" w:fill="auto"/>
            <w:noWrap/>
            <w:vAlign w:val="center"/>
            <w:hideMark/>
          </w:tcPr>
          <w:p w14:paraId="741BE9CE" w14:textId="23C4FD20" w:rsidR="00232C58" w:rsidRPr="0029636B" w:rsidRDefault="00232C58" w:rsidP="0043133A">
            <w:pPr>
              <w:pStyle w:val="NoSpacing"/>
              <w:jc w:val="center"/>
              <w:rPr>
                <w:rFonts w:ascii="Times New Roman" w:hAnsi="Times New Roman" w:cs="Times New Roman"/>
                <w:szCs w:val="20"/>
              </w:rPr>
            </w:pPr>
            <w:r>
              <w:rPr>
                <w:rFonts w:ascii="Times New Roman" w:hAnsi="Times New Roman" w:cs="Times New Roman" w:hint="eastAsia"/>
                <w:szCs w:val="20"/>
              </w:rPr>
              <w:t>13</w:t>
            </w:r>
          </w:p>
        </w:tc>
        <w:tc>
          <w:tcPr>
            <w:tcW w:w="647" w:type="pct"/>
            <w:vAlign w:val="center"/>
          </w:tcPr>
          <w:p w14:paraId="6DE57FD7" w14:textId="572F79DC" w:rsidR="00232C58" w:rsidRPr="0029636B" w:rsidRDefault="00232C58" w:rsidP="007947DB">
            <w:pPr>
              <w:pStyle w:val="NoSpacing"/>
              <w:jc w:val="center"/>
              <w:rPr>
                <w:rFonts w:ascii="Times New Roman" w:hAnsi="Times New Roman" w:cs="Times New Roman"/>
                <w:szCs w:val="20"/>
              </w:rPr>
            </w:pPr>
            <w:r>
              <w:rPr>
                <w:rFonts w:ascii="Times New Roman" w:hAnsi="Times New Roman" w:cs="Times New Roman" w:hint="eastAsia"/>
                <w:szCs w:val="20"/>
              </w:rPr>
              <w:t>4</w:t>
            </w:r>
            <w:r w:rsidRPr="0029636B">
              <w:rPr>
                <w:rFonts w:ascii="Times New Roman" w:hAnsi="Times New Roman" w:cs="Times New Roman"/>
                <w:szCs w:val="20"/>
              </w:rPr>
              <w:t>.4</w:t>
            </w:r>
          </w:p>
        </w:tc>
      </w:tr>
      <w:tr w:rsidR="00232C58" w:rsidRPr="0029636B" w14:paraId="4217671D" w14:textId="77777777" w:rsidTr="001056E5">
        <w:trPr>
          <w:trHeight w:val="20"/>
        </w:trPr>
        <w:tc>
          <w:tcPr>
            <w:tcW w:w="1516" w:type="pct"/>
            <w:vMerge/>
            <w:shd w:val="clear" w:color="auto" w:fill="auto"/>
            <w:vAlign w:val="center"/>
            <w:hideMark/>
          </w:tcPr>
          <w:p w14:paraId="279650CC" w14:textId="77777777" w:rsidR="00232C58" w:rsidRPr="0029636B" w:rsidRDefault="00232C58" w:rsidP="007947DB">
            <w:pPr>
              <w:pStyle w:val="NoSpacing"/>
              <w:jc w:val="left"/>
              <w:rPr>
                <w:rFonts w:ascii="Times New Roman" w:hAnsi="Times New Roman" w:cs="Times New Roman"/>
                <w:szCs w:val="20"/>
              </w:rPr>
            </w:pPr>
          </w:p>
        </w:tc>
        <w:tc>
          <w:tcPr>
            <w:tcW w:w="1073" w:type="pct"/>
            <w:shd w:val="clear" w:color="auto" w:fill="auto"/>
            <w:vAlign w:val="center"/>
            <w:hideMark/>
          </w:tcPr>
          <w:p w14:paraId="4CA65E34" w14:textId="5362C077" w:rsidR="00232C58" w:rsidRPr="0029636B" w:rsidRDefault="00232C58" w:rsidP="007947DB">
            <w:pPr>
              <w:pStyle w:val="NoSpacing"/>
              <w:jc w:val="left"/>
              <w:rPr>
                <w:rFonts w:ascii="Times New Roman" w:hAnsi="Times New Roman" w:cs="Times New Roman"/>
                <w:szCs w:val="20"/>
              </w:rPr>
            </w:pPr>
            <w:r>
              <w:rPr>
                <w:rFonts w:ascii="Times New Roman" w:hAnsi="Times New Roman" w:cs="Times New Roman" w:hint="eastAsia"/>
                <w:szCs w:val="20"/>
              </w:rPr>
              <w:t>Urinary Tract Infection</w:t>
            </w:r>
          </w:p>
        </w:tc>
        <w:tc>
          <w:tcPr>
            <w:tcW w:w="616" w:type="pct"/>
            <w:shd w:val="clear" w:color="auto" w:fill="auto"/>
            <w:noWrap/>
            <w:vAlign w:val="center"/>
            <w:hideMark/>
          </w:tcPr>
          <w:p w14:paraId="2578BE4B" w14:textId="0E7E8361" w:rsidR="00232C58" w:rsidRPr="0029636B" w:rsidRDefault="00232C58" w:rsidP="007947DB">
            <w:pPr>
              <w:pStyle w:val="NoSpacing"/>
              <w:jc w:val="center"/>
              <w:rPr>
                <w:rFonts w:ascii="Times New Roman" w:hAnsi="Times New Roman" w:cs="Times New Roman"/>
                <w:szCs w:val="20"/>
              </w:rPr>
            </w:pPr>
            <w:r>
              <w:rPr>
                <w:rFonts w:ascii="Times New Roman" w:hAnsi="Times New Roman" w:cs="Times New Roman" w:hint="eastAsia"/>
                <w:szCs w:val="20"/>
              </w:rPr>
              <w:t>8</w:t>
            </w:r>
          </w:p>
        </w:tc>
        <w:tc>
          <w:tcPr>
            <w:tcW w:w="611" w:type="pct"/>
            <w:vAlign w:val="center"/>
          </w:tcPr>
          <w:p w14:paraId="24290F13" w14:textId="04122461" w:rsidR="00232C58" w:rsidRPr="0029636B" w:rsidRDefault="00232C58" w:rsidP="0043133A">
            <w:pPr>
              <w:pStyle w:val="NoSpacing"/>
              <w:jc w:val="center"/>
              <w:rPr>
                <w:rFonts w:ascii="Times New Roman" w:hAnsi="Times New Roman" w:cs="Times New Roman"/>
                <w:szCs w:val="20"/>
              </w:rPr>
            </w:pPr>
            <w:r>
              <w:rPr>
                <w:rFonts w:ascii="Times New Roman" w:hAnsi="Times New Roman" w:cs="Times New Roman" w:hint="eastAsia"/>
                <w:szCs w:val="20"/>
              </w:rPr>
              <w:t>2</w:t>
            </w:r>
            <w:r w:rsidRPr="0029636B">
              <w:rPr>
                <w:rFonts w:ascii="Times New Roman" w:hAnsi="Times New Roman" w:cs="Times New Roman"/>
                <w:szCs w:val="20"/>
              </w:rPr>
              <w:t>.</w:t>
            </w:r>
            <w:r>
              <w:rPr>
                <w:rFonts w:ascii="Times New Roman" w:hAnsi="Times New Roman" w:cs="Times New Roman" w:hint="eastAsia"/>
                <w:szCs w:val="20"/>
              </w:rPr>
              <w:t>8</w:t>
            </w:r>
          </w:p>
        </w:tc>
        <w:tc>
          <w:tcPr>
            <w:tcW w:w="537" w:type="pct"/>
            <w:shd w:val="clear" w:color="auto" w:fill="auto"/>
            <w:noWrap/>
            <w:vAlign w:val="center"/>
            <w:hideMark/>
          </w:tcPr>
          <w:p w14:paraId="56341ED9" w14:textId="470A5DE7" w:rsidR="00232C58" w:rsidRPr="0029636B" w:rsidRDefault="00232C58" w:rsidP="007947DB">
            <w:pPr>
              <w:pStyle w:val="NoSpacing"/>
              <w:jc w:val="center"/>
              <w:rPr>
                <w:rFonts w:ascii="Times New Roman" w:hAnsi="Times New Roman" w:cs="Times New Roman"/>
                <w:szCs w:val="20"/>
              </w:rPr>
            </w:pPr>
            <w:r>
              <w:rPr>
                <w:rFonts w:ascii="Times New Roman" w:hAnsi="Times New Roman" w:cs="Times New Roman" w:hint="eastAsia"/>
                <w:szCs w:val="20"/>
              </w:rPr>
              <w:t>6</w:t>
            </w:r>
          </w:p>
        </w:tc>
        <w:tc>
          <w:tcPr>
            <w:tcW w:w="647" w:type="pct"/>
            <w:vAlign w:val="center"/>
          </w:tcPr>
          <w:p w14:paraId="28904798" w14:textId="5676D450" w:rsidR="00232C58" w:rsidRPr="0029636B" w:rsidRDefault="00232C58" w:rsidP="0043133A">
            <w:pPr>
              <w:pStyle w:val="NoSpacing"/>
              <w:jc w:val="center"/>
              <w:rPr>
                <w:rFonts w:ascii="Times New Roman" w:hAnsi="Times New Roman" w:cs="Times New Roman"/>
                <w:szCs w:val="20"/>
              </w:rPr>
            </w:pPr>
            <w:r>
              <w:rPr>
                <w:rFonts w:ascii="Times New Roman" w:hAnsi="Times New Roman" w:cs="Times New Roman" w:hint="eastAsia"/>
                <w:szCs w:val="20"/>
              </w:rPr>
              <w:t>2</w:t>
            </w:r>
            <w:r w:rsidRPr="0029636B">
              <w:rPr>
                <w:rFonts w:ascii="Times New Roman" w:hAnsi="Times New Roman" w:cs="Times New Roman"/>
                <w:szCs w:val="20"/>
              </w:rPr>
              <w:t>.</w:t>
            </w:r>
            <w:r>
              <w:rPr>
                <w:rFonts w:ascii="Times New Roman" w:hAnsi="Times New Roman" w:cs="Times New Roman" w:hint="eastAsia"/>
                <w:szCs w:val="20"/>
              </w:rPr>
              <w:t>0</w:t>
            </w:r>
          </w:p>
        </w:tc>
      </w:tr>
      <w:tr w:rsidR="00232C58" w:rsidRPr="0029636B" w14:paraId="7CBF5FFB" w14:textId="77777777" w:rsidTr="001056E5">
        <w:trPr>
          <w:trHeight w:val="20"/>
        </w:trPr>
        <w:tc>
          <w:tcPr>
            <w:tcW w:w="1516" w:type="pct"/>
            <w:vMerge/>
            <w:shd w:val="clear" w:color="auto" w:fill="auto"/>
            <w:vAlign w:val="center"/>
            <w:hideMark/>
          </w:tcPr>
          <w:p w14:paraId="16DB95A9" w14:textId="77777777" w:rsidR="00232C58" w:rsidRPr="0029636B" w:rsidRDefault="00232C58" w:rsidP="007947DB">
            <w:pPr>
              <w:pStyle w:val="NoSpacing"/>
              <w:jc w:val="left"/>
              <w:rPr>
                <w:rFonts w:ascii="Times New Roman" w:hAnsi="Times New Roman" w:cs="Times New Roman"/>
                <w:szCs w:val="20"/>
              </w:rPr>
            </w:pPr>
          </w:p>
        </w:tc>
        <w:tc>
          <w:tcPr>
            <w:tcW w:w="1073" w:type="pct"/>
            <w:shd w:val="clear" w:color="auto" w:fill="auto"/>
            <w:vAlign w:val="center"/>
            <w:hideMark/>
          </w:tcPr>
          <w:p w14:paraId="01092ADF" w14:textId="77777777" w:rsidR="00232C58" w:rsidRPr="0029636B" w:rsidRDefault="00232C58" w:rsidP="007947DB">
            <w:pPr>
              <w:pStyle w:val="NoSpacing"/>
              <w:jc w:val="left"/>
              <w:rPr>
                <w:rFonts w:ascii="Times New Roman" w:hAnsi="Times New Roman" w:cs="Times New Roman"/>
                <w:szCs w:val="20"/>
              </w:rPr>
            </w:pPr>
            <w:r w:rsidRPr="0029636B">
              <w:rPr>
                <w:rFonts w:ascii="Times New Roman" w:hAnsi="Times New Roman" w:cs="Times New Roman"/>
                <w:szCs w:val="20"/>
              </w:rPr>
              <w:t>Pneumonia</w:t>
            </w:r>
          </w:p>
        </w:tc>
        <w:tc>
          <w:tcPr>
            <w:tcW w:w="616" w:type="pct"/>
            <w:shd w:val="clear" w:color="auto" w:fill="auto"/>
            <w:noWrap/>
            <w:vAlign w:val="center"/>
            <w:hideMark/>
          </w:tcPr>
          <w:p w14:paraId="57BE6282" w14:textId="27BBEAF0" w:rsidR="00232C58" w:rsidRPr="0029636B" w:rsidRDefault="00232C58" w:rsidP="007947DB">
            <w:pPr>
              <w:pStyle w:val="NoSpacing"/>
              <w:jc w:val="center"/>
              <w:rPr>
                <w:rFonts w:ascii="Times New Roman" w:hAnsi="Times New Roman" w:cs="Times New Roman"/>
                <w:szCs w:val="20"/>
              </w:rPr>
            </w:pPr>
            <w:r>
              <w:rPr>
                <w:rFonts w:ascii="Times New Roman" w:hAnsi="Times New Roman" w:cs="Times New Roman" w:hint="eastAsia"/>
                <w:szCs w:val="20"/>
              </w:rPr>
              <w:t>7</w:t>
            </w:r>
          </w:p>
        </w:tc>
        <w:tc>
          <w:tcPr>
            <w:tcW w:w="611" w:type="pct"/>
            <w:vAlign w:val="center"/>
          </w:tcPr>
          <w:p w14:paraId="3DD60998" w14:textId="6F30C5E9" w:rsidR="00232C58" w:rsidRPr="0029636B" w:rsidRDefault="00232C58" w:rsidP="0043133A">
            <w:pPr>
              <w:pStyle w:val="NoSpacing"/>
              <w:jc w:val="center"/>
              <w:rPr>
                <w:rFonts w:ascii="Times New Roman" w:hAnsi="Times New Roman" w:cs="Times New Roman"/>
                <w:szCs w:val="20"/>
              </w:rPr>
            </w:pPr>
            <w:r w:rsidRPr="0029636B">
              <w:rPr>
                <w:rFonts w:ascii="Times New Roman" w:hAnsi="Times New Roman" w:cs="Times New Roman"/>
                <w:szCs w:val="20"/>
              </w:rPr>
              <w:t>2.</w:t>
            </w:r>
            <w:r>
              <w:rPr>
                <w:rFonts w:ascii="Times New Roman" w:hAnsi="Times New Roman" w:cs="Times New Roman" w:hint="eastAsia"/>
                <w:szCs w:val="20"/>
              </w:rPr>
              <w:t>4</w:t>
            </w:r>
          </w:p>
        </w:tc>
        <w:tc>
          <w:tcPr>
            <w:tcW w:w="537" w:type="pct"/>
            <w:shd w:val="clear" w:color="auto" w:fill="auto"/>
            <w:noWrap/>
            <w:vAlign w:val="center"/>
            <w:hideMark/>
          </w:tcPr>
          <w:p w14:paraId="573ACE87" w14:textId="3D257BD9" w:rsidR="00232C58" w:rsidRPr="0029636B" w:rsidRDefault="00232C58" w:rsidP="007947DB">
            <w:pPr>
              <w:pStyle w:val="NoSpacing"/>
              <w:jc w:val="center"/>
              <w:rPr>
                <w:rFonts w:ascii="Times New Roman" w:hAnsi="Times New Roman" w:cs="Times New Roman"/>
                <w:szCs w:val="20"/>
              </w:rPr>
            </w:pPr>
            <w:r>
              <w:rPr>
                <w:rFonts w:ascii="Times New Roman" w:hAnsi="Times New Roman" w:cs="Times New Roman" w:hint="eastAsia"/>
                <w:szCs w:val="20"/>
              </w:rPr>
              <w:t>8</w:t>
            </w:r>
          </w:p>
        </w:tc>
        <w:tc>
          <w:tcPr>
            <w:tcW w:w="647" w:type="pct"/>
            <w:vAlign w:val="center"/>
          </w:tcPr>
          <w:p w14:paraId="061207BC" w14:textId="620D0594" w:rsidR="00232C58" w:rsidRPr="0029636B" w:rsidRDefault="00232C58" w:rsidP="007947DB">
            <w:pPr>
              <w:pStyle w:val="NoSpacing"/>
              <w:jc w:val="center"/>
              <w:rPr>
                <w:rFonts w:ascii="Times New Roman" w:hAnsi="Times New Roman" w:cs="Times New Roman"/>
                <w:szCs w:val="20"/>
              </w:rPr>
            </w:pPr>
            <w:r>
              <w:rPr>
                <w:rFonts w:ascii="Times New Roman" w:hAnsi="Times New Roman" w:cs="Times New Roman" w:hint="eastAsia"/>
                <w:szCs w:val="20"/>
              </w:rPr>
              <w:t>2</w:t>
            </w:r>
            <w:r w:rsidRPr="0029636B">
              <w:rPr>
                <w:rFonts w:ascii="Times New Roman" w:hAnsi="Times New Roman" w:cs="Times New Roman"/>
                <w:szCs w:val="20"/>
              </w:rPr>
              <w:t>.7</w:t>
            </w:r>
          </w:p>
        </w:tc>
      </w:tr>
      <w:tr w:rsidR="00232C58" w:rsidRPr="0029636B" w14:paraId="0967555C" w14:textId="77777777" w:rsidTr="001056E5">
        <w:trPr>
          <w:trHeight w:val="20"/>
        </w:trPr>
        <w:tc>
          <w:tcPr>
            <w:tcW w:w="1516" w:type="pct"/>
            <w:vMerge/>
            <w:shd w:val="clear" w:color="auto" w:fill="auto"/>
            <w:vAlign w:val="center"/>
          </w:tcPr>
          <w:p w14:paraId="68200124" w14:textId="77777777" w:rsidR="00232C58" w:rsidRPr="0029636B" w:rsidRDefault="00232C58" w:rsidP="007947DB">
            <w:pPr>
              <w:pStyle w:val="NoSpacing"/>
              <w:jc w:val="left"/>
              <w:rPr>
                <w:rFonts w:ascii="Times New Roman" w:hAnsi="Times New Roman" w:cs="Times New Roman"/>
                <w:szCs w:val="20"/>
              </w:rPr>
            </w:pPr>
          </w:p>
        </w:tc>
        <w:tc>
          <w:tcPr>
            <w:tcW w:w="1073" w:type="pct"/>
            <w:shd w:val="clear" w:color="auto" w:fill="auto"/>
            <w:vAlign w:val="center"/>
          </w:tcPr>
          <w:p w14:paraId="2ED8AC1A" w14:textId="79F1E26B" w:rsidR="00232C58" w:rsidRPr="0029636B" w:rsidRDefault="00232C58" w:rsidP="007947DB">
            <w:pPr>
              <w:pStyle w:val="NoSpacing"/>
              <w:jc w:val="left"/>
              <w:rPr>
                <w:rFonts w:ascii="Times New Roman" w:hAnsi="Times New Roman" w:cs="Times New Roman"/>
                <w:szCs w:val="20"/>
              </w:rPr>
            </w:pPr>
            <w:r>
              <w:rPr>
                <w:rFonts w:ascii="Times New Roman" w:hAnsi="Times New Roman" w:cs="Times New Roman" w:hint="eastAsia"/>
                <w:szCs w:val="20"/>
              </w:rPr>
              <w:t>Pharyngitis</w:t>
            </w:r>
          </w:p>
        </w:tc>
        <w:tc>
          <w:tcPr>
            <w:tcW w:w="616" w:type="pct"/>
            <w:shd w:val="clear" w:color="auto" w:fill="auto"/>
            <w:noWrap/>
            <w:vAlign w:val="center"/>
          </w:tcPr>
          <w:p w14:paraId="494F3C1C" w14:textId="3F2C3D24" w:rsidR="00232C58" w:rsidRPr="0029636B" w:rsidDel="0043133A" w:rsidRDefault="00232C58" w:rsidP="007947DB">
            <w:pPr>
              <w:pStyle w:val="NoSpacing"/>
              <w:jc w:val="center"/>
              <w:rPr>
                <w:rFonts w:ascii="Times New Roman" w:hAnsi="Times New Roman" w:cs="Times New Roman"/>
                <w:szCs w:val="20"/>
              </w:rPr>
            </w:pPr>
            <w:r>
              <w:rPr>
                <w:rFonts w:ascii="Times New Roman" w:hAnsi="Times New Roman" w:cs="Times New Roman" w:hint="eastAsia"/>
                <w:szCs w:val="20"/>
              </w:rPr>
              <w:t>5</w:t>
            </w:r>
          </w:p>
        </w:tc>
        <w:tc>
          <w:tcPr>
            <w:tcW w:w="611" w:type="pct"/>
            <w:vAlign w:val="center"/>
          </w:tcPr>
          <w:p w14:paraId="7FC1CFC4" w14:textId="666A3B1D" w:rsidR="00232C58" w:rsidRPr="0029636B" w:rsidRDefault="00232C58" w:rsidP="0043133A">
            <w:pPr>
              <w:pStyle w:val="NoSpacing"/>
              <w:jc w:val="center"/>
              <w:rPr>
                <w:rFonts w:ascii="Times New Roman" w:hAnsi="Times New Roman" w:cs="Times New Roman"/>
                <w:szCs w:val="20"/>
              </w:rPr>
            </w:pPr>
            <w:r>
              <w:rPr>
                <w:rFonts w:ascii="Times New Roman" w:hAnsi="Times New Roman" w:cs="Times New Roman" w:hint="eastAsia"/>
                <w:szCs w:val="20"/>
              </w:rPr>
              <w:t>1.7</w:t>
            </w:r>
          </w:p>
        </w:tc>
        <w:tc>
          <w:tcPr>
            <w:tcW w:w="537" w:type="pct"/>
            <w:shd w:val="clear" w:color="auto" w:fill="auto"/>
            <w:noWrap/>
            <w:vAlign w:val="center"/>
          </w:tcPr>
          <w:p w14:paraId="494C8AFD" w14:textId="03E0AE7C" w:rsidR="00232C58" w:rsidRPr="0029636B" w:rsidDel="0043133A" w:rsidRDefault="00232C58" w:rsidP="007947DB">
            <w:pPr>
              <w:pStyle w:val="NoSpacing"/>
              <w:jc w:val="center"/>
              <w:rPr>
                <w:rFonts w:ascii="Times New Roman" w:hAnsi="Times New Roman" w:cs="Times New Roman"/>
                <w:szCs w:val="20"/>
              </w:rPr>
            </w:pPr>
            <w:r>
              <w:rPr>
                <w:rFonts w:ascii="Times New Roman" w:hAnsi="Times New Roman" w:cs="Times New Roman" w:hint="eastAsia"/>
                <w:szCs w:val="20"/>
              </w:rPr>
              <w:t>7</w:t>
            </w:r>
          </w:p>
        </w:tc>
        <w:tc>
          <w:tcPr>
            <w:tcW w:w="647" w:type="pct"/>
            <w:vAlign w:val="center"/>
          </w:tcPr>
          <w:p w14:paraId="187CDE42" w14:textId="690D991F" w:rsidR="00232C58" w:rsidRPr="0029636B" w:rsidDel="0043133A" w:rsidRDefault="00232C58" w:rsidP="007947DB">
            <w:pPr>
              <w:pStyle w:val="NoSpacing"/>
              <w:jc w:val="center"/>
              <w:rPr>
                <w:rFonts w:ascii="Times New Roman" w:hAnsi="Times New Roman" w:cs="Times New Roman"/>
                <w:szCs w:val="20"/>
              </w:rPr>
            </w:pPr>
            <w:r>
              <w:rPr>
                <w:rFonts w:ascii="Times New Roman" w:hAnsi="Times New Roman" w:cs="Times New Roman" w:hint="eastAsia"/>
                <w:szCs w:val="20"/>
              </w:rPr>
              <w:t>2.4</w:t>
            </w:r>
          </w:p>
        </w:tc>
      </w:tr>
      <w:tr w:rsidR="00232C58" w:rsidRPr="0029636B" w14:paraId="33D2237A" w14:textId="77777777" w:rsidTr="001056E5">
        <w:trPr>
          <w:trHeight w:val="20"/>
        </w:trPr>
        <w:tc>
          <w:tcPr>
            <w:tcW w:w="1516" w:type="pct"/>
            <w:vMerge/>
            <w:shd w:val="clear" w:color="auto" w:fill="auto"/>
            <w:vAlign w:val="center"/>
          </w:tcPr>
          <w:p w14:paraId="4D74F307" w14:textId="77777777" w:rsidR="00232C58" w:rsidRPr="0029636B" w:rsidRDefault="00232C58" w:rsidP="007947DB">
            <w:pPr>
              <w:pStyle w:val="NoSpacing"/>
              <w:jc w:val="left"/>
              <w:rPr>
                <w:rFonts w:ascii="Times New Roman" w:hAnsi="Times New Roman" w:cs="Times New Roman"/>
                <w:szCs w:val="20"/>
              </w:rPr>
            </w:pPr>
          </w:p>
        </w:tc>
        <w:tc>
          <w:tcPr>
            <w:tcW w:w="1073" w:type="pct"/>
            <w:shd w:val="clear" w:color="auto" w:fill="auto"/>
            <w:vAlign w:val="center"/>
          </w:tcPr>
          <w:p w14:paraId="1A9C2631" w14:textId="7C48BBD2" w:rsidR="00232C58" w:rsidRPr="0029636B" w:rsidRDefault="00232C58" w:rsidP="007947DB">
            <w:pPr>
              <w:pStyle w:val="NoSpacing"/>
              <w:jc w:val="left"/>
              <w:rPr>
                <w:rFonts w:ascii="Times New Roman" w:hAnsi="Times New Roman" w:cs="Times New Roman"/>
                <w:szCs w:val="20"/>
              </w:rPr>
            </w:pPr>
            <w:proofErr w:type="spellStart"/>
            <w:r>
              <w:rPr>
                <w:rFonts w:ascii="Times New Roman" w:hAnsi="Times New Roman" w:cs="Times New Roman" w:hint="eastAsia"/>
                <w:szCs w:val="20"/>
              </w:rPr>
              <w:t>Infleunza</w:t>
            </w:r>
            <w:proofErr w:type="spellEnd"/>
            <w:r>
              <w:rPr>
                <w:rFonts w:ascii="Times New Roman" w:hAnsi="Times New Roman" w:cs="Times New Roman" w:hint="eastAsia"/>
                <w:szCs w:val="20"/>
              </w:rPr>
              <w:t xml:space="preserve"> </w:t>
            </w:r>
          </w:p>
        </w:tc>
        <w:tc>
          <w:tcPr>
            <w:tcW w:w="616" w:type="pct"/>
            <w:shd w:val="clear" w:color="auto" w:fill="auto"/>
            <w:noWrap/>
            <w:vAlign w:val="center"/>
          </w:tcPr>
          <w:p w14:paraId="7371E6B0" w14:textId="4990B802" w:rsidR="00232C58" w:rsidRPr="0029636B" w:rsidDel="0043133A" w:rsidRDefault="00232C58" w:rsidP="007947DB">
            <w:pPr>
              <w:pStyle w:val="NoSpacing"/>
              <w:jc w:val="center"/>
              <w:rPr>
                <w:rFonts w:ascii="Times New Roman" w:hAnsi="Times New Roman" w:cs="Times New Roman"/>
                <w:szCs w:val="20"/>
              </w:rPr>
            </w:pPr>
            <w:r>
              <w:rPr>
                <w:rFonts w:ascii="Times New Roman" w:hAnsi="Times New Roman" w:cs="Times New Roman" w:hint="eastAsia"/>
                <w:szCs w:val="20"/>
              </w:rPr>
              <w:t>2</w:t>
            </w:r>
          </w:p>
        </w:tc>
        <w:tc>
          <w:tcPr>
            <w:tcW w:w="611" w:type="pct"/>
            <w:vAlign w:val="center"/>
          </w:tcPr>
          <w:p w14:paraId="73ABD350" w14:textId="4FF0089B" w:rsidR="00232C58" w:rsidRPr="0029636B" w:rsidRDefault="00232C58" w:rsidP="0043133A">
            <w:pPr>
              <w:pStyle w:val="NoSpacing"/>
              <w:jc w:val="center"/>
              <w:rPr>
                <w:rFonts w:ascii="Times New Roman" w:hAnsi="Times New Roman" w:cs="Times New Roman"/>
                <w:szCs w:val="20"/>
              </w:rPr>
            </w:pPr>
            <w:r>
              <w:rPr>
                <w:rFonts w:ascii="Times New Roman" w:hAnsi="Times New Roman" w:cs="Times New Roman" w:hint="eastAsia"/>
                <w:szCs w:val="20"/>
              </w:rPr>
              <w:t>0.7</w:t>
            </w:r>
          </w:p>
        </w:tc>
        <w:tc>
          <w:tcPr>
            <w:tcW w:w="537" w:type="pct"/>
            <w:shd w:val="clear" w:color="auto" w:fill="auto"/>
            <w:noWrap/>
            <w:vAlign w:val="center"/>
          </w:tcPr>
          <w:p w14:paraId="21D69B20" w14:textId="3820B5A4" w:rsidR="00232C58" w:rsidRPr="0029636B" w:rsidDel="0043133A" w:rsidRDefault="00232C58" w:rsidP="007947DB">
            <w:pPr>
              <w:pStyle w:val="NoSpacing"/>
              <w:jc w:val="center"/>
              <w:rPr>
                <w:rFonts w:ascii="Times New Roman" w:hAnsi="Times New Roman" w:cs="Times New Roman"/>
                <w:szCs w:val="20"/>
              </w:rPr>
            </w:pPr>
            <w:r>
              <w:rPr>
                <w:rFonts w:ascii="Times New Roman" w:hAnsi="Times New Roman" w:cs="Times New Roman" w:hint="eastAsia"/>
                <w:szCs w:val="20"/>
              </w:rPr>
              <w:t>3</w:t>
            </w:r>
          </w:p>
        </w:tc>
        <w:tc>
          <w:tcPr>
            <w:tcW w:w="647" w:type="pct"/>
            <w:vAlign w:val="center"/>
          </w:tcPr>
          <w:p w14:paraId="4109E63A" w14:textId="5EA5E601" w:rsidR="00232C58" w:rsidRPr="0029636B" w:rsidDel="0043133A" w:rsidRDefault="00232C58" w:rsidP="007947DB">
            <w:pPr>
              <w:pStyle w:val="NoSpacing"/>
              <w:jc w:val="center"/>
              <w:rPr>
                <w:rFonts w:ascii="Times New Roman" w:hAnsi="Times New Roman" w:cs="Times New Roman"/>
                <w:szCs w:val="20"/>
              </w:rPr>
            </w:pPr>
            <w:r>
              <w:rPr>
                <w:rFonts w:ascii="Times New Roman" w:hAnsi="Times New Roman" w:cs="Times New Roman" w:hint="eastAsia"/>
                <w:szCs w:val="20"/>
              </w:rPr>
              <w:t>1.0</w:t>
            </w:r>
          </w:p>
        </w:tc>
      </w:tr>
      <w:tr w:rsidR="00232C58" w:rsidRPr="0029636B" w14:paraId="57C1E352" w14:textId="77777777" w:rsidTr="001056E5">
        <w:trPr>
          <w:trHeight w:val="20"/>
        </w:trPr>
        <w:tc>
          <w:tcPr>
            <w:tcW w:w="1516" w:type="pct"/>
            <w:vMerge/>
            <w:shd w:val="clear" w:color="auto" w:fill="auto"/>
            <w:vAlign w:val="center"/>
          </w:tcPr>
          <w:p w14:paraId="2EEE2168" w14:textId="77777777" w:rsidR="00232C58" w:rsidRPr="0029636B" w:rsidRDefault="00232C58" w:rsidP="007947DB">
            <w:pPr>
              <w:pStyle w:val="NoSpacing"/>
              <w:jc w:val="left"/>
              <w:rPr>
                <w:rFonts w:ascii="Times New Roman" w:hAnsi="Times New Roman" w:cs="Times New Roman"/>
                <w:szCs w:val="20"/>
              </w:rPr>
            </w:pPr>
          </w:p>
        </w:tc>
        <w:tc>
          <w:tcPr>
            <w:tcW w:w="1073" w:type="pct"/>
            <w:shd w:val="clear" w:color="auto" w:fill="auto"/>
            <w:vAlign w:val="center"/>
          </w:tcPr>
          <w:p w14:paraId="00846189" w14:textId="719833F2" w:rsidR="00232C58" w:rsidRDefault="00232C58" w:rsidP="007947DB">
            <w:pPr>
              <w:pStyle w:val="NoSpacing"/>
              <w:jc w:val="left"/>
              <w:rPr>
                <w:rFonts w:ascii="Times New Roman" w:hAnsi="Times New Roman" w:cs="Times New Roman"/>
                <w:szCs w:val="20"/>
              </w:rPr>
            </w:pPr>
            <w:r>
              <w:rPr>
                <w:rFonts w:ascii="Times New Roman" w:hAnsi="Times New Roman" w:cs="Times New Roman" w:hint="eastAsia"/>
                <w:szCs w:val="20"/>
              </w:rPr>
              <w:t>Oral Herpes</w:t>
            </w:r>
          </w:p>
        </w:tc>
        <w:tc>
          <w:tcPr>
            <w:tcW w:w="616" w:type="pct"/>
            <w:shd w:val="clear" w:color="auto" w:fill="auto"/>
            <w:noWrap/>
            <w:vAlign w:val="center"/>
          </w:tcPr>
          <w:p w14:paraId="719E7492" w14:textId="29753052" w:rsidR="00232C58" w:rsidRPr="0029636B" w:rsidDel="0043133A" w:rsidRDefault="00232C58" w:rsidP="007947DB">
            <w:pPr>
              <w:pStyle w:val="NoSpacing"/>
              <w:jc w:val="center"/>
              <w:rPr>
                <w:rFonts w:ascii="Times New Roman" w:hAnsi="Times New Roman" w:cs="Times New Roman"/>
                <w:szCs w:val="20"/>
              </w:rPr>
            </w:pPr>
            <w:r>
              <w:rPr>
                <w:rFonts w:ascii="Times New Roman" w:hAnsi="Times New Roman" w:cs="Times New Roman" w:hint="eastAsia"/>
                <w:szCs w:val="20"/>
              </w:rPr>
              <w:t>2</w:t>
            </w:r>
          </w:p>
        </w:tc>
        <w:tc>
          <w:tcPr>
            <w:tcW w:w="611" w:type="pct"/>
            <w:vAlign w:val="center"/>
          </w:tcPr>
          <w:p w14:paraId="66EB00E5" w14:textId="2681EDA7" w:rsidR="00232C58" w:rsidRPr="0029636B" w:rsidRDefault="00232C58" w:rsidP="0043133A">
            <w:pPr>
              <w:pStyle w:val="NoSpacing"/>
              <w:jc w:val="center"/>
              <w:rPr>
                <w:rFonts w:ascii="Times New Roman" w:hAnsi="Times New Roman" w:cs="Times New Roman"/>
                <w:szCs w:val="20"/>
              </w:rPr>
            </w:pPr>
            <w:r>
              <w:rPr>
                <w:rFonts w:ascii="Times New Roman" w:hAnsi="Times New Roman" w:cs="Times New Roman" w:hint="eastAsia"/>
                <w:szCs w:val="20"/>
              </w:rPr>
              <w:t>0.7</w:t>
            </w:r>
          </w:p>
        </w:tc>
        <w:tc>
          <w:tcPr>
            <w:tcW w:w="537" w:type="pct"/>
            <w:shd w:val="clear" w:color="auto" w:fill="auto"/>
            <w:noWrap/>
            <w:vAlign w:val="center"/>
          </w:tcPr>
          <w:p w14:paraId="608E4029" w14:textId="79DF128F" w:rsidR="00232C58" w:rsidRPr="0029636B" w:rsidDel="0043133A" w:rsidRDefault="00232C58" w:rsidP="007947DB">
            <w:pPr>
              <w:pStyle w:val="NoSpacing"/>
              <w:jc w:val="center"/>
              <w:rPr>
                <w:rFonts w:ascii="Times New Roman" w:hAnsi="Times New Roman" w:cs="Times New Roman"/>
                <w:szCs w:val="20"/>
              </w:rPr>
            </w:pPr>
            <w:r>
              <w:rPr>
                <w:rFonts w:ascii="Times New Roman" w:hAnsi="Times New Roman" w:cs="Times New Roman" w:hint="eastAsia"/>
                <w:szCs w:val="20"/>
              </w:rPr>
              <w:t>3</w:t>
            </w:r>
          </w:p>
        </w:tc>
        <w:tc>
          <w:tcPr>
            <w:tcW w:w="647" w:type="pct"/>
            <w:vAlign w:val="center"/>
          </w:tcPr>
          <w:p w14:paraId="4C403F1C" w14:textId="7DD7EF3B" w:rsidR="00232C58" w:rsidRPr="0029636B" w:rsidDel="0043133A" w:rsidRDefault="00232C58" w:rsidP="007947DB">
            <w:pPr>
              <w:pStyle w:val="NoSpacing"/>
              <w:jc w:val="center"/>
              <w:rPr>
                <w:rFonts w:ascii="Times New Roman" w:hAnsi="Times New Roman" w:cs="Times New Roman"/>
                <w:szCs w:val="20"/>
              </w:rPr>
            </w:pPr>
            <w:r>
              <w:rPr>
                <w:rFonts w:ascii="Times New Roman" w:hAnsi="Times New Roman" w:cs="Times New Roman" w:hint="eastAsia"/>
                <w:szCs w:val="20"/>
              </w:rPr>
              <w:t>1.0</w:t>
            </w:r>
          </w:p>
        </w:tc>
      </w:tr>
      <w:tr w:rsidR="00232C58" w:rsidRPr="0029636B" w14:paraId="02742DBE" w14:textId="77777777" w:rsidTr="001056E5">
        <w:trPr>
          <w:trHeight w:val="20"/>
        </w:trPr>
        <w:tc>
          <w:tcPr>
            <w:tcW w:w="1516" w:type="pct"/>
            <w:vMerge/>
            <w:shd w:val="clear" w:color="auto" w:fill="auto"/>
            <w:vAlign w:val="center"/>
          </w:tcPr>
          <w:p w14:paraId="4BBFE50F" w14:textId="77777777" w:rsidR="00232C58" w:rsidRPr="0029636B" w:rsidRDefault="00232C58" w:rsidP="007947DB">
            <w:pPr>
              <w:pStyle w:val="NoSpacing"/>
              <w:jc w:val="left"/>
              <w:rPr>
                <w:rFonts w:ascii="Times New Roman" w:hAnsi="Times New Roman" w:cs="Times New Roman"/>
                <w:szCs w:val="20"/>
              </w:rPr>
            </w:pPr>
          </w:p>
        </w:tc>
        <w:tc>
          <w:tcPr>
            <w:tcW w:w="1073" w:type="pct"/>
            <w:shd w:val="clear" w:color="auto" w:fill="auto"/>
            <w:vAlign w:val="center"/>
          </w:tcPr>
          <w:p w14:paraId="1BC343FF" w14:textId="4DD3CE0F" w:rsidR="00232C58" w:rsidRDefault="00232C58" w:rsidP="007947DB">
            <w:pPr>
              <w:pStyle w:val="NoSpacing"/>
              <w:jc w:val="left"/>
              <w:rPr>
                <w:rFonts w:ascii="Times New Roman" w:hAnsi="Times New Roman" w:cs="Times New Roman"/>
                <w:szCs w:val="20"/>
              </w:rPr>
            </w:pPr>
            <w:r>
              <w:rPr>
                <w:rFonts w:ascii="Times New Roman" w:hAnsi="Times New Roman" w:cs="Times New Roman" w:hint="eastAsia"/>
                <w:szCs w:val="20"/>
              </w:rPr>
              <w:t>Rhinitis</w:t>
            </w:r>
          </w:p>
        </w:tc>
        <w:tc>
          <w:tcPr>
            <w:tcW w:w="616" w:type="pct"/>
            <w:shd w:val="clear" w:color="auto" w:fill="auto"/>
            <w:noWrap/>
            <w:vAlign w:val="center"/>
          </w:tcPr>
          <w:p w14:paraId="2D14556B" w14:textId="3C4F091F" w:rsidR="00232C58" w:rsidRDefault="00232C58" w:rsidP="007947DB">
            <w:pPr>
              <w:pStyle w:val="NoSpacing"/>
              <w:jc w:val="center"/>
              <w:rPr>
                <w:rFonts w:ascii="Times New Roman" w:hAnsi="Times New Roman" w:cs="Times New Roman"/>
                <w:szCs w:val="20"/>
              </w:rPr>
            </w:pPr>
            <w:r>
              <w:rPr>
                <w:rFonts w:ascii="Times New Roman" w:hAnsi="Times New Roman" w:cs="Times New Roman" w:hint="eastAsia"/>
                <w:szCs w:val="20"/>
              </w:rPr>
              <w:t>2</w:t>
            </w:r>
          </w:p>
        </w:tc>
        <w:tc>
          <w:tcPr>
            <w:tcW w:w="611" w:type="pct"/>
            <w:vAlign w:val="center"/>
          </w:tcPr>
          <w:p w14:paraId="001DC42A" w14:textId="3F1DBB42" w:rsidR="00232C58" w:rsidRDefault="00232C58" w:rsidP="0043133A">
            <w:pPr>
              <w:pStyle w:val="NoSpacing"/>
              <w:jc w:val="center"/>
              <w:rPr>
                <w:rFonts w:ascii="Times New Roman" w:hAnsi="Times New Roman" w:cs="Times New Roman"/>
                <w:szCs w:val="20"/>
              </w:rPr>
            </w:pPr>
            <w:r>
              <w:rPr>
                <w:rFonts w:ascii="Times New Roman" w:hAnsi="Times New Roman" w:cs="Times New Roman" w:hint="eastAsia"/>
                <w:szCs w:val="20"/>
              </w:rPr>
              <w:t>0.7</w:t>
            </w:r>
          </w:p>
        </w:tc>
        <w:tc>
          <w:tcPr>
            <w:tcW w:w="537" w:type="pct"/>
            <w:shd w:val="clear" w:color="auto" w:fill="auto"/>
            <w:noWrap/>
            <w:vAlign w:val="center"/>
          </w:tcPr>
          <w:p w14:paraId="10FB2E04" w14:textId="5A1F1BEC" w:rsidR="00232C58" w:rsidRDefault="00232C58" w:rsidP="007947DB">
            <w:pPr>
              <w:pStyle w:val="NoSpacing"/>
              <w:jc w:val="center"/>
              <w:rPr>
                <w:rFonts w:ascii="Times New Roman" w:hAnsi="Times New Roman" w:cs="Times New Roman"/>
                <w:szCs w:val="20"/>
              </w:rPr>
            </w:pPr>
            <w:r w:rsidRPr="0029636B">
              <w:rPr>
                <w:rFonts w:ascii="Times New Roman" w:hAnsi="Times New Roman" w:cs="Times New Roman"/>
                <w:szCs w:val="20"/>
              </w:rPr>
              <w:t>5</w:t>
            </w:r>
          </w:p>
        </w:tc>
        <w:tc>
          <w:tcPr>
            <w:tcW w:w="647" w:type="pct"/>
            <w:vAlign w:val="center"/>
          </w:tcPr>
          <w:p w14:paraId="0F21101F" w14:textId="767F14E2" w:rsidR="00232C58" w:rsidRDefault="00232C58" w:rsidP="007947DB">
            <w:pPr>
              <w:pStyle w:val="NoSpacing"/>
              <w:jc w:val="center"/>
              <w:rPr>
                <w:rFonts w:ascii="Times New Roman" w:hAnsi="Times New Roman" w:cs="Times New Roman"/>
                <w:szCs w:val="20"/>
              </w:rPr>
            </w:pPr>
            <w:r w:rsidRPr="0029636B">
              <w:rPr>
                <w:rFonts w:ascii="Times New Roman" w:hAnsi="Times New Roman" w:cs="Times New Roman"/>
                <w:szCs w:val="20"/>
              </w:rPr>
              <w:t>1.7</w:t>
            </w:r>
          </w:p>
        </w:tc>
      </w:tr>
      <w:tr w:rsidR="00232C58" w:rsidRPr="0029636B" w14:paraId="53AF12A5" w14:textId="77777777" w:rsidTr="001056E5">
        <w:trPr>
          <w:trHeight w:val="20"/>
        </w:trPr>
        <w:tc>
          <w:tcPr>
            <w:tcW w:w="1516" w:type="pct"/>
            <w:vMerge/>
            <w:shd w:val="clear" w:color="auto" w:fill="auto"/>
            <w:vAlign w:val="center"/>
          </w:tcPr>
          <w:p w14:paraId="02FF4053" w14:textId="77777777" w:rsidR="00232C58" w:rsidRPr="0029636B" w:rsidRDefault="00232C58" w:rsidP="007947DB">
            <w:pPr>
              <w:pStyle w:val="NoSpacing"/>
              <w:jc w:val="left"/>
              <w:rPr>
                <w:rFonts w:ascii="Times New Roman" w:hAnsi="Times New Roman" w:cs="Times New Roman"/>
                <w:szCs w:val="20"/>
              </w:rPr>
            </w:pPr>
          </w:p>
        </w:tc>
        <w:tc>
          <w:tcPr>
            <w:tcW w:w="1073" w:type="pct"/>
            <w:shd w:val="clear" w:color="auto" w:fill="auto"/>
            <w:vAlign w:val="center"/>
          </w:tcPr>
          <w:p w14:paraId="155361C2" w14:textId="5866F748" w:rsidR="00232C58" w:rsidRDefault="00232C58" w:rsidP="007947DB">
            <w:pPr>
              <w:pStyle w:val="NoSpacing"/>
              <w:jc w:val="left"/>
              <w:rPr>
                <w:rFonts w:ascii="Times New Roman" w:hAnsi="Times New Roman" w:cs="Times New Roman"/>
                <w:szCs w:val="20"/>
              </w:rPr>
            </w:pPr>
            <w:r>
              <w:rPr>
                <w:rFonts w:ascii="Times New Roman" w:hAnsi="Times New Roman" w:cs="Times New Roman" w:hint="eastAsia"/>
                <w:szCs w:val="20"/>
              </w:rPr>
              <w:t>Cystitis</w:t>
            </w:r>
          </w:p>
        </w:tc>
        <w:tc>
          <w:tcPr>
            <w:tcW w:w="616" w:type="pct"/>
            <w:shd w:val="clear" w:color="auto" w:fill="auto"/>
            <w:noWrap/>
            <w:vAlign w:val="center"/>
          </w:tcPr>
          <w:p w14:paraId="3ADA0C65" w14:textId="17FF86C5" w:rsidR="00232C58" w:rsidRDefault="00232C58" w:rsidP="007947DB">
            <w:pPr>
              <w:pStyle w:val="NoSpacing"/>
              <w:jc w:val="center"/>
              <w:rPr>
                <w:rFonts w:ascii="Times New Roman" w:hAnsi="Times New Roman" w:cs="Times New Roman"/>
                <w:szCs w:val="20"/>
              </w:rPr>
            </w:pPr>
            <w:r>
              <w:rPr>
                <w:rFonts w:ascii="Times New Roman" w:hAnsi="Times New Roman" w:cs="Times New Roman" w:hint="eastAsia"/>
                <w:szCs w:val="20"/>
              </w:rPr>
              <w:t>1</w:t>
            </w:r>
          </w:p>
        </w:tc>
        <w:tc>
          <w:tcPr>
            <w:tcW w:w="611" w:type="pct"/>
            <w:vAlign w:val="center"/>
          </w:tcPr>
          <w:p w14:paraId="5A1A6305" w14:textId="40E1E53E" w:rsidR="00232C58" w:rsidRDefault="00232C58" w:rsidP="0043133A">
            <w:pPr>
              <w:pStyle w:val="NoSpacing"/>
              <w:jc w:val="center"/>
              <w:rPr>
                <w:rFonts w:ascii="Times New Roman" w:hAnsi="Times New Roman" w:cs="Times New Roman"/>
                <w:szCs w:val="20"/>
              </w:rPr>
            </w:pPr>
            <w:r>
              <w:rPr>
                <w:rFonts w:ascii="Times New Roman" w:hAnsi="Times New Roman" w:cs="Times New Roman" w:hint="eastAsia"/>
                <w:szCs w:val="20"/>
              </w:rPr>
              <w:t>0.3</w:t>
            </w:r>
          </w:p>
        </w:tc>
        <w:tc>
          <w:tcPr>
            <w:tcW w:w="537" w:type="pct"/>
            <w:shd w:val="clear" w:color="auto" w:fill="auto"/>
            <w:noWrap/>
            <w:vAlign w:val="center"/>
          </w:tcPr>
          <w:p w14:paraId="415598F9" w14:textId="1712384E" w:rsidR="00232C58" w:rsidRDefault="00232C58" w:rsidP="007947DB">
            <w:pPr>
              <w:pStyle w:val="NoSpacing"/>
              <w:jc w:val="center"/>
              <w:rPr>
                <w:rFonts w:ascii="Times New Roman" w:hAnsi="Times New Roman" w:cs="Times New Roman"/>
                <w:szCs w:val="20"/>
              </w:rPr>
            </w:pPr>
            <w:r>
              <w:rPr>
                <w:rFonts w:ascii="Times New Roman" w:hAnsi="Times New Roman" w:cs="Times New Roman" w:hint="eastAsia"/>
                <w:szCs w:val="20"/>
              </w:rPr>
              <w:t>4</w:t>
            </w:r>
          </w:p>
        </w:tc>
        <w:tc>
          <w:tcPr>
            <w:tcW w:w="647" w:type="pct"/>
            <w:vAlign w:val="center"/>
          </w:tcPr>
          <w:p w14:paraId="0BDA605A" w14:textId="7D602073" w:rsidR="00232C58" w:rsidRDefault="00232C58" w:rsidP="007947DB">
            <w:pPr>
              <w:pStyle w:val="NoSpacing"/>
              <w:jc w:val="center"/>
              <w:rPr>
                <w:rFonts w:ascii="Times New Roman" w:hAnsi="Times New Roman" w:cs="Times New Roman"/>
                <w:szCs w:val="20"/>
              </w:rPr>
            </w:pPr>
            <w:r>
              <w:rPr>
                <w:rFonts w:ascii="Times New Roman" w:hAnsi="Times New Roman" w:cs="Times New Roman" w:hint="eastAsia"/>
                <w:szCs w:val="20"/>
              </w:rPr>
              <w:t>1.4</w:t>
            </w:r>
          </w:p>
        </w:tc>
      </w:tr>
      <w:tr w:rsidR="00232C58" w:rsidRPr="0029636B" w14:paraId="6193AAA0" w14:textId="77777777" w:rsidTr="001056E5">
        <w:trPr>
          <w:trHeight w:val="20"/>
        </w:trPr>
        <w:tc>
          <w:tcPr>
            <w:tcW w:w="1516" w:type="pct"/>
            <w:vMerge/>
            <w:shd w:val="clear" w:color="auto" w:fill="auto"/>
            <w:vAlign w:val="center"/>
          </w:tcPr>
          <w:p w14:paraId="576D02E1" w14:textId="77777777" w:rsidR="00232C58" w:rsidRPr="0029636B" w:rsidRDefault="00232C58" w:rsidP="007947DB">
            <w:pPr>
              <w:pStyle w:val="NoSpacing"/>
              <w:jc w:val="left"/>
              <w:rPr>
                <w:rFonts w:ascii="Times New Roman" w:hAnsi="Times New Roman" w:cs="Times New Roman"/>
                <w:szCs w:val="20"/>
              </w:rPr>
            </w:pPr>
          </w:p>
        </w:tc>
        <w:tc>
          <w:tcPr>
            <w:tcW w:w="1073" w:type="pct"/>
            <w:shd w:val="clear" w:color="auto" w:fill="auto"/>
            <w:vAlign w:val="center"/>
          </w:tcPr>
          <w:p w14:paraId="0C144A62" w14:textId="0E1F6C59" w:rsidR="00232C58" w:rsidRDefault="00232C58" w:rsidP="007947DB">
            <w:pPr>
              <w:pStyle w:val="NoSpacing"/>
              <w:jc w:val="left"/>
              <w:rPr>
                <w:rFonts w:ascii="Times New Roman" w:hAnsi="Times New Roman" w:cs="Times New Roman"/>
                <w:szCs w:val="20"/>
              </w:rPr>
            </w:pPr>
            <w:r>
              <w:rPr>
                <w:rFonts w:ascii="Times New Roman" w:hAnsi="Times New Roman" w:cs="Times New Roman" w:hint="eastAsia"/>
                <w:szCs w:val="20"/>
              </w:rPr>
              <w:t>Tonsillitis</w:t>
            </w:r>
          </w:p>
        </w:tc>
        <w:tc>
          <w:tcPr>
            <w:tcW w:w="616" w:type="pct"/>
            <w:shd w:val="clear" w:color="auto" w:fill="auto"/>
            <w:noWrap/>
            <w:vAlign w:val="center"/>
          </w:tcPr>
          <w:p w14:paraId="01764083" w14:textId="27DC4581" w:rsidR="00232C58" w:rsidRDefault="00232C58" w:rsidP="007947DB">
            <w:pPr>
              <w:pStyle w:val="NoSpacing"/>
              <w:jc w:val="center"/>
              <w:rPr>
                <w:rFonts w:ascii="Times New Roman" w:hAnsi="Times New Roman" w:cs="Times New Roman"/>
                <w:szCs w:val="20"/>
              </w:rPr>
            </w:pPr>
            <w:r>
              <w:rPr>
                <w:rFonts w:ascii="Times New Roman" w:hAnsi="Times New Roman" w:cs="Times New Roman" w:hint="eastAsia"/>
                <w:szCs w:val="20"/>
              </w:rPr>
              <w:t>1</w:t>
            </w:r>
          </w:p>
        </w:tc>
        <w:tc>
          <w:tcPr>
            <w:tcW w:w="611" w:type="pct"/>
            <w:vAlign w:val="center"/>
          </w:tcPr>
          <w:p w14:paraId="309589D4" w14:textId="03F313A0" w:rsidR="00232C58" w:rsidRDefault="00232C58" w:rsidP="0043133A">
            <w:pPr>
              <w:pStyle w:val="NoSpacing"/>
              <w:jc w:val="center"/>
              <w:rPr>
                <w:rFonts w:ascii="Times New Roman" w:hAnsi="Times New Roman" w:cs="Times New Roman"/>
                <w:szCs w:val="20"/>
              </w:rPr>
            </w:pPr>
            <w:r>
              <w:rPr>
                <w:rFonts w:ascii="Times New Roman" w:hAnsi="Times New Roman" w:cs="Times New Roman" w:hint="eastAsia"/>
                <w:szCs w:val="20"/>
              </w:rPr>
              <w:t>0.3</w:t>
            </w:r>
          </w:p>
        </w:tc>
        <w:tc>
          <w:tcPr>
            <w:tcW w:w="537" w:type="pct"/>
            <w:shd w:val="clear" w:color="auto" w:fill="auto"/>
            <w:noWrap/>
            <w:vAlign w:val="center"/>
          </w:tcPr>
          <w:p w14:paraId="73D5523F" w14:textId="405773A7" w:rsidR="00232C58" w:rsidRDefault="00232C58" w:rsidP="007947DB">
            <w:pPr>
              <w:pStyle w:val="NoSpacing"/>
              <w:jc w:val="center"/>
              <w:rPr>
                <w:rFonts w:ascii="Times New Roman" w:hAnsi="Times New Roman" w:cs="Times New Roman"/>
                <w:szCs w:val="20"/>
              </w:rPr>
            </w:pPr>
            <w:r w:rsidRPr="0029636B">
              <w:rPr>
                <w:rFonts w:ascii="Times New Roman" w:hAnsi="Times New Roman" w:cs="Times New Roman"/>
                <w:szCs w:val="20"/>
              </w:rPr>
              <w:t>5</w:t>
            </w:r>
          </w:p>
        </w:tc>
        <w:tc>
          <w:tcPr>
            <w:tcW w:w="647" w:type="pct"/>
            <w:vAlign w:val="center"/>
          </w:tcPr>
          <w:p w14:paraId="59C1241F" w14:textId="75FCA003" w:rsidR="00232C58" w:rsidRDefault="00232C58" w:rsidP="007947DB">
            <w:pPr>
              <w:pStyle w:val="NoSpacing"/>
              <w:jc w:val="center"/>
              <w:rPr>
                <w:rFonts w:ascii="Times New Roman" w:hAnsi="Times New Roman" w:cs="Times New Roman"/>
                <w:szCs w:val="20"/>
              </w:rPr>
            </w:pPr>
            <w:r w:rsidRPr="0029636B">
              <w:rPr>
                <w:rFonts w:ascii="Times New Roman" w:hAnsi="Times New Roman" w:cs="Times New Roman"/>
                <w:szCs w:val="20"/>
              </w:rPr>
              <w:t>1.7</w:t>
            </w:r>
          </w:p>
        </w:tc>
      </w:tr>
      <w:tr w:rsidR="00232C58" w:rsidRPr="0029636B" w14:paraId="440FC53F" w14:textId="77777777" w:rsidTr="001056E5">
        <w:trPr>
          <w:trHeight w:val="20"/>
        </w:trPr>
        <w:tc>
          <w:tcPr>
            <w:tcW w:w="1516" w:type="pct"/>
            <w:vMerge/>
            <w:shd w:val="clear" w:color="auto" w:fill="auto"/>
            <w:vAlign w:val="center"/>
          </w:tcPr>
          <w:p w14:paraId="1AA94038" w14:textId="77777777" w:rsidR="00232C58" w:rsidRPr="0029636B" w:rsidRDefault="00232C58" w:rsidP="007947DB">
            <w:pPr>
              <w:pStyle w:val="NoSpacing"/>
              <w:jc w:val="left"/>
              <w:rPr>
                <w:rFonts w:ascii="Times New Roman" w:hAnsi="Times New Roman" w:cs="Times New Roman"/>
                <w:szCs w:val="20"/>
              </w:rPr>
            </w:pPr>
          </w:p>
        </w:tc>
        <w:tc>
          <w:tcPr>
            <w:tcW w:w="1073" w:type="pct"/>
            <w:shd w:val="clear" w:color="auto" w:fill="auto"/>
            <w:vAlign w:val="center"/>
          </w:tcPr>
          <w:p w14:paraId="6A1170D8" w14:textId="635778F0" w:rsidR="00232C58" w:rsidRDefault="00232C58" w:rsidP="007947DB">
            <w:pPr>
              <w:pStyle w:val="NoSpacing"/>
              <w:jc w:val="left"/>
              <w:rPr>
                <w:rFonts w:ascii="Times New Roman" w:hAnsi="Times New Roman" w:cs="Times New Roman"/>
                <w:szCs w:val="20"/>
              </w:rPr>
            </w:pPr>
            <w:r>
              <w:rPr>
                <w:rFonts w:ascii="Times New Roman" w:hAnsi="Times New Roman" w:cs="Times New Roman" w:hint="eastAsia"/>
                <w:szCs w:val="20"/>
              </w:rPr>
              <w:t>Otitis Media</w:t>
            </w:r>
          </w:p>
        </w:tc>
        <w:tc>
          <w:tcPr>
            <w:tcW w:w="616" w:type="pct"/>
            <w:shd w:val="clear" w:color="auto" w:fill="auto"/>
            <w:noWrap/>
            <w:vAlign w:val="center"/>
          </w:tcPr>
          <w:p w14:paraId="3A22F9C4" w14:textId="2920E6B4" w:rsidR="00232C58" w:rsidRDefault="00232C58" w:rsidP="007947DB">
            <w:pPr>
              <w:pStyle w:val="NoSpacing"/>
              <w:jc w:val="center"/>
              <w:rPr>
                <w:rFonts w:ascii="Times New Roman" w:hAnsi="Times New Roman" w:cs="Times New Roman"/>
                <w:szCs w:val="20"/>
              </w:rPr>
            </w:pPr>
            <w:r>
              <w:rPr>
                <w:rFonts w:ascii="Times New Roman" w:hAnsi="Times New Roman" w:cs="Times New Roman" w:hint="eastAsia"/>
                <w:szCs w:val="20"/>
              </w:rPr>
              <w:t>0</w:t>
            </w:r>
          </w:p>
        </w:tc>
        <w:tc>
          <w:tcPr>
            <w:tcW w:w="611" w:type="pct"/>
            <w:vAlign w:val="center"/>
          </w:tcPr>
          <w:p w14:paraId="6AD4B23C" w14:textId="110B8714" w:rsidR="00232C58" w:rsidRDefault="00232C58" w:rsidP="0043133A">
            <w:pPr>
              <w:pStyle w:val="NoSpacing"/>
              <w:jc w:val="center"/>
              <w:rPr>
                <w:rFonts w:ascii="Times New Roman" w:hAnsi="Times New Roman" w:cs="Times New Roman"/>
                <w:szCs w:val="20"/>
              </w:rPr>
            </w:pPr>
            <w:r>
              <w:rPr>
                <w:rFonts w:ascii="Times New Roman" w:hAnsi="Times New Roman" w:cs="Times New Roman" w:hint="eastAsia"/>
                <w:szCs w:val="20"/>
              </w:rPr>
              <w:t>0.0</w:t>
            </w:r>
          </w:p>
        </w:tc>
        <w:tc>
          <w:tcPr>
            <w:tcW w:w="537" w:type="pct"/>
            <w:shd w:val="clear" w:color="auto" w:fill="auto"/>
            <w:noWrap/>
            <w:vAlign w:val="center"/>
          </w:tcPr>
          <w:p w14:paraId="7CC6A66C" w14:textId="4E980DBF" w:rsidR="00232C58" w:rsidRPr="0029636B" w:rsidRDefault="00232C58" w:rsidP="007947DB">
            <w:pPr>
              <w:pStyle w:val="NoSpacing"/>
              <w:jc w:val="center"/>
              <w:rPr>
                <w:rFonts w:ascii="Times New Roman" w:hAnsi="Times New Roman" w:cs="Times New Roman"/>
                <w:szCs w:val="20"/>
              </w:rPr>
            </w:pPr>
            <w:r>
              <w:rPr>
                <w:rFonts w:ascii="Times New Roman" w:hAnsi="Times New Roman" w:cs="Times New Roman" w:hint="eastAsia"/>
                <w:szCs w:val="20"/>
              </w:rPr>
              <w:t>3</w:t>
            </w:r>
          </w:p>
        </w:tc>
        <w:tc>
          <w:tcPr>
            <w:tcW w:w="647" w:type="pct"/>
            <w:vAlign w:val="center"/>
          </w:tcPr>
          <w:p w14:paraId="6BEB7C63" w14:textId="1BEFCA2E" w:rsidR="00232C58" w:rsidRPr="0029636B" w:rsidRDefault="00232C58" w:rsidP="007947DB">
            <w:pPr>
              <w:pStyle w:val="NoSpacing"/>
              <w:jc w:val="center"/>
              <w:rPr>
                <w:rFonts w:ascii="Times New Roman" w:hAnsi="Times New Roman" w:cs="Times New Roman"/>
                <w:szCs w:val="20"/>
              </w:rPr>
            </w:pPr>
            <w:r>
              <w:rPr>
                <w:rFonts w:ascii="Times New Roman" w:hAnsi="Times New Roman" w:cs="Times New Roman" w:hint="eastAsia"/>
                <w:szCs w:val="20"/>
              </w:rPr>
              <w:t>1.0</w:t>
            </w:r>
          </w:p>
        </w:tc>
      </w:tr>
      <w:tr w:rsidR="00232C58" w:rsidRPr="0029636B" w14:paraId="44DCE11A" w14:textId="77777777" w:rsidTr="001056E5">
        <w:trPr>
          <w:trHeight w:val="20"/>
        </w:trPr>
        <w:tc>
          <w:tcPr>
            <w:tcW w:w="1516" w:type="pct"/>
            <w:vMerge/>
            <w:shd w:val="clear" w:color="auto" w:fill="auto"/>
            <w:vAlign w:val="center"/>
          </w:tcPr>
          <w:p w14:paraId="7F658ABC" w14:textId="77777777" w:rsidR="00232C58" w:rsidRPr="0029636B" w:rsidRDefault="00232C58" w:rsidP="007947DB">
            <w:pPr>
              <w:pStyle w:val="NoSpacing"/>
              <w:jc w:val="left"/>
              <w:rPr>
                <w:rFonts w:ascii="Times New Roman" w:hAnsi="Times New Roman" w:cs="Times New Roman"/>
                <w:szCs w:val="20"/>
              </w:rPr>
            </w:pPr>
          </w:p>
        </w:tc>
        <w:tc>
          <w:tcPr>
            <w:tcW w:w="1073" w:type="pct"/>
            <w:shd w:val="clear" w:color="auto" w:fill="auto"/>
            <w:vAlign w:val="center"/>
          </w:tcPr>
          <w:p w14:paraId="75883B51" w14:textId="52086489" w:rsidR="00232C58" w:rsidRDefault="00232C58" w:rsidP="007947DB">
            <w:pPr>
              <w:pStyle w:val="NoSpacing"/>
              <w:jc w:val="left"/>
              <w:rPr>
                <w:rFonts w:ascii="Times New Roman" w:hAnsi="Times New Roman" w:cs="Times New Roman"/>
                <w:szCs w:val="20"/>
              </w:rPr>
            </w:pPr>
            <w:r>
              <w:rPr>
                <w:rFonts w:ascii="Times New Roman" w:hAnsi="Times New Roman" w:cs="Times New Roman" w:hint="eastAsia"/>
                <w:szCs w:val="20"/>
              </w:rPr>
              <w:t>Viral Upper Respiratory Tract Infection</w:t>
            </w:r>
          </w:p>
        </w:tc>
        <w:tc>
          <w:tcPr>
            <w:tcW w:w="616" w:type="pct"/>
            <w:shd w:val="clear" w:color="auto" w:fill="auto"/>
            <w:noWrap/>
            <w:vAlign w:val="center"/>
          </w:tcPr>
          <w:p w14:paraId="0658775C" w14:textId="6FE7878B" w:rsidR="00232C58" w:rsidRDefault="00232C58" w:rsidP="00232C58">
            <w:pPr>
              <w:pStyle w:val="NoSpacing"/>
              <w:jc w:val="center"/>
              <w:rPr>
                <w:rFonts w:ascii="Times New Roman" w:hAnsi="Times New Roman" w:cs="Times New Roman"/>
                <w:szCs w:val="20"/>
              </w:rPr>
            </w:pPr>
            <w:r>
              <w:rPr>
                <w:rFonts w:ascii="Times New Roman" w:hAnsi="Times New Roman" w:cs="Times New Roman" w:hint="eastAsia"/>
                <w:szCs w:val="20"/>
              </w:rPr>
              <w:t>0</w:t>
            </w:r>
          </w:p>
        </w:tc>
        <w:tc>
          <w:tcPr>
            <w:tcW w:w="611" w:type="pct"/>
            <w:vAlign w:val="center"/>
          </w:tcPr>
          <w:p w14:paraId="0AE7AB50" w14:textId="2A2D023C" w:rsidR="00232C58" w:rsidRDefault="00232C58" w:rsidP="0043133A">
            <w:pPr>
              <w:pStyle w:val="NoSpacing"/>
              <w:jc w:val="center"/>
              <w:rPr>
                <w:rFonts w:ascii="Times New Roman" w:hAnsi="Times New Roman" w:cs="Times New Roman"/>
                <w:szCs w:val="20"/>
              </w:rPr>
            </w:pPr>
            <w:r>
              <w:rPr>
                <w:rFonts w:ascii="Times New Roman" w:hAnsi="Times New Roman" w:cs="Times New Roman" w:hint="eastAsia"/>
                <w:szCs w:val="20"/>
              </w:rPr>
              <w:t>0.0</w:t>
            </w:r>
          </w:p>
        </w:tc>
        <w:tc>
          <w:tcPr>
            <w:tcW w:w="537" w:type="pct"/>
            <w:shd w:val="clear" w:color="auto" w:fill="auto"/>
            <w:noWrap/>
            <w:vAlign w:val="center"/>
          </w:tcPr>
          <w:p w14:paraId="74A3D9F3" w14:textId="68D8014D" w:rsidR="00232C58" w:rsidRDefault="00232C58" w:rsidP="007947DB">
            <w:pPr>
              <w:pStyle w:val="NoSpacing"/>
              <w:jc w:val="center"/>
              <w:rPr>
                <w:rFonts w:ascii="Times New Roman" w:hAnsi="Times New Roman" w:cs="Times New Roman"/>
                <w:szCs w:val="20"/>
              </w:rPr>
            </w:pPr>
            <w:r>
              <w:rPr>
                <w:rFonts w:ascii="Times New Roman" w:hAnsi="Times New Roman" w:cs="Times New Roman" w:hint="eastAsia"/>
                <w:szCs w:val="20"/>
              </w:rPr>
              <w:t>4</w:t>
            </w:r>
          </w:p>
        </w:tc>
        <w:tc>
          <w:tcPr>
            <w:tcW w:w="647" w:type="pct"/>
            <w:vAlign w:val="center"/>
          </w:tcPr>
          <w:p w14:paraId="4CED40D4" w14:textId="5235C46B" w:rsidR="00232C58" w:rsidRDefault="00232C58" w:rsidP="007947DB">
            <w:pPr>
              <w:pStyle w:val="NoSpacing"/>
              <w:jc w:val="center"/>
              <w:rPr>
                <w:rFonts w:ascii="Times New Roman" w:hAnsi="Times New Roman" w:cs="Times New Roman"/>
                <w:szCs w:val="20"/>
              </w:rPr>
            </w:pPr>
            <w:r>
              <w:rPr>
                <w:rFonts w:ascii="Times New Roman" w:hAnsi="Times New Roman" w:cs="Times New Roman" w:hint="eastAsia"/>
                <w:szCs w:val="20"/>
              </w:rPr>
              <w:t>1.4</w:t>
            </w:r>
          </w:p>
        </w:tc>
      </w:tr>
      <w:tr w:rsidR="00232C58" w:rsidRPr="0029636B" w14:paraId="07C5C4BA" w14:textId="77777777" w:rsidTr="001056E5">
        <w:trPr>
          <w:trHeight w:val="20"/>
        </w:trPr>
        <w:tc>
          <w:tcPr>
            <w:tcW w:w="1516" w:type="pct"/>
            <w:shd w:val="clear" w:color="auto" w:fill="auto"/>
            <w:vAlign w:val="center"/>
            <w:hideMark/>
          </w:tcPr>
          <w:p w14:paraId="54D21239" w14:textId="77777777" w:rsidR="00232C58" w:rsidRPr="0029636B" w:rsidRDefault="00232C58" w:rsidP="007947DB">
            <w:pPr>
              <w:pStyle w:val="NoSpacing"/>
              <w:jc w:val="left"/>
              <w:rPr>
                <w:rFonts w:ascii="Times New Roman" w:hAnsi="Times New Roman" w:cs="Times New Roman"/>
                <w:szCs w:val="20"/>
              </w:rPr>
            </w:pPr>
            <w:r w:rsidRPr="0029636B">
              <w:rPr>
                <w:rFonts w:ascii="Times New Roman" w:hAnsi="Times New Roman" w:cs="Times New Roman"/>
                <w:szCs w:val="20"/>
              </w:rPr>
              <w:t>Injury, Poisoning and Procedural Complications</w:t>
            </w:r>
          </w:p>
        </w:tc>
        <w:tc>
          <w:tcPr>
            <w:tcW w:w="1073" w:type="pct"/>
            <w:shd w:val="clear" w:color="auto" w:fill="auto"/>
            <w:vAlign w:val="center"/>
            <w:hideMark/>
          </w:tcPr>
          <w:p w14:paraId="1A120015" w14:textId="77777777" w:rsidR="00232C58" w:rsidRPr="0029636B" w:rsidRDefault="00232C58" w:rsidP="007947DB">
            <w:pPr>
              <w:pStyle w:val="NoSpacing"/>
              <w:jc w:val="left"/>
              <w:rPr>
                <w:rFonts w:ascii="Times New Roman" w:hAnsi="Times New Roman" w:cs="Times New Roman"/>
                <w:szCs w:val="20"/>
              </w:rPr>
            </w:pPr>
            <w:r w:rsidRPr="0029636B">
              <w:rPr>
                <w:rFonts w:ascii="Times New Roman" w:hAnsi="Times New Roman" w:cs="Times New Roman"/>
                <w:szCs w:val="20"/>
              </w:rPr>
              <w:t>Infusion Related Reaction</w:t>
            </w:r>
          </w:p>
        </w:tc>
        <w:tc>
          <w:tcPr>
            <w:tcW w:w="616" w:type="pct"/>
            <w:shd w:val="clear" w:color="auto" w:fill="auto"/>
            <w:noWrap/>
            <w:vAlign w:val="center"/>
            <w:hideMark/>
          </w:tcPr>
          <w:p w14:paraId="3F99E445" w14:textId="77777777" w:rsidR="00232C58" w:rsidRPr="0029636B" w:rsidRDefault="00232C58" w:rsidP="007947DB">
            <w:pPr>
              <w:pStyle w:val="NoSpacing"/>
              <w:jc w:val="center"/>
              <w:rPr>
                <w:rFonts w:ascii="Times New Roman" w:hAnsi="Times New Roman" w:cs="Times New Roman"/>
                <w:szCs w:val="20"/>
              </w:rPr>
            </w:pPr>
            <w:r w:rsidRPr="0029636B">
              <w:rPr>
                <w:rFonts w:ascii="Times New Roman" w:hAnsi="Times New Roman" w:cs="Times New Roman"/>
                <w:szCs w:val="20"/>
              </w:rPr>
              <w:t>2</w:t>
            </w:r>
          </w:p>
        </w:tc>
        <w:tc>
          <w:tcPr>
            <w:tcW w:w="611" w:type="pct"/>
            <w:vAlign w:val="center"/>
          </w:tcPr>
          <w:p w14:paraId="0DD6FF37" w14:textId="77777777" w:rsidR="00232C58" w:rsidRPr="0029636B" w:rsidRDefault="00232C58" w:rsidP="007947DB">
            <w:pPr>
              <w:pStyle w:val="NoSpacing"/>
              <w:jc w:val="center"/>
              <w:rPr>
                <w:rFonts w:ascii="Times New Roman" w:hAnsi="Times New Roman" w:cs="Times New Roman"/>
                <w:szCs w:val="20"/>
              </w:rPr>
            </w:pPr>
            <w:r w:rsidRPr="0029636B">
              <w:rPr>
                <w:rFonts w:ascii="Times New Roman" w:hAnsi="Times New Roman" w:cs="Times New Roman"/>
                <w:szCs w:val="20"/>
              </w:rPr>
              <w:t>0.7</w:t>
            </w:r>
          </w:p>
        </w:tc>
        <w:tc>
          <w:tcPr>
            <w:tcW w:w="537" w:type="pct"/>
            <w:shd w:val="clear" w:color="auto" w:fill="auto"/>
            <w:noWrap/>
            <w:vAlign w:val="center"/>
            <w:hideMark/>
          </w:tcPr>
          <w:p w14:paraId="0C0993C9" w14:textId="77777777" w:rsidR="00232C58" w:rsidRPr="0029636B" w:rsidRDefault="00232C58" w:rsidP="007947DB">
            <w:pPr>
              <w:pStyle w:val="NoSpacing"/>
              <w:jc w:val="center"/>
              <w:rPr>
                <w:rFonts w:ascii="Times New Roman" w:hAnsi="Times New Roman" w:cs="Times New Roman"/>
                <w:szCs w:val="20"/>
              </w:rPr>
            </w:pPr>
            <w:r w:rsidRPr="0029636B">
              <w:rPr>
                <w:rFonts w:ascii="Times New Roman" w:hAnsi="Times New Roman" w:cs="Times New Roman"/>
                <w:szCs w:val="20"/>
              </w:rPr>
              <w:t>5</w:t>
            </w:r>
          </w:p>
        </w:tc>
        <w:tc>
          <w:tcPr>
            <w:tcW w:w="647" w:type="pct"/>
            <w:vAlign w:val="center"/>
          </w:tcPr>
          <w:p w14:paraId="66773F56" w14:textId="77777777" w:rsidR="00232C58" w:rsidRPr="0029636B" w:rsidRDefault="00232C58" w:rsidP="007947DB">
            <w:pPr>
              <w:pStyle w:val="NoSpacing"/>
              <w:jc w:val="center"/>
              <w:rPr>
                <w:rFonts w:ascii="Times New Roman" w:hAnsi="Times New Roman" w:cs="Times New Roman"/>
                <w:szCs w:val="20"/>
              </w:rPr>
            </w:pPr>
            <w:r w:rsidRPr="0029636B">
              <w:rPr>
                <w:rFonts w:ascii="Times New Roman" w:hAnsi="Times New Roman" w:cs="Times New Roman"/>
                <w:szCs w:val="20"/>
              </w:rPr>
              <w:t>1.7</w:t>
            </w:r>
          </w:p>
        </w:tc>
      </w:tr>
      <w:tr w:rsidR="00232C58" w:rsidRPr="0029636B" w14:paraId="41FE1987" w14:textId="77777777" w:rsidTr="001056E5">
        <w:trPr>
          <w:trHeight w:val="20"/>
        </w:trPr>
        <w:tc>
          <w:tcPr>
            <w:tcW w:w="1516" w:type="pct"/>
            <w:vMerge w:val="restart"/>
            <w:shd w:val="clear" w:color="auto" w:fill="auto"/>
            <w:vAlign w:val="center"/>
            <w:hideMark/>
          </w:tcPr>
          <w:p w14:paraId="4918B80F" w14:textId="77777777" w:rsidR="00232C58" w:rsidRPr="0029636B" w:rsidRDefault="00232C58" w:rsidP="00E75073">
            <w:pPr>
              <w:pStyle w:val="NoSpacing"/>
              <w:pageBreakBefore/>
              <w:jc w:val="left"/>
              <w:rPr>
                <w:rFonts w:ascii="Times New Roman" w:hAnsi="Times New Roman" w:cs="Times New Roman"/>
                <w:szCs w:val="20"/>
              </w:rPr>
            </w:pPr>
            <w:r w:rsidRPr="0029636B">
              <w:rPr>
                <w:rFonts w:ascii="Times New Roman" w:hAnsi="Times New Roman" w:cs="Times New Roman"/>
                <w:szCs w:val="20"/>
              </w:rPr>
              <w:lastRenderedPageBreak/>
              <w:t>Investigations</w:t>
            </w:r>
          </w:p>
        </w:tc>
        <w:tc>
          <w:tcPr>
            <w:tcW w:w="1073" w:type="pct"/>
            <w:shd w:val="clear" w:color="auto" w:fill="auto"/>
            <w:vAlign w:val="center"/>
            <w:hideMark/>
          </w:tcPr>
          <w:p w14:paraId="545A02E5" w14:textId="77777777" w:rsidR="00232C58" w:rsidRPr="0029636B" w:rsidRDefault="00232C58" w:rsidP="007947DB">
            <w:pPr>
              <w:pStyle w:val="NoSpacing"/>
              <w:jc w:val="left"/>
              <w:rPr>
                <w:rFonts w:ascii="Times New Roman" w:hAnsi="Times New Roman" w:cs="Times New Roman"/>
                <w:szCs w:val="20"/>
              </w:rPr>
            </w:pPr>
            <w:r w:rsidRPr="0029636B">
              <w:rPr>
                <w:rFonts w:ascii="Times New Roman" w:hAnsi="Times New Roman" w:cs="Times New Roman"/>
                <w:szCs w:val="20"/>
              </w:rPr>
              <w:t>Alanine Aminotransferase Increased</w:t>
            </w:r>
          </w:p>
        </w:tc>
        <w:tc>
          <w:tcPr>
            <w:tcW w:w="616" w:type="pct"/>
            <w:shd w:val="clear" w:color="auto" w:fill="auto"/>
            <w:noWrap/>
            <w:vAlign w:val="center"/>
            <w:hideMark/>
          </w:tcPr>
          <w:p w14:paraId="1C2DF72A" w14:textId="289BDF20" w:rsidR="00232C58" w:rsidRPr="0029636B" w:rsidRDefault="00232C58" w:rsidP="007947DB">
            <w:pPr>
              <w:pStyle w:val="NoSpacing"/>
              <w:jc w:val="center"/>
              <w:rPr>
                <w:rFonts w:ascii="Times New Roman" w:hAnsi="Times New Roman" w:cs="Times New Roman"/>
                <w:szCs w:val="20"/>
              </w:rPr>
            </w:pPr>
            <w:r>
              <w:rPr>
                <w:rFonts w:ascii="Times New Roman" w:hAnsi="Times New Roman" w:cs="Times New Roman" w:hint="eastAsia"/>
                <w:szCs w:val="20"/>
              </w:rPr>
              <w:t>2</w:t>
            </w:r>
            <w:r w:rsidRPr="0029636B">
              <w:rPr>
                <w:rFonts w:ascii="Times New Roman" w:hAnsi="Times New Roman" w:cs="Times New Roman"/>
                <w:szCs w:val="20"/>
              </w:rPr>
              <w:t>3</w:t>
            </w:r>
          </w:p>
        </w:tc>
        <w:tc>
          <w:tcPr>
            <w:tcW w:w="611" w:type="pct"/>
            <w:vAlign w:val="center"/>
          </w:tcPr>
          <w:p w14:paraId="2A6FD648" w14:textId="63AF0A0F" w:rsidR="00232C58" w:rsidRPr="0029636B" w:rsidRDefault="00232C58" w:rsidP="00232C58">
            <w:pPr>
              <w:pStyle w:val="NoSpacing"/>
              <w:jc w:val="center"/>
              <w:rPr>
                <w:rFonts w:ascii="Times New Roman" w:hAnsi="Times New Roman" w:cs="Times New Roman"/>
                <w:szCs w:val="20"/>
              </w:rPr>
            </w:pPr>
            <w:r>
              <w:rPr>
                <w:rFonts w:ascii="Times New Roman" w:hAnsi="Times New Roman" w:cs="Times New Roman" w:hint="eastAsia"/>
                <w:szCs w:val="20"/>
              </w:rPr>
              <w:t>7</w:t>
            </w:r>
            <w:r w:rsidRPr="0029636B">
              <w:rPr>
                <w:rFonts w:ascii="Times New Roman" w:hAnsi="Times New Roman" w:cs="Times New Roman"/>
                <w:szCs w:val="20"/>
              </w:rPr>
              <w:t>.</w:t>
            </w:r>
            <w:r>
              <w:rPr>
                <w:rFonts w:ascii="Times New Roman" w:hAnsi="Times New Roman" w:cs="Times New Roman" w:hint="eastAsia"/>
                <w:szCs w:val="20"/>
              </w:rPr>
              <w:t>9</w:t>
            </w:r>
          </w:p>
        </w:tc>
        <w:tc>
          <w:tcPr>
            <w:tcW w:w="537" w:type="pct"/>
            <w:shd w:val="clear" w:color="auto" w:fill="auto"/>
            <w:noWrap/>
            <w:vAlign w:val="center"/>
            <w:hideMark/>
          </w:tcPr>
          <w:p w14:paraId="1F7C61B3" w14:textId="4D21D045" w:rsidR="00232C58" w:rsidRPr="0029636B" w:rsidRDefault="00232C58" w:rsidP="007947DB">
            <w:pPr>
              <w:pStyle w:val="NoSpacing"/>
              <w:jc w:val="center"/>
              <w:rPr>
                <w:rFonts w:ascii="Times New Roman" w:hAnsi="Times New Roman" w:cs="Times New Roman"/>
                <w:szCs w:val="20"/>
              </w:rPr>
            </w:pPr>
            <w:r>
              <w:rPr>
                <w:rFonts w:ascii="Times New Roman" w:hAnsi="Times New Roman" w:cs="Times New Roman" w:hint="eastAsia"/>
                <w:szCs w:val="20"/>
              </w:rPr>
              <w:t>9</w:t>
            </w:r>
          </w:p>
        </w:tc>
        <w:tc>
          <w:tcPr>
            <w:tcW w:w="647" w:type="pct"/>
            <w:vAlign w:val="center"/>
          </w:tcPr>
          <w:p w14:paraId="01BCC5D4" w14:textId="17D00D5D" w:rsidR="00232C58" w:rsidRPr="0029636B" w:rsidRDefault="00232C58" w:rsidP="00232C58">
            <w:pPr>
              <w:pStyle w:val="NoSpacing"/>
              <w:jc w:val="center"/>
              <w:rPr>
                <w:rFonts w:ascii="Times New Roman" w:hAnsi="Times New Roman" w:cs="Times New Roman"/>
                <w:szCs w:val="20"/>
              </w:rPr>
            </w:pPr>
            <w:r>
              <w:rPr>
                <w:rFonts w:ascii="Times New Roman" w:hAnsi="Times New Roman" w:cs="Times New Roman" w:hint="eastAsia"/>
                <w:szCs w:val="20"/>
              </w:rPr>
              <w:t>3</w:t>
            </w:r>
            <w:r w:rsidRPr="0029636B">
              <w:rPr>
                <w:rFonts w:ascii="Times New Roman" w:hAnsi="Times New Roman" w:cs="Times New Roman"/>
                <w:szCs w:val="20"/>
              </w:rPr>
              <w:t>.</w:t>
            </w:r>
            <w:r>
              <w:rPr>
                <w:rFonts w:ascii="Times New Roman" w:hAnsi="Times New Roman" w:cs="Times New Roman" w:hint="eastAsia"/>
                <w:szCs w:val="20"/>
              </w:rPr>
              <w:t>1</w:t>
            </w:r>
          </w:p>
        </w:tc>
      </w:tr>
      <w:tr w:rsidR="00232C58" w:rsidRPr="0029636B" w14:paraId="2ABDF0D8" w14:textId="77777777" w:rsidTr="001056E5">
        <w:trPr>
          <w:trHeight w:val="20"/>
        </w:trPr>
        <w:tc>
          <w:tcPr>
            <w:tcW w:w="1516" w:type="pct"/>
            <w:vMerge/>
            <w:shd w:val="clear" w:color="auto" w:fill="auto"/>
            <w:vAlign w:val="center"/>
            <w:hideMark/>
          </w:tcPr>
          <w:p w14:paraId="4C261CC5" w14:textId="77777777" w:rsidR="00232C58" w:rsidRPr="0029636B" w:rsidRDefault="00232C58" w:rsidP="007947DB">
            <w:pPr>
              <w:pStyle w:val="NoSpacing"/>
              <w:jc w:val="left"/>
              <w:rPr>
                <w:rFonts w:ascii="Times New Roman" w:hAnsi="Times New Roman" w:cs="Times New Roman"/>
                <w:szCs w:val="20"/>
              </w:rPr>
            </w:pPr>
          </w:p>
        </w:tc>
        <w:tc>
          <w:tcPr>
            <w:tcW w:w="1073" w:type="pct"/>
            <w:shd w:val="clear" w:color="auto" w:fill="auto"/>
            <w:vAlign w:val="center"/>
            <w:hideMark/>
          </w:tcPr>
          <w:p w14:paraId="6D2AA268" w14:textId="77777777" w:rsidR="00232C58" w:rsidRPr="0029636B" w:rsidRDefault="00232C58" w:rsidP="007947DB">
            <w:pPr>
              <w:pStyle w:val="NoSpacing"/>
              <w:jc w:val="left"/>
              <w:rPr>
                <w:rFonts w:ascii="Times New Roman" w:hAnsi="Times New Roman" w:cs="Times New Roman"/>
                <w:szCs w:val="20"/>
              </w:rPr>
            </w:pPr>
            <w:r w:rsidRPr="0029636B">
              <w:rPr>
                <w:rFonts w:ascii="Times New Roman" w:hAnsi="Times New Roman" w:cs="Times New Roman"/>
                <w:szCs w:val="20"/>
              </w:rPr>
              <w:t>Aspartate Aminotransferase Increased</w:t>
            </w:r>
          </w:p>
        </w:tc>
        <w:tc>
          <w:tcPr>
            <w:tcW w:w="616" w:type="pct"/>
            <w:shd w:val="clear" w:color="auto" w:fill="auto"/>
            <w:noWrap/>
            <w:vAlign w:val="center"/>
            <w:hideMark/>
          </w:tcPr>
          <w:p w14:paraId="17A55EC1" w14:textId="239D6CD2" w:rsidR="00232C58" w:rsidRPr="0029636B" w:rsidRDefault="00232C58" w:rsidP="007947DB">
            <w:pPr>
              <w:pStyle w:val="NoSpacing"/>
              <w:jc w:val="center"/>
              <w:rPr>
                <w:rFonts w:ascii="Times New Roman" w:hAnsi="Times New Roman" w:cs="Times New Roman"/>
                <w:szCs w:val="20"/>
              </w:rPr>
            </w:pPr>
            <w:r>
              <w:rPr>
                <w:rFonts w:ascii="Times New Roman" w:hAnsi="Times New Roman" w:cs="Times New Roman" w:hint="eastAsia"/>
                <w:szCs w:val="20"/>
              </w:rPr>
              <w:t>12</w:t>
            </w:r>
          </w:p>
        </w:tc>
        <w:tc>
          <w:tcPr>
            <w:tcW w:w="611" w:type="pct"/>
            <w:vAlign w:val="center"/>
          </w:tcPr>
          <w:p w14:paraId="3E30C60A" w14:textId="69648B6E" w:rsidR="00232C58" w:rsidRPr="0029636B" w:rsidRDefault="00232C58" w:rsidP="007947DB">
            <w:pPr>
              <w:pStyle w:val="NoSpacing"/>
              <w:jc w:val="center"/>
              <w:rPr>
                <w:rFonts w:ascii="Times New Roman" w:hAnsi="Times New Roman" w:cs="Times New Roman"/>
                <w:szCs w:val="20"/>
              </w:rPr>
            </w:pPr>
            <w:r>
              <w:rPr>
                <w:rFonts w:ascii="Times New Roman" w:hAnsi="Times New Roman" w:cs="Times New Roman" w:hint="eastAsia"/>
                <w:szCs w:val="20"/>
              </w:rPr>
              <w:t>4</w:t>
            </w:r>
            <w:r w:rsidRPr="0029636B">
              <w:rPr>
                <w:rFonts w:ascii="Times New Roman" w:hAnsi="Times New Roman" w:cs="Times New Roman"/>
                <w:szCs w:val="20"/>
              </w:rPr>
              <w:t>.1</w:t>
            </w:r>
          </w:p>
        </w:tc>
        <w:tc>
          <w:tcPr>
            <w:tcW w:w="537" w:type="pct"/>
            <w:shd w:val="clear" w:color="auto" w:fill="auto"/>
            <w:noWrap/>
            <w:vAlign w:val="center"/>
            <w:hideMark/>
          </w:tcPr>
          <w:p w14:paraId="702A42C0" w14:textId="5145DE51" w:rsidR="00232C58" w:rsidRPr="0029636B" w:rsidRDefault="00232C58" w:rsidP="007947DB">
            <w:pPr>
              <w:pStyle w:val="NoSpacing"/>
              <w:jc w:val="center"/>
              <w:rPr>
                <w:rFonts w:ascii="Times New Roman" w:hAnsi="Times New Roman" w:cs="Times New Roman"/>
                <w:szCs w:val="20"/>
              </w:rPr>
            </w:pPr>
            <w:r>
              <w:rPr>
                <w:rFonts w:ascii="Times New Roman" w:hAnsi="Times New Roman" w:cs="Times New Roman" w:hint="eastAsia"/>
                <w:szCs w:val="20"/>
              </w:rPr>
              <w:t>10</w:t>
            </w:r>
          </w:p>
        </w:tc>
        <w:tc>
          <w:tcPr>
            <w:tcW w:w="647" w:type="pct"/>
            <w:vAlign w:val="center"/>
          </w:tcPr>
          <w:p w14:paraId="204FA6C7" w14:textId="2EA582F2" w:rsidR="00232C58" w:rsidRPr="0029636B" w:rsidRDefault="00232C58" w:rsidP="00232C58">
            <w:pPr>
              <w:pStyle w:val="NoSpacing"/>
              <w:jc w:val="center"/>
              <w:rPr>
                <w:rFonts w:ascii="Times New Roman" w:hAnsi="Times New Roman" w:cs="Times New Roman"/>
                <w:szCs w:val="20"/>
              </w:rPr>
            </w:pPr>
            <w:r>
              <w:rPr>
                <w:rFonts w:ascii="Times New Roman" w:hAnsi="Times New Roman" w:cs="Times New Roman" w:hint="eastAsia"/>
                <w:szCs w:val="20"/>
              </w:rPr>
              <w:t>3</w:t>
            </w:r>
            <w:r w:rsidRPr="0029636B">
              <w:rPr>
                <w:rFonts w:ascii="Times New Roman" w:hAnsi="Times New Roman" w:cs="Times New Roman"/>
                <w:szCs w:val="20"/>
              </w:rPr>
              <w:t>.</w:t>
            </w:r>
            <w:r>
              <w:rPr>
                <w:rFonts w:ascii="Times New Roman" w:hAnsi="Times New Roman" w:cs="Times New Roman" w:hint="eastAsia"/>
                <w:szCs w:val="20"/>
              </w:rPr>
              <w:t>4</w:t>
            </w:r>
          </w:p>
        </w:tc>
      </w:tr>
      <w:tr w:rsidR="00232C58" w:rsidRPr="0029636B" w14:paraId="231E6DBB" w14:textId="77777777" w:rsidTr="001056E5">
        <w:trPr>
          <w:trHeight w:val="20"/>
        </w:trPr>
        <w:tc>
          <w:tcPr>
            <w:tcW w:w="1516" w:type="pct"/>
            <w:vMerge/>
            <w:shd w:val="clear" w:color="auto" w:fill="auto"/>
            <w:vAlign w:val="center"/>
            <w:hideMark/>
          </w:tcPr>
          <w:p w14:paraId="53CD4C0F" w14:textId="77777777" w:rsidR="00232C58" w:rsidRPr="0029636B" w:rsidRDefault="00232C58" w:rsidP="007947DB">
            <w:pPr>
              <w:pStyle w:val="NoSpacing"/>
              <w:jc w:val="left"/>
              <w:rPr>
                <w:rFonts w:ascii="Times New Roman" w:hAnsi="Times New Roman" w:cs="Times New Roman"/>
                <w:szCs w:val="20"/>
              </w:rPr>
            </w:pPr>
          </w:p>
        </w:tc>
        <w:tc>
          <w:tcPr>
            <w:tcW w:w="1073" w:type="pct"/>
            <w:shd w:val="clear" w:color="auto" w:fill="auto"/>
            <w:vAlign w:val="center"/>
            <w:hideMark/>
          </w:tcPr>
          <w:p w14:paraId="05EBC121" w14:textId="77777777" w:rsidR="00232C58" w:rsidRPr="0029636B" w:rsidRDefault="00232C58" w:rsidP="007947DB">
            <w:pPr>
              <w:pStyle w:val="NoSpacing"/>
              <w:jc w:val="left"/>
              <w:rPr>
                <w:rFonts w:ascii="Times New Roman" w:hAnsi="Times New Roman" w:cs="Times New Roman"/>
                <w:szCs w:val="20"/>
              </w:rPr>
            </w:pPr>
            <w:r w:rsidRPr="0029636B">
              <w:rPr>
                <w:rFonts w:ascii="Times New Roman" w:hAnsi="Times New Roman" w:cs="Times New Roman"/>
                <w:szCs w:val="20"/>
              </w:rPr>
              <w:t>Lymphocyte Count Decreased</w:t>
            </w:r>
          </w:p>
        </w:tc>
        <w:tc>
          <w:tcPr>
            <w:tcW w:w="616" w:type="pct"/>
            <w:shd w:val="clear" w:color="auto" w:fill="auto"/>
            <w:noWrap/>
            <w:vAlign w:val="center"/>
            <w:hideMark/>
          </w:tcPr>
          <w:p w14:paraId="405CD51F" w14:textId="1E9D555C" w:rsidR="00232C58" w:rsidRPr="0029636B" w:rsidRDefault="00232C58" w:rsidP="007947DB">
            <w:pPr>
              <w:pStyle w:val="NoSpacing"/>
              <w:jc w:val="center"/>
              <w:rPr>
                <w:rFonts w:ascii="Times New Roman" w:hAnsi="Times New Roman" w:cs="Times New Roman"/>
                <w:szCs w:val="20"/>
              </w:rPr>
            </w:pPr>
            <w:r>
              <w:rPr>
                <w:rFonts w:ascii="Times New Roman" w:hAnsi="Times New Roman" w:cs="Times New Roman" w:hint="eastAsia"/>
                <w:szCs w:val="20"/>
              </w:rPr>
              <w:t>5</w:t>
            </w:r>
          </w:p>
        </w:tc>
        <w:tc>
          <w:tcPr>
            <w:tcW w:w="611" w:type="pct"/>
            <w:vAlign w:val="center"/>
          </w:tcPr>
          <w:p w14:paraId="4468E0B3" w14:textId="14E0686E" w:rsidR="00232C58" w:rsidRPr="0029636B" w:rsidRDefault="00232C58" w:rsidP="00232C58">
            <w:pPr>
              <w:pStyle w:val="NoSpacing"/>
              <w:jc w:val="center"/>
              <w:rPr>
                <w:rFonts w:ascii="Times New Roman" w:hAnsi="Times New Roman" w:cs="Times New Roman"/>
                <w:szCs w:val="20"/>
              </w:rPr>
            </w:pPr>
            <w:r w:rsidRPr="0029636B">
              <w:rPr>
                <w:rFonts w:ascii="Times New Roman" w:hAnsi="Times New Roman" w:cs="Times New Roman"/>
                <w:szCs w:val="20"/>
              </w:rPr>
              <w:t>1.</w:t>
            </w:r>
            <w:r>
              <w:rPr>
                <w:rFonts w:ascii="Times New Roman" w:hAnsi="Times New Roman" w:cs="Times New Roman" w:hint="eastAsia"/>
                <w:szCs w:val="20"/>
              </w:rPr>
              <w:t>7</w:t>
            </w:r>
          </w:p>
        </w:tc>
        <w:tc>
          <w:tcPr>
            <w:tcW w:w="537" w:type="pct"/>
            <w:shd w:val="clear" w:color="auto" w:fill="auto"/>
            <w:noWrap/>
            <w:vAlign w:val="center"/>
            <w:hideMark/>
          </w:tcPr>
          <w:p w14:paraId="06811616" w14:textId="53AAC8C6" w:rsidR="00232C58" w:rsidRPr="0029636B" w:rsidRDefault="00232C58" w:rsidP="007947DB">
            <w:pPr>
              <w:pStyle w:val="NoSpacing"/>
              <w:jc w:val="center"/>
              <w:rPr>
                <w:rFonts w:ascii="Times New Roman" w:hAnsi="Times New Roman" w:cs="Times New Roman"/>
                <w:szCs w:val="20"/>
              </w:rPr>
            </w:pPr>
            <w:r w:rsidRPr="0029636B">
              <w:rPr>
                <w:rFonts w:ascii="Times New Roman" w:hAnsi="Times New Roman" w:cs="Times New Roman"/>
                <w:szCs w:val="20"/>
              </w:rPr>
              <w:t>1</w:t>
            </w:r>
          </w:p>
        </w:tc>
        <w:tc>
          <w:tcPr>
            <w:tcW w:w="647" w:type="pct"/>
            <w:vAlign w:val="center"/>
          </w:tcPr>
          <w:p w14:paraId="2139026A" w14:textId="71903218" w:rsidR="00232C58" w:rsidRPr="0029636B" w:rsidRDefault="00232C58" w:rsidP="00232C58">
            <w:pPr>
              <w:pStyle w:val="NoSpacing"/>
              <w:jc w:val="center"/>
              <w:rPr>
                <w:rFonts w:ascii="Times New Roman" w:hAnsi="Times New Roman" w:cs="Times New Roman"/>
                <w:szCs w:val="20"/>
              </w:rPr>
            </w:pPr>
            <w:r>
              <w:rPr>
                <w:rFonts w:ascii="Times New Roman" w:hAnsi="Times New Roman" w:cs="Times New Roman" w:hint="eastAsia"/>
                <w:szCs w:val="20"/>
              </w:rPr>
              <w:t>0.3</w:t>
            </w:r>
          </w:p>
        </w:tc>
      </w:tr>
      <w:tr w:rsidR="00232C58" w:rsidRPr="0029636B" w14:paraId="4842A548" w14:textId="77777777" w:rsidTr="001056E5">
        <w:trPr>
          <w:trHeight w:val="20"/>
        </w:trPr>
        <w:tc>
          <w:tcPr>
            <w:tcW w:w="1516" w:type="pct"/>
            <w:vMerge/>
            <w:shd w:val="clear" w:color="auto" w:fill="auto"/>
            <w:vAlign w:val="center"/>
          </w:tcPr>
          <w:p w14:paraId="7A577CCA" w14:textId="77777777" w:rsidR="00232C58" w:rsidRPr="0029636B" w:rsidRDefault="00232C58" w:rsidP="007947DB">
            <w:pPr>
              <w:pStyle w:val="NoSpacing"/>
              <w:jc w:val="left"/>
              <w:rPr>
                <w:rFonts w:ascii="Times New Roman" w:hAnsi="Times New Roman" w:cs="Times New Roman"/>
                <w:szCs w:val="20"/>
              </w:rPr>
            </w:pPr>
          </w:p>
        </w:tc>
        <w:tc>
          <w:tcPr>
            <w:tcW w:w="1073" w:type="pct"/>
            <w:shd w:val="clear" w:color="auto" w:fill="auto"/>
            <w:vAlign w:val="center"/>
          </w:tcPr>
          <w:p w14:paraId="095B48BF" w14:textId="4DF1677D" w:rsidR="00232C58" w:rsidRPr="0029636B" w:rsidRDefault="00232C58" w:rsidP="007947DB">
            <w:pPr>
              <w:pStyle w:val="NoSpacing"/>
              <w:jc w:val="left"/>
              <w:rPr>
                <w:rFonts w:ascii="Times New Roman" w:hAnsi="Times New Roman" w:cs="Times New Roman"/>
                <w:szCs w:val="20"/>
              </w:rPr>
            </w:pPr>
            <w:r>
              <w:rPr>
                <w:rFonts w:ascii="Times New Roman" w:hAnsi="Times New Roman" w:cs="Times New Roman" w:hint="eastAsia"/>
                <w:szCs w:val="20"/>
              </w:rPr>
              <w:t>Blood Pressure Increased</w:t>
            </w:r>
          </w:p>
        </w:tc>
        <w:tc>
          <w:tcPr>
            <w:tcW w:w="616" w:type="pct"/>
            <w:shd w:val="clear" w:color="auto" w:fill="auto"/>
            <w:noWrap/>
            <w:vAlign w:val="center"/>
          </w:tcPr>
          <w:p w14:paraId="0E028881" w14:textId="4E65202A" w:rsidR="00232C58" w:rsidRPr="0029636B" w:rsidDel="00232C58" w:rsidRDefault="00232C58" w:rsidP="007947DB">
            <w:pPr>
              <w:pStyle w:val="NoSpacing"/>
              <w:jc w:val="center"/>
              <w:rPr>
                <w:rFonts w:ascii="Times New Roman" w:hAnsi="Times New Roman" w:cs="Times New Roman"/>
                <w:szCs w:val="20"/>
              </w:rPr>
            </w:pPr>
            <w:r>
              <w:rPr>
                <w:rFonts w:ascii="Times New Roman" w:hAnsi="Times New Roman" w:cs="Times New Roman" w:hint="eastAsia"/>
                <w:szCs w:val="20"/>
              </w:rPr>
              <w:t>3</w:t>
            </w:r>
          </w:p>
        </w:tc>
        <w:tc>
          <w:tcPr>
            <w:tcW w:w="611" w:type="pct"/>
            <w:vAlign w:val="center"/>
          </w:tcPr>
          <w:p w14:paraId="123B6A6C" w14:textId="2199E2FB" w:rsidR="00232C58" w:rsidRPr="0029636B" w:rsidRDefault="00232C58" w:rsidP="00232C58">
            <w:pPr>
              <w:pStyle w:val="NoSpacing"/>
              <w:jc w:val="center"/>
              <w:rPr>
                <w:rFonts w:ascii="Times New Roman" w:hAnsi="Times New Roman" w:cs="Times New Roman"/>
                <w:szCs w:val="20"/>
              </w:rPr>
            </w:pPr>
            <w:r>
              <w:rPr>
                <w:rFonts w:ascii="Times New Roman" w:hAnsi="Times New Roman" w:cs="Times New Roman" w:hint="eastAsia"/>
                <w:szCs w:val="20"/>
              </w:rPr>
              <w:t>1.0</w:t>
            </w:r>
          </w:p>
        </w:tc>
        <w:tc>
          <w:tcPr>
            <w:tcW w:w="537" w:type="pct"/>
            <w:shd w:val="clear" w:color="auto" w:fill="auto"/>
            <w:noWrap/>
            <w:vAlign w:val="center"/>
          </w:tcPr>
          <w:p w14:paraId="0C6E757F" w14:textId="733FB287" w:rsidR="00232C58" w:rsidRPr="0029636B" w:rsidRDefault="00232C58" w:rsidP="007947DB">
            <w:pPr>
              <w:pStyle w:val="NoSpacing"/>
              <w:jc w:val="center"/>
              <w:rPr>
                <w:rFonts w:ascii="Times New Roman" w:hAnsi="Times New Roman" w:cs="Times New Roman"/>
                <w:szCs w:val="20"/>
              </w:rPr>
            </w:pPr>
            <w:r>
              <w:rPr>
                <w:rFonts w:ascii="Times New Roman" w:hAnsi="Times New Roman" w:cs="Times New Roman" w:hint="eastAsia"/>
                <w:szCs w:val="20"/>
              </w:rPr>
              <w:t>1</w:t>
            </w:r>
          </w:p>
        </w:tc>
        <w:tc>
          <w:tcPr>
            <w:tcW w:w="647" w:type="pct"/>
            <w:vAlign w:val="center"/>
          </w:tcPr>
          <w:p w14:paraId="049E4ED3" w14:textId="55F6D69B" w:rsidR="00232C58" w:rsidRPr="0029636B" w:rsidDel="00232C58" w:rsidRDefault="00232C58" w:rsidP="00232C58">
            <w:pPr>
              <w:pStyle w:val="NoSpacing"/>
              <w:jc w:val="center"/>
              <w:rPr>
                <w:rFonts w:ascii="Times New Roman" w:hAnsi="Times New Roman" w:cs="Times New Roman"/>
                <w:szCs w:val="20"/>
              </w:rPr>
            </w:pPr>
            <w:r>
              <w:rPr>
                <w:rFonts w:ascii="Times New Roman" w:hAnsi="Times New Roman" w:cs="Times New Roman" w:hint="eastAsia"/>
                <w:szCs w:val="20"/>
              </w:rPr>
              <w:t>0.3</w:t>
            </w:r>
          </w:p>
        </w:tc>
      </w:tr>
      <w:tr w:rsidR="00232C58" w:rsidRPr="0029636B" w14:paraId="35A11D1C" w14:textId="77777777" w:rsidTr="001056E5">
        <w:trPr>
          <w:trHeight w:val="20"/>
        </w:trPr>
        <w:tc>
          <w:tcPr>
            <w:tcW w:w="1516" w:type="pct"/>
            <w:vMerge/>
            <w:shd w:val="clear" w:color="auto" w:fill="auto"/>
            <w:vAlign w:val="center"/>
          </w:tcPr>
          <w:p w14:paraId="16413352" w14:textId="77777777" w:rsidR="00232C58" w:rsidRPr="0029636B" w:rsidRDefault="00232C58" w:rsidP="007947DB">
            <w:pPr>
              <w:pStyle w:val="NoSpacing"/>
              <w:jc w:val="left"/>
              <w:rPr>
                <w:rFonts w:ascii="Times New Roman" w:hAnsi="Times New Roman" w:cs="Times New Roman"/>
                <w:szCs w:val="20"/>
              </w:rPr>
            </w:pPr>
          </w:p>
        </w:tc>
        <w:tc>
          <w:tcPr>
            <w:tcW w:w="1073" w:type="pct"/>
            <w:shd w:val="clear" w:color="auto" w:fill="auto"/>
            <w:vAlign w:val="center"/>
          </w:tcPr>
          <w:p w14:paraId="5E5A8F5A" w14:textId="1CC81834" w:rsidR="00232C58" w:rsidRDefault="00232C58" w:rsidP="00232C58">
            <w:pPr>
              <w:pStyle w:val="NoSpacing"/>
              <w:jc w:val="left"/>
              <w:rPr>
                <w:rFonts w:ascii="Times New Roman" w:hAnsi="Times New Roman" w:cs="Times New Roman"/>
                <w:szCs w:val="20"/>
              </w:rPr>
            </w:pPr>
            <w:r>
              <w:rPr>
                <w:rFonts w:ascii="Times New Roman" w:hAnsi="Times New Roman" w:cs="Times New Roman" w:hint="eastAsia"/>
                <w:szCs w:val="20"/>
              </w:rPr>
              <w:t>Gamma-</w:t>
            </w:r>
            <w:proofErr w:type="spellStart"/>
            <w:r>
              <w:rPr>
                <w:rFonts w:ascii="Times New Roman" w:hAnsi="Times New Roman" w:cs="Times New Roman" w:hint="eastAsia"/>
                <w:szCs w:val="20"/>
              </w:rPr>
              <w:t>Glutamyltransferase</w:t>
            </w:r>
            <w:proofErr w:type="spellEnd"/>
            <w:r>
              <w:rPr>
                <w:rFonts w:ascii="Times New Roman" w:hAnsi="Times New Roman" w:cs="Times New Roman" w:hint="eastAsia"/>
                <w:szCs w:val="20"/>
              </w:rPr>
              <w:t xml:space="preserve"> Increased</w:t>
            </w:r>
          </w:p>
        </w:tc>
        <w:tc>
          <w:tcPr>
            <w:tcW w:w="616" w:type="pct"/>
            <w:shd w:val="clear" w:color="auto" w:fill="auto"/>
            <w:noWrap/>
            <w:vAlign w:val="center"/>
          </w:tcPr>
          <w:p w14:paraId="533A633C" w14:textId="3FC2CB1A" w:rsidR="00232C58" w:rsidRDefault="00232C58" w:rsidP="007947DB">
            <w:pPr>
              <w:pStyle w:val="NoSpacing"/>
              <w:jc w:val="center"/>
              <w:rPr>
                <w:rFonts w:ascii="Times New Roman" w:hAnsi="Times New Roman" w:cs="Times New Roman"/>
                <w:szCs w:val="20"/>
              </w:rPr>
            </w:pPr>
            <w:r>
              <w:rPr>
                <w:rFonts w:ascii="Times New Roman" w:hAnsi="Times New Roman" w:cs="Times New Roman" w:hint="eastAsia"/>
                <w:szCs w:val="20"/>
              </w:rPr>
              <w:t>3</w:t>
            </w:r>
          </w:p>
        </w:tc>
        <w:tc>
          <w:tcPr>
            <w:tcW w:w="611" w:type="pct"/>
            <w:vAlign w:val="center"/>
          </w:tcPr>
          <w:p w14:paraId="01FDD216" w14:textId="2EF6763B" w:rsidR="00232C58" w:rsidRDefault="00232C58" w:rsidP="00232C58">
            <w:pPr>
              <w:pStyle w:val="NoSpacing"/>
              <w:jc w:val="center"/>
              <w:rPr>
                <w:rFonts w:ascii="Times New Roman" w:hAnsi="Times New Roman" w:cs="Times New Roman"/>
                <w:szCs w:val="20"/>
              </w:rPr>
            </w:pPr>
            <w:r>
              <w:rPr>
                <w:rFonts w:ascii="Times New Roman" w:hAnsi="Times New Roman" w:cs="Times New Roman" w:hint="eastAsia"/>
                <w:szCs w:val="20"/>
              </w:rPr>
              <w:t>1.0</w:t>
            </w:r>
          </w:p>
        </w:tc>
        <w:tc>
          <w:tcPr>
            <w:tcW w:w="537" w:type="pct"/>
            <w:shd w:val="clear" w:color="auto" w:fill="auto"/>
            <w:noWrap/>
            <w:vAlign w:val="center"/>
          </w:tcPr>
          <w:p w14:paraId="01714EF1" w14:textId="536F5A18" w:rsidR="00232C58" w:rsidRDefault="00232C58" w:rsidP="007947DB">
            <w:pPr>
              <w:pStyle w:val="NoSpacing"/>
              <w:jc w:val="center"/>
              <w:rPr>
                <w:rFonts w:ascii="Times New Roman" w:hAnsi="Times New Roman" w:cs="Times New Roman"/>
                <w:szCs w:val="20"/>
              </w:rPr>
            </w:pPr>
            <w:r>
              <w:rPr>
                <w:rFonts w:ascii="Times New Roman" w:hAnsi="Times New Roman" w:cs="Times New Roman" w:hint="eastAsia"/>
                <w:szCs w:val="20"/>
              </w:rPr>
              <w:t>3</w:t>
            </w:r>
          </w:p>
        </w:tc>
        <w:tc>
          <w:tcPr>
            <w:tcW w:w="647" w:type="pct"/>
            <w:vAlign w:val="center"/>
          </w:tcPr>
          <w:p w14:paraId="72EE28D3" w14:textId="71E039D6" w:rsidR="00232C58" w:rsidRDefault="00232C58" w:rsidP="00232C58">
            <w:pPr>
              <w:pStyle w:val="NoSpacing"/>
              <w:jc w:val="center"/>
              <w:rPr>
                <w:rFonts w:ascii="Times New Roman" w:hAnsi="Times New Roman" w:cs="Times New Roman"/>
                <w:szCs w:val="20"/>
              </w:rPr>
            </w:pPr>
            <w:r>
              <w:rPr>
                <w:rFonts w:ascii="Times New Roman" w:hAnsi="Times New Roman" w:cs="Times New Roman" w:hint="eastAsia"/>
                <w:szCs w:val="20"/>
              </w:rPr>
              <w:t>1.0</w:t>
            </w:r>
          </w:p>
        </w:tc>
      </w:tr>
      <w:tr w:rsidR="00232C58" w:rsidRPr="0029636B" w14:paraId="01B78007" w14:textId="77777777" w:rsidTr="001056E5">
        <w:trPr>
          <w:trHeight w:val="20"/>
        </w:trPr>
        <w:tc>
          <w:tcPr>
            <w:tcW w:w="1516" w:type="pct"/>
            <w:vMerge/>
            <w:shd w:val="clear" w:color="auto" w:fill="auto"/>
            <w:vAlign w:val="center"/>
          </w:tcPr>
          <w:p w14:paraId="6FD51245" w14:textId="77777777" w:rsidR="00232C58" w:rsidRPr="0029636B" w:rsidRDefault="00232C58" w:rsidP="007947DB">
            <w:pPr>
              <w:pStyle w:val="NoSpacing"/>
              <w:jc w:val="left"/>
              <w:rPr>
                <w:rFonts w:ascii="Times New Roman" w:hAnsi="Times New Roman" w:cs="Times New Roman"/>
                <w:szCs w:val="20"/>
              </w:rPr>
            </w:pPr>
          </w:p>
        </w:tc>
        <w:tc>
          <w:tcPr>
            <w:tcW w:w="1073" w:type="pct"/>
            <w:shd w:val="clear" w:color="auto" w:fill="auto"/>
            <w:vAlign w:val="center"/>
          </w:tcPr>
          <w:p w14:paraId="5C2ADAFA" w14:textId="290253DA" w:rsidR="00232C58" w:rsidRDefault="00232C58" w:rsidP="00232C58">
            <w:pPr>
              <w:pStyle w:val="NoSpacing"/>
              <w:jc w:val="left"/>
              <w:rPr>
                <w:rFonts w:ascii="Times New Roman" w:hAnsi="Times New Roman" w:cs="Times New Roman"/>
                <w:szCs w:val="20"/>
              </w:rPr>
            </w:pPr>
            <w:r>
              <w:rPr>
                <w:rFonts w:ascii="Times New Roman" w:hAnsi="Times New Roman" w:cs="Times New Roman" w:hint="eastAsia"/>
                <w:szCs w:val="20"/>
              </w:rPr>
              <w:t xml:space="preserve">Neutrophil </w:t>
            </w:r>
            <w:proofErr w:type="spellStart"/>
            <w:r>
              <w:rPr>
                <w:rFonts w:ascii="Times New Roman" w:hAnsi="Times New Roman" w:cs="Times New Roman" w:hint="eastAsia"/>
                <w:szCs w:val="20"/>
              </w:rPr>
              <w:t>Cont</w:t>
            </w:r>
            <w:proofErr w:type="spellEnd"/>
            <w:r>
              <w:rPr>
                <w:rFonts w:ascii="Times New Roman" w:hAnsi="Times New Roman" w:cs="Times New Roman" w:hint="eastAsia"/>
                <w:szCs w:val="20"/>
              </w:rPr>
              <w:t xml:space="preserve"> Increased</w:t>
            </w:r>
          </w:p>
        </w:tc>
        <w:tc>
          <w:tcPr>
            <w:tcW w:w="616" w:type="pct"/>
            <w:shd w:val="clear" w:color="auto" w:fill="auto"/>
            <w:noWrap/>
            <w:vAlign w:val="center"/>
          </w:tcPr>
          <w:p w14:paraId="731F879A" w14:textId="6CC6BA37" w:rsidR="00232C58" w:rsidRDefault="00232C58" w:rsidP="007947DB">
            <w:pPr>
              <w:pStyle w:val="NoSpacing"/>
              <w:jc w:val="center"/>
              <w:rPr>
                <w:rFonts w:ascii="Times New Roman" w:hAnsi="Times New Roman" w:cs="Times New Roman"/>
                <w:szCs w:val="20"/>
              </w:rPr>
            </w:pPr>
            <w:r>
              <w:rPr>
                <w:rFonts w:ascii="Times New Roman" w:hAnsi="Times New Roman" w:cs="Times New Roman" w:hint="eastAsia"/>
                <w:szCs w:val="20"/>
              </w:rPr>
              <w:t>3</w:t>
            </w:r>
          </w:p>
        </w:tc>
        <w:tc>
          <w:tcPr>
            <w:tcW w:w="611" w:type="pct"/>
            <w:vAlign w:val="center"/>
          </w:tcPr>
          <w:p w14:paraId="1BA21689" w14:textId="1DDEA4F1" w:rsidR="00232C58" w:rsidRDefault="00232C58" w:rsidP="00232C58">
            <w:pPr>
              <w:pStyle w:val="NoSpacing"/>
              <w:jc w:val="center"/>
              <w:rPr>
                <w:rFonts w:ascii="Times New Roman" w:hAnsi="Times New Roman" w:cs="Times New Roman"/>
                <w:szCs w:val="20"/>
              </w:rPr>
            </w:pPr>
            <w:r>
              <w:rPr>
                <w:rFonts w:ascii="Times New Roman" w:hAnsi="Times New Roman" w:cs="Times New Roman" w:hint="eastAsia"/>
                <w:szCs w:val="20"/>
              </w:rPr>
              <w:t>1.0</w:t>
            </w:r>
          </w:p>
        </w:tc>
        <w:tc>
          <w:tcPr>
            <w:tcW w:w="537" w:type="pct"/>
            <w:shd w:val="clear" w:color="auto" w:fill="auto"/>
            <w:noWrap/>
            <w:vAlign w:val="center"/>
          </w:tcPr>
          <w:p w14:paraId="3447355A" w14:textId="688ED62F" w:rsidR="00232C58" w:rsidRDefault="00232C58" w:rsidP="007947DB">
            <w:pPr>
              <w:pStyle w:val="NoSpacing"/>
              <w:jc w:val="center"/>
              <w:rPr>
                <w:rFonts w:ascii="Times New Roman" w:hAnsi="Times New Roman" w:cs="Times New Roman"/>
                <w:szCs w:val="20"/>
              </w:rPr>
            </w:pPr>
            <w:r>
              <w:rPr>
                <w:rFonts w:ascii="Times New Roman" w:hAnsi="Times New Roman" w:cs="Times New Roman" w:hint="eastAsia"/>
                <w:szCs w:val="20"/>
              </w:rPr>
              <w:t>0</w:t>
            </w:r>
          </w:p>
        </w:tc>
        <w:tc>
          <w:tcPr>
            <w:tcW w:w="647" w:type="pct"/>
            <w:vAlign w:val="center"/>
          </w:tcPr>
          <w:p w14:paraId="2AD67E49" w14:textId="54791B6B" w:rsidR="00232C58" w:rsidRDefault="00232C58" w:rsidP="00232C58">
            <w:pPr>
              <w:pStyle w:val="NoSpacing"/>
              <w:jc w:val="center"/>
              <w:rPr>
                <w:rFonts w:ascii="Times New Roman" w:hAnsi="Times New Roman" w:cs="Times New Roman"/>
                <w:szCs w:val="20"/>
              </w:rPr>
            </w:pPr>
            <w:r>
              <w:rPr>
                <w:rFonts w:ascii="Times New Roman" w:hAnsi="Times New Roman" w:cs="Times New Roman" w:hint="eastAsia"/>
                <w:szCs w:val="20"/>
              </w:rPr>
              <w:t>0.0</w:t>
            </w:r>
          </w:p>
        </w:tc>
      </w:tr>
      <w:tr w:rsidR="00232C58" w:rsidRPr="0029636B" w14:paraId="5D33AD6B" w14:textId="77777777" w:rsidTr="001056E5">
        <w:trPr>
          <w:trHeight w:val="20"/>
        </w:trPr>
        <w:tc>
          <w:tcPr>
            <w:tcW w:w="1516" w:type="pct"/>
            <w:vMerge/>
            <w:shd w:val="clear" w:color="auto" w:fill="auto"/>
            <w:vAlign w:val="center"/>
          </w:tcPr>
          <w:p w14:paraId="05EA8AED" w14:textId="77777777" w:rsidR="00232C58" w:rsidRPr="0029636B" w:rsidRDefault="00232C58" w:rsidP="007947DB">
            <w:pPr>
              <w:pStyle w:val="NoSpacing"/>
              <w:jc w:val="left"/>
              <w:rPr>
                <w:rFonts w:ascii="Times New Roman" w:hAnsi="Times New Roman" w:cs="Times New Roman"/>
                <w:szCs w:val="20"/>
              </w:rPr>
            </w:pPr>
          </w:p>
        </w:tc>
        <w:tc>
          <w:tcPr>
            <w:tcW w:w="1073" w:type="pct"/>
            <w:shd w:val="clear" w:color="auto" w:fill="auto"/>
            <w:vAlign w:val="center"/>
          </w:tcPr>
          <w:p w14:paraId="11E05468" w14:textId="0DDC4D45" w:rsidR="00232C58" w:rsidRDefault="00232C58" w:rsidP="00232C58">
            <w:pPr>
              <w:pStyle w:val="NoSpacing"/>
              <w:jc w:val="left"/>
              <w:rPr>
                <w:rFonts w:ascii="Times New Roman" w:hAnsi="Times New Roman" w:cs="Times New Roman"/>
                <w:szCs w:val="20"/>
              </w:rPr>
            </w:pPr>
            <w:r>
              <w:rPr>
                <w:rFonts w:ascii="Times New Roman" w:hAnsi="Times New Roman" w:cs="Times New Roman" w:hint="eastAsia"/>
                <w:szCs w:val="20"/>
              </w:rPr>
              <w:t>Blood Glucose Increased</w:t>
            </w:r>
          </w:p>
        </w:tc>
        <w:tc>
          <w:tcPr>
            <w:tcW w:w="616" w:type="pct"/>
            <w:shd w:val="clear" w:color="auto" w:fill="auto"/>
            <w:noWrap/>
            <w:vAlign w:val="center"/>
          </w:tcPr>
          <w:p w14:paraId="6612D6FF" w14:textId="6384605A" w:rsidR="00232C58" w:rsidRDefault="00232C58" w:rsidP="007947DB">
            <w:pPr>
              <w:pStyle w:val="NoSpacing"/>
              <w:jc w:val="center"/>
              <w:rPr>
                <w:rFonts w:ascii="Times New Roman" w:hAnsi="Times New Roman" w:cs="Times New Roman"/>
                <w:szCs w:val="20"/>
              </w:rPr>
            </w:pPr>
            <w:r>
              <w:rPr>
                <w:rFonts w:ascii="Times New Roman" w:hAnsi="Times New Roman" w:cs="Times New Roman" w:hint="eastAsia"/>
                <w:szCs w:val="20"/>
              </w:rPr>
              <w:t>0</w:t>
            </w:r>
          </w:p>
        </w:tc>
        <w:tc>
          <w:tcPr>
            <w:tcW w:w="611" w:type="pct"/>
            <w:vAlign w:val="center"/>
          </w:tcPr>
          <w:p w14:paraId="7BCEDDD5" w14:textId="0891EECB" w:rsidR="00232C58" w:rsidRDefault="00232C58" w:rsidP="00232C58">
            <w:pPr>
              <w:pStyle w:val="NoSpacing"/>
              <w:jc w:val="center"/>
              <w:rPr>
                <w:rFonts w:ascii="Times New Roman" w:hAnsi="Times New Roman" w:cs="Times New Roman"/>
                <w:szCs w:val="20"/>
              </w:rPr>
            </w:pPr>
            <w:r>
              <w:rPr>
                <w:rFonts w:ascii="Times New Roman" w:hAnsi="Times New Roman" w:cs="Times New Roman" w:hint="eastAsia"/>
                <w:szCs w:val="20"/>
              </w:rPr>
              <w:t>0.0</w:t>
            </w:r>
          </w:p>
        </w:tc>
        <w:tc>
          <w:tcPr>
            <w:tcW w:w="537" w:type="pct"/>
            <w:shd w:val="clear" w:color="auto" w:fill="auto"/>
            <w:noWrap/>
            <w:vAlign w:val="center"/>
          </w:tcPr>
          <w:p w14:paraId="4A21357B" w14:textId="307EAA90" w:rsidR="00232C58" w:rsidRDefault="00232C58" w:rsidP="007947DB">
            <w:pPr>
              <w:pStyle w:val="NoSpacing"/>
              <w:jc w:val="center"/>
              <w:rPr>
                <w:rFonts w:ascii="Times New Roman" w:hAnsi="Times New Roman" w:cs="Times New Roman"/>
                <w:szCs w:val="20"/>
              </w:rPr>
            </w:pPr>
            <w:r>
              <w:rPr>
                <w:rFonts w:ascii="Times New Roman" w:hAnsi="Times New Roman" w:cs="Times New Roman" w:hint="eastAsia"/>
                <w:szCs w:val="20"/>
              </w:rPr>
              <w:t>3</w:t>
            </w:r>
          </w:p>
        </w:tc>
        <w:tc>
          <w:tcPr>
            <w:tcW w:w="647" w:type="pct"/>
            <w:vAlign w:val="center"/>
          </w:tcPr>
          <w:p w14:paraId="770D8852" w14:textId="06622A76" w:rsidR="00232C58" w:rsidRDefault="00232C58" w:rsidP="00232C58">
            <w:pPr>
              <w:pStyle w:val="NoSpacing"/>
              <w:jc w:val="center"/>
              <w:rPr>
                <w:rFonts w:ascii="Times New Roman" w:hAnsi="Times New Roman" w:cs="Times New Roman"/>
                <w:szCs w:val="20"/>
              </w:rPr>
            </w:pPr>
            <w:r>
              <w:rPr>
                <w:rFonts w:ascii="Times New Roman" w:hAnsi="Times New Roman" w:cs="Times New Roman" w:hint="eastAsia"/>
                <w:szCs w:val="20"/>
              </w:rPr>
              <w:t>1.0</w:t>
            </w:r>
          </w:p>
        </w:tc>
      </w:tr>
      <w:tr w:rsidR="00175208" w:rsidRPr="0029636B" w14:paraId="528CBF21" w14:textId="77777777" w:rsidTr="001056E5">
        <w:trPr>
          <w:trHeight w:val="20"/>
        </w:trPr>
        <w:tc>
          <w:tcPr>
            <w:tcW w:w="1516" w:type="pct"/>
            <w:vMerge w:val="restart"/>
            <w:shd w:val="clear" w:color="auto" w:fill="auto"/>
            <w:vAlign w:val="center"/>
          </w:tcPr>
          <w:p w14:paraId="1067E1FD" w14:textId="6B076C75" w:rsidR="00175208" w:rsidRPr="0029636B" w:rsidRDefault="00175208" w:rsidP="007947DB">
            <w:pPr>
              <w:pStyle w:val="NoSpacing"/>
              <w:jc w:val="left"/>
              <w:rPr>
                <w:rFonts w:ascii="Times New Roman" w:hAnsi="Times New Roman" w:cs="Times New Roman"/>
                <w:szCs w:val="20"/>
              </w:rPr>
            </w:pPr>
            <w:r>
              <w:rPr>
                <w:rFonts w:ascii="Times New Roman" w:hAnsi="Times New Roman" w:cs="Times New Roman" w:hint="eastAsia"/>
                <w:szCs w:val="20"/>
              </w:rPr>
              <w:t>Musculoskeletal and Connective T</w:t>
            </w:r>
            <w:r>
              <w:rPr>
                <w:rFonts w:ascii="Times New Roman" w:hAnsi="Times New Roman" w:cs="Times New Roman"/>
                <w:szCs w:val="20"/>
              </w:rPr>
              <w:t>i</w:t>
            </w:r>
            <w:r>
              <w:rPr>
                <w:rFonts w:ascii="Times New Roman" w:hAnsi="Times New Roman" w:cs="Times New Roman" w:hint="eastAsia"/>
                <w:szCs w:val="20"/>
              </w:rPr>
              <w:t xml:space="preserve">ssue Disorders </w:t>
            </w:r>
          </w:p>
        </w:tc>
        <w:tc>
          <w:tcPr>
            <w:tcW w:w="1073" w:type="pct"/>
            <w:shd w:val="clear" w:color="auto" w:fill="auto"/>
            <w:vAlign w:val="center"/>
          </w:tcPr>
          <w:p w14:paraId="7C556B0E" w14:textId="15951DD9" w:rsidR="00175208" w:rsidRDefault="00175208" w:rsidP="00232C58">
            <w:pPr>
              <w:pStyle w:val="NoSpacing"/>
              <w:jc w:val="left"/>
              <w:rPr>
                <w:rFonts w:ascii="Times New Roman" w:hAnsi="Times New Roman" w:cs="Times New Roman"/>
                <w:szCs w:val="20"/>
              </w:rPr>
            </w:pPr>
            <w:r>
              <w:rPr>
                <w:rFonts w:ascii="Times New Roman" w:hAnsi="Times New Roman" w:cs="Times New Roman" w:hint="eastAsia"/>
                <w:szCs w:val="20"/>
              </w:rPr>
              <w:t>Rheumatoid Arthritis</w:t>
            </w:r>
          </w:p>
        </w:tc>
        <w:tc>
          <w:tcPr>
            <w:tcW w:w="616" w:type="pct"/>
            <w:shd w:val="clear" w:color="auto" w:fill="auto"/>
            <w:noWrap/>
            <w:vAlign w:val="center"/>
          </w:tcPr>
          <w:p w14:paraId="73F8ECDC" w14:textId="2A491BF4" w:rsidR="00175208" w:rsidRDefault="00175208" w:rsidP="007947DB">
            <w:pPr>
              <w:pStyle w:val="NoSpacing"/>
              <w:jc w:val="center"/>
              <w:rPr>
                <w:rFonts w:ascii="Times New Roman" w:hAnsi="Times New Roman" w:cs="Times New Roman"/>
                <w:szCs w:val="20"/>
              </w:rPr>
            </w:pPr>
            <w:r>
              <w:rPr>
                <w:rFonts w:ascii="Times New Roman" w:hAnsi="Times New Roman" w:cs="Times New Roman" w:hint="eastAsia"/>
                <w:szCs w:val="20"/>
              </w:rPr>
              <w:t>20</w:t>
            </w:r>
          </w:p>
        </w:tc>
        <w:tc>
          <w:tcPr>
            <w:tcW w:w="611" w:type="pct"/>
            <w:vAlign w:val="center"/>
          </w:tcPr>
          <w:p w14:paraId="2FA3A43E" w14:textId="12A529B7" w:rsidR="00175208" w:rsidRDefault="00187372" w:rsidP="00175208">
            <w:pPr>
              <w:pStyle w:val="NoSpacing"/>
              <w:jc w:val="center"/>
              <w:rPr>
                <w:rFonts w:ascii="Times New Roman" w:hAnsi="Times New Roman" w:cs="Times New Roman"/>
                <w:szCs w:val="20"/>
              </w:rPr>
            </w:pPr>
            <w:r>
              <w:rPr>
                <w:rFonts w:ascii="Times New Roman" w:hAnsi="Times New Roman" w:cs="Times New Roman" w:hint="eastAsia"/>
                <w:szCs w:val="20"/>
              </w:rPr>
              <w:t>6</w:t>
            </w:r>
            <w:r w:rsidR="00175208">
              <w:rPr>
                <w:rFonts w:ascii="Times New Roman" w:hAnsi="Times New Roman" w:cs="Times New Roman" w:hint="eastAsia"/>
                <w:szCs w:val="20"/>
              </w:rPr>
              <w:t>.9</w:t>
            </w:r>
          </w:p>
        </w:tc>
        <w:tc>
          <w:tcPr>
            <w:tcW w:w="537" w:type="pct"/>
            <w:shd w:val="clear" w:color="auto" w:fill="auto"/>
            <w:noWrap/>
            <w:vAlign w:val="center"/>
          </w:tcPr>
          <w:p w14:paraId="33E09CCA" w14:textId="52E12E5F" w:rsidR="00175208" w:rsidRDefault="00175208" w:rsidP="007947DB">
            <w:pPr>
              <w:pStyle w:val="NoSpacing"/>
              <w:jc w:val="center"/>
              <w:rPr>
                <w:rFonts w:ascii="Times New Roman" w:hAnsi="Times New Roman" w:cs="Times New Roman"/>
                <w:szCs w:val="20"/>
              </w:rPr>
            </w:pPr>
            <w:r>
              <w:rPr>
                <w:rFonts w:ascii="Times New Roman" w:hAnsi="Times New Roman" w:cs="Times New Roman" w:hint="eastAsia"/>
                <w:szCs w:val="20"/>
              </w:rPr>
              <w:t>11</w:t>
            </w:r>
          </w:p>
        </w:tc>
        <w:tc>
          <w:tcPr>
            <w:tcW w:w="647" w:type="pct"/>
            <w:vAlign w:val="center"/>
          </w:tcPr>
          <w:p w14:paraId="4AEBC90C" w14:textId="5CED2B65" w:rsidR="00175208" w:rsidRDefault="00175208" w:rsidP="00232C58">
            <w:pPr>
              <w:pStyle w:val="NoSpacing"/>
              <w:jc w:val="center"/>
              <w:rPr>
                <w:rFonts w:ascii="Times New Roman" w:hAnsi="Times New Roman" w:cs="Times New Roman"/>
                <w:szCs w:val="20"/>
              </w:rPr>
            </w:pPr>
            <w:r>
              <w:rPr>
                <w:rFonts w:ascii="Times New Roman" w:hAnsi="Times New Roman" w:cs="Times New Roman" w:hint="eastAsia"/>
                <w:szCs w:val="20"/>
              </w:rPr>
              <w:t>3.8</w:t>
            </w:r>
          </w:p>
        </w:tc>
      </w:tr>
      <w:tr w:rsidR="00175208" w:rsidRPr="0029636B" w14:paraId="24205951" w14:textId="77777777" w:rsidTr="001056E5">
        <w:trPr>
          <w:trHeight w:val="20"/>
        </w:trPr>
        <w:tc>
          <w:tcPr>
            <w:tcW w:w="1516" w:type="pct"/>
            <w:vMerge/>
            <w:shd w:val="clear" w:color="auto" w:fill="auto"/>
            <w:vAlign w:val="center"/>
          </w:tcPr>
          <w:p w14:paraId="38FA1F16" w14:textId="77777777" w:rsidR="00175208" w:rsidRPr="0029636B" w:rsidRDefault="00175208" w:rsidP="007947DB">
            <w:pPr>
              <w:pStyle w:val="NoSpacing"/>
              <w:jc w:val="left"/>
              <w:rPr>
                <w:rFonts w:ascii="Times New Roman" w:hAnsi="Times New Roman" w:cs="Times New Roman"/>
                <w:szCs w:val="20"/>
              </w:rPr>
            </w:pPr>
          </w:p>
        </w:tc>
        <w:tc>
          <w:tcPr>
            <w:tcW w:w="1073" w:type="pct"/>
            <w:shd w:val="clear" w:color="auto" w:fill="auto"/>
            <w:vAlign w:val="center"/>
          </w:tcPr>
          <w:p w14:paraId="6E875413" w14:textId="1DF86DD0" w:rsidR="00175208" w:rsidRDefault="00175208" w:rsidP="00232C58">
            <w:pPr>
              <w:pStyle w:val="NoSpacing"/>
              <w:jc w:val="left"/>
              <w:rPr>
                <w:rFonts w:ascii="Times New Roman" w:hAnsi="Times New Roman" w:cs="Times New Roman"/>
                <w:szCs w:val="20"/>
              </w:rPr>
            </w:pPr>
            <w:r>
              <w:rPr>
                <w:rFonts w:ascii="Times New Roman" w:hAnsi="Times New Roman" w:cs="Times New Roman" w:hint="eastAsia"/>
                <w:szCs w:val="20"/>
              </w:rPr>
              <w:t>Arthralgia</w:t>
            </w:r>
          </w:p>
        </w:tc>
        <w:tc>
          <w:tcPr>
            <w:tcW w:w="616" w:type="pct"/>
            <w:shd w:val="clear" w:color="auto" w:fill="auto"/>
            <w:noWrap/>
            <w:vAlign w:val="center"/>
          </w:tcPr>
          <w:p w14:paraId="58B148DF" w14:textId="224F0A79" w:rsidR="00175208" w:rsidRDefault="00175208" w:rsidP="007947DB">
            <w:pPr>
              <w:pStyle w:val="NoSpacing"/>
              <w:jc w:val="center"/>
              <w:rPr>
                <w:rFonts w:ascii="Times New Roman" w:hAnsi="Times New Roman" w:cs="Times New Roman"/>
                <w:szCs w:val="20"/>
              </w:rPr>
            </w:pPr>
            <w:r>
              <w:rPr>
                <w:rFonts w:ascii="Times New Roman" w:hAnsi="Times New Roman" w:cs="Times New Roman" w:hint="eastAsia"/>
                <w:szCs w:val="20"/>
              </w:rPr>
              <w:t>8</w:t>
            </w:r>
          </w:p>
        </w:tc>
        <w:tc>
          <w:tcPr>
            <w:tcW w:w="611" w:type="pct"/>
            <w:vAlign w:val="center"/>
          </w:tcPr>
          <w:p w14:paraId="2445897A" w14:textId="0EF2E43C" w:rsidR="00175208" w:rsidRDefault="00175208" w:rsidP="00232C58">
            <w:pPr>
              <w:pStyle w:val="NoSpacing"/>
              <w:jc w:val="center"/>
              <w:rPr>
                <w:rFonts w:ascii="Times New Roman" w:hAnsi="Times New Roman" w:cs="Times New Roman"/>
                <w:szCs w:val="20"/>
              </w:rPr>
            </w:pPr>
            <w:r>
              <w:rPr>
                <w:rFonts w:ascii="Times New Roman" w:hAnsi="Times New Roman" w:cs="Times New Roman" w:hint="eastAsia"/>
                <w:szCs w:val="20"/>
              </w:rPr>
              <w:t>2.8</w:t>
            </w:r>
          </w:p>
        </w:tc>
        <w:tc>
          <w:tcPr>
            <w:tcW w:w="537" w:type="pct"/>
            <w:shd w:val="clear" w:color="auto" w:fill="auto"/>
            <w:noWrap/>
            <w:vAlign w:val="center"/>
          </w:tcPr>
          <w:p w14:paraId="1AB7C778" w14:textId="55327328" w:rsidR="00175208" w:rsidRDefault="00175208" w:rsidP="007947DB">
            <w:pPr>
              <w:pStyle w:val="NoSpacing"/>
              <w:jc w:val="center"/>
              <w:rPr>
                <w:rFonts w:ascii="Times New Roman" w:hAnsi="Times New Roman" w:cs="Times New Roman"/>
                <w:szCs w:val="20"/>
              </w:rPr>
            </w:pPr>
            <w:r>
              <w:rPr>
                <w:rFonts w:ascii="Times New Roman" w:hAnsi="Times New Roman" w:cs="Times New Roman" w:hint="eastAsia"/>
                <w:szCs w:val="20"/>
              </w:rPr>
              <w:t>8</w:t>
            </w:r>
          </w:p>
        </w:tc>
        <w:tc>
          <w:tcPr>
            <w:tcW w:w="647" w:type="pct"/>
            <w:vAlign w:val="center"/>
          </w:tcPr>
          <w:p w14:paraId="176BF846" w14:textId="7D45C546" w:rsidR="00175208" w:rsidRDefault="00175208" w:rsidP="00232C58">
            <w:pPr>
              <w:pStyle w:val="NoSpacing"/>
              <w:jc w:val="center"/>
              <w:rPr>
                <w:rFonts w:ascii="Times New Roman" w:hAnsi="Times New Roman" w:cs="Times New Roman"/>
                <w:szCs w:val="20"/>
              </w:rPr>
            </w:pPr>
            <w:r>
              <w:rPr>
                <w:rFonts w:ascii="Times New Roman" w:hAnsi="Times New Roman" w:cs="Times New Roman" w:hint="eastAsia"/>
                <w:szCs w:val="20"/>
              </w:rPr>
              <w:t>2.7</w:t>
            </w:r>
          </w:p>
        </w:tc>
      </w:tr>
      <w:tr w:rsidR="00175208" w:rsidRPr="0029636B" w14:paraId="2C615883" w14:textId="77777777" w:rsidTr="001056E5">
        <w:trPr>
          <w:trHeight w:val="20"/>
        </w:trPr>
        <w:tc>
          <w:tcPr>
            <w:tcW w:w="1516" w:type="pct"/>
            <w:vMerge/>
            <w:shd w:val="clear" w:color="auto" w:fill="auto"/>
            <w:vAlign w:val="center"/>
          </w:tcPr>
          <w:p w14:paraId="06F4C7C5" w14:textId="77777777" w:rsidR="00175208" w:rsidRPr="0029636B" w:rsidRDefault="00175208" w:rsidP="007947DB">
            <w:pPr>
              <w:pStyle w:val="NoSpacing"/>
              <w:jc w:val="left"/>
              <w:rPr>
                <w:rFonts w:ascii="Times New Roman" w:hAnsi="Times New Roman" w:cs="Times New Roman"/>
                <w:szCs w:val="20"/>
              </w:rPr>
            </w:pPr>
          </w:p>
        </w:tc>
        <w:tc>
          <w:tcPr>
            <w:tcW w:w="1073" w:type="pct"/>
            <w:shd w:val="clear" w:color="auto" w:fill="auto"/>
            <w:vAlign w:val="center"/>
          </w:tcPr>
          <w:p w14:paraId="77A087C9" w14:textId="78C68144" w:rsidR="00175208" w:rsidRDefault="00175208" w:rsidP="00232C58">
            <w:pPr>
              <w:pStyle w:val="NoSpacing"/>
              <w:jc w:val="left"/>
              <w:rPr>
                <w:rFonts w:ascii="Times New Roman" w:hAnsi="Times New Roman" w:cs="Times New Roman"/>
                <w:szCs w:val="20"/>
              </w:rPr>
            </w:pPr>
            <w:r>
              <w:rPr>
                <w:rFonts w:ascii="Times New Roman" w:hAnsi="Times New Roman" w:cs="Times New Roman" w:hint="eastAsia"/>
                <w:szCs w:val="20"/>
              </w:rPr>
              <w:t>Back Pain</w:t>
            </w:r>
          </w:p>
        </w:tc>
        <w:tc>
          <w:tcPr>
            <w:tcW w:w="616" w:type="pct"/>
            <w:shd w:val="clear" w:color="auto" w:fill="auto"/>
            <w:noWrap/>
            <w:vAlign w:val="center"/>
          </w:tcPr>
          <w:p w14:paraId="64862533" w14:textId="33478DCA" w:rsidR="00175208" w:rsidRDefault="00175208" w:rsidP="007947DB">
            <w:pPr>
              <w:pStyle w:val="NoSpacing"/>
              <w:jc w:val="center"/>
              <w:rPr>
                <w:rFonts w:ascii="Times New Roman" w:hAnsi="Times New Roman" w:cs="Times New Roman"/>
                <w:szCs w:val="20"/>
              </w:rPr>
            </w:pPr>
            <w:r>
              <w:rPr>
                <w:rFonts w:ascii="Times New Roman" w:hAnsi="Times New Roman" w:cs="Times New Roman" w:hint="eastAsia"/>
                <w:szCs w:val="20"/>
              </w:rPr>
              <w:t>7</w:t>
            </w:r>
          </w:p>
        </w:tc>
        <w:tc>
          <w:tcPr>
            <w:tcW w:w="611" w:type="pct"/>
            <w:vAlign w:val="center"/>
          </w:tcPr>
          <w:p w14:paraId="094E070C" w14:textId="1090D746" w:rsidR="00175208" w:rsidRDefault="00175208" w:rsidP="00232C58">
            <w:pPr>
              <w:pStyle w:val="NoSpacing"/>
              <w:jc w:val="center"/>
              <w:rPr>
                <w:rFonts w:ascii="Times New Roman" w:hAnsi="Times New Roman" w:cs="Times New Roman"/>
                <w:szCs w:val="20"/>
              </w:rPr>
            </w:pPr>
            <w:r>
              <w:rPr>
                <w:rFonts w:ascii="Times New Roman" w:hAnsi="Times New Roman" w:cs="Times New Roman" w:hint="eastAsia"/>
                <w:szCs w:val="20"/>
              </w:rPr>
              <w:t>2.4</w:t>
            </w:r>
          </w:p>
        </w:tc>
        <w:tc>
          <w:tcPr>
            <w:tcW w:w="537" w:type="pct"/>
            <w:shd w:val="clear" w:color="auto" w:fill="auto"/>
            <w:noWrap/>
            <w:vAlign w:val="center"/>
          </w:tcPr>
          <w:p w14:paraId="117111F5" w14:textId="05B16CCC" w:rsidR="00175208" w:rsidRDefault="00175208" w:rsidP="007947DB">
            <w:pPr>
              <w:pStyle w:val="NoSpacing"/>
              <w:jc w:val="center"/>
              <w:rPr>
                <w:rFonts w:ascii="Times New Roman" w:hAnsi="Times New Roman" w:cs="Times New Roman"/>
                <w:szCs w:val="20"/>
              </w:rPr>
            </w:pPr>
            <w:r>
              <w:rPr>
                <w:rFonts w:ascii="Times New Roman" w:hAnsi="Times New Roman" w:cs="Times New Roman" w:hint="eastAsia"/>
                <w:szCs w:val="20"/>
              </w:rPr>
              <w:t>11</w:t>
            </w:r>
          </w:p>
        </w:tc>
        <w:tc>
          <w:tcPr>
            <w:tcW w:w="647" w:type="pct"/>
            <w:vAlign w:val="center"/>
          </w:tcPr>
          <w:p w14:paraId="39CA9921" w14:textId="392ABFDF" w:rsidR="00175208" w:rsidRDefault="00175208" w:rsidP="00232C58">
            <w:pPr>
              <w:pStyle w:val="NoSpacing"/>
              <w:jc w:val="center"/>
              <w:rPr>
                <w:rFonts w:ascii="Times New Roman" w:hAnsi="Times New Roman" w:cs="Times New Roman"/>
                <w:szCs w:val="20"/>
              </w:rPr>
            </w:pPr>
            <w:r>
              <w:rPr>
                <w:rFonts w:ascii="Times New Roman" w:hAnsi="Times New Roman" w:cs="Times New Roman" w:hint="eastAsia"/>
                <w:szCs w:val="20"/>
              </w:rPr>
              <w:t>3.8</w:t>
            </w:r>
          </w:p>
        </w:tc>
      </w:tr>
      <w:tr w:rsidR="00175208" w:rsidRPr="0029636B" w14:paraId="013AF315" w14:textId="77777777" w:rsidTr="001056E5">
        <w:trPr>
          <w:trHeight w:val="20"/>
        </w:trPr>
        <w:tc>
          <w:tcPr>
            <w:tcW w:w="1516" w:type="pct"/>
            <w:vMerge/>
            <w:shd w:val="clear" w:color="auto" w:fill="auto"/>
            <w:vAlign w:val="center"/>
          </w:tcPr>
          <w:p w14:paraId="6BF7F13C" w14:textId="77777777" w:rsidR="00175208" w:rsidRPr="0029636B" w:rsidRDefault="00175208" w:rsidP="007947DB">
            <w:pPr>
              <w:pStyle w:val="NoSpacing"/>
              <w:jc w:val="left"/>
              <w:rPr>
                <w:rFonts w:ascii="Times New Roman" w:hAnsi="Times New Roman" w:cs="Times New Roman"/>
                <w:szCs w:val="20"/>
              </w:rPr>
            </w:pPr>
          </w:p>
        </w:tc>
        <w:tc>
          <w:tcPr>
            <w:tcW w:w="1073" w:type="pct"/>
            <w:shd w:val="clear" w:color="auto" w:fill="auto"/>
            <w:vAlign w:val="center"/>
          </w:tcPr>
          <w:p w14:paraId="21EE7B1E" w14:textId="6BE54901" w:rsidR="00175208" w:rsidRDefault="00175208" w:rsidP="00232C58">
            <w:pPr>
              <w:pStyle w:val="NoSpacing"/>
              <w:jc w:val="left"/>
              <w:rPr>
                <w:rFonts w:ascii="Times New Roman" w:hAnsi="Times New Roman" w:cs="Times New Roman"/>
                <w:szCs w:val="20"/>
              </w:rPr>
            </w:pPr>
            <w:r>
              <w:rPr>
                <w:rFonts w:ascii="Times New Roman" w:hAnsi="Times New Roman" w:cs="Times New Roman" w:hint="eastAsia"/>
                <w:szCs w:val="20"/>
              </w:rPr>
              <w:t>Osteoarthritis</w:t>
            </w:r>
          </w:p>
        </w:tc>
        <w:tc>
          <w:tcPr>
            <w:tcW w:w="616" w:type="pct"/>
            <w:shd w:val="clear" w:color="auto" w:fill="auto"/>
            <w:noWrap/>
            <w:vAlign w:val="center"/>
          </w:tcPr>
          <w:p w14:paraId="54F5EC2A" w14:textId="16205F18" w:rsidR="00175208" w:rsidRDefault="00175208" w:rsidP="007947DB">
            <w:pPr>
              <w:pStyle w:val="NoSpacing"/>
              <w:jc w:val="center"/>
              <w:rPr>
                <w:rFonts w:ascii="Times New Roman" w:hAnsi="Times New Roman" w:cs="Times New Roman"/>
                <w:szCs w:val="20"/>
              </w:rPr>
            </w:pPr>
            <w:r>
              <w:rPr>
                <w:rFonts w:ascii="Times New Roman" w:hAnsi="Times New Roman" w:cs="Times New Roman" w:hint="eastAsia"/>
                <w:szCs w:val="20"/>
              </w:rPr>
              <w:t>3</w:t>
            </w:r>
          </w:p>
        </w:tc>
        <w:tc>
          <w:tcPr>
            <w:tcW w:w="611" w:type="pct"/>
            <w:vAlign w:val="center"/>
          </w:tcPr>
          <w:p w14:paraId="7971DEEC" w14:textId="72ECE6CB" w:rsidR="00175208" w:rsidRDefault="00175208" w:rsidP="00232C58">
            <w:pPr>
              <w:pStyle w:val="NoSpacing"/>
              <w:jc w:val="center"/>
              <w:rPr>
                <w:rFonts w:ascii="Times New Roman" w:hAnsi="Times New Roman" w:cs="Times New Roman"/>
                <w:szCs w:val="20"/>
              </w:rPr>
            </w:pPr>
            <w:r>
              <w:rPr>
                <w:rFonts w:ascii="Times New Roman" w:hAnsi="Times New Roman" w:cs="Times New Roman" w:hint="eastAsia"/>
                <w:szCs w:val="20"/>
              </w:rPr>
              <w:t>1.0</w:t>
            </w:r>
          </w:p>
        </w:tc>
        <w:tc>
          <w:tcPr>
            <w:tcW w:w="537" w:type="pct"/>
            <w:shd w:val="clear" w:color="auto" w:fill="auto"/>
            <w:noWrap/>
            <w:vAlign w:val="center"/>
          </w:tcPr>
          <w:p w14:paraId="2081F182" w14:textId="5A7D3A3E" w:rsidR="00175208" w:rsidRDefault="00175208" w:rsidP="007947DB">
            <w:pPr>
              <w:pStyle w:val="NoSpacing"/>
              <w:jc w:val="center"/>
              <w:rPr>
                <w:rFonts w:ascii="Times New Roman" w:hAnsi="Times New Roman" w:cs="Times New Roman"/>
                <w:szCs w:val="20"/>
              </w:rPr>
            </w:pPr>
            <w:r>
              <w:rPr>
                <w:rFonts w:ascii="Times New Roman" w:hAnsi="Times New Roman" w:cs="Times New Roman" w:hint="eastAsia"/>
                <w:szCs w:val="20"/>
              </w:rPr>
              <w:t>2</w:t>
            </w:r>
          </w:p>
        </w:tc>
        <w:tc>
          <w:tcPr>
            <w:tcW w:w="647" w:type="pct"/>
            <w:vAlign w:val="center"/>
          </w:tcPr>
          <w:p w14:paraId="341ABFC0" w14:textId="7A99F85E" w:rsidR="00175208" w:rsidRDefault="00175208" w:rsidP="00232C58">
            <w:pPr>
              <w:pStyle w:val="NoSpacing"/>
              <w:jc w:val="center"/>
              <w:rPr>
                <w:rFonts w:ascii="Times New Roman" w:hAnsi="Times New Roman" w:cs="Times New Roman"/>
                <w:szCs w:val="20"/>
              </w:rPr>
            </w:pPr>
            <w:r>
              <w:rPr>
                <w:rFonts w:ascii="Times New Roman" w:hAnsi="Times New Roman" w:cs="Times New Roman" w:hint="eastAsia"/>
                <w:szCs w:val="20"/>
              </w:rPr>
              <w:t>0.7</w:t>
            </w:r>
          </w:p>
        </w:tc>
      </w:tr>
      <w:tr w:rsidR="00175208" w:rsidRPr="0029636B" w14:paraId="7AB68085" w14:textId="77777777" w:rsidTr="001056E5">
        <w:trPr>
          <w:trHeight w:val="20"/>
        </w:trPr>
        <w:tc>
          <w:tcPr>
            <w:tcW w:w="1516" w:type="pct"/>
            <w:vMerge/>
            <w:shd w:val="clear" w:color="auto" w:fill="auto"/>
            <w:vAlign w:val="center"/>
          </w:tcPr>
          <w:p w14:paraId="7A4B4254" w14:textId="77777777" w:rsidR="00175208" w:rsidRPr="0029636B" w:rsidRDefault="00175208" w:rsidP="007947DB">
            <w:pPr>
              <w:pStyle w:val="NoSpacing"/>
              <w:jc w:val="left"/>
              <w:rPr>
                <w:rFonts w:ascii="Times New Roman" w:hAnsi="Times New Roman" w:cs="Times New Roman"/>
                <w:szCs w:val="20"/>
              </w:rPr>
            </w:pPr>
          </w:p>
        </w:tc>
        <w:tc>
          <w:tcPr>
            <w:tcW w:w="1073" w:type="pct"/>
            <w:shd w:val="clear" w:color="auto" w:fill="auto"/>
            <w:vAlign w:val="center"/>
          </w:tcPr>
          <w:p w14:paraId="343C9896" w14:textId="2A40B729" w:rsidR="00175208" w:rsidRDefault="00175208" w:rsidP="00232C58">
            <w:pPr>
              <w:pStyle w:val="NoSpacing"/>
              <w:jc w:val="left"/>
              <w:rPr>
                <w:rFonts w:ascii="Times New Roman" w:hAnsi="Times New Roman" w:cs="Times New Roman"/>
                <w:szCs w:val="20"/>
              </w:rPr>
            </w:pPr>
            <w:r>
              <w:rPr>
                <w:rFonts w:ascii="Times New Roman" w:hAnsi="Times New Roman" w:cs="Times New Roman" w:hint="eastAsia"/>
                <w:szCs w:val="20"/>
              </w:rPr>
              <w:t>Pain in Extremity</w:t>
            </w:r>
          </w:p>
        </w:tc>
        <w:tc>
          <w:tcPr>
            <w:tcW w:w="616" w:type="pct"/>
            <w:shd w:val="clear" w:color="auto" w:fill="auto"/>
            <w:noWrap/>
            <w:vAlign w:val="center"/>
          </w:tcPr>
          <w:p w14:paraId="13B686F0" w14:textId="3347A9F7" w:rsidR="00175208" w:rsidRDefault="00175208" w:rsidP="007947DB">
            <w:pPr>
              <w:pStyle w:val="NoSpacing"/>
              <w:jc w:val="center"/>
              <w:rPr>
                <w:rFonts w:ascii="Times New Roman" w:hAnsi="Times New Roman" w:cs="Times New Roman"/>
                <w:szCs w:val="20"/>
              </w:rPr>
            </w:pPr>
            <w:r>
              <w:rPr>
                <w:rFonts w:ascii="Times New Roman" w:hAnsi="Times New Roman" w:cs="Times New Roman" w:hint="eastAsia"/>
                <w:szCs w:val="20"/>
              </w:rPr>
              <w:t>3</w:t>
            </w:r>
          </w:p>
        </w:tc>
        <w:tc>
          <w:tcPr>
            <w:tcW w:w="611" w:type="pct"/>
            <w:vAlign w:val="center"/>
          </w:tcPr>
          <w:p w14:paraId="5C6373DC" w14:textId="5F5032D5" w:rsidR="00175208" w:rsidRDefault="00175208" w:rsidP="00232C58">
            <w:pPr>
              <w:pStyle w:val="NoSpacing"/>
              <w:jc w:val="center"/>
              <w:rPr>
                <w:rFonts w:ascii="Times New Roman" w:hAnsi="Times New Roman" w:cs="Times New Roman"/>
                <w:szCs w:val="20"/>
              </w:rPr>
            </w:pPr>
            <w:r>
              <w:rPr>
                <w:rFonts w:ascii="Times New Roman" w:hAnsi="Times New Roman" w:cs="Times New Roman" w:hint="eastAsia"/>
                <w:szCs w:val="20"/>
              </w:rPr>
              <w:t>1.0</w:t>
            </w:r>
          </w:p>
        </w:tc>
        <w:tc>
          <w:tcPr>
            <w:tcW w:w="537" w:type="pct"/>
            <w:shd w:val="clear" w:color="auto" w:fill="auto"/>
            <w:noWrap/>
            <w:vAlign w:val="center"/>
          </w:tcPr>
          <w:p w14:paraId="6E60B47B" w14:textId="785216D2" w:rsidR="00175208" w:rsidRDefault="00175208" w:rsidP="007947DB">
            <w:pPr>
              <w:pStyle w:val="NoSpacing"/>
              <w:jc w:val="center"/>
              <w:rPr>
                <w:rFonts w:ascii="Times New Roman" w:hAnsi="Times New Roman" w:cs="Times New Roman"/>
                <w:szCs w:val="20"/>
              </w:rPr>
            </w:pPr>
            <w:r>
              <w:rPr>
                <w:rFonts w:ascii="Times New Roman" w:hAnsi="Times New Roman" w:cs="Times New Roman" w:hint="eastAsia"/>
                <w:szCs w:val="20"/>
              </w:rPr>
              <w:t>0</w:t>
            </w:r>
          </w:p>
        </w:tc>
        <w:tc>
          <w:tcPr>
            <w:tcW w:w="647" w:type="pct"/>
            <w:vAlign w:val="center"/>
          </w:tcPr>
          <w:p w14:paraId="0EF8D2AA" w14:textId="3F5183A0" w:rsidR="00175208" w:rsidRDefault="00175208" w:rsidP="00232C58">
            <w:pPr>
              <w:pStyle w:val="NoSpacing"/>
              <w:jc w:val="center"/>
              <w:rPr>
                <w:rFonts w:ascii="Times New Roman" w:hAnsi="Times New Roman" w:cs="Times New Roman"/>
                <w:szCs w:val="20"/>
              </w:rPr>
            </w:pPr>
            <w:r>
              <w:rPr>
                <w:rFonts w:ascii="Times New Roman" w:hAnsi="Times New Roman" w:cs="Times New Roman" w:hint="eastAsia"/>
                <w:szCs w:val="20"/>
              </w:rPr>
              <w:t>0.0</w:t>
            </w:r>
          </w:p>
        </w:tc>
      </w:tr>
      <w:tr w:rsidR="00175208" w:rsidRPr="0029636B" w14:paraId="05B0BB20" w14:textId="77777777" w:rsidTr="001056E5">
        <w:trPr>
          <w:trHeight w:val="20"/>
        </w:trPr>
        <w:tc>
          <w:tcPr>
            <w:tcW w:w="1516" w:type="pct"/>
            <w:vMerge/>
            <w:shd w:val="clear" w:color="auto" w:fill="auto"/>
            <w:vAlign w:val="center"/>
          </w:tcPr>
          <w:p w14:paraId="278937BB" w14:textId="77777777" w:rsidR="00175208" w:rsidRPr="0029636B" w:rsidRDefault="00175208" w:rsidP="007947DB">
            <w:pPr>
              <w:pStyle w:val="NoSpacing"/>
              <w:jc w:val="left"/>
              <w:rPr>
                <w:rFonts w:ascii="Times New Roman" w:hAnsi="Times New Roman" w:cs="Times New Roman"/>
                <w:szCs w:val="20"/>
              </w:rPr>
            </w:pPr>
          </w:p>
        </w:tc>
        <w:tc>
          <w:tcPr>
            <w:tcW w:w="1073" w:type="pct"/>
            <w:shd w:val="clear" w:color="auto" w:fill="auto"/>
            <w:vAlign w:val="center"/>
          </w:tcPr>
          <w:p w14:paraId="562BCE1C" w14:textId="7F5A97C3" w:rsidR="00175208" w:rsidRDefault="00175208" w:rsidP="00232C58">
            <w:pPr>
              <w:pStyle w:val="NoSpacing"/>
              <w:jc w:val="left"/>
              <w:rPr>
                <w:rFonts w:ascii="Times New Roman" w:hAnsi="Times New Roman" w:cs="Times New Roman"/>
                <w:szCs w:val="20"/>
              </w:rPr>
            </w:pPr>
            <w:r>
              <w:rPr>
                <w:rFonts w:ascii="Times New Roman" w:hAnsi="Times New Roman" w:cs="Times New Roman" w:hint="eastAsia"/>
                <w:szCs w:val="20"/>
              </w:rPr>
              <w:t>Muscle Spasm</w:t>
            </w:r>
          </w:p>
        </w:tc>
        <w:tc>
          <w:tcPr>
            <w:tcW w:w="616" w:type="pct"/>
            <w:shd w:val="clear" w:color="auto" w:fill="auto"/>
            <w:noWrap/>
            <w:vAlign w:val="center"/>
          </w:tcPr>
          <w:p w14:paraId="698EE575" w14:textId="3553A257" w:rsidR="00175208" w:rsidRDefault="00175208" w:rsidP="007947DB">
            <w:pPr>
              <w:pStyle w:val="NoSpacing"/>
              <w:jc w:val="center"/>
              <w:rPr>
                <w:rFonts w:ascii="Times New Roman" w:hAnsi="Times New Roman" w:cs="Times New Roman"/>
                <w:szCs w:val="20"/>
              </w:rPr>
            </w:pPr>
            <w:r w:rsidRPr="0029636B">
              <w:rPr>
                <w:rFonts w:ascii="Times New Roman" w:hAnsi="Times New Roman" w:cs="Times New Roman"/>
                <w:szCs w:val="20"/>
              </w:rPr>
              <w:t>2</w:t>
            </w:r>
          </w:p>
        </w:tc>
        <w:tc>
          <w:tcPr>
            <w:tcW w:w="611" w:type="pct"/>
            <w:vAlign w:val="center"/>
          </w:tcPr>
          <w:p w14:paraId="2A0598D0" w14:textId="6487ADB5" w:rsidR="00175208" w:rsidRDefault="00175208" w:rsidP="00232C58">
            <w:pPr>
              <w:pStyle w:val="NoSpacing"/>
              <w:jc w:val="center"/>
              <w:rPr>
                <w:rFonts w:ascii="Times New Roman" w:hAnsi="Times New Roman" w:cs="Times New Roman"/>
                <w:szCs w:val="20"/>
              </w:rPr>
            </w:pPr>
            <w:r w:rsidRPr="0029636B">
              <w:rPr>
                <w:rFonts w:ascii="Times New Roman" w:hAnsi="Times New Roman" w:cs="Times New Roman"/>
                <w:szCs w:val="20"/>
              </w:rPr>
              <w:t>0.7</w:t>
            </w:r>
          </w:p>
        </w:tc>
        <w:tc>
          <w:tcPr>
            <w:tcW w:w="537" w:type="pct"/>
            <w:shd w:val="clear" w:color="auto" w:fill="auto"/>
            <w:noWrap/>
            <w:vAlign w:val="center"/>
          </w:tcPr>
          <w:p w14:paraId="33C43F33" w14:textId="2395A777" w:rsidR="00175208" w:rsidRDefault="00175208" w:rsidP="007947DB">
            <w:pPr>
              <w:pStyle w:val="NoSpacing"/>
              <w:jc w:val="center"/>
              <w:rPr>
                <w:rFonts w:ascii="Times New Roman" w:hAnsi="Times New Roman" w:cs="Times New Roman"/>
                <w:szCs w:val="20"/>
              </w:rPr>
            </w:pPr>
            <w:r>
              <w:rPr>
                <w:rFonts w:ascii="Times New Roman" w:hAnsi="Times New Roman" w:cs="Times New Roman" w:hint="eastAsia"/>
                <w:szCs w:val="20"/>
              </w:rPr>
              <w:t>3</w:t>
            </w:r>
          </w:p>
        </w:tc>
        <w:tc>
          <w:tcPr>
            <w:tcW w:w="647" w:type="pct"/>
            <w:vAlign w:val="center"/>
          </w:tcPr>
          <w:p w14:paraId="0AB966FD" w14:textId="3F4643BE" w:rsidR="00175208" w:rsidRDefault="00175208" w:rsidP="00232C58">
            <w:pPr>
              <w:pStyle w:val="NoSpacing"/>
              <w:jc w:val="center"/>
              <w:rPr>
                <w:rFonts w:ascii="Times New Roman" w:hAnsi="Times New Roman" w:cs="Times New Roman"/>
                <w:szCs w:val="20"/>
              </w:rPr>
            </w:pPr>
            <w:r>
              <w:rPr>
                <w:rFonts w:ascii="Times New Roman" w:hAnsi="Times New Roman" w:cs="Times New Roman" w:hint="eastAsia"/>
                <w:szCs w:val="20"/>
              </w:rPr>
              <w:t>1.0</w:t>
            </w:r>
          </w:p>
        </w:tc>
      </w:tr>
      <w:tr w:rsidR="00175208" w:rsidRPr="0029636B" w14:paraId="20642244" w14:textId="77777777" w:rsidTr="001056E5">
        <w:trPr>
          <w:trHeight w:val="20"/>
        </w:trPr>
        <w:tc>
          <w:tcPr>
            <w:tcW w:w="1516" w:type="pct"/>
            <w:vMerge/>
            <w:shd w:val="clear" w:color="auto" w:fill="auto"/>
            <w:vAlign w:val="center"/>
          </w:tcPr>
          <w:p w14:paraId="410B255A" w14:textId="77777777" w:rsidR="00175208" w:rsidRPr="0029636B" w:rsidRDefault="00175208" w:rsidP="007947DB">
            <w:pPr>
              <w:pStyle w:val="NoSpacing"/>
              <w:jc w:val="left"/>
              <w:rPr>
                <w:rFonts w:ascii="Times New Roman" w:hAnsi="Times New Roman" w:cs="Times New Roman"/>
                <w:szCs w:val="20"/>
              </w:rPr>
            </w:pPr>
          </w:p>
        </w:tc>
        <w:tc>
          <w:tcPr>
            <w:tcW w:w="1073" w:type="pct"/>
            <w:shd w:val="clear" w:color="auto" w:fill="auto"/>
            <w:vAlign w:val="center"/>
          </w:tcPr>
          <w:p w14:paraId="63A4C330" w14:textId="3BBCEFCD" w:rsidR="00175208" w:rsidRDefault="00175208" w:rsidP="00232C58">
            <w:pPr>
              <w:pStyle w:val="NoSpacing"/>
              <w:jc w:val="left"/>
              <w:rPr>
                <w:rFonts w:ascii="Times New Roman" w:hAnsi="Times New Roman" w:cs="Times New Roman"/>
                <w:szCs w:val="20"/>
              </w:rPr>
            </w:pPr>
            <w:r>
              <w:rPr>
                <w:rFonts w:ascii="Times New Roman" w:hAnsi="Times New Roman" w:cs="Times New Roman" w:hint="eastAsia"/>
                <w:szCs w:val="20"/>
              </w:rPr>
              <w:t>Musculoskeletal Pain</w:t>
            </w:r>
          </w:p>
        </w:tc>
        <w:tc>
          <w:tcPr>
            <w:tcW w:w="616" w:type="pct"/>
            <w:shd w:val="clear" w:color="auto" w:fill="auto"/>
            <w:noWrap/>
            <w:vAlign w:val="center"/>
          </w:tcPr>
          <w:p w14:paraId="42E0EBF1" w14:textId="2CBE2ECD" w:rsidR="00175208" w:rsidRDefault="00175208" w:rsidP="007947DB">
            <w:pPr>
              <w:pStyle w:val="NoSpacing"/>
              <w:jc w:val="center"/>
              <w:rPr>
                <w:rFonts w:ascii="Times New Roman" w:hAnsi="Times New Roman" w:cs="Times New Roman"/>
                <w:szCs w:val="20"/>
              </w:rPr>
            </w:pPr>
            <w:r w:rsidRPr="0029636B">
              <w:rPr>
                <w:rFonts w:ascii="Times New Roman" w:hAnsi="Times New Roman" w:cs="Times New Roman"/>
                <w:szCs w:val="20"/>
              </w:rPr>
              <w:t>2</w:t>
            </w:r>
          </w:p>
        </w:tc>
        <w:tc>
          <w:tcPr>
            <w:tcW w:w="611" w:type="pct"/>
            <w:vAlign w:val="center"/>
          </w:tcPr>
          <w:p w14:paraId="49C85EC8" w14:textId="17164458" w:rsidR="00175208" w:rsidRDefault="00175208" w:rsidP="00232C58">
            <w:pPr>
              <w:pStyle w:val="NoSpacing"/>
              <w:jc w:val="center"/>
              <w:rPr>
                <w:rFonts w:ascii="Times New Roman" w:hAnsi="Times New Roman" w:cs="Times New Roman"/>
                <w:szCs w:val="20"/>
              </w:rPr>
            </w:pPr>
            <w:r w:rsidRPr="0029636B">
              <w:rPr>
                <w:rFonts w:ascii="Times New Roman" w:hAnsi="Times New Roman" w:cs="Times New Roman"/>
                <w:szCs w:val="20"/>
              </w:rPr>
              <w:t>0.7</w:t>
            </w:r>
          </w:p>
        </w:tc>
        <w:tc>
          <w:tcPr>
            <w:tcW w:w="537" w:type="pct"/>
            <w:shd w:val="clear" w:color="auto" w:fill="auto"/>
            <w:noWrap/>
            <w:vAlign w:val="center"/>
          </w:tcPr>
          <w:p w14:paraId="26E8FD84" w14:textId="2E994B14" w:rsidR="00175208" w:rsidRDefault="00175208" w:rsidP="007947DB">
            <w:pPr>
              <w:pStyle w:val="NoSpacing"/>
              <w:jc w:val="center"/>
              <w:rPr>
                <w:rFonts w:ascii="Times New Roman" w:hAnsi="Times New Roman" w:cs="Times New Roman"/>
                <w:szCs w:val="20"/>
              </w:rPr>
            </w:pPr>
            <w:r>
              <w:rPr>
                <w:rFonts w:ascii="Times New Roman" w:hAnsi="Times New Roman" w:cs="Times New Roman" w:hint="eastAsia"/>
                <w:szCs w:val="20"/>
              </w:rPr>
              <w:t>3</w:t>
            </w:r>
          </w:p>
        </w:tc>
        <w:tc>
          <w:tcPr>
            <w:tcW w:w="647" w:type="pct"/>
            <w:vAlign w:val="center"/>
          </w:tcPr>
          <w:p w14:paraId="53528925" w14:textId="49E209DE" w:rsidR="00175208" w:rsidRDefault="00175208" w:rsidP="00232C58">
            <w:pPr>
              <w:pStyle w:val="NoSpacing"/>
              <w:jc w:val="center"/>
              <w:rPr>
                <w:rFonts w:ascii="Times New Roman" w:hAnsi="Times New Roman" w:cs="Times New Roman"/>
                <w:szCs w:val="20"/>
              </w:rPr>
            </w:pPr>
            <w:r>
              <w:rPr>
                <w:rFonts w:ascii="Times New Roman" w:hAnsi="Times New Roman" w:cs="Times New Roman" w:hint="eastAsia"/>
                <w:szCs w:val="20"/>
              </w:rPr>
              <w:t>1.0</w:t>
            </w:r>
          </w:p>
        </w:tc>
      </w:tr>
      <w:tr w:rsidR="00175208" w:rsidRPr="0029636B" w14:paraId="6985D8A2" w14:textId="77777777" w:rsidTr="001056E5">
        <w:trPr>
          <w:trHeight w:val="20"/>
        </w:trPr>
        <w:tc>
          <w:tcPr>
            <w:tcW w:w="1516" w:type="pct"/>
            <w:vMerge/>
            <w:shd w:val="clear" w:color="auto" w:fill="auto"/>
            <w:vAlign w:val="center"/>
          </w:tcPr>
          <w:p w14:paraId="78C976DD" w14:textId="77777777" w:rsidR="00175208" w:rsidRPr="0029636B" w:rsidRDefault="00175208" w:rsidP="007947DB">
            <w:pPr>
              <w:pStyle w:val="NoSpacing"/>
              <w:jc w:val="left"/>
              <w:rPr>
                <w:rFonts w:ascii="Times New Roman" w:hAnsi="Times New Roman" w:cs="Times New Roman"/>
                <w:szCs w:val="20"/>
              </w:rPr>
            </w:pPr>
          </w:p>
        </w:tc>
        <w:tc>
          <w:tcPr>
            <w:tcW w:w="1073" w:type="pct"/>
            <w:shd w:val="clear" w:color="auto" w:fill="auto"/>
            <w:vAlign w:val="center"/>
          </w:tcPr>
          <w:p w14:paraId="63E1E6D5" w14:textId="0CB851E1" w:rsidR="00175208" w:rsidRDefault="00175208" w:rsidP="00232C58">
            <w:pPr>
              <w:pStyle w:val="NoSpacing"/>
              <w:jc w:val="left"/>
              <w:rPr>
                <w:rFonts w:ascii="Times New Roman" w:hAnsi="Times New Roman" w:cs="Times New Roman"/>
                <w:szCs w:val="20"/>
              </w:rPr>
            </w:pPr>
            <w:r>
              <w:rPr>
                <w:rFonts w:ascii="Times New Roman" w:hAnsi="Times New Roman" w:cs="Times New Roman" w:hint="eastAsia"/>
                <w:szCs w:val="20"/>
              </w:rPr>
              <w:t>Joint Swelling</w:t>
            </w:r>
          </w:p>
        </w:tc>
        <w:tc>
          <w:tcPr>
            <w:tcW w:w="616" w:type="pct"/>
            <w:shd w:val="clear" w:color="auto" w:fill="auto"/>
            <w:noWrap/>
            <w:vAlign w:val="center"/>
          </w:tcPr>
          <w:p w14:paraId="6C615E74" w14:textId="33E5F17D" w:rsidR="00175208" w:rsidRDefault="00175208" w:rsidP="007947DB">
            <w:pPr>
              <w:pStyle w:val="NoSpacing"/>
              <w:jc w:val="center"/>
              <w:rPr>
                <w:rFonts w:ascii="Times New Roman" w:hAnsi="Times New Roman" w:cs="Times New Roman"/>
                <w:szCs w:val="20"/>
              </w:rPr>
            </w:pPr>
            <w:r>
              <w:rPr>
                <w:rFonts w:ascii="Times New Roman" w:hAnsi="Times New Roman" w:cs="Times New Roman" w:hint="eastAsia"/>
                <w:szCs w:val="20"/>
              </w:rPr>
              <w:t>1</w:t>
            </w:r>
          </w:p>
        </w:tc>
        <w:tc>
          <w:tcPr>
            <w:tcW w:w="611" w:type="pct"/>
            <w:vAlign w:val="center"/>
          </w:tcPr>
          <w:p w14:paraId="6E71899D" w14:textId="176E2480" w:rsidR="00175208" w:rsidRDefault="00175208" w:rsidP="00232C58">
            <w:pPr>
              <w:pStyle w:val="NoSpacing"/>
              <w:jc w:val="center"/>
              <w:rPr>
                <w:rFonts w:ascii="Times New Roman" w:hAnsi="Times New Roman" w:cs="Times New Roman"/>
                <w:szCs w:val="20"/>
              </w:rPr>
            </w:pPr>
            <w:r>
              <w:rPr>
                <w:rFonts w:ascii="Times New Roman" w:hAnsi="Times New Roman" w:cs="Times New Roman" w:hint="eastAsia"/>
                <w:szCs w:val="20"/>
              </w:rPr>
              <w:t>0.3</w:t>
            </w:r>
          </w:p>
        </w:tc>
        <w:tc>
          <w:tcPr>
            <w:tcW w:w="537" w:type="pct"/>
            <w:shd w:val="clear" w:color="auto" w:fill="auto"/>
            <w:noWrap/>
            <w:vAlign w:val="center"/>
          </w:tcPr>
          <w:p w14:paraId="14B94772" w14:textId="5654BBF3" w:rsidR="00175208" w:rsidRDefault="00175208" w:rsidP="007947DB">
            <w:pPr>
              <w:pStyle w:val="NoSpacing"/>
              <w:jc w:val="center"/>
              <w:rPr>
                <w:rFonts w:ascii="Times New Roman" w:hAnsi="Times New Roman" w:cs="Times New Roman"/>
                <w:szCs w:val="20"/>
              </w:rPr>
            </w:pPr>
            <w:r>
              <w:rPr>
                <w:rFonts w:ascii="Times New Roman" w:hAnsi="Times New Roman" w:cs="Times New Roman" w:hint="eastAsia"/>
                <w:szCs w:val="20"/>
              </w:rPr>
              <w:t>3</w:t>
            </w:r>
          </w:p>
        </w:tc>
        <w:tc>
          <w:tcPr>
            <w:tcW w:w="647" w:type="pct"/>
            <w:vAlign w:val="center"/>
          </w:tcPr>
          <w:p w14:paraId="22F69A30" w14:textId="0BBB4BD9" w:rsidR="00175208" w:rsidRDefault="00175208" w:rsidP="00232C58">
            <w:pPr>
              <w:pStyle w:val="NoSpacing"/>
              <w:jc w:val="center"/>
              <w:rPr>
                <w:rFonts w:ascii="Times New Roman" w:hAnsi="Times New Roman" w:cs="Times New Roman"/>
                <w:szCs w:val="20"/>
              </w:rPr>
            </w:pPr>
            <w:r>
              <w:rPr>
                <w:rFonts w:ascii="Times New Roman" w:hAnsi="Times New Roman" w:cs="Times New Roman" w:hint="eastAsia"/>
                <w:szCs w:val="20"/>
              </w:rPr>
              <w:t>1.0</w:t>
            </w:r>
          </w:p>
        </w:tc>
      </w:tr>
      <w:tr w:rsidR="00175208" w:rsidRPr="0029636B" w14:paraId="4AD2F559" w14:textId="77777777" w:rsidTr="001056E5">
        <w:trPr>
          <w:trHeight w:val="20"/>
        </w:trPr>
        <w:tc>
          <w:tcPr>
            <w:tcW w:w="1516" w:type="pct"/>
            <w:vMerge/>
            <w:shd w:val="clear" w:color="auto" w:fill="auto"/>
            <w:vAlign w:val="center"/>
          </w:tcPr>
          <w:p w14:paraId="69E1E3B6" w14:textId="77777777" w:rsidR="00175208" w:rsidRPr="0029636B" w:rsidRDefault="00175208" w:rsidP="007947DB">
            <w:pPr>
              <w:pStyle w:val="NoSpacing"/>
              <w:jc w:val="left"/>
              <w:rPr>
                <w:rFonts w:ascii="Times New Roman" w:hAnsi="Times New Roman" w:cs="Times New Roman"/>
                <w:szCs w:val="20"/>
              </w:rPr>
            </w:pPr>
          </w:p>
        </w:tc>
        <w:tc>
          <w:tcPr>
            <w:tcW w:w="1073" w:type="pct"/>
            <w:shd w:val="clear" w:color="auto" w:fill="auto"/>
            <w:vAlign w:val="center"/>
          </w:tcPr>
          <w:p w14:paraId="19E9AE90" w14:textId="4B6B1E96" w:rsidR="00175208" w:rsidRDefault="00175208" w:rsidP="00232C58">
            <w:pPr>
              <w:pStyle w:val="NoSpacing"/>
              <w:jc w:val="left"/>
              <w:rPr>
                <w:rFonts w:ascii="Times New Roman" w:hAnsi="Times New Roman" w:cs="Times New Roman"/>
                <w:szCs w:val="20"/>
              </w:rPr>
            </w:pPr>
            <w:r>
              <w:rPr>
                <w:rFonts w:ascii="Times New Roman" w:hAnsi="Times New Roman" w:cs="Times New Roman" w:hint="eastAsia"/>
                <w:szCs w:val="20"/>
              </w:rPr>
              <w:t>Intervertebral Disc Protrusion</w:t>
            </w:r>
          </w:p>
        </w:tc>
        <w:tc>
          <w:tcPr>
            <w:tcW w:w="616" w:type="pct"/>
            <w:shd w:val="clear" w:color="auto" w:fill="auto"/>
            <w:noWrap/>
            <w:vAlign w:val="center"/>
          </w:tcPr>
          <w:p w14:paraId="34DA7DF0" w14:textId="76D2EF35" w:rsidR="00175208" w:rsidRDefault="00175208" w:rsidP="007947DB">
            <w:pPr>
              <w:pStyle w:val="NoSpacing"/>
              <w:jc w:val="center"/>
              <w:rPr>
                <w:rFonts w:ascii="Times New Roman" w:hAnsi="Times New Roman" w:cs="Times New Roman"/>
                <w:szCs w:val="20"/>
              </w:rPr>
            </w:pPr>
            <w:r>
              <w:rPr>
                <w:rFonts w:ascii="Times New Roman" w:hAnsi="Times New Roman" w:cs="Times New Roman" w:hint="eastAsia"/>
                <w:szCs w:val="20"/>
              </w:rPr>
              <w:t>0</w:t>
            </w:r>
          </w:p>
        </w:tc>
        <w:tc>
          <w:tcPr>
            <w:tcW w:w="611" w:type="pct"/>
            <w:vAlign w:val="center"/>
          </w:tcPr>
          <w:p w14:paraId="3D1E3FCC" w14:textId="4C552014" w:rsidR="00175208" w:rsidRDefault="00175208" w:rsidP="00232C58">
            <w:pPr>
              <w:pStyle w:val="NoSpacing"/>
              <w:jc w:val="center"/>
              <w:rPr>
                <w:rFonts w:ascii="Times New Roman" w:hAnsi="Times New Roman" w:cs="Times New Roman"/>
                <w:szCs w:val="20"/>
              </w:rPr>
            </w:pPr>
            <w:r>
              <w:rPr>
                <w:rFonts w:ascii="Times New Roman" w:hAnsi="Times New Roman" w:cs="Times New Roman" w:hint="eastAsia"/>
                <w:szCs w:val="20"/>
              </w:rPr>
              <w:t>0.0</w:t>
            </w:r>
          </w:p>
        </w:tc>
        <w:tc>
          <w:tcPr>
            <w:tcW w:w="537" w:type="pct"/>
            <w:shd w:val="clear" w:color="auto" w:fill="auto"/>
            <w:noWrap/>
            <w:vAlign w:val="center"/>
          </w:tcPr>
          <w:p w14:paraId="4C824642" w14:textId="2F34B5DD" w:rsidR="00175208" w:rsidRDefault="00175208" w:rsidP="007947DB">
            <w:pPr>
              <w:pStyle w:val="NoSpacing"/>
              <w:jc w:val="center"/>
              <w:rPr>
                <w:rFonts w:ascii="Times New Roman" w:hAnsi="Times New Roman" w:cs="Times New Roman"/>
                <w:szCs w:val="20"/>
              </w:rPr>
            </w:pPr>
            <w:r>
              <w:rPr>
                <w:rFonts w:ascii="Times New Roman" w:hAnsi="Times New Roman" w:cs="Times New Roman" w:hint="eastAsia"/>
                <w:szCs w:val="20"/>
              </w:rPr>
              <w:t>3</w:t>
            </w:r>
          </w:p>
        </w:tc>
        <w:tc>
          <w:tcPr>
            <w:tcW w:w="647" w:type="pct"/>
            <w:vAlign w:val="center"/>
          </w:tcPr>
          <w:p w14:paraId="3CCE20F4" w14:textId="21488D40" w:rsidR="00175208" w:rsidRDefault="00175208" w:rsidP="00232C58">
            <w:pPr>
              <w:pStyle w:val="NoSpacing"/>
              <w:jc w:val="center"/>
              <w:rPr>
                <w:rFonts w:ascii="Times New Roman" w:hAnsi="Times New Roman" w:cs="Times New Roman"/>
                <w:szCs w:val="20"/>
              </w:rPr>
            </w:pPr>
            <w:r>
              <w:rPr>
                <w:rFonts w:ascii="Times New Roman" w:hAnsi="Times New Roman" w:cs="Times New Roman" w:hint="eastAsia"/>
                <w:szCs w:val="20"/>
              </w:rPr>
              <w:t>1.0</w:t>
            </w:r>
          </w:p>
        </w:tc>
      </w:tr>
      <w:tr w:rsidR="00175208" w:rsidRPr="0029636B" w14:paraId="576AAB8C" w14:textId="77777777" w:rsidTr="001056E5">
        <w:trPr>
          <w:trHeight w:val="20"/>
        </w:trPr>
        <w:tc>
          <w:tcPr>
            <w:tcW w:w="1516" w:type="pct"/>
            <w:vMerge w:val="restart"/>
            <w:shd w:val="clear" w:color="auto" w:fill="auto"/>
            <w:vAlign w:val="center"/>
            <w:hideMark/>
          </w:tcPr>
          <w:p w14:paraId="616474E0" w14:textId="77777777" w:rsidR="00175208" w:rsidRPr="0029636B" w:rsidRDefault="00175208" w:rsidP="007947DB">
            <w:pPr>
              <w:pStyle w:val="NoSpacing"/>
              <w:jc w:val="left"/>
              <w:rPr>
                <w:rFonts w:ascii="Times New Roman" w:hAnsi="Times New Roman" w:cs="Times New Roman"/>
                <w:szCs w:val="20"/>
              </w:rPr>
            </w:pPr>
            <w:r w:rsidRPr="0029636B">
              <w:rPr>
                <w:rFonts w:ascii="Times New Roman" w:hAnsi="Times New Roman" w:cs="Times New Roman"/>
                <w:szCs w:val="20"/>
              </w:rPr>
              <w:t>Nervous System Disorders</w:t>
            </w:r>
          </w:p>
        </w:tc>
        <w:tc>
          <w:tcPr>
            <w:tcW w:w="1073" w:type="pct"/>
            <w:shd w:val="clear" w:color="auto" w:fill="auto"/>
            <w:vAlign w:val="center"/>
            <w:hideMark/>
          </w:tcPr>
          <w:p w14:paraId="65E49C53" w14:textId="77777777" w:rsidR="00175208" w:rsidRPr="0029636B" w:rsidRDefault="00175208" w:rsidP="007947DB">
            <w:pPr>
              <w:pStyle w:val="NoSpacing"/>
              <w:jc w:val="left"/>
              <w:rPr>
                <w:rFonts w:ascii="Times New Roman" w:hAnsi="Times New Roman" w:cs="Times New Roman"/>
                <w:szCs w:val="20"/>
              </w:rPr>
            </w:pPr>
            <w:r w:rsidRPr="0029636B">
              <w:rPr>
                <w:rFonts w:ascii="Times New Roman" w:hAnsi="Times New Roman" w:cs="Times New Roman"/>
                <w:szCs w:val="20"/>
              </w:rPr>
              <w:t>Headache</w:t>
            </w:r>
          </w:p>
        </w:tc>
        <w:tc>
          <w:tcPr>
            <w:tcW w:w="616" w:type="pct"/>
            <w:shd w:val="clear" w:color="auto" w:fill="auto"/>
            <w:noWrap/>
            <w:vAlign w:val="center"/>
            <w:hideMark/>
          </w:tcPr>
          <w:p w14:paraId="0E4E0C06" w14:textId="43DEC595" w:rsidR="00175208" w:rsidRPr="0029636B" w:rsidRDefault="00175208" w:rsidP="007947DB">
            <w:pPr>
              <w:pStyle w:val="NoSpacing"/>
              <w:jc w:val="center"/>
              <w:rPr>
                <w:rFonts w:ascii="Times New Roman" w:hAnsi="Times New Roman" w:cs="Times New Roman"/>
                <w:szCs w:val="20"/>
              </w:rPr>
            </w:pPr>
            <w:r>
              <w:rPr>
                <w:rFonts w:ascii="Times New Roman" w:hAnsi="Times New Roman" w:cs="Times New Roman" w:hint="eastAsia"/>
                <w:szCs w:val="20"/>
              </w:rPr>
              <w:t>16</w:t>
            </w:r>
          </w:p>
        </w:tc>
        <w:tc>
          <w:tcPr>
            <w:tcW w:w="611" w:type="pct"/>
            <w:vAlign w:val="center"/>
          </w:tcPr>
          <w:p w14:paraId="632FFCEC" w14:textId="6C853BD0" w:rsidR="00175208" w:rsidRPr="0029636B" w:rsidRDefault="00175208" w:rsidP="00175208">
            <w:pPr>
              <w:pStyle w:val="NoSpacing"/>
              <w:jc w:val="center"/>
              <w:rPr>
                <w:rFonts w:ascii="Times New Roman" w:hAnsi="Times New Roman" w:cs="Times New Roman"/>
                <w:szCs w:val="20"/>
              </w:rPr>
            </w:pPr>
            <w:r>
              <w:rPr>
                <w:rFonts w:ascii="Times New Roman" w:hAnsi="Times New Roman" w:cs="Times New Roman" w:hint="eastAsia"/>
                <w:szCs w:val="20"/>
              </w:rPr>
              <w:t>5</w:t>
            </w:r>
            <w:r w:rsidRPr="0029636B">
              <w:rPr>
                <w:rFonts w:ascii="Times New Roman" w:hAnsi="Times New Roman" w:cs="Times New Roman"/>
                <w:szCs w:val="20"/>
              </w:rPr>
              <w:t>.</w:t>
            </w:r>
            <w:r>
              <w:rPr>
                <w:rFonts w:ascii="Times New Roman" w:hAnsi="Times New Roman" w:cs="Times New Roman" w:hint="eastAsia"/>
                <w:szCs w:val="20"/>
              </w:rPr>
              <w:t>5</w:t>
            </w:r>
          </w:p>
        </w:tc>
        <w:tc>
          <w:tcPr>
            <w:tcW w:w="537" w:type="pct"/>
            <w:shd w:val="clear" w:color="auto" w:fill="auto"/>
            <w:noWrap/>
            <w:vAlign w:val="center"/>
            <w:hideMark/>
          </w:tcPr>
          <w:p w14:paraId="4306D329" w14:textId="4E549C90" w:rsidR="00175208" w:rsidRPr="0029636B" w:rsidRDefault="00175208" w:rsidP="007947DB">
            <w:pPr>
              <w:pStyle w:val="NoSpacing"/>
              <w:jc w:val="center"/>
              <w:rPr>
                <w:rFonts w:ascii="Times New Roman" w:hAnsi="Times New Roman" w:cs="Times New Roman"/>
                <w:szCs w:val="20"/>
              </w:rPr>
            </w:pPr>
            <w:r>
              <w:rPr>
                <w:rFonts w:ascii="Times New Roman" w:hAnsi="Times New Roman" w:cs="Times New Roman" w:hint="eastAsia"/>
                <w:szCs w:val="20"/>
              </w:rPr>
              <w:t>13</w:t>
            </w:r>
          </w:p>
        </w:tc>
        <w:tc>
          <w:tcPr>
            <w:tcW w:w="647" w:type="pct"/>
            <w:vAlign w:val="center"/>
          </w:tcPr>
          <w:p w14:paraId="77DF952C" w14:textId="6F5D9202" w:rsidR="00175208" w:rsidRPr="0029636B" w:rsidRDefault="00175208" w:rsidP="00175208">
            <w:pPr>
              <w:pStyle w:val="NoSpacing"/>
              <w:jc w:val="center"/>
              <w:rPr>
                <w:rFonts w:ascii="Times New Roman" w:hAnsi="Times New Roman" w:cs="Times New Roman"/>
                <w:szCs w:val="20"/>
              </w:rPr>
            </w:pPr>
            <w:r>
              <w:rPr>
                <w:rFonts w:ascii="Times New Roman" w:hAnsi="Times New Roman" w:cs="Times New Roman" w:hint="eastAsia"/>
                <w:szCs w:val="20"/>
              </w:rPr>
              <w:t>4</w:t>
            </w:r>
            <w:r w:rsidRPr="0029636B">
              <w:rPr>
                <w:rFonts w:ascii="Times New Roman" w:hAnsi="Times New Roman" w:cs="Times New Roman"/>
                <w:szCs w:val="20"/>
              </w:rPr>
              <w:t>.</w:t>
            </w:r>
            <w:r>
              <w:rPr>
                <w:rFonts w:ascii="Times New Roman" w:hAnsi="Times New Roman" w:cs="Times New Roman" w:hint="eastAsia"/>
                <w:szCs w:val="20"/>
              </w:rPr>
              <w:t>4</w:t>
            </w:r>
          </w:p>
        </w:tc>
      </w:tr>
      <w:tr w:rsidR="00175208" w:rsidRPr="0029636B" w14:paraId="00C49943" w14:textId="77777777" w:rsidTr="001056E5">
        <w:trPr>
          <w:trHeight w:val="20"/>
        </w:trPr>
        <w:tc>
          <w:tcPr>
            <w:tcW w:w="1516" w:type="pct"/>
            <w:vMerge/>
            <w:shd w:val="clear" w:color="auto" w:fill="auto"/>
            <w:vAlign w:val="center"/>
          </w:tcPr>
          <w:p w14:paraId="2500F0AD" w14:textId="77777777" w:rsidR="00175208" w:rsidRPr="0029636B" w:rsidRDefault="00175208" w:rsidP="007947DB">
            <w:pPr>
              <w:pStyle w:val="NoSpacing"/>
              <w:jc w:val="left"/>
              <w:rPr>
                <w:rFonts w:ascii="Times New Roman" w:hAnsi="Times New Roman" w:cs="Times New Roman"/>
                <w:szCs w:val="20"/>
              </w:rPr>
            </w:pPr>
          </w:p>
        </w:tc>
        <w:tc>
          <w:tcPr>
            <w:tcW w:w="1073" w:type="pct"/>
            <w:shd w:val="clear" w:color="auto" w:fill="auto"/>
            <w:vAlign w:val="center"/>
          </w:tcPr>
          <w:p w14:paraId="301DEB39" w14:textId="6B76D42E" w:rsidR="00175208" w:rsidRPr="0029636B" w:rsidRDefault="00175208" w:rsidP="007947DB">
            <w:pPr>
              <w:pStyle w:val="NoSpacing"/>
              <w:jc w:val="left"/>
              <w:rPr>
                <w:rFonts w:ascii="Times New Roman" w:hAnsi="Times New Roman" w:cs="Times New Roman"/>
                <w:szCs w:val="20"/>
              </w:rPr>
            </w:pPr>
            <w:r>
              <w:rPr>
                <w:rFonts w:ascii="Times New Roman" w:hAnsi="Times New Roman" w:cs="Times New Roman" w:hint="eastAsia"/>
                <w:szCs w:val="20"/>
              </w:rPr>
              <w:t>Dizziness</w:t>
            </w:r>
          </w:p>
        </w:tc>
        <w:tc>
          <w:tcPr>
            <w:tcW w:w="616" w:type="pct"/>
            <w:shd w:val="clear" w:color="auto" w:fill="auto"/>
            <w:noWrap/>
            <w:vAlign w:val="center"/>
          </w:tcPr>
          <w:p w14:paraId="06D5C366" w14:textId="75037160" w:rsidR="00175208" w:rsidRPr="0029636B" w:rsidDel="00175208" w:rsidRDefault="00175208" w:rsidP="007947DB">
            <w:pPr>
              <w:pStyle w:val="NoSpacing"/>
              <w:jc w:val="center"/>
              <w:rPr>
                <w:rFonts w:ascii="Times New Roman" w:hAnsi="Times New Roman" w:cs="Times New Roman"/>
                <w:szCs w:val="20"/>
              </w:rPr>
            </w:pPr>
            <w:r>
              <w:rPr>
                <w:rFonts w:ascii="Times New Roman" w:hAnsi="Times New Roman" w:cs="Times New Roman" w:hint="eastAsia"/>
                <w:szCs w:val="20"/>
              </w:rPr>
              <w:t>2</w:t>
            </w:r>
          </w:p>
        </w:tc>
        <w:tc>
          <w:tcPr>
            <w:tcW w:w="611" w:type="pct"/>
            <w:vAlign w:val="center"/>
          </w:tcPr>
          <w:p w14:paraId="51B5E3CA" w14:textId="783D07F3" w:rsidR="00175208" w:rsidRPr="0029636B" w:rsidDel="00175208" w:rsidRDefault="00175208" w:rsidP="00175208">
            <w:pPr>
              <w:pStyle w:val="NoSpacing"/>
              <w:jc w:val="center"/>
              <w:rPr>
                <w:rFonts w:ascii="Times New Roman" w:hAnsi="Times New Roman" w:cs="Times New Roman"/>
                <w:szCs w:val="20"/>
              </w:rPr>
            </w:pPr>
            <w:r>
              <w:rPr>
                <w:rFonts w:ascii="Times New Roman" w:hAnsi="Times New Roman" w:cs="Times New Roman" w:hint="eastAsia"/>
                <w:szCs w:val="20"/>
              </w:rPr>
              <w:t>0.7</w:t>
            </w:r>
          </w:p>
        </w:tc>
        <w:tc>
          <w:tcPr>
            <w:tcW w:w="537" w:type="pct"/>
            <w:shd w:val="clear" w:color="auto" w:fill="auto"/>
            <w:noWrap/>
            <w:vAlign w:val="center"/>
          </w:tcPr>
          <w:p w14:paraId="49F09E04" w14:textId="0276AEEC" w:rsidR="00175208" w:rsidRDefault="00175208" w:rsidP="007947DB">
            <w:pPr>
              <w:pStyle w:val="NoSpacing"/>
              <w:jc w:val="center"/>
              <w:rPr>
                <w:rFonts w:ascii="Times New Roman" w:hAnsi="Times New Roman" w:cs="Times New Roman"/>
                <w:szCs w:val="20"/>
              </w:rPr>
            </w:pPr>
            <w:r>
              <w:rPr>
                <w:rFonts w:ascii="Times New Roman" w:hAnsi="Times New Roman" w:cs="Times New Roman" w:hint="eastAsia"/>
                <w:szCs w:val="20"/>
              </w:rPr>
              <w:t>6</w:t>
            </w:r>
          </w:p>
        </w:tc>
        <w:tc>
          <w:tcPr>
            <w:tcW w:w="647" w:type="pct"/>
            <w:vAlign w:val="center"/>
          </w:tcPr>
          <w:p w14:paraId="2EEACCEE" w14:textId="0308B1C7" w:rsidR="00175208" w:rsidRPr="0029636B" w:rsidDel="00175208" w:rsidRDefault="00175208" w:rsidP="00175208">
            <w:pPr>
              <w:pStyle w:val="NoSpacing"/>
              <w:jc w:val="center"/>
              <w:rPr>
                <w:rFonts w:ascii="Times New Roman" w:hAnsi="Times New Roman" w:cs="Times New Roman"/>
                <w:szCs w:val="20"/>
              </w:rPr>
            </w:pPr>
            <w:r>
              <w:rPr>
                <w:rFonts w:ascii="Times New Roman" w:hAnsi="Times New Roman" w:cs="Times New Roman" w:hint="eastAsia"/>
                <w:szCs w:val="20"/>
              </w:rPr>
              <w:t>2.0</w:t>
            </w:r>
          </w:p>
        </w:tc>
      </w:tr>
      <w:tr w:rsidR="00175208" w:rsidRPr="0029636B" w14:paraId="021408CC" w14:textId="77777777" w:rsidTr="001056E5">
        <w:trPr>
          <w:trHeight w:val="20"/>
        </w:trPr>
        <w:tc>
          <w:tcPr>
            <w:tcW w:w="1516" w:type="pct"/>
            <w:vMerge/>
            <w:shd w:val="clear" w:color="auto" w:fill="auto"/>
            <w:vAlign w:val="center"/>
          </w:tcPr>
          <w:p w14:paraId="28D2EAE3" w14:textId="77777777" w:rsidR="00175208" w:rsidRPr="0029636B" w:rsidRDefault="00175208" w:rsidP="007947DB">
            <w:pPr>
              <w:pStyle w:val="NoSpacing"/>
              <w:jc w:val="left"/>
              <w:rPr>
                <w:rFonts w:ascii="Times New Roman" w:hAnsi="Times New Roman" w:cs="Times New Roman"/>
                <w:szCs w:val="20"/>
              </w:rPr>
            </w:pPr>
          </w:p>
        </w:tc>
        <w:tc>
          <w:tcPr>
            <w:tcW w:w="1073" w:type="pct"/>
            <w:shd w:val="clear" w:color="auto" w:fill="auto"/>
            <w:vAlign w:val="center"/>
          </w:tcPr>
          <w:p w14:paraId="3E89CD6C" w14:textId="626131B6" w:rsidR="00175208" w:rsidRDefault="00175208" w:rsidP="007947DB">
            <w:pPr>
              <w:pStyle w:val="NoSpacing"/>
              <w:jc w:val="left"/>
              <w:rPr>
                <w:rFonts w:ascii="Times New Roman" w:hAnsi="Times New Roman" w:cs="Times New Roman"/>
                <w:szCs w:val="20"/>
              </w:rPr>
            </w:pPr>
            <w:r>
              <w:rPr>
                <w:rFonts w:ascii="Times New Roman" w:hAnsi="Times New Roman" w:cs="Times New Roman" w:hint="eastAsia"/>
                <w:szCs w:val="20"/>
              </w:rPr>
              <w:t>Neuralgia</w:t>
            </w:r>
          </w:p>
        </w:tc>
        <w:tc>
          <w:tcPr>
            <w:tcW w:w="616" w:type="pct"/>
            <w:shd w:val="clear" w:color="auto" w:fill="auto"/>
            <w:noWrap/>
            <w:vAlign w:val="center"/>
          </w:tcPr>
          <w:p w14:paraId="479A8299" w14:textId="1A60FF11" w:rsidR="00175208" w:rsidRDefault="00175208" w:rsidP="007947DB">
            <w:pPr>
              <w:pStyle w:val="NoSpacing"/>
              <w:jc w:val="center"/>
              <w:rPr>
                <w:rFonts w:ascii="Times New Roman" w:hAnsi="Times New Roman" w:cs="Times New Roman"/>
                <w:szCs w:val="20"/>
              </w:rPr>
            </w:pPr>
            <w:r>
              <w:rPr>
                <w:rFonts w:ascii="Times New Roman" w:hAnsi="Times New Roman" w:cs="Times New Roman" w:hint="eastAsia"/>
                <w:szCs w:val="20"/>
              </w:rPr>
              <w:t>1</w:t>
            </w:r>
          </w:p>
        </w:tc>
        <w:tc>
          <w:tcPr>
            <w:tcW w:w="611" w:type="pct"/>
            <w:vAlign w:val="center"/>
          </w:tcPr>
          <w:p w14:paraId="0D9103AC" w14:textId="1625DE15" w:rsidR="00175208" w:rsidRDefault="00175208" w:rsidP="00175208">
            <w:pPr>
              <w:pStyle w:val="NoSpacing"/>
              <w:jc w:val="center"/>
              <w:rPr>
                <w:rFonts w:ascii="Times New Roman" w:hAnsi="Times New Roman" w:cs="Times New Roman"/>
                <w:szCs w:val="20"/>
              </w:rPr>
            </w:pPr>
            <w:r>
              <w:rPr>
                <w:rFonts w:ascii="Times New Roman" w:hAnsi="Times New Roman" w:cs="Times New Roman" w:hint="eastAsia"/>
                <w:szCs w:val="20"/>
              </w:rPr>
              <w:t>0.3</w:t>
            </w:r>
          </w:p>
        </w:tc>
        <w:tc>
          <w:tcPr>
            <w:tcW w:w="537" w:type="pct"/>
            <w:shd w:val="clear" w:color="auto" w:fill="auto"/>
            <w:noWrap/>
            <w:vAlign w:val="center"/>
          </w:tcPr>
          <w:p w14:paraId="0F469A08" w14:textId="45C59A3B" w:rsidR="00175208" w:rsidRDefault="00175208" w:rsidP="007947DB">
            <w:pPr>
              <w:pStyle w:val="NoSpacing"/>
              <w:jc w:val="center"/>
              <w:rPr>
                <w:rFonts w:ascii="Times New Roman" w:hAnsi="Times New Roman" w:cs="Times New Roman"/>
                <w:szCs w:val="20"/>
              </w:rPr>
            </w:pPr>
            <w:r>
              <w:rPr>
                <w:rFonts w:ascii="Times New Roman" w:hAnsi="Times New Roman" w:cs="Times New Roman" w:hint="eastAsia"/>
                <w:szCs w:val="20"/>
              </w:rPr>
              <w:t>3</w:t>
            </w:r>
          </w:p>
        </w:tc>
        <w:tc>
          <w:tcPr>
            <w:tcW w:w="647" w:type="pct"/>
            <w:vAlign w:val="center"/>
          </w:tcPr>
          <w:p w14:paraId="228FCF65" w14:textId="48BA91AA" w:rsidR="00175208" w:rsidRDefault="00175208" w:rsidP="00175208">
            <w:pPr>
              <w:pStyle w:val="NoSpacing"/>
              <w:jc w:val="center"/>
              <w:rPr>
                <w:rFonts w:ascii="Times New Roman" w:hAnsi="Times New Roman" w:cs="Times New Roman"/>
                <w:szCs w:val="20"/>
              </w:rPr>
            </w:pPr>
            <w:r>
              <w:rPr>
                <w:rFonts w:ascii="Times New Roman" w:hAnsi="Times New Roman" w:cs="Times New Roman" w:hint="eastAsia"/>
                <w:szCs w:val="20"/>
              </w:rPr>
              <w:t>1.0</w:t>
            </w:r>
          </w:p>
        </w:tc>
      </w:tr>
      <w:tr w:rsidR="00175208" w:rsidRPr="0029636B" w14:paraId="18BF517F" w14:textId="77777777" w:rsidTr="001056E5">
        <w:trPr>
          <w:trHeight w:val="20"/>
        </w:trPr>
        <w:tc>
          <w:tcPr>
            <w:tcW w:w="1516" w:type="pct"/>
            <w:vMerge/>
            <w:shd w:val="clear" w:color="auto" w:fill="auto"/>
            <w:vAlign w:val="center"/>
          </w:tcPr>
          <w:p w14:paraId="54A465F2" w14:textId="77777777" w:rsidR="00175208" w:rsidRPr="0029636B" w:rsidRDefault="00175208" w:rsidP="007947DB">
            <w:pPr>
              <w:pStyle w:val="NoSpacing"/>
              <w:jc w:val="left"/>
              <w:rPr>
                <w:rFonts w:ascii="Times New Roman" w:hAnsi="Times New Roman" w:cs="Times New Roman"/>
                <w:szCs w:val="20"/>
              </w:rPr>
            </w:pPr>
          </w:p>
        </w:tc>
        <w:tc>
          <w:tcPr>
            <w:tcW w:w="1073" w:type="pct"/>
            <w:shd w:val="clear" w:color="auto" w:fill="auto"/>
            <w:vAlign w:val="center"/>
          </w:tcPr>
          <w:p w14:paraId="41E7DECA" w14:textId="1D85D732" w:rsidR="00175208" w:rsidRDefault="00175208" w:rsidP="007947DB">
            <w:pPr>
              <w:pStyle w:val="NoSpacing"/>
              <w:jc w:val="left"/>
              <w:rPr>
                <w:rFonts w:ascii="Times New Roman" w:hAnsi="Times New Roman" w:cs="Times New Roman"/>
                <w:szCs w:val="20"/>
              </w:rPr>
            </w:pPr>
            <w:proofErr w:type="spellStart"/>
            <w:r>
              <w:rPr>
                <w:rFonts w:ascii="Times New Roman" w:hAnsi="Times New Roman" w:cs="Times New Roman" w:hint="eastAsia"/>
                <w:szCs w:val="20"/>
              </w:rPr>
              <w:t>Paraesthesia</w:t>
            </w:r>
            <w:proofErr w:type="spellEnd"/>
          </w:p>
        </w:tc>
        <w:tc>
          <w:tcPr>
            <w:tcW w:w="616" w:type="pct"/>
            <w:shd w:val="clear" w:color="auto" w:fill="auto"/>
            <w:noWrap/>
            <w:vAlign w:val="center"/>
          </w:tcPr>
          <w:p w14:paraId="775AB81B" w14:textId="4F444584" w:rsidR="00175208" w:rsidRDefault="00175208" w:rsidP="007947DB">
            <w:pPr>
              <w:pStyle w:val="NoSpacing"/>
              <w:jc w:val="center"/>
              <w:rPr>
                <w:rFonts w:ascii="Times New Roman" w:hAnsi="Times New Roman" w:cs="Times New Roman"/>
                <w:szCs w:val="20"/>
              </w:rPr>
            </w:pPr>
            <w:r>
              <w:rPr>
                <w:rFonts w:ascii="Times New Roman" w:hAnsi="Times New Roman" w:cs="Times New Roman" w:hint="eastAsia"/>
                <w:szCs w:val="20"/>
              </w:rPr>
              <w:t>1</w:t>
            </w:r>
          </w:p>
        </w:tc>
        <w:tc>
          <w:tcPr>
            <w:tcW w:w="611" w:type="pct"/>
            <w:vAlign w:val="center"/>
          </w:tcPr>
          <w:p w14:paraId="6E55E402" w14:textId="19DFD6D6" w:rsidR="00175208" w:rsidRDefault="00175208" w:rsidP="00175208">
            <w:pPr>
              <w:pStyle w:val="NoSpacing"/>
              <w:jc w:val="center"/>
              <w:rPr>
                <w:rFonts w:ascii="Times New Roman" w:hAnsi="Times New Roman" w:cs="Times New Roman"/>
                <w:szCs w:val="20"/>
              </w:rPr>
            </w:pPr>
            <w:r>
              <w:rPr>
                <w:rFonts w:ascii="Times New Roman" w:hAnsi="Times New Roman" w:cs="Times New Roman" w:hint="eastAsia"/>
                <w:szCs w:val="20"/>
              </w:rPr>
              <w:t>0.3</w:t>
            </w:r>
          </w:p>
        </w:tc>
        <w:tc>
          <w:tcPr>
            <w:tcW w:w="537" w:type="pct"/>
            <w:shd w:val="clear" w:color="auto" w:fill="auto"/>
            <w:noWrap/>
            <w:vAlign w:val="center"/>
          </w:tcPr>
          <w:p w14:paraId="701918D6" w14:textId="7226AEE3" w:rsidR="00175208" w:rsidRDefault="00175208" w:rsidP="007947DB">
            <w:pPr>
              <w:pStyle w:val="NoSpacing"/>
              <w:jc w:val="center"/>
              <w:rPr>
                <w:rFonts w:ascii="Times New Roman" w:hAnsi="Times New Roman" w:cs="Times New Roman"/>
                <w:szCs w:val="20"/>
              </w:rPr>
            </w:pPr>
            <w:r>
              <w:rPr>
                <w:rFonts w:ascii="Times New Roman" w:hAnsi="Times New Roman" w:cs="Times New Roman" w:hint="eastAsia"/>
                <w:szCs w:val="20"/>
              </w:rPr>
              <w:t>3</w:t>
            </w:r>
          </w:p>
        </w:tc>
        <w:tc>
          <w:tcPr>
            <w:tcW w:w="647" w:type="pct"/>
            <w:vAlign w:val="center"/>
          </w:tcPr>
          <w:p w14:paraId="0DDAAA2E" w14:textId="5B224967" w:rsidR="00175208" w:rsidRDefault="00175208" w:rsidP="00175208">
            <w:pPr>
              <w:pStyle w:val="NoSpacing"/>
              <w:jc w:val="center"/>
              <w:rPr>
                <w:rFonts w:ascii="Times New Roman" w:hAnsi="Times New Roman" w:cs="Times New Roman"/>
                <w:szCs w:val="20"/>
              </w:rPr>
            </w:pPr>
            <w:r>
              <w:rPr>
                <w:rFonts w:ascii="Times New Roman" w:hAnsi="Times New Roman" w:cs="Times New Roman" w:hint="eastAsia"/>
                <w:szCs w:val="20"/>
              </w:rPr>
              <w:t>1.0</w:t>
            </w:r>
          </w:p>
        </w:tc>
      </w:tr>
      <w:tr w:rsidR="00175208" w:rsidRPr="0029636B" w14:paraId="7E56EFB0" w14:textId="77777777" w:rsidTr="001056E5">
        <w:trPr>
          <w:trHeight w:val="20"/>
        </w:trPr>
        <w:tc>
          <w:tcPr>
            <w:tcW w:w="1516" w:type="pct"/>
            <w:vMerge w:val="restart"/>
            <w:shd w:val="clear" w:color="auto" w:fill="auto"/>
            <w:vAlign w:val="center"/>
          </w:tcPr>
          <w:p w14:paraId="706E7330" w14:textId="43B7BBC3" w:rsidR="00175208" w:rsidRPr="0029636B" w:rsidRDefault="00175208" w:rsidP="007947DB">
            <w:pPr>
              <w:pStyle w:val="NoSpacing"/>
              <w:jc w:val="left"/>
              <w:rPr>
                <w:rFonts w:ascii="Times New Roman" w:hAnsi="Times New Roman" w:cs="Times New Roman"/>
                <w:szCs w:val="20"/>
              </w:rPr>
            </w:pPr>
            <w:r>
              <w:rPr>
                <w:rFonts w:ascii="Times New Roman" w:hAnsi="Times New Roman" w:cs="Times New Roman" w:hint="eastAsia"/>
                <w:szCs w:val="20"/>
              </w:rPr>
              <w:t>Respiratory, T</w:t>
            </w:r>
            <w:r>
              <w:rPr>
                <w:rFonts w:ascii="Times New Roman" w:hAnsi="Times New Roman" w:cs="Times New Roman"/>
                <w:szCs w:val="20"/>
              </w:rPr>
              <w:t>h</w:t>
            </w:r>
            <w:r>
              <w:rPr>
                <w:rFonts w:ascii="Times New Roman" w:hAnsi="Times New Roman" w:cs="Times New Roman" w:hint="eastAsia"/>
                <w:szCs w:val="20"/>
              </w:rPr>
              <w:t>oracic and Mediastinal Disorders</w:t>
            </w:r>
          </w:p>
        </w:tc>
        <w:tc>
          <w:tcPr>
            <w:tcW w:w="1073" w:type="pct"/>
            <w:shd w:val="clear" w:color="auto" w:fill="auto"/>
            <w:vAlign w:val="center"/>
          </w:tcPr>
          <w:p w14:paraId="5845E588" w14:textId="6118E9A5" w:rsidR="00175208" w:rsidRDefault="00175208" w:rsidP="007947DB">
            <w:pPr>
              <w:pStyle w:val="NoSpacing"/>
              <w:jc w:val="left"/>
              <w:rPr>
                <w:rFonts w:ascii="Times New Roman" w:hAnsi="Times New Roman" w:cs="Times New Roman"/>
                <w:szCs w:val="20"/>
              </w:rPr>
            </w:pPr>
            <w:r>
              <w:rPr>
                <w:rFonts w:ascii="Times New Roman" w:hAnsi="Times New Roman" w:cs="Times New Roman" w:hint="eastAsia"/>
                <w:szCs w:val="20"/>
              </w:rPr>
              <w:t>Cough</w:t>
            </w:r>
          </w:p>
        </w:tc>
        <w:tc>
          <w:tcPr>
            <w:tcW w:w="616" w:type="pct"/>
            <w:shd w:val="clear" w:color="auto" w:fill="auto"/>
            <w:noWrap/>
            <w:vAlign w:val="center"/>
          </w:tcPr>
          <w:p w14:paraId="0C837E3B" w14:textId="50A215A3" w:rsidR="00175208" w:rsidRDefault="00175208" w:rsidP="007947DB">
            <w:pPr>
              <w:pStyle w:val="NoSpacing"/>
              <w:jc w:val="center"/>
              <w:rPr>
                <w:rFonts w:ascii="Times New Roman" w:hAnsi="Times New Roman" w:cs="Times New Roman"/>
                <w:szCs w:val="20"/>
              </w:rPr>
            </w:pPr>
            <w:r>
              <w:rPr>
                <w:rFonts w:ascii="Times New Roman" w:hAnsi="Times New Roman" w:cs="Times New Roman" w:hint="eastAsia"/>
                <w:szCs w:val="20"/>
              </w:rPr>
              <w:t>6</w:t>
            </w:r>
          </w:p>
        </w:tc>
        <w:tc>
          <w:tcPr>
            <w:tcW w:w="611" w:type="pct"/>
            <w:vAlign w:val="center"/>
          </w:tcPr>
          <w:p w14:paraId="2B8E5F86" w14:textId="6D0755B7" w:rsidR="00175208" w:rsidRDefault="00175208" w:rsidP="00175208">
            <w:pPr>
              <w:pStyle w:val="NoSpacing"/>
              <w:jc w:val="center"/>
              <w:rPr>
                <w:rFonts w:ascii="Times New Roman" w:hAnsi="Times New Roman" w:cs="Times New Roman"/>
                <w:szCs w:val="20"/>
              </w:rPr>
            </w:pPr>
            <w:r>
              <w:rPr>
                <w:rFonts w:ascii="Times New Roman" w:hAnsi="Times New Roman" w:cs="Times New Roman" w:hint="eastAsia"/>
                <w:szCs w:val="20"/>
              </w:rPr>
              <w:t>2.1</w:t>
            </w:r>
          </w:p>
        </w:tc>
        <w:tc>
          <w:tcPr>
            <w:tcW w:w="537" w:type="pct"/>
            <w:shd w:val="clear" w:color="auto" w:fill="auto"/>
            <w:noWrap/>
            <w:vAlign w:val="center"/>
          </w:tcPr>
          <w:p w14:paraId="0FF3531A" w14:textId="392727BC" w:rsidR="00175208" w:rsidRDefault="00175208" w:rsidP="007947DB">
            <w:pPr>
              <w:pStyle w:val="NoSpacing"/>
              <w:jc w:val="center"/>
              <w:rPr>
                <w:rFonts w:ascii="Times New Roman" w:hAnsi="Times New Roman" w:cs="Times New Roman"/>
                <w:szCs w:val="20"/>
              </w:rPr>
            </w:pPr>
            <w:r>
              <w:rPr>
                <w:rFonts w:ascii="Times New Roman" w:hAnsi="Times New Roman" w:cs="Times New Roman" w:hint="eastAsia"/>
                <w:szCs w:val="20"/>
              </w:rPr>
              <w:t>7</w:t>
            </w:r>
          </w:p>
        </w:tc>
        <w:tc>
          <w:tcPr>
            <w:tcW w:w="647" w:type="pct"/>
            <w:vAlign w:val="center"/>
          </w:tcPr>
          <w:p w14:paraId="04C7C180" w14:textId="7472D8FE" w:rsidR="00175208" w:rsidRDefault="00175208" w:rsidP="00175208">
            <w:pPr>
              <w:pStyle w:val="NoSpacing"/>
              <w:jc w:val="center"/>
              <w:rPr>
                <w:rFonts w:ascii="Times New Roman" w:hAnsi="Times New Roman" w:cs="Times New Roman"/>
                <w:szCs w:val="20"/>
              </w:rPr>
            </w:pPr>
            <w:r>
              <w:rPr>
                <w:rFonts w:ascii="Times New Roman" w:hAnsi="Times New Roman" w:cs="Times New Roman" w:hint="eastAsia"/>
                <w:szCs w:val="20"/>
              </w:rPr>
              <w:t>2.4</w:t>
            </w:r>
          </w:p>
        </w:tc>
      </w:tr>
      <w:tr w:rsidR="00175208" w:rsidRPr="0029636B" w14:paraId="3516948F" w14:textId="77777777" w:rsidTr="001056E5">
        <w:trPr>
          <w:trHeight w:val="20"/>
        </w:trPr>
        <w:tc>
          <w:tcPr>
            <w:tcW w:w="1516" w:type="pct"/>
            <w:vMerge/>
            <w:shd w:val="clear" w:color="auto" w:fill="auto"/>
            <w:vAlign w:val="center"/>
          </w:tcPr>
          <w:p w14:paraId="4C717E7C" w14:textId="77777777" w:rsidR="00175208" w:rsidRDefault="00175208" w:rsidP="007947DB">
            <w:pPr>
              <w:pStyle w:val="NoSpacing"/>
              <w:jc w:val="left"/>
              <w:rPr>
                <w:rFonts w:ascii="Times New Roman" w:hAnsi="Times New Roman" w:cs="Times New Roman"/>
                <w:szCs w:val="20"/>
              </w:rPr>
            </w:pPr>
          </w:p>
        </w:tc>
        <w:tc>
          <w:tcPr>
            <w:tcW w:w="1073" w:type="pct"/>
            <w:shd w:val="clear" w:color="auto" w:fill="auto"/>
            <w:vAlign w:val="center"/>
          </w:tcPr>
          <w:p w14:paraId="390E387C" w14:textId="06BA3337" w:rsidR="00175208" w:rsidRDefault="00175208" w:rsidP="007947DB">
            <w:pPr>
              <w:pStyle w:val="NoSpacing"/>
              <w:jc w:val="left"/>
              <w:rPr>
                <w:rFonts w:ascii="Times New Roman" w:hAnsi="Times New Roman" w:cs="Times New Roman"/>
                <w:szCs w:val="20"/>
              </w:rPr>
            </w:pPr>
            <w:r>
              <w:rPr>
                <w:rFonts w:ascii="Times New Roman" w:hAnsi="Times New Roman" w:cs="Times New Roman" w:hint="eastAsia"/>
                <w:szCs w:val="20"/>
              </w:rPr>
              <w:t>Productive Cough</w:t>
            </w:r>
          </w:p>
        </w:tc>
        <w:tc>
          <w:tcPr>
            <w:tcW w:w="616" w:type="pct"/>
            <w:shd w:val="clear" w:color="auto" w:fill="auto"/>
            <w:noWrap/>
            <w:vAlign w:val="center"/>
          </w:tcPr>
          <w:p w14:paraId="7199B3ED" w14:textId="25C8124F" w:rsidR="00175208" w:rsidRDefault="00175208" w:rsidP="007947DB">
            <w:pPr>
              <w:pStyle w:val="NoSpacing"/>
              <w:jc w:val="center"/>
              <w:rPr>
                <w:rFonts w:ascii="Times New Roman" w:hAnsi="Times New Roman" w:cs="Times New Roman"/>
                <w:szCs w:val="20"/>
              </w:rPr>
            </w:pPr>
            <w:r>
              <w:rPr>
                <w:rFonts w:ascii="Times New Roman" w:hAnsi="Times New Roman" w:cs="Times New Roman" w:hint="eastAsia"/>
                <w:szCs w:val="20"/>
              </w:rPr>
              <w:t>3</w:t>
            </w:r>
          </w:p>
        </w:tc>
        <w:tc>
          <w:tcPr>
            <w:tcW w:w="611" w:type="pct"/>
            <w:vAlign w:val="center"/>
          </w:tcPr>
          <w:p w14:paraId="309884DB" w14:textId="54F78663" w:rsidR="00175208" w:rsidRDefault="00175208" w:rsidP="00175208">
            <w:pPr>
              <w:pStyle w:val="NoSpacing"/>
              <w:jc w:val="center"/>
              <w:rPr>
                <w:rFonts w:ascii="Times New Roman" w:hAnsi="Times New Roman" w:cs="Times New Roman"/>
                <w:szCs w:val="20"/>
              </w:rPr>
            </w:pPr>
            <w:r>
              <w:rPr>
                <w:rFonts w:ascii="Times New Roman" w:hAnsi="Times New Roman" w:cs="Times New Roman" w:hint="eastAsia"/>
                <w:szCs w:val="20"/>
              </w:rPr>
              <w:t>1.0</w:t>
            </w:r>
          </w:p>
        </w:tc>
        <w:tc>
          <w:tcPr>
            <w:tcW w:w="537" w:type="pct"/>
            <w:shd w:val="clear" w:color="auto" w:fill="auto"/>
            <w:noWrap/>
            <w:vAlign w:val="center"/>
          </w:tcPr>
          <w:p w14:paraId="662DA5D7" w14:textId="65A949CE" w:rsidR="00175208" w:rsidRDefault="00175208" w:rsidP="007947DB">
            <w:pPr>
              <w:pStyle w:val="NoSpacing"/>
              <w:jc w:val="center"/>
              <w:rPr>
                <w:rFonts w:ascii="Times New Roman" w:hAnsi="Times New Roman" w:cs="Times New Roman"/>
                <w:szCs w:val="20"/>
              </w:rPr>
            </w:pPr>
            <w:r>
              <w:rPr>
                <w:rFonts w:ascii="Times New Roman" w:hAnsi="Times New Roman" w:cs="Times New Roman" w:hint="eastAsia"/>
                <w:szCs w:val="20"/>
              </w:rPr>
              <w:t>2</w:t>
            </w:r>
          </w:p>
        </w:tc>
        <w:tc>
          <w:tcPr>
            <w:tcW w:w="647" w:type="pct"/>
            <w:vAlign w:val="center"/>
          </w:tcPr>
          <w:p w14:paraId="0040129C" w14:textId="462EE0DD" w:rsidR="00175208" w:rsidRDefault="00175208" w:rsidP="00175208">
            <w:pPr>
              <w:pStyle w:val="NoSpacing"/>
              <w:jc w:val="center"/>
              <w:rPr>
                <w:rFonts w:ascii="Times New Roman" w:hAnsi="Times New Roman" w:cs="Times New Roman"/>
                <w:szCs w:val="20"/>
              </w:rPr>
            </w:pPr>
            <w:r>
              <w:rPr>
                <w:rFonts w:ascii="Times New Roman" w:hAnsi="Times New Roman" w:cs="Times New Roman" w:hint="eastAsia"/>
                <w:szCs w:val="20"/>
              </w:rPr>
              <w:t>0.7</w:t>
            </w:r>
          </w:p>
        </w:tc>
      </w:tr>
      <w:tr w:rsidR="00175208" w:rsidRPr="0029636B" w14:paraId="5E134EB2" w14:textId="77777777" w:rsidTr="001056E5">
        <w:trPr>
          <w:trHeight w:val="20"/>
        </w:trPr>
        <w:tc>
          <w:tcPr>
            <w:tcW w:w="1516" w:type="pct"/>
            <w:vMerge w:val="restart"/>
            <w:shd w:val="clear" w:color="auto" w:fill="auto"/>
            <w:vAlign w:val="center"/>
            <w:hideMark/>
          </w:tcPr>
          <w:p w14:paraId="32440FB9" w14:textId="77777777" w:rsidR="00175208" w:rsidRPr="0029636B" w:rsidRDefault="00175208" w:rsidP="007947DB">
            <w:pPr>
              <w:pStyle w:val="NoSpacing"/>
              <w:jc w:val="left"/>
              <w:rPr>
                <w:rFonts w:ascii="Times New Roman" w:hAnsi="Times New Roman" w:cs="Times New Roman"/>
                <w:szCs w:val="20"/>
              </w:rPr>
            </w:pPr>
            <w:r w:rsidRPr="0029636B">
              <w:rPr>
                <w:rFonts w:ascii="Times New Roman" w:hAnsi="Times New Roman" w:cs="Times New Roman"/>
                <w:szCs w:val="20"/>
              </w:rPr>
              <w:t>Skin and Subcutaneous Tissue Disorders</w:t>
            </w:r>
          </w:p>
        </w:tc>
        <w:tc>
          <w:tcPr>
            <w:tcW w:w="1073" w:type="pct"/>
            <w:shd w:val="clear" w:color="auto" w:fill="auto"/>
            <w:vAlign w:val="center"/>
            <w:hideMark/>
          </w:tcPr>
          <w:p w14:paraId="781BFB54" w14:textId="77777777" w:rsidR="00175208" w:rsidRPr="0029636B" w:rsidRDefault="00175208" w:rsidP="007947DB">
            <w:pPr>
              <w:pStyle w:val="NoSpacing"/>
              <w:jc w:val="left"/>
              <w:rPr>
                <w:rFonts w:ascii="Times New Roman" w:hAnsi="Times New Roman" w:cs="Times New Roman"/>
                <w:szCs w:val="20"/>
              </w:rPr>
            </w:pPr>
            <w:r w:rsidRPr="0029636B">
              <w:rPr>
                <w:rFonts w:ascii="Times New Roman" w:hAnsi="Times New Roman" w:cs="Times New Roman"/>
                <w:szCs w:val="20"/>
              </w:rPr>
              <w:t>Rash</w:t>
            </w:r>
          </w:p>
        </w:tc>
        <w:tc>
          <w:tcPr>
            <w:tcW w:w="616" w:type="pct"/>
            <w:shd w:val="clear" w:color="auto" w:fill="auto"/>
            <w:noWrap/>
            <w:vAlign w:val="center"/>
            <w:hideMark/>
          </w:tcPr>
          <w:p w14:paraId="6485BE86" w14:textId="73B7502F" w:rsidR="00175208" w:rsidRPr="0029636B" w:rsidRDefault="00175208" w:rsidP="007947DB">
            <w:pPr>
              <w:pStyle w:val="NoSpacing"/>
              <w:jc w:val="center"/>
              <w:rPr>
                <w:rFonts w:ascii="Times New Roman" w:hAnsi="Times New Roman" w:cs="Times New Roman"/>
                <w:szCs w:val="20"/>
              </w:rPr>
            </w:pPr>
            <w:r>
              <w:rPr>
                <w:rFonts w:ascii="Times New Roman" w:hAnsi="Times New Roman" w:cs="Times New Roman" w:hint="eastAsia"/>
                <w:szCs w:val="20"/>
              </w:rPr>
              <w:t>6</w:t>
            </w:r>
          </w:p>
        </w:tc>
        <w:tc>
          <w:tcPr>
            <w:tcW w:w="611" w:type="pct"/>
            <w:vAlign w:val="center"/>
          </w:tcPr>
          <w:p w14:paraId="79EB0201" w14:textId="5A8C05D9" w:rsidR="00175208" w:rsidRPr="0029636B" w:rsidRDefault="00175208" w:rsidP="00175208">
            <w:pPr>
              <w:pStyle w:val="NoSpacing"/>
              <w:jc w:val="center"/>
              <w:rPr>
                <w:rFonts w:ascii="Times New Roman" w:hAnsi="Times New Roman" w:cs="Times New Roman"/>
                <w:szCs w:val="20"/>
              </w:rPr>
            </w:pPr>
            <w:r>
              <w:rPr>
                <w:rFonts w:ascii="Times New Roman" w:hAnsi="Times New Roman" w:cs="Times New Roman" w:hint="eastAsia"/>
                <w:szCs w:val="20"/>
              </w:rPr>
              <w:t>2.</w:t>
            </w:r>
            <w:r w:rsidRPr="0029636B">
              <w:rPr>
                <w:rFonts w:ascii="Times New Roman" w:hAnsi="Times New Roman" w:cs="Times New Roman"/>
                <w:szCs w:val="20"/>
              </w:rPr>
              <w:t>1</w:t>
            </w:r>
          </w:p>
        </w:tc>
        <w:tc>
          <w:tcPr>
            <w:tcW w:w="537" w:type="pct"/>
            <w:shd w:val="clear" w:color="auto" w:fill="auto"/>
            <w:noWrap/>
            <w:vAlign w:val="center"/>
            <w:hideMark/>
          </w:tcPr>
          <w:p w14:paraId="47B8CCB6" w14:textId="48C92987" w:rsidR="00175208" w:rsidRPr="0029636B" w:rsidRDefault="00175208" w:rsidP="007947DB">
            <w:pPr>
              <w:pStyle w:val="NoSpacing"/>
              <w:jc w:val="center"/>
              <w:rPr>
                <w:rFonts w:ascii="Times New Roman" w:hAnsi="Times New Roman" w:cs="Times New Roman"/>
                <w:szCs w:val="20"/>
              </w:rPr>
            </w:pPr>
            <w:r>
              <w:rPr>
                <w:rFonts w:ascii="Times New Roman" w:hAnsi="Times New Roman" w:cs="Times New Roman" w:hint="eastAsia"/>
                <w:szCs w:val="20"/>
              </w:rPr>
              <w:t>6</w:t>
            </w:r>
          </w:p>
        </w:tc>
        <w:tc>
          <w:tcPr>
            <w:tcW w:w="647" w:type="pct"/>
            <w:vAlign w:val="center"/>
          </w:tcPr>
          <w:p w14:paraId="17922E9F" w14:textId="684AF5C2" w:rsidR="00175208" w:rsidRPr="0029636B" w:rsidRDefault="00175208" w:rsidP="00175208">
            <w:pPr>
              <w:pStyle w:val="NoSpacing"/>
              <w:jc w:val="center"/>
              <w:rPr>
                <w:rFonts w:ascii="Times New Roman" w:hAnsi="Times New Roman" w:cs="Times New Roman"/>
                <w:szCs w:val="20"/>
              </w:rPr>
            </w:pPr>
            <w:r>
              <w:rPr>
                <w:rFonts w:ascii="Times New Roman" w:hAnsi="Times New Roman" w:cs="Times New Roman" w:hint="eastAsia"/>
                <w:szCs w:val="20"/>
              </w:rPr>
              <w:t>2.</w:t>
            </w:r>
            <w:r w:rsidRPr="0029636B">
              <w:rPr>
                <w:rFonts w:ascii="Times New Roman" w:hAnsi="Times New Roman" w:cs="Times New Roman"/>
                <w:szCs w:val="20"/>
              </w:rPr>
              <w:t>0</w:t>
            </w:r>
          </w:p>
        </w:tc>
      </w:tr>
      <w:tr w:rsidR="00175208" w:rsidRPr="0029636B" w14:paraId="63943C78" w14:textId="77777777" w:rsidTr="001056E5">
        <w:trPr>
          <w:trHeight w:val="20"/>
        </w:trPr>
        <w:tc>
          <w:tcPr>
            <w:tcW w:w="1516" w:type="pct"/>
            <w:vMerge/>
            <w:shd w:val="clear" w:color="auto" w:fill="auto"/>
            <w:vAlign w:val="center"/>
          </w:tcPr>
          <w:p w14:paraId="6ED7F75E" w14:textId="77777777" w:rsidR="00175208" w:rsidRPr="0029636B" w:rsidRDefault="00175208" w:rsidP="007947DB">
            <w:pPr>
              <w:pStyle w:val="NoSpacing"/>
              <w:jc w:val="left"/>
              <w:rPr>
                <w:rFonts w:ascii="Times New Roman" w:hAnsi="Times New Roman" w:cs="Times New Roman"/>
                <w:szCs w:val="20"/>
              </w:rPr>
            </w:pPr>
          </w:p>
        </w:tc>
        <w:tc>
          <w:tcPr>
            <w:tcW w:w="1073" w:type="pct"/>
            <w:shd w:val="clear" w:color="auto" w:fill="auto"/>
            <w:vAlign w:val="center"/>
          </w:tcPr>
          <w:p w14:paraId="6E39C62F" w14:textId="231AD8C5" w:rsidR="00175208" w:rsidRPr="0029636B" w:rsidRDefault="00175208" w:rsidP="007947DB">
            <w:pPr>
              <w:pStyle w:val="NoSpacing"/>
              <w:jc w:val="left"/>
              <w:rPr>
                <w:rFonts w:ascii="Times New Roman" w:hAnsi="Times New Roman" w:cs="Times New Roman"/>
                <w:szCs w:val="20"/>
              </w:rPr>
            </w:pPr>
            <w:proofErr w:type="spellStart"/>
            <w:r>
              <w:rPr>
                <w:rFonts w:ascii="Times New Roman" w:hAnsi="Times New Roman" w:cs="Times New Roman" w:hint="eastAsia"/>
                <w:szCs w:val="20"/>
              </w:rPr>
              <w:t>Dermititis</w:t>
            </w:r>
            <w:proofErr w:type="spellEnd"/>
            <w:r>
              <w:rPr>
                <w:rFonts w:ascii="Times New Roman" w:hAnsi="Times New Roman" w:cs="Times New Roman" w:hint="eastAsia"/>
                <w:szCs w:val="20"/>
              </w:rPr>
              <w:t xml:space="preserve"> Allergic</w:t>
            </w:r>
          </w:p>
        </w:tc>
        <w:tc>
          <w:tcPr>
            <w:tcW w:w="616" w:type="pct"/>
            <w:shd w:val="clear" w:color="auto" w:fill="auto"/>
            <w:noWrap/>
            <w:vAlign w:val="center"/>
          </w:tcPr>
          <w:p w14:paraId="3974EEA3" w14:textId="1AFD4948" w:rsidR="00175208" w:rsidRPr="0029636B" w:rsidDel="00175208" w:rsidRDefault="00175208" w:rsidP="007947DB">
            <w:pPr>
              <w:pStyle w:val="NoSpacing"/>
              <w:jc w:val="center"/>
              <w:rPr>
                <w:rFonts w:ascii="Times New Roman" w:hAnsi="Times New Roman" w:cs="Times New Roman"/>
                <w:szCs w:val="20"/>
              </w:rPr>
            </w:pPr>
            <w:r>
              <w:rPr>
                <w:rFonts w:ascii="Times New Roman" w:hAnsi="Times New Roman" w:cs="Times New Roman" w:hint="eastAsia"/>
                <w:szCs w:val="20"/>
              </w:rPr>
              <w:t>1</w:t>
            </w:r>
          </w:p>
        </w:tc>
        <w:tc>
          <w:tcPr>
            <w:tcW w:w="611" w:type="pct"/>
            <w:vAlign w:val="center"/>
          </w:tcPr>
          <w:p w14:paraId="55F3BCE7" w14:textId="01F1118C" w:rsidR="00175208" w:rsidRDefault="00175208" w:rsidP="00175208">
            <w:pPr>
              <w:pStyle w:val="NoSpacing"/>
              <w:jc w:val="center"/>
              <w:rPr>
                <w:rFonts w:ascii="Times New Roman" w:hAnsi="Times New Roman" w:cs="Times New Roman"/>
                <w:szCs w:val="20"/>
              </w:rPr>
            </w:pPr>
            <w:r>
              <w:rPr>
                <w:rFonts w:ascii="Times New Roman" w:hAnsi="Times New Roman" w:cs="Times New Roman" w:hint="eastAsia"/>
                <w:szCs w:val="20"/>
              </w:rPr>
              <w:t>0.3</w:t>
            </w:r>
          </w:p>
        </w:tc>
        <w:tc>
          <w:tcPr>
            <w:tcW w:w="537" w:type="pct"/>
            <w:shd w:val="clear" w:color="auto" w:fill="auto"/>
            <w:noWrap/>
            <w:vAlign w:val="center"/>
          </w:tcPr>
          <w:p w14:paraId="02A2D405" w14:textId="30370A27" w:rsidR="00175208" w:rsidRPr="0029636B" w:rsidDel="00175208" w:rsidRDefault="00175208" w:rsidP="007947DB">
            <w:pPr>
              <w:pStyle w:val="NoSpacing"/>
              <w:jc w:val="center"/>
              <w:rPr>
                <w:rFonts w:ascii="Times New Roman" w:hAnsi="Times New Roman" w:cs="Times New Roman"/>
                <w:szCs w:val="20"/>
              </w:rPr>
            </w:pPr>
            <w:r>
              <w:rPr>
                <w:rFonts w:ascii="Times New Roman" w:hAnsi="Times New Roman" w:cs="Times New Roman" w:hint="eastAsia"/>
                <w:szCs w:val="20"/>
              </w:rPr>
              <w:t>4</w:t>
            </w:r>
          </w:p>
        </w:tc>
        <w:tc>
          <w:tcPr>
            <w:tcW w:w="647" w:type="pct"/>
            <w:vAlign w:val="center"/>
          </w:tcPr>
          <w:p w14:paraId="3BAC7F16" w14:textId="28951CA7" w:rsidR="00175208" w:rsidRDefault="00175208" w:rsidP="00175208">
            <w:pPr>
              <w:pStyle w:val="NoSpacing"/>
              <w:jc w:val="center"/>
              <w:rPr>
                <w:rFonts w:ascii="Times New Roman" w:hAnsi="Times New Roman" w:cs="Times New Roman"/>
                <w:szCs w:val="20"/>
              </w:rPr>
            </w:pPr>
            <w:r>
              <w:rPr>
                <w:rFonts w:ascii="Times New Roman" w:hAnsi="Times New Roman" w:cs="Times New Roman" w:hint="eastAsia"/>
                <w:szCs w:val="20"/>
              </w:rPr>
              <w:t>1.4</w:t>
            </w:r>
          </w:p>
        </w:tc>
      </w:tr>
      <w:tr w:rsidR="00175208" w:rsidRPr="0029636B" w14:paraId="2BAF4D65" w14:textId="77777777" w:rsidTr="001056E5">
        <w:trPr>
          <w:trHeight w:val="20"/>
        </w:trPr>
        <w:tc>
          <w:tcPr>
            <w:tcW w:w="1516" w:type="pct"/>
            <w:vMerge/>
            <w:shd w:val="clear" w:color="auto" w:fill="auto"/>
            <w:vAlign w:val="center"/>
          </w:tcPr>
          <w:p w14:paraId="3754CE32" w14:textId="77777777" w:rsidR="00175208" w:rsidRPr="0029636B" w:rsidRDefault="00175208" w:rsidP="007947DB">
            <w:pPr>
              <w:pStyle w:val="NoSpacing"/>
              <w:jc w:val="left"/>
              <w:rPr>
                <w:rFonts w:ascii="Times New Roman" w:hAnsi="Times New Roman" w:cs="Times New Roman"/>
                <w:szCs w:val="20"/>
              </w:rPr>
            </w:pPr>
          </w:p>
        </w:tc>
        <w:tc>
          <w:tcPr>
            <w:tcW w:w="1073" w:type="pct"/>
            <w:shd w:val="clear" w:color="auto" w:fill="auto"/>
            <w:vAlign w:val="center"/>
          </w:tcPr>
          <w:p w14:paraId="4B77380B" w14:textId="7BAE6BA3" w:rsidR="00175208" w:rsidRPr="0029636B" w:rsidRDefault="00175208" w:rsidP="007947DB">
            <w:pPr>
              <w:pStyle w:val="NoSpacing"/>
              <w:jc w:val="left"/>
              <w:rPr>
                <w:rFonts w:ascii="Times New Roman" w:hAnsi="Times New Roman" w:cs="Times New Roman"/>
                <w:szCs w:val="20"/>
              </w:rPr>
            </w:pPr>
            <w:r>
              <w:rPr>
                <w:rFonts w:ascii="Times New Roman" w:hAnsi="Times New Roman" w:cs="Times New Roman" w:hint="eastAsia"/>
                <w:szCs w:val="20"/>
              </w:rPr>
              <w:t>Pruritus</w:t>
            </w:r>
          </w:p>
        </w:tc>
        <w:tc>
          <w:tcPr>
            <w:tcW w:w="616" w:type="pct"/>
            <w:shd w:val="clear" w:color="auto" w:fill="auto"/>
            <w:noWrap/>
            <w:vAlign w:val="center"/>
          </w:tcPr>
          <w:p w14:paraId="37ADDCB5" w14:textId="775E66D2" w:rsidR="00175208" w:rsidRPr="0029636B" w:rsidDel="00175208" w:rsidRDefault="00175208" w:rsidP="007947DB">
            <w:pPr>
              <w:pStyle w:val="NoSpacing"/>
              <w:jc w:val="center"/>
              <w:rPr>
                <w:rFonts w:ascii="Times New Roman" w:hAnsi="Times New Roman" w:cs="Times New Roman"/>
                <w:szCs w:val="20"/>
              </w:rPr>
            </w:pPr>
            <w:r>
              <w:rPr>
                <w:rFonts w:ascii="Times New Roman" w:hAnsi="Times New Roman" w:cs="Times New Roman" w:hint="eastAsia"/>
                <w:szCs w:val="20"/>
              </w:rPr>
              <w:t>1</w:t>
            </w:r>
          </w:p>
        </w:tc>
        <w:tc>
          <w:tcPr>
            <w:tcW w:w="611" w:type="pct"/>
            <w:vAlign w:val="center"/>
          </w:tcPr>
          <w:p w14:paraId="23F8D603" w14:textId="27A31289" w:rsidR="00175208" w:rsidRDefault="00175208" w:rsidP="00175208">
            <w:pPr>
              <w:pStyle w:val="NoSpacing"/>
              <w:jc w:val="center"/>
              <w:rPr>
                <w:rFonts w:ascii="Times New Roman" w:hAnsi="Times New Roman" w:cs="Times New Roman"/>
                <w:szCs w:val="20"/>
              </w:rPr>
            </w:pPr>
            <w:r>
              <w:rPr>
                <w:rFonts w:ascii="Times New Roman" w:hAnsi="Times New Roman" w:cs="Times New Roman" w:hint="eastAsia"/>
                <w:szCs w:val="20"/>
              </w:rPr>
              <w:t>0.3</w:t>
            </w:r>
          </w:p>
        </w:tc>
        <w:tc>
          <w:tcPr>
            <w:tcW w:w="537" w:type="pct"/>
            <w:shd w:val="clear" w:color="auto" w:fill="auto"/>
            <w:noWrap/>
            <w:vAlign w:val="center"/>
          </w:tcPr>
          <w:p w14:paraId="1C36E4CB" w14:textId="10C74E1C" w:rsidR="00175208" w:rsidRPr="0029636B" w:rsidDel="00175208" w:rsidRDefault="00175208" w:rsidP="007947DB">
            <w:pPr>
              <w:pStyle w:val="NoSpacing"/>
              <w:jc w:val="center"/>
              <w:rPr>
                <w:rFonts w:ascii="Times New Roman" w:hAnsi="Times New Roman" w:cs="Times New Roman"/>
                <w:szCs w:val="20"/>
              </w:rPr>
            </w:pPr>
            <w:r>
              <w:rPr>
                <w:rFonts w:ascii="Times New Roman" w:hAnsi="Times New Roman" w:cs="Times New Roman" w:hint="eastAsia"/>
                <w:szCs w:val="20"/>
              </w:rPr>
              <w:t>4</w:t>
            </w:r>
          </w:p>
        </w:tc>
        <w:tc>
          <w:tcPr>
            <w:tcW w:w="647" w:type="pct"/>
            <w:vAlign w:val="center"/>
          </w:tcPr>
          <w:p w14:paraId="00F3FFF7" w14:textId="490C422B" w:rsidR="00175208" w:rsidRDefault="00175208" w:rsidP="00175208">
            <w:pPr>
              <w:pStyle w:val="NoSpacing"/>
              <w:jc w:val="center"/>
              <w:rPr>
                <w:rFonts w:ascii="Times New Roman" w:hAnsi="Times New Roman" w:cs="Times New Roman"/>
                <w:szCs w:val="20"/>
              </w:rPr>
            </w:pPr>
            <w:r>
              <w:rPr>
                <w:rFonts w:ascii="Times New Roman" w:hAnsi="Times New Roman" w:cs="Times New Roman" w:hint="eastAsia"/>
                <w:szCs w:val="20"/>
              </w:rPr>
              <w:t>1.4</w:t>
            </w:r>
          </w:p>
        </w:tc>
      </w:tr>
      <w:tr w:rsidR="00175208" w:rsidRPr="0029636B" w14:paraId="03053B6E" w14:textId="77777777" w:rsidTr="001056E5">
        <w:trPr>
          <w:trHeight w:val="20"/>
        </w:trPr>
        <w:tc>
          <w:tcPr>
            <w:tcW w:w="1516" w:type="pct"/>
            <w:vMerge/>
            <w:shd w:val="clear" w:color="auto" w:fill="auto"/>
            <w:vAlign w:val="center"/>
          </w:tcPr>
          <w:p w14:paraId="0599015F" w14:textId="77777777" w:rsidR="00175208" w:rsidRPr="0029636B" w:rsidRDefault="00175208" w:rsidP="007947DB">
            <w:pPr>
              <w:pStyle w:val="NoSpacing"/>
              <w:jc w:val="left"/>
              <w:rPr>
                <w:rFonts w:ascii="Times New Roman" w:hAnsi="Times New Roman" w:cs="Times New Roman"/>
                <w:szCs w:val="20"/>
              </w:rPr>
            </w:pPr>
          </w:p>
        </w:tc>
        <w:tc>
          <w:tcPr>
            <w:tcW w:w="1073" w:type="pct"/>
            <w:shd w:val="clear" w:color="auto" w:fill="auto"/>
            <w:vAlign w:val="center"/>
          </w:tcPr>
          <w:p w14:paraId="59D651A2" w14:textId="3E46B91A" w:rsidR="00175208" w:rsidRDefault="00175208" w:rsidP="007947DB">
            <w:pPr>
              <w:pStyle w:val="NoSpacing"/>
              <w:jc w:val="left"/>
              <w:rPr>
                <w:rFonts w:ascii="Times New Roman" w:hAnsi="Times New Roman" w:cs="Times New Roman"/>
                <w:szCs w:val="20"/>
              </w:rPr>
            </w:pPr>
            <w:proofErr w:type="spellStart"/>
            <w:r>
              <w:rPr>
                <w:rFonts w:ascii="Times New Roman" w:hAnsi="Times New Roman" w:cs="Times New Roman" w:hint="eastAsia"/>
                <w:szCs w:val="20"/>
              </w:rPr>
              <w:t>Urticaria</w:t>
            </w:r>
            <w:proofErr w:type="spellEnd"/>
          </w:p>
        </w:tc>
        <w:tc>
          <w:tcPr>
            <w:tcW w:w="616" w:type="pct"/>
            <w:shd w:val="clear" w:color="auto" w:fill="auto"/>
            <w:noWrap/>
            <w:vAlign w:val="center"/>
          </w:tcPr>
          <w:p w14:paraId="0E068F91" w14:textId="457BB2E8" w:rsidR="00175208" w:rsidRDefault="00175208" w:rsidP="007947DB">
            <w:pPr>
              <w:pStyle w:val="NoSpacing"/>
              <w:jc w:val="center"/>
              <w:rPr>
                <w:rFonts w:ascii="Times New Roman" w:hAnsi="Times New Roman" w:cs="Times New Roman"/>
                <w:szCs w:val="20"/>
              </w:rPr>
            </w:pPr>
            <w:r>
              <w:rPr>
                <w:rFonts w:ascii="Times New Roman" w:hAnsi="Times New Roman" w:cs="Times New Roman" w:hint="eastAsia"/>
                <w:szCs w:val="20"/>
              </w:rPr>
              <w:t>0</w:t>
            </w:r>
          </w:p>
        </w:tc>
        <w:tc>
          <w:tcPr>
            <w:tcW w:w="611" w:type="pct"/>
            <w:vAlign w:val="center"/>
          </w:tcPr>
          <w:p w14:paraId="2CBE6DBE" w14:textId="2CE9E1BC" w:rsidR="00175208" w:rsidRDefault="00175208" w:rsidP="00175208">
            <w:pPr>
              <w:pStyle w:val="NoSpacing"/>
              <w:jc w:val="center"/>
              <w:rPr>
                <w:rFonts w:ascii="Times New Roman" w:hAnsi="Times New Roman" w:cs="Times New Roman"/>
                <w:szCs w:val="20"/>
              </w:rPr>
            </w:pPr>
            <w:r>
              <w:rPr>
                <w:rFonts w:ascii="Times New Roman" w:hAnsi="Times New Roman" w:cs="Times New Roman" w:hint="eastAsia"/>
                <w:szCs w:val="20"/>
              </w:rPr>
              <w:t>0.0</w:t>
            </w:r>
          </w:p>
        </w:tc>
        <w:tc>
          <w:tcPr>
            <w:tcW w:w="537" w:type="pct"/>
            <w:shd w:val="clear" w:color="auto" w:fill="auto"/>
            <w:noWrap/>
            <w:vAlign w:val="center"/>
          </w:tcPr>
          <w:p w14:paraId="2084D11E" w14:textId="18CA2E5B" w:rsidR="00175208" w:rsidRDefault="00175208" w:rsidP="007947DB">
            <w:pPr>
              <w:pStyle w:val="NoSpacing"/>
              <w:jc w:val="center"/>
              <w:rPr>
                <w:rFonts w:ascii="Times New Roman" w:hAnsi="Times New Roman" w:cs="Times New Roman"/>
                <w:szCs w:val="20"/>
              </w:rPr>
            </w:pPr>
            <w:r>
              <w:rPr>
                <w:rFonts w:ascii="Times New Roman" w:hAnsi="Times New Roman" w:cs="Times New Roman" w:hint="eastAsia"/>
                <w:szCs w:val="20"/>
              </w:rPr>
              <w:t>3</w:t>
            </w:r>
          </w:p>
        </w:tc>
        <w:tc>
          <w:tcPr>
            <w:tcW w:w="647" w:type="pct"/>
            <w:vAlign w:val="center"/>
          </w:tcPr>
          <w:p w14:paraId="22571D21" w14:textId="5940289B" w:rsidR="00175208" w:rsidRDefault="00175208" w:rsidP="00175208">
            <w:pPr>
              <w:pStyle w:val="NoSpacing"/>
              <w:jc w:val="center"/>
              <w:rPr>
                <w:rFonts w:ascii="Times New Roman" w:hAnsi="Times New Roman" w:cs="Times New Roman"/>
                <w:szCs w:val="20"/>
              </w:rPr>
            </w:pPr>
            <w:r>
              <w:rPr>
                <w:rFonts w:ascii="Times New Roman" w:hAnsi="Times New Roman" w:cs="Times New Roman" w:hint="eastAsia"/>
                <w:szCs w:val="20"/>
              </w:rPr>
              <w:t>1.0</w:t>
            </w:r>
          </w:p>
        </w:tc>
      </w:tr>
      <w:tr w:rsidR="00175208" w:rsidRPr="0029636B" w14:paraId="1BDF8F19" w14:textId="77777777" w:rsidTr="001056E5">
        <w:trPr>
          <w:trHeight w:val="20"/>
        </w:trPr>
        <w:tc>
          <w:tcPr>
            <w:tcW w:w="1516" w:type="pct"/>
            <w:shd w:val="clear" w:color="auto" w:fill="auto"/>
            <w:vAlign w:val="center"/>
          </w:tcPr>
          <w:p w14:paraId="6BD7E602" w14:textId="0B5F4E52" w:rsidR="00175208" w:rsidRPr="0029636B" w:rsidRDefault="00175208" w:rsidP="007947DB">
            <w:pPr>
              <w:pStyle w:val="NoSpacing"/>
              <w:jc w:val="left"/>
              <w:rPr>
                <w:rFonts w:ascii="Times New Roman" w:hAnsi="Times New Roman" w:cs="Times New Roman"/>
                <w:szCs w:val="20"/>
              </w:rPr>
            </w:pPr>
            <w:r>
              <w:rPr>
                <w:rFonts w:ascii="Times New Roman" w:hAnsi="Times New Roman" w:cs="Times New Roman" w:hint="eastAsia"/>
                <w:szCs w:val="20"/>
              </w:rPr>
              <w:t>Vascular Disorders</w:t>
            </w:r>
          </w:p>
        </w:tc>
        <w:tc>
          <w:tcPr>
            <w:tcW w:w="1073" w:type="pct"/>
            <w:shd w:val="clear" w:color="auto" w:fill="auto"/>
            <w:vAlign w:val="center"/>
          </w:tcPr>
          <w:p w14:paraId="549FC5CC" w14:textId="4DF163C1" w:rsidR="00175208" w:rsidRDefault="00175208" w:rsidP="007947DB">
            <w:pPr>
              <w:pStyle w:val="NoSpacing"/>
              <w:jc w:val="left"/>
              <w:rPr>
                <w:rFonts w:ascii="Times New Roman" w:hAnsi="Times New Roman" w:cs="Times New Roman"/>
                <w:szCs w:val="20"/>
              </w:rPr>
            </w:pPr>
            <w:r>
              <w:rPr>
                <w:rFonts w:ascii="Times New Roman" w:hAnsi="Times New Roman" w:cs="Times New Roman" w:hint="eastAsia"/>
                <w:szCs w:val="20"/>
              </w:rPr>
              <w:t>Hypertension</w:t>
            </w:r>
          </w:p>
        </w:tc>
        <w:tc>
          <w:tcPr>
            <w:tcW w:w="616" w:type="pct"/>
            <w:shd w:val="clear" w:color="auto" w:fill="auto"/>
            <w:noWrap/>
            <w:vAlign w:val="center"/>
          </w:tcPr>
          <w:p w14:paraId="107412AE" w14:textId="66A94842" w:rsidR="00175208" w:rsidRDefault="00175208" w:rsidP="007947DB">
            <w:pPr>
              <w:pStyle w:val="NoSpacing"/>
              <w:jc w:val="center"/>
              <w:rPr>
                <w:rFonts w:ascii="Times New Roman" w:hAnsi="Times New Roman" w:cs="Times New Roman"/>
                <w:szCs w:val="20"/>
              </w:rPr>
            </w:pPr>
            <w:r>
              <w:rPr>
                <w:rFonts w:ascii="Times New Roman" w:hAnsi="Times New Roman" w:cs="Times New Roman" w:hint="eastAsia"/>
                <w:szCs w:val="20"/>
              </w:rPr>
              <w:t>5</w:t>
            </w:r>
          </w:p>
        </w:tc>
        <w:tc>
          <w:tcPr>
            <w:tcW w:w="611" w:type="pct"/>
            <w:vAlign w:val="center"/>
          </w:tcPr>
          <w:p w14:paraId="4FFD6272" w14:textId="79826759" w:rsidR="00175208" w:rsidRDefault="00175208" w:rsidP="00175208">
            <w:pPr>
              <w:pStyle w:val="NoSpacing"/>
              <w:jc w:val="center"/>
              <w:rPr>
                <w:rFonts w:ascii="Times New Roman" w:hAnsi="Times New Roman" w:cs="Times New Roman"/>
                <w:szCs w:val="20"/>
              </w:rPr>
            </w:pPr>
            <w:r>
              <w:rPr>
                <w:rFonts w:ascii="Times New Roman" w:hAnsi="Times New Roman" w:cs="Times New Roman" w:hint="eastAsia"/>
                <w:szCs w:val="20"/>
              </w:rPr>
              <w:t>1.7</w:t>
            </w:r>
          </w:p>
        </w:tc>
        <w:tc>
          <w:tcPr>
            <w:tcW w:w="537" w:type="pct"/>
            <w:shd w:val="clear" w:color="auto" w:fill="auto"/>
            <w:noWrap/>
            <w:vAlign w:val="center"/>
          </w:tcPr>
          <w:p w14:paraId="46B682F6" w14:textId="53648D6E" w:rsidR="00175208" w:rsidRDefault="00175208" w:rsidP="007947DB">
            <w:pPr>
              <w:pStyle w:val="NoSpacing"/>
              <w:jc w:val="center"/>
              <w:rPr>
                <w:rFonts w:ascii="Times New Roman" w:hAnsi="Times New Roman" w:cs="Times New Roman"/>
                <w:szCs w:val="20"/>
              </w:rPr>
            </w:pPr>
            <w:r>
              <w:rPr>
                <w:rFonts w:ascii="Times New Roman" w:hAnsi="Times New Roman" w:cs="Times New Roman" w:hint="eastAsia"/>
                <w:szCs w:val="20"/>
              </w:rPr>
              <w:t>9</w:t>
            </w:r>
          </w:p>
        </w:tc>
        <w:tc>
          <w:tcPr>
            <w:tcW w:w="647" w:type="pct"/>
            <w:vAlign w:val="center"/>
          </w:tcPr>
          <w:p w14:paraId="62CADF26" w14:textId="2D35EAFC" w:rsidR="00175208" w:rsidRDefault="00175208" w:rsidP="00175208">
            <w:pPr>
              <w:pStyle w:val="NoSpacing"/>
              <w:jc w:val="center"/>
              <w:rPr>
                <w:rFonts w:ascii="Times New Roman" w:hAnsi="Times New Roman" w:cs="Times New Roman"/>
                <w:szCs w:val="20"/>
              </w:rPr>
            </w:pPr>
            <w:r>
              <w:rPr>
                <w:rFonts w:ascii="Times New Roman" w:hAnsi="Times New Roman" w:cs="Times New Roman" w:hint="eastAsia"/>
                <w:szCs w:val="20"/>
              </w:rPr>
              <w:t>3.1</w:t>
            </w:r>
          </w:p>
        </w:tc>
      </w:tr>
    </w:tbl>
    <w:p w14:paraId="25BEE0B3" w14:textId="77777777" w:rsidR="000726D1" w:rsidRPr="005A4B0D" w:rsidRDefault="000726D1" w:rsidP="007947DB">
      <w:pPr>
        <w:pStyle w:val="NoSpacing"/>
        <w:rPr>
          <w:rFonts w:ascii="Times New Roman" w:hAnsi="Times New Roman" w:cs="Times New Roman"/>
          <w:szCs w:val="20"/>
        </w:rPr>
      </w:pPr>
      <w:proofErr w:type="spellStart"/>
      <w:proofErr w:type="gramStart"/>
      <w:r w:rsidRPr="00F66823">
        <w:rPr>
          <w:rFonts w:ascii="Times New Roman" w:hAnsi="Times New Roman" w:cs="Times New Roman" w:hint="eastAsia"/>
          <w:szCs w:val="20"/>
          <w:vertAlign w:val="superscript"/>
        </w:rPr>
        <w:t>a</w:t>
      </w:r>
      <w:proofErr w:type="spellEnd"/>
      <w:proofErr w:type="gramEnd"/>
      <w:r w:rsidRPr="005A4B0D">
        <w:rPr>
          <w:rFonts w:ascii="Times New Roman" w:hAnsi="Times New Roman" w:cs="Times New Roman"/>
          <w:szCs w:val="20"/>
        </w:rPr>
        <w:t xml:space="preserve"> </w:t>
      </w:r>
      <w:r>
        <w:rPr>
          <w:rFonts w:ascii="Times New Roman" w:hAnsi="Times New Roman" w:cs="Times New Roman" w:hint="eastAsia"/>
          <w:szCs w:val="20"/>
        </w:rPr>
        <w:t>I</w:t>
      </w:r>
      <w:r w:rsidRPr="005A4B0D">
        <w:rPr>
          <w:rFonts w:ascii="Times New Roman" w:hAnsi="Times New Roman" w:cs="Times New Roman"/>
          <w:szCs w:val="20"/>
        </w:rPr>
        <w:t>nfliximab dose level could be increased from Week 30 until Week 46 if necessary.</w:t>
      </w:r>
    </w:p>
    <w:p w14:paraId="26BF0B4B" w14:textId="77777777" w:rsidR="000726D1" w:rsidRDefault="000726D1" w:rsidP="00E75073">
      <w:pPr>
        <w:wordWrap/>
        <w:spacing w:after="120" w:line="240" w:lineRule="auto"/>
        <w:jc w:val="left"/>
        <w:rPr>
          <w:rFonts w:ascii="Times New Roman" w:hAnsi="Times New Roman" w:cs="Times New Roman"/>
          <w:sz w:val="24"/>
          <w:szCs w:val="24"/>
        </w:rPr>
      </w:pPr>
    </w:p>
    <w:p w14:paraId="0A21150A" w14:textId="4ABD71DD" w:rsidR="000726D1" w:rsidRPr="00B405FC" w:rsidRDefault="000726D1" w:rsidP="007947DB">
      <w:pPr>
        <w:wordWrap/>
        <w:spacing w:line="240" w:lineRule="auto"/>
        <w:jc w:val="left"/>
        <w:rPr>
          <w:rFonts w:ascii="Times New Roman" w:hAnsi="Times New Roman" w:cs="Times New Roman"/>
          <w:sz w:val="24"/>
          <w:szCs w:val="24"/>
        </w:rPr>
      </w:pPr>
      <w:r w:rsidRPr="00B405FC">
        <w:rPr>
          <w:rFonts w:ascii="Times New Roman" w:hAnsi="Times New Roman" w:cs="Times New Roman"/>
          <w:sz w:val="24"/>
          <w:szCs w:val="24"/>
        </w:rPr>
        <w:t xml:space="preserve">During the </w:t>
      </w:r>
      <w:proofErr w:type="spellStart"/>
      <w:r w:rsidRPr="00B405FC">
        <w:rPr>
          <w:rFonts w:ascii="Times New Roman" w:hAnsi="Times New Roman" w:cs="Times New Roman"/>
          <w:sz w:val="24"/>
          <w:szCs w:val="24"/>
        </w:rPr>
        <w:t>randomised</w:t>
      </w:r>
      <w:proofErr w:type="spellEnd"/>
      <w:r w:rsidRPr="00B405FC">
        <w:rPr>
          <w:rFonts w:ascii="Times New Roman" w:hAnsi="Times New Roman" w:cs="Times New Roman"/>
          <w:sz w:val="24"/>
          <w:szCs w:val="24"/>
        </w:rPr>
        <w:t xml:space="preserve">, double-blind period of Study SB2-G31-RA, the proportions of patients who experienced infections and infestations were 85 (29.3%) patients in the RENFLEXIS treatment group vs. 110 (37.5%) patients in the </w:t>
      </w:r>
      <w:proofErr w:type="spellStart"/>
      <w:r w:rsidRPr="00B405FC">
        <w:rPr>
          <w:rFonts w:ascii="Times New Roman" w:hAnsi="Times New Roman" w:cs="Times New Roman"/>
          <w:sz w:val="24"/>
          <w:szCs w:val="24"/>
        </w:rPr>
        <w:t>Remicade</w:t>
      </w:r>
      <w:proofErr w:type="spellEnd"/>
      <w:r w:rsidRPr="00B405FC">
        <w:rPr>
          <w:rFonts w:ascii="Times New Roman" w:hAnsi="Times New Roman" w:cs="Times New Roman"/>
          <w:sz w:val="24"/>
          <w:szCs w:val="24"/>
          <w:vertAlign w:val="superscript"/>
        </w:rPr>
        <w:t>®</w:t>
      </w:r>
      <w:r w:rsidRPr="00B405FC">
        <w:rPr>
          <w:rFonts w:ascii="Times New Roman" w:hAnsi="Times New Roman" w:cs="Times New Roman"/>
          <w:sz w:val="24"/>
          <w:szCs w:val="24"/>
        </w:rPr>
        <w:t xml:space="preserve"> treatment group. A total </w:t>
      </w:r>
      <w:r w:rsidR="00352808">
        <w:rPr>
          <w:rFonts w:ascii="Times New Roman" w:hAnsi="Times New Roman" w:cs="Times New Roman" w:hint="eastAsia"/>
          <w:sz w:val="24"/>
          <w:szCs w:val="24"/>
        </w:rPr>
        <w:t>12</w:t>
      </w:r>
      <w:r w:rsidRPr="00B405FC">
        <w:rPr>
          <w:rFonts w:ascii="Times New Roman" w:hAnsi="Times New Roman" w:cs="Times New Roman"/>
          <w:sz w:val="24"/>
          <w:szCs w:val="24"/>
        </w:rPr>
        <w:t xml:space="preserve"> (</w:t>
      </w:r>
      <w:r w:rsidR="00352808">
        <w:rPr>
          <w:rFonts w:ascii="Times New Roman" w:hAnsi="Times New Roman" w:cs="Times New Roman" w:hint="eastAsia"/>
          <w:sz w:val="24"/>
          <w:szCs w:val="24"/>
        </w:rPr>
        <w:t>4</w:t>
      </w:r>
      <w:r w:rsidRPr="00B405FC">
        <w:rPr>
          <w:rFonts w:ascii="Times New Roman" w:hAnsi="Times New Roman" w:cs="Times New Roman"/>
          <w:sz w:val="24"/>
          <w:szCs w:val="24"/>
        </w:rPr>
        <w:t xml:space="preserve">.1%) patients from the RENFLEXIS treatment group and 7 (2.4%) patients from the </w:t>
      </w:r>
      <w:proofErr w:type="spellStart"/>
      <w:r w:rsidRPr="00B405FC">
        <w:rPr>
          <w:rFonts w:ascii="Times New Roman" w:hAnsi="Times New Roman" w:cs="Times New Roman"/>
          <w:sz w:val="24"/>
          <w:szCs w:val="24"/>
        </w:rPr>
        <w:t>Remicade</w:t>
      </w:r>
      <w:proofErr w:type="spellEnd"/>
      <w:r w:rsidRPr="00B405FC">
        <w:rPr>
          <w:rFonts w:ascii="Times New Roman" w:hAnsi="Times New Roman" w:cs="Times New Roman"/>
          <w:sz w:val="24"/>
          <w:szCs w:val="24"/>
          <w:vertAlign w:val="superscript"/>
        </w:rPr>
        <w:t>®</w:t>
      </w:r>
      <w:r w:rsidRPr="00B405FC">
        <w:rPr>
          <w:rFonts w:ascii="Times New Roman" w:hAnsi="Times New Roman" w:cs="Times New Roman"/>
          <w:sz w:val="24"/>
          <w:szCs w:val="24"/>
        </w:rPr>
        <w:t xml:space="preserve"> treatment group were reported to have serious infections </w:t>
      </w:r>
      <w:r w:rsidR="00352808">
        <w:rPr>
          <w:rFonts w:ascii="Times New Roman" w:hAnsi="Times New Roman" w:cs="Times New Roman" w:hint="eastAsia"/>
          <w:sz w:val="24"/>
          <w:szCs w:val="24"/>
        </w:rPr>
        <w:t>and infestation</w:t>
      </w:r>
      <w:r w:rsidRPr="00B405FC">
        <w:rPr>
          <w:rFonts w:ascii="Times New Roman" w:hAnsi="Times New Roman" w:cs="Times New Roman"/>
          <w:sz w:val="24"/>
          <w:szCs w:val="24"/>
        </w:rPr>
        <w:t xml:space="preserve">s. </w:t>
      </w:r>
    </w:p>
    <w:p w14:paraId="3230DD7A" w14:textId="2B7B2450" w:rsidR="000726D1" w:rsidRDefault="000726D1" w:rsidP="007947DB">
      <w:pPr>
        <w:wordWrap/>
        <w:spacing w:line="240" w:lineRule="auto"/>
        <w:jc w:val="left"/>
        <w:rPr>
          <w:rFonts w:ascii="Times New Roman" w:hAnsi="Times New Roman" w:cs="Times New Roman"/>
          <w:sz w:val="24"/>
          <w:szCs w:val="24"/>
        </w:rPr>
      </w:pPr>
      <w:r w:rsidRPr="00B405FC">
        <w:rPr>
          <w:rFonts w:ascii="Times New Roman" w:hAnsi="Times New Roman" w:cs="Times New Roman"/>
          <w:sz w:val="24"/>
          <w:szCs w:val="24"/>
        </w:rPr>
        <w:t xml:space="preserve">The incidence of infusion-related reactions was comparable between the RENFLEXIS and </w:t>
      </w:r>
      <w:r w:rsidRPr="00B405FC">
        <w:rPr>
          <w:rFonts w:ascii="Times New Roman" w:hAnsi="Times New Roman" w:cs="Times New Roman"/>
          <w:sz w:val="24"/>
          <w:szCs w:val="24"/>
        </w:rPr>
        <w:lastRenderedPageBreak/>
        <w:t xml:space="preserve">the </w:t>
      </w:r>
      <w:proofErr w:type="spellStart"/>
      <w:r w:rsidRPr="00B405FC">
        <w:rPr>
          <w:rFonts w:ascii="Times New Roman" w:hAnsi="Times New Roman" w:cs="Times New Roman"/>
          <w:sz w:val="24"/>
          <w:szCs w:val="24"/>
        </w:rPr>
        <w:t>Remicade</w:t>
      </w:r>
      <w:proofErr w:type="spellEnd"/>
      <w:r w:rsidRPr="00B405FC">
        <w:rPr>
          <w:rFonts w:ascii="Times New Roman" w:hAnsi="Times New Roman" w:cs="Times New Roman"/>
          <w:sz w:val="24"/>
          <w:szCs w:val="24"/>
          <w:vertAlign w:val="superscript"/>
        </w:rPr>
        <w:t>®</w:t>
      </w:r>
      <w:r w:rsidRPr="00B405FC">
        <w:rPr>
          <w:rFonts w:ascii="Times New Roman" w:hAnsi="Times New Roman" w:cs="Times New Roman"/>
          <w:sz w:val="24"/>
          <w:szCs w:val="24"/>
        </w:rPr>
        <w:t xml:space="preserve"> treatment group. A total of 17 (5.9%) patients in the RENFLEXIS treatment group and 15 (5.1%) patients in the </w:t>
      </w:r>
      <w:proofErr w:type="spellStart"/>
      <w:r w:rsidRPr="00B405FC">
        <w:rPr>
          <w:rFonts w:ascii="Times New Roman" w:hAnsi="Times New Roman" w:cs="Times New Roman"/>
          <w:sz w:val="24"/>
          <w:szCs w:val="24"/>
        </w:rPr>
        <w:t>Remicade</w:t>
      </w:r>
      <w:proofErr w:type="spellEnd"/>
      <w:r w:rsidRPr="00B405FC">
        <w:rPr>
          <w:rFonts w:ascii="Times New Roman" w:hAnsi="Times New Roman" w:cs="Times New Roman"/>
          <w:sz w:val="24"/>
          <w:szCs w:val="24"/>
          <w:vertAlign w:val="superscript"/>
        </w:rPr>
        <w:t>®</w:t>
      </w:r>
      <w:r w:rsidRPr="00B405FC">
        <w:rPr>
          <w:rFonts w:ascii="Times New Roman" w:hAnsi="Times New Roman" w:cs="Times New Roman"/>
          <w:sz w:val="24"/>
          <w:szCs w:val="24"/>
        </w:rPr>
        <w:t xml:space="preserve"> treatment group were reported to have infusion-related reaction.</w:t>
      </w:r>
    </w:p>
    <w:p w14:paraId="7D0280C0" w14:textId="593FB984" w:rsidR="00335649" w:rsidRPr="00B405FC" w:rsidRDefault="00335649" w:rsidP="00E95030">
      <w:pPr>
        <w:wordWrap/>
        <w:autoSpaceDE/>
        <w:autoSpaceDN/>
        <w:spacing w:line="240" w:lineRule="auto"/>
        <w:jc w:val="left"/>
        <w:rPr>
          <w:rFonts w:ascii="Times New Roman" w:hAnsi="Times New Roman" w:cs="Times New Roman"/>
          <w:sz w:val="24"/>
          <w:szCs w:val="24"/>
        </w:rPr>
      </w:pPr>
      <w:r w:rsidRPr="003B682A">
        <w:rPr>
          <w:rFonts w:ascii="Times New Roman" w:hAnsi="Times New Roman" w:cs="Times New Roman"/>
          <w:sz w:val="24"/>
          <w:szCs w:val="24"/>
        </w:rPr>
        <w:t xml:space="preserve">Alanine aminotransferase (ALT) elevations were reported in </w:t>
      </w:r>
      <w:r w:rsidR="00C854EE">
        <w:rPr>
          <w:rFonts w:ascii="Times New Roman" w:hAnsi="Times New Roman" w:cs="Times New Roman" w:hint="eastAsia"/>
          <w:sz w:val="24"/>
          <w:szCs w:val="24"/>
        </w:rPr>
        <w:t>15</w:t>
      </w:r>
      <w:r w:rsidRPr="003B682A">
        <w:rPr>
          <w:rFonts w:ascii="Times New Roman" w:hAnsi="Times New Roman" w:cs="Times New Roman"/>
          <w:sz w:val="24"/>
          <w:szCs w:val="24"/>
        </w:rPr>
        <w:t xml:space="preserve"> [</w:t>
      </w:r>
      <w:r w:rsidR="00C854EE">
        <w:rPr>
          <w:rFonts w:ascii="Times New Roman" w:hAnsi="Times New Roman" w:cs="Times New Roman" w:hint="eastAsia"/>
          <w:sz w:val="24"/>
          <w:szCs w:val="24"/>
        </w:rPr>
        <w:t>5</w:t>
      </w:r>
      <w:r w:rsidR="00E95030">
        <w:rPr>
          <w:rFonts w:ascii="Times New Roman" w:hAnsi="Times New Roman" w:cs="Times New Roman" w:hint="eastAsia"/>
          <w:sz w:val="24"/>
          <w:szCs w:val="24"/>
        </w:rPr>
        <w:t>.</w:t>
      </w:r>
      <w:r w:rsidR="00C854EE">
        <w:rPr>
          <w:rFonts w:ascii="Times New Roman" w:hAnsi="Times New Roman" w:cs="Times New Roman" w:hint="eastAsia"/>
          <w:sz w:val="24"/>
          <w:szCs w:val="24"/>
        </w:rPr>
        <w:t>2</w:t>
      </w:r>
      <w:r w:rsidRPr="003B682A">
        <w:rPr>
          <w:rFonts w:ascii="Times New Roman" w:hAnsi="Times New Roman" w:cs="Times New Roman"/>
          <w:sz w:val="24"/>
          <w:szCs w:val="24"/>
        </w:rPr>
        <w:t xml:space="preserve">%] patients in the </w:t>
      </w:r>
      <w:r>
        <w:rPr>
          <w:rFonts w:ascii="Times New Roman" w:hAnsi="Times New Roman" w:cs="Times New Roman" w:hint="eastAsia"/>
          <w:sz w:val="24"/>
          <w:szCs w:val="24"/>
        </w:rPr>
        <w:t>RENFLEXIS</w:t>
      </w:r>
      <w:r w:rsidRPr="003B682A">
        <w:rPr>
          <w:rFonts w:ascii="Times New Roman" w:hAnsi="Times New Roman" w:cs="Times New Roman"/>
          <w:sz w:val="24"/>
          <w:szCs w:val="24"/>
        </w:rPr>
        <w:t xml:space="preserve"> treatment group and </w:t>
      </w:r>
      <w:r w:rsidR="00C854EE">
        <w:rPr>
          <w:rFonts w:ascii="Times New Roman" w:hAnsi="Times New Roman" w:cs="Times New Roman" w:hint="eastAsia"/>
          <w:sz w:val="24"/>
          <w:szCs w:val="24"/>
        </w:rPr>
        <w:t>7</w:t>
      </w:r>
      <w:r w:rsidRPr="003B682A">
        <w:rPr>
          <w:rFonts w:ascii="Times New Roman" w:hAnsi="Times New Roman" w:cs="Times New Roman"/>
          <w:sz w:val="24"/>
          <w:szCs w:val="24"/>
        </w:rPr>
        <w:t xml:space="preserve"> [</w:t>
      </w:r>
      <w:r w:rsidR="00C854EE">
        <w:rPr>
          <w:rFonts w:ascii="Times New Roman" w:hAnsi="Times New Roman" w:cs="Times New Roman" w:hint="eastAsia"/>
          <w:sz w:val="24"/>
          <w:szCs w:val="24"/>
        </w:rPr>
        <w:t>2</w:t>
      </w:r>
      <w:r>
        <w:rPr>
          <w:rFonts w:ascii="Times New Roman" w:hAnsi="Times New Roman" w:cs="Times New Roman" w:hint="eastAsia"/>
          <w:sz w:val="24"/>
          <w:szCs w:val="24"/>
        </w:rPr>
        <w:t>.</w:t>
      </w:r>
      <w:r w:rsidR="00C854EE">
        <w:rPr>
          <w:rFonts w:ascii="Times New Roman" w:hAnsi="Times New Roman" w:cs="Times New Roman" w:hint="eastAsia"/>
          <w:sz w:val="24"/>
          <w:szCs w:val="24"/>
        </w:rPr>
        <w:t>4</w:t>
      </w:r>
      <w:r w:rsidRPr="003B682A">
        <w:rPr>
          <w:rFonts w:ascii="Times New Roman" w:hAnsi="Times New Roman" w:cs="Times New Roman"/>
          <w:sz w:val="24"/>
          <w:szCs w:val="24"/>
        </w:rPr>
        <w:t xml:space="preserve">%] patients in the </w:t>
      </w:r>
      <w:proofErr w:type="spellStart"/>
      <w:r>
        <w:rPr>
          <w:rFonts w:ascii="Times New Roman" w:hAnsi="Times New Roman" w:cs="Times New Roman" w:hint="eastAsia"/>
          <w:sz w:val="24"/>
          <w:szCs w:val="24"/>
        </w:rPr>
        <w:t>Remicade</w:t>
      </w:r>
      <w:proofErr w:type="spellEnd"/>
      <w:r w:rsidRPr="003B682A">
        <w:rPr>
          <w:rFonts w:ascii="Times New Roman" w:hAnsi="Times New Roman" w:cs="Times New Roman"/>
          <w:sz w:val="24"/>
          <w:szCs w:val="24"/>
          <w:vertAlign w:val="superscript"/>
        </w:rPr>
        <w:t>®</w:t>
      </w:r>
      <w:r w:rsidRPr="003B682A">
        <w:rPr>
          <w:rFonts w:ascii="Times New Roman" w:hAnsi="Times New Roman" w:cs="Times New Roman"/>
          <w:sz w:val="24"/>
          <w:szCs w:val="24"/>
        </w:rPr>
        <w:t xml:space="preserve"> treatment group. Aspartate aminotransferase (AST) elevations were reported in </w:t>
      </w:r>
      <w:r w:rsidR="00C854EE">
        <w:rPr>
          <w:rFonts w:ascii="Times New Roman" w:hAnsi="Times New Roman" w:cs="Times New Roman" w:hint="eastAsia"/>
          <w:sz w:val="24"/>
          <w:szCs w:val="24"/>
        </w:rPr>
        <w:t>5</w:t>
      </w:r>
      <w:r w:rsidRPr="003B682A">
        <w:rPr>
          <w:rFonts w:ascii="Times New Roman" w:hAnsi="Times New Roman" w:cs="Times New Roman"/>
          <w:sz w:val="24"/>
          <w:szCs w:val="24"/>
        </w:rPr>
        <w:t xml:space="preserve"> [</w:t>
      </w:r>
      <w:r w:rsidR="00C854EE">
        <w:rPr>
          <w:rFonts w:ascii="Times New Roman" w:hAnsi="Times New Roman" w:cs="Times New Roman" w:hint="eastAsia"/>
          <w:sz w:val="24"/>
          <w:szCs w:val="24"/>
        </w:rPr>
        <w:t>1</w:t>
      </w:r>
      <w:r>
        <w:rPr>
          <w:rFonts w:ascii="Times New Roman" w:hAnsi="Times New Roman" w:cs="Times New Roman" w:hint="eastAsia"/>
          <w:sz w:val="24"/>
          <w:szCs w:val="24"/>
        </w:rPr>
        <w:t>.</w:t>
      </w:r>
      <w:r w:rsidR="00C854EE">
        <w:rPr>
          <w:rFonts w:ascii="Times New Roman" w:hAnsi="Times New Roman" w:cs="Times New Roman" w:hint="eastAsia"/>
          <w:sz w:val="24"/>
          <w:szCs w:val="24"/>
        </w:rPr>
        <w:t>7</w:t>
      </w:r>
      <w:r w:rsidRPr="003B682A">
        <w:rPr>
          <w:rFonts w:ascii="Times New Roman" w:hAnsi="Times New Roman" w:cs="Times New Roman"/>
          <w:sz w:val="24"/>
          <w:szCs w:val="24"/>
        </w:rPr>
        <w:t xml:space="preserve">] patients in </w:t>
      </w:r>
      <w:r>
        <w:rPr>
          <w:rFonts w:ascii="Times New Roman" w:hAnsi="Times New Roman" w:cs="Times New Roman" w:hint="eastAsia"/>
          <w:sz w:val="24"/>
          <w:szCs w:val="24"/>
        </w:rPr>
        <w:t>RENFLEXIS</w:t>
      </w:r>
      <w:r w:rsidRPr="003B682A">
        <w:rPr>
          <w:rFonts w:ascii="Times New Roman" w:hAnsi="Times New Roman" w:cs="Times New Roman"/>
          <w:sz w:val="24"/>
          <w:szCs w:val="24"/>
        </w:rPr>
        <w:t xml:space="preserve"> treatment group and </w:t>
      </w:r>
      <w:r w:rsidR="00C854EE">
        <w:rPr>
          <w:rFonts w:ascii="Times New Roman" w:hAnsi="Times New Roman" w:cs="Times New Roman" w:hint="eastAsia"/>
          <w:sz w:val="24"/>
          <w:szCs w:val="24"/>
        </w:rPr>
        <w:t>2</w:t>
      </w:r>
      <w:r w:rsidRPr="003B682A">
        <w:rPr>
          <w:rFonts w:ascii="Times New Roman" w:hAnsi="Times New Roman" w:cs="Times New Roman"/>
          <w:sz w:val="24"/>
          <w:szCs w:val="24"/>
        </w:rPr>
        <w:t xml:space="preserve"> [</w:t>
      </w:r>
      <w:r w:rsidR="00C854EE">
        <w:rPr>
          <w:rFonts w:ascii="Times New Roman" w:hAnsi="Times New Roman" w:cs="Times New Roman" w:hint="eastAsia"/>
          <w:sz w:val="24"/>
          <w:szCs w:val="24"/>
        </w:rPr>
        <w:t>0</w:t>
      </w:r>
      <w:r>
        <w:rPr>
          <w:rFonts w:ascii="Times New Roman" w:hAnsi="Times New Roman" w:cs="Times New Roman" w:hint="eastAsia"/>
          <w:sz w:val="24"/>
          <w:szCs w:val="24"/>
        </w:rPr>
        <w:t>.</w:t>
      </w:r>
      <w:r w:rsidR="00C854EE">
        <w:rPr>
          <w:rFonts w:ascii="Times New Roman" w:hAnsi="Times New Roman" w:cs="Times New Roman" w:hint="eastAsia"/>
          <w:sz w:val="24"/>
          <w:szCs w:val="24"/>
        </w:rPr>
        <w:t>7</w:t>
      </w:r>
      <w:r w:rsidRPr="003B682A">
        <w:rPr>
          <w:rFonts w:ascii="Times New Roman" w:hAnsi="Times New Roman" w:cs="Times New Roman"/>
          <w:sz w:val="24"/>
          <w:szCs w:val="24"/>
        </w:rPr>
        <w:t xml:space="preserve">%] patients in the </w:t>
      </w:r>
      <w:proofErr w:type="spellStart"/>
      <w:r>
        <w:rPr>
          <w:rFonts w:ascii="Times New Roman" w:hAnsi="Times New Roman" w:cs="Times New Roman" w:hint="eastAsia"/>
          <w:sz w:val="24"/>
          <w:szCs w:val="24"/>
        </w:rPr>
        <w:t>Remicade</w:t>
      </w:r>
      <w:proofErr w:type="spellEnd"/>
      <w:r w:rsidRPr="003B682A">
        <w:rPr>
          <w:rFonts w:ascii="Times New Roman" w:hAnsi="Times New Roman" w:cs="Times New Roman"/>
          <w:sz w:val="24"/>
          <w:szCs w:val="24"/>
          <w:vertAlign w:val="superscript"/>
        </w:rPr>
        <w:t>®</w:t>
      </w:r>
      <w:r w:rsidRPr="003B682A">
        <w:rPr>
          <w:rFonts w:ascii="Times New Roman" w:hAnsi="Times New Roman" w:cs="Times New Roman"/>
          <w:sz w:val="24"/>
          <w:szCs w:val="24"/>
        </w:rPr>
        <w:t xml:space="preserve"> treatment group.</w:t>
      </w:r>
    </w:p>
    <w:p w14:paraId="17AD57AE" w14:textId="77777777" w:rsidR="000726D1" w:rsidRPr="00B405FC" w:rsidRDefault="000726D1" w:rsidP="007947DB">
      <w:pPr>
        <w:wordWrap/>
        <w:spacing w:line="240" w:lineRule="auto"/>
        <w:jc w:val="left"/>
        <w:rPr>
          <w:rFonts w:ascii="Times New Roman" w:hAnsi="Times New Roman" w:cs="Times New Roman"/>
          <w:sz w:val="24"/>
          <w:szCs w:val="24"/>
        </w:rPr>
      </w:pPr>
      <w:r w:rsidRPr="00B405FC">
        <w:rPr>
          <w:rFonts w:ascii="Times New Roman" w:hAnsi="Times New Roman" w:cs="Times New Roman"/>
          <w:sz w:val="24"/>
          <w:szCs w:val="24"/>
        </w:rPr>
        <w:t xml:space="preserve">Up to Week 54, anti-drug antibodies developed in 179 (62.4%) patients in the RENFLEXIS treatment group and 168 (57.5%) patients in the </w:t>
      </w:r>
      <w:proofErr w:type="spellStart"/>
      <w:r w:rsidRPr="00B405FC">
        <w:rPr>
          <w:rFonts w:ascii="Times New Roman" w:hAnsi="Times New Roman" w:cs="Times New Roman"/>
          <w:sz w:val="24"/>
          <w:szCs w:val="24"/>
        </w:rPr>
        <w:t>Remicade</w:t>
      </w:r>
      <w:proofErr w:type="spellEnd"/>
      <w:r w:rsidRPr="00B405FC">
        <w:rPr>
          <w:rFonts w:ascii="Times New Roman" w:hAnsi="Times New Roman" w:cs="Times New Roman"/>
          <w:sz w:val="24"/>
          <w:szCs w:val="24"/>
          <w:vertAlign w:val="superscript"/>
        </w:rPr>
        <w:t>®</w:t>
      </w:r>
      <w:r w:rsidRPr="00B405FC">
        <w:rPr>
          <w:rFonts w:ascii="Times New Roman" w:hAnsi="Times New Roman" w:cs="Times New Roman"/>
          <w:sz w:val="24"/>
          <w:szCs w:val="24"/>
        </w:rPr>
        <w:t xml:space="preserve"> treatment group, while a total of 166 (92.7%) patients from the RENFLEXIS treatment group and 147 (87.5%) patients from the </w:t>
      </w:r>
      <w:proofErr w:type="spellStart"/>
      <w:r w:rsidRPr="00B405FC">
        <w:rPr>
          <w:rFonts w:ascii="Times New Roman" w:hAnsi="Times New Roman" w:cs="Times New Roman"/>
          <w:sz w:val="24"/>
          <w:szCs w:val="24"/>
        </w:rPr>
        <w:t>Remicade</w:t>
      </w:r>
      <w:proofErr w:type="spellEnd"/>
      <w:r w:rsidRPr="00B405FC">
        <w:rPr>
          <w:rFonts w:ascii="Times New Roman" w:hAnsi="Times New Roman" w:cs="Times New Roman"/>
          <w:sz w:val="24"/>
          <w:szCs w:val="24"/>
          <w:vertAlign w:val="superscript"/>
        </w:rPr>
        <w:t>®</w:t>
      </w:r>
      <w:r w:rsidRPr="00B405FC">
        <w:rPr>
          <w:rFonts w:ascii="Times New Roman" w:hAnsi="Times New Roman" w:cs="Times New Roman"/>
          <w:sz w:val="24"/>
          <w:szCs w:val="24"/>
        </w:rPr>
        <w:t xml:space="preserve"> treatment group tested positive for </w:t>
      </w:r>
      <w:proofErr w:type="spellStart"/>
      <w:r w:rsidRPr="00B405FC">
        <w:rPr>
          <w:rFonts w:ascii="Times New Roman" w:hAnsi="Times New Roman" w:cs="Times New Roman"/>
          <w:sz w:val="24"/>
          <w:szCs w:val="24"/>
        </w:rPr>
        <w:t>neutralising</w:t>
      </w:r>
      <w:proofErr w:type="spellEnd"/>
      <w:r w:rsidRPr="00B405FC">
        <w:rPr>
          <w:rFonts w:ascii="Times New Roman" w:hAnsi="Times New Roman" w:cs="Times New Roman"/>
          <w:sz w:val="24"/>
          <w:szCs w:val="24"/>
        </w:rPr>
        <w:t xml:space="preserve"> antibodies.</w:t>
      </w:r>
    </w:p>
    <w:p w14:paraId="70097730" w14:textId="77777777" w:rsidR="000726D1" w:rsidRPr="00B405FC" w:rsidRDefault="000726D1" w:rsidP="007947DB">
      <w:pPr>
        <w:pStyle w:val="BodyText"/>
        <w:spacing w:after="200"/>
        <w:rPr>
          <w:rFonts w:eastAsiaTheme="minorEastAsia"/>
          <w:kern w:val="2"/>
          <w:lang w:val="en-US" w:eastAsia="ko-KR"/>
        </w:rPr>
      </w:pPr>
      <w:r w:rsidRPr="00B405FC">
        <w:rPr>
          <w:rFonts w:eastAsiaTheme="minorEastAsia"/>
          <w:kern w:val="2"/>
          <w:lang w:val="en-US" w:eastAsia="ko-KR"/>
        </w:rPr>
        <w:t xml:space="preserve">Following the </w:t>
      </w:r>
      <w:proofErr w:type="spellStart"/>
      <w:r w:rsidRPr="00B405FC">
        <w:rPr>
          <w:rFonts w:eastAsiaTheme="minorEastAsia"/>
          <w:kern w:val="2"/>
          <w:lang w:val="en-US" w:eastAsia="ko-KR"/>
        </w:rPr>
        <w:t>randomised</w:t>
      </w:r>
      <w:proofErr w:type="spellEnd"/>
      <w:r w:rsidRPr="00B405FC">
        <w:rPr>
          <w:rFonts w:eastAsiaTheme="minorEastAsia"/>
          <w:kern w:val="2"/>
          <w:lang w:val="en-US" w:eastAsia="ko-KR"/>
        </w:rPr>
        <w:t xml:space="preserve"> double-blind period, a total of 201 patients from the </w:t>
      </w:r>
      <w:r w:rsidRPr="00B405FC">
        <w:t>RENFLEXIS</w:t>
      </w:r>
      <w:r w:rsidRPr="00B405FC">
        <w:rPr>
          <w:rFonts w:eastAsiaTheme="minorEastAsia"/>
          <w:kern w:val="2"/>
          <w:lang w:val="en-US" w:eastAsia="ko-KR"/>
        </w:rPr>
        <w:t xml:space="preserve"> treatment group continued to receive </w:t>
      </w:r>
      <w:r w:rsidRPr="00B405FC">
        <w:t xml:space="preserve">RENFLEXIS </w:t>
      </w:r>
      <w:r w:rsidRPr="00B405FC">
        <w:rPr>
          <w:rFonts w:eastAsiaTheme="minorEastAsia"/>
          <w:kern w:val="2"/>
          <w:lang w:val="en-US" w:eastAsia="ko-KR"/>
        </w:rPr>
        <w:t>(</w:t>
      </w:r>
      <w:r w:rsidRPr="00B405FC">
        <w:t>RENFLEXIS</w:t>
      </w:r>
      <w:r w:rsidRPr="00B405FC">
        <w:rPr>
          <w:lang w:eastAsia="ko-KR"/>
        </w:rPr>
        <w:t>/</w:t>
      </w:r>
      <w:r w:rsidRPr="00B405FC">
        <w:t>RENFLEXIS</w:t>
      </w:r>
      <w:r w:rsidRPr="00B405FC">
        <w:rPr>
          <w:rFonts w:eastAsiaTheme="minorEastAsia"/>
          <w:kern w:val="2"/>
          <w:lang w:val="en-US" w:eastAsia="ko-KR"/>
        </w:rPr>
        <w:t xml:space="preserve">), 101 patients from </w:t>
      </w:r>
      <w:proofErr w:type="spellStart"/>
      <w:r w:rsidRPr="00B405FC">
        <w:rPr>
          <w:rFonts w:eastAsiaTheme="minorEastAsia"/>
          <w:kern w:val="2"/>
          <w:lang w:val="en-US" w:eastAsia="ko-KR"/>
        </w:rPr>
        <w:t>Remicade</w:t>
      </w:r>
      <w:proofErr w:type="spellEnd"/>
      <w:r w:rsidRPr="00B405FC">
        <w:rPr>
          <w:rFonts w:eastAsiaTheme="minorEastAsia"/>
          <w:kern w:val="2"/>
          <w:vertAlign w:val="superscript"/>
          <w:lang w:val="en-US" w:eastAsia="ko-KR"/>
        </w:rPr>
        <w:t>®</w:t>
      </w:r>
      <w:r w:rsidRPr="00B405FC">
        <w:rPr>
          <w:rFonts w:eastAsiaTheme="minorEastAsia"/>
          <w:kern w:val="2"/>
          <w:lang w:val="en-US" w:eastAsia="ko-KR"/>
        </w:rPr>
        <w:t xml:space="preserve"> treatment group continued to receive </w:t>
      </w:r>
      <w:proofErr w:type="spellStart"/>
      <w:r w:rsidRPr="00B405FC">
        <w:rPr>
          <w:rFonts w:eastAsiaTheme="minorEastAsia"/>
          <w:kern w:val="2"/>
          <w:lang w:val="en-US" w:eastAsia="ko-KR"/>
        </w:rPr>
        <w:t>Remicade</w:t>
      </w:r>
      <w:proofErr w:type="spellEnd"/>
      <w:r w:rsidRPr="00B405FC">
        <w:rPr>
          <w:rFonts w:eastAsiaTheme="minorEastAsia"/>
          <w:kern w:val="2"/>
          <w:vertAlign w:val="superscript"/>
          <w:lang w:val="en-US" w:eastAsia="ko-KR"/>
        </w:rPr>
        <w:t>®</w:t>
      </w:r>
      <w:r w:rsidRPr="00B405FC">
        <w:rPr>
          <w:rFonts w:eastAsiaTheme="minorEastAsia"/>
          <w:kern w:val="2"/>
          <w:lang w:val="en-US" w:eastAsia="ko-KR"/>
        </w:rPr>
        <w:t xml:space="preserve"> (</w:t>
      </w:r>
      <w:proofErr w:type="spellStart"/>
      <w:r w:rsidRPr="00B405FC">
        <w:rPr>
          <w:rFonts w:eastAsiaTheme="minorEastAsia"/>
          <w:kern w:val="2"/>
          <w:lang w:val="en-US" w:eastAsia="ko-KR"/>
        </w:rPr>
        <w:t>Remicade</w:t>
      </w:r>
      <w:proofErr w:type="spellEnd"/>
      <w:r w:rsidRPr="00B405FC">
        <w:rPr>
          <w:rFonts w:eastAsiaTheme="minorEastAsia"/>
          <w:kern w:val="2"/>
          <w:vertAlign w:val="superscript"/>
          <w:lang w:val="en-US" w:eastAsia="ko-KR"/>
        </w:rPr>
        <w:t>®</w:t>
      </w:r>
      <w:r w:rsidRPr="00B405FC">
        <w:rPr>
          <w:rFonts w:eastAsiaTheme="minorEastAsia"/>
          <w:kern w:val="2"/>
          <w:lang w:val="en-US" w:eastAsia="ko-KR"/>
        </w:rPr>
        <w:t>/</w:t>
      </w:r>
      <w:proofErr w:type="spellStart"/>
      <w:r w:rsidRPr="00B405FC">
        <w:rPr>
          <w:rFonts w:eastAsiaTheme="minorEastAsia"/>
          <w:kern w:val="2"/>
          <w:lang w:val="en-US" w:eastAsia="ko-KR"/>
        </w:rPr>
        <w:t>Remicade</w:t>
      </w:r>
      <w:proofErr w:type="spellEnd"/>
      <w:r w:rsidRPr="00B405FC">
        <w:rPr>
          <w:rFonts w:eastAsiaTheme="minorEastAsia"/>
          <w:kern w:val="2"/>
          <w:vertAlign w:val="superscript"/>
          <w:lang w:val="en-US" w:eastAsia="ko-KR"/>
        </w:rPr>
        <w:t>®</w:t>
      </w:r>
      <w:r w:rsidRPr="00B405FC">
        <w:rPr>
          <w:rFonts w:eastAsiaTheme="minorEastAsia"/>
          <w:kern w:val="2"/>
          <w:lang w:val="en-US" w:eastAsia="ko-KR"/>
        </w:rPr>
        <w:t xml:space="preserve">) and 94 patients from the </w:t>
      </w:r>
      <w:proofErr w:type="spellStart"/>
      <w:r w:rsidRPr="00B405FC">
        <w:rPr>
          <w:rFonts w:eastAsiaTheme="minorEastAsia"/>
          <w:kern w:val="2"/>
          <w:lang w:val="en-US" w:eastAsia="ko-KR"/>
        </w:rPr>
        <w:t>Remicade</w:t>
      </w:r>
      <w:proofErr w:type="spellEnd"/>
      <w:r w:rsidRPr="00B405FC">
        <w:rPr>
          <w:rFonts w:eastAsiaTheme="minorEastAsia"/>
          <w:kern w:val="2"/>
          <w:vertAlign w:val="superscript"/>
          <w:lang w:val="en-US" w:eastAsia="ko-KR"/>
        </w:rPr>
        <w:t>®</w:t>
      </w:r>
      <w:r w:rsidRPr="00B405FC">
        <w:rPr>
          <w:rFonts w:eastAsiaTheme="minorEastAsia"/>
          <w:kern w:val="2"/>
          <w:lang w:val="en-US" w:eastAsia="ko-KR"/>
        </w:rPr>
        <w:t xml:space="preserve"> treatment group were switched </w:t>
      </w:r>
      <w:r w:rsidRPr="00B405FC">
        <w:rPr>
          <w:lang w:eastAsia="ko-KR"/>
        </w:rPr>
        <w:t xml:space="preserve">from </w:t>
      </w:r>
      <w:proofErr w:type="spellStart"/>
      <w:r w:rsidRPr="00B405FC">
        <w:rPr>
          <w:lang w:eastAsia="ko-KR"/>
        </w:rPr>
        <w:t>Remicade</w:t>
      </w:r>
      <w:proofErr w:type="spellEnd"/>
      <w:r w:rsidRPr="00B405FC">
        <w:rPr>
          <w:vertAlign w:val="superscript"/>
          <w:lang w:eastAsia="ko-KR"/>
        </w:rPr>
        <w:t>®</w:t>
      </w:r>
      <w:r w:rsidRPr="00B405FC">
        <w:rPr>
          <w:rFonts w:eastAsiaTheme="minorEastAsia"/>
          <w:kern w:val="2"/>
          <w:lang w:val="en-US" w:eastAsia="ko-KR"/>
        </w:rPr>
        <w:t xml:space="preserve"> to receive </w:t>
      </w:r>
      <w:r w:rsidRPr="00B405FC">
        <w:t>RENFLEXIS</w:t>
      </w:r>
      <w:r w:rsidRPr="00B405FC">
        <w:rPr>
          <w:lang w:eastAsia="ko-KR"/>
        </w:rPr>
        <w:t xml:space="preserve"> </w:t>
      </w:r>
      <w:r w:rsidRPr="00B405FC">
        <w:rPr>
          <w:rFonts w:eastAsiaTheme="minorEastAsia"/>
          <w:kern w:val="2"/>
          <w:lang w:val="en-US" w:eastAsia="ko-KR"/>
        </w:rPr>
        <w:t>(</w:t>
      </w:r>
      <w:proofErr w:type="spellStart"/>
      <w:r w:rsidRPr="00B405FC">
        <w:rPr>
          <w:rFonts w:eastAsiaTheme="minorEastAsia"/>
          <w:kern w:val="2"/>
          <w:lang w:val="en-US" w:eastAsia="ko-KR"/>
        </w:rPr>
        <w:t>Remicade</w:t>
      </w:r>
      <w:proofErr w:type="spellEnd"/>
      <w:r w:rsidRPr="00B405FC">
        <w:rPr>
          <w:rFonts w:eastAsiaTheme="minorEastAsia"/>
          <w:kern w:val="2"/>
          <w:vertAlign w:val="superscript"/>
          <w:lang w:val="en-US" w:eastAsia="ko-KR"/>
        </w:rPr>
        <w:t>®</w:t>
      </w:r>
      <w:r w:rsidRPr="00B405FC">
        <w:rPr>
          <w:rFonts w:eastAsiaTheme="minorEastAsia"/>
          <w:kern w:val="2"/>
          <w:lang w:val="en-US" w:eastAsia="ko-KR"/>
        </w:rPr>
        <w:t>/</w:t>
      </w:r>
      <w:r w:rsidRPr="00B405FC">
        <w:t>RENFLEXIS</w:t>
      </w:r>
      <w:r w:rsidRPr="00B405FC">
        <w:rPr>
          <w:rFonts w:eastAsiaTheme="minorEastAsia"/>
          <w:kern w:val="2"/>
          <w:lang w:val="en-US" w:eastAsia="ko-KR"/>
        </w:rPr>
        <w:t xml:space="preserve">) from Week 54 to Week 78 as part of the transition-extension period. </w:t>
      </w:r>
    </w:p>
    <w:p w14:paraId="4699618F" w14:textId="67D7D51F" w:rsidR="00AF1618" w:rsidRPr="00B405FC" w:rsidRDefault="000726D1" w:rsidP="007947DB">
      <w:pPr>
        <w:wordWrap/>
        <w:autoSpaceDE/>
        <w:autoSpaceDN/>
        <w:spacing w:line="240" w:lineRule="auto"/>
        <w:jc w:val="left"/>
        <w:rPr>
          <w:rFonts w:ascii="Times New Roman" w:eastAsia="Malgun Gothic" w:hAnsi="Times New Roman" w:cs="Times New Roman"/>
          <w:kern w:val="0"/>
          <w:sz w:val="24"/>
          <w:szCs w:val="24"/>
        </w:rPr>
      </w:pPr>
      <w:r w:rsidRPr="00B405FC">
        <w:rPr>
          <w:rFonts w:ascii="Times New Roman" w:eastAsia="Malgun Gothic" w:hAnsi="Times New Roman" w:cs="Times New Roman"/>
          <w:kern w:val="0"/>
          <w:sz w:val="24"/>
          <w:szCs w:val="24"/>
        </w:rPr>
        <w:t xml:space="preserve">A total of 81 (40.3%) patients from </w:t>
      </w:r>
      <w:r w:rsidRPr="00B405FC">
        <w:rPr>
          <w:rFonts w:ascii="Times New Roman" w:hAnsi="Times New Roman" w:cs="Times New Roman"/>
          <w:sz w:val="24"/>
          <w:szCs w:val="24"/>
        </w:rPr>
        <w:t>RENFLEXIS</w:t>
      </w:r>
      <w:r w:rsidRPr="00B405FC">
        <w:rPr>
          <w:rFonts w:ascii="Times New Roman" w:eastAsia="Malgun Gothic" w:hAnsi="Times New Roman" w:cs="Times New Roman"/>
          <w:kern w:val="0"/>
          <w:sz w:val="24"/>
          <w:szCs w:val="24"/>
        </w:rPr>
        <w:t>/</w:t>
      </w:r>
      <w:r w:rsidRPr="00B405FC">
        <w:rPr>
          <w:rFonts w:ascii="Times New Roman" w:hAnsi="Times New Roman" w:cs="Times New Roman"/>
          <w:sz w:val="24"/>
          <w:szCs w:val="24"/>
        </w:rPr>
        <w:t xml:space="preserve">RENFLEXIS </w:t>
      </w:r>
      <w:r w:rsidRPr="00B405FC">
        <w:rPr>
          <w:rFonts w:ascii="Times New Roman" w:eastAsia="Malgun Gothic" w:hAnsi="Times New Roman" w:cs="Times New Roman"/>
          <w:kern w:val="0"/>
          <w:sz w:val="24"/>
          <w:szCs w:val="24"/>
        </w:rPr>
        <w:t xml:space="preserve">treatment group, 34 (36.2%) patients from </w:t>
      </w:r>
      <w:proofErr w:type="spellStart"/>
      <w:r w:rsidRPr="00B405FC">
        <w:rPr>
          <w:rFonts w:ascii="Times New Roman" w:eastAsia="Malgun Gothic" w:hAnsi="Times New Roman" w:cs="Times New Roman"/>
          <w:kern w:val="0"/>
          <w:sz w:val="24"/>
          <w:szCs w:val="24"/>
        </w:rPr>
        <w:t>Remicade</w:t>
      </w:r>
      <w:proofErr w:type="spellEnd"/>
      <w:r w:rsidRPr="00B405FC">
        <w:rPr>
          <w:rFonts w:ascii="Times New Roman" w:eastAsia="Malgun Gothic" w:hAnsi="Times New Roman" w:cs="Times New Roman"/>
          <w:kern w:val="0"/>
          <w:sz w:val="24"/>
          <w:szCs w:val="24"/>
          <w:vertAlign w:val="superscript"/>
        </w:rPr>
        <w:t>®</w:t>
      </w:r>
      <w:r w:rsidRPr="00B405FC">
        <w:rPr>
          <w:rFonts w:ascii="Times New Roman" w:eastAsia="Malgun Gothic" w:hAnsi="Times New Roman" w:cs="Times New Roman"/>
          <w:kern w:val="0"/>
          <w:sz w:val="24"/>
          <w:szCs w:val="24"/>
        </w:rPr>
        <w:t>/</w:t>
      </w:r>
      <w:r w:rsidRPr="00B405FC">
        <w:rPr>
          <w:rFonts w:ascii="Times New Roman" w:hAnsi="Times New Roman" w:cs="Times New Roman"/>
          <w:sz w:val="24"/>
          <w:szCs w:val="24"/>
        </w:rPr>
        <w:t>RENFLEXIS</w:t>
      </w:r>
      <w:r w:rsidRPr="00B405FC">
        <w:rPr>
          <w:rFonts w:ascii="Times New Roman" w:eastAsia="Malgun Gothic" w:hAnsi="Times New Roman" w:cs="Times New Roman"/>
          <w:kern w:val="0"/>
          <w:sz w:val="24"/>
          <w:szCs w:val="24"/>
        </w:rPr>
        <w:t xml:space="preserve"> treatment group and </w:t>
      </w:r>
      <w:r w:rsidRPr="00B405FC">
        <w:rPr>
          <w:rFonts w:ascii="Times New Roman" w:hAnsi="Times New Roman" w:cs="Times New Roman"/>
          <w:kern w:val="0"/>
          <w:sz w:val="24"/>
          <w:szCs w:val="24"/>
        </w:rPr>
        <w:t xml:space="preserve">36 (35.6%) patients from the </w:t>
      </w:r>
      <w:proofErr w:type="spellStart"/>
      <w:r w:rsidRPr="00B405FC">
        <w:rPr>
          <w:rFonts w:ascii="Times New Roman" w:hAnsi="Times New Roman" w:cs="Times New Roman"/>
          <w:kern w:val="0"/>
          <w:sz w:val="24"/>
          <w:szCs w:val="24"/>
        </w:rPr>
        <w:t>Remicade</w:t>
      </w:r>
      <w:proofErr w:type="spellEnd"/>
      <w:r w:rsidRPr="00B405FC">
        <w:rPr>
          <w:rFonts w:ascii="Times New Roman" w:hAnsi="Times New Roman" w:cs="Times New Roman"/>
          <w:kern w:val="0"/>
          <w:sz w:val="24"/>
          <w:szCs w:val="24"/>
          <w:vertAlign w:val="superscript"/>
        </w:rPr>
        <w:t>®</w:t>
      </w:r>
      <w:r w:rsidRPr="00B405FC">
        <w:rPr>
          <w:rFonts w:ascii="Times New Roman" w:hAnsi="Times New Roman" w:cs="Times New Roman"/>
          <w:kern w:val="0"/>
          <w:sz w:val="24"/>
          <w:szCs w:val="24"/>
        </w:rPr>
        <w:t>/</w:t>
      </w:r>
      <w:proofErr w:type="spellStart"/>
      <w:r w:rsidRPr="00B405FC">
        <w:rPr>
          <w:rFonts w:ascii="Times New Roman" w:hAnsi="Times New Roman" w:cs="Times New Roman"/>
          <w:kern w:val="0"/>
          <w:sz w:val="24"/>
          <w:szCs w:val="24"/>
        </w:rPr>
        <w:t>Remicade</w:t>
      </w:r>
      <w:proofErr w:type="spellEnd"/>
      <w:r w:rsidRPr="00B405FC">
        <w:rPr>
          <w:rFonts w:ascii="Times New Roman" w:hAnsi="Times New Roman" w:cs="Times New Roman"/>
          <w:kern w:val="0"/>
          <w:sz w:val="24"/>
          <w:szCs w:val="24"/>
          <w:vertAlign w:val="superscript"/>
        </w:rPr>
        <w:t>®</w:t>
      </w:r>
      <w:r w:rsidRPr="00B405FC">
        <w:rPr>
          <w:rFonts w:ascii="Times New Roman" w:hAnsi="Times New Roman" w:cs="Times New Roman"/>
          <w:kern w:val="0"/>
          <w:sz w:val="24"/>
          <w:szCs w:val="24"/>
        </w:rPr>
        <w:t xml:space="preserve"> treatment group</w:t>
      </w:r>
      <w:r w:rsidRPr="00B405FC">
        <w:rPr>
          <w:rFonts w:ascii="Times New Roman" w:eastAsia="Malgun Gothic" w:hAnsi="Times New Roman" w:cs="Times New Roman"/>
          <w:kern w:val="0"/>
          <w:sz w:val="24"/>
          <w:szCs w:val="24"/>
        </w:rPr>
        <w:t xml:space="preserve"> </w:t>
      </w:r>
      <w:r w:rsidR="00560A92">
        <w:rPr>
          <w:rFonts w:ascii="Times New Roman" w:eastAsia="Malgun Gothic" w:hAnsi="Times New Roman" w:cs="Times New Roman" w:hint="eastAsia"/>
          <w:kern w:val="0"/>
          <w:sz w:val="24"/>
          <w:szCs w:val="24"/>
        </w:rPr>
        <w:t>experienced</w:t>
      </w:r>
      <w:r w:rsidR="00560A92" w:rsidRPr="00B405FC">
        <w:rPr>
          <w:rFonts w:ascii="Times New Roman" w:eastAsia="Malgun Gothic" w:hAnsi="Times New Roman" w:cs="Times New Roman"/>
          <w:kern w:val="0"/>
          <w:sz w:val="24"/>
          <w:szCs w:val="24"/>
        </w:rPr>
        <w:t xml:space="preserve"> </w:t>
      </w:r>
      <w:r w:rsidRPr="00B405FC">
        <w:rPr>
          <w:rFonts w:ascii="Times New Roman" w:eastAsia="Malgun Gothic" w:hAnsi="Times New Roman" w:cs="Times New Roman"/>
          <w:kern w:val="0"/>
          <w:sz w:val="24"/>
          <w:szCs w:val="24"/>
        </w:rPr>
        <w:t>newly occurring TEAEs.</w:t>
      </w:r>
      <w:r w:rsidR="00AF1618">
        <w:rPr>
          <w:rFonts w:ascii="Times New Roman" w:eastAsia="Malgun Gothic" w:hAnsi="Times New Roman" w:cs="Times New Roman" w:hint="eastAsia"/>
          <w:kern w:val="0"/>
          <w:sz w:val="24"/>
          <w:szCs w:val="24"/>
        </w:rPr>
        <w:t xml:space="preserve"> 7 (3.5%) patients from the R</w:t>
      </w:r>
      <w:r w:rsidR="00AF1618" w:rsidRPr="00B405FC">
        <w:rPr>
          <w:rFonts w:ascii="Times New Roman" w:hAnsi="Times New Roman" w:cs="Times New Roman"/>
          <w:sz w:val="24"/>
          <w:szCs w:val="24"/>
        </w:rPr>
        <w:t>ENFLEXIS</w:t>
      </w:r>
      <w:r w:rsidR="00AF1618" w:rsidRPr="00B405FC">
        <w:rPr>
          <w:rFonts w:ascii="Times New Roman" w:eastAsia="Malgun Gothic" w:hAnsi="Times New Roman" w:cs="Times New Roman"/>
          <w:kern w:val="0"/>
          <w:sz w:val="24"/>
          <w:szCs w:val="24"/>
        </w:rPr>
        <w:t>/</w:t>
      </w:r>
      <w:r w:rsidR="00AF1618" w:rsidRPr="00B405FC">
        <w:rPr>
          <w:rFonts w:ascii="Times New Roman" w:hAnsi="Times New Roman" w:cs="Times New Roman"/>
          <w:sz w:val="24"/>
          <w:szCs w:val="24"/>
        </w:rPr>
        <w:t xml:space="preserve">RENFLEXIS </w:t>
      </w:r>
      <w:r w:rsidR="00AF1618" w:rsidRPr="00B405FC">
        <w:rPr>
          <w:rFonts w:ascii="Times New Roman" w:eastAsia="Malgun Gothic" w:hAnsi="Times New Roman" w:cs="Times New Roman"/>
          <w:kern w:val="0"/>
          <w:sz w:val="24"/>
          <w:szCs w:val="24"/>
        </w:rPr>
        <w:t xml:space="preserve">treatment group, </w:t>
      </w:r>
      <w:r w:rsidR="00584DA7">
        <w:rPr>
          <w:rFonts w:ascii="Times New Roman" w:eastAsia="Malgun Gothic" w:hAnsi="Times New Roman" w:cs="Times New Roman" w:hint="eastAsia"/>
          <w:kern w:val="0"/>
          <w:sz w:val="24"/>
          <w:szCs w:val="24"/>
        </w:rPr>
        <w:t>6</w:t>
      </w:r>
      <w:r w:rsidR="00AF1618" w:rsidRPr="00B405FC">
        <w:rPr>
          <w:rFonts w:ascii="Times New Roman" w:eastAsia="Malgun Gothic" w:hAnsi="Times New Roman" w:cs="Times New Roman"/>
          <w:kern w:val="0"/>
          <w:sz w:val="24"/>
          <w:szCs w:val="24"/>
        </w:rPr>
        <w:t xml:space="preserve"> (</w:t>
      </w:r>
      <w:r w:rsidR="00584DA7">
        <w:rPr>
          <w:rFonts w:ascii="Times New Roman" w:eastAsia="Malgun Gothic" w:hAnsi="Times New Roman" w:cs="Times New Roman" w:hint="eastAsia"/>
          <w:kern w:val="0"/>
          <w:sz w:val="24"/>
          <w:szCs w:val="24"/>
        </w:rPr>
        <w:t>6.4</w:t>
      </w:r>
      <w:r w:rsidR="00AF1618" w:rsidRPr="00B405FC">
        <w:rPr>
          <w:rFonts w:ascii="Times New Roman" w:eastAsia="Malgun Gothic" w:hAnsi="Times New Roman" w:cs="Times New Roman"/>
          <w:kern w:val="0"/>
          <w:sz w:val="24"/>
          <w:szCs w:val="24"/>
        </w:rPr>
        <w:t xml:space="preserve">%) patients from </w:t>
      </w:r>
      <w:proofErr w:type="spellStart"/>
      <w:r w:rsidR="00AF1618" w:rsidRPr="00B405FC">
        <w:rPr>
          <w:rFonts w:ascii="Times New Roman" w:eastAsia="Malgun Gothic" w:hAnsi="Times New Roman" w:cs="Times New Roman"/>
          <w:kern w:val="0"/>
          <w:sz w:val="24"/>
          <w:szCs w:val="24"/>
        </w:rPr>
        <w:t>Remicade</w:t>
      </w:r>
      <w:proofErr w:type="spellEnd"/>
      <w:r w:rsidR="00AF1618" w:rsidRPr="00B405FC">
        <w:rPr>
          <w:rFonts w:ascii="Times New Roman" w:eastAsia="Malgun Gothic" w:hAnsi="Times New Roman" w:cs="Times New Roman"/>
          <w:kern w:val="0"/>
          <w:sz w:val="24"/>
          <w:szCs w:val="24"/>
          <w:vertAlign w:val="superscript"/>
        </w:rPr>
        <w:t>®</w:t>
      </w:r>
      <w:r w:rsidR="00AF1618" w:rsidRPr="00B405FC">
        <w:rPr>
          <w:rFonts w:ascii="Times New Roman" w:eastAsia="Malgun Gothic" w:hAnsi="Times New Roman" w:cs="Times New Roman"/>
          <w:kern w:val="0"/>
          <w:sz w:val="24"/>
          <w:szCs w:val="24"/>
        </w:rPr>
        <w:t>/</w:t>
      </w:r>
      <w:r w:rsidR="00AF1618" w:rsidRPr="00B405FC">
        <w:rPr>
          <w:rFonts w:ascii="Times New Roman" w:hAnsi="Times New Roman" w:cs="Times New Roman"/>
          <w:sz w:val="24"/>
          <w:szCs w:val="24"/>
        </w:rPr>
        <w:t>RENFLEXIS</w:t>
      </w:r>
      <w:r w:rsidR="00AF1618" w:rsidRPr="00B405FC">
        <w:rPr>
          <w:rFonts w:ascii="Times New Roman" w:eastAsia="Malgun Gothic" w:hAnsi="Times New Roman" w:cs="Times New Roman"/>
          <w:kern w:val="0"/>
          <w:sz w:val="24"/>
          <w:szCs w:val="24"/>
        </w:rPr>
        <w:t xml:space="preserve"> treatment group and </w:t>
      </w:r>
      <w:r w:rsidR="00AF1618" w:rsidRPr="00B405FC">
        <w:rPr>
          <w:rFonts w:ascii="Times New Roman" w:hAnsi="Times New Roman" w:cs="Times New Roman"/>
          <w:kern w:val="0"/>
          <w:sz w:val="24"/>
          <w:szCs w:val="24"/>
        </w:rPr>
        <w:t>3 (3.</w:t>
      </w:r>
      <w:r w:rsidR="00584DA7">
        <w:rPr>
          <w:rFonts w:ascii="Times New Roman" w:hAnsi="Times New Roman" w:cs="Times New Roman" w:hint="eastAsia"/>
          <w:kern w:val="0"/>
          <w:sz w:val="24"/>
          <w:szCs w:val="24"/>
        </w:rPr>
        <w:t>0</w:t>
      </w:r>
      <w:r w:rsidR="00AF1618" w:rsidRPr="00B405FC">
        <w:rPr>
          <w:rFonts w:ascii="Times New Roman" w:hAnsi="Times New Roman" w:cs="Times New Roman"/>
          <w:kern w:val="0"/>
          <w:sz w:val="24"/>
          <w:szCs w:val="24"/>
        </w:rPr>
        <w:t xml:space="preserve">%) patients from the </w:t>
      </w:r>
      <w:proofErr w:type="spellStart"/>
      <w:r w:rsidR="00AF1618" w:rsidRPr="00B405FC">
        <w:rPr>
          <w:rFonts w:ascii="Times New Roman" w:hAnsi="Times New Roman" w:cs="Times New Roman"/>
          <w:kern w:val="0"/>
          <w:sz w:val="24"/>
          <w:szCs w:val="24"/>
        </w:rPr>
        <w:t>Remicade</w:t>
      </w:r>
      <w:proofErr w:type="spellEnd"/>
      <w:r w:rsidR="00AF1618" w:rsidRPr="00B405FC">
        <w:rPr>
          <w:rFonts w:ascii="Times New Roman" w:hAnsi="Times New Roman" w:cs="Times New Roman"/>
          <w:kern w:val="0"/>
          <w:sz w:val="24"/>
          <w:szCs w:val="24"/>
          <w:vertAlign w:val="superscript"/>
        </w:rPr>
        <w:t>®</w:t>
      </w:r>
      <w:r w:rsidR="00AF1618" w:rsidRPr="00B405FC">
        <w:rPr>
          <w:rFonts w:ascii="Times New Roman" w:hAnsi="Times New Roman" w:cs="Times New Roman"/>
          <w:kern w:val="0"/>
          <w:sz w:val="24"/>
          <w:szCs w:val="24"/>
        </w:rPr>
        <w:t>/</w:t>
      </w:r>
      <w:proofErr w:type="spellStart"/>
      <w:r w:rsidR="00AF1618" w:rsidRPr="00B405FC">
        <w:rPr>
          <w:rFonts w:ascii="Times New Roman" w:hAnsi="Times New Roman" w:cs="Times New Roman"/>
          <w:kern w:val="0"/>
          <w:sz w:val="24"/>
          <w:szCs w:val="24"/>
        </w:rPr>
        <w:t>Remicade</w:t>
      </w:r>
      <w:proofErr w:type="spellEnd"/>
      <w:r w:rsidR="00AF1618" w:rsidRPr="00B405FC">
        <w:rPr>
          <w:rFonts w:ascii="Times New Roman" w:hAnsi="Times New Roman" w:cs="Times New Roman"/>
          <w:kern w:val="0"/>
          <w:sz w:val="24"/>
          <w:szCs w:val="24"/>
          <w:vertAlign w:val="superscript"/>
        </w:rPr>
        <w:t>®</w:t>
      </w:r>
      <w:r w:rsidR="00AF1618" w:rsidRPr="00B405FC">
        <w:rPr>
          <w:rFonts w:ascii="Times New Roman" w:hAnsi="Times New Roman" w:cs="Times New Roman"/>
          <w:kern w:val="0"/>
          <w:sz w:val="24"/>
          <w:szCs w:val="24"/>
        </w:rPr>
        <w:t xml:space="preserve"> treatment group</w:t>
      </w:r>
      <w:r w:rsidR="00584DA7">
        <w:rPr>
          <w:rFonts w:ascii="Times New Roman" w:hAnsi="Times New Roman" w:cs="Times New Roman" w:hint="eastAsia"/>
          <w:kern w:val="0"/>
          <w:sz w:val="24"/>
          <w:szCs w:val="24"/>
        </w:rPr>
        <w:t xml:space="preserve"> experienced serious TEAEs.</w:t>
      </w:r>
    </w:p>
    <w:p w14:paraId="2D91E6C2" w14:textId="77777777" w:rsidR="000726D1" w:rsidRPr="00B405FC" w:rsidRDefault="000726D1" w:rsidP="007947DB">
      <w:pPr>
        <w:wordWrap/>
        <w:autoSpaceDE/>
        <w:autoSpaceDN/>
        <w:spacing w:line="240" w:lineRule="auto"/>
        <w:jc w:val="left"/>
        <w:rPr>
          <w:rFonts w:ascii="Times New Roman" w:eastAsia="Malgun Gothic" w:hAnsi="Times New Roman" w:cs="Times New Roman"/>
          <w:kern w:val="0"/>
          <w:sz w:val="24"/>
          <w:szCs w:val="24"/>
        </w:rPr>
      </w:pPr>
      <w:r w:rsidRPr="00B405FC">
        <w:rPr>
          <w:rFonts w:ascii="Times New Roman" w:eastAsia="Malgun Gothic" w:hAnsi="Times New Roman" w:cs="Times New Roman"/>
          <w:kern w:val="0"/>
          <w:sz w:val="24"/>
          <w:szCs w:val="24"/>
        </w:rPr>
        <w:t xml:space="preserve">Among the newly occurring TEAEs, the events reported in 28 (13.9%) patients of the </w:t>
      </w:r>
      <w:r w:rsidRPr="00B405FC">
        <w:rPr>
          <w:rFonts w:ascii="Times New Roman" w:hAnsi="Times New Roman" w:cs="Times New Roman"/>
          <w:sz w:val="24"/>
          <w:szCs w:val="24"/>
        </w:rPr>
        <w:t>RENFLEXIS</w:t>
      </w:r>
      <w:r w:rsidRPr="00B405FC">
        <w:rPr>
          <w:rFonts w:ascii="Times New Roman" w:eastAsia="Malgun Gothic" w:hAnsi="Times New Roman" w:cs="Times New Roman"/>
          <w:kern w:val="0"/>
          <w:sz w:val="24"/>
          <w:szCs w:val="24"/>
        </w:rPr>
        <w:t>/</w:t>
      </w:r>
      <w:r w:rsidRPr="00B405FC">
        <w:rPr>
          <w:rFonts w:ascii="Times New Roman" w:hAnsi="Times New Roman" w:cs="Times New Roman"/>
          <w:sz w:val="24"/>
          <w:szCs w:val="24"/>
        </w:rPr>
        <w:t xml:space="preserve">RENFLEXIS </w:t>
      </w:r>
      <w:r w:rsidRPr="00B405FC">
        <w:rPr>
          <w:rFonts w:ascii="Times New Roman" w:eastAsia="Malgun Gothic" w:hAnsi="Times New Roman" w:cs="Times New Roman"/>
          <w:kern w:val="0"/>
          <w:sz w:val="24"/>
          <w:szCs w:val="24"/>
        </w:rPr>
        <w:t xml:space="preserve">treatment group, 13 (13.8%) patients of the </w:t>
      </w:r>
      <w:proofErr w:type="spellStart"/>
      <w:r w:rsidRPr="00B405FC">
        <w:rPr>
          <w:rFonts w:ascii="Times New Roman" w:eastAsia="Malgun Gothic" w:hAnsi="Times New Roman" w:cs="Times New Roman"/>
          <w:kern w:val="0"/>
          <w:sz w:val="24"/>
          <w:szCs w:val="24"/>
        </w:rPr>
        <w:t>Remicade</w:t>
      </w:r>
      <w:proofErr w:type="spellEnd"/>
      <w:r w:rsidRPr="00B405FC">
        <w:rPr>
          <w:rFonts w:ascii="Times New Roman" w:eastAsia="Malgun Gothic" w:hAnsi="Times New Roman" w:cs="Times New Roman"/>
          <w:kern w:val="0"/>
          <w:sz w:val="24"/>
          <w:szCs w:val="24"/>
          <w:vertAlign w:val="superscript"/>
        </w:rPr>
        <w:t>®</w:t>
      </w:r>
      <w:r w:rsidRPr="00B405FC">
        <w:rPr>
          <w:rFonts w:ascii="Times New Roman" w:eastAsia="Malgun Gothic" w:hAnsi="Times New Roman" w:cs="Times New Roman"/>
          <w:kern w:val="0"/>
          <w:sz w:val="24"/>
          <w:szCs w:val="24"/>
        </w:rPr>
        <w:t>/</w:t>
      </w:r>
      <w:r w:rsidRPr="00B405FC">
        <w:rPr>
          <w:rFonts w:ascii="Times New Roman" w:hAnsi="Times New Roman" w:cs="Times New Roman"/>
          <w:sz w:val="24"/>
          <w:szCs w:val="24"/>
        </w:rPr>
        <w:t>RENFLEXIS</w:t>
      </w:r>
      <w:r w:rsidRPr="00B405FC">
        <w:rPr>
          <w:rFonts w:ascii="Times New Roman" w:eastAsia="Malgun Gothic" w:hAnsi="Times New Roman" w:cs="Times New Roman"/>
          <w:kern w:val="0"/>
          <w:sz w:val="24"/>
          <w:szCs w:val="24"/>
        </w:rPr>
        <w:t xml:space="preserve"> treatment group and 13 (12.9%) patients from the </w:t>
      </w:r>
      <w:proofErr w:type="spellStart"/>
      <w:r w:rsidRPr="00B405FC">
        <w:rPr>
          <w:rFonts w:ascii="Times New Roman" w:eastAsia="Malgun Gothic" w:hAnsi="Times New Roman" w:cs="Times New Roman"/>
          <w:kern w:val="0"/>
          <w:sz w:val="24"/>
          <w:szCs w:val="24"/>
        </w:rPr>
        <w:t>Remicade</w:t>
      </w:r>
      <w:proofErr w:type="spellEnd"/>
      <w:r w:rsidRPr="00B405FC">
        <w:rPr>
          <w:rFonts w:ascii="Times New Roman" w:eastAsia="Malgun Gothic" w:hAnsi="Times New Roman" w:cs="Times New Roman"/>
          <w:kern w:val="0"/>
          <w:sz w:val="24"/>
          <w:szCs w:val="24"/>
          <w:vertAlign w:val="superscript"/>
        </w:rPr>
        <w:t>®</w:t>
      </w:r>
      <w:r w:rsidRPr="00B405FC">
        <w:rPr>
          <w:rFonts w:ascii="Times New Roman" w:eastAsia="Malgun Gothic" w:hAnsi="Times New Roman" w:cs="Times New Roman"/>
          <w:kern w:val="0"/>
          <w:sz w:val="24"/>
          <w:szCs w:val="24"/>
        </w:rPr>
        <w:t>/</w:t>
      </w:r>
      <w:proofErr w:type="spellStart"/>
      <w:r w:rsidRPr="00B405FC">
        <w:rPr>
          <w:rFonts w:ascii="Times New Roman" w:eastAsia="Malgun Gothic" w:hAnsi="Times New Roman" w:cs="Times New Roman"/>
          <w:kern w:val="0"/>
          <w:sz w:val="24"/>
          <w:szCs w:val="24"/>
        </w:rPr>
        <w:t>Remicade</w:t>
      </w:r>
      <w:proofErr w:type="spellEnd"/>
      <w:r w:rsidRPr="00B405FC">
        <w:rPr>
          <w:rFonts w:ascii="Times New Roman" w:eastAsia="Malgun Gothic" w:hAnsi="Times New Roman" w:cs="Times New Roman"/>
          <w:kern w:val="0"/>
          <w:sz w:val="24"/>
          <w:szCs w:val="24"/>
          <w:vertAlign w:val="superscript"/>
        </w:rPr>
        <w:t>®</w:t>
      </w:r>
      <w:r w:rsidRPr="00B405FC">
        <w:rPr>
          <w:rFonts w:ascii="Times New Roman" w:eastAsia="Malgun Gothic" w:hAnsi="Times New Roman" w:cs="Times New Roman"/>
          <w:kern w:val="0"/>
          <w:sz w:val="24"/>
          <w:szCs w:val="24"/>
        </w:rPr>
        <w:t xml:space="preserve"> treatment group were considered to be related to the infliximab treatment.</w:t>
      </w:r>
    </w:p>
    <w:p w14:paraId="514E6E1A" w14:textId="2217219E" w:rsidR="00AC3E0C" w:rsidRDefault="000726D1" w:rsidP="007947DB">
      <w:pPr>
        <w:wordWrap/>
        <w:autoSpaceDE/>
        <w:autoSpaceDN/>
        <w:spacing w:line="240" w:lineRule="auto"/>
        <w:jc w:val="left"/>
        <w:rPr>
          <w:rFonts w:ascii="Times New Roman" w:eastAsia="Malgun Gothic" w:hAnsi="Times New Roman" w:cs="Times New Roman"/>
          <w:kern w:val="0"/>
          <w:sz w:val="24"/>
          <w:szCs w:val="24"/>
        </w:rPr>
      </w:pPr>
      <w:r w:rsidRPr="00B405FC">
        <w:rPr>
          <w:rFonts w:ascii="Times New Roman" w:hAnsi="Times New Roman" w:cs="Times New Roman"/>
          <w:sz w:val="24"/>
          <w:szCs w:val="24"/>
        </w:rPr>
        <w:t xml:space="preserve">TEAEs that occurred in </w:t>
      </w:r>
      <w:r>
        <w:rPr>
          <w:rFonts w:ascii="Times New Roman" w:hAnsi="Times New Roman" w:cs="Times New Roman" w:hint="eastAsia"/>
          <w:sz w:val="24"/>
          <w:szCs w:val="24"/>
        </w:rPr>
        <w:t>at least</w:t>
      </w:r>
      <w:r w:rsidRPr="00EC690C">
        <w:rPr>
          <w:rFonts w:ascii="Times New Roman" w:hAnsi="Times New Roman" w:cs="Times New Roman"/>
          <w:sz w:val="24"/>
          <w:szCs w:val="24"/>
        </w:rPr>
        <w:t xml:space="preserve"> </w:t>
      </w:r>
      <w:r>
        <w:rPr>
          <w:rFonts w:ascii="Times New Roman" w:hAnsi="Times New Roman" w:cs="Times New Roman" w:hint="eastAsia"/>
          <w:sz w:val="24"/>
          <w:szCs w:val="24"/>
        </w:rPr>
        <w:t>2</w:t>
      </w:r>
      <w:r w:rsidRPr="00EC690C">
        <w:rPr>
          <w:rFonts w:ascii="Times New Roman" w:hAnsi="Times New Roman" w:cs="Times New Roman"/>
          <w:sz w:val="24"/>
          <w:szCs w:val="24"/>
        </w:rPr>
        <w:t xml:space="preserve">% of all patients who received RENFLEXIS or </w:t>
      </w:r>
      <w:proofErr w:type="spellStart"/>
      <w:r w:rsidRPr="00EC690C">
        <w:rPr>
          <w:rFonts w:ascii="Times New Roman" w:hAnsi="Times New Roman" w:cs="Times New Roman"/>
          <w:sz w:val="24"/>
          <w:szCs w:val="24"/>
        </w:rPr>
        <w:t>Remicade</w:t>
      </w:r>
      <w:proofErr w:type="spellEnd"/>
      <w:r w:rsidRPr="00EC690C">
        <w:rPr>
          <w:rFonts w:ascii="Times New Roman" w:hAnsi="Times New Roman" w:cs="Times New Roman"/>
          <w:sz w:val="24"/>
          <w:szCs w:val="24"/>
          <w:vertAlign w:val="superscript"/>
        </w:rPr>
        <w:t>®</w:t>
      </w:r>
      <w:r>
        <w:rPr>
          <w:rFonts w:ascii="Times New Roman" w:hAnsi="Times New Roman" w:cs="Times New Roman"/>
          <w:sz w:val="24"/>
          <w:szCs w:val="24"/>
        </w:rPr>
        <w:t xml:space="preserve"> in </w:t>
      </w:r>
      <w:r w:rsidRPr="00B405FC">
        <w:rPr>
          <w:rFonts w:ascii="Times New Roman" w:hAnsi="Times New Roman" w:cs="Times New Roman"/>
          <w:sz w:val="24"/>
          <w:szCs w:val="24"/>
        </w:rPr>
        <w:t xml:space="preserve">transition-extension period are outlined in </w:t>
      </w:r>
      <w:r w:rsidRPr="00B405FC">
        <w:rPr>
          <w:rFonts w:ascii="Times New Roman" w:hAnsi="Times New Roman" w:cs="Times New Roman"/>
          <w:sz w:val="24"/>
          <w:szCs w:val="24"/>
        </w:rPr>
        <w:fldChar w:fldCharType="begin"/>
      </w:r>
      <w:r w:rsidRPr="00B405FC">
        <w:rPr>
          <w:rFonts w:ascii="Times New Roman" w:hAnsi="Times New Roman" w:cs="Times New Roman"/>
          <w:sz w:val="24"/>
          <w:szCs w:val="24"/>
        </w:rPr>
        <w:instrText xml:space="preserve"> REF _Ref450229673 \h  \* MERGEFORMAT </w:instrText>
      </w:r>
      <w:r w:rsidRPr="00B405FC">
        <w:rPr>
          <w:rFonts w:ascii="Times New Roman" w:hAnsi="Times New Roman" w:cs="Times New Roman"/>
          <w:sz w:val="24"/>
          <w:szCs w:val="24"/>
        </w:rPr>
      </w:r>
      <w:r w:rsidRPr="00B405FC">
        <w:rPr>
          <w:rFonts w:ascii="Times New Roman" w:hAnsi="Times New Roman" w:cs="Times New Roman"/>
          <w:sz w:val="24"/>
          <w:szCs w:val="24"/>
        </w:rPr>
        <w:fldChar w:fldCharType="separate"/>
      </w:r>
      <w:r w:rsidR="005A6BF4" w:rsidRPr="005A6BF4">
        <w:rPr>
          <w:rFonts w:ascii="Times New Roman" w:hAnsi="Times New Roman" w:cs="Times New Roman"/>
          <w:sz w:val="24"/>
          <w:szCs w:val="24"/>
        </w:rPr>
        <w:t>Table 16</w:t>
      </w:r>
      <w:r w:rsidRPr="00B405FC">
        <w:rPr>
          <w:rFonts w:ascii="Times New Roman" w:hAnsi="Times New Roman" w:cs="Times New Roman"/>
          <w:sz w:val="24"/>
          <w:szCs w:val="24"/>
        </w:rPr>
        <w:fldChar w:fldCharType="end"/>
      </w:r>
      <w:r w:rsidRPr="00B405FC">
        <w:rPr>
          <w:rFonts w:ascii="Times New Roman" w:hAnsi="Times New Roman" w:cs="Times New Roman"/>
          <w:sz w:val="24"/>
          <w:szCs w:val="24"/>
        </w:rPr>
        <w:t>.</w:t>
      </w:r>
      <w:r w:rsidRPr="00B405FC">
        <w:rPr>
          <w:rFonts w:ascii="Times New Roman" w:eastAsia="Malgun Gothic" w:hAnsi="Times New Roman" w:cs="Times New Roman"/>
          <w:kern w:val="0"/>
          <w:sz w:val="24"/>
          <w:szCs w:val="24"/>
        </w:rPr>
        <w:t xml:space="preserve"> </w:t>
      </w:r>
    </w:p>
    <w:p w14:paraId="0CBB410A" w14:textId="77777777" w:rsidR="00AC3E0C" w:rsidRDefault="00AC3E0C">
      <w:pPr>
        <w:widowControl/>
        <w:wordWrap/>
        <w:autoSpaceDE/>
        <w:autoSpaceDN/>
        <w:rPr>
          <w:rFonts w:ascii="Times New Roman" w:eastAsia="Malgun Gothic" w:hAnsi="Times New Roman" w:cs="Times New Roman"/>
          <w:kern w:val="0"/>
          <w:sz w:val="24"/>
          <w:szCs w:val="24"/>
        </w:rPr>
      </w:pPr>
      <w:r>
        <w:rPr>
          <w:rFonts w:ascii="Times New Roman" w:eastAsia="Malgun Gothic" w:hAnsi="Times New Roman" w:cs="Times New Roman"/>
          <w:kern w:val="0"/>
          <w:sz w:val="24"/>
          <w:szCs w:val="24"/>
        </w:rPr>
        <w:br w:type="page"/>
      </w:r>
    </w:p>
    <w:p w14:paraId="48E2BC2D" w14:textId="2ABEF7D6" w:rsidR="000726D1" w:rsidRPr="007947DB" w:rsidRDefault="000726D1" w:rsidP="007947DB">
      <w:pPr>
        <w:pStyle w:val="Caption"/>
        <w:keepNext/>
        <w:spacing w:after="0" w:line="240" w:lineRule="auto"/>
        <w:ind w:left="880" w:hangingChars="400" w:hanging="880"/>
        <w:rPr>
          <w:rFonts w:ascii="Times New Roman" w:hAnsi="Times New Roman" w:cs="Times New Roman"/>
          <w:sz w:val="22"/>
          <w:szCs w:val="22"/>
        </w:rPr>
      </w:pPr>
      <w:bookmarkStart w:id="18" w:name="_Ref450229673"/>
      <w:proofErr w:type="gramStart"/>
      <w:r w:rsidRPr="007947DB">
        <w:rPr>
          <w:rFonts w:ascii="Times New Roman" w:hAnsi="Times New Roman" w:cs="Times New Roman"/>
          <w:sz w:val="22"/>
          <w:szCs w:val="22"/>
        </w:rPr>
        <w:lastRenderedPageBreak/>
        <w:t xml:space="preserve">Table </w:t>
      </w:r>
      <w:r w:rsidRPr="007947DB">
        <w:rPr>
          <w:rFonts w:ascii="Times New Roman" w:hAnsi="Times New Roman" w:cs="Times New Roman"/>
          <w:sz w:val="22"/>
          <w:szCs w:val="22"/>
        </w:rPr>
        <w:fldChar w:fldCharType="begin"/>
      </w:r>
      <w:r w:rsidRPr="007947DB">
        <w:rPr>
          <w:rFonts w:ascii="Times New Roman" w:hAnsi="Times New Roman" w:cs="Times New Roman"/>
          <w:sz w:val="22"/>
          <w:szCs w:val="22"/>
        </w:rPr>
        <w:instrText xml:space="preserve"> SEQ Table \* ARABIC </w:instrText>
      </w:r>
      <w:r w:rsidRPr="007947DB">
        <w:rPr>
          <w:rFonts w:ascii="Times New Roman" w:hAnsi="Times New Roman" w:cs="Times New Roman"/>
          <w:sz w:val="22"/>
          <w:szCs w:val="22"/>
        </w:rPr>
        <w:fldChar w:fldCharType="separate"/>
      </w:r>
      <w:r w:rsidR="005A6BF4">
        <w:rPr>
          <w:rFonts w:ascii="Times New Roman" w:hAnsi="Times New Roman" w:cs="Times New Roman"/>
          <w:noProof/>
          <w:sz w:val="22"/>
          <w:szCs w:val="22"/>
        </w:rPr>
        <w:t>16</w:t>
      </w:r>
      <w:r w:rsidRPr="007947DB">
        <w:rPr>
          <w:rFonts w:ascii="Times New Roman" w:hAnsi="Times New Roman" w:cs="Times New Roman"/>
          <w:sz w:val="22"/>
          <w:szCs w:val="22"/>
        </w:rPr>
        <w:fldChar w:fldCharType="end"/>
      </w:r>
      <w:bookmarkEnd w:id="18"/>
      <w:r w:rsidRPr="007947DB">
        <w:rPr>
          <w:rFonts w:ascii="Times New Roman" w:hAnsi="Times New Roman" w:cs="Times New Roman"/>
          <w:sz w:val="22"/>
          <w:szCs w:val="22"/>
        </w:rPr>
        <w:t>.</w:t>
      </w:r>
      <w:proofErr w:type="gramEnd"/>
      <w:r w:rsidRPr="007947DB">
        <w:rPr>
          <w:rFonts w:ascii="Times New Roman" w:hAnsi="Times New Roman" w:cs="Times New Roman"/>
          <w:sz w:val="22"/>
          <w:szCs w:val="22"/>
        </w:rPr>
        <w:t xml:space="preserve"> </w:t>
      </w:r>
      <w:r w:rsidRPr="007947DB">
        <w:rPr>
          <w:rFonts w:ascii="Times New Roman" w:hAnsi="Times New Roman" w:cs="Times New Roman" w:hint="eastAsia"/>
          <w:sz w:val="22"/>
          <w:szCs w:val="22"/>
        </w:rPr>
        <w:t xml:space="preserve">TEAEs that Occurred in </w:t>
      </w:r>
      <w:r w:rsidRPr="007947DB">
        <w:rPr>
          <w:rFonts w:ascii="Times New Roman" w:hAnsi="Times New Roman" w:cs="Times New Roman"/>
          <w:sz w:val="22"/>
          <w:szCs w:val="22"/>
        </w:rPr>
        <w:t xml:space="preserve">≥ </w:t>
      </w:r>
      <w:r w:rsidRPr="007947DB">
        <w:rPr>
          <w:rFonts w:ascii="Times New Roman" w:hAnsi="Times New Roman" w:cs="Times New Roman" w:hint="eastAsia"/>
          <w:sz w:val="22"/>
          <w:szCs w:val="22"/>
        </w:rPr>
        <w:t>2</w:t>
      </w:r>
      <w:r w:rsidRPr="007947DB">
        <w:rPr>
          <w:rFonts w:ascii="Times New Roman" w:hAnsi="Times New Roman" w:cs="Times New Roman"/>
          <w:sz w:val="22"/>
          <w:szCs w:val="22"/>
        </w:rPr>
        <w:t xml:space="preserve">% of all </w:t>
      </w:r>
      <w:r w:rsidRPr="007947DB">
        <w:rPr>
          <w:rFonts w:ascii="Times New Roman" w:hAnsi="Times New Roman" w:cs="Times New Roman" w:hint="eastAsia"/>
          <w:sz w:val="22"/>
          <w:szCs w:val="22"/>
        </w:rPr>
        <w:t>P</w:t>
      </w:r>
      <w:r w:rsidRPr="007947DB">
        <w:rPr>
          <w:rFonts w:ascii="Times New Roman" w:hAnsi="Times New Roman" w:cs="Times New Roman"/>
          <w:sz w:val="22"/>
          <w:szCs w:val="22"/>
        </w:rPr>
        <w:t xml:space="preserve">atients who </w:t>
      </w:r>
      <w:r w:rsidRPr="007947DB">
        <w:rPr>
          <w:rFonts w:ascii="Times New Roman" w:hAnsi="Times New Roman" w:cs="Times New Roman" w:hint="eastAsia"/>
          <w:sz w:val="22"/>
          <w:szCs w:val="22"/>
        </w:rPr>
        <w:t>R</w:t>
      </w:r>
      <w:r w:rsidRPr="007947DB">
        <w:rPr>
          <w:rFonts w:ascii="Times New Roman" w:hAnsi="Times New Roman" w:cs="Times New Roman"/>
          <w:sz w:val="22"/>
          <w:szCs w:val="22"/>
        </w:rPr>
        <w:t xml:space="preserve">eceived RENFLEXIS or </w:t>
      </w:r>
      <w:proofErr w:type="spellStart"/>
      <w:r w:rsidRPr="007947DB">
        <w:rPr>
          <w:rFonts w:ascii="Times New Roman" w:hAnsi="Times New Roman" w:cs="Times New Roman"/>
          <w:sz w:val="22"/>
          <w:szCs w:val="22"/>
        </w:rPr>
        <w:t>Remicade</w:t>
      </w:r>
      <w:proofErr w:type="spellEnd"/>
      <w:r w:rsidRPr="00E824C6">
        <w:rPr>
          <w:rFonts w:ascii="Times New Roman" w:hAnsi="Times New Roman" w:cs="Times New Roman"/>
          <w:sz w:val="22"/>
          <w:szCs w:val="22"/>
          <w:vertAlign w:val="superscript"/>
        </w:rPr>
        <w:t>®</w:t>
      </w:r>
      <w:r w:rsidRPr="007947DB">
        <w:rPr>
          <w:rFonts w:ascii="Times New Roman" w:hAnsi="Times New Roman" w:cs="Times New Roman"/>
          <w:sz w:val="22"/>
          <w:szCs w:val="22"/>
        </w:rPr>
        <w:t xml:space="preserve"> </w:t>
      </w:r>
      <w:r w:rsidRPr="007947DB">
        <w:rPr>
          <w:rFonts w:ascii="Times New Roman" w:hAnsi="Times New Roman" w:cs="Times New Roman" w:hint="eastAsia"/>
          <w:sz w:val="22"/>
          <w:szCs w:val="22"/>
        </w:rPr>
        <w:t>durin</w:t>
      </w:r>
      <w:r w:rsidRPr="007947DB">
        <w:rPr>
          <w:rFonts w:ascii="Times New Roman" w:hAnsi="Times New Roman" w:cs="Times New Roman"/>
          <w:sz w:val="22"/>
          <w:szCs w:val="22"/>
        </w:rPr>
        <w:t xml:space="preserve">g the </w:t>
      </w:r>
      <w:r w:rsidRPr="007947DB">
        <w:rPr>
          <w:rFonts w:ascii="Times New Roman" w:hAnsi="Times New Roman" w:cs="Times New Roman" w:hint="eastAsia"/>
          <w:sz w:val="22"/>
          <w:szCs w:val="22"/>
        </w:rPr>
        <w:t>Transition-E</w:t>
      </w:r>
      <w:r w:rsidRPr="007947DB">
        <w:rPr>
          <w:rFonts w:ascii="Times New Roman" w:hAnsi="Times New Roman" w:cs="Times New Roman"/>
          <w:sz w:val="22"/>
          <w:szCs w:val="22"/>
        </w:rPr>
        <w:t xml:space="preserve">xtension </w:t>
      </w:r>
      <w:r w:rsidRPr="007947DB">
        <w:rPr>
          <w:rFonts w:ascii="Times New Roman" w:hAnsi="Times New Roman" w:cs="Times New Roman" w:hint="eastAsia"/>
          <w:sz w:val="22"/>
          <w:szCs w:val="22"/>
        </w:rPr>
        <w:t>P</w:t>
      </w:r>
      <w:r w:rsidRPr="007947DB">
        <w:rPr>
          <w:rFonts w:ascii="Times New Roman" w:hAnsi="Times New Roman" w:cs="Times New Roman"/>
          <w:sz w:val="22"/>
          <w:szCs w:val="22"/>
        </w:rPr>
        <w:t>eriod</w:t>
      </w:r>
      <w:r w:rsidRPr="007947DB">
        <w:rPr>
          <w:rFonts w:ascii="Times New Roman" w:hAnsi="Times New Roman" w:cs="Times New Roman" w:hint="eastAsia"/>
          <w:sz w:val="22"/>
          <w:szCs w:val="22"/>
        </w:rPr>
        <w:t>;</w:t>
      </w:r>
      <w:r w:rsidRPr="007947DB">
        <w:rPr>
          <w:rFonts w:ascii="Times New Roman" w:hAnsi="Times New Roman" w:cs="Times New Roman"/>
          <w:sz w:val="22"/>
          <w:szCs w:val="22"/>
        </w:rPr>
        <w:t xml:space="preserve"> (</w:t>
      </w:r>
      <w:r w:rsidRPr="007947DB">
        <w:rPr>
          <w:rFonts w:ascii="Times New Roman" w:hAnsi="Times New Roman" w:cs="Times New Roman" w:hint="eastAsia"/>
          <w:sz w:val="22"/>
          <w:szCs w:val="22"/>
        </w:rPr>
        <w:t xml:space="preserve">Study </w:t>
      </w:r>
      <w:r w:rsidRPr="007947DB">
        <w:rPr>
          <w:rFonts w:ascii="Times New Roman" w:hAnsi="Times New Roman" w:cs="Times New Roman"/>
          <w:sz w:val="22"/>
          <w:szCs w:val="22"/>
        </w:rPr>
        <w:t>SB</w:t>
      </w:r>
      <w:r w:rsidRPr="007947DB">
        <w:rPr>
          <w:rFonts w:ascii="Times New Roman" w:hAnsi="Times New Roman" w:cs="Times New Roman" w:hint="eastAsia"/>
          <w:sz w:val="22"/>
          <w:szCs w:val="22"/>
        </w:rPr>
        <w:t>2</w:t>
      </w:r>
      <w:r w:rsidRPr="007947DB">
        <w:rPr>
          <w:rFonts w:ascii="Times New Roman" w:hAnsi="Times New Roman" w:cs="Times New Roman"/>
          <w:sz w:val="22"/>
          <w:szCs w:val="22"/>
        </w:rPr>
        <w:t>-G31-RA)</w:t>
      </w:r>
    </w:p>
    <w:tbl>
      <w:tblPr>
        <w:tblStyle w:val="TableGrid"/>
        <w:tblW w:w="9180" w:type="dxa"/>
        <w:tblLayout w:type="fixed"/>
        <w:tblLook w:val="04A0" w:firstRow="1" w:lastRow="0" w:firstColumn="1" w:lastColumn="0" w:noHBand="0" w:noVBand="1"/>
      </w:tblPr>
      <w:tblGrid>
        <w:gridCol w:w="1809"/>
        <w:gridCol w:w="2410"/>
        <w:gridCol w:w="851"/>
        <w:gridCol w:w="992"/>
        <w:gridCol w:w="850"/>
        <w:gridCol w:w="709"/>
        <w:gridCol w:w="851"/>
        <w:gridCol w:w="708"/>
      </w:tblGrid>
      <w:tr w:rsidR="000726D1" w:rsidRPr="0029636B" w14:paraId="480D5CC2" w14:textId="77777777" w:rsidTr="001056E5">
        <w:trPr>
          <w:tblHeader/>
        </w:trPr>
        <w:tc>
          <w:tcPr>
            <w:tcW w:w="1809" w:type="dxa"/>
            <w:vMerge w:val="restart"/>
            <w:vAlign w:val="center"/>
          </w:tcPr>
          <w:p w14:paraId="3D59F74B" w14:textId="77777777" w:rsidR="000726D1" w:rsidRPr="0029636B" w:rsidRDefault="000726D1" w:rsidP="007947DB">
            <w:pPr>
              <w:wordWrap/>
              <w:jc w:val="center"/>
              <w:rPr>
                <w:rFonts w:ascii="Times New Roman" w:hAnsi="Times New Roman" w:cs="Times New Roman"/>
                <w:b/>
                <w:szCs w:val="20"/>
              </w:rPr>
            </w:pPr>
            <w:r w:rsidRPr="0029636B">
              <w:rPr>
                <w:rFonts w:ascii="Times New Roman" w:hAnsi="Times New Roman" w:cs="Times New Roman"/>
                <w:b/>
                <w:szCs w:val="20"/>
              </w:rPr>
              <w:t>System Organ Class</w:t>
            </w:r>
          </w:p>
        </w:tc>
        <w:tc>
          <w:tcPr>
            <w:tcW w:w="2410" w:type="dxa"/>
            <w:vMerge w:val="restart"/>
            <w:vAlign w:val="center"/>
          </w:tcPr>
          <w:p w14:paraId="3F70D622" w14:textId="77777777" w:rsidR="000726D1" w:rsidRPr="0029636B" w:rsidRDefault="000726D1" w:rsidP="007947DB">
            <w:pPr>
              <w:wordWrap/>
              <w:jc w:val="center"/>
              <w:rPr>
                <w:rFonts w:ascii="Times New Roman" w:hAnsi="Times New Roman" w:cs="Times New Roman"/>
                <w:b/>
                <w:szCs w:val="20"/>
              </w:rPr>
            </w:pPr>
            <w:r w:rsidRPr="0029636B">
              <w:rPr>
                <w:rFonts w:ascii="Times New Roman" w:hAnsi="Times New Roman" w:cs="Times New Roman"/>
                <w:b/>
                <w:szCs w:val="20"/>
              </w:rPr>
              <w:t>Preferred Term</w:t>
            </w:r>
          </w:p>
        </w:tc>
        <w:tc>
          <w:tcPr>
            <w:tcW w:w="1843" w:type="dxa"/>
            <w:gridSpan w:val="2"/>
            <w:vAlign w:val="center"/>
          </w:tcPr>
          <w:p w14:paraId="66D3A0AE" w14:textId="77777777" w:rsidR="000726D1" w:rsidRPr="00003699" w:rsidRDefault="000726D1" w:rsidP="007947DB">
            <w:pPr>
              <w:wordWrap/>
              <w:jc w:val="center"/>
              <w:rPr>
                <w:rFonts w:ascii="Times New Roman" w:eastAsia="Malgun Gothic" w:hAnsi="Times New Roman" w:cs="Times New Roman"/>
                <w:b/>
                <w:szCs w:val="20"/>
                <w:lang w:val="pt-BR"/>
              </w:rPr>
            </w:pPr>
            <w:r w:rsidRPr="00003699">
              <w:rPr>
                <w:rFonts w:ascii="Times New Roman" w:eastAsia="Malgun Gothic" w:hAnsi="Times New Roman" w:cs="Times New Roman"/>
                <w:b/>
                <w:szCs w:val="20"/>
                <w:lang w:val="pt-BR"/>
              </w:rPr>
              <w:t>RENFLEXIS/</w:t>
            </w:r>
          </w:p>
          <w:p w14:paraId="5FC8143E" w14:textId="77777777" w:rsidR="000726D1" w:rsidRPr="00003699" w:rsidRDefault="000726D1" w:rsidP="007947DB">
            <w:pPr>
              <w:wordWrap/>
              <w:jc w:val="center"/>
              <w:rPr>
                <w:rFonts w:ascii="Times New Roman" w:eastAsia="Malgun Gothic" w:hAnsi="Times New Roman" w:cs="Times New Roman"/>
                <w:b/>
                <w:szCs w:val="20"/>
                <w:lang w:val="pt-BR"/>
              </w:rPr>
            </w:pPr>
            <w:r w:rsidRPr="00003699">
              <w:rPr>
                <w:rFonts w:ascii="Times New Roman" w:eastAsia="Malgun Gothic" w:hAnsi="Times New Roman" w:cs="Times New Roman"/>
                <w:b/>
                <w:szCs w:val="20"/>
                <w:lang w:val="pt-BR"/>
              </w:rPr>
              <w:t>RENFLEXIS</w:t>
            </w:r>
          </w:p>
          <w:p w14:paraId="19BD70FB" w14:textId="77777777" w:rsidR="000726D1" w:rsidRPr="00003699" w:rsidRDefault="000726D1" w:rsidP="007947DB">
            <w:pPr>
              <w:wordWrap/>
              <w:jc w:val="center"/>
              <w:rPr>
                <w:rFonts w:ascii="Times New Roman" w:eastAsia="Malgun Gothic" w:hAnsi="Times New Roman" w:cs="Times New Roman"/>
                <w:b/>
                <w:szCs w:val="20"/>
                <w:lang w:val="pt-BR"/>
              </w:rPr>
            </w:pPr>
            <w:r w:rsidRPr="00003699">
              <w:rPr>
                <w:rFonts w:ascii="Times New Roman" w:eastAsia="Malgun Gothic" w:hAnsi="Times New Roman" w:cs="Times New Roman"/>
                <w:b/>
                <w:szCs w:val="20"/>
                <w:lang w:val="pt-BR"/>
              </w:rPr>
              <w:t>N=201</w:t>
            </w:r>
          </w:p>
          <w:p w14:paraId="13A41A96" w14:textId="77777777" w:rsidR="000726D1" w:rsidRPr="00003699" w:rsidRDefault="000726D1" w:rsidP="007947DB">
            <w:pPr>
              <w:wordWrap/>
              <w:jc w:val="center"/>
              <w:rPr>
                <w:rFonts w:ascii="Times New Roman" w:eastAsia="Malgun Gothic" w:hAnsi="Times New Roman" w:cs="Times New Roman"/>
                <w:b/>
                <w:szCs w:val="20"/>
                <w:lang w:val="pt-BR"/>
              </w:rPr>
            </w:pPr>
            <w:r w:rsidRPr="00003699">
              <w:rPr>
                <w:rFonts w:ascii="Times New Roman" w:eastAsia="Malgun Gothic" w:hAnsi="Times New Roman" w:cs="Times New Roman"/>
                <w:b/>
                <w:szCs w:val="20"/>
                <w:lang w:val="pt-BR"/>
              </w:rPr>
              <w:t>(3 mg/kg)</w:t>
            </w:r>
          </w:p>
        </w:tc>
        <w:tc>
          <w:tcPr>
            <w:tcW w:w="1559" w:type="dxa"/>
            <w:gridSpan w:val="2"/>
            <w:vAlign w:val="center"/>
          </w:tcPr>
          <w:p w14:paraId="199CB853" w14:textId="77777777" w:rsidR="000726D1" w:rsidRPr="00003699" w:rsidRDefault="000726D1" w:rsidP="007947DB">
            <w:pPr>
              <w:wordWrap/>
              <w:jc w:val="center"/>
              <w:rPr>
                <w:rFonts w:ascii="Times New Roman" w:eastAsia="Malgun Gothic" w:hAnsi="Times New Roman" w:cs="Times New Roman"/>
                <w:b/>
                <w:szCs w:val="20"/>
                <w:lang w:val="pt-BR"/>
              </w:rPr>
            </w:pPr>
            <w:r w:rsidRPr="00003699">
              <w:rPr>
                <w:rFonts w:ascii="Times New Roman" w:eastAsia="Malgun Gothic" w:hAnsi="Times New Roman" w:cs="Times New Roman"/>
                <w:b/>
                <w:szCs w:val="20"/>
                <w:lang w:val="pt-BR"/>
              </w:rPr>
              <w:t>Remicade</w:t>
            </w:r>
            <w:r w:rsidRPr="00003699">
              <w:rPr>
                <w:rFonts w:ascii="Times New Roman" w:eastAsia="Malgun Gothic" w:hAnsi="Times New Roman" w:cs="Times New Roman"/>
                <w:b/>
                <w:szCs w:val="20"/>
                <w:vertAlign w:val="superscript"/>
                <w:lang w:val="pt-BR"/>
              </w:rPr>
              <w:t>®</w:t>
            </w:r>
            <w:r w:rsidRPr="00003699">
              <w:rPr>
                <w:rFonts w:ascii="Times New Roman" w:eastAsia="Malgun Gothic" w:hAnsi="Times New Roman" w:cs="Times New Roman"/>
                <w:b/>
                <w:szCs w:val="20"/>
                <w:lang w:val="pt-BR"/>
              </w:rPr>
              <w:t>/</w:t>
            </w:r>
          </w:p>
          <w:p w14:paraId="2C57F4BC" w14:textId="77777777" w:rsidR="000726D1" w:rsidRPr="00003699" w:rsidRDefault="000726D1" w:rsidP="007947DB">
            <w:pPr>
              <w:wordWrap/>
              <w:jc w:val="center"/>
              <w:rPr>
                <w:rFonts w:ascii="Times New Roman" w:eastAsia="Malgun Gothic" w:hAnsi="Times New Roman" w:cs="Times New Roman"/>
                <w:b/>
                <w:szCs w:val="20"/>
                <w:lang w:val="pt-BR"/>
              </w:rPr>
            </w:pPr>
            <w:r w:rsidRPr="00003699">
              <w:rPr>
                <w:rFonts w:ascii="Times New Roman" w:eastAsia="Malgun Gothic" w:hAnsi="Times New Roman" w:cs="Times New Roman"/>
                <w:b/>
                <w:szCs w:val="20"/>
                <w:lang w:val="pt-BR"/>
              </w:rPr>
              <w:t>RENFLEXIS</w:t>
            </w:r>
          </w:p>
          <w:p w14:paraId="4554AD0F" w14:textId="77777777" w:rsidR="000726D1" w:rsidRPr="00003699" w:rsidRDefault="000726D1" w:rsidP="007947DB">
            <w:pPr>
              <w:wordWrap/>
              <w:jc w:val="center"/>
              <w:rPr>
                <w:rFonts w:ascii="Times New Roman" w:hAnsi="Times New Roman" w:cs="Times New Roman"/>
                <w:b/>
                <w:szCs w:val="20"/>
                <w:lang w:val="pt-BR"/>
              </w:rPr>
            </w:pPr>
            <w:r w:rsidRPr="00003699">
              <w:rPr>
                <w:rFonts w:ascii="Times New Roman" w:hAnsi="Times New Roman" w:cs="Times New Roman"/>
                <w:b/>
                <w:szCs w:val="20"/>
                <w:lang w:val="pt-BR"/>
              </w:rPr>
              <w:t>N= 94</w:t>
            </w:r>
          </w:p>
          <w:p w14:paraId="5C7FED57" w14:textId="77777777" w:rsidR="000726D1" w:rsidRPr="00003699" w:rsidRDefault="000726D1" w:rsidP="007947DB">
            <w:pPr>
              <w:wordWrap/>
              <w:jc w:val="center"/>
              <w:rPr>
                <w:rFonts w:ascii="Times New Roman" w:eastAsia="Malgun Gothic" w:hAnsi="Times New Roman" w:cs="Times New Roman"/>
                <w:b/>
                <w:szCs w:val="20"/>
                <w:lang w:val="pt-BR"/>
              </w:rPr>
            </w:pPr>
            <w:r w:rsidRPr="00003699">
              <w:rPr>
                <w:rFonts w:ascii="Times New Roman" w:eastAsia="Malgun Gothic" w:hAnsi="Times New Roman" w:cs="Times New Roman"/>
                <w:b/>
                <w:szCs w:val="20"/>
                <w:lang w:val="pt-BR"/>
              </w:rPr>
              <w:t>(3 mg/kg)</w:t>
            </w:r>
          </w:p>
        </w:tc>
        <w:tc>
          <w:tcPr>
            <w:tcW w:w="1559" w:type="dxa"/>
            <w:gridSpan w:val="2"/>
            <w:vAlign w:val="center"/>
          </w:tcPr>
          <w:p w14:paraId="32C11B17" w14:textId="77777777" w:rsidR="000726D1" w:rsidRPr="00003699" w:rsidRDefault="000726D1" w:rsidP="007947DB">
            <w:pPr>
              <w:wordWrap/>
              <w:jc w:val="center"/>
              <w:rPr>
                <w:rFonts w:ascii="Times New Roman" w:eastAsia="Malgun Gothic" w:hAnsi="Times New Roman" w:cs="Times New Roman"/>
                <w:b/>
                <w:szCs w:val="20"/>
                <w:vertAlign w:val="superscript"/>
                <w:lang w:val="pt-BR"/>
              </w:rPr>
            </w:pPr>
            <w:r w:rsidRPr="00003699">
              <w:rPr>
                <w:rFonts w:ascii="Times New Roman" w:eastAsia="Malgun Gothic" w:hAnsi="Times New Roman" w:cs="Times New Roman"/>
                <w:b/>
                <w:szCs w:val="20"/>
                <w:lang w:val="pt-BR"/>
              </w:rPr>
              <w:t>Remicade</w:t>
            </w:r>
            <w:r w:rsidRPr="00003699">
              <w:rPr>
                <w:rFonts w:ascii="Times New Roman" w:eastAsia="Malgun Gothic" w:hAnsi="Times New Roman" w:cs="Times New Roman"/>
                <w:b/>
                <w:szCs w:val="20"/>
                <w:vertAlign w:val="superscript"/>
                <w:lang w:val="pt-BR"/>
              </w:rPr>
              <w:t>®</w:t>
            </w:r>
            <w:r w:rsidRPr="00003699">
              <w:rPr>
                <w:rFonts w:ascii="Times New Roman" w:eastAsia="Malgun Gothic" w:hAnsi="Times New Roman" w:cs="Times New Roman"/>
                <w:b/>
                <w:szCs w:val="20"/>
                <w:lang w:val="pt-BR"/>
              </w:rPr>
              <w:t>/ Remicade</w:t>
            </w:r>
            <w:r w:rsidRPr="00003699">
              <w:rPr>
                <w:rFonts w:ascii="Times New Roman" w:eastAsia="Malgun Gothic" w:hAnsi="Times New Roman" w:cs="Times New Roman"/>
                <w:b/>
                <w:szCs w:val="20"/>
                <w:vertAlign w:val="superscript"/>
                <w:lang w:val="pt-BR"/>
              </w:rPr>
              <w:t>®</w:t>
            </w:r>
          </w:p>
          <w:p w14:paraId="35391E31" w14:textId="77777777" w:rsidR="000726D1" w:rsidRPr="00003699" w:rsidRDefault="000726D1" w:rsidP="007947DB">
            <w:pPr>
              <w:wordWrap/>
              <w:jc w:val="center"/>
              <w:rPr>
                <w:rFonts w:ascii="Times New Roman" w:eastAsia="Malgun Gothic" w:hAnsi="Times New Roman" w:cs="Times New Roman"/>
                <w:b/>
                <w:szCs w:val="20"/>
                <w:lang w:val="pt-BR"/>
              </w:rPr>
            </w:pPr>
            <w:r w:rsidRPr="00003699">
              <w:rPr>
                <w:rFonts w:ascii="Times New Roman" w:eastAsia="Malgun Gothic" w:hAnsi="Times New Roman" w:cs="Times New Roman"/>
                <w:b/>
                <w:szCs w:val="20"/>
                <w:lang w:val="pt-BR"/>
              </w:rPr>
              <w:t>N= 101</w:t>
            </w:r>
          </w:p>
          <w:p w14:paraId="6B4819A9" w14:textId="77777777" w:rsidR="000726D1" w:rsidRPr="0029636B" w:rsidRDefault="000726D1" w:rsidP="007947DB">
            <w:pPr>
              <w:wordWrap/>
              <w:jc w:val="center"/>
              <w:rPr>
                <w:rFonts w:ascii="Times New Roman" w:eastAsia="Malgun Gothic" w:hAnsi="Times New Roman" w:cs="Times New Roman"/>
                <w:b/>
                <w:szCs w:val="20"/>
              </w:rPr>
            </w:pPr>
            <w:r w:rsidRPr="0029636B">
              <w:rPr>
                <w:rFonts w:ascii="Times New Roman" w:eastAsia="Malgun Gothic" w:hAnsi="Times New Roman" w:cs="Times New Roman"/>
                <w:b/>
                <w:szCs w:val="20"/>
              </w:rPr>
              <w:t>(3 mg/kg)</w:t>
            </w:r>
          </w:p>
        </w:tc>
      </w:tr>
      <w:tr w:rsidR="000726D1" w:rsidRPr="0029636B" w14:paraId="4F194245" w14:textId="77777777" w:rsidTr="001056E5">
        <w:trPr>
          <w:tblHeader/>
        </w:trPr>
        <w:tc>
          <w:tcPr>
            <w:tcW w:w="1809" w:type="dxa"/>
            <w:vMerge/>
            <w:vAlign w:val="center"/>
          </w:tcPr>
          <w:p w14:paraId="43AC5BC3" w14:textId="77777777" w:rsidR="000726D1" w:rsidRPr="0029636B" w:rsidRDefault="000726D1" w:rsidP="007947DB">
            <w:pPr>
              <w:wordWrap/>
              <w:jc w:val="center"/>
              <w:rPr>
                <w:rFonts w:ascii="Times New Roman" w:hAnsi="Times New Roman" w:cs="Times New Roman"/>
                <w:b/>
                <w:szCs w:val="20"/>
              </w:rPr>
            </w:pPr>
          </w:p>
        </w:tc>
        <w:tc>
          <w:tcPr>
            <w:tcW w:w="2410" w:type="dxa"/>
            <w:vMerge/>
            <w:vAlign w:val="center"/>
          </w:tcPr>
          <w:p w14:paraId="46492726" w14:textId="77777777" w:rsidR="000726D1" w:rsidRPr="0029636B" w:rsidRDefault="000726D1" w:rsidP="007947DB">
            <w:pPr>
              <w:wordWrap/>
              <w:jc w:val="center"/>
              <w:rPr>
                <w:rFonts w:ascii="Times New Roman" w:hAnsi="Times New Roman" w:cs="Times New Roman"/>
                <w:b/>
                <w:szCs w:val="20"/>
              </w:rPr>
            </w:pPr>
          </w:p>
        </w:tc>
        <w:tc>
          <w:tcPr>
            <w:tcW w:w="851" w:type="dxa"/>
            <w:vAlign w:val="center"/>
          </w:tcPr>
          <w:p w14:paraId="7F6FB870" w14:textId="77777777" w:rsidR="000726D1" w:rsidRPr="0029636B" w:rsidRDefault="000726D1" w:rsidP="007947DB">
            <w:pPr>
              <w:wordWrap/>
              <w:jc w:val="center"/>
              <w:rPr>
                <w:rFonts w:ascii="Times New Roman" w:eastAsia="Malgun Gothic" w:hAnsi="Times New Roman" w:cs="Times New Roman"/>
                <w:b/>
                <w:szCs w:val="20"/>
              </w:rPr>
            </w:pPr>
            <w:r w:rsidRPr="0029636B">
              <w:rPr>
                <w:rFonts w:ascii="Times New Roman" w:hAnsi="Times New Roman" w:cs="Times New Roman"/>
                <w:b/>
                <w:szCs w:val="20"/>
              </w:rPr>
              <w:t>n</w:t>
            </w:r>
          </w:p>
        </w:tc>
        <w:tc>
          <w:tcPr>
            <w:tcW w:w="992" w:type="dxa"/>
            <w:vAlign w:val="center"/>
          </w:tcPr>
          <w:p w14:paraId="7C03A682" w14:textId="77777777" w:rsidR="000726D1" w:rsidRPr="0029636B" w:rsidRDefault="000726D1" w:rsidP="007947DB">
            <w:pPr>
              <w:wordWrap/>
              <w:jc w:val="center"/>
              <w:rPr>
                <w:rFonts w:ascii="Times New Roman" w:eastAsia="Malgun Gothic" w:hAnsi="Times New Roman" w:cs="Times New Roman"/>
                <w:b/>
                <w:szCs w:val="20"/>
              </w:rPr>
            </w:pPr>
            <w:r w:rsidRPr="0029636B">
              <w:rPr>
                <w:rFonts w:ascii="Times New Roman" w:hAnsi="Times New Roman" w:cs="Times New Roman"/>
                <w:b/>
                <w:szCs w:val="20"/>
              </w:rPr>
              <w:t>(%)</w:t>
            </w:r>
          </w:p>
        </w:tc>
        <w:tc>
          <w:tcPr>
            <w:tcW w:w="850" w:type="dxa"/>
            <w:vAlign w:val="center"/>
          </w:tcPr>
          <w:p w14:paraId="3317B2CD" w14:textId="77777777" w:rsidR="000726D1" w:rsidRPr="0029636B" w:rsidRDefault="000726D1" w:rsidP="007947DB">
            <w:pPr>
              <w:wordWrap/>
              <w:jc w:val="center"/>
              <w:rPr>
                <w:rFonts w:ascii="Times New Roman" w:eastAsia="Malgun Gothic" w:hAnsi="Times New Roman" w:cs="Times New Roman"/>
                <w:b/>
                <w:szCs w:val="20"/>
              </w:rPr>
            </w:pPr>
            <w:r w:rsidRPr="0029636B">
              <w:rPr>
                <w:rFonts w:ascii="Times New Roman" w:hAnsi="Times New Roman" w:cs="Times New Roman"/>
                <w:b/>
                <w:szCs w:val="20"/>
              </w:rPr>
              <w:t>n</w:t>
            </w:r>
          </w:p>
        </w:tc>
        <w:tc>
          <w:tcPr>
            <w:tcW w:w="709" w:type="dxa"/>
            <w:vAlign w:val="center"/>
          </w:tcPr>
          <w:p w14:paraId="2F3339C4" w14:textId="77777777" w:rsidR="000726D1" w:rsidRPr="0029636B" w:rsidRDefault="000726D1" w:rsidP="007947DB">
            <w:pPr>
              <w:wordWrap/>
              <w:jc w:val="center"/>
              <w:rPr>
                <w:rFonts w:ascii="Times New Roman" w:eastAsia="Malgun Gothic" w:hAnsi="Times New Roman" w:cs="Times New Roman"/>
                <w:b/>
                <w:szCs w:val="20"/>
              </w:rPr>
            </w:pPr>
            <w:r w:rsidRPr="0029636B">
              <w:rPr>
                <w:rFonts w:ascii="Times New Roman" w:hAnsi="Times New Roman" w:cs="Times New Roman"/>
                <w:b/>
                <w:szCs w:val="20"/>
              </w:rPr>
              <w:t>(%)</w:t>
            </w:r>
          </w:p>
        </w:tc>
        <w:tc>
          <w:tcPr>
            <w:tcW w:w="851" w:type="dxa"/>
            <w:vAlign w:val="center"/>
          </w:tcPr>
          <w:p w14:paraId="5B3BDF21" w14:textId="77777777" w:rsidR="000726D1" w:rsidRPr="0029636B" w:rsidRDefault="000726D1" w:rsidP="007947DB">
            <w:pPr>
              <w:wordWrap/>
              <w:jc w:val="center"/>
              <w:rPr>
                <w:rFonts w:ascii="Times New Roman" w:eastAsia="Malgun Gothic" w:hAnsi="Times New Roman" w:cs="Times New Roman"/>
                <w:b/>
                <w:szCs w:val="20"/>
              </w:rPr>
            </w:pPr>
            <w:r w:rsidRPr="0029636B">
              <w:rPr>
                <w:rFonts w:ascii="Times New Roman" w:hAnsi="Times New Roman" w:cs="Times New Roman"/>
                <w:b/>
                <w:szCs w:val="20"/>
              </w:rPr>
              <w:t>n</w:t>
            </w:r>
          </w:p>
        </w:tc>
        <w:tc>
          <w:tcPr>
            <w:tcW w:w="708" w:type="dxa"/>
            <w:vAlign w:val="center"/>
          </w:tcPr>
          <w:p w14:paraId="22EBE768" w14:textId="77777777" w:rsidR="000726D1" w:rsidRPr="0029636B" w:rsidRDefault="000726D1" w:rsidP="007947DB">
            <w:pPr>
              <w:wordWrap/>
              <w:jc w:val="center"/>
              <w:rPr>
                <w:rFonts w:ascii="Times New Roman" w:eastAsia="Malgun Gothic" w:hAnsi="Times New Roman" w:cs="Times New Roman"/>
                <w:szCs w:val="20"/>
              </w:rPr>
            </w:pPr>
            <w:r w:rsidRPr="0029636B">
              <w:rPr>
                <w:rFonts w:ascii="Times New Roman" w:hAnsi="Times New Roman" w:cs="Times New Roman"/>
                <w:b/>
                <w:szCs w:val="20"/>
              </w:rPr>
              <w:t>(%)</w:t>
            </w:r>
          </w:p>
        </w:tc>
      </w:tr>
      <w:tr w:rsidR="00E824C6" w:rsidRPr="0029636B" w14:paraId="185865CF" w14:textId="77777777" w:rsidTr="001056E5">
        <w:tc>
          <w:tcPr>
            <w:tcW w:w="1809" w:type="dxa"/>
            <w:vMerge w:val="restart"/>
            <w:vAlign w:val="center"/>
          </w:tcPr>
          <w:p w14:paraId="17102178" w14:textId="77777777" w:rsidR="00E824C6" w:rsidRPr="0029636B" w:rsidRDefault="00E824C6" w:rsidP="007947DB">
            <w:pPr>
              <w:wordWrap/>
              <w:jc w:val="left"/>
              <w:rPr>
                <w:rFonts w:ascii="Times New Roman" w:hAnsi="Times New Roman" w:cs="Times New Roman"/>
                <w:szCs w:val="20"/>
              </w:rPr>
            </w:pPr>
            <w:r w:rsidRPr="0029636B">
              <w:rPr>
                <w:rFonts w:ascii="Times New Roman" w:hAnsi="Times New Roman" w:cs="Times New Roman"/>
                <w:szCs w:val="20"/>
              </w:rPr>
              <w:t>Infections and Infestations</w:t>
            </w:r>
          </w:p>
        </w:tc>
        <w:tc>
          <w:tcPr>
            <w:tcW w:w="2410" w:type="dxa"/>
            <w:vAlign w:val="center"/>
          </w:tcPr>
          <w:p w14:paraId="60E0A83F" w14:textId="77777777" w:rsidR="00E824C6" w:rsidRPr="0029636B" w:rsidRDefault="00E824C6" w:rsidP="007947DB">
            <w:pPr>
              <w:wordWrap/>
              <w:jc w:val="left"/>
              <w:rPr>
                <w:rFonts w:ascii="Times New Roman" w:hAnsi="Times New Roman" w:cs="Times New Roman"/>
                <w:szCs w:val="20"/>
              </w:rPr>
            </w:pPr>
            <w:r w:rsidRPr="0029636B">
              <w:rPr>
                <w:rFonts w:ascii="Times New Roman" w:hAnsi="Times New Roman" w:cs="Times New Roman"/>
                <w:szCs w:val="20"/>
              </w:rPr>
              <w:t>Latent Tuberculosis</w:t>
            </w:r>
          </w:p>
        </w:tc>
        <w:tc>
          <w:tcPr>
            <w:tcW w:w="851" w:type="dxa"/>
            <w:vAlign w:val="center"/>
          </w:tcPr>
          <w:p w14:paraId="25A366CF" w14:textId="69BC8480" w:rsidR="00E824C6" w:rsidRPr="0029636B" w:rsidRDefault="00E824C6" w:rsidP="007947DB">
            <w:pPr>
              <w:wordWrap/>
              <w:jc w:val="center"/>
              <w:rPr>
                <w:rFonts w:ascii="Times New Roman" w:hAnsi="Times New Roman" w:cs="Times New Roman"/>
                <w:szCs w:val="20"/>
              </w:rPr>
            </w:pPr>
            <w:r>
              <w:rPr>
                <w:rFonts w:ascii="Times New Roman" w:hAnsi="Times New Roman" w:cs="Times New Roman" w:hint="eastAsia"/>
                <w:szCs w:val="20"/>
              </w:rPr>
              <w:t>11</w:t>
            </w:r>
          </w:p>
        </w:tc>
        <w:tc>
          <w:tcPr>
            <w:tcW w:w="992" w:type="dxa"/>
            <w:vAlign w:val="center"/>
          </w:tcPr>
          <w:p w14:paraId="08ABD896" w14:textId="003415E5" w:rsidR="00E824C6" w:rsidRPr="0029636B" w:rsidRDefault="00E824C6" w:rsidP="007947DB">
            <w:pPr>
              <w:wordWrap/>
              <w:jc w:val="center"/>
              <w:rPr>
                <w:rFonts w:ascii="Times New Roman" w:hAnsi="Times New Roman" w:cs="Times New Roman"/>
                <w:szCs w:val="20"/>
              </w:rPr>
            </w:pPr>
            <w:r>
              <w:rPr>
                <w:rFonts w:ascii="Times New Roman" w:hAnsi="Times New Roman" w:cs="Times New Roman" w:hint="eastAsia"/>
                <w:szCs w:val="20"/>
              </w:rPr>
              <w:t>5</w:t>
            </w:r>
            <w:r w:rsidRPr="0029636B">
              <w:rPr>
                <w:rFonts w:ascii="Times New Roman" w:hAnsi="Times New Roman" w:cs="Times New Roman"/>
                <w:szCs w:val="20"/>
              </w:rPr>
              <w:t>.5</w:t>
            </w:r>
          </w:p>
        </w:tc>
        <w:tc>
          <w:tcPr>
            <w:tcW w:w="850" w:type="dxa"/>
            <w:vAlign w:val="center"/>
          </w:tcPr>
          <w:p w14:paraId="43A0AD9C" w14:textId="69389B2D" w:rsidR="00E824C6" w:rsidRPr="0029636B" w:rsidRDefault="00E824C6" w:rsidP="00E824C6">
            <w:pPr>
              <w:wordWrap/>
              <w:jc w:val="center"/>
              <w:rPr>
                <w:rFonts w:ascii="Times New Roman" w:hAnsi="Times New Roman" w:cs="Times New Roman"/>
                <w:szCs w:val="20"/>
              </w:rPr>
            </w:pPr>
            <w:r>
              <w:rPr>
                <w:rFonts w:ascii="Times New Roman" w:hAnsi="Times New Roman" w:cs="Times New Roman" w:hint="eastAsia"/>
                <w:szCs w:val="20"/>
              </w:rPr>
              <w:t>7</w:t>
            </w:r>
          </w:p>
        </w:tc>
        <w:tc>
          <w:tcPr>
            <w:tcW w:w="709" w:type="dxa"/>
            <w:vAlign w:val="center"/>
          </w:tcPr>
          <w:p w14:paraId="06311F94" w14:textId="68B104D4" w:rsidR="00E824C6" w:rsidRPr="0029636B" w:rsidRDefault="00E824C6" w:rsidP="00E824C6">
            <w:pPr>
              <w:wordWrap/>
              <w:jc w:val="center"/>
              <w:rPr>
                <w:rFonts w:ascii="Times New Roman" w:hAnsi="Times New Roman" w:cs="Times New Roman"/>
                <w:szCs w:val="20"/>
              </w:rPr>
            </w:pPr>
            <w:r>
              <w:rPr>
                <w:rFonts w:ascii="Times New Roman" w:hAnsi="Times New Roman" w:cs="Times New Roman" w:hint="eastAsia"/>
                <w:szCs w:val="20"/>
              </w:rPr>
              <w:t>7</w:t>
            </w:r>
            <w:r w:rsidRPr="0029636B">
              <w:rPr>
                <w:rFonts w:ascii="Times New Roman" w:hAnsi="Times New Roman" w:cs="Times New Roman"/>
                <w:szCs w:val="20"/>
              </w:rPr>
              <w:t>.</w:t>
            </w:r>
            <w:r>
              <w:rPr>
                <w:rFonts w:ascii="Times New Roman" w:hAnsi="Times New Roman" w:cs="Times New Roman" w:hint="eastAsia"/>
                <w:szCs w:val="20"/>
              </w:rPr>
              <w:t>4</w:t>
            </w:r>
          </w:p>
        </w:tc>
        <w:tc>
          <w:tcPr>
            <w:tcW w:w="851" w:type="dxa"/>
            <w:vAlign w:val="center"/>
          </w:tcPr>
          <w:p w14:paraId="25952571" w14:textId="6A131AB8" w:rsidR="00E824C6" w:rsidRPr="0029636B" w:rsidRDefault="00E824C6" w:rsidP="00E824C6">
            <w:pPr>
              <w:wordWrap/>
              <w:jc w:val="center"/>
              <w:rPr>
                <w:rFonts w:ascii="Times New Roman" w:hAnsi="Times New Roman" w:cs="Times New Roman"/>
                <w:szCs w:val="20"/>
              </w:rPr>
            </w:pPr>
            <w:r>
              <w:rPr>
                <w:rFonts w:ascii="Times New Roman" w:hAnsi="Times New Roman" w:cs="Times New Roman" w:hint="eastAsia"/>
                <w:szCs w:val="20"/>
              </w:rPr>
              <w:t>4</w:t>
            </w:r>
          </w:p>
        </w:tc>
        <w:tc>
          <w:tcPr>
            <w:tcW w:w="708" w:type="dxa"/>
            <w:vAlign w:val="center"/>
          </w:tcPr>
          <w:p w14:paraId="65CA2E20" w14:textId="47007858" w:rsidR="00E824C6" w:rsidRPr="0029636B" w:rsidRDefault="00E824C6" w:rsidP="00E824C6">
            <w:pPr>
              <w:wordWrap/>
              <w:jc w:val="center"/>
              <w:rPr>
                <w:rFonts w:ascii="Times New Roman" w:hAnsi="Times New Roman" w:cs="Times New Roman"/>
                <w:szCs w:val="20"/>
              </w:rPr>
            </w:pPr>
            <w:r>
              <w:rPr>
                <w:rFonts w:ascii="Times New Roman" w:hAnsi="Times New Roman" w:cs="Times New Roman" w:hint="eastAsia"/>
                <w:szCs w:val="20"/>
              </w:rPr>
              <w:t>4</w:t>
            </w:r>
            <w:r w:rsidRPr="0029636B">
              <w:rPr>
                <w:rFonts w:ascii="Times New Roman" w:hAnsi="Times New Roman" w:cs="Times New Roman"/>
                <w:szCs w:val="20"/>
              </w:rPr>
              <w:t>.</w:t>
            </w:r>
            <w:r>
              <w:rPr>
                <w:rFonts w:ascii="Times New Roman" w:hAnsi="Times New Roman" w:cs="Times New Roman" w:hint="eastAsia"/>
                <w:szCs w:val="20"/>
              </w:rPr>
              <w:t>0</w:t>
            </w:r>
          </w:p>
        </w:tc>
      </w:tr>
      <w:tr w:rsidR="00E824C6" w:rsidRPr="0029636B" w14:paraId="1E011EE3" w14:textId="77777777" w:rsidTr="001056E5">
        <w:tc>
          <w:tcPr>
            <w:tcW w:w="1809" w:type="dxa"/>
            <w:vMerge/>
            <w:vAlign w:val="center"/>
          </w:tcPr>
          <w:p w14:paraId="5564B607" w14:textId="77777777" w:rsidR="00E824C6" w:rsidRPr="0029636B" w:rsidRDefault="00E824C6" w:rsidP="007947DB">
            <w:pPr>
              <w:wordWrap/>
              <w:jc w:val="left"/>
              <w:rPr>
                <w:rFonts w:ascii="Times New Roman" w:hAnsi="Times New Roman" w:cs="Times New Roman"/>
                <w:szCs w:val="20"/>
              </w:rPr>
            </w:pPr>
          </w:p>
        </w:tc>
        <w:tc>
          <w:tcPr>
            <w:tcW w:w="2410" w:type="dxa"/>
            <w:vAlign w:val="center"/>
          </w:tcPr>
          <w:p w14:paraId="13A8201C" w14:textId="48E876DD" w:rsidR="00E824C6" w:rsidRPr="0029636B" w:rsidRDefault="00E824C6" w:rsidP="007947DB">
            <w:pPr>
              <w:wordWrap/>
              <w:jc w:val="left"/>
              <w:rPr>
                <w:rFonts w:ascii="Times New Roman" w:hAnsi="Times New Roman" w:cs="Times New Roman"/>
                <w:szCs w:val="20"/>
              </w:rPr>
            </w:pPr>
            <w:proofErr w:type="spellStart"/>
            <w:r>
              <w:rPr>
                <w:rFonts w:ascii="Times New Roman" w:hAnsi="Times New Roman" w:cs="Times New Roman"/>
                <w:szCs w:val="20"/>
              </w:rPr>
              <w:t>N</w:t>
            </w:r>
            <w:r>
              <w:rPr>
                <w:rFonts w:ascii="Times New Roman" w:hAnsi="Times New Roman" w:cs="Times New Roman" w:hint="eastAsia"/>
                <w:szCs w:val="20"/>
              </w:rPr>
              <w:t>asopharyngitis</w:t>
            </w:r>
            <w:proofErr w:type="spellEnd"/>
            <w:r>
              <w:rPr>
                <w:rFonts w:ascii="Times New Roman" w:hAnsi="Times New Roman" w:cs="Times New Roman" w:hint="eastAsia"/>
                <w:szCs w:val="20"/>
              </w:rPr>
              <w:t xml:space="preserve"> </w:t>
            </w:r>
          </w:p>
        </w:tc>
        <w:tc>
          <w:tcPr>
            <w:tcW w:w="851" w:type="dxa"/>
            <w:vAlign w:val="center"/>
          </w:tcPr>
          <w:p w14:paraId="33E4856D" w14:textId="62E4386F" w:rsidR="00E824C6" w:rsidRPr="0029636B" w:rsidDel="00E824C6" w:rsidRDefault="00E824C6" w:rsidP="007947DB">
            <w:pPr>
              <w:wordWrap/>
              <w:jc w:val="center"/>
              <w:rPr>
                <w:rFonts w:ascii="Times New Roman" w:hAnsi="Times New Roman" w:cs="Times New Roman"/>
                <w:szCs w:val="20"/>
              </w:rPr>
            </w:pPr>
            <w:r>
              <w:rPr>
                <w:rFonts w:ascii="Times New Roman" w:hAnsi="Times New Roman" w:cs="Times New Roman" w:hint="eastAsia"/>
                <w:szCs w:val="20"/>
              </w:rPr>
              <w:t>11</w:t>
            </w:r>
          </w:p>
        </w:tc>
        <w:tc>
          <w:tcPr>
            <w:tcW w:w="992" w:type="dxa"/>
            <w:vAlign w:val="center"/>
          </w:tcPr>
          <w:p w14:paraId="60DF635D" w14:textId="6855D5CF" w:rsidR="00E824C6" w:rsidRPr="0029636B" w:rsidDel="00E824C6" w:rsidRDefault="00E824C6" w:rsidP="007947DB">
            <w:pPr>
              <w:wordWrap/>
              <w:jc w:val="center"/>
              <w:rPr>
                <w:rFonts w:ascii="Times New Roman" w:hAnsi="Times New Roman" w:cs="Times New Roman"/>
                <w:szCs w:val="20"/>
              </w:rPr>
            </w:pPr>
            <w:r>
              <w:rPr>
                <w:rFonts w:ascii="Times New Roman" w:hAnsi="Times New Roman" w:cs="Times New Roman" w:hint="eastAsia"/>
                <w:szCs w:val="20"/>
              </w:rPr>
              <w:t>5</w:t>
            </w:r>
            <w:r w:rsidRPr="0029636B">
              <w:rPr>
                <w:rFonts w:ascii="Times New Roman" w:hAnsi="Times New Roman" w:cs="Times New Roman"/>
                <w:szCs w:val="20"/>
              </w:rPr>
              <w:t>.5</w:t>
            </w:r>
          </w:p>
        </w:tc>
        <w:tc>
          <w:tcPr>
            <w:tcW w:w="850" w:type="dxa"/>
            <w:vAlign w:val="center"/>
          </w:tcPr>
          <w:p w14:paraId="74F3CC89" w14:textId="158E1B6D" w:rsidR="00E824C6" w:rsidRDefault="00E824C6" w:rsidP="00E824C6">
            <w:pPr>
              <w:wordWrap/>
              <w:jc w:val="center"/>
              <w:rPr>
                <w:rFonts w:ascii="Times New Roman" w:hAnsi="Times New Roman" w:cs="Times New Roman"/>
                <w:szCs w:val="20"/>
              </w:rPr>
            </w:pPr>
            <w:r w:rsidRPr="0029636B">
              <w:rPr>
                <w:rFonts w:ascii="Times New Roman" w:hAnsi="Times New Roman" w:cs="Times New Roman"/>
                <w:szCs w:val="20"/>
              </w:rPr>
              <w:t>2</w:t>
            </w:r>
          </w:p>
        </w:tc>
        <w:tc>
          <w:tcPr>
            <w:tcW w:w="709" w:type="dxa"/>
            <w:vAlign w:val="center"/>
          </w:tcPr>
          <w:p w14:paraId="47FA973C" w14:textId="07BEEEC8" w:rsidR="00E824C6" w:rsidRPr="0029636B" w:rsidDel="00E824C6" w:rsidRDefault="00E824C6" w:rsidP="00E824C6">
            <w:pPr>
              <w:wordWrap/>
              <w:jc w:val="center"/>
              <w:rPr>
                <w:rFonts w:ascii="Times New Roman" w:hAnsi="Times New Roman" w:cs="Times New Roman"/>
                <w:szCs w:val="20"/>
              </w:rPr>
            </w:pPr>
            <w:r w:rsidRPr="0029636B">
              <w:rPr>
                <w:rFonts w:ascii="Times New Roman" w:hAnsi="Times New Roman" w:cs="Times New Roman"/>
                <w:szCs w:val="20"/>
              </w:rPr>
              <w:t>2.1</w:t>
            </w:r>
          </w:p>
        </w:tc>
        <w:tc>
          <w:tcPr>
            <w:tcW w:w="851" w:type="dxa"/>
            <w:vAlign w:val="center"/>
          </w:tcPr>
          <w:p w14:paraId="7388AF30" w14:textId="61652D03" w:rsidR="00E824C6" w:rsidRPr="0029636B" w:rsidDel="00E824C6" w:rsidRDefault="00E824C6" w:rsidP="00E824C6">
            <w:pPr>
              <w:wordWrap/>
              <w:jc w:val="center"/>
              <w:rPr>
                <w:rFonts w:ascii="Times New Roman" w:hAnsi="Times New Roman" w:cs="Times New Roman"/>
                <w:szCs w:val="20"/>
              </w:rPr>
            </w:pPr>
            <w:r>
              <w:rPr>
                <w:rFonts w:ascii="Times New Roman" w:hAnsi="Times New Roman" w:cs="Times New Roman" w:hint="eastAsia"/>
                <w:szCs w:val="20"/>
              </w:rPr>
              <w:t>4</w:t>
            </w:r>
          </w:p>
        </w:tc>
        <w:tc>
          <w:tcPr>
            <w:tcW w:w="708" w:type="dxa"/>
            <w:vAlign w:val="center"/>
          </w:tcPr>
          <w:p w14:paraId="5DB5AED6" w14:textId="7FE1E423" w:rsidR="00E824C6" w:rsidRPr="0029636B" w:rsidDel="00E824C6" w:rsidRDefault="00E824C6" w:rsidP="00E824C6">
            <w:pPr>
              <w:wordWrap/>
              <w:jc w:val="center"/>
              <w:rPr>
                <w:rFonts w:ascii="Times New Roman" w:hAnsi="Times New Roman" w:cs="Times New Roman"/>
                <w:szCs w:val="20"/>
              </w:rPr>
            </w:pPr>
            <w:r>
              <w:rPr>
                <w:rFonts w:ascii="Times New Roman" w:hAnsi="Times New Roman" w:cs="Times New Roman" w:hint="eastAsia"/>
                <w:szCs w:val="20"/>
              </w:rPr>
              <w:t>4.0</w:t>
            </w:r>
          </w:p>
        </w:tc>
      </w:tr>
      <w:tr w:rsidR="00E824C6" w:rsidRPr="0029636B" w14:paraId="5D9CE7AC" w14:textId="77777777" w:rsidTr="001056E5">
        <w:tc>
          <w:tcPr>
            <w:tcW w:w="1809" w:type="dxa"/>
            <w:vMerge/>
            <w:vAlign w:val="center"/>
          </w:tcPr>
          <w:p w14:paraId="686C1728" w14:textId="77777777" w:rsidR="00E824C6" w:rsidRPr="0029636B" w:rsidRDefault="00E824C6" w:rsidP="007947DB">
            <w:pPr>
              <w:wordWrap/>
              <w:jc w:val="left"/>
              <w:rPr>
                <w:rFonts w:ascii="Times New Roman" w:hAnsi="Times New Roman" w:cs="Times New Roman"/>
                <w:szCs w:val="20"/>
              </w:rPr>
            </w:pPr>
          </w:p>
        </w:tc>
        <w:tc>
          <w:tcPr>
            <w:tcW w:w="2410" w:type="dxa"/>
            <w:vAlign w:val="center"/>
          </w:tcPr>
          <w:p w14:paraId="15C159E3" w14:textId="5D12F294" w:rsidR="00E824C6" w:rsidRDefault="00E824C6" w:rsidP="007947DB">
            <w:pPr>
              <w:wordWrap/>
              <w:jc w:val="left"/>
              <w:rPr>
                <w:rFonts w:ascii="Times New Roman" w:hAnsi="Times New Roman" w:cs="Times New Roman"/>
                <w:szCs w:val="20"/>
              </w:rPr>
            </w:pPr>
            <w:r>
              <w:rPr>
                <w:rFonts w:ascii="Times New Roman" w:hAnsi="Times New Roman" w:cs="Times New Roman" w:hint="eastAsia"/>
                <w:szCs w:val="20"/>
              </w:rPr>
              <w:t>Bronchitis</w:t>
            </w:r>
          </w:p>
        </w:tc>
        <w:tc>
          <w:tcPr>
            <w:tcW w:w="851" w:type="dxa"/>
            <w:vAlign w:val="center"/>
          </w:tcPr>
          <w:p w14:paraId="35A212B6" w14:textId="7D7A0D11" w:rsidR="00E824C6" w:rsidRDefault="00E824C6" w:rsidP="007947DB">
            <w:pPr>
              <w:wordWrap/>
              <w:jc w:val="center"/>
              <w:rPr>
                <w:rFonts w:ascii="Times New Roman" w:hAnsi="Times New Roman" w:cs="Times New Roman"/>
                <w:szCs w:val="20"/>
              </w:rPr>
            </w:pPr>
            <w:r>
              <w:rPr>
                <w:rFonts w:ascii="Times New Roman" w:hAnsi="Times New Roman" w:cs="Times New Roman" w:hint="eastAsia"/>
                <w:szCs w:val="20"/>
              </w:rPr>
              <w:t>5</w:t>
            </w:r>
          </w:p>
        </w:tc>
        <w:tc>
          <w:tcPr>
            <w:tcW w:w="992" w:type="dxa"/>
            <w:vAlign w:val="center"/>
          </w:tcPr>
          <w:p w14:paraId="25B4A144" w14:textId="2393106B" w:rsidR="00E824C6" w:rsidRDefault="00E824C6" w:rsidP="007947DB">
            <w:pPr>
              <w:wordWrap/>
              <w:jc w:val="center"/>
              <w:rPr>
                <w:rFonts w:ascii="Times New Roman" w:hAnsi="Times New Roman" w:cs="Times New Roman"/>
                <w:szCs w:val="20"/>
              </w:rPr>
            </w:pPr>
            <w:r>
              <w:rPr>
                <w:rFonts w:ascii="Times New Roman" w:hAnsi="Times New Roman" w:cs="Times New Roman" w:hint="eastAsia"/>
                <w:szCs w:val="20"/>
              </w:rPr>
              <w:t>2.5</w:t>
            </w:r>
          </w:p>
        </w:tc>
        <w:tc>
          <w:tcPr>
            <w:tcW w:w="850" w:type="dxa"/>
            <w:vAlign w:val="center"/>
          </w:tcPr>
          <w:p w14:paraId="1D9B7CAE" w14:textId="306C2464" w:rsidR="00E824C6" w:rsidRPr="0029636B" w:rsidRDefault="00E824C6" w:rsidP="00E824C6">
            <w:pPr>
              <w:wordWrap/>
              <w:jc w:val="center"/>
              <w:rPr>
                <w:rFonts w:ascii="Times New Roman" w:hAnsi="Times New Roman" w:cs="Times New Roman"/>
                <w:szCs w:val="20"/>
              </w:rPr>
            </w:pPr>
            <w:r>
              <w:rPr>
                <w:rFonts w:ascii="Times New Roman" w:hAnsi="Times New Roman" w:cs="Times New Roman" w:hint="eastAsia"/>
                <w:szCs w:val="20"/>
              </w:rPr>
              <w:t>1</w:t>
            </w:r>
          </w:p>
        </w:tc>
        <w:tc>
          <w:tcPr>
            <w:tcW w:w="709" w:type="dxa"/>
            <w:vAlign w:val="center"/>
          </w:tcPr>
          <w:p w14:paraId="710AE3EB" w14:textId="33F3EBAA" w:rsidR="00E824C6" w:rsidRPr="0029636B" w:rsidRDefault="00E824C6" w:rsidP="00E824C6">
            <w:pPr>
              <w:wordWrap/>
              <w:jc w:val="center"/>
              <w:rPr>
                <w:rFonts w:ascii="Times New Roman" w:hAnsi="Times New Roman" w:cs="Times New Roman"/>
                <w:szCs w:val="20"/>
              </w:rPr>
            </w:pPr>
            <w:r>
              <w:rPr>
                <w:rFonts w:ascii="Times New Roman" w:hAnsi="Times New Roman" w:cs="Times New Roman" w:hint="eastAsia"/>
                <w:szCs w:val="20"/>
              </w:rPr>
              <w:t>1.1</w:t>
            </w:r>
          </w:p>
        </w:tc>
        <w:tc>
          <w:tcPr>
            <w:tcW w:w="851" w:type="dxa"/>
            <w:vAlign w:val="center"/>
          </w:tcPr>
          <w:p w14:paraId="49D69DDD" w14:textId="01203429" w:rsidR="00E824C6" w:rsidRDefault="00E824C6" w:rsidP="00E824C6">
            <w:pPr>
              <w:wordWrap/>
              <w:jc w:val="center"/>
              <w:rPr>
                <w:rFonts w:ascii="Times New Roman" w:hAnsi="Times New Roman" w:cs="Times New Roman"/>
                <w:szCs w:val="20"/>
              </w:rPr>
            </w:pPr>
            <w:r>
              <w:rPr>
                <w:rFonts w:ascii="Times New Roman" w:hAnsi="Times New Roman" w:cs="Times New Roman" w:hint="eastAsia"/>
                <w:szCs w:val="20"/>
              </w:rPr>
              <w:t>2</w:t>
            </w:r>
          </w:p>
        </w:tc>
        <w:tc>
          <w:tcPr>
            <w:tcW w:w="708" w:type="dxa"/>
            <w:vAlign w:val="center"/>
          </w:tcPr>
          <w:p w14:paraId="49730BEA" w14:textId="5A5F87B8" w:rsidR="00E824C6" w:rsidRDefault="00E824C6" w:rsidP="00E824C6">
            <w:pPr>
              <w:wordWrap/>
              <w:jc w:val="center"/>
              <w:rPr>
                <w:rFonts w:ascii="Times New Roman" w:hAnsi="Times New Roman" w:cs="Times New Roman"/>
                <w:szCs w:val="20"/>
              </w:rPr>
            </w:pPr>
            <w:r>
              <w:rPr>
                <w:rFonts w:ascii="Times New Roman" w:hAnsi="Times New Roman" w:cs="Times New Roman" w:hint="eastAsia"/>
                <w:szCs w:val="20"/>
              </w:rPr>
              <w:t>2.0</w:t>
            </w:r>
          </w:p>
        </w:tc>
      </w:tr>
      <w:tr w:rsidR="00E824C6" w:rsidRPr="0029636B" w14:paraId="626ADF63" w14:textId="77777777" w:rsidTr="001056E5">
        <w:tc>
          <w:tcPr>
            <w:tcW w:w="1809" w:type="dxa"/>
            <w:vMerge/>
            <w:vAlign w:val="center"/>
          </w:tcPr>
          <w:p w14:paraId="1246640F" w14:textId="77777777" w:rsidR="00E824C6" w:rsidRPr="0029636B" w:rsidRDefault="00E824C6" w:rsidP="007947DB">
            <w:pPr>
              <w:wordWrap/>
              <w:jc w:val="left"/>
              <w:rPr>
                <w:rFonts w:ascii="Times New Roman" w:hAnsi="Times New Roman" w:cs="Times New Roman"/>
                <w:szCs w:val="20"/>
              </w:rPr>
            </w:pPr>
          </w:p>
        </w:tc>
        <w:tc>
          <w:tcPr>
            <w:tcW w:w="2410" w:type="dxa"/>
            <w:vAlign w:val="center"/>
          </w:tcPr>
          <w:p w14:paraId="31794D38" w14:textId="7815972A" w:rsidR="00E824C6" w:rsidRPr="0029636B" w:rsidRDefault="00E824C6" w:rsidP="007947DB">
            <w:pPr>
              <w:wordWrap/>
              <w:jc w:val="left"/>
              <w:rPr>
                <w:rFonts w:ascii="Times New Roman" w:hAnsi="Times New Roman" w:cs="Times New Roman"/>
                <w:szCs w:val="20"/>
              </w:rPr>
            </w:pPr>
            <w:r>
              <w:rPr>
                <w:rFonts w:ascii="Times New Roman" w:hAnsi="Times New Roman" w:cs="Times New Roman" w:hint="eastAsia"/>
                <w:szCs w:val="20"/>
              </w:rPr>
              <w:t>Pharyngitis</w:t>
            </w:r>
          </w:p>
        </w:tc>
        <w:tc>
          <w:tcPr>
            <w:tcW w:w="851" w:type="dxa"/>
            <w:vAlign w:val="center"/>
          </w:tcPr>
          <w:p w14:paraId="159438E9" w14:textId="6F55263C" w:rsidR="00E824C6" w:rsidRPr="0029636B" w:rsidRDefault="00E824C6" w:rsidP="007947DB">
            <w:pPr>
              <w:wordWrap/>
              <w:jc w:val="center"/>
              <w:rPr>
                <w:rFonts w:ascii="Times New Roman" w:hAnsi="Times New Roman" w:cs="Times New Roman"/>
                <w:szCs w:val="20"/>
              </w:rPr>
            </w:pPr>
            <w:r>
              <w:rPr>
                <w:rFonts w:ascii="Times New Roman" w:hAnsi="Times New Roman" w:cs="Times New Roman" w:hint="eastAsia"/>
                <w:szCs w:val="20"/>
              </w:rPr>
              <w:t>1</w:t>
            </w:r>
          </w:p>
        </w:tc>
        <w:tc>
          <w:tcPr>
            <w:tcW w:w="992" w:type="dxa"/>
            <w:vAlign w:val="center"/>
          </w:tcPr>
          <w:p w14:paraId="7257F4C5" w14:textId="30A8AEEE" w:rsidR="00E824C6" w:rsidRPr="0029636B" w:rsidRDefault="00E824C6" w:rsidP="00E824C6">
            <w:pPr>
              <w:wordWrap/>
              <w:jc w:val="center"/>
              <w:rPr>
                <w:rFonts w:ascii="Times New Roman" w:hAnsi="Times New Roman" w:cs="Times New Roman"/>
                <w:szCs w:val="20"/>
              </w:rPr>
            </w:pPr>
            <w:r w:rsidRPr="0029636B">
              <w:rPr>
                <w:rFonts w:ascii="Times New Roman" w:hAnsi="Times New Roman" w:cs="Times New Roman"/>
                <w:szCs w:val="20"/>
              </w:rPr>
              <w:t>0.</w:t>
            </w:r>
            <w:r>
              <w:rPr>
                <w:rFonts w:ascii="Times New Roman" w:hAnsi="Times New Roman" w:cs="Times New Roman" w:hint="eastAsia"/>
                <w:szCs w:val="20"/>
              </w:rPr>
              <w:t>5</w:t>
            </w:r>
          </w:p>
        </w:tc>
        <w:tc>
          <w:tcPr>
            <w:tcW w:w="850" w:type="dxa"/>
            <w:vAlign w:val="center"/>
          </w:tcPr>
          <w:p w14:paraId="33561743" w14:textId="77777777" w:rsidR="00E824C6" w:rsidRPr="0029636B" w:rsidRDefault="00E824C6" w:rsidP="007947DB">
            <w:pPr>
              <w:wordWrap/>
              <w:jc w:val="center"/>
              <w:rPr>
                <w:rFonts w:ascii="Times New Roman" w:hAnsi="Times New Roman" w:cs="Times New Roman"/>
                <w:szCs w:val="20"/>
              </w:rPr>
            </w:pPr>
            <w:r w:rsidRPr="0029636B">
              <w:rPr>
                <w:rFonts w:ascii="Times New Roman" w:hAnsi="Times New Roman" w:cs="Times New Roman"/>
                <w:szCs w:val="20"/>
              </w:rPr>
              <w:t>2</w:t>
            </w:r>
          </w:p>
        </w:tc>
        <w:tc>
          <w:tcPr>
            <w:tcW w:w="709" w:type="dxa"/>
            <w:vAlign w:val="center"/>
          </w:tcPr>
          <w:p w14:paraId="08C73C2F" w14:textId="77777777" w:rsidR="00E824C6" w:rsidRPr="0029636B" w:rsidRDefault="00E824C6" w:rsidP="007947DB">
            <w:pPr>
              <w:wordWrap/>
              <w:jc w:val="center"/>
              <w:rPr>
                <w:rFonts w:ascii="Times New Roman" w:hAnsi="Times New Roman" w:cs="Times New Roman"/>
                <w:szCs w:val="20"/>
              </w:rPr>
            </w:pPr>
            <w:r w:rsidRPr="0029636B">
              <w:rPr>
                <w:rFonts w:ascii="Times New Roman" w:hAnsi="Times New Roman" w:cs="Times New Roman"/>
                <w:szCs w:val="20"/>
              </w:rPr>
              <w:t>2.1</w:t>
            </w:r>
          </w:p>
        </w:tc>
        <w:tc>
          <w:tcPr>
            <w:tcW w:w="851" w:type="dxa"/>
            <w:vAlign w:val="center"/>
          </w:tcPr>
          <w:p w14:paraId="5E5C9E8E" w14:textId="524B9FED" w:rsidR="00E824C6" w:rsidRPr="0029636B" w:rsidRDefault="00E824C6" w:rsidP="007947DB">
            <w:pPr>
              <w:wordWrap/>
              <w:jc w:val="center"/>
              <w:rPr>
                <w:rFonts w:ascii="Times New Roman" w:hAnsi="Times New Roman" w:cs="Times New Roman"/>
                <w:szCs w:val="20"/>
              </w:rPr>
            </w:pPr>
            <w:r>
              <w:rPr>
                <w:rFonts w:ascii="Times New Roman" w:hAnsi="Times New Roman" w:cs="Times New Roman" w:hint="eastAsia"/>
                <w:szCs w:val="20"/>
              </w:rPr>
              <w:t>0</w:t>
            </w:r>
          </w:p>
        </w:tc>
        <w:tc>
          <w:tcPr>
            <w:tcW w:w="708" w:type="dxa"/>
            <w:vAlign w:val="center"/>
          </w:tcPr>
          <w:p w14:paraId="223B925E" w14:textId="3A431B2B" w:rsidR="00E824C6" w:rsidRPr="0029636B" w:rsidRDefault="00E824C6" w:rsidP="007947DB">
            <w:pPr>
              <w:wordWrap/>
              <w:jc w:val="center"/>
              <w:rPr>
                <w:rFonts w:ascii="Times New Roman" w:hAnsi="Times New Roman" w:cs="Times New Roman"/>
                <w:szCs w:val="20"/>
              </w:rPr>
            </w:pPr>
            <w:r>
              <w:rPr>
                <w:rFonts w:ascii="Times New Roman" w:hAnsi="Times New Roman" w:cs="Times New Roman" w:hint="eastAsia"/>
                <w:szCs w:val="20"/>
              </w:rPr>
              <w:t>0</w:t>
            </w:r>
            <w:r w:rsidRPr="0029636B">
              <w:rPr>
                <w:rFonts w:ascii="Times New Roman" w:hAnsi="Times New Roman" w:cs="Times New Roman"/>
                <w:szCs w:val="20"/>
              </w:rPr>
              <w:t>.0</w:t>
            </w:r>
          </w:p>
        </w:tc>
      </w:tr>
      <w:tr w:rsidR="00E824C6" w:rsidRPr="0029636B" w14:paraId="2B7B02DC" w14:textId="77777777" w:rsidTr="001056E5">
        <w:tc>
          <w:tcPr>
            <w:tcW w:w="1809" w:type="dxa"/>
            <w:vMerge/>
            <w:vAlign w:val="center"/>
          </w:tcPr>
          <w:p w14:paraId="4CF5A597" w14:textId="77777777" w:rsidR="00E824C6" w:rsidRPr="0029636B" w:rsidRDefault="00E824C6" w:rsidP="007947DB">
            <w:pPr>
              <w:wordWrap/>
              <w:jc w:val="left"/>
              <w:rPr>
                <w:rFonts w:ascii="Times New Roman" w:hAnsi="Times New Roman" w:cs="Times New Roman"/>
                <w:szCs w:val="20"/>
              </w:rPr>
            </w:pPr>
          </w:p>
        </w:tc>
        <w:tc>
          <w:tcPr>
            <w:tcW w:w="2410" w:type="dxa"/>
            <w:vAlign w:val="center"/>
          </w:tcPr>
          <w:p w14:paraId="06DE7A76" w14:textId="7825E6D4" w:rsidR="00E824C6" w:rsidRPr="0029636B" w:rsidDel="00E824C6" w:rsidRDefault="00E824C6" w:rsidP="007947DB">
            <w:pPr>
              <w:wordWrap/>
              <w:jc w:val="left"/>
              <w:rPr>
                <w:rFonts w:ascii="Times New Roman" w:hAnsi="Times New Roman" w:cs="Times New Roman"/>
                <w:szCs w:val="20"/>
              </w:rPr>
            </w:pPr>
            <w:r>
              <w:rPr>
                <w:rFonts w:ascii="Times New Roman" w:hAnsi="Times New Roman" w:cs="Times New Roman" w:hint="eastAsia"/>
                <w:szCs w:val="20"/>
              </w:rPr>
              <w:t>Upper Respiratory Tract Infection</w:t>
            </w:r>
          </w:p>
        </w:tc>
        <w:tc>
          <w:tcPr>
            <w:tcW w:w="851" w:type="dxa"/>
            <w:vAlign w:val="center"/>
          </w:tcPr>
          <w:p w14:paraId="200CA3DC" w14:textId="4E104AC6" w:rsidR="00E824C6" w:rsidRPr="0029636B" w:rsidDel="00E824C6" w:rsidRDefault="00E824C6" w:rsidP="007947DB">
            <w:pPr>
              <w:wordWrap/>
              <w:jc w:val="center"/>
              <w:rPr>
                <w:rFonts w:ascii="Times New Roman" w:hAnsi="Times New Roman" w:cs="Times New Roman"/>
                <w:szCs w:val="20"/>
              </w:rPr>
            </w:pPr>
            <w:r>
              <w:rPr>
                <w:rFonts w:ascii="Times New Roman" w:hAnsi="Times New Roman" w:cs="Times New Roman" w:hint="eastAsia"/>
                <w:szCs w:val="20"/>
              </w:rPr>
              <w:t>1</w:t>
            </w:r>
          </w:p>
        </w:tc>
        <w:tc>
          <w:tcPr>
            <w:tcW w:w="992" w:type="dxa"/>
            <w:vAlign w:val="center"/>
          </w:tcPr>
          <w:p w14:paraId="1FF70218" w14:textId="62117867" w:rsidR="00E824C6" w:rsidRPr="0029636B" w:rsidRDefault="00E824C6" w:rsidP="00E824C6">
            <w:pPr>
              <w:wordWrap/>
              <w:jc w:val="center"/>
              <w:rPr>
                <w:rFonts w:ascii="Times New Roman" w:hAnsi="Times New Roman" w:cs="Times New Roman"/>
                <w:szCs w:val="20"/>
              </w:rPr>
            </w:pPr>
            <w:r w:rsidRPr="0029636B">
              <w:rPr>
                <w:rFonts w:ascii="Times New Roman" w:hAnsi="Times New Roman" w:cs="Times New Roman"/>
                <w:szCs w:val="20"/>
              </w:rPr>
              <w:t>0.</w:t>
            </w:r>
            <w:r>
              <w:rPr>
                <w:rFonts w:ascii="Times New Roman" w:hAnsi="Times New Roman" w:cs="Times New Roman" w:hint="eastAsia"/>
                <w:szCs w:val="20"/>
              </w:rPr>
              <w:t>5</w:t>
            </w:r>
          </w:p>
        </w:tc>
        <w:tc>
          <w:tcPr>
            <w:tcW w:w="850" w:type="dxa"/>
            <w:vAlign w:val="center"/>
          </w:tcPr>
          <w:p w14:paraId="62181E05" w14:textId="15645968" w:rsidR="00E824C6" w:rsidRPr="0029636B" w:rsidRDefault="00E824C6" w:rsidP="007947DB">
            <w:pPr>
              <w:wordWrap/>
              <w:jc w:val="center"/>
              <w:rPr>
                <w:rFonts w:ascii="Times New Roman" w:hAnsi="Times New Roman" w:cs="Times New Roman"/>
                <w:szCs w:val="20"/>
              </w:rPr>
            </w:pPr>
            <w:r>
              <w:rPr>
                <w:rFonts w:ascii="Times New Roman" w:hAnsi="Times New Roman" w:cs="Times New Roman" w:hint="eastAsia"/>
                <w:szCs w:val="20"/>
              </w:rPr>
              <w:t>3</w:t>
            </w:r>
          </w:p>
        </w:tc>
        <w:tc>
          <w:tcPr>
            <w:tcW w:w="709" w:type="dxa"/>
            <w:vAlign w:val="center"/>
          </w:tcPr>
          <w:p w14:paraId="524494B6" w14:textId="6E377148" w:rsidR="00E824C6" w:rsidRPr="0029636B" w:rsidRDefault="00E824C6" w:rsidP="007947DB">
            <w:pPr>
              <w:wordWrap/>
              <w:jc w:val="center"/>
              <w:rPr>
                <w:rFonts w:ascii="Times New Roman" w:hAnsi="Times New Roman" w:cs="Times New Roman"/>
                <w:szCs w:val="20"/>
              </w:rPr>
            </w:pPr>
            <w:r>
              <w:rPr>
                <w:rFonts w:ascii="Times New Roman" w:hAnsi="Times New Roman" w:cs="Times New Roman" w:hint="eastAsia"/>
                <w:szCs w:val="20"/>
              </w:rPr>
              <w:t>3.2</w:t>
            </w:r>
          </w:p>
        </w:tc>
        <w:tc>
          <w:tcPr>
            <w:tcW w:w="851" w:type="dxa"/>
            <w:vAlign w:val="center"/>
          </w:tcPr>
          <w:p w14:paraId="2C09DD5D" w14:textId="2BBA59EF" w:rsidR="00E824C6" w:rsidRPr="0029636B" w:rsidDel="00E824C6" w:rsidRDefault="00E824C6" w:rsidP="007947DB">
            <w:pPr>
              <w:wordWrap/>
              <w:jc w:val="center"/>
              <w:rPr>
                <w:rFonts w:ascii="Times New Roman" w:hAnsi="Times New Roman" w:cs="Times New Roman"/>
                <w:szCs w:val="20"/>
              </w:rPr>
            </w:pPr>
            <w:r>
              <w:rPr>
                <w:rFonts w:ascii="Times New Roman" w:hAnsi="Times New Roman" w:cs="Times New Roman" w:hint="eastAsia"/>
                <w:szCs w:val="20"/>
              </w:rPr>
              <w:t>5</w:t>
            </w:r>
          </w:p>
        </w:tc>
        <w:tc>
          <w:tcPr>
            <w:tcW w:w="708" w:type="dxa"/>
            <w:vAlign w:val="center"/>
          </w:tcPr>
          <w:p w14:paraId="117E0B0F" w14:textId="6163349A" w:rsidR="00E824C6" w:rsidRPr="0029636B" w:rsidDel="00E824C6" w:rsidRDefault="00E824C6" w:rsidP="007947DB">
            <w:pPr>
              <w:wordWrap/>
              <w:jc w:val="center"/>
              <w:rPr>
                <w:rFonts w:ascii="Times New Roman" w:hAnsi="Times New Roman" w:cs="Times New Roman"/>
                <w:szCs w:val="20"/>
              </w:rPr>
            </w:pPr>
            <w:r>
              <w:rPr>
                <w:rFonts w:ascii="Times New Roman" w:hAnsi="Times New Roman" w:cs="Times New Roman" w:hint="eastAsia"/>
                <w:szCs w:val="20"/>
              </w:rPr>
              <w:t>5.0</w:t>
            </w:r>
          </w:p>
        </w:tc>
      </w:tr>
      <w:tr w:rsidR="00E824C6" w:rsidRPr="0029636B" w14:paraId="417515D7" w14:textId="77777777" w:rsidTr="001056E5">
        <w:tc>
          <w:tcPr>
            <w:tcW w:w="1809" w:type="dxa"/>
            <w:vMerge/>
            <w:vAlign w:val="center"/>
          </w:tcPr>
          <w:p w14:paraId="1F4449A8" w14:textId="77777777" w:rsidR="00E824C6" w:rsidRPr="0029636B" w:rsidRDefault="00E824C6" w:rsidP="007947DB">
            <w:pPr>
              <w:wordWrap/>
              <w:jc w:val="left"/>
              <w:rPr>
                <w:rFonts w:ascii="Times New Roman" w:hAnsi="Times New Roman" w:cs="Times New Roman"/>
                <w:szCs w:val="20"/>
              </w:rPr>
            </w:pPr>
          </w:p>
        </w:tc>
        <w:tc>
          <w:tcPr>
            <w:tcW w:w="2410" w:type="dxa"/>
            <w:vAlign w:val="center"/>
          </w:tcPr>
          <w:p w14:paraId="19CA63C9" w14:textId="6F08AE22" w:rsidR="00E824C6" w:rsidRDefault="00E824C6" w:rsidP="007947DB">
            <w:pPr>
              <w:wordWrap/>
              <w:jc w:val="left"/>
              <w:rPr>
                <w:rFonts w:ascii="Times New Roman" w:hAnsi="Times New Roman" w:cs="Times New Roman"/>
                <w:szCs w:val="20"/>
              </w:rPr>
            </w:pPr>
            <w:r>
              <w:rPr>
                <w:rFonts w:ascii="Times New Roman" w:hAnsi="Times New Roman" w:cs="Times New Roman" w:hint="eastAsia"/>
                <w:szCs w:val="20"/>
              </w:rPr>
              <w:t>Tonsillitis</w:t>
            </w:r>
          </w:p>
        </w:tc>
        <w:tc>
          <w:tcPr>
            <w:tcW w:w="851" w:type="dxa"/>
            <w:vAlign w:val="center"/>
          </w:tcPr>
          <w:p w14:paraId="0462E0E0" w14:textId="1E5F81C3" w:rsidR="00E824C6" w:rsidRDefault="00E824C6" w:rsidP="007947DB">
            <w:pPr>
              <w:wordWrap/>
              <w:jc w:val="center"/>
              <w:rPr>
                <w:rFonts w:ascii="Times New Roman" w:hAnsi="Times New Roman" w:cs="Times New Roman"/>
                <w:szCs w:val="20"/>
              </w:rPr>
            </w:pPr>
            <w:r>
              <w:rPr>
                <w:rFonts w:ascii="Times New Roman" w:hAnsi="Times New Roman" w:cs="Times New Roman" w:hint="eastAsia"/>
                <w:szCs w:val="20"/>
              </w:rPr>
              <w:t>0</w:t>
            </w:r>
          </w:p>
        </w:tc>
        <w:tc>
          <w:tcPr>
            <w:tcW w:w="992" w:type="dxa"/>
            <w:vAlign w:val="center"/>
          </w:tcPr>
          <w:p w14:paraId="6059B675" w14:textId="5101E1BE" w:rsidR="00E824C6" w:rsidRPr="0029636B" w:rsidRDefault="00E824C6" w:rsidP="00E824C6">
            <w:pPr>
              <w:wordWrap/>
              <w:jc w:val="center"/>
              <w:rPr>
                <w:rFonts w:ascii="Times New Roman" w:hAnsi="Times New Roman" w:cs="Times New Roman"/>
                <w:szCs w:val="20"/>
              </w:rPr>
            </w:pPr>
            <w:r>
              <w:rPr>
                <w:rFonts w:ascii="Times New Roman" w:hAnsi="Times New Roman" w:cs="Times New Roman" w:hint="eastAsia"/>
                <w:szCs w:val="20"/>
              </w:rPr>
              <w:t>0</w:t>
            </w:r>
            <w:r w:rsidRPr="0029636B">
              <w:rPr>
                <w:rFonts w:ascii="Times New Roman" w:hAnsi="Times New Roman" w:cs="Times New Roman"/>
                <w:szCs w:val="20"/>
              </w:rPr>
              <w:t>.0</w:t>
            </w:r>
          </w:p>
        </w:tc>
        <w:tc>
          <w:tcPr>
            <w:tcW w:w="850" w:type="dxa"/>
            <w:vAlign w:val="center"/>
          </w:tcPr>
          <w:p w14:paraId="6CB99279" w14:textId="650289A3" w:rsidR="00E824C6" w:rsidRDefault="00E824C6" w:rsidP="007947DB">
            <w:pPr>
              <w:wordWrap/>
              <w:jc w:val="center"/>
              <w:rPr>
                <w:rFonts w:ascii="Times New Roman" w:hAnsi="Times New Roman" w:cs="Times New Roman"/>
                <w:szCs w:val="20"/>
              </w:rPr>
            </w:pPr>
            <w:r w:rsidRPr="0029636B">
              <w:rPr>
                <w:rFonts w:ascii="Times New Roman" w:hAnsi="Times New Roman" w:cs="Times New Roman"/>
                <w:szCs w:val="20"/>
              </w:rPr>
              <w:t>2</w:t>
            </w:r>
          </w:p>
        </w:tc>
        <w:tc>
          <w:tcPr>
            <w:tcW w:w="709" w:type="dxa"/>
            <w:vAlign w:val="center"/>
          </w:tcPr>
          <w:p w14:paraId="26352258" w14:textId="2D6723E2" w:rsidR="00E824C6" w:rsidRDefault="00E824C6" w:rsidP="007947DB">
            <w:pPr>
              <w:wordWrap/>
              <w:jc w:val="center"/>
              <w:rPr>
                <w:rFonts w:ascii="Times New Roman" w:hAnsi="Times New Roman" w:cs="Times New Roman"/>
                <w:szCs w:val="20"/>
              </w:rPr>
            </w:pPr>
            <w:r w:rsidRPr="0029636B">
              <w:rPr>
                <w:rFonts w:ascii="Times New Roman" w:hAnsi="Times New Roman" w:cs="Times New Roman"/>
                <w:szCs w:val="20"/>
              </w:rPr>
              <w:t>2.1</w:t>
            </w:r>
          </w:p>
        </w:tc>
        <w:tc>
          <w:tcPr>
            <w:tcW w:w="851" w:type="dxa"/>
            <w:vAlign w:val="center"/>
          </w:tcPr>
          <w:p w14:paraId="5F736382" w14:textId="40DDAF94" w:rsidR="00E824C6" w:rsidRDefault="00E824C6" w:rsidP="007947DB">
            <w:pPr>
              <w:wordWrap/>
              <w:jc w:val="center"/>
              <w:rPr>
                <w:rFonts w:ascii="Times New Roman" w:hAnsi="Times New Roman" w:cs="Times New Roman"/>
                <w:szCs w:val="20"/>
              </w:rPr>
            </w:pPr>
            <w:r>
              <w:rPr>
                <w:rFonts w:ascii="Times New Roman" w:hAnsi="Times New Roman" w:cs="Times New Roman" w:hint="eastAsia"/>
                <w:szCs w:val="20"/>
              </w:rPr>
              <w:t>1</w:t>
            </w:r>
          </w:p>
        </w:tc>
        <w:tc>
          <w:tcPr>
            <w:tcW w:w="708" w:type="dxa"/>
            <w:vAlign w:val="center"/>
          </w:tcPr>
          <w:p w14:paraId="68BD4E63" w14:textId="3E029E78" w:rsidR="00E824C6" w:rsidRDefault="00E824C6" w:rsidP="007947DB">
            <w:pPr>
              <w:wordWrap/>
              <w:jc w:val="center"/>
              <w:rPr>
                <w:rFonts w:ascii="Times New Roman" w:hAnsi="Times New Roman" w:cs="Times New Roman"/>
                <w:szCs w:val="20"/>
              </w:rPr>
            </w:pPr>
            <w:r>
              <w:rPr>
                <w:rFonts w:ascii="Times New Roman" w:hAnsi="Times New Roman" w:cs="Times New Roman" w:hint="eastAsia"/>
                <w:szCs w:val="20"/>
              </w:rPr>
              <w:t>1.0</w:t>
            </w:r>
          </w:p>
        </w:tc>
      </w:tr>
      <w:tr w:rsidR="00E824C6" w:rsidRPr="0029636B" w14:paraId="29DC694F" w14:textId="77777777" w:rsidTr="001056E5">
        <w:tc>
          <w:tcPr>
            <w:tcW w:w="1809" w:type="dxa"/>
            <w:vMerge w:val="restart"/>
            <w:vAlign w:val="center"/>
          </w:tcPr>
          <w:p w14:paraId="6DF51275" w14:textId="5A000E4C" w:rsidR="00E824C6" w:rsidRPr="0029636B" w:rsidRDefault="00E824C6" w:rsidP="007947DB">
            <w:pPr>
              <w:wordWrap/>
              <w:jc w:val="left"/>
              <w:rPr>
                <w:rFonts w:ascii="Times New Roman" w:hAnsi="Times New Roman" w:cs="Times New Roman"/>
                <w:szCs w:val="20"/>
              </w:rPr>
            </w:pPr>
            <w:r>
              <w:rPr>
                <w:rFonts w:ascii="Times New Roman" w:hAnsi="Times New Roman" w:cs="Times New Roman" w:hint="eastAsia"/>
                <w:szCs w:val="20"/>
              </w:rPr>
              <w:t>Investigations</w:t>
            </w:r>
          </w:p>
        </w:tc>
        <w:tc>
          <w:tcPr>
            <w:tcW w:w="2410" w:type="dxa"/>
            <w:vAlign w:val="center"/>
          </w:tcPr>
          <w:p w14:paraId="6DD20045" w14:textId="051C0EC1" w:rsidR="00E824C6" w:rsidRDefault="00E824C6" w:rsidP="007947DB">
            <w:pPr>
              <w:wordWrap/>
              <w:jc w:val="left"/>
              <w:rPr>
                <w:rFonts w:ascii="Times New Roman" w:hAnsi="Times New Roman" w:cs="Times New Roman"/>
                <w:szCs w:val="20"/>
              </w:rPr>
            </w:pPr>
            <w:r>
              <w:rPr>
                <w:rFonts w:ascii="Times New Roman" w:hAnsi="Times New Roman" w:cs="Times New Roman" w:hint="eastAsia"/>
                <w:szCs w:val="20"/>
              </w:rPr>
              <w:t xml:space="preserve">Alanine </w:t>
            </w:r>
            <w:proofErr w:type="spellStart"/>
            <w:r>
              <w:rPr>
                <w:rFonts w:ascii="Times New Roman" w:hAnsi="Times New Roman" w:cs="Times New Roman" w:hint="eastAsia"/>
                <w:szCs w:val="20"/>
              </w:rPr>
              <w:t>Aminotrasnferase</w:t>
            </w:r>
            <w:proofErr w:type="spellEnd"/>
            <w:r>
              <w:rPr>
                <w:rFonts w:ascii="Times New Roman" w:hAnsi="Times New Roman" w:cs="Times New Roman" w:hint="eastAsia"/>
                <w:szCs w:val="20"/>
              </w:rPr>
              <w:t xml:space="preserve"> Increased</w:t>
            </w:r>
          </w:p>
        </w:tc>
        <w:tc>
          <w:tcPr>
            <w:tcW w:w="851" w:type="dxa"/>
            <w:vAlign w:val="center"/>
          </w:tcPr>
          <w:p w14:paraId="2C615B51" w14:textId="0AEC12E9" w:rsidR="00E824C6" w:rsidRDefault="00E824C6" w:rsidP="007947DB">
            <w:pPr>
              <w:wordWrap/>
              <w:jc w:val="center"/>
              <w:rPr>
                <w:rFonts w:ascii="Times New Roman" w:hAnsi="Times New Roman" w:cs="Times New Roman"/>
                <w:szCs w:val="20"/>
              </w:rPr>
            </w:pPr>
            <w:r>
              <w:rPr>
                <w:rFonts w:ascii="Times New Roman" w:hAnsi="Times New Roman" w:cs="Times New Roman" w:hint="eastAsia"/>
                <w:szCs w:val="20"/>
              </w:rPr>
              <w:t>5</w:t>
            </w:r>
          </w:p>
        </w:tc>
        <w:tc>
          <w:tcPr>
            <w:tcW w:w="992" w:type="dxa"/>
            <w:vAlign w:val="center"/>
          </w:tcPr>
          <w:p w14:paraId="2DF8FCD5" w14:textId="06BFC08C" w:rsidR="00E824C6" w:rsidRDefault="00E824C6" w:rsidP="00E824C6">
            <w:pPr>
              <w:wordWrap/>
              <w:jc w:val="center"/>
              <w:rPr>
                <w:rFonts w:ascii="Times New Roman" w:hAnsi="Times New Roman" w:cs="Times New Roman"/>
                <w:szCs w:val="20"/>
              </w:rPr>
            </w:pPr>
            <w:r>
              <w:rPr>
                <w:rFonts w:ascii="Times New Roman" w:hAnsi="Times New Roman" w:cs="Times New Roman" w:hint="eastAsia"/>
                <w:szCs w:val="20"/>
              </w:rPr>
              <w:t>2.5</w:t>
            </w:r>
          </w:p>
        </w:tc>
        <w:tc>
          <w:tcPr>
            <w:tcW w:w="850" w:type="dxa"/>
            <w:vAlign w:val="center"/>
          </w:tcPr>
          <w:p w14:paraId="44083904" w14:textId="2D7C486F" w:rsidR="00E824C6" w:rsidRPr="0029636B" w:rsidRDefault="00E824C6" w:rsidP="007947DB">
            <w:pPr>
              <w:wordWrap/>
              <w:jc w:val="center"/>
              <w:rPr>
                <w:rFonts w:ascii="Times New Roman" w:hAnsi="Times New Roman" w:cs="Times New Roman"/>
                <w:szCs w:val="20"/>
              </w:rPr>
            </w:pPr>
            <w:r>
              <w:rPr>
                <w:rFonts w:ascii="Times New Roman" w:hAnsi="Times New Roman" w:cs="Times New Roman" w:hint="eastAsia"/>
                <w:szCs w:val="20"/>
              </w:rPr>
              <w:t>4</w:t>
            </w:r>
          </w:p>
        </w:tc>
        <w:tc>
          <w:tcPr>
            <w:tcW w:w="709" w:type="dxa"/>
            <w:vAlign w:val="center"/>
          </w:tcPr>
          <w:p w14:paraId="0A802CCB" w14:textId="3D71D201" w:rsidR="00E824C6" w:rsidRPr="0029636B" w:rsidRDefault="00E824C6" w:rsidP="007947DB">
            <w:pPr>
              <w:wordWrap/>
              <w:jc w:val="center"/>
              <w:rPr>
                <w:rFonts w:ascii="Times New Roman" w:hAnsi="Times New Roman" w:cs="Times New Roman"/>
                <w:szCs w:val="20"/>
              </w:rPr>
            </w:pPr>
            <w:r>
              <w:rPr>
                <w:rFonts w:ascii="Times New Roman" w:hAnsi="Times New Roman" w:cs="Times New Roman" w:hint="eastAsia"/>
                <w:szCs w:val="20"/>
              </w:rPr>
              <w:t>4.3</w:t>
            </w:r>
          </w:p>
        </w:tc>
        <w:tc>
          <w:tcPr>
            <w:tcW w:w="851" w:type="dxa"/>
            <w:vAlign w:val="center"/>
          </w:tcPr>
          <w:p w14:paraId="72430F28" w14:textId="61E31A7F" w:rsidR="00E824C6" w:rsidRDefault="00E824C6" w:rsidP="007947DB">
            <w:pPr>
              <w:wordWrap/>
              <w:jc w:val="center"/>
              <w:rPr>
                <w:rFonts w:ascii="Times New Roman" w:hAnsi="Times New Roman" w:cs="Times New Roman"/>
                <w:szCs w:val="20"/>
              </w:rPr>
            </w:pPr>
            <w:r>
              <w:rPr>
                <w:rFonts w:ascii="Times New Roman" w:hAnsi="Times New Roman" w:cs="Times New Roman" w:hint="eastAsia"/>
                <w:szCs w:val="20"/>
              </w:rPr>
              <w:t>1</w:t>
            </w:r>
          </w:p>
        </w:tc>
        <w:tc>
          <w:tcPr>
            <w:tcW w:w="708" w:type="dxa"/>
            <w:vAlign w:val="center"/>
          </w:tcPr>
          <w:p w14:paraId="11A96034" w14:textId="607C704C" w:rsidR="00E824C6" w:rsidRDefault="00E824C6" w:rsidP="007947DB">
            <w:pPr>
              <w:wordWrap/>
              <w:jc w:val="center"/>
              <w:rPr>
                <w:rFonts w:ascii="Times New Roman" w:hAnsi="Times New Roman" w:cs="Times New Roman"/>
                <w:szCs w:val="20"/>
              </w:rPr>
            </w:pPr>
            <w:r>
              <w:rPr>
                <w:rFonts w:ascii="Times New Roman" w:hAnsi="Times New Roman" w:cs="Times New Roman" w:hint="eastAsia"/>
                <w:szCs w:val="20"/>
              </w:rPr>
              <w:t>1.0</w:t>
            </w:r>
          </w:p>
        </w:tc>
      </w:tr>
      <w:tr w:rsidR="00E824C6" w:rsidRPr="0029636B" w14:paraId="48388B73" w14:textId="77777777" w:rsidTr="001056E5">
        <w:tc>
          <w:tcPr>
            <w:tcW w:w="1809" w:type="dxa"/>
            <w:vMerge/>
            <w:vAlign w:val="center"/>
          </w:tcPr>
          <w:p w14:paraId="764DA501" w14:textId="77777777" w:rsidR="00E824C6" w:rsidRPr="0029636B" w:rsidRDefault="00E824C6" w:rsidP="007947DB">
            <w:pPr>
              <w:wordWrap/>
              <w:jc w:val="left"/>
              <w:rPr>
                <w:rFonts w:ascii="Times New Roman" w:hAnsi="Times New Roman" w:cs="Times New Roman"/>
                <w:szCs w:val="20"/>
              </w:rPr>
            </w:pPr>
          </w:p>
        </w:tc>
        <w:tc>
          <w:tcPr>
            <w:tcW w:w="2410" w:type="dxa"/>
            <w:vAlign w:val="center"/>
          </w:tcPr>
          <w:p w14:paraId="1BC00609" w14:textId="2C645DAB" w:rsidR="00E824C6" w:rsidRDefault="00E824C6" w:rsidP="007947DB">
            <w:pPr>
              <w:wordWrap/>
              <w:jc w:val="left"/>
              <w:rPr>
                <w:rFonts w:ascii="Times New Roman" w:hAnsi="Times New Roman" w:cs="Times New Roman"/>
                <w:szCs w:val="20"/>
              </w:rPr>
            </w:pPr>
            <w:r>
              <w:rPr>
                <w:rFonts w:ascii="Times New Roman" w:hAnsi="Times New Roman" w:cs="Times New Roman" w:hint="eastAsia"/>
                <w:szCs w:val="20"/>
              </w:rPr>
              <w:t>Aspartate Aminotransferase Increased</w:t>
            </w:r>
          </w:p>
        </w:tc>
        <w:tc>
          <w:tcPr>
            <w:tcW w:w="851" w:type="dxa"/>
            <w:vAlign w:val="center"/>
          </w:tcPr>
          <w:p w14:paraId="30B445B0" w14:textId="655F5004" w:rsidR="00E824C6" w:rsidRDefault="00E824C6" w:rsidP="007947DB">
            <w:pPr>
              <w:wordWrap/>
              <w:jc w:val="center"/>
              <w:rPr>
                <w:rFonts w:ascii="Times New Roman" w:hAnsi="Times New Roman" w:cs="Times New Roman"/>
                <w:szCs w:val="20"/>
              </w:rPr>
            </w:pPr>
            <w:r>
              <w:rPr>
                <w:rFonts w:ascii="Times New Roman" w:hAnsi="Times New Roman" w:cs="Times New Roman" w:hint="eastAsia"/>
                <w:szCs w:val="20"/>
              </w:rPr>
              <w:t>4</w:t>
            </w:r>
          </w:p>
        </w:tc>
        <w:tc>
          <w:tcPr>
            <w:tcW w:w="992" w:type="dxa"/>
            <w:vAlign w:val="center"/>
          </w:tcPr>
          <w:p w14:paraId="0EE2302E" w14:textId="70DDC76F" w:rsidR="00E824C6" w:rsidRDefault="00E824C6" w:rsidP="00E824C6">
            <w:pPr>
              <w:wordWrap/>
              <w:jc w:val="center"/>
              <w:rPr>
                <w:rFonts w:ascii="Times New Roman" w:hAnsi="Times New Roman" w:cs="Times New Roman"/>
                <w:szCs w:val="20"/>
              </w:rPr>
            </w:pPr>
            <w:r>
              <w:rPr>
                <w:rFonts w:ascii="Times New Roman" w:hAnsi="Times New Roman" w:cs="Times New Roman" w:hint="eastAsia"/>
                <w:szCs w:val="20"/>
              </w:rPr>
              <w:t>2.0</w:t>
            </w:r>
          </w:p>
        </w:tc>
        <w:tc>
          <w:tcPr>
            <w:tcW w:w="850" w:type="dxa"/>
            <w:vAlign w:val="center"/>
          </w:tcPr>
          <w:p w14:paraId="165F13E1" w14:textId="091E7BF5" w:rsidR="00E824C6" w:rsidRPr="0029636B" w:rsidRDefault="00E824C6" w:rsidP="007947DB">
            <w:pPr>
              <w:wordWrap/>
              <w:jc w:val="center"/>
              <w:rPr>
                <w:rFonts w:ascii="Times New Roman" w:hAnsi="Times New Roman" w:cs="Times New Roman"/>
                <w:szCs w:val="20"/>
              </w:rPr>
            </w:pPr>
            <w:r>
              <w:rPr>
                <w:rFonts w:ascii="Times New Roman" w:hAnsi="Times New Roman" w:cs="Times New Roman" w:hint="eastAsia"/>
                <w:szCs w:val="20"/>
              </w:rPr>
              <w:t>4</w:t>
            </w:r>
          </w:p>
        </w:tc>
        <w:tc>
          <w:tcPr>
            <w:tcW w:w="709" w:type="dxa"/>
            <w:vAlign w:val="center"/>
          </w:tcPr>
          <w:p w14:paraId="588A56EF" w14:textId="78E0E2FE" w:rsidR="00E824C6" w:rsidRPr="0029636B" w:rsidRDefault="00E824C6" w:rsidP="007947DB">
            <w:pPr>
              <w:wordWrap/>
              <w:jc w:val="center"/>
              <w:rPr>
                <w:rFonts w:ascii="Times New Roman" w:hAnsi="Times New Roman" w:cs="Times New Roman"/>
                <w:szCs w:val="20"/>
              </w:rPr>
            </w:pPr>
            <w:r>
              <w:rPr>
                <w:rFonts w:ascii="Times New Roman" w:hAnsi="Times New Roman" w:cs="Times New Roman" w:hint="eastAsia"/>
                <w:szCs w:val="20"/>
              </w:rPr>
              <w:t>4.3</w:t>
            </w:r>
          </w:p>
        </w:tc>
        <w:tc>
          <w:tcPr>
            <w:tcW w:w="851" w:type="dxa"/>
            <w:vAlign w:val="center"/>
          </w:tcPr>
          <w:p w14:paraId="4E35F181" w14:textId="3A020EBD" w:rsidR="00E824C6" w:rsidRDefault="00E824C6" w:rsidP="007947DB">
            <w:pPr>
              <w:wordWrap/>
              <w:jc w:val="center"/>
              <w:rPr>
                <w:rFonts w:ascii="Times New Roman" w:hAnsi="Times New Roman" w:cs="Times New Roman"/>
                <w:szCs w:val="20"/>
              </w:rPr>
            </w:pPr>
            <w:r>
              <w:rPr>
                <w:rFonts w:ascii="Times New Roman" w:hAnsi="Times New Roman" w:cs="Times New Roman" w:hint="eastAsia"/>
                <w:szCs w:val="20"/>
              </w:rPr>
              <w:t>2</w:t>
            </w:r>
          </w:p>
        </w:tc>
        <w:tc>
          <w:tcPr>
            <w:tcW w:w="708" w:type="dxa"/>
            <w:vAlign w:val="center"/>
          </w:tcPr>
          <w:p w14:paraId="067EC42C" w14:textId="6AC7A4C5" w:rsidR="00E824C6" w:rsidRDefault="00E824C6" w:rsidP="007947DB">
            <w:pPr>
              <w:wordWrap/>
              <w:jc w:val="center"/>
              <w:rPr>
                <w:rFonts w:ascii="Times New Roman" w:hAnsi="Times New Roman" w:cs="Times New Roman"/>
                <w:szCs w:val="20"/>
              </w:rPr>
            </w:pPr>
            <w:r>
              <w:rPr>
                <w:rFonts w:ascii="Times New Roman" w:hAnsi="Times New Roman" w:cs="Times New Roman" w:hint="eastAsia"/>
                <w:szCs w:val="20"/>
              </w:rPr>
              <w:t>2.0</w:t>
            </w:r>
          </w:p>
        </w:tc>
      </w:tr>
      <w:tr w:rsidR="00FB6B72" w14:paraId="14CBC832" w14:textId="77777777" w:rsidTr="005141A5">
        <w:tc>
          <w:tcPr>
            <w:tcW w:w="1809" w:type="dxa"/>
            <w:vMerge/>
          </w:tcPr>
          <w:p w14:paraId="692E4FF2" w14:textId="77777777" w:rsidR="00FB6B72" w:rsidRPr="0029636B" w:rsidRDefault="00FB6B72" w:rsidP="00FB6B72">
            <w:pPr>
              <w:wordWrap/>
              <w:jc w:val="left"/>
              <w:rPr>
                <w:rFonts w:ascii="Times New Roman" w:hAnsi="Times New Roman" w:cs="Times New Roman"/>
                <w:szCs w:val="20"/>
              </w:rPr>
            </w:pPr>
          </w:p>
        </w:tc>
        <w:tc>
          <w:tcPr>
            <w:tcW w:w="2410" w:type="dxa"/>
          </w:tcPr>
          <w:p w14:paraId="30BDEA28" w14:textId="0378B8A7" w:rsidR="00FB6B72" w:rsidRDefault="00FB6B72" w:rsidP="00FB6B72">
            <w:pPr>
              <w:wordWrap/>
              <w:jc w:val="left"/>
              <w:rPr>
                <w:rFonts w:ascii="Times New Roman" w:hAnsi="Times New Roman" w:cs="Times New Roman"/>
                <w:szCs w:val="20"/>
              </w:rPr>
            </w:pPr>
            <w:r>
              <w:rPr>
                <w:rFonts w:ascii="Times New Roman" w:hAnsi="Times New Roman" w:cs="Times New Roman" w:hint="eastAsia"/>
                <w:szCs w:val="20"/>
              </w:rPr>
              <w:t>Antinuclear Antibody P</w:t>
            </w:r>
            <w:r>
              <w:rPr>
                <w:rFonts w:ascii="Times New Roman" w:hAnsi="Times New Roman" w:cs="Times New Roman"/>
                <w:szCs w:val="20"/>
              </w:rPr>
              <w:t>o</w:t>
            </w:r>
            <w:r>
              <w:rPr>
                <w:rFonts w:ascii="Times New Roman" w:hAnsi="Times New Roman" w:cs="Times New Roman" w:hint="eastAsia"/>
                <w:szCs w:val="20"/>
              </w:rPr>
              <w:t xml:space="preserve">sitive </w:t>
            </w:r>
          </w:p>
        </w:tc>
        <w:tc>
          <w:tcPr>
            <w:tcW w:w="851" w:type="dxa"/>
            <w:vAlign w:val="center"/>
          </w:tcPr>
          <w:p w14:paraId="00CCC1F3" w14:textId="1CB1E6CF" w:rsidR="00FB6B72" w:rsidRDefault="00FB6B72" w:rsidP="00FB6B72">
            <w:pPr>
              <w:wordWrap/>
              <w:jc w:val="center"/>
              <w:rPr>
                <w:rFonts w:ascii="Times New Roman" w:hAnsi="Times New Roman" w:cs="Times New Roman"/>
                <w:szCs w:val="20"/>
              </w:rPr>
            </w:pPr>
            <w:r>
              <w:rPr>
                <w:rFonts w:ascii="Times New Roman" w:hAnsi="Times New Roman" w:cs="Times New Roman" w:hint="eastAsia"/>
                <w:szCs w:val="20"/>
              </w:rPr>
              <w:t>0</w:t>
            </w:r>
          </w:p>
        </w:tc>
        <w:tc>
          <w:tcPr>
            <w:tcW w:w="992" w:type="dxa"/>
            <w:vAlign w:val="center"/>
          </w:tcPr>
          <w:p w14:paraId="4A392A58" w14:textId="6FF0549C" w:rsidR="00FB6B72" w:rsidRDefault="00FB6B72" w:rsidP="00FB6B72">
            <w:pPr>
              <w:wordWrap/>
              <w:jc w:val="center"/>
              <w:rPr>
                <w:rFonts w:ascii="Times New Roman" w:hAnsi="Times New Roman" w:cs="Times New Roman"/>
                <w:szCs w:val="20"/>
              </w:rPr>
            </w:pPr>
            <w:r>
              <w:rPr>
                <w:rFonts w:ascii="Times New Roman" w:hAnsi="Times New Roman" w:cs="Times New Roman" w:hint="eastAsia"/>
                <w:szCs w:val="20"/>
              </w:rPr>
              <w:t>0</w:t>
            </w:r>
            <w:r w:rsidRPr="0029636B">
              <w:rPr>
                <w:rFonts w:ascii="Times New Roman" w:hAnsi="Times New Roman" w:cs="Times New Roman"/>
                <w:szCs w:val="20"/>
              </w:rPr>
              <w:t>.0</w:t>
            </w:r>
          </w:p>
        </w:tc>
        <w:tc>
          <w:tcPr>
            <w:tcW w:w="850" w:type="dxa"/>
            <w:vAlign w:val="center"/>
          </w:tcPr>
          <w:p w14:paraId="0E1A4C1D" w14:textId="7F92360D" w:rsidR="00FB6B72" w:rsidRPr="0029636B" w:rsidRDefault="00FB6B72" w:rsidP="00FB6B72">
            <w:pPr>
              <w:wordWrap/>
              <w:jc w:val="center"/>
              <w:rPr>
                <w:rFonts w:ascii="Times New Roman" w:hAnsi="Times New Roman" w:cs="Times New Roman"/>
                <w:szCs w:val="20"/>
              </w:rPr>
            </w:pPr>
            <w:r>
              <w:rPr>
                <w:rFonts w:ascii="Times New Roman" w:hAnsi="Times New Roman" w:cs="Times New Roman" w:hint="eastAsia"/>
                <w:szCs w:val="20"/>
              </w:rPr>
              <w:t>0</w:t>
            </w:r>
          </w:p>
        </w:tc>
        <w:tc>
          <w:tcPr>
            <w:tcW w:w="709" w:type="dxa"/>
            <w:vAlign w:val="center"/>
          </w:tcPr>
          <w:p w14:paraId="21E6A0D2" w14:textId="2730951F" w:rsidR="00FB6B72" w:rsidRPr="0029636B" w:rsidRDefault="00FB6B72" w:rsidP="00FB6B72">
            <w:pPr>
              <w:wordWrap/>
              <w:jc w:val="center"/>
              <w:rPr>
                <w:rFonts w:ascii="Times New Roman" w:hAnsi="Times New Roman" w:cs="Times New Roman"/>
                <w:szCs w:val="20"/>
              </w:rPr>
            </w:pPr>
            <w:r>
              <w:rPr>
                <w:rFonts w:ascii="Times New Roman" w:hAnsi="Times New Roman" w:cs="Times New Roman" w:hint="eastAsia"/>
                <w:szCs w:val="20"/>
              </w:rPr>
              <w:t>0</w:t>
            </w:r>
            <w:r w:rsidRPr="0029636B">
              <w:rPr>
                <w:rFonts w:ascii="Times New Roman" w:hAnsi="Times New Roman" w:cs="Times New Roman"/>
                <w:szCs w:val="20"/>
              </w:rPr>
              <w:t>.0</w:t>
            </w:r>
          </w:p>
        </w:tc>
        <w:tc>
          <w:tcPr>
            <w:tcW w:w="851" w:type="dxa"/>
            <w:vAlign w:val="center"/>
          </w:tcPr>
          <w:p w14:paraId="27B4592E" w14:textId="37DB5C13" w:rsidR="00FB6B72" w:rsidRDefault="00FB6B72" w:rsidP="00FB6B72">
            <w:pPr>
              <w:wordWrap/>
              <w:jc w:val="center"/>
              <w:rPr>
                <w:rFonts w:ascii="Times New Roman" w:hAnsi="Times New Roman" w:cs="Times New Roman"/>
                <w:szCs w:val="20"/>
              </w:rPr>
            </w:pPr>
            <w:r>
              <w:rPr>
                <w:rFonts w:ascii="Times New Roman" w:hAnsi="Times New Roman" w:cs="Times New Roman" w:hint="eastAsia"/>
                <w:szCs w:val="20"/>
              </w:rPr>
              <w:t>2</w:t>
            </w:r>
          </w:p>
        </w:tc>
        <w:tc>
          <w:tcPr>
            <w:tcW w:w="708" w:type="dxa"/>
            <w:vAlign w:val="center"/>
          </w:tcPr>
          <w:p w14:paraId="4CCDF8BA" w14:textId="75681FF0" w:rsidR="00FB6B72" w:rsidRDefault="00FB6B72" w:rsidP="00FB6B72">
            <w:pPr>
              <w:wordWrap/>
              <w:jc w:val="center"/>
              <w:rPr>
                <w:rFonts w:ascii="Times New Roman" w:hAnsi="Times New Roman" w:cs="Times New Roman"/>
                <w:szCs w:val="20"/>
              </w:rPr>
            </w:pPr>
            <w:r>
              <w:rPr>
                <w:rFonts w:ascii="Times New Roman" w:hAnsi="Times New Roman" w:cs="Times New Roman" w:hint="eastAsia"/>
                <w:szCs w:val="20"/>
              </w:rPr>
              <w:t>2.0</w:t>
            </w:r>
          </w:p>
        </w:tc>
      </w:tr>
      <w:tr w:rsidR="00FB6B72" w14:paraId="58C12D7C" w14:textId="77777777" w:rsidTr="007B3262">
        <w:tc>
          <w:tcPr>
            <w:tcW w:w="1809" w:type="dxa"/>
          </w:tcPr>
          <w:p w14:paraId="68CBEAB9" w14:textId="5F30759B" w:rsidR="00FB6B72" w:rsidRPr="0029636B" w:rsidRDefault="00FB6B72" w:rsidP="00FB6B72">
            <w:pPr>
              <w:wordWrap/>
              <w:jc w:val="left"/>
              <w:rPr>
                <w:rFonts w:ascii="Times New Roman" w:hAnsi="Times New Roman" w:cs="Times New Roman"/>
                <w:szCs w:val="20"/>
              </w:rPr>
            </w:pPr>
            <w:r>
              <w:rPr>
                <w:rFonts w:ascii="Times New Roman" w:hAnsi="Times New Roman" w:cs="Times New Roman" w:hint="eastAsia"/>
                <w:szCs w:val="20"/>
              </w:rPr>
              <w:t>Musculoskeletal and connective Tissue Disorder</w:t>
            </w:r>
          </w:p>
        </w:tc>
        <w:tc>
          <w:tcPr>
            <w:tcW w:w="2410" w:type="dxa"/>
            <w:vAlign w:val="center"/>
          </w:tcPr>
          <w:p w14:paraId="71F89CC3" w14:textId="44875FAC" w:rsidR="00FB6B72" w:rsidRDefault="00FB6B72" w:rsidP="007B3262">
            <w:pPr>
              <w:wordWrap/>
              <w:rPr>
                <w:rFonts w:ascii="Times New Roman" w:hAnsi="Times New Roman" w:cs="Times New Roman"/>
                <w:szCs w:val="20"/>
              </w:rPr>
            </w:pPr>
            <w:r>
              <w:rPr>
                <w:rFonts w:ascii="Times New Roman" w:hAnsi="Times New Roman" w:cs="Times New Roman" w:hint="eastAsia"/>
                <w:szCs w:val="20"/>
              </w:rPr>
              <w:t>Rheumatoid Arthritis</w:t>
            </w:r>
          </w:p>
        </w:tc>
        <w:tc>
          <w:tcPr>
            <w:tcW w:w="851" w:type="dxa"/>
            <w:vAlign w:val="center"/>
          </w:tcPr>
          <w:p w14:paraId="69A2D1B5" w14:textId="25EED427" w:rsidR="00FB6B72" w:rsidRDefault="00FB6B72" w:rsidP="007B3262">
            <w:pPr>
              <w:wordWrap/>
              <w:jc w:val="center"/>
              <w:rPr>
                <w:rFonts w:ascii="Times New Roman" w:hAnsi="Times New Roman" w:cs="Times New Roman"/>
                <w:szCs w:val="20"/>
              </w:rPr>
            </w:pPr>
            <w:r>
              <w:rPr>
                <w:rFonts w:ascii="Times New Roman" w:hAnsi="Times New Roman" w:cs="Times New Roman" w:hint="eastAsia"/>
                <w:szCs w:val="20"/>
              </w:rPr>
              <w:t>7</w:t>
            </w:r>
          </w:p>
        </w:tc>
        <w:tc>
          <w:tcPr>
            <w:tcW w:w="992" w:type="dxa"/>
            <w:vAlign w:val="center"/>
          </w:tcPr>
          <w:p w14:paraId="26540A1C" w14:textId="5A22838D" w:rsidR="00FB6B72" w:rsidRDefault="00FB6B72" w:rsidP="007B3262">
            <w:pPr>
              <w:wordWrap/>
              <w:jc w:val="center"/>
              <w:rPr>
                <w:rFonts w:ascii="Times New Roman" w:hAnsi="Times New Roman" w:cs="Times New Roman"/>
                <w:szCs w:val="20"/>
              </w:rPr>
            </w:pPr>
            <w:r>
              <w:rPr>
                <w:rFonts w:ascii="Times New Roman" w:hAnsi="Times New Roman" w:cs="Times New Roman" w:hint="eastAsia"/>
                <w:szCs w:val="20"/>
              </w:rPr>
              <w:t>3.5</w:t>
            </w:r>
          </w:p>
        </w:tc>
        <w:tc>
          <w:tcPr>
            <w:tcW w:w="850" w:type="dxa"/>
            <w:vAlign w:val="center"/>
          </w:tcPr>
          <w:p w14:paraId="0114A998" w14:textId="286B0FEB" w:rsidR="00FB6B72" w:rsidRPr="0029636B" w:rsidRDefault="00FB6B72" w:rsidP="007B3262">
            <w:pPr>
              <w:wordWrap/>
              <w:jc w:val="center"/>
              <w:rPr>
                <w:rFonts w:ascii="Times New Roman" w:hAnsi="Times New Roman" w:cs="Times New Roman"/>
                <w:szCs w:val="20"/>
              </w:rPr>
            </w:pPr>
            <w:r>
              <w:rPr>
                <w:rFonts w:ascii="Times New Roman" w:hAnsi="Times New Roman" w:cs="Times New Roman" w:hint="eastAsia"/>
                <w:szCs w:val="20"/>
              </w:rPr>
              <w:t>2</w:t>
            </w:r>
          </w:p>
        </w:tc>
        <w:tc>
          <w:tcPr>
            <w:tcW w:w="709" w:type="dxa"/>
            <w:vAlign w:val="center"/>
          </w:tcPr>
          <w:p w14:paraId="10BAE265" w14:textId="61F440E4" w:rsidR="00FB6B72" w:rsidRPr="0029636B" w:rsidRDefault="00FB6B72" w:rsidP="007B3262">
            <w:pPr>
              <w:wordWrap/>
              <w:jc w:val="center"/>
              <w:rPr>
                <w:rFonts w:ascii="Times New Roman" w:hAnsi="Times New Roman" w:cs="Times New Roman"/>
                <w:szCs w:val="20"/>
              </w:rPr>
            </w:pPr>
            <w:r>
              <w:rPr>
                <w:rFonts w:ascii="Times New Roman" w:hAnsi="Times New Roman" w:cs="Times New Roman" w:hint="eastAsia"/>
                <w:szCs w:val="20"/>
              </w:rPr>
              <w:t>2.1</w:t>
            </w:r>
          </w:p>
        </w:tc>
        <w:tc>
          <w:tcPr>
            <w:tcW w:w="851" w:type="dxa"/>
            <w:vAlign w:val="center"/>
          </w:tcPr>
          <w:p w14:paraId="6C8BFCAE" w14:textId="13C37B44" w:rsidR="00FB6B72" w:rsidRDefault="00FB6B72" w:rsidP="007B3262">
            <w:pPr>
              <w:wordWrap/>
              <w:jc w:val="center"/>
              <w:rPr>
                <w:rFonts w:ascii="Times New Roman" w:hAnsi="Times New Roman" w:cs="Times New Roman"/>
                <w:szCs w:val="20"/>
              </w:rPr>
            </w:pPr>
            <w:r>
              <w:rPr>
                <w:rFonts w:ascii="Times New Roman" w:hAnsi="Times New Roman" w:cs="Times New Roman" w:hint="eastAsia"/>
                <w:szCs w:val="20"/>
              </w:rPr>
              <w:t>4</w:t>
            </w:r>
          </w:p>
        </w:tc>
        <w:tc>
          <w:tcPr>
            <w:tcW w:w="708" w:type="dxa"/>
            <w:vAlign w:val="center"/>
          </w:tcPr>
          <w:p w14:paraId="51698932" w14:textId="4DF25CAB" w:rsidR="00FB6B72" w:rsidRDefault="00FB6B72" w:rsidP="007B3262">
            <w:pPr>
              <w:wordWrap/>
              <w:jc w:val="center"/>
              <w:rPr>
                <w:rFonts w:ascii="Times New Roman" w:hAnsi="Times New Roman" w:cs="Times New Roman"/>
                <w:szCs w:val="20"/>
              </w:rPr>
            </w:pPr>
            <w:r>
              <w:rPr>
                <w:rFonts w:ascii="Times New Roman" w:hAnsi="Times New Roman" w:cs="Times New Roman" w:hint="eastAsia"/>
                <w:szCs w:val="20"/>
              </w:rPr>
              <w:t>4.0</w:t>
            </w:r>
          </w:p>
        </w:tc>
      </w:tr>
      <w:tr w:rsidR="00FB6B72" w14:paraId="2B6EAF87" w14:textId="77777777" w:rsidTr="007B3262">
        <w:tc>
          <w:tcPr>
            <w:tcW w:w="1809" w:type="dxa"/>
          </w:tcPr>
          <w:p w14:paraId="42AF6A51" w14:textId="7B75C2F3" w:rsidR="00FB6B72" w:rsidRPr="0029636B" w:rsidRDefault="00FB6B72" w:rsidP="00FB6B72">
            <w:pPr>
              <w:wordWrap/>
              <w:jc w:val="left"/>
              <w:rPr>
                <w:rFonts w:ascii="Times New Roman" w:hAnsi="Times New Roman" w:cs="Times New Roman"/>
                <w:szCs w:val="20"/>
              </w:rPr>
            </w:pPr>
            <w:r>
              <w:rPr>
                <w:rFonts w:ascii="Times New Roman" w:hAnsi="Times New Roman" w:cs="Times New Roman" w:hint="eastAsia"/>
                <w:szCs w:val="20"/>
              </w:rPr>
              <w:t>Nervous System Disorders</w:t>
            </w:r>
          </w:p>
        </w:tc>
        <w:tc>
          <w:tcPr>
            <w:tcW w:w="2410" w:type="dxa"/>
            <w:vAlign w:val="center"/>
          </w:tcPr>
          <w:p w14:paraId="5E8E887B" w14:textId="5A2439EF" w:rsidR="00FB6B72" w:rsidRDefault="00FB6B72" w:rsidP="007B3262">
            <w:pPr>
              <w:wordWrap/>
              <w:rPr>
                <w:rFonts w:ascii="Times New Roman" w:hAnsi="Times New Roman" w:cs="Times New Roman"/>
                <w:szCs w:val="20"/>
              </w:rPr>
            </w:pPr>
            <w:r>
              <w:rPr>
                <w:rFonts w:ascii="Times New Roman" w:hAnsi="Times New Roman" w:cs="Times New Roman" w:hint="eastAsia"/>
                <w:szCs w:val="20"/>
              </w:rPr>
              <w:t>Headache</w:t>
            </w:r>
          </w:p>
        </w:tc>
        <w:tc>
          <w:tcPr>
            <w:tcW w:w="851" w:type="dxa"/>
            <w:vAlign w:val="center"/>
          </w:tcPr>
          <w:p w14:paraId="1D16B578" w14:textId="6B6AFB65" w:rsidR="00FB6B72" w:rsidRDefault="00FB6B72" w:rsidP="007B3262">
            <w:pPr>
              <w:wordWrap/>
              <w:jc w:val="center"/>
              <w:rPr>
                <w:rFonts w:ascii="Times New Roman" w:hAnsi="Times New Roman" w:cs="Times New Roman"/>
                <w:szCs w:val="20"/>
              </w:rPr>
            </w:pPr>
            <w:r>
              <w:rPr>
                <w:rFonts w:ascii="Times New Roman" w:hAnsi="Times New Roman" w:cs="Times New Roman" w:hint="eastAsia"/>
                <w:szCs w:val="20"/>
              </w:rPr>
              <w:t>1</w:t>
            </w:r>
          </w:p>
        </w:tc>
        <w:tc>
          <w:tcPr>
            <w:tcW w:w="992" w:type="dxa"/>
            <w:vAlign w:val="center"/>
          </w:tcPr>
          <w:p w14:paraId="0B3C8DD2" w14:textId="78326BA6" w:rsidR="00FB6B72" w:rsidRDefault="00FB6B72" w:rsidP="007B3262">
            <w:pPr>
              <w:wordWrap/>
              <w:jc w:val="center"/>
              <w:rPr>
                <w:rFonts w:ascii="Times New Roman" w:hAnsi="Times New Roman" w:cs="Times New Roman"/>
                <w:szCs w:val="20"/>
              </w:rPr>
            </w:pPr>
            <w:r>
              <w:rPr>
                <w:rFonts w:ascii="Times New Roman" w:hAnsi="Times New Roman" w:cs="Times New Roman" w:hint="eastAsia"/>
                <w:szCs w:val="20"/>
              </w:rPr>
              <w:t>0.5</w:t>
            </w:r>
          </w:p>
        </w:tc>
        <w:tc>
          <w:tcPr>
            <w:tcW w:w="850" w:type="dxa"/>
            <w:vAlign w:val="center"/>
          </w:tcPr>
          <w:p w14:paraId="2D1960DF" w14:textId="028537D1" w:rsidR="00FB6B72" w:rsidRPr="0029636B" w:rsidRDefault="00FB6B72" w:rsidP="007B3262">
            <w:pPr>
              <w:wordWrap/>
              <w:jc w:val="center"/>
              <w:rPr>
                <w:rFonts w:ascii="Times New Roman" w:hAnsi="Times New Roman" w:cs="Times New Roman"/>
                <w:szCs w:val="20"/>
              </w:rPr>
            </w:pPr>
            <w:r>
              <w:rPr>
                <w:rFonts w:ascii="Times New Roman" w:hAnsi="Times New Roman" w:cs="Times New Roman" w:hint="eastAsia"/>
                <w:szCs w:val="20"/>
              </w:rPr>
              <w:t>2</w:t>
            </w:r>
          </w:p>
        </w:tc>
        <w:tc>
          <w:tcPr>
            <w:tcW w:w="709" w:type="dxa"/>
            <w:vAlign w:val="center"/>
          </w:tcPr>
          <w:p w14:paraId="41A60B9A" w14:textId="5E61D43B" w:rsidR="00FB6B72" w:rsidRPr="0029636B" w:rsidRDefault="00FB6B72" w:rsidP="007B3262">
            <w:pPr>
              <w:wordWrap/>
              <w:jc w:val="center"/>
              <w:rPr>
                <w:rFonts w:ascii="Times New Roman" w:hAnsi="Times New Roman" w:cs="Times New Roman"/>
                <w:szCs w:val="20"/>
              </w:rPr>
            </w:pPr>
            <w:r>
              <w:rPr>
                <w:rFonts w:ascii="Times New Roman" w:hAnsi="Times New Roman" w:cs="Times New Roman" w:hint="eastAsia"/>
                <w:szCs w:val="20"/>
              </w:rPr>
              <w:t>2.1</w:t>
            </w:r>
          </w:p>
        </w:tc>
        <w:tc>
          <w:tcPr>
            <w:tcW w:w="851" w:type="dxa"/>
            <w:vAlign w:val="center"/>
          </w:tcPr>
          <w:p w14:paraId="1A17DC74" w14:textId="5D7F4A90" w:rsidR="00FB6B72" w:rsidRDefault="00FB6B72" w:rsidP="007B3262">
            <w:pPr>
              <w:wordWrap/>
              <w:jc w:val="center"/>
              <w:rPr>
                <w:rFonts w:ascii="Times New Roman" w:hAnsi="Times New Roman" w:cs="Times New Roman"/>
                <w:szCs w:val="20"/>
              </w:rPr>
            </w:pPr>
            <w:r>
              <w:rPr>
                <w:rFonts w:ascii="Times New Roman" w:hAnsi="Times New Roman" w:cs="Times New Roman" w:hint="eastAsia"/>
                <w:szCs w:val="20"/>
              </w:rPr>
              <w:t>0</w:t>
            </w:r>
          </w:p>
        </w:tc>
        <w:tc>
          <w:tcPr>
            <w:tcW w:w="708" w:type="dxa"/>
            <w:vAlign w:val="center"/>
          </w:tcPr>
          <w:p w14:paraId="207108E3" w14:textId="7EC6B40A" w:rsidR="00FB6B72" w:rsidRDefault="00FB6B72" w:rsidP="007B3262">
            <w:pPr>
              <w:wordWrap/>
              <w:jc w:val="center"/>
              <w:rPr>
                <w:rFonts w:ascii="Times New Roman" w:hAnsi="Times New Roman" w:cs="Times New Roman"/>
                <w:szCs w:val="20"/>
              </w:rPr>
            </w:pPr>
            <w:r>
              <w:rPr>
                <w:rFonts w:ascii="Times New Roman" w:hAnsi="Times New Roman" w:cs="Times New Roman" w:hint="eastAsia"/>
                <w:szCs w:val="20"/>
              </w:rPr>
              <w:t>0.0</w:t>
            </w:r>
          </w:p>
        </w:tc>
      </w:tr>
    </w:tbl>
    <w:p w14:paraId="6A0E4327" w14:textId="77777777" w:rsidR="008768D8" w:rsidRDefault="008768D8" w:rsidP="007947DB">
      <w:pPr>
        <w:wordWrap/>
        <w:snapToGrid w:val="0"/>
        <w:spacing w:line="240" w:lineRule="auto"/>
        <w:jc w:val="left"/>
        <w:rPr>
          <w:rFonts w:ascii="Times New Roman" w:hAnsi="Times New Roman" w:cs="Times New Roman"/>
          <w:sz w:val="24"/>
          <w:szCs w:val="24"/>
        </w:rPr>
      </w:pPr>
    </w:p>
    <w:p w14:paraId="1F80C656" w14:textId="77777777" w:rsidR="000726D1" w:rsidRPr="00B405FC" w:rsidRDefault="000726D1" w:rsidP="007947DB">
      <w:pPr>
        <w:wordWrap/>
        <w:snapToGrid w:val="0"/>
        <w:spacing w:line="240" w:lineRule="auto"/>
        <w:jc w:val="left"/>
        <w:rPr>
          <w:rFonts w:ascii="Times New Roman" w:hAnsi="Times New Roman" w:cs="Times New Roman"/>
          <w:kern w:val="0"/>
          <w:sz w:val="24"/>
          <w:szCs w:val="24"/>
        </w:rPr>
      </w:pPr>
      <w:r w:rsidRPr="00B405FC">
        <w:rPr>
          <w:rFonts w:ascii="Times New Roman" w:hAnsi="Times New Roman" w:cs="Times New Roman"/>
          <w:sz w:val="24"/>
          <w:szCs w:val="24"/>
        </w:rPr>
        <w:t>During the transition</w:t>
      </w:r>
      <w:r w:rsidRPr="00B405FC">
        <w:rPr>
          <w:rFonts w:ascii="Times New Roman" w:hAnsi="Times New Roman" w:cs="Times New Roman" w:hint="eastAsia"/>
          <w:sz w:val="24"/>
          <w:szCs w:val="24"/>
        </w:rPr>
        <w:t>-</w:t>
      </w:r>
      <w:r w:rsidRPr="00B405FC">
        <w:rPr>
          <w:rFonts w:ascii="Times New Roman" w:hAnsi="Times New Roman" w:cs="Times New Roman"/>
          <w:sz w:val="24"/>
          <w:szCs w:val="24"/>
        </w:rPr>
        <w:t xml:space="preserve">extension period of Study SB2-G31-RA, the proportions of patients who experienced infections and infestations were: 41 (20.4%) patients in the RENFLEXIS/RENFLEXIS treatment group, 17 (18.1%) patients in the </w:t>
      </w:r>
      <w:proofErr w:type="spellStart"/>
      <w:r w:rsidRPr="00B405FC">
        <w:rPr>
          <w:rFonts w:ascii="Times New Roman" w:hAnsi="Times New Roman" w:cs="Times New Roman"/>
          <w:sz w:val="24"/>
          <w:szCs w:val="24"/>
        </w:rPr>
        <w:t>Remicade</w:t>
      </w:r>
      <w:proofErr w:type="spellEnd"/>
      <w:r w:rsidRPr="00B405FC">
        <w:rPr>
          <w:rFonts w:ascii="Times New Roman" w:hAnsi="Times New Roman" w:cs="Times New Roman"/>
          <w:sz w:val="24"/>
          <w:szCs w:val="24"/>
          <w:vertAlign w:val="superscript"/>
        </w:rPr>
        <w:t>®</w:t>
      </w:r>
      <w:r w:rsidRPr="00B405FC">
        <w:rPr>
          <w:rFonts w:ascii="Times New Roman" w:hAnsi="Times New Roman" w:cs="Times New Roman"/>
          <w:sz w:val="24"/>
          <w:szCs w:val="24"/>
        </w:rPr>
        <w:t xml:space="preserve">/RENFLEXIS treatment group, and 18 (17.8%) patients from the </w:t>
      </w:r>
      <w:proofErr w:type="spellStart"/>
      <w:r w:rsidRPr="00B405FC">
        <w:rPr>
          <w:rFonts w:ascii="Times New Roman" w:hAnsi="Times New Roman" w:cs="Times New Roman"/>
          <w:sz w:val="24"/>
          <w:szCs w:val="24"/>
        </w:rPr>
        <w:t>Remicade</w:t>
      </w:r>
      <w:proofErr w:type="spellEnd"/>
      <w:r w:rsidRPr="00B405FC">
        <w:rPr>
          <w:rFonts w:ascii="Times New Roman" w:hAnsi="Times New Roman" w:cs="Times New Roman"/>
          <w:sz w:val="24"/>
          <w:szCs w:val="24"/>
          <w:vertAlign w:val="superscript"/>
        </w:rPr>
        <w:t>®</w:t>
      </w:r>
      <w:r w:rsidRPr="00B405FC">
        <w:rPr>
          <w:rFonts w:ascii="Times New Roman" w:hAnsi="Times New Roman" w:cs="Times New Roman"/>
          <w:sz w:val="24"/>
          <w:szCs w:val="24"/>
        </w:rPr>
        <w:t>/</w:t>
      </w:r>
      <w:proofErr w:type="spellStart"/>
      <w:r w:rsidRPr="00B405FC">
        <w:rPr>
          <w:rFonts w:ascii="Times New Roman" w:hAnsi="Times New Roman" w:cs="Times New Roman"/>
          <w:sz w:val="24"/>
          <w:szCs w:val="24"/>
        </w:rPr>
        <w:t>Remicade</w:t>
      </w:r>
      <w:proofErr w:type="spellEnd"/>
      <w:r w:rsidRPr="00B405FC">
        <w:rPr>
          <w:rFonts w:ascii="Times New Roman" w:hAnsi="Times New Roman" w:cs="Times New Roman"/>
          <w:sz w:val="24"/>
          <w:szCs w:val="24"/>
          <w:vertAlign w:val="superscript"/>
        </w:rPr>
        <w:t>®</w:t>
      </w:r>
      <w:r w:rsidRPr="00B405FC">
        <w:rPr>
          <w:rFonts w:ascii="Times New Roman" w:hAnsi="Times New Roman" w:cs="Times New Roman"/>
          <w:sz w:val="24"/>
          <w:szCs w:val="24"/>
        </w:rPr>
        <w:t xml:space="preserve"> treatment </w:t>
      </w:r>
      <w:r w:rsidRPr="00B405FC">
        <w:rPr>
          <w:rFonts w:ascii="Times New Roman" w:hAnsi="Times New Roman" w:cs="Times New Roman"/>
          <w:kern w:val="0"/>
          <w:sz w:val="24"/>
          <w:szCs w:val="24"/>
        </w:rPr>
        <w:t>group.</w:t>
      </w:r>
    </w:p>
    <w:p w14:paraId="2A458D90" w14:textId="48E8455B" w:rsidR="000726D1" w:rsidRPr="00B405FC" w:rsidRDefault="000726D1" w:rsidP="007947DB">
      <w:pPr>
        <w:wordWrap/>
        <w:snapToGrid w:val="0"/>
        <w:spacing w:line="240" w:lineRule="auto"/>
        <w:jc w:val="left"/>
        <w:rPr>
          <w:rFonts w:ascii="Times New Roman" w:hAnsi="Times New Roman" w:cs="Times New Roman"/>
          <w:sz w:val="24"/>
          <w:szCs w:val="24"/>
        </w:rPr>
      </w:pPr>
      <w:r w:rsidRPr="00B405FC">
        <w:rPr>
          <w:rFonts w:ascii="Times New Roman" w:hAnsi="Times New Roman" w:cs="Times New Roman"/>
          <w:sz w:val="24"/>
          <w:szCs w:val="24"/>
        </w:rPr>
        <w:t xml:space="preserve">A total of 1 (0.5%) patient from the RENFLEXIS/RENFLEXIS treatment group, 2 (2.1%) patients from the </w:t>
      </w:r>
      <w:proofErr w:type="spellStart"/>
      <w:r w:rsidRPr="00B405FC">
        <w:rPr>
          <w:rFonts w:ascii="Times New Roman" w:hAnsi="Times New Roman" w:cs="Times New Roman"/>
          <w:sz w:val="24"/>
          <w:szCs w:val="24"/>
        </w:rPr>
        <w:t>Remicade</w:t>
      </w:r>
      <w:proofErr w:type="spellEnd"/>
      <w:r w:rsidRPr="00B405FC">
        <w:rPr>
          <w:rFonts w:ascii="Times New Roman" w:hAnsi="Times New Roman" w:cs="Times New Roman"/>
          <w:sz w:val="24"/>
          <w:szCs w:val="24"/>
          <w:vertAlign w:val="superscript"/>
        </w:rPr>
        <w:t>®</w:t>
      </w:r>
      <w:r w:rsidRPr="00B405FC">
        <w:rPr>
          <w:rFonts w:ascii="Times New Roman" w:hAnsi="Times New Roman" w:cs="Times New Roman"/>
          <w:sz w:val="24"/>
          <w:szCs w:val="24"/>
        </w:rPr>
        <w:t xml:space="preserve">/RENFLEXIS treatment group, and 1 (1.0%) patient from the </w:t>
      </w:r>
      <w:proofErr w:type="spellStart"/>
      <w:r w:rsidRPr="00B405FC">
        <w:rPr>
          <w:rFonts w:ascii="Times New Roman" w:hAnsi="Times New Roman" w:cs="Times New Roman"/>
          <w:sz w:val="24"/>
          <w:szCs w:val="24"/>
        </w:rPr>
        <w:t>Remicade</w:t>
      </w:r>
      <w:proofErr w:type="spellEnd"/>
      <w:r w:rsidRPr="00B405FC">
        <w:rPr>
          <w:rFonts w:ascii="Times New Roman" w:hAnsi="Times New Roman" w:cs="Times New Roman"/>
          <w:sz w:val="24"/>
          <w:szCs w:val="24"/>
          <w:vertAlign w:val="superscript"/>
        </w:rPr>
        <w:t>®</w:t>
      </w:r>
      <w:r w:rsidRPr="00B405FC">
        <w:rPr>
          <w:rFonts w:ascii="Times New Roman" w:hAnsi="Times New Roman" w:cs="Times New Roman"/>
          <w:sz w:val="24"/>
          <w:szCs w:val="24"/>
        </w:rPr>
        <w:t>/</w:t>
      </w:r>
      <w:proofErr w:type="spellStart"/>
      <w:r w:rsidRPr="00B405FC">
        <w:rPr>
          <w:rFonts w:ascii="Times New Roman" w:hAnsi="Times New Roman" w:cs="Times New Roman"/>
          <w:sz w:val="24"/>
          <w:szCs w:val="24"/>
        </w:rPr>
        <w:t>Remicade</w:t>
      </w:r>
      <w:proofErr w:type="spellEnd"/>
      <w:r w:rsidRPr="00B405FC">
        <w:rPr>
          <w:rFonts w:ascii="Times New Roman" w:hAnsi="Times New Roman" w:cs="Times New Roman"/>
          <w:sz w:val="24"/>
          <w:szCs w:val="24"/>
          <w:vertAlign w:val="superscript"/>
        </w:rPr>
        <w:t>®</w:t>
      </w:r>
      <w:r w:rsidRPr="00B405FC">
        <w:rPr>
          <w:rFonts w:ascii="Times New Roman" w:hAnsi="Times New Roman" w:cs="Times New Roman"/>
          <w:sz w:val="24"/>
          <w:szCs w:val="24"/>
        </w:rPr>
        <w:t xml:space="preserve"> treatment group were reported to have serious infections</w:t>
      </w:r>
      <w:r w:rsidR="00352808">
        <w:rPr>
          <w:rFonts w:ascii="Times New Roman" w:hAnsi="Times New Roman" w:cs="Times New Roman" w:hint="eastAsia"/>
          <w:sz w:val="24"/>
          <w:szCs w:val="24"/>
        </w:rPr>
        <w:t xml:space="preserve"> and infestations</w:t>
      </w:r>
      <w:r w:rsidRPr="00B405FC">
        <w:rPr>
          <w:rFonts w:ascii="Times New Roman" w:hAnsi="Times New Roman" w:cs="Times New Roman"/>
          <w:sz w:val="24"/>
          <w:szCs w:val="24"/>
        </w:rPr>
        <w:t xml:space="preserve">. </w:t>
      </w:r>
    </w:p>
    <w:p w14:paraId="49548941" w14:textId="6E11F283" w:rsidR="000726D1" w:rsidRDefault="000726D1" w:rsidP="007947DB">
      <w:pPr>
        <w:wordWrap/>
        <w:autoSpaceDE/>
        <w:autoSpaceDN/>
        <w:spacing w:line="240" w:lineRule="auto"/>
        <w:jc w:val="left"/>
        <w:rPr>
          <w:rFonts w:ascii="Times New Roman" w:eastAsia="Malgun Gothic" w:hAnsi="Times New Roman" w:cs="Times New Roman"/>
          <w:kern w:val="0"/>
          <w:sz w:val="24"/>
          <w:szCs w:val="24"/>
        </w:rPr>
      </w:pPr>
      <w:r w:rsidRPr="00B405FC">
        <w:rPr>
          <w:rFonts w:ascii="Times New Roman" w:eastAsia="Malgun Gothic" w:hAnsi="Times New Roman" w:cs="Times New Roman"/>
          <w:kern w:val="0"/>
          <w:sz w:val="24"/>
          <w:szCs w:val="24"/>
        </w:rPr>
        <w:t xml:space="preserve">A total of 7 (3.5%) patients from the </w:t>
      </w:r>
      <w:r w:rsidRPr="00B405FC">
        <w:rPr>
          <w:rFonts w:ascii="Times New Roman" w:hAnsi="Times New Roman" w:cs="Times New Roman"/>
          <w:sz w:val="24"/>
          <w:szCs w:val="24"/>
        </w:rPr>
        <w:t>RENFLEXIS</w:t>
      </w:r>
      <w:r w:rsidRPr="00B405FC">
        <w:rPr>
          <w:rFonts w:ascii="Times New Roman" w:eastAsia="Malgun Gothic" w:hAnsi="Times New Roman" w:cs="Times New Roman"/>
          <w:kern w:val="0"/>
          <w:sz w:val="24"/>
          <w:szCs w:val="24"/>
        </w:rPr>
        <w:t>/</w:t>
      </w:r>
      <w:r w:rsidRPr="00B405FC">
        <w:rPr>
          <w:rFonts w:ascii="Times New Roman" w:hAnsi="Times New Roman" w:cs="Times New Roman"/>
          <w:sz w:val="24"/>
          <w:szCs w:val="24"/>
        </w:rPr>
        <w:t>RENFLEXIS</w:t>
      </w:r>
      <w:r w:rsidRPr="00B405FC">
        <w:rPr>
          <w:rFonts w:ascii="Times New Roman" w:eastAsia="Malgun Gothic" w:hAnsi="Times New Roman" w:cs="Times New Roman"/>
          <w:kern w:val="0"/>
          <w:sz w:val="24"/>
          <w:szCs w:val="24"/>
        </w:rPr>
        <w:t xml:space="preserve"> treatment group, 3 (3.2%) patients from the </w:t>
      </w:r>
      <w:proofErr w:type="spellStart"/>
      <w:r w:rsidRPr="00B405FC">
        <w:rPr>
          <w:rFonts w:ascii="Times New Roman" w:eastAsia="Malgun Gothic" w:hAnsi="Times New Roman" w:cs="Times New Roman"/>
          <w:kern w:val="0"/>
          <w:sz w:val="24"/>
          <w:szCs w:val="24"/>
        </w:rPr>
        <w:t>Remicade</w:t>
      </w:r>
      <w:proofErr w:type="spellEnd"/>
      <w:r w:rsidRPr="00B405FC">
        <w:rPr>
          <w:rFonts w:ascii="Times New Roman" w:eastAsia="Malgun Gothic" w:hAnsi="Times New Roman" w:cs="Times New Roman"/>
          <w:kern w:val="0"/>
          <w:sz w:val="24"/>
          <w:szCs w:val="24"/>
          <w:vertAlign w:val="superscript"/>
        </w:rPr>
        <w:t>®</w:t>
      </w:r>
      <w:r w:rsidRPr="00B405FC">
        <w:rPr>
          <w:rFonts w:ascii="Times New Roman" w:eastAsia="Malgun Gothic" w:hAnsi="Times New Roman" w:cs="Times New Roman"/>
          <w:kern w:val="0"/>
          <w:sz w:val="24"/>
          <w:szCs w:val="24"/>
        </w:rPr>
        <w:t>/</w:t>
      </w:r>
      <w:r w:rsidRPr="00B405FC">
        <w:rPr>
          <w:rFonts w:ascii="Times New Roman" w:hAnsi="Times New Roman" w:cs="Times New Roman"/>
          <w:sz w:val="24"/>
          <w:szCs w:val="24"/>
        </w:rPr>
        <w:t xml:space="preserve">RENFLEXIS </w:t>
      </w:r>
      <w:r w:rsidRPr="00B405FC">
        <w:rPr>
          <w:rFonts w:ascii="Times New Roman" w:eastAsia="Malgun Gothic" w:hAnsi="Times New Roman" w:cs="Times New Roman"/>
          <w:kern w:val="0"/>
          <w:sz w:val="24"/>
          <w:szCs w:val="24"/>
        </w:rPr>
        <w:t xml:space="preserve">treatment group and 2 (2.0%) patients from the </w:t>
      </w:r>
      <w:proofErr w:type="spellStart"/>
      <w:r w:rsidRPr="00B405FC">
        <w:rPr>
          <w:rFonts w:ascii="Times New Roman" w:eastAsia="Malgun Gothic" w:hAnsi="Times New Roman" w:cs="Times New Roman"/>
          <w:kern w:val="0"/>
          <w:sz w:val="24"/>
          <w:szCs w:val="24"/>
        </w:rPr>
        <w:t>Remicade</w:t>
      </w:r>
      <w:proofErr w:type="spellEnd"/>
      <w:r w:rsidRPr="00B405FC">
        <w:rPr>
          <w:rFonts w:ascii="Times New Roman" w:eastAsia="Malgun Gothic" w:hAnsi="Times New Roman" w:cs="Times New Roman"/>
          <w:kern w:val="0"/>
          <w:sz w:val="24"/>
          <w:szCs w:val="24"/>
          <w:vertAlign w:val="superscript"/>
        </w:rPr>
        <w:t>®</w:t>
      </w:r>
      <w:r w:rsidRPr="00B405FC">
        <w:rPr>
          <w:rFonts w:ascii="Times New Roman" w:eastAsia="Malgun Gothic" w:hAnsi="Times New Roman" w:cs="Times New Roman"/>
          <w:kern w:val="0"/>
          <w:sz w:val="24"/>
          <w:szCs w:val="24"/>
        </w:rPr>
        <w:t>/</w:t>
      </w:r>
      <w:proofErr w:type="spellStart"/>
      <w:r w:rsidRPr="00B405FC">
        <w:rPr>
          <w:rFonts w:ascii="Times New Roman" w:eastAsia="Malgun Gothic" w:hAnsi="Times New Roman" w:cs="Times New Roman"/>
          <w:kern w:val="0"/>
          <w:sz w:val="24"/>
          <w:szCs w:val="24"/>
        </w:rPr>
        <w:t>Remicade</w:t>
      </w:r>
      <w:proofErr w:type="spellEnd"/>
      <w:r w:rsidRPr="00B405FC">
        <w:rPr>
          <w:rFonts w:ascii="Times New Roman" w:eastAsia="Malgun Gothic" w:hAnsi="Times New Roman" w:cs="Times New Roman"/>
          <w:kern w:val="0"/>
          <w:sz w:val="24"/>
          <w:szCs w:val="24"/>
          <w:vertAlign w:val="superscript"/>
        </w:rPr>
        <w:t xml:space="preserve">® </w:t>
      </w:r>
      <w:r w:rsidRPr="00B405FC">
        <w:rPr>
          <w:rFonts w:ascii="Times New Roman" w:eastAsia="Malgun Gothic" w:hAnsi="Times New Roman" w:cs="Times New Roman"/>
          <w:kern w:val="0"/>
          <w:sz w:val="24"/>
          <w:szCs w:val="24"/>
        </w:rPr>
        <w:t>were reported to have newly occurring TEAEs associated with infusion-related reactions.</w:t>
      </w:r>
    </w:p>
    <w:p w14:paraId="2D68012B" w14:textId="7E218FFB" w:rsidR="006F68AA" w:rsidRPr="00B405FC" w:rsidRDefault="000726D1" w:rsidP="002D5545">
      <w:pPr>
        <w:wordWrap/>
        <w:adjustRightInd w:val="0"/>
        <w:spacing w:line="240" w:lineRule="auto"/>
        <w:jc w:val="left"/>
        <w:rPr>
          <w:rFonts w:ascii="Times New Roman" w:hAnsi="Times New Roman" w:cs="Times New Roman"/>
          <w:kern w:val="0"/>
          <w:sz w:val="24"/>
          <w:szCs w:val="24"/>
        </w:rPr>
      </w:pPr>
      <w:r w:rsidRPr="00B405FC">
        <w:rPr>
          <w:rFonts w:ascii="Times New Roman" w:hAnsi="Times New Roman" w:cs="Times New Roman"/>
          <w:kern w:val="0"/>
          <w:sz w:val="24"/>
          <w:szCs w:val="24"/>
        </w:rPr>
        <w:t>During the transition</w:t>
      </w:r>
      <w:r w:rsidRPr="00B405FC">
        <w:rPr>
          <w:rFonts w:ascii="Times New Roman" w:hAnsi="Times New Roman" w:cs="Times New Roman" w:hint="eastAsia"/>
          <w:kern w:val="0"/>
          <w:sz w:val="24"/>
          <w:szCs w:val="24"/>
        </w:rPr>
        <w:t>-</w:t>
      </w:r>
      <w:r w:rsidRPr="00B405FC">
        <w:rPr>
          <w:rFonts w:ascii="Times New Roman" w:hAnsi="Times New Roman" w:cs="Times New Roman"/>
          <w:kern w:val="0"/>
          <w:sz w:val="24"/>
          <w:szCs w:val="24"/>
        </w:rPr>
        <w:t xml:space="preserve">extension period, 104 (53.6%) patients from the </w:t>
      </w:r>
      <w:r w:rsidRPr="00B405FC">
        <w:rPr>
          <w:rFonts w:ascii="Times New Roman" w:eastAsia="Malgun Gothic" w:hAnsi="Times New Roman" w:cs="Times New Roman"/>
          <w:sz w:val="24"/>
          <w:szCs w:val="24"/>
        </w:rPr>
        <w:t xml:space="preserve">RENFLEXIS/RENFLEXIS </w:t>
      </w:r>
      <w:r w:rsidRPr="00B405FC">
        <w:rPr>
          <w:rFonts w:ascii="Times New Roman" w:hAnsi="Times New Roman" w:cs="Times New Roman"/>
          <w:sz w:val="24"/>
          <w:szCs w:val="24"/>
        </w:rPr>
        <w:t xml:space="preserve">treatment group, 43 (45.7%) patients from the </w:t>
      </w:r>
      <w:proofErr w:type="spellStart"/>
      <w:r w:rsidRPr="00B405FC">
        <w:rPr>
          <w:rFonts w:ascii="Times New Roman" w:eastAsia="Malgun Gothic" w:hAnsi="Times New Roman" w:cs="Times New Roman"/>
          <w:sz w:val="24"/>
          <w:szCs w:val="24"/>
        </w:rPr>
        <w:t>Remicade</w:t>
      </w:r>
      <w:proofErr w:type="spellEnd"/>
      <w:r w:rsidRPr="00B405FC">
        <w:rPr>
          <w:rFonts w:ascii="Times New Roman" w:eastAsia="Malgun Gothic" w:hAnsi="Times New Roman" w:cs="Times New Roman"/>
          <w:sz w:val="24"/>
          <w:szCs w:val="24"/>
          <w:vertAlign w:val="superscript"/>
        </w:rPr>
        <w:t>®</w:t>
      </w:r>
      <w:r w:rsidRPr="00B405FC">
        <w:rPr>
          <w:rFonts w:ascii="Times New Roman" w:eastAsia="Malgun Gothic" w:hAnsi="Times New Roman" w:cs="Times New Roman"/>
          <w:sz w:val="24"/>
          <w:szCs w:val="24"/>
        </w:rPr>
        <w:t>/</w:t>
      </w:r>
      <w:r w:rsidRPr="00B405FC">
        <w:rPr>
          <w:rFonts w:ascii="Times New Roman" w:hAnsi="Times New Roman" w:cs="Times New Roman"/>
          <w:sz w:val="24"/>
          <w:szCs w:val="24"/>
        </w:rPr>
        <w:t>RENFLEXIS</w:t>
      </w:r>
      <w:r w:rsidRPr="00B405FC">
        <w:rPr>
          <w:rFonts w:ascii="Times New Roman" w:eastAsia="Malgun Gothic" w:hAnsi="Times New Roman" w:cs="Times New Roman"/>
          <w:sz w:val="24"/>
          <w:szCs w:val="24"/>
        </w:rPr>
        <w:t xml:space="preserve"> </w:t>
      </w:r>
      <w:r w:rsidRPr="00B405FC">
        <w:rPr>
          <w:rFonts w:ascii="Times New Roman" w:hAnsi="Times New Roman" w:cs="Times New Roman"/>
          <w:sz w:val="24"/>
          <w:szCs w:val="24"/>
        </w:rPr>
        <w:t xml:space="preserve">treatment group and 51 (50.5%) patients from the </w:t>
      </w:r>
      <w:proofErr w:type="spellStart"/>
      <w:r w:rsidRPr="00B405FC">
        <w:rPr>
          <w:rFonts w:ascii="Times New Roman" w:eastAsia="Malgun Gothic" w:hAnsi="Times New Roman" w:cs="Times New Roman"/>
          <w:sz w:val="24"/>
          <w:szCs w:val="24"/>
        </w:rPr>
        <w:t>Remicade</w:t>
      </w:r>
      <w:proofErr w:type="spellEnd"/>
      <w:r w:rsidRPr="00B405FC">
        <w:rPr>
          <w:rFonts w:ascii="Times New Roman" w:eastAsia="Malgun Gothic" w:hAnsi="Times New Roman" w:cs="Times New Roman"/>
          <w:sz w:val="24"/>
          <w:szCs w:val="24"/>
          <w:vertAlign w:val="superscript"/>
        </w:rPr>
        <w:t>®</w:t>
      </w:r>
      <w:r w:rsidRPr="00B405FC">
        <w:rPr>
          <w:rFonts w:ascii="Times New Roman" w:eastAsia="Malgun Gothic" w:hAnsi="Times New Roman" w:cs="Times New Roman"/>
          <w:sz w:val="24"/>
          <w:szCs w:val="24"/>
        </w:rPr>
        <w:t xml:space="preserve">/ </w:t>
      </w:r>
      <w:proofErr w:type="spellStart"/>
      <w:r w:rsidRPr="00B405FC">
        <w:rPr>
          <w:rFonts w:ascii="Times New Roman" w:eastAsia="Malgun Gothic" w:hAnsi="Times New Roman" w:cs="Times New Roman"/>
          <w:sz w:val="24"/>
          <w:szCs w:val="24"/>
        </w:rPr>
        <w:t>Remicade</w:t>
      </w:r>
      <w:proofErr w:type="spellEnd"/>
      <w:r w:rsidRPr="00B405FC">
        <w:rPr>
          <w:rFonts w:ascii="Times New Roman" w:eastAsia="Malgun Gothic" w:hAnsi="Times New Roman" w:cs="Times New Roman"/>
          <w:sz w:val="24"/>
          <w:szCs w:val="24"/>
          <w:vertAlign w:val="superscript"/>
        </w:rPr>
        <w:t>®</w:t>
      </w:r>
      <w:r w:rsidRPr="00B405FC">
        <w:rPr>
          <w:rFonts w:ascii="Times New Roman" w:eastAsia="Malgun Gothic" w:hAnsi="Times New Roman" w:cs="Times New Roman"/>
          <w:sz w:val="24"/>
          <w:szCs w:val="24"/>
        </w:rPr>
        <w:t xml:space="preserve"> treatment group had at least one ADA positive result</w:t>
      </w:r>
      <w:r w:rsidRPr="00B405FC">
        <w:rPr>
          <w:rFonts w:ascii="Times New Roman" w:eastAsia="Malgun Gothic" w:hAnsi="Times New Roman" w:cs="Times New Roman" w:hint="eastAsia"/>
          <w:sz w:val="24"/>
          <w:szCs w:val="24"/>
        </w:rPr>
        <w:t>s</w:t>
      </w:r>
      <w:r w:rsidRPr="00B405FC">
        <w:rPr>
          <w:rFonts w:ascii="Times New Roman" w:eastAsia="Malgun Gothic" w:hAnsi="Times New Roman" w:cs="Times New Roman"/>
          <w:sz w:val="24"/>
          <w:szCs w:val="24"/>
        </w:rPr>
        <w:t xml:space="preserve"> between Week 54 and </w:t>
      </w:r>
      <w:r w:rsidRPr="00B405FC">
        <w:rPr>
          <w:rFonts w:ascii="Times New Roman" w:hAnsi="Times New Roman" w:cs="Times New Roman"/>
          <w:kern w:val="0"/>
          <w:sz w:val="24"/>
          <w:szCs w:val="24"/>
        </w:rPr>
        <w:t>Week 78.</w:t>
      </w:r>
      <w:r w:rsidRPr="00B405FC">
        <w:rPr>
          <w:rFonts w:ascii="Times New Roman" w:hAnsi="Times New Roman" w:cs="Times New Roman" w:hint="eastAsia"/>
          <w:kern w:val="0"/>
          <w:sz w:val="24"/>
          <w:szCs w:val="24"/>
        </w:rPr>
        <w:t xml:space="preserve"> </w:t>
      </w:r>
      <w:r w:rsidRPr="00B405FC">
        <w:rPr>
          <w:rFonts w:ascii="Times New Roman" w:hAnsi="Times New Roman" w:cs="Times New Roman"/>
          <w:kern w:val="0"/>
          <w:sz w:val="24"/>
          <w:szCs w:val="24"/>
        </w:rPr>
        <w:t xml:space="preserve">For </w:t>
      </w:r>
      <w:proofErr w:type="spellStart"/>
      <w:r w:rsidRPr="00B405FC">
        <w:rPr>
          <w:rFonts w:ascii="Times New Roman" w:hAnsi="Times New Roman" w:cs="Times New Roman"/>
          <w:kern w:val="0"/>
          <w:sz w:val="24"/>
          <w:szCs w:val="24"/>
        </w:rPr>
        <w:t>NAb</w:t>
      </w:r>
      <w:proofErr w:type="spellEnd"/>
      <w:r w:rsidRPr="00B405FC">
        <w:rPr>
          <w:rFonts w:ascii="Times New Roman" w:hAnsi="Times New Roman" w:cs="Times New Roman"/>
          <w:kern w:val="0"/>
          <w:sz w:val="24"/>
          <w:szCs w:val="24"/>
        </w:rPr>
        <w:t xml:space="preserve">, 95 (91.3%) patients in the RENFLEXIS/RENFLEXIS treatment group, 38 (88.4%) patients in the </w:t>
      </w:r>
      <w:proofErr w:type="spellStart"/>
      <w:r w:rsidRPr="00B405FC">
        <w:rPr>
          <w:rFonts w:ascii="Times New Roman" w:hAnsi="Times New Roman" w:cs="Times New Roman"/>
          <w:kern w:val="0"/>
          <w:sz w:val="24"/>
          <w:szCs w:val="24"/>
        </w:rPr>
        <w:t>Remicade</w:t>
      </w:r>
      <w:proofErr w:type="spellEnd"/>
      <w:r w:rsidRPr="00B405FC">
        <w:rPr>
          <w:rFonts w:ascii="Times New Roman" w:hAnsi="Times New Roman" w:cs="Times New Roman"/>
          <w:kern w:val="0"/>
          <w:sz w:val="24"/>
          <w:szCs w:val="24"/>
          <w:vertAlign w:val="superscript"/>
        </w:rPr>
        <w:t>®</w:t>
      </w:r>
      <w:r w:rsidRPr="00B405FC">
        <w:rPr>
          <w:rFonts w:ascii="Times New Roman" w:hAnsi="Times New Roman" w:cs="Times New Roman"/>
          <w:kern w:val="0"/>
          <w:sz w:val="24"/>
          <w:szCs w:val="24"/>
        </w:rPr>
        <w:t xml:space="preserve">/RENFLEXIS treatment group and 45 (88.2%) patients </w:t>
      </w:r>
      <w:r w:rsidRPr="00B405FC">
        <w:rPr>
          <w:rFonts w:ascii="Times New Roman" w:hAnsi="Times New Roman" w:cs="Times New Roman"/>
          <w:kern w:val="0"/>
          <w:sz w:val="24"/>
          <w:szCs w:val="24"/>
        </w:rPr>
        <w:lastRenderedPageBreak/>
        <w:t xml:space="preserve">from the </w:t>
      </w:r>
      <w:proofErr w:type="spellStart"/>
      <w:r w:rsidRPr="00B405FC">
        <w:rPr>
          <w:rFonts w:ascii="Times New Roman" w:hAnsi="Times New Roman" w:cs="Times New Roman"/>
          <w:kern w:val="0"/>
          <w:sz w:val="24"/>
          <w:szCs w:val="24"/>
        </w:rPr>
        <w:t>Remicade</w:t>
      </w:r>
      <w:proofErr w:type="spellEnd"/>
      <w:r w:rsidRPr="00B405FC">
        <w:rPr>
          <w:rFonts w:ascii="Times New Roman" w:hAnsi="Times New Roman" w:cs="Times New Roman"/>
          <w:kern w:val="0"/>
          <w:sz w:val="24"/>
          <w:szCs w:val="24"/>
          <w:vertAlign w:val="superscript"/>
        </w:rPr>
        <w:t>®</w:t>
      </w:r>
      <w:r w:rsidRPr="00B405FC">
        <w:rPr>
          <w:rFonts w:ascii="Times New Roman" w:hAnsi="Times New Roman" w:cs="Times New Roman"/>
          <w:kern w:val="0"/>
          <w:sz w:val="24"/>
          <w:szCs w:val="24"/>
        </w:rPr>
        <w:t xml:space="preserve">/ </w:t>
      </w:r>
      <w:proofErr w:type="spellStart"/>
      <w:r w:rsidRPr="00B405FC">
        <w:rPr>
          <w:rFonts w:ascii="Times New Roman" w:hAnsi="Times New Roman" w:cs="Times New Roman"/>
          <w:kern w:val="0"/>
          <w:sz w:val="24"/>
          <w:szCs w:val="24"/>
        </w:rPr>
        <w:t>Remicade</w:t>
      </w:r>
      <w:proofErr w:type="spellEnd"/>
      <w:r w:rsidRPr="00B405FC">
        <w:rPr>
          <w:rFonts w:ascii="Times New Roman" w:hAnsi="Times New Roman" w:cs="Times New Roman"/>
          <w:kern w:val="0"/>
          <w:sz w:val="24"/>
          <w:szCs w:val="24"/>
          <w:vertAlign w:val="superscript"/>
        </w:rPr>
        <w:t>®</w:t>
      </w:r>
      <w:r w:rsidRPr="00B405FC">
        <w:rPr>
          <w:rFonts w:ascii="Times New Roman" w:hAnsi="Times New Roman" w:cs="Times New Roman"/>
          <w:kern w:val="0"/>
          <w:sz w:val="24"/>
          <w:szCs w:val="24"/>
        </w:rPr>
        <w:t xml:space="preserve"> treatment had at least one positive </w:t>
      </w:r>
      <w:proofErr w:type="spellStart"/>
      <w:r w:rsidRPr="00B405FC">
        <w:rPr>
          <w:rFonts w:ascii="Times New Roman" w:hAnsi="Times New Roman" w:cs="Times New Roman"/>
          <w:kern w:val="0"/>
          <w:sz w:val="24"/>
          <w:szCs w:val="24"/>
        </w:rPr>
        <w:t>NAb</w:t>
      </w:r>
      <w:proofErr w:type="spellEnd"/>
      <w:r w:rsidRPr="00B405FC">
        <w:rPr>
          <w:rFonts w:ascii="Times New Roman" w:hAnsi="Times New Roman" w:cs="Times New Roman"/>
          <w:kern w:val="0"/>
          <w:sz w:val="24"/>
          <w:szCs w:val="24"/>
        </w:rPr>
        <w:t xml:space="preserve"> result</w:t>
      </w:r>
      <w:r w:rsidRPr="00B405FC">
        <w:rPr>
          <w:rFonts w:ascii="Times New Roman" w:hAnsi="Times New Roman" w:cs="Times New Roman" w:hint="eastAsia"/>
          <w:kern w:val="0"/>
          <w:sz w:val="24"/>
          <w:szCs w:val="24"/>
        </w:rPr>
        <w:t>s</w:t>
      </w:r>
      <w:r w:rsidRPr="00B405FC">
        <w:rPr>
          <w:rFonts w:ascii="Times New Roman" w:hAnsi="Times New Roman" w:cs="Times New Roman"/>
          <w:kern w:val="0"/>
          <w:sz w:val="24"/>
          <w:szCs w:val="24"/>
        </w:rPr>
        <w:t xml:space="preserve"> between Week 54 and Week 78.</w:t>
      </w:r>
      <w:r w:rsidR="003B022B">
        <w:rPr>
          <w:rFonts w:ascii="Times New Roman" w:hAnsi="Times New Roman" w:cs="Times New Roman" w:hint="eastAsia"/>
          <w:kern w:val="0"/>
          <w:sz w:val="24"/>
          <w:szCs w:val="24"/>
        </w:rPr>
        <w:t xml:space="preserve"> </w:t>
      </w:r>
      <w:r w:rsidR="006F68AA">
        <w:rPr>
          <w:rFonts w:ascii="Times New Roman" w:hAnsi="Times New Roman" w:cs="Times New Roman" w:hint="eastAsia"/>
          <w:kern w:val="0"/>
          <w:sz w:val="24"/>
          <w:szCs w:val="24"/>
        </w:rPr>
        <w:t xml:space="preserve">The effects of the increased level of anti-drug antibodies induced by RENFLEXIS compared to </w:t>
      </w:r>
      <w:proofErr w:type="spellStart"/>
      <w:r w:rsidR="006F68AA">
        <w:rPr>
          <w:rFonts w:ascii="Times New Roman" w:hAnsi="Times New Roman" w:cs="Times New Roman" w:hint="eastAsia"/>
          <w:kern w:val="0"/>
          <w:sz w:val="24"/>
          <w:szCs w:val="24"/>
        </w:rPr>
        <w:t>Remicade</w:t>
      </w:r>
      <w:proofErr w:type="spellEnd"/>
      <w:r w:rsidR="006F68AA" w:rsidRPr="00B405FC">
        <w:rPr>
          <w:rFonts w:ascii="Times New Roman" w:hAnsi="Times New Roman" w:cs="Times New Roman"/>
          <w:kern w:val="0"/>
          <w:sz w:val="24"/>
          <w:szCs w:val="24"/>
          <w:vertAlign w:val="superscript"/>
        </w:rPr>
        <w:t>®</w:t>
      </w:r>
      <w:r w:rsidR="006F68AA">
        <w:rPr>
          <w:rFonts w:ascii="Times New Roman" w:hAnsi="Times New Roman" w:cs="Times New Roman" w:hint="eastAsia"/>
          <w:kern w:val="0"/>
          <w:sz w:val="24"/>
          <w:szCs w:val="24"/>
        </w:rPr>
        <w:t xml:space="preserve"> </w:t>
      </w:r>
      <w:r w:rsidR="000A4CF0">
        <w:rPr>
          <w:rFonts w:ascii="Times New Roman" w:hAnsi="Times New Roman" w:cs="Times New Roman" w:hint="eastAsia"/>
          <w:kern w:val="0"/>
          <w:sz w:val="24"/>
          <w:szCs w:val="24"/>
        </w:rPr>
        <w:t>beyond 78 weeks are not known</w:t>
      </w:r>
      <w:r w:rsidR="006F68AA">
        <w:rPr>
          <w:rFonts w:ascii="Times New Roman" w:hAnsi="Times New Roman" w:cs="Times New Roman" w:hint="eastAsia"/>
          <w:kern w:val="0"/>
          <w:sz w:val="24"/>
          <w:szCs w:val="24"/>
        </w:rPr>
        <w:t xml:space="preserve">. </w:t>
      </w:r>
    </w:p>
    <w:p w14:paraId="3833FE0F" w14:textId="77777777" w:rsidR="004A10AE" w:rsidRPr="0025669D" w:rsidRDefault="004A10AE" w:rsidP="007947DB">
      <w:pPr>
        <w:pStyle w:val="Heading1"/>
        <w:spacing w:before="240" w:after="240" w:line="240" w:lineRule="auto"/>
        <w:ind w:left="425" w:hanging="425"/>
        <w:rPr>
          <w:rFonts w:eastAsia="Malgun Gothic"/>
          <w:sz w:val="28"/>
          <w:lang w:eastAsia="ko-KR"/>
        </w:rPr>
      </w:pPr>
      <w:r w:rsidRPr="0025669D">
        <w:rPr>
          <w:rFonts w:eastAsia="Malgun Gothic"/>
          <w:sz w:val="28"/>
          <w:lang w:eastAsia="ko-KR"/>
        </w:rPr>
        <w:t>DOSAGE AND ADMINISTRATION</w:t>
      </w:r>
    </w:p>
    <w:p w14:paraId="3DA658D8" w14:textId="77777777" w:rsidR="004A10AE" w:rsidRPr="0076484E" w:rsidRDefault="004A10AE" w:rsidP="007947DB">
      <w:pPr>
        <w:spacing w:line="240" w:lineRule="auto"/>
        <w:jc w:val="left"/>
        <w:rPr>
          <w:rFonts w:ascii="Times New Roman" w:hAnsi="Times New Roman" w:cs="Times New Roman"/>
          <w:sz w:val="24"/>
          <w:szCs w:val="24"/>
        </w:rPr>
      </w:pPr>
      <w:r>
        <w:rPr>
          <w:rFonts w:ascii="Times New Roman" w:hAnsi="Times New Roman" w:cs="Times New Roman"/>
          <w:sz w:val="24"/>
          <w:szCs w:val="24"/>
        </w:rPr>
        <w:t>RENFLEXIS</w:t>
      </w:r>
      <w:r w:rsidRPr="0076484E">
        <w:rPr>
          <w:rFonts w:ascii="Times New Roman" w:hAnsi="Times New Roman" w:cs="Times New Roman"/>
          <w:sz w:val="24"/>
          <w:szCs w:val="24"/>
        </w:rPr>
        <w:t xml:space="preserve"> is for intravenous use in adults across all indications. </w:t>
      </w:r>
      <w:r>
        <w:rPr>
          <w:rFonts w:ascii="Times New Roman" w:hAnsi="Times New Roman" w:cs="Times New Roman"/>
          <w:sz w:val="24"/>
          <w:szCs w:val="24"/>
        </w:rPr>
        <w:t>RENFLEXIS</w:t>
      </w:r>
      <w:r w:rsidRPr="0076484E">
        <w:rPr>
          <w:rFonts w:ascii="Times New Roman" w:hAnsi="Times New Roman" w:cs="Times New Roman"/>
          <w:sz w:val="24"/>
          <w:szCs w:val="24"/>
        </w:rPr>
        <w:t xml:space="preserve"> is approved for intravenous use in children and adolescents (6 to 17 years) for the indication of Crohn’s disease and ulcerative colitis.</w:t>
      </w:r>
    </w:p>
    <w:p w14:paraId="31AB36AE" w14:textId="77777777" w:rsidR="004A10AE" w:rsidRPr="0076484E" w:rsidRDefault="004A10AE" w:rsidP="007947DB">
      <w:pPr>
        <w:spacing w:line="240" w:lineRule="auto"/>
        <w:jc w:val="left"/>
        <w:rPr>
          <w:rFonts w:ascii="Times New Roman" w:hAnsi="Times New Roman" w:cs="Times New Roman"/>
          <w:sz w:val="24"/>
          <w:szCs w:val="24"/>
        </w:rPr>
      </w:pPr>
      <w:r>
        <w:rPr>
          <w:rFonts w:ascii="Times New Roman" w:hAnsi="Times New Roman" w:cs="Times New Roman"/>
          <w:sz w:val="24"/>
          <w:szCs w:val="24"/>
        </w:rPr>
        <w:t>RENFLEXIS</w:t>
      </w:r>
      <w:r w:rsidRPr="0076484E">
        <w:rPr>
          <w:rFonts w:ascii="Times New Roman" w:hAnsi="Times New Roman" w:cs="Times New Roman"/>
          <w:sz w:val="24"/>
          <w:szCs w:val="24"/>
        </w:rPr>
        <w:t xml:space="preserve"> treatment is to be administered under the supervision of </w:t>
      </w:r>
      <w:proofErr w:type="spellStart"/>
      <w:r w:rsidRPr="0076484E">
        <w:rPr>
          <w:rFonts w:ascii="Times New Roman" w:hAnsi="Times New Roman" w:cs="Times New Roman"/>
          <w:sz w:val="24"/>
          <w:szCs w:val="24"/>
        </w:rPr>
        <w:t>specialised</w:t>
      </w:r>
      <w:proofErr w:type="spellEnd"/>
      <w:r w:rsidRPr="0076484E">
        <w:rPr>
          <w:rFonts w:ascii="Times New Roman" w:hAnsi="Times New Roman" w:cs="Times New Roman"/>
          <w:sz w:val="24"/>
          <w:szCs w:val="24"/>
        </w:rPr>
        <w:t xml:space="preserve"> physicians experienced in the diagnosis and treatment of rheumatoid arthritis, ankylosing spondylitis, inflammatory bowel diseases, psoriasis or psoriatic arthritis.</w:t>
      </w:r>
    </w:p>
    <w:p w14:paraId="105D6D62" w14:textId="77777777" w:rsidR="004A10AE" w:rsidRPr="0025669D" w:rsidRDefault="004A10AE" w:rsidP="007947DB">
      <w:pPr>
        <w:spacing w:line="240" w:lineRule="auto"/>
        <w:jc w:val="left"/>
        <w:rPr>
          <w:rFonts w:ascii="Times New Roman" w:eastAsia="Malgun Gothic" w:hAnsi="Times New Roman" w:cs="Times New Roman"/>
          <w:spacing w:val="-3"/>
          <w:kern w:val="0"/>
          <w:sz w:val="24"/>
          <w:szCs w:val="24"/>
          <w:lang w:val="en-GB"/>
        </w:rPr>
      </w:pPr>
      <w:r w:rsidRPr="0076484E">
        <w:rPr>
          <w:rFonts w:ascii="Times New Roman" w:hAnsi="Times New Roman" w:cs="Times New Roman"/>
          <w:sz w:val="24"/>
          <w:szCs w:val="24"/>
        </w:rPr>
        <w:t xml:space="preserve">For adult and </w:t>
      </w:r>
      <w:proofErr w:type="spellStart"/>
      <w:r w:rsidRPr="0076484E">
        <w:rPr>
          <w:rFonts w:ascii="Times New Roman" w:hAnsi="Times New Roman" w:cs="Times New Roman"/>
          <w:sz w:val="24"/>
          <w:szCs w:val="24"/>
        </w:rPr>
        <w:t>paediatric</w:t>
      </w:r>
      <w:proofErr w:type="spellEnd"/>
      <w:r w:rsidRPr="0076484E">
        <w:rPr>
          <w:rFonts w:ascii="Times New Roman" w:hAnsi="Times New Roman" w:cs="Times New Roman"/>
          <w:sz w:val="24"/>
          <w:szCs w:val="24"/>
        </w:rPr>
        <w:t xml:space="preserve"> patients, administer the infusion solution over a period of not less than 2 hours.</w:t>
      </w:r>
      <w:r w:rsidRPr="00132DF5">
        <w:rPr>
          <w:rFonts w:ascii="Times New Roman" w:eastAsia="Malgun Gothic" w:hAnsi="Times New Roman" w:cs="Times New Roman"/>
          <w:kern w:val="0"/>
          <w:sz w:val="24"/>
          <w:szCs w:val="24"/>
        </w:rPr>
        <w:t xml:space="preserve"> </w:t>
      </w:r>
    </w:p>
    <w:p w14:paraId="6B39F69B" w14:textId="77777777" w:rsidR="004A10AE" w:rsidRPr="0076484E" w:rsidRDefault="004A10AE" w:rsidP="007947DB">
      <w:pPr>
        <w:spacing w:line="240" w:lineRule="auto"/>
        <w:jc w:val="left"/>
        <w:rPr>
          <w:rFonts w:ascii="Times New Roman" w:hAnsi="Times New Roman" w:cs="Times New Roman"/>
          <w:sz w:val="24"/>
          <w:szCs w:val="24"/>
        </w:rPr>
      </w:pPr>
      <w:r w:rsidRPr="0076484E">
        <w:rPr>
          <w:rFonts w:ascii="Times New Roman" w:hAnsi="Times New Roman" w:cs="Times New Roman"/>
          <w:sz w:val="24"/>
          <w:szCs w:val="24"/>
        </w:rPr>
        <w:t xml:space="preserve">All patients administered </w:t>
      </w:r>
      <w:r>
        <w:rPr>
          <w:rFonts w:ascii="Times New Roman" w:hAnsi="Times New Roman" w:cs="Times New Roman"/>
          <w:sz w:val="24"/>
          <w:szCs w:val="24"/>
        </w:rPr>
        <w:t>RENFLEXIS</w:t>
      </w:r>
      <w:r w:rsidRPr="0076484E">
        <w:rPr>
          <w:rFonts w:ascii="Times New Roman" w:hAnsi="Times New Roman" w:cs="Times New Roman"/>
          <w:sz w:val="24"/>
          <w:szCs w:val="24"/>
        </w:rPr>
        <w:t xml:space="preserve"> are to be observed for at least one to two hours post infusion for side effects. Medications, an artificial airway and other appropriate materials must be available for the treatment of these effects (see PRECAUTIONS).</w:t>
      </w:r>
    </w:p>
    <w:p w14:paraId="29B68661" w14:textId="77777777" w:rsidR="004A10AE" w:rsidRPr="00132DF5" w:rsidRDefault="004A10AE" w:rsidP="007947DB">
      <w:pPr>
        <w:widowControl/>
        <w:wordWrap/>
        <w:autoSpaceDE/>
        <w:autoSpaceDN/>
        <w:spacing w:after="0" w:line="240" w:lineRule="auto"/>
        <w:jc w:val="left"/>
        <w:rPr>
          <w:rFonts w:ascii="Times New Roman" w:eastAsia="Malgun Gothic" w:hAnsi="Times New Roman" w:cs="Times New Roman"/>
          <w:b/>
          <w:kern w:val="0"/>
          <w:sz w:val="24"/>
          <w:szCs w:val="24"/>
          <w:lang w:val="en-GB" w:eastAsia="en-AU"/>
        </w:rPr>
      </w:pPr>
      <w:r w:rsidRPr="00132DF5">
        <w:rPr>
          <w:rFonts w:ascii="Times New Roman" w:eastAsia="Malgun Gothic" w:hAnsi="Times New Roman" w:cs="Times New Roman"/>
          <w:b/>
          <w:kern w:val="0"/>
          <w:sz w:val="24"/>
          <w:szCs w:val="24"/>
          <w:lang w:val="en-GB" w:eastAsia="en-AU"/>
        </w:rPr>
        <w:t xml:space="preserve">Shortened Infusions </w:t>
      </w:r>
      <w:proofErr w:type="gramStart"/>
      <w:r w:rsidRPr="00132DF5">
        <w:rPr>
          <w:rFonts w:ascii="Times New Roman" w:eastAsia="Malgun Gothic" w:hAnsi="Times New Roman" w:cs="Times New Roman"/>
          <w:b/>
          <w:kern w:val="0"/>
          <w:sz w:val="24"/>
          <w:szCs w:val="24"/>
          <w:lang w:val="en-GB" w:eastAsia="en-AU"/>
        </w:rPr>
        <w:t>Across</w:t>
      </w:r>
      <w:proofErr w:type="gramEnd"/>
      <w:r w:rsidRPr="00132DF5">
        <w:rPr>
          <w:rFonts w:ascii="Times New Roman" w:eastAsia="Malgun Gothic" w:hAnsi="Times New Roman" w:cs="Times New Roman"/>
          <w:b/>
          <w:kern w:val="0"/>
          <w:sz w:val="24"/>
          <w:szCs w:val="24"/>
          <w:lang w:val="en-GB" w:eastAsia="en-AU"/>
        </w:rPr>
        <w:t xml:space="preserve"> Adult Indications </w:t>
      </w:r>
    </w:p>
    <w:p w14:paraId="5A4E0AA2" w14:textId="77777777" w:rsidR="004A10AE" w:rsidRPr="0076484E" w:rsidRDefault="004A10AE" w:rsidP="007947DB">
      <w:pPr>
        <w:spacing w:line="240" w:lineRule="auto"/>
        <w:jc w:val="left"/>
        <w:rPr>
          <w:rFonts w:ascii="Times New Roman" w:hAnsi="Times New Roman" w:cs="Times New Roman"/>
          <w:sz w:val="24"/>
          <w:szCs w:val="24"/>
        </w:rPr>
      </w:pPr>
      <w:r w:rsidRPr="0076484E">
        <w:rPr>
          <w:rFonts w:ascii="Times New Roman" w:hAnsi="Times New Roman" w:cs="Times New Roman"/>
          <w:sz w:val="24"/>
          <w:szCs w:val="24"/>
        </w:rPr>
        <w:t xml:space="preserve">In carefully selected adult patients who have tolerated at least 3 initial 2-hour infusions of </w:t>
      </w:r>
      <w:r>
        <w:rPr>
          <w:rFonts w:ascii="Times New Roman" w:hAnsi="Times New Roman" w:cs="Times New Roman" w:hint="eastAsia"/>
          <w:sz w:val="24"/>
          <w:szCs w:val="24"/>
        </w:rPr>
        <w:t>infliximab</w:t>
      </w:r>
      <w:r w:rsidRPr="0076484E">
        <w:rPr>
          <w:rFonts w:ascii="Times New Roman" w:hAnsi="Times New Roman" w:cs="Times New Roman"/>
          <w:sz w:val="24"/>
          <w:szCs w:val="24"/>
        </w:rPr>
        <w:t xml:space="preserve"> (induction phase) and are receiving maintenance therapy, consideration may be given to administering subsequent infusions over a period of not less than 1 hour. If an infusion reaction occurs in association with a shortened infusion time, then a slower infusion rate should be considered for future infusions if treatment is to be continued. For doses greater than 6mg/kg, data only support administering an infusion over a period of not less than two hours.</w:t>
      </w:r>
    </w:p>
    <w:p w14:paraId="7EFAC90E" w14:textId="77777777" w:rsidR="004A10AE" w:rsidRPr="0025669D" w:rsidRDefault="004A10AE" w:rsidP="007947DB">
      <w:pPr>
        <w:widowControl/>
        <w:wordWrap/>
        <w:autoSpaceDE/>
        <w:autoSpaceDN/>
        <w:spacing w:after="0" w:line="240" w:lineRule="auto"/>
        <w:jc w:val="left"/>
        <w:rPr>
          <w:rFonts w:ascii="Times New Roman" w:eastAsia="Malgun Gothic" w:hAnsi="Times New Roman" w:cs="Times New Roman"/>
          <w:color w:val="000000"/>
          <w:spacing w:val="-3"/>
          <w:kern w:val="0"/>
          <w:sz w:val="24"/>
          <w:szCs w:val="24"/>
          <w:lang w:val="en-GB" w:eastAsia="en-AU"/>
        </w:rPr>
      </w:pPr>
      <w:r w:rsidRPr="0025669D">
        <w:rPr>
          <w:rFonts w:ascii="Times New Roman" w:eastAsia="Malgun Gothic" w:hAnsi="Times New Roman" w:cs="Times New Roman"/>
          <w:b/>
          <w:kern w:val="0"/>
          <w:sz w:val="24"/>
          <w:szCs w:val="24"/>
          <w:lang w:val="en-GB" w:eastAsia="en-AU"/>
        </w:rPr>
        <w:t>Rheumatoid Arthritis in adults</w:t>
      </w:r>
    </w:p>
    <w:p w14:paraId="760026FA" w14:textId="77777777" w:rsidR="004A10AE" w:rsidRPr="00127506" w:rsidRDefault="004A10AE" w:rsidP="007947DB">
      <w:pPr>
        <w:spacing w:line="240" w:lineRule="auto"/>
        <w:jc w:val="left"/>
        <w:rPr>
          <w:rFonts w:ascii="Times New Roman" w:hAnsi="Times New Roman" w:cs="Times New Roman"/>
          <w:sz w:val="24"/>
          <w:szCs w:val="24"/>
        </w:rPr>
      </w:pPr>
      <w:r w:rsidRPr="00127506">
        <w:rPr>
          <w:rFonts w:ascii="Times New Roman" w:hAnsi="Times New Roman" w:cs="Times New Roman"/>
          <w:sz w:val="24"/>
          <w:szCs w:val="24"/>
        </w:rPr>
        <w:t xml:space="preserve">Patients not previously treated with </w:t>
      </w:r>
      <w:r>
        <w:rPr>
          <w:rFonts w:ascii="Times New Roman" w:hAnsi="Times New Roman" w:cs="Times New Roman"/>
          <w:sz w:val="24"/>
          <w:szCs w:val="24"/>
        </w:rPr>
        <w:t>RENFLEXIS</w:t>
      </w:r>
      <w:r w:rsidRPr="00127506">
        <w:rPr>
          <w:rFonts w:ascii="Times New Roman" w:hAnsi="Times New Roman" w:cs="Times New Roman"/>
          <w:sz w:val="24"/>
          <w:szCs w:val="24"/>
        </w:rPr>
        <w:t xml:space="preserve">: Initially 3 mg/kg intravenous infusion over a 2-hour period is to be followed with additional 3 mg/kg infusion doses at 2 and 6 weeks after the first infusion, then every 8 weeks thereafter. </w:t>
      </w:r>
    </w:p>
    <w:p w14:paraId="7EE43FA0" w14:textId="193F405D" w:rsidR="004A10AE" w:rsidRPr="0025669D" w:rsidRDefault="004A10AE" w:rsidP="00CD025F">
      <w:pPr>
        <w:spacing w:line="240" w:lineRule="auto"/>
        <w:jc w:val="left"/>
        <w:rPr>
          <w:rFonts w:ascii="Times New Roman" w:eastAsia="Malgun Gothic" w:hAnsi="Times New Roman" w:cs="Times New Roman"/>
          <w:kern w:val="0"/>
          <w:sz w:val="24"/>
          <w:szCs w:val="24"/>
        </w:rPr>
      </w:pPr>
      <w:r w:rsidRPr="00CD025F">
        <w:rPr>
          <w:rFonts w:ascii="Times New Roman" w:hAnsi="Times New Roman" w:cs="Times New Roman"/>
          <w:sz w:val="24"/>
          <w:szCs w:val="24"/>
        </w:rPr>
        <w:t>RENFLEXIS</w:t>
      </w:r>
      <w:r w:rsidRPr="0025669D">
        <w:rPr>
          <w:rFonts w:ascii="Times New Roman" w:eastAsia="Malgun Gothic" w:hAnsi="Times New Roman" w:cs="Times New Roman"/>
          <w:kern w:val="0"/>
          <w:sz w:val="24"/>
          <w:szCs w:val="24"/>
        </w:rPr>
        <w:t xml:space="preserve"> should be given in combination with methotrexate.</w:t>
      </w:r>
    </w:p>
    <w:p w14:paraId="1569D23E" w14:textId="77777777" w:rsidR="004A10AE" w:rsidRPr="0025669D" w:rsidRDefault="004A10AE" w:rsidP="007947DB">
      <w:pPr>
        <w:spacing w:after="0" w:line="240" w:lineRule="auto"/>
        <w:jc w:val="left"/>
        <w:rPr>
          <w:rFonts w:ascii="Times New Roman" w:eastAsia="Malgun Gothic" w:hAnsi="Times New Roman" w:cs="Times New Roman"/>
          <w:kern w:val="0"/>
          <w:sz w:val="24"/>
          <w:szCs w:val="24"/>
        </w:rPr>
      </w:pPr>
    </w:p>
    <w:p w14:paraId="17B34468" w14:textId="77777777" w:rsidR="004A10AE" w:rsidRPr="00127506" w:rsidRDefault="004A10AE" w:rsidP="007947DB">
      <w:pPr>
        <w:spacing w:line="240" w:lineRule="auto"/>
        <w:jc w:val="left"/>
        <w:rPr>
          <w:rFonts w:ascii="Times New Roman" w:hAnsi="Times New Roman" w:cs="Times New Roman"/>
          <w:sz w:val="24"/>
          <w:szCs w:val="24"/>
        </w:rPr>
      </w:pPr>
      <w:r w:rsidRPr="00127506">
        <w:rPr>
          <w:rFonts w:ascii="Times New Roman" w:hAnsi="Times New Roman" w:cs="Times New Roman"/>
          <w:sz w:val="24"/>
          <w:szCs w:val="24"/>
        </w:rPr>
        <w:t xml:space="preserve">To </w:t>
      </w:r>
      <w:proofErr w:type="spellStart"/>
      <w:r w:rsidRPr="00127506">
        <w:rPr>
          <w:rFonts w:ascii="Times New Roman" w:hAnsi="Times New Roman" w:cs="Times New Roman"/>
          <w:sz w:val="24"/>
          <w:szCs w:val="24"/>
        </w:rPr>
        <w:t>optimise</w:t>
      </w:r>
      <w:proofErr w:type="spellEnd"/>
      <w:r w:rsidRPr="00127506">
        <w:rPr>
          <w:rFonts w:ascii="Times New Roman" w:hAnsi="Times New Roman" w:cs="Times New Roman"/>
          <w:sz w:val="24"/>
          <w:szCs w:val="24"/>
        </w:rPr>
        <w:t xml:space="preserve"> clinical response, consideration may be given to adjusting the dose in increments of 1.5 mg/kg up to a maximum of 7.5 mg/kg. </w:t>
      </w:r>
    </w:p>
    <w:p w14:paraId="5353FFE1" w14:textId="77777777" w:rsidR="004A10AE" w:rsidRPr="00127506" w:rsidRDefault="004A10AE" w:rsidP="007947DB">
      <w:pPr>
        <w:spacing w:line="240" w:lineRule="auto"/>
        <w:jc w:val="left"/>
        <w:rPr>
          <w:rFonts w:ascii="Times New Roman" w:hAnsi="Times New Roman" w:cs="Times New Roman"/>
          <w:sz w:val="24"/>
          <w:szCs w:val="24"/>
        </w:rPr>
      </w:pPr>
      <w:r w:rsidRPr="00127506">
        <w:rPr>
          <w:rFonts w:ascii="Times New Roman" w:hAnsi="Times New Roman" w:cs="Times New Roman"/>
          <w:sz w:val="24"/>
          <w:szCs w:val="24"/>
        </w:rPr>
        <w:t>Available data suggest that the clinical response is usually achieved within 12 weeks of treatment. If a patient has an inadequate response or loses response after this period, the dose may be adjusted as described above. If adequate response is achieved, patients should be continued on the selected dose or dose frequency. Continued therapy should be carefully reconsidered in patients who show no evidence of therapeutic benefit within the first 12 weeks of treatment or after dose adjustment.</w:t>
      </w:r>
    </w:p>
    <w:p w14:paraId="588C3A1F" w14:textId="77777777" w:rsidR="004A10AE" w:rsidRPr="0025669D" w:rsidRDefault="004A10AE" w:rsidP="007947DB">
      <w:pPr>
        <w:widowControl/>
        <w:wordWrap/>
        <w:autoSpaceDE/>
        <w:autoSpaceDN/>
        <w:spacing w:after="0" w:line="240" w:lineRule="auto"/>
        <w:jc w:val="left"/>
        <w:rPr>
          <w:rFonts w:ascii="Times New Roman" w:eastAsia="Malgun Gothic" w:hAnsi="Times New Roman" w:cs="Times New Roman"/>
          <w:b/>
          <w:bCs/>
          <w:kern w:val="0"/>
          <w:sz w:val="24"/>
          <w:szCs w:val="24"/>
          <w:lang w:val="en-GB" w:eastAsia="en-AU"/>
        </w:rPr>
      </w:pPr>
      <w:r w:rsidRPr="0025669D">
        <w:rPr>
          <w:rFonts w:ascii="Times New Roman" w:eastAsia="Malgun Gothic" w:hAnsi="Times New Roman" w:cs="Times New Roman"/>
          <w:b/>
          <w:bCs/>
          <w:kern w:val="0"/>
          <w:sz w:val="24"/>
          <w:szCs w:val="24"/>
          <w:lang w:val="en-GB" w:eastAsia="en-AU"/>
        </w:rPr>
        <w:lastRenderedPageBreak/>
        <w:t>Ankylosing Spondylitis</w:t>
      </w:r>
    </w:p>
    <w:p w14:paraId="169E99DF" w14:textId="1E414A97" w:rsidR="004A10AE" w:rsidRDefault="004A10AE" w:rsidP="007947DB">
      <w:pPr>
        <w:spacing w:line="240" w:lineRule="auto"/>
        <w:jc w:val="left"/>
        <w:rPr>
          <w:rFonts w:ascii="Times New Roman" w:hAnsi="Times New Roman" w:cs="Times New Roman"/>
          <w:sz w:val="24"/>
          <w:szCs w:val="24"/>
        </w:rPr>
      </w:pPr>
      <w:r w:rsidRPr="00127506">
        <w:rPr>
          <w:rFonts w:ascii="Times New Roman" w:hAnsi="Times New Roman" w:cs="Times New Roman"/>
          <w:sz w:val="24"/>
          <w:szCs w:val="24"/>
        </w:rPr>
        <w:t>5 mg/kg given as an intravenous infusion over a 2-hour period followed by additional 5</w:t>
      </w:r>
      <w:r>
        <w:rPr>
          <w:rFonts w:ascii="Times New Roman" w:hAnsi="Times New Roman" w:cs="Times New Roman"/>
          <w:sz w:val="24"/>
          <w:szCs w:val="24"/>
        </w:rPr>
        <w:t> </w:t>
      </w:r>
      <w:r w:rsidRPr="00127506">
        <w:rPr>
          <w:rFonts w:ascii="Times New Roman" w:hAnsi="Times New Roman" w:cs="Times New Roman"/>
          <w:sz w:val="24"/>
          <w:szCs w:val="24"/>
        </w:rPr>
        <w:t>mg/kg infusion doses at 2 and 6 weeks after the first infusion, then every 6 weeks thereafter.</w:t>
      </w:r>
    </w:p>
    <w:p w14:paraId="49D75401" w14:textId="1B517BB7" w:rsidR="00E75073" w:rsidRDefault="00E75073" w:rsidP="007947DB">
      <w:pPr>
        <w:spacing w:line="240" w:lineRule="auto"/>
        <w:jc w:val="left"/>
        <w:rPr>
          <w:rFonts w:ascii="Times New Roman" w:hAnsi="Times New Roman" w:cs="Times New Roman"/>
          <w:sz w:val="24"/>
          <w:szCs w:val="24"/>
        </w:rPr>
      </w:pPr>
    </w:p>
    <w:p w14:paraId="2003CBD0" w14:textId="77777777" w:rsidR="00E75073" w:rsidRPr="00127506" w:rsidRDefault="00E75073" w:rsidP="007947DB">
      <w:pPr>
        <w:spacing w:line="240" w:lineRule="auto"/>
        <w:jc w:val="left"/>
        <w:rPr>
          <w:rFonts w:ascii="Times New Roman" w:hAnsi="Times New Roman" w:cs="Times New Roman"/>
          <w:sz w:val="24"/>
          <w:szCs w:val="24"/>
        </w:rPr>
      </w:pPr>
    </w:p>
    <w:p w14:paraId="5D81B4FC" w14:textId="77777777" w:rsidR="004A10AE" w:rsidRPr="0025669D" w:rsidRDefault="004A10AE" w:rsidP="007947DB">
      <w:pPr>
        <w:widowControl/>
        <w:wordWrap/>
        <w:autoSpaceDE/>
        <w:autoSpaceDN/>
        <w:spacing w:after="0" w:line="240" w:lineRule="auto"/>
        <w:jc w:val="left"/>
        <w:rPr>
          <w:rFonts w:ascii="Times New Roman" w:eastAsia="Malgun Gothic" w:hAnsi="Times New Roman" w:cs="Times New Roman"/>
          <w:bCs/>
          <w:kern w:val="0"/>
          <w:sz w:val="24"/>
          <w:szCs w:val="24"/>
          <w:lang w:val="en-GB" w:eastAsia="en-AU"/>
        </w:rPr>
      </w:pPr>
      <w:r w:rsidRPr="0025669D">
        <w:rPr>
          <w:rFonts w:ascii="Times New Roman" w:eastAsia="Malgun Gothic" w:hAnsi="Times New Roman" w:cs="Times New Roman"/>
          <w:b/>
          <w:bCs/>
          <w:kern w:val="0"/>
          <w:sz w:val="24"/>
          <w:szCs w:val="24"/>
          <w:lang w:val="en-GB" w:eastAsia="en-AU"/>
        </w:rPr>
        <w:t>Psoriatic Arthritis</w:t>
      </w:r>
    </w:p>
    <w:p w14:paraId="5409117F" w14:textId="77777777" w:rsidR="004A10AE" w:rsidRPr="00127506" w:rsidRDefault="004A10AE" w:rsidP="007947DB">
      <w:pPr>
        <w:spacing w:line="240" w:lineRule="auto"/>
        <w:jc w:val="left"/>
        <w:rPr>
          <w:rFonts w:ascii="Times New Roman" w:hAnsi="Times New Roman" w:cs="Times New Roman"/>
          <w:sz w:val="24"/>
          <w:szCs w:val="24"/>
        </w:rPr>
      </w:pPr>
      <w:r w:rsidRPr="00127506">
        <w:rPr>
          <w:rFonts w:ascii="Times New Roman" w:hAnsi="Times New Roman" w:cs="Times New Roman"/>
          <w:sz w:val="24"/>
          <w:szCs w:val="24"/>
        </w:rPr>
        <w:t>5 mg/kg given as an intravenous infusion over a 2-hour period followed by additional 5</w:t>
      </w:r>
      <w:r>
        <w:rPr>
          <w:rFonts w:ascii="Times New Roman" w:hAnsi="Times New Roman" w:cs="Times New Roman"/>
          <w:sz w:val="24"/>
          <w:szCs w:val="24"/>
        </w:rPr>
        <w:t> </w:t>
      </w:r>
      <w:r w:rsidRPr="00127506">
        <w:rPr>
          <w:rFonts w:ascii="Times New Roman" w:hAnsi="Times New Roman" w:cs="Times New Roman"/>
          <w:sz w:val="24"/>
          <w:szCs w:val="24"/>
        </w:rPr>
        <w:t>mg/kg infusion doses at 2 and 6 weeks after the first infusion, then every 8 weeks thereafter. Efficacy and safety have been demonstrated alone or in combination with methotrexate.</w:t>
      </w:r>
    </w:p>
    <w:p w14:paraId="7AF108D4" w14:textId="77777777" w:rsidR="004A10AE" w:rsidRPr="0025669D" w:rsidRDefault="004A10AE" w:rsidP="007947DB">
      <w:pPr>
        <w:widowControl/>
        <w:wordWrap/>
        <w:autoSpaceDE/>
        <w:autoSpaceDN/>
        <w:spacing w:after="0" w:line="240" w:lineRule="auto"/>
        <w:jc w:val="left"/>
        <w:rPr>
          <w:rFonts w:ascii="Times New Roman" w:eastAsia="Malgun Gothic" w:hAnsi="Times New Roman" w:cs="Times New Roman"/>
          <w:kern w:val="0"/>
          <w:sz w:val="24"/>
          <w:szCs w:val="24"/>
          <w:lang w:val="en-GB" w:eastAsia="en-AU"/>
        </w:rPr>
      </w:pPr>
      <w:r w:rsidRPr="0025669D">
        <w:rPr>
          <w:rFonts w:ascii="Times New Roman" w:eastAsia="Malgun Gothic" w:hAnsi="Times New Roman" w:cs="Times New Roman"/>
          <w:b/>
          <w:kern w:val="0"/>
          <w:sz w:val="24"/>
          <w:szCs w:val="24"/>
          <w:lang w:val="en-GB" w:eastAsia="en-AU"/>
        </w:rPr>
        <w:t>Psoriasis</w:t>
      </w:r>
    </w:p>
    <w:p w14:paraId="0BECA91A" w14:textId="77777777" w:rsidR="004A10AE" w:rsidRPr="00127506" w:rsidRDefault="004A10AE" w:rsidP="007947DB">
      <w:pPr>
        <w:spacing w:line="240" w:lineRule="auto"/>
        <w:jc w:val="left"/>
        <w:rPr>
          <w:rFonts w:ascii="Times New Roman" w:hAnsi="Times New Roman" w:cs="Times New Roman"/>
          <w:sz w:val="24"/>
          <w:szCs w:val="24"/>
        </w:rPr>
      </w:pPr>
      <w:r w:rsidRPr="00127506">
        <w:rPr>
          <w:rFonts w:ascii="Times New Roman" w:hAnsi="Times New Roman" w:cs="Times New Roman"/>
          <w:sz w:val="24"/>
          <w:szCs w:val="24"/>
        </w:rPr>
        <w:t>5 mg/kg given as an intravenous infusion over a 2-hour period followed by additional 5</w:t>
      </w:r>
      <w:r>
        <w:rPr>
          <w:rFonts w:ascii="Times New Roman" w:hAnsi="Times New Roman" w:cs="Times New Roman"/>
          <w:sz w:val="24"/>
          <w:szCs w:val="24"/>
        </w:rPr>
        <w:t> </w:t>
      </w:r>
      <w:r w:rsidRPr="00127506">
        <w:rPr>
          <w:rFonts w:ascii="Times New Roman" w:hAnsi="Times New Roman" w:cs="Times New Roman"/>
          <w:sz w:val="24"/>
          <w:szCs w:val="24"/>
        </w:rPr>
        <w:t>mg/kg infusions doses at 2 and 6 weeks after the first infusion, then every 8 weeks thereafter.</w:t>
      </w:r>
    </w:p>
    <w:p w14:paraId="111FF622" w14:textId="77777777" w:rsidR="004A10AE" w:rsidRPr="0025669D" w:rsidRDefault="004A10AE" w:rsidP="007947DB">
      <w:pPr>
        <w:widowControl/>
        <w:wordWrap/>
        <w:autoSpaceDE/>
        <w:autoSpaceDN/>
        <w:spacing w:after="0" w:line="240" w:lineRule="auto"/>
        <w:jc w:val="left"/>
        <w:rPr>
          <w:rFonts w:ascii="Times New Roman" w:eastAsia="Malgun Gothic" w:hAnsi="Times New Roman" w:cs="Times New Roman"/>
          <w:kern w:val="0"/>
          <w:sz w:val="24"/>
          <w:szCs w:val="24"/>
          <w:lang w:val="en-GB" w:eastAsia="en-AU"/>
        </w:rPr>
      </w:pPr>
      <w:r w:rsidRPr="0025669D">
        <w:rPr>
          <w:rFonts w:ascii="Times New Roman" w:eastAsia="Malgun Gothic" w:hAnsi="Times New Roman" w:cs="Times New Roman"/>
          <w:b/>
          <w:kern w:val="0"/>
          <w:sz w:val="24"/>
          <w:szCs w:val="24"/>
          <w:lang w:val="en-GB" w:eastAsia="en-AU"/>
        </w:rPr>
        <w:t>Crohn’s Disease</w:t>
      </w:r>
    </w:p>
    <w:p w14:paraId="123225DC" w14:textId="77777777" w:rsidR="004A10AE" w:rsidRPr="0025669D" w:rsidRDefault="004A10AE" w:rsidP="007947DB">
      <w:pPr>
        <w:widowControl/>
        <w:wordWrap/>
        <w:autoSpaceDE/>
        <w:autoSpaceDN/>
        <w:spacing w:after="0" w:line="240" w:lineRule="auto"/>
        <w:jc w:val="left"/>
        <w:rPr>
          <w:rFonts w:ascii="Times New Roman" w:eastAsia="Malgun Gothic" w:hAnsi="Times New Roman" w:cs="Times New Roman"/>
          <w:kern w:val="0"/>
          <w:sz w:val="24"/>
          <w:szCs w:val="24"/>
          <w:lang w:val="en-GB" w:eastAsia="en-AU"/>
        </w:rPr>
      </w:pPr>
      <w:r w:rsidRPr="0025669D">
        <w:rPr>
          <w:rFonts w:ascii="Times New Roman" w:eastAsia="Malgun Gothic" w:hAnsi="Times New Roman" w:cs="Times New Roman"/>
          <w:kern w:val="0"/>
          <w:sz w:val="24"/>
          <w:szCs w:val="24"/>
          <w:u w:val="single"/>
          <w:lang w:val="en-GB" w:eastAsia="en-AU"/>
        </w:rPr>
        <w:t>Moderate to severe Crohn’s disease in adults and in children and adolescents (6 to 17 years)</w:t>
      </w:r>
    </w:p>
    <w:p w14:paraId="28E3228B" w14:textId="77777777" w:rsidR="004A10AE" w:rsidRPr="00127506" w:rsidRDefault="004A10AE" w:rsidP="007947DB">
      <w:pPr>
        <w:spacing w:line="240" w:lineRule="auto"/>
        <w:jc w:val="left"/>
        <w:rPr>
          <w:rFonts w:ascii="Times New Roman" w:hAnsi="Times New Roman" w:cs="Times New Roman"/>
          <w:sz w:val="24"/>
          <w:szCs w:val="24"/>
        </w:rPr>
      </w:pPr>
      <w:r w:rsidRPr="00127506">
        <w:rPr>
          <w:rFonts w:ascii="Times New Roman" w:hAnsi="Times New Roman" w:cs="Times New Roman"/>
          <w:sz w:val="24"/>
          <w:szCs w:val="24"/>
        </w:rPr>
        <w:t>For optimal long-term symptom control, 5 mg/kg given as a single intravenous infusion over a 2-hour period as an induction regimen at 0, 2 and 6 weeks followed by a maintenance regimen of 5 mg/kg every 8 weeks thereafter. For patients who have an incomplete response during maintenance treatment, consideration may be given to adjusting the dose up to 10</w:t>
      </w:r>
      <w:r>
        <w:rPr>
          <w:rFonts w:ascii="Times New Roman" w:hAnsi="Times New Roman" w:cs="Times New Roman"/>
          <w:sz w:val="24"/>
          <w:szCs w:val="24"/>
        </w:rPr>
        <w:t> </w:t>
      </w:r>
      <w:r w:rsidRPr="00127506">
        <w:rPr>
          <w:rFonts w:ascii="Times New Roman" w:hAnsi="Times New Roman" w:cs="Times New Roman"/>
          <w:sz w:val="24"/>
          <w:szCs w:val="24"/>
        </w:rPr>
        <w:t>mg/kg.</w:t>
      </w:r>
    </w:p>
    <w:p w14:paraId="2CB0FC20" w14:textId="77777777" w:rsidR="004A10AE" w:rsidRDefault="004A10AE" w:rsidP="007947DB">
      <w:pPr>
        <w:spacing w:line="240" w:lineRule="auto"/>
        <w:jc w:val="left"/>
        <w:rPr>
          <w:rFonts w:ascii="Times New Roman" w:hAnsi="Times New Roman" w:cs="Times New Roman"/>
          <w:sz w:val="24"/>
          <w:szCs w:val="24"/>
        </w:rPr>
      </w:pPr>
      <w:proofErr w:type="spellStart"/>
      <w:r w:rsidRPr="00A01E8A">
        <w:rPr>
          <w:rFonts w:ascii="Times New Roman" w:hAnsi="Times New Roman" w:cs="Times New Roman"/>
          <w:sz w:val="24"/>
          <w:szCs w:val="24"/>
        </w:rPr>
        <w:t>Paediatric</w:t>
      </w:r>
      <w:proofErr w:type="spellEnd"/>
      <w:r w:rsidRPr="00A01E8A">
        <w:rPr>
          <w:rFonts w:ascii="Times New Roman" w:hAnsi="Times New Roman" w:cs="Times New Roman"/>
          <w:sz w:val="24"/>
          <w:szCs w:val="24"/>
        </w:rPr>
        <w:t xml:space="preserve"> Crohn’s disease </w:t>
      </w:r>
      <w:proofErr w:type="gramStart"/>
      <w:r w:rsidRPr="00A01E8A">
        <w:rPr>
          <w:rFonts w:ascii="Times New Roman" w:hAnsi="Times New Roman" w:cs="Times New Roman"/>
          <w:sz w:val="24"/>
          <w:szCs w:val="24"/>
        </w:rPr>
        <w:t>patients</w:t>
      </w:r>
      <w:proofErr w:type="gramEnd"/>
      <w:r w:rsidRPr="00A01E8A">
        <w:rPr>
          <w:rFonts w:ascii="Times New Roman" w:hAnsi="Times New Roman" w:cs="Times New Roman"/>
          <w:sz w:val="24"/>
          <w:szCs w:val="24"/>
        </w:rPr>
        <w:t xml:space="preserve"> who have had their dose adjusted to greater than 5 mg/kg every 8 weeks, may be at greater risk for adverse reactions. Continued therapy with the adjusted dose should be carefully considered in patients who show no evidence of additional therapeutic benefit after dose adjustment.</w:t>
      </w:r>
    </w:p>
    <w:p w14:paraId="1CC511FF" w14:textId="77777777" w:rsidR="004A10AE" w:rsidRPr="00127506" w:rsidRDefault="004A10AE" w:rsidP="007947DB">
      <w:pPr>
        <w:spacing w:line="240" w:lineRule="auto"/>
        <w:jc w:val="left"/>
        <w:rPr>
          <w:rFonts w:ascii="Times New Roman" w:hAnsi="Times New Roman" w:cs="Times New Roman"/>
          <w:sz w:val="24"/>
          <w:szCs w:val="24"/>
        </w:rPr>
      </w:pPr>
      <w:r w:rsidRPr="00127506">
        <w:rPr>
          <w:rFonts w:ascii="Times New Roman" w:hAnsi="Times New Roman" w:cs="Times New Roman"/>
          <w:sz w:val="24"/>
          <w:szCs w:val="24"/>
        </w:rPr>
        <w:t>Available data do not support further infliximab treatment in children and adolescent patients (6-17 years) not responding within 10 weeks to the initial infusion.</w:t>
      </w:r>
    </w:p>
    <w:p w14:paraId="4F502A38" w14:textId="77777777" w:rsidR="004A10AE" w:rsidRPr="0025669D" w:rsidRDefault="004A10AE" w:rsidP="007947DB">
      <w:pPr>
        <w:widowControl/>
        <w:wordWrap/>
        <w:autoSpaceDE/>
        <w:autoSpaceDN/>
        <w:spacing w:after="0" w:line="240" w:lineRule="auto"/>
        <w:jc w:val="left"/>
        <w:rPr>
          <w:rFonts w:ascii="Times New Roman" w:eastAsia="Malgun Gothic" w:hAnsi="Times New Roman" w:cs="Times New Roman"/>
          <w:kern w:val="0"/>
          <w:sz w:val="24"/>
          <w:szCs w:val="24"/>
          <w:u w:val="single"/>
          <w:lang w:val="en-GB" w:eastAsia="en-AU"/>
        </w:rPr>
      </w:pPr>
      <w:r w:rsidRPr="0025669D">
        <w:rPr>
          <w:rFonts w:ascii="Times New Roman" w:eastAsia="Malgun Gothic" w:hAnsi="Times New Roman" w:cs="Times New Roman"/>
          <w:kern w:val="0"/>
          <w:sz w:val="24"/>
          <w:szCs w:val="24"/>
          <w:u w:val="single"/>
          <w:lang w:val="en-GB" w:eastAsia="en-AU"/>
        </w:rPr>
        <w:t>Refractory Fistulising Crohn’s disease</w:t>
      </w:r>
    </w:p>
    <w:p w14:paraId="5170843A" w14:textId="77777777" w:rsidR="004A10AE" w:rsidRPr="00127506" w:rsidRDefault="004A10AE" w:rsidP="007947DB">
      <w:pPr>
        <w:spacing w:line="240" w:lineRule="auto"/>
        <w:jc w:val="left"/>
        <w:rPr>
          <w:rFonts w:ascii="Times New Roman" w:hAnsi="Times New Roman" w:cs="Times New Roman"/>
          <w:sz w:val="24"/>
          <w:szCs w:val="24"/>
        </w:rPr>
      </w:pPr>
      <w:r w:rsidRPr="00127506">
        <w:rPr>
          <w:rFonts w:ascii="Times New Roman" w:hAnsi="Times New Roman" w:cs="Times New Roman"/>
          <w:sz w:val="24"/>
          <w:szCs w:val="24"/>
        </w:rPr>
        <w:t>5 mg/kg given as a single intravenous infusion over a 2 hour period as an induction regimen at 0, 2 and 6 weeks followed by a maintenance regimen of 5 mg/kg every 8 weeks thereafter. If a patient does not respond after the initial 3 dose induction regimen, no additional treatment with infliximab should be given.</w:t>
      </w:r>
    </w:p>
    <w:p w14:paraId="648D95C3" w14:textId="77777777" w:rsidR="004A10AE" w:rsidRPr="00127506" w:rsidRDefault="004A10AE" w:rsidP="007947DB">
      <w:pPr>
        <w:spacing w:line="240" w:lineRule="auto"/>
        <w:jc w:val="left"/>
        <w:rPr>
          <w:rFonts w:ascii="Times New Roman" w:hAnsi="Times New Roman" w:cs="Times New Roman"/>
          <w:sz w:val="24"/>
          <w:szCs w:val="24"/>
        </w:rPr>
      </w:pPr>
      <w:r w:rsidRPr="00127506">
        <w:rPr>
          <w:rFonts w:ascii="Times New Roman" w:hAnsi="Times New Roman" w:cs="Times New Roman"/>
          <w:sz w:val="24"/>
          <w:szCs w:val="24"/>
        </w:rPr>
        <w:t>For patients who respond and then lose their response, consideration may be given to treatment with 10 mg/kg.</w:t>
      </w:r>
    </w:p>
    <w:p w14:paraId="26B73AE0" w14:textId="77777777" w:rsidR="004A10AE" w:rsidRPr="00127506" w:rsidRDefault="004A10AE" w:rsidP="007947DB">
      <w:pPr>
        <w:spacing w:line="240" w:lineRule="auto"/>
        <w:jc w:val="left"/>
        <w:rPr>
          <w:rFonts w:ascii="Times New Roman" w:hAnsi="Times New Roman" w:cs="Times New Roman"/>
          <w:sz w:val="24"/>
          <w:szCs w:val="24"/>
        </w:rPr>
      </w:pPr>
      <w:r w:rsidRPr="00127506">
        <w:rPr>
          <w:rFonts w:ascii="Times New Roman" w:hAnsi="Times New Roman" w:cs="Times New Roman"/>
          <w:sz w:val="24"/>
          <w:szCs w:val="24"/>
        </w:rPr>
        <w:t xml:space="preserve">There are no efficacy and safety data on the use of infliximab for the treatment of refractory </w:t>
      </w:r>
      <w:proofErr w:type="spellStart"/>
      <w:r w:rsidRPr="00127506">
        <w:rPr>
          <w:rFonts w:ascii="Times New Roman" w:hAnsi="Times New Roman" w:cs="Times New Roman"/>
          <w:sz w:val="24"/>
          <w:szCs w:val="24"/>
        </w:rPr>
        <w:t>fistulising</w:t>
      </w:r>
      <w:proofErr w:type="spellEnd"/>
      <w:r w:rsidRPr="00127506">
        <w:rPr>
          <w:rFonts w:ascii="Times New Roman" w:hAnsi="Times New Roman" w:cs="Times New Roman"/>
          <w:sz w:val="24"/>
          <w:szCs w:val="24"/>
        </w:rPr>
        <w:t xml:space="preserve"> Crohn’s disease beyond 54 weeks.</w:t>
      </w:r>
    </w:p>
    <w:p w14:paraId="5E5A5F77" w14:textId="77777777" w:rsidR="004A10AE" w:rsidRPr="00CC3195" w:rsidRDefault="004A10AE" w:rsidP="007947DB">
      <w:pPr>
        <w:keepNext/>
        <w:keepLines/>
        <w:widowControl/>
        <w:wordWrap/>
        <w:autoSpaceDE/>
        <w:autoSpaceDN/>
        <w:spacing w:after="0" w:line="240" w:lineRule="auto"/>
        <w:jc w:val="left"/>
        <w:rPr>
          <w:rFonts w:ascii="Times New Roman" w:eastAsia="Malgun Gothic" w:hAnsi="Times New Roman" w:cs="Times New Roman"/>
          <w:bCs/>
          <w:kern w:val="0"/>
          <w:sz w:val="24"/>
          <w:szCs w:val="24"/>
          <w:lang w:val="en-GB" w:eastAsia="en-AU"/>
        </w:rPr>
      </w:pPr>
      <w:r w:rsidRPr="0025669D">
        <w:rPr>
          <w:rFonts w:ascii="Times New Roman" w:eastAsia="Malgun Gothic" w:hAnsi="Times New Roman" w:cs="Times New Roman"/>
          <w:b/>
          <w:bCs/>
          <w:kern w:val="0"/>
          <w:sz w:val="24"/>
          <w:szCs w:val="24"/>
          <w:lang w:val="en-GB" w:eastAsia="en-AU"/>
        </w:rPr>
        <w:t xml:space="preserve">Ulcerative colitis in adults </w:t>
      </w:r>
      <w:r w:rsidRPr="00CC3195">
        <w:rPr>
          <w:rFonts w:ascii="Times New Roman" w:eastAsia="Malgun Gothic" w:hAnsi="Times New Roman" w:cs="Times New Roman"/>
          <w:b/>
          <w:bCs/>
          <w:kern w:val="0"/>
          <w:sz w:val="24"/>
          <w:szCs w:val="24"/>
          <w:lang w:val="en-GB" w:eastAsia="en-AU"/>
        </w:rPr>
        <w:t>and in children and adolescents (6 to 17 years)</w:t>
      </w:r>
    </w:p>
    <w:p w14:paraId="4C0D4BFF" w14:textId="77777777" w:rsidR="004A10AE" w:rsidRPr="00127506" w:rsidRDefault="004A10AE" w:rsidP="007947DB">
      <w:pPr>
        <w:spacing w:line="240" w:lineRule="auto"/>
        <w:jc w:val="left"/>
        <w:rPr>
          <w:rFonts w:ascii="Times New Roman" w:hAnsi="Times New Roman" w:cs="Times New Roman"/>
          <w:sz w:val="24"/>
          <w:szCs w:val="24"/>
        </w:rPr>
      </w:pPr>
      <w:r w:rsidRPr="00127506">
        <w:rPr>
          <w:rFonts w:ascii="Times New Roman" w:hAnsi="Times New Roman" w:cs="Times New Roman"/>
          <w:sz w:val="24"/>
          <w:szCs w:val="24"/>
        </w:rPr>
        <w:t xml:space="preserve">5 mg/kg given as an intravenous infusion over a 2-hour period followed by additional 5 </w:t>
      </w:r>
      <w:r w:rsidRPr="00127506">
        <w:rPr>
          <w:rFonts w:ascii="Times New Roman" w:hAnsi="Times New Roman" w:cs="Times New Roman"/>
          <w:sz w:val="24"/>
          <w:szCs w:val="24"/>
        </w:rPr>
        <w:lastRenderedPageBreak/>
        <w:t>mg/kg infusion dose at 2 and 6 weeks after the first infusion, then every 8 weeks thereafter.</w:t>
      </w:r>
    </w:p>
    <w:p w14:paraId="35294177" w14:textId="77777777" w:rsidR="004A10AE" w:rsidRPr="00127506" w:rsidRDefault="004A10AE" w:rsidP="007947DB">
      <w:pPr>
        <w:spacing w:line="240" w:lineRule="auto"/>
        <w:jc w:val="left"/>
        <w:rPr>
          <w:rFonts w:ascii="Times New Roman" w:hAnsi="Times New Roman" w:cs="Times New Roman"/>
          <w:sz w:val="24"/>
          <w:szCs w:val="24"/>
        </w:rPr>
      </w:pPr>
      <w:r w:rsidRPr="00127506">
        <w:rPr>
          <w:rFonts w:ascii="Times New Roman" w:hAnsi="Times New Roman" w:cs="Times New Roman"/>
          <w:sz w:val="24"/>
          <w:szCs w:val="24"/>
        </w:rPr>
        <w:t>If patients have not responded to the initial three treatment infusion regimen at weeks 0, 2, and 6 weeks, then careful consideration should be given before persisting with further treatment.</w:t>
      </w:r>
    </w:p>
    <w:p w14:paraId="0AC1452E" w14:textId="3EF521E7" w:rsidR="004A10AE" w:rsidRDefault="004A10AE" w:rsidP="007947DB">
      <w:pPr>
        <w:spacing w:line="240" w:lineRule="auto"/>
        <w:jc w:val="left"/>
        <w:rPr>
          <w:rFonts w:ascii="Times New Roman" w:hAnsi="Times New Roman" w:cs="Times New Roman"/>
          <w:sz w:val="24"/>
          <w:szCs w:val="24"/>
        </w:rPr>
      </w:pPr>
      <w:r w:rsidRPr="00127506">
        <w:rPr>
          <w:rFonts w:ascii="Times New Roman" w:hAnsi="Times New Roman" w:cs="Times New Roman"/>
          <w:sz w:val="24"/>
          <w:szCs w:val="24"/>
        </w:rPr>
        <w:t>Available data do not support further infliximab treatment in children and adolescent patients (6-17 years) not responding within 8 weeks to the initial infusion.</w:t>
      </w:r>
    </w:p>
    <w:p w14:paraId="5D226CF7" w14:textId="77777777" w:rsidR="00E75073" w:rsidRPr="00127506" w:rsidRDefault="00E75073" w:rsidP="007947DB">
      <w:pPr>
        <w:spacing w:line="240" w:lineRule="auto"/>
        <w:jc w:val="left"/>
        <w:rPr>
          <w:rFonts w:ascii="Times New Roman" w:hAnsi="Times New Roman" w:cs="Times New Roman"/>
          <w:sz w:val="24"/>
          <w:szCs w:val="24"/>
        </w:rPr>
      </w:pPr>
    </w:p>
    <w:p w14:paraId="3387AC1C" w14:textId="77777777" w:rsidR="004A10AE" w:rsidRPr="0025669D" w:rsidRDefault="004A10AE" w:rsidP="007947DB">
      <w:pPr>
        <w:widowControl/>
        <w:wordWrap/>
        <w:autoSpaceDE/>
        <w:autoSpaceDN/>
        <w:spacing w:after="0" w:line="240" w:lineRule="auto"/>
        <w:jc w:val="left"/>
        <w:rPr>
          <w:rFonts w:ascii="Times New Roman" w:eastAsia="Malgun Gothic" w:hAnsi="Times New Roman" w:cs="Times New Roman"/>
          <w:kern w:val="0"/>
          <w:sz w:val="24"/>
          <w:szCs w:val="24"/>
          <w:u w:val="single"/>
          <w:lang w:val="en-GB" w:eastAsia="en-AU"/>
        </w:rPr>
      </w:pPr>
      <w:proofErr w:type="spellStart"/>
      <w:r w:rsidRPr="0025669D">
        <w:rPr>
          <w:rFonts w:ascii="Times New Roman" w:eastAsia="Malgun Gothic" w:hAnsi="Times New Roman" w:cs="Times New Roman"/>
          <w:kern w:val="0"/>
          <w:sz w:val="24"/>
          <w:szCs w:val="24"/>
          <w:u w:val="single"/>
          <w:lang w:val="en-GB" w:eastAsia="en-AU"/>
        </w:rPr>
        <w:t>Readministration</w:t>
      </w:r>
      <w:proofErr w:type="spellEnd"/>
      <w:r w:rsidRPr="0025669D">
        <w:rPr>
          <w:rFonts w:ascii="Times New Roman" w:eastAsia="Malgun Gothic" w:hAnsi="Times New Roman" w:cs="Times New Roman"/>
          <w:kern w:val="0"/>
          <w:sz w:val="24"/>
          <w:szCs w:val="24"/>
          <w:u w:val="single"/>
          <w:lang w:val="en-GB" w:eastAsia="en-AU"/>
        </w:rPr>
        <w:t xml:space="preserve"> for Crohn’s disease, refractory fistulising Crohn’s disease and Rheumatoid Arthritis</w:t>
      </w:r>
    </w:p>
    <w:p w14:paraId="76E28310" w14:textId="77777777" w:rsidR="004A10AE" w:rsidRPr="00127506" w:rsidRDefault="004A10AE" w:rsidP="007947DB">
      <w:pPr>
        <w:spacing w:line="240" w:lineRule="auto"/>
        <w:jc w:val="left"/>
        <w:rPr>
          <w:rFonts w:ascii="Times New Roman" w:hAnsi="Times New Roman" w:cs="Times New Roman"/>
          <w:sz w:val="24"/>
          <w:szCs w:val="24"/>
        </w:rPr>
      </w:pPr>
      <w:proofErr w:type="spellStart"/>
      <w:r w:rsidRPr="00127506">
        <w:rPr>
          <w:rFonts w:ascii="Times New Roman" w:hAnsi="Times New Roman" w:cs="Times New Roman"/>
          <w:sz w:val="24"/>
          <w:szCs w:val="24"/>
        </w:rPr>
        <w:t>Readministration</w:t>
      </w:r>
      <w:proofErr w:type="spellEnd"/>
      <w:r w:rsidRPr="00127506">
        <w:rPr>
          <w:rFonts w:ascii="Times New Roman" w:hAnsi="Times New Roman" w:cs="Times New Roman"/>
          <w:sz w:val="24"/>
          <w:szCs w:val="24"/>
        </w:rPr>
        <w:t xml:space="preserve"> of a liquid formulation of infliximab, which is no longer in use, with a drug-free interval of 2 to 4 years following a previous infusion has been associated with a delayed hypersensitivity reaction in 10 patients with Crohn’s disease (see PRECAUTIONS; ADVERSE EFFECTS). After a drug free interval of 16 weeks to 2 years, the risk of delayed hypersensitivity following </w:t>
      </w:r>
      <w:proofErr w:type="spellStart"/>
      <w:r w:rsidRPr="00127506">
        <w:rPr>
          <w:rFonts w:ascii="Times New Roman" w:hAnsi="Times New Roman" w:cs="Times New Roman"/>
          <w:sz w:val="24"/>
          <w:szCs w:val="24"/>
        </w:rPr>
        <w:t>readministration</w:t>
      </w:r>
      <w:proofErr w:type="spellEnd"/>
      <w:r w:rsidRPr="00127506">
        <w:rPr>
          <w:rFonts w:ascii="Times New Roman" w:hAnsi="Times New Roman" w:cs="Times New Roman"/>
          <w:sz w:val="24"/>
          <w:szCs w:val="24"/>
        </w:rPr>
        <w:t xml:space="preserve"> is not known. Therefore, after a drug free interval of 16 weeks, </w:t>
      </w:r>
      <w:proofErr w:type="spellStart"/>
      <w:r w:rsidRPr="00127506">
        <w:rPr>
          <w:rFonts w:ascii="Times New Roman" w:hAnsi="Times New Roman" w:cs="Times New Roman"/>
          <w:sz w:val="24"/>
          <w:szCs w:val="24"/>
        </w:rPr>
        <w:t>readministration</w:t>
      </w:r>
      <w:proofErr w:type="spellEnd"/>
      <w:r w:rsidRPr="00127506">
        <w:rPr>
          <w:rFonts w:ascii="Times New Roman" w:hAnsi="Times New Roman" w:cs="Times New Roman"/>
          <w:sz w:val="24"/>
          <w:szCs w:val="24"/>
        </w:rPr>
        <w:t xml:space="preserve"> is not recommended.</w:t>
      </w:r>
    </w:p>
    <w:p w14:paraId="6ACAF54B" w14:textId="77777777" w:rsidR="004A10AE" w:rsidRPr="0025669D" w:rsidRDefault="004A10AE" w:rsidP="007947DB">
      <w:pPr>
        <w:widowControl/>
        <w:wordWrap/>
        <w:autoSpaceDE/>
        <w:autoSpaceDN/>
        <w:spacing w:after="0" w:line="240" w:lineRule="auto"/>
        <w:jc w:val="left"/>
        <w:rPr>
          <w:rFonts w:ascii="Times New Roman" w:eastAsia="Malgun Gothic" w:hAnsi="Times New Roman" w:cs="Times New Roman"/>
          <w:kern w:val="0"/>
          <w:sz w:val="24"/>
          <w:szCs w:val="24"/>
          <w:u w:val="single"/>
          <w:lang w:val="en-GB" w:eastAsia="en-AU"/>
        </w:rPr>
      </w:pPr>
      <w:proofErr w:type="spellStart"/>
      <w:r w:rsidRPr="0025669D">
        <w:rPr>
          <w:rFonts w:ascii="Times New Roman" w:eastAsia="Malgun Gothic" w:hAnsi="Times New Roman" w:cs="Times New Roman"/>
          <w:kern w:val="0"/>
          <w:sz w:val="24"/>
          <w:szCs w:val="24"/>
          <w:u w:val="single"/>
          <w:lang w:val="en-GB" w:eastAsia="en-AU"/>
        </w:rPr>
        <w:t>Readministration</w:t>
      </w:r>
      <w:proofErr w:type="spellEnd"/>
      <w:r w:rsidRPr="0025669D">
        <w:rPr>
          <w:rFonts w:ascii="Times New Roman" w:eastAsia="Malgun Gothic" w:hAnsi="Times New Roman" w:cs="Times New Roman"/>
          <w:kern w:val="0"/>
          <w:sz w:val="24"/>
          <w:szCs w:val="24"/>
          <w:u w:val="single"/>
          <w:lang w:val="en-GB" w:eastAsia="en-AU"/>
        </w:rPr>
        <w:t xml:space="preserve"> for Ankylosing Spondylitis</w:t>
      </w:r>
    </w:p>
    <w:p w14:paraId="07314173" w14:textId="77777777" w:rsidR="004A10AE" w:rsidRPr="00127506" w:rsidRDefault="004A10AE" w:rsidP="007947DB">
      <w:pPr>
        <w:spacing w:line="240" w:lineRule="auto"/>
        <w:jc w:val="left"/>
        <w:rPr>
          <w:rFonts w:ascii="Times New Roman" w:hAnsi="Times New Roman" w:cs="Times New Roman"/>
          <w:sz w:val="24"/>
          <w:szCs w:val="24"/>
        </w:rPr>
      </w:pPr>
      <w:r w:rsidRPr="00127506">
        <w:rPr>
          <w:rFonts w:ascii="Times New Roman" w:hAnsi="Times New Roman" w:cs="Times New Roman"/>
          <w:sz w:val="24"/>
          <w:szCs w:val="24"/>
        </w:rPr>
        <w:t xml:space="preserve">Data supporting </w:t>
      </w:r>
      <w:proofErr w:type="spellStart"/>
      <w:r w:rsidRPr="00127506">
        <w:rPr>
          <w:rFonts w:ascii="Times New Roman" w:hAnsi="Times New Roman" w:cs="Times New Roman"/>
          <w:sz w:val="24"/>
          <w:szCs w:val="24"/>
        </w:rPr>
        <w:t>readministration</w:t>
      </w:r>
      <w:proofErr w:type="spellEnd"/>
      <w:r w:rsidRPr="00127506">
        <w:rPr>
          <w:rFonts w:ascii="Times New Roman" w:hAnsi="Times New Roman" w:cs="Times New Roman"/>
          <w:sz w:val="24"/>
          <w:szCs w:val="24"/>
        </w:rPr>
        <w:t>, other than every 6 weeks, are not available at this time (see PRECAUTIONS and ADVERSE EFFECTS).</w:t>
      </w:r>
    </w:p>
    <w:p w14:paraId="07A88E5B" w14:textId="77777777" w:rsidR="004A10AE" w:rsidRPr="0025669D" w:rsidRDefault="004A10AE" w:rsidP="007947DB">
      <w:pPr>
        <w:widowControl/>
        <w:wordWrap/>
        <w:autoSpaceDE/>
        <w:autoSpaceDN/>
        <w:spacing w:after="0" w:line="240" w:lineRule="auto"/>
        <w:jc w:val="left"/>
        <w:rPr>
          <w:rFonts w:ascii="Times New Roman" w:eastAsia="Malgun Gothic" w:hAnsi="Times New Roman" w:cs="Times New Roman"/>
          <w:kern w:val="0"/>
          <w:sz w:val="24"/>
          <w:szCs w:val="24"/>
          <w:u w:val="single"/>
          <w:lang w:val="en-GB" w:eastAsia="en-AU"/>
        </w:rPr>
      </w:pPr>
      <w:proofErr w:type="spellStart"/>
      <w:r w:rsidRPr="0025669D">
        <w:rPr>
          <w:rFonts w:ascii="Times New Roman" w:eastAsia="Malgun Gothic" w:hAnsi="Times New Roman" w:cs="Times New Roman"/>
          <w:kern w:val="0"/>
          <w:sz w:val="24"/>
          <w:szCs w:val="24"/>
          <w:u w:val="single"/>
          <w:lang w:val="en-GB" w:eastAsia="en-AU"/>
        </w:rPr>
        <w:t>Readministration</w:t>
      </w:r>
      <w:proofErr w:type="spellEnd"/>
      <w:r w:rsidRPr="0025669D">
        <w:rPr>
          <w:rFonts w:ascii="Times New Roman" w:eastAsia="Malgun Gothic" w:hAnsi="Times New Roman" w:cs="Times New Roman"/>
          <w:kern w:val="0"/>
          <w:sz w:val="24"/>
          <w:szCs w:val="24"/>
          <w:u w:val="single"/>
          <w:lang w:val="en-GB" w:eastAsia="en-AU"/>
        </w:rPr>
        <w:t xml:space="preserve"> for Psoriatic Arthritis</w:t>
      </w:r>
    </w:p>
    <w:p w14:paraId="6869E7A9" w14:textId="77777777" w:rsidR="004A10AE" w:rsidRPr="00127506" w:rsidRDefault="004A10AE" w:rsidP="007947DB">
      <w:pPr>
        <w:spacing w:line="240" w:lineRule="auto"/>
        <w:jc w:val="left"/>
        <w:rPr>
          <w:rFonts w:ascii="Times New Roman" w:hAnsi="Times New Roman" w:cs="Times New Roman"/>
          <w:sz w:val="24"/>
          <w:szCs w:val="24"/>
        </w:rPr>
      </w:pPr>
      <w:r w:rsidRPr="00127506">
        <w:rPr>
          <w:rFonts w:ascii="Times New Roman" w:hAnsi="Times New Roman" w:cs="Times New Roman"/>
          <w:sz w:val="24"/>
          <w:szCs w:val="24"/>
        </w:rPr>
        <w:t xml:space="preserve">Data supporting </w:t>
      </w:r>
      <w:proofErr w:type="spellStart"/>
      <w:r w:rsidRPr="00127506">
        <w:rPr>
          <w:rFonts w:ascii="Times New Roman" w:hAnsi="Times New Roman" w:cs="Times New Roman"/>
          <w:sz w:val="24"/>
          <w:szCs w:val="24"/>
        </w:rPr>
        <w:t>readministration</w:t>
      </w:r>
      <w:proofErr w:type="spellEnd"/>
      <w:r w:rsidRPr="00127506">
        <w:rPr>
          <w:rFonts w:ascii="Times New Roman" w:hAnsi="Times New Roman" w:cs="Times New Roman"/>
          <w:sz w:val="24"/>
          <w:szCs w:val="24"/>
        </w:rPr>
        <w:t>, other than every 8 weeks, are not available at this time (see PRECAUTIONS and ADVERSE EFFECTS).</w:t>
      </w:r>
    </w:p>
    <w:p w14:paraId="41E93DD9" w14:textId="77777777" w:rsidR="004A10AE" w:rsidRPr="0025669D" w:rsidRDefault="004A10AE" w:rsidP="007947DB">
      <w:pPr>
        <w:widowControl/>
        <w:wordWrap/>
        <w:autoSpaceDE/>
        <w:autoSpaceDN/>
        <w:spacing w:after="0" w:line="240" w:lineRule="auto"/>
        <w:jc w:val="left"/>
        <w:rPr>
          <w:rFonts w:ascii="Times New Roman" w:eastAsia="Malgun Gothic" w:hAnsi="Times New Roman" w:cs="Times New Roman"/>
          <w:spacing w:val="-3"/>
          <w:kern w:val="0"/>
          <w:sz w:val="24"/>
          <w:szCs w:val="24"/>
          <w:u w:val="single"/>
          <w:lang w:val="en-GB" w:eastAsia="en-AU"/>
        </w:rPr>
      </w:pPr>
      <w:proofErr w:type="spellStart"/>
      <w:r w:rsidRPr="0025669D">
        <w:rPr>
          <w:rFonts w:ascii="Times New Roman" w:eastAsia="Malgun Gothic" w:hAnsi="Times New Roman" w:cs="Times New Roman"/>
          <w:spacing w:val="-3"/>
          <w:kern w:val="0"/>
          <w:sz w:val="24"/>
          <w:szCs w:val="24"/>
          <w:u w:val="single"/>
          <w:lang w:val="en-GB" w:eastAsia="en-AU"/>
        </w:rPr>
        <w:t>Readministration</w:t>
      </w:r>
      <w:proofErr w:type="spellEnd"/>
      <w:r w:rsidRPr="0025669D">
        <w:rPr>
          <w:rFonts w:ascii="Times New Roman" w:eastAsia="Malgun Gothic" w:hAnsi="Times New Roman" w:cs="Times New Roman"/>
          <w:spacing w:val="-3"/>
          <w:kern w:val="0"/>
          <w:sz w:val="24"/>
          <w:szCs w:val="24"/>
          <w:u w:val="single"/>
          <w:lang w:val="en-GB" w:eastAsia="en-AU"/>
        </w:rPr>
        <w:t xml:space="preserve"> for Psoriasis</w:t>
      </w:r>
    </w:p>
    <w:p w14:paraId="2BF6868C" w14:textId="77777777" w:rsidR="004A10AE" w:rsidRPr="00127506" w:rsidRDefault="004A10AE" w:rsidP="007947DB">
      <w:pPr>
        <w:spacing w:line="240" w:lineRule="auto"/>
        <w:jc w:val="left"/>
        <w:rPr>
          <w:rFonts w:ascii="Times New Roman" w:hAnsi="Times New Roman" w:cs="Times New Roman"/>
          <w:sz w:val="24"/>
          <w:szCs w:val="24"/>
        </w:rPr>
      </w:pPr>
      <w:r w:rsidRPr="00127506">
        <w:rPr>
          <w:rFonts w:ascii="Times New Roman" w:hAnsi="Times New Roman" w:cs="Times New Roman"/>
          <w:sz w:val="24"/>
          <w:szCs w:val="24"/>
        </w:rPr>
        <w:t>Experience from intermittent treatment with Infliximab in psoriasis after a period of no treatment suggests reduced efficacy and a higher incidence of infusion reactions when compared to the approved dosing guidance (see PRECAUTIONS and ADVERSE EFFECTS).</w:t>
      </w:r>
    </w:p>
    <w:p w14:paraId="2B948519" w14:textId="77777777" w:rsidR="004A10AE" w:rsidRPr="0025669D" w:rsidRDefault="004A10AE" w:rsidP="007947DB">
      <w:pPr>
        <w:widowControl/>
        <w:wordWrap/>
        <w:autoSpaceDE/>
        <w:autoSpaceDN/>
        <w:spacing w:after="0" w:line="240" w:lineRule="auto"/>
        <w:jc w:val="left"/>
        <w:rPr>
          <w:rFonts w:ascii="Times New Roman" w:eastAsia="Malgun Gothic" w:hAnsi="Times New Roman" w:cs="Times New Roman"/>
          <w:kern w:val="0"/>
          <w:sz w:val="24"/>
          <w:szCs w:val="24"/>
          <w:u w:val="single"/>
          <w:lang w:val="en-GB" w:eastAsia="en-AU"/>
        </w:rPr>
      </w:pPr>
      <w:proofErr w:type="spellStart"/>
      <w:r w:rsidRPr="0025669D">
        <w:rPr>
          <w:rFonts w:ascii="Times New Roman" w:eastAsia="Malgun Gothic" w:hAnsi="Times New Roman" w:cs="Times New Roman"/>
          <w:kern w:val="0"/>
          <w:sz w:val="24"/>
          <w:szCs w:val="24"/>
          <w:u w:val="single"/>
          <w:lang w:val="en-GB" w:eastAsia="en-AU"/>
        </w:rPr>
        <w:t>Readministration</w:t>
      </w:r>
      <w:proofErr w:type="spellEnd"/>
      <w:r w:rsidRPr="0025669D">
        <w:rPr>
          <w:rFonts w:ascii="Times New Roman" w:eastAsia="Malgun Gothic" w:hAnsi="Times New Roman" w:cs="Times New Roman"/>
          <w:kern w:val="0"/>
          <w:sz w:val="24"/>
          <w:szCs w:val="24"/>
          <w:u w:val="single"/>
          <w:lang w:val="en-GB" w:eastAsia="en-AU"/>
        </w:rPr>
        <w:t xml:space="preserve"> for ulcerative colitis</w:t>
      </w:r>
    </w:p>
    <w:p w14:paraId="7BC2DA8F" w14:textId="77777777" w:rsidR="004A10AE" w:rsidRPr="00127506" w:rsidRDefault="004A10AE" w:rsidP="007947DB">
      <w:pPr>
        <w:spacing w:line="240" w:lineRule="auto"/>
        <w:jc w:val="left"/>
        <w:rPr>
          <w:rFonts w:ascii="Times New Roman" w:hAnsi="Times New Roman" w:cs="Times New Roman"/>
          <w:sz w:val="24"/>
          <w:szCs w:val="24"/>
        </w:rPr>
      </w:pPr>
      <w:r w:rsidRPr="00127506">
        <w:rPr>
          <w:rFonts w:ascii="Times New Roman" w:hAnsi="Times New Roman" w:cs="Times New Roman"/>
          <w:sz w:val="24"/>
          <w:szCs w:val="24"/>
        </w:rPr>
        <w:t xml:space="preserve">Data supporting </w:t>
      </w:r>
      <w:proofErr w:type="spellStart"/>
      <w:r w:rsidRPr="00127506">
        <w:rPr>
          <w:rFonts w:ascii="Times New Roman" w:hAnsi="Times New Roman" w:cs="Times New Roman"/>
          <w:sz w:val="24"/>
          <w:szCs w:val="24"/>
        </w:rPr>
        <w:t>readministration</w:t>
      </w:r>
      <w:proofErr w:type="spellEnd"/>
      <w:r w:rsidRPr="00127506">
        <w:rPr>
          <w:rFonts w:ascii="Times New Roman" w:hAnsi="Times New Roman" w:cs="Times New Roman"/>
          <w:sz w:val="24"/>
          <w:szCs w:val="24"/>
        </w:rPr>
        <w:t>, other than every 8 weeks, are not available at this time (see PRECAUTIONS and ADVERSE EFFECTS).</w:t>
      </w:r>
    </w:p>
    <w:p w14:paraId="7D478EEA" w14:textId="77777777" w:rsidR="004A10AE" w:rsidRPr="0025669D" w:rsidRDefault="004A10AE" w:rsidP="007947DB">
      <w:pPr>
        <w:widowControl/>
        <w:wordWrap/>
        <w:autoSpaceDE/>
        <w:autoSpaceDN/>
        <w:spacing w:after="0" w:line="240" w:lineRule="auto"/>
        <w:jc w:val="left"/>
        <w:rPr>
          <w:rFonts w:ascii="Times New Roman" w:eastAsia="Malgun Gothic" w:hAnsi="Times New Roman" w:cs="Times New Roman"/>
          <w:spacing w:val="-3"/>
          <w:kern w:val="0"/>
          <w:sz w:val="24"/>
          <w:szCs w:val="24"/>
          <w:u w:val="single"/>
          <w:lang w:val="en-GB"/>
        </w:rPr>
      </w:pPr>
      <w:r w:rsidRPr="0025669D">
        <w:rPr>
          <w:rFonts w:ascii="Times New Roman" w:eastAsia="Malgun Gothic" w:hAnsi="Times New Roman" w:cs="Times New Roman"/>
          <w:spacing w:val="-3"/>
          <w:kern w:val="0"/>
          <w:sz w:val="24"/>
          <w:szCs w:val="24"/>
          <w:u w:val="single"/>
          <w:lang w:val="en-GB" w:eastAsia="en-AU"/>
        </w:rPr>
        <w:t>Preparation and Administration</w:t>
      </w:r>
    </w:p>
    <w:p w14:paraId="3D42A7A9" w14:textId="77777777" w:rsidR="004A10AE" w:rsidRPr="0025669D" w:rsidRDefault="004A10AE" w:rsidP="007947DB">
      <w:pPr>
        <w:widowControl/>
        <w:wordWrap/>
        <w:autoSpaceDE/>
        <w:autoSpaceDN/>
        <w:spacing w:after="0" w:line="240" w:lineRule="auto"/>
        <w:jc w:val="left"/>
        <w:rPr>
          <w:rFonts w:ascii="Times New Roman" w:eastAsia="Malgun Gothic" w:hAnsi="Times New Roman" w:cs="Times New Roman"/>
          <w:spacing w:val="-3"/>
          <w:kern w:val="0"/>
          <w:sz w:val="24"/>
          <w:szCs w:val="24"/>
          <w:lang w:val="en-GB"/>
        </w:rPr>
      </w:pPr>
    </w:p>
    <w:p w14:paraId="4126D397" w14:textId="77777777" w:rsidR="004A10AE" w:rsidRPr="00127506" w:rsidRDefault="004A10AE" w:rsidP="007947DB">
      <w:pPr>
        <w:pStyle w:val="ListParagraph"/>
        <w:numPr>
          <w:ilvl w:val="0"/>
          <w:numId w:val="15"/>
        </w:numPr>
        <w:spacing w:line="240" w:lineRule="auto"/>
        <w:ind w:leftChars="0"/>
        <w:jc w:val="left"/>
        <w:rPr>
          <w:rFonts w:ascii="Times New Roman" w:hAnsi="Times New Roman" w:cs="Times New Roman"/>
          <w:sz w:val="24"/>
          <w:szCs w:val="24"/>
        </w:rPr>
      </w:pPr>
      <w:r w:rsidRPr="00127506">
        <w:rPr>
          <w:rFonts w:ascii="Times New Roman" w:hAnsi="Times New Roman" w:cs="Times New Roman"/>
          <w:sz w:val="24"/>
          <w:szCs w:val="24"/>
        </w:rPr>
        <w:t xml:space="preserve">No physical biochemical compatibility studies have been conducted to evaluate the </w:t>
      </w:r>
      <w:proofErr w:type="spellStart"/>
      <w:r w:rsidRPr="00127506">
        <w:rPr>
          <w:rFonts w:ascii="Times New Roman" w:hAnsi="Times New Roman" w:cs="Times New Roman"/>
          <w:sz w:val="24"/>
          <w:szCs w:val="24"/>
        </w:rPr>
        <w:t>coadministration</w:t>
      </w:r>
      <w:proofErr w:type="spellEnd"/>
      <w:r w:rsidRPr="00127506">
        <w:rPr>
          <w:rFonts w:ascii="Times New Roman" w:hAnsi="Times New Roman" w:cs="Times New Roman"/>
          <w:sz w:val="24"/>
          <w:szCs w:val="24"/>
        </w:rPr>
        <w:t xml:space="preserve"> of </w:t>
      </w:r>
      <w:r>
        <w:rPr>
          <w:rFonts w:ascii="Times New Roman" w:hAnsi="Times New Roman" w:cs="Times New Roman"/>
          <w:sz w:val="24"/>
          <w:szCs w:val="24"/>
        </w:rPr>
        <w:t>RENFLEXIS</w:t>
      </w:r>
      <w:r w:rsidRPr="00127506">
        <w:rPr>
          <w:rFonts w:ascii="Times New Roman" w:hAnsi="Times New Roman" w:cs="Times New Roman"/>
          <w:sz w:val="24"/>
          <w:szCs w:val="24"/>
        </w:rPr>
        <w:t xml:space="preserve"> with other agents. </w:t>
      </w:r>
      <w:r>
        <w:rPr>
          <w:rFonts w:ascii="Times New Roman" w:hAnsi="Times New Roman" w:cs="Times New Roman"/>
          <w:sz w:val="24"/>
          <w:szCs w:val="24"/>
        </w:rPr>
        <w:t>RENFLEXIS</w:t>
      </w:r>
      <w:r w:rsidRPr="00127506">
        <w:rPr>
          <w:rFonts w:ascii="Times New Roman" w:hAnsi="Times New Roman" w:cs="Times New Roman"/>
          <w:sz w:val="24"/>
          <w:szCs w:val="24"/>
        </w:rPr>
        <w:t xml:space="preserve"> should not be infused concomitantly in the same intravenous line with other agents.</w:t>
      </w:r>
    </w:p>
    <w:p w14:paraId="09900F7E" w14:textId="77777777" w:rsidR="004A10AE" w:rsidRPr="00127506" w:rsidRDefault="004A10AE" w:rsidP="007947DB">
      <w:pPr>
        <w:pStyle w:val="ListParagraph"/>
        <w:numPr>
          <w:ilvl w:val="0"/>
          <w:numId w:val="15"/>
        </w:numPr>
        <w:spacing w:line="240" w:lineRule="auto"/>
        <w:ind w:leftChars="0"/>
        <w:jc w:val="left"/>
        <w:rPr>
          <w:rFonts w:ascii="Times New Roman" w:hAnsi="Times New Roman" w:cs="Times New Roman"/>
          <w:sz w:val="24"/>
          <w:szCs w:val="24"/>
        </w:rPr>
      </w:pPr>
      <w:r w:rsidRPr="00127506">
        <w:rPr>
          <w:rFonts w:ascii="Times New Roman" w:hAnsi="Times New Roman" w:cs="Times New Roman"/>
          <w:sz w:val="24"/>
          <w:szCs w:val="24"/>
        </w:rPr>
        <w:t xml:space="preserve">Calculate the dose and the required number of </w:t>
      </w:r>
      <w:r>
        <w:rPr>
          <w:rFonts w:ascii="Times New Roman" w:hAnsi="Times New Roman" w:cs="Times New Roman"/>
          <w:sz w:val="24"/>
          <w:szCs w:val="24"/>
        </w:rPr>
        <w:t>RENFLEXIS</w:t>
      </w:r>
      <w:r w:rsidRPr="00127506">
        <w:rPr>
          <w:rFonts w:ascii="Times New Roman" w:hAnsi="Times New Roman" w:cs="Times New Roman"/>
          <w:sz w:val="24"/>
          <w:szCs w:val="24"/>
        </w:rPr>
        <w:t xml:space="preserve"> vials. Reconstitute each vial with 10 mL of preservative-free sterile Water for Injections, using a syringe equipped with a 21-gauge or smaller needle. Upon reconstitution, each mL of reconstituted solution contains 10 mg of infliximab. Remove flip-top from the vial and wipe the top with a 70% alcohol swab. Insert the syringe into the vial through the </w:t>
      </w:r>
      <w:proofErr w:type="spellStart"/>
      <w:r w:rsidRPr="00127506">
        <w:rPr>
          <w:rFonts w:ascii="Times New Roman" w:hAnsi="Times New Roman" w:cs="Times New Roman"/>
          <w:sz w:val="24"/>
          <w:szCs w:val="24"/>
        </w:rPr>
        <w:lastRenderedPageBreak/>
        <w:t>centre</w:t>
      </w:r>
      <w:proofErr w:type="spellEnd"/>
      <w:r w:rsidRPr="00127506">
        <w:rPr>
          <w:rFonts w:ascii="Times New Roman" w:hAnsi="Times New Roman" w:cs="Times New Roman"/>
          <w:sz w:val="24"/>
          <w:szCs w:val="24"/>
        </w:rPr>
        <w:t xml:space="preserve"> of the rubber stopper and direct the stream of sterile Water for Injections to the glass wall of the vial. Foaming during reconstitution is not unusual. Avoid prolonged or vigorous agitation. DO NOT SHAKE THE VIAL. Swirl gently until the </w:t>
      </w:r>
      <w:proofErr w:type="spellStart"/>
      <w:r w:rsidRPr="00127506">
        <w:rPr>
          <w:rFonts w:ascii="Times New Roman" w:hAnsi="Times New Roman" w:cs="Times New Roman"/>
          <w:sz w:val="24"/>
          <w:szCs w:val="24"/>
        </w:rPr>
        <w:t>lyophilised</w:t>
      </w:r>
      <w:proofErr w:type="spellEnd"/>
      <w:r w:rsidRPr="00127506">
        <w:rPr>
          <w:rFonts w:ascii="Times New Roman" w:hAnsi="Times New Roman" w:cs="Times New Roman"/>
          <w:sz w:val="24"/>
          <w:szCs w:val="24"/>
        </w:rPr>
        <w:t xml:space="preserve"> cake is completely dissolved. Allow the reconstituted solution to stand for 5 minutes. Because </w:t>
      </w:r>
      <w:r>
        <w:rPr>
          <w:rFonts w:ascii="Times New Roman" w:hAnsi="Times New Roman" w:cs="Times New Roman"/>
          <w:sz w:val="24"/>
          <w:szCs w:val="24"/>
        </w:rPr>
        <w:t>RENFLEXIS</w:t>
      </w:r>
      <w:r w:rsidRPr="00127506">
        <w:rPr>
          <w:rFonts w:ascii="Times New Roman" w:hAnsi="Times New Roman" w:cs="Times New Roman"/>
          <w:sz w:val="24"/>
          <w:szCs w:val="24"/>
        </w:rPr>
        <w:t xml:space="preserve"> is a protein, the solution may develop a few fine translucent particles that do not affect its potency. The solution should be </w:t>
      </w:r>
      <w:proofErr w:type="spellStart"/>
      <w:r w:rsidRPr="00127506">
        <w:rPr>
          <w:rFonts w:ascii="Times New Roman" w:hAnsi="Times New Roman" w:cs="Times New Roman"/>
          <w:sz w:val="24"/>
          <w:szCs w:val="24"/>
        </w:rPr>
        <w:t>colourless</w:t>
      </w:r>
      <w:proofErr w:type="spellEnd"/>
      <w:r w:rsidRPr="00127506">
        <w:rPr>
          <w:rFonts w:ascii="Times New Roman" w:hAnsi="Times New Roman" w:cs="Times New Roman"/>
          <w:sz w:val="24"/>
          <w:szCs w:val="24"/>
        </w:rPr>
        <w:t xml:space="preserve"> to light yellow and opalescent. After reconstitution, the vials should be used immediately.</w:t>
      </w:r>
    </w:p>
    <w:p w14:paraId="76AEFAC2" w14:textId="77777777" w:rsidR="004A10AE" w:rsidRPr="00127506" w:rsidRDefault="004A10AE" w:rsidP="007947DB">
      <w:pPr>
        <w:pStyle w:val="ListParagraph"/>
        <w:numPr>
          <w:ilvl w:val="0"/>
          <w:numId w:val="15"/>
        </w:numPr>
        <w:spacing w:line="240" w:lineRule="auto"/>
        <w:ind w:leftChars="0"/>
        <w:jc w:val="left"/>
        <w:rPr>
          <w:rFonts w:ascii="Times New Roman" w:hAnsi="Times New Roman" w:cs="Times New Roman"/>
          <w:sz w:val="24"/>
          <w:szCs w:val="24"/>
        </w:rPr>
      </w:pPr>
      <w:r w:rsidRPr="00127506">
        <w:rPr>
          <w:rFonts w:ascii="Times New Roman" w:hAnsi="Times New Roman" w:cs="Times New Roman"/>
          <w:sz w:val="24"/>
          <w:szCs w:val="24"/>
        </w:rPr>
        <w:t xml:space="preserve">Further dilute the </w:t>
      </w:r>
      <w:r>
        <w:rPr>
          <w:rFonts w:ascii="Times New Roman" w:hAnsi="Times New Roman" w:cs="Times New Roman"/>
          <w:sz w:val="24"/>
          <w:szCs w:val="24"/>
        </w:rPr>
        <w:t>RENFLEXIS</w:t>
      </w:r>
      <w:r w:rsidRPr="00127506">
        <w:rPr>
          <w:rFonts w:ascii="Times New Roman" w:hAnsi="Times New Roman" w:cs="Times New Roman"/>
          <w:sz w:val="24"/>
          <w:szCs w:val="24"/>
        </w:rPr>
        <w:t xml:space="preserve"> dose to a final volume of 250 mL with 0.9% sodium chloride solution for infusion, in either a 250 mL glass infusion bottle or infusion bag. </w:t>
      </w:r>
      <w:r>
        <w:rPr>
          <w:rFonts w:ascii="Times New Roman" w:hAnsi="Times New Roman" w:cs="Times New Roman" w:hint="eastAsia"/>
          <w:sz w:val="24"/>
          <w:szCs w:val="24"/>
        </w:rPr>
        <w:t xml:space="preserve">Do not dilute the </w:t>
      </w:r>
      <w:r>
        <w:rPr>
          <w:rFonts w:ascii="Times New Roman" w:hAnsi="Times New Roman" w:cs="Times New Roman"/>
          <w:sz w:val="24"/>
          <w:szCs w:val="24"/>
        </w:rPr>
        <w:t>reconstituted</w:t>
      </w:r>
      <w:r>
        <w:rPr>
          <w:rFonts w:ascii="Times New Roman" w:hAnsi="Times New Roman" w:cs="Times New Roman" w:hint="eastAsia"/>
          <w:sz w:val="24"/>
          <w:szCs w:val="24"/>
        </w:rPr>
        <w:t xml:space="preserve"> RENFLEXIS solution with any other diluent. </w:t>
      </w:r>
      <w:r w:rsidRPr="00127506">
        <w:rPr>
          <w:rFonts w:ascii="Times New Roman" w:hAnsi="Times New Roman" w:cs="Times New Roman"/>
          <w:sz w:val="24"/>
          <w:szCs w:val="24"/>
        </w:rPr>
        <w:t xml:space="preserve">Withdraw and discard a volume of 0.9% sodium chloride solution for infusion equal to the volume of the reconstituted </w:t>
      </w:r>
      <w:r>
        <w:rPr>
          <w:rFonts w:ascii="Times New Roman" w:hAnsi="Times New Roman" w:cs="Times New Roman"/>
          <w:sz w:val="24"/>
          <w:szCs w:val="24"/>
        </w:rPr>
        <w:t>RENFLEXIS</w:t>
      </w:r>
      <w:r w:rsidRPr="00127506">
        <w:rPr>
          <w:rFonts w:ascii="Times New Roman" w:hAnsi="Times New Roman" w:cs="Times New Roman"/>
          <w:sz w:val="24"/>
          <w:szCs w:val="24"/>
        </w:rPr>
        <w:t xml:space="preserve"> dose; then, slowly add the </w:t>
      </w:r>
      <w:r>
        <w:rPr>
          <w:rFonts w:ascii="Times New Roman" w:hAnsi="Times New Roman" w:cs="Times New Roman"/>
          <w:sz w:val="24"/>
          <w:szCs w:val="24"/>
        </w:rPr>
        <w:t>RENFLEXIS</w:t>
      </w:r>
      <w:r w:rsidRPr="00127506">
        <w:rPr>
          <w:rFonts w:ascii="Times New Roman" w:hAnsi="Times New Roman" w:cs="Times New Roman"/>
          <w:sz w:val="24"/>
          <w:szCs w:val="24"/>
        </w:rPr>
        <w:t xml:space="preserve"> to the bottle or bag of infusion solution. Gently mix. Depending on the number of </w:t>
      </w:r>
      <w:r>
        <w:rPr>
          <w:rFonts w:ascii="Times New Roman" w:hAnsi="Times New Roman" w:cs="Times New Roman"/>
          <w:sz w:val="24"/>
          <w:szCs w:val="24"/>
        </w:rPr>
        <w:t>RENFLEXIS</w:t>
      </w:r>
      <w:r w:rsidRPr="00127506">
        <w:rPr>
          <w:rFonts w:ascii="Times New Roman" w:hAnsi="Times New Roman" w:cs="Times New Roman"/>
          <w:sz w:val="24"/>
          <w:szCs w:val="24"/>
        </w:rPr>
        <w:t xml:space="preserve"> vials used, the final concentration may range from 0.4 mg/mL to 4 mg/</w:t>
      </w:r>
      <w:proofErr w:type="spellStart"/>
      <w:r w:rsidRPr="00127506">
        <w:rPr>
          <w:rFonts w:ascii="Times New Roman" w:hAnsi="Times New Roman" w:cs="Times New Roman"/>
          <w:sz w:val="24"/>
          <w:szCs w:val="24"/>
        </w:rPr>
        <w:t>mL.</w:t>
      </w:r>
      <w:proofErr w:type="spellEnd"/>
    </w:p>
    <w:p w14:paraId="31D6E834" w14:textId="77777777" w:rsidR="004A10AE" w:rsidRPr="00127506" w:rsidRDefault="004A10AE" w:rsidP="007947DB">
      <w:pPr>
        <w:pStyle w:val="ListParagraph"/>
        <w:numPr>
          <w:ilvl w:val="0"/>
          <w:numId w:val="15"/>
        </w:numPr>
        <w:spacing w:line="240" w:lineRule="auto"/>
        <w:ind w:leftChars="0"/>
        <w:jc w:val="left"/>
        <w:rPr>
          <w:rFonts w:ascii="Times New Roman" w:hAnsi="Times New Roman" w:cs="Times New Roman"/>
          <w:sz w:val="24"/>
          <w:szCs w:val="24"/>
        </w:rPr>
      </w:pPr>
      <w:r w:rsidRPr="00127506">
        <w:rPr>
          <w:rFonts w:ascii="Times New Roman" w:hAnsi="Times New Roman" w:cs="Times New Roman"/>
          <w:sz w:val="24"/>
          <w:szCs w:val="24"/>
        </w:rPr>
        <w:t xml:space="preserve">The solution for infusion must be administered over a period of not less than the infusion time recommended for the specific indication. Use only an infusion set with an in-line, sterile, </w:t>
      </w:r>
      <w:proofErr w:type="spellStart"/>
      <w:r w:rsidRPr="00127506">
        <w:rPr>
          <w:rFonts w:ascii="Times New Roman" w:hAnsi="Times New Roman" w:cs="Times New Roman"/>
          <w:sz w:val="24"/>
          <w:szCs w:val="24"/>
        </w:rPr>
        <w:t>nonpyrogenic</w:t>
      </w:r>
      <w:proofErr w:type="spellEnd"/>
      <w:r w:rsidRPr="00127506">
        <w:rPr>
          <w:rFonts w:ascii="Times New Roman" w:hAnsi="Times New Roman" w:cs="Times New Roman"/>
          <w:sz w:val="24"/>
          <w:szCs w:val="24"/>
        </w:rPr>
        <w:t xml:space="preserve">, low protein-binding filter (pore size 1.2 </w:t>
      </w:r>
      <w:r w:rsidRPr="00127506">
        <w:rPr>
          <w:rFonts w:ascii="Times New Roman" w:hAnsi="Times New Roman" w:cs="Times New Roman"/>
          <w:sz w:val="24"/>
          <w:szCs w:val="24"/>
        </w:rPr>
        <w:sym w:font="Symbol" w:char="F06D"/>
      </w:r>
      <w:r w:rsidRPr="00127506">
        <w:rPr>
          <w:rFonts w:ascii="Times New Roman" w:hAnsi="Times New Roman" w:cs="Times New Roman"/>
          <w:sz w:val="24"/>
          <w:szCs w:val="24"/>
        </w:rPr>
        <w:t>m or less).</w:t>
      </w:r>
    </w:p>
    <w:p w14:paraId="1C96D2CF" w14:textId="77777777" w:rsidR="004A10AE" w:rsidRPr="00127506" w:rsidRDefault="004A10AE" w:rsidP="007947DB">
      <w:pPr>
        <w:pStyle w:val="ListParagraph"/>
        <w:numPr>
          <w:ilvl w:val="0"/>
          <w:numId w:val="15"/>
        </w:numPr>
        <w:spacing w:line="240" w:lineRule="auto"/>
        <w:ind w:leftChars="0"/>
        <w:jc w:val="left"/>
        <w:rPr>
          <w:rFonts w:ascii="Times New Roman" w:hAnsi="Times New Roman" w:cs="Times New Roman"/>
          <w:sz w:val="24"/>
          <w:szCs w:val="24"/>
        </w:rPr>
      </w:pPr>
      <w:r>
        <w:rPr>
          <w:rFonts w:ascii="Times New Roman" w:hAnsi="Times New Roman" w:cs="Times New Roman"/>
          <w:sz w:val="24"/>
          <w:szCs w:val="24"/>
        </w:rPr>
        <w:t>RENFLEXIS</w:t>
      </w:r>
      <w:r w:rsidRPr="00127506">
        <w:rPr>
          <w:rFonts w:ascii="Times New Roman" w:hAnsi="Times New Roman" w:cs="Times New Roman"/>
          <w:sz w:val="24"/>
          <w:szCs w:val="24"/>
        </w:rPr>
        <w:t xml:space="preserve"> infusion solution diluted in 0.9% sodium chloride is biochemically stable for 24 hours when stored between 2</w:t>
      </w:r>
      <w:r w:rsidRPr="00127506">
        <w:rPr>
          <w:rFonts w:ascii="Times New Roman" w:hAnsi="Times New Roman" w:cs="Times New Roman"/>
          <w:sz w:val="24"/>
          <w:szCs w:val="24"/>
        </w:rPr>
        <w:sym w:font="Symbol" w:char="F0B0"/>
      </w:r>
      <w:r w:rsidRPr="00127506">
        <w:rPr>
          <w:rFonts w:ascii="Times New Roman" w:hAnsi="Times New Roman" w:cs="Times New Roman"/>
          <w:sz w:val="24"/>
          <w:szCs w:val="24"/>
        </w:rPr>
        <w:t>C and 30</w:t>
      </w:r>
      <w:r w:rsidRPr="00127506">
        <w:rPr>
          <w:rFonts w:ascii="Times New Roman" w:hAnsi="Times New Roman" w:cs="Times New Roman"/>
          <w:sz w:val="24"/>
          <w:szCs w:val="24"/>
        </w:rPr>
        <w:sym w:font="Symbol" w:char="F0B0"/>
      </w:r>
      <w:r w:rsidRPr="00127506">
        <w:rPr>
          <w:rFonts w:ascii="Times New Roman" w:hAnsi="Times New Roman" w:cs="Times New Roman"/>
          <w:sz w:val="24"/>
          <w:szCs w:val="24"/>
        </w:rPr>
        <w:t>C. However, since no preservative is present, it is recommended the infusion begin within 3 hours after preparation and the solution not be stored for reuse. To reduce microbiological hazard, use as soon as practicable after reconstitution. If storage is necessary hold at 2 to 8°C for no more than 24 hours. This product is for single use only and any unused portion of the solution should be discarded</w:t>
      </w:r>
      <w:r>
        <w:rPr>
          <w:rFonts w:ascii="Times New Roman" w:hAnsi="Times New Roman" w:cs="Times New Roman"/>
          <w:sz w:val="24"/>
          <w:szCs w:val="24"/>
        </w:rPr>
        <w:t>.</w:t>
      </w:r>
    </w:p>
    <w:p w14:paraId="6122005A" w14:textId="77777777" w:rsidR="004A10AE" w:rsidRDefault="004A10AE" w:rsidP="007947DB">
      <w:pPr>
        <w:pStyle w:val="ListParagraph"/>
        <w:numPr>
          <w:ilvl w:val="0"/>
          <w:numId w:val="15"/>
        </w:numPr>
        <w:spacing w:line="240" w:lineRule="auto"/>
        <w:ind w:leftChars="0"/>
        <w:jc w:val="left"/>
        <w:rPr>
          <w:rFonts w:ascii="Times New Roman" w:hAnsi="Times New Roman" w:cs="Times New Roman"/>
          <w:sz w:val="24"/>
          <w:szCs w:val="24"/>
        </w:rPr>
      </w:pPr>
      <w:r w:rsidRPr="00127506">
        <w:rPr>
          <w:rFonts w:ascii="Times New Roman" w:hAnsi="Times New Roman" w:cs="Times New Roman"/>
          <w:sz w:val="24"/>
          <w:szCs w:val="24"/>
        </w:rPr>
        <w:t xml:space="preserve">Parenteral drug products should be inspected visually for particulate matter or </w:t>
      </w:r>
      <w:proofErr w:type="spellStart"/>
      <w:r w:rsidRPr="00127506">
        <w:rPr>
          <w:rFonts w:ascii="Times New Roman" w:hAnsi="Times New Roman" w:cs="Times New Roman"/>
          <w:sz w:val="24"/>
          <w:szCs w:val="24"/>
        </w:rPr>
        <w:t>discolouration</w:t>
      </w:r>
      <w:proofErr w:type="spellEnd"/>
      <w:r w:rsidRPr="00127506">
        <w:rPr>
          <w:rFonts w:ascii="Times New Roman" w:hAnsi="Times New Roman" w:cs="Times New Roman"/>
          <w:sz w:val="24"/>
          <w:szCs w:val="24"/>
        </w:rPr>
        <w:t xml:space="preserve"> prior to administration. If opaque particles, </w:t>
      </w:r>
      <w:proofErr w:type="spellStart"/>
      <w:r w:rsidRPr="00127506">
        <w:rPr>
          <w:rFonts w:ascii="Times New Roman" w:hAnsi="Times New Roman" w:cs="Times New Roman"/>
          <w:sz w:val="24"/>
          <w:szCs w:val="24"/>
        </w:rPr>
        <w:t>discolouration</w:t>
      </w:r>
      <w:proofErr w:type="spellEnd"/>
      <w:r w:rsidRPr="00127506">
        <w:rPr>
          <w:rFonts w:ascii="Times New Roman" w:hAnsi="Times New Roman" w:cs="Times New Roman"/>
          <w:sz w:val="24"/>
          <w:szCs w:val="24"/>
        </w:rPr>
        <w:t xml:space="preserve"> or other foreign particulates are observed, the solution should not be used.</w:t>
      </w:r>
    </w:p>
    <w:p w14:paraId="70745C87" w14:textId="77777777" w:rsidR="004A10AE" w:rsidRPr="004F1A41" w:rsidRDefault="004A10AE" w:rsidP="007947DB">
      <w:pPr>
        <w:spacing w:line="240" w:lineRule="auto"/>
        <w:jc w:val="left"/>
        <w:rPr>
          <w:rFonts w:ascii="Times New Roman" w:hAnsi="Times New Roman" w:cs="Times New Roman"/>
          <w:sz w:val="24"/>
          <w:szCs w:val="24"/>
        </w:rPr>
      </w:pPr>
    </w:p>
    <w:p w14:paraId="3B0E8D19" w14:textId="77777777" w:rsidR="004A10AE" w:rsidRPr="0025669D" w:rsidRDefault="004A10AE" w:rsidP="007947DB">
      <w:pPr>
        <w:pStyle w:val="Heading1"/>
        <w:spacing w:before="240" w:after="240" w:line="240" w:lineRule="auto"/>
        <w:ind w:left="425" w:hanging="425"/>
        <w:rPr>
          <w:rFonts w:eastAsia="Malgun Gothic"/>
          <w:sz w:val="28"/>
          <w:lang w:eastAsia="ko-KR"/>
        </w:rPr>
      </w:pPr>
      <w:r w:rsidRPr="0025669D">
        <w:rPr>
          <w:rFonts w:eastAsia="Malgun Gothic"/>
          <w:sz w:val="28"/>
          <w:lang w:eastAsia="ko-KR"/>
        </w:rPr>
        <w:t>OVERDOSAGE</w:t>
      </w:r>
    </w:p>
    <w:p w14:paraId="3847BAB2" w14:textId="77777777" w:rsidR="004A10AE" w:rsidRDefault="004A10AE" w:rsidP="007947DB">
      <w:pPr>
        <w:spacing w:line="240" w:lineRule="auto"/>
        <w:jc w:val="left"/>
        <w:rPr>
          <w:rFonts w:ascii="Times New Roman" w:eastAsia="Malgun Gothic" w:hAnsi="Times New Roman" w:cs="Times New Roman"/>
          <w:kern w:val="0"/>
          <w:sz w:val="24"/>
          <w:szCs w:val="24"/>
          <w:lang w:val="en-AU"/>
        </w:rPr>
      </w:pPr>
      <w:r w:rsidRPr="0025669D">
        <w:rPr>
          <w:rFonts w:ascii="Times New Roman" w:eastAsia="Malgun Gothic" w:hAnsi="Times New Roman" w:cs="Times New Roman"/>
          <w:kern w:val="0"/>
          <w:sz w:val="24"/>
          <w:szCs w:val="24"/>
          <w:lang w:val="en-GB"/>
        </w:rPr>
        <w:t xml:space="preserve">Single doses up to 20 mg/kg have been administered to patients without direct toxic effects. In case of </w:t>
      </w:r>
      <w:proofErr w:type="spellStart"/>
      <w:r w:rsidRPr="0025669D">
        <w:rPr>
          <w:rFonts w:ascii="Times New Roman" w:eastAsia="Malgun Gothic" w:hAnsi="Times New Roman" w:cs="Times New Roman"/>
          <w:kern w:val="0"/>
          <w:sz w:val="24"/>
          <w:szCs w:val="24"/>
          <w:lang w:val="en-GB"/>
        </w:rPr>
        <w:t>overdosage</w:t>
      </w:r>
      <w:proofErr w:type="spellEnd"/>
      <w:r w:rsidRPr="0025669D">
        <w:rPr>
          <w:rFonts w:ascii="Times New Roman" w:eastAsia="Malgun Gothic" w:hAnsi="Times New Roman" w:cs="Times New Roman"/>
          <w:kern w:val="0"/>
          <w:sz w:val="24"/>
          <w:szCs w:val="24"/>
          <w:lang w:val="en-GB"/>
        </w:rPr>
        <w:t xml:space="preserve">, it is recommended that patients be monitored for any signs and symptoms of adverse reactions or effects, and appropriate symptomatic treatment be instituted immediately. </w:t>
      </w:r>
      <w:r w:rsidRPr="0025669D">
        <w:rPr>
          <w:rFonts w:ascii="Times New Roman" w:eastAsia="Malgun Gothic" w:hAnsi="Times New Roman" w:cs="Times New Roman"/>
          <w:kern w:val="0"/>
          <w:sz w:val="24"/>
          <w:szCs w:val="24"/>
          <w:lang w:val="en-AU"/>
        </w:rPr>
        <w:t>Contact the Poisons Information Centre on 13 11 26 for advice on management of overdose.</w:t>
      </w:r>
    </w:p>
    <w:p w14:paraId="32D20480" w14:textId="77777777" w:rsidR="004A10AE" w:rsidRPr="0025669D" w:rsidRDefault="004A10AE" w:rsidP="007947DB">
      <w:pPr>
        <w:spacing w:line="240" w:lineRule="auto"/>
        <w:jc w:val="left"/>
        <w:rPr>
          <w:rFonts w:ascii="Times New Roman" w:eastAsia="Malgun Gothic" w:hAnsi="Times New Roman" w:cs="Times New Roman"/>
          <w:kern w:val="0"/>
          <w:sz w:val="24"/>
          <w:szCs w:val="24"/>
          <w:lang w:val="en-GB"/>
        </w:rPr>
      </w:pPr>
    </w:p>
    <w:p w14:paraId="3E036111" w14:textId="77777777" w:rsidR="004A10AE" w:rsidRPr="0025669D" w:rsidRDefault="004A10AE" w:rsidP="007947DB">
      <w:pPr>
        <w:pStyle w:val="Heading1"/>
        <w:spacing w:before="240" w:after="240" w:line="240" w:lineRule="auto"/>
        <w:ind w:left="425" w:hanging="425"/>
        <w:rPr>
          <w:rFonts w:eastAsia="Malgun Gothic"/>
          <w:sz w:val="28"/>
          <w:lang w:eastAsia="ko-KR"/>
        </w:rPr>
      </w:pPr>
      <w:r w:rsidRPr="0025669D">
        <w:rPr>
          <w:rFonts w:eastAsia="Malgun Gothic"/>
          <w:sz w:val="28"/>
          <w:lang w:eastAsia="ko-KR"/>
        </w:rPr>
        <w:lastRenderedPageBreak/>
        <w:t>PRESENTATION AND STORAGE CONDITIONS</w:t>
      </w:r>
    </w:p>
    <w:p w14:paraId="22AF965B" w14:textId="77777777" w:rsidR="004A10AE" w:rsidRPr="0025669D" w:rsidRDefault="004A10AE" w:rsidP="007947DB">
      <w:pPr>
        <w:spacing w:line="240" w:lineRule="auto"/>
        <w:jc w:val="left"/>
        <w:rPr>
          <w:rFonts w:ascii="Times New Roman" w:eastAsia="Malgun Gothic" w:hAnsi="Times New Roman" w:cs="Times New Roman"/>
          <w:kern w:val="0"/>
          <w:sz w:val="24"/>
          <w:szCs w:val="24"/>
          <w:lang w:val="en-GB"/>
        </w:rPr>
      </w:pPr>
      <w:r>
        <w:rPr>
          <w:rFonts w:ascii="Times New Roman" w:eastAsia="Malgun Gothic" w:hAnsi="Times New Roman" w:cs="Times New Roman"/>
          <w:kern w:val="0"/>
          <w:sz w:val="24"/>
          <w:szCs w:val="24"/>
          <w:lang w:val="en-GB"/>
        </w:rPr>
        <w:t>RENFLEXIS</w:t>
      </w:r>
      <w:r w:rsidRPr="0025669D">
        <w:rPr>
          <w:rFonts w:ascii="Times New Roman" w:eastAsia="Malgun Gothic" w:hAnsi="Times New Roman" w:cs="Times New Roman"/>
          <w:kern w:val="0"/>
          <w:sz w:val="24"/>
          <w:szCs w:val="24"/>
          <w:lang w:val="en-GB"/>
        </w:rPr>
        <w:t xml:space="preserve"> 100 mg is supplied as lyophilised powder in individually-boxed single-use glass vial</w:t>
      </w:r>
      <w:r>
        <w:rPr>
          <w:rFonts w:ascii="Times New Roman" w:eastAsia="Malgun Gothic" w:hAnsi="Times New Roman" w:cs="Times New Roman" w:hint="eastAsia"/>
          <w:kern w:val="0"/>
          <w:sz w:val="24"/>
          <w:szCs w:val="24"/>
          <w:lang w:val="en-GB"/>
        </w:rPr>
        <w:t>s</w:t>
      </w:r>
      <w:r w:rsidRPr="0025669D">
        <w:rPr>
          <w:rFonts w:ascii="Times New Roman" w:eastAsia="Malgun Gothic" w:hAnsi="Times New Roman" w:cs="Times New Roman"/>
          <w:kern w:val="0"/>
          <w:sz w:val="24"/>
          <w:szCs w:val="24"/>
          <w:lang w:val="en-GB"/>
        </w:rPr>
        <w:t xml:space="preserve"> with rubber stopper and aluminium crimps protected by plastic cap</w:t>
      </w:r>
      <w:r>
        <w:rPr>
          <w:rFonts w:ascii="Times New Roman" w:eastAsia="Malgun Gothic" w:hAnsi="Times New Roman" w:cs="Times New Roman" w:hint="eastAsia"/>
          <w:kern w:val="0"/>
          <w:sz w:val="24"/>
          <w:szCs w:val="24"/>
          <w:lang w:val="en-GB"/>
        </w:rPr>
        <w:t>s</w:t>
      </w:r>
      <w:r w:rsidRPr="0025669D">
        <w:rPr>
          <w:rFonts w:ascii="Times New Roman" w:eastAsia="Malgun Gothic" w:hAnsi="Times New Roman" w:cs="Times New Roman"/>
          <w:kern w:val="0"/>
          <w:sz w:val="24"/>
          <w:szCs w:val="24"/>
          <w:lang w:val="en-GB"/>
        </w:rPr>
        <w:t>.</w:t>
      </w:r>
    </w:p>
    <w:p w14:paraId="4527D7FB" w14:textId="2A075209" w:rsidR="004A10AE" w:rsidRDefault="004A10AE" w:rsidP="007947DB">
      <w:pPr>
        <w:spacing w:line="240" w:lineRule="auto"/>
        <w:jc w:val="left"/>
        <w:rPr>
          <w:rFonts w:ascii="Times New Roman" w:eastAsia="Malgun Gothic" w:hAnsi="Times New Roman" w:cs="Times New Roman"/>
          <w:kern w:val="0"/>
          <w:sz w:val="24"/>
          <w:szCs w:val="24"/>
          <w:lang w:val="en-GB"/>
        </w:rPr>
      </w:pPr>
      <w:r w:rsidRPr="0025669D">
        <w:rPr>
          <w:rFonts w:ascii="Times New Roman" w:eastAsia="Malgun Gothic" w:hAnsi="Times New Roman" w:cs="Times New Roman"/>
          <w:kern w:val="0"/>
          <w:sz w:val="24"/>
          <w:szCs w:val="24"/>
          <w:lang w:val="en-GB"/>
        </w:rPr>
        <w:t>Store at 2</w:t>
      </w:r>
      <w:r w:rsidRPr="0025669D">
        <w:rPr>
          <w:rFonts w:ascii="Times New Roman" w:eastAsia="Malgun Gothic" w:hAnsi="Times New Roman" w:cs="Times New Roman"/>
          <w:kern w:val="0"/>
          <w:sz w:val="24"/>
          <w:szCs w:val="24"/>
          <w:vertAlign w:val="superscript"/>
          <w:lang w:val="en-GB"/>
        </w:rPr>
        <w:t>o</w:t>
      </w:r>
      <w:r w:rsidRPr="0025669D">
        <w:rPr>
          <w:rFonts w:ascii="Times New Roman" w:eastAsia="Malgun Gothic" w:hAnsi="Times New Roman" w:cs="Times New Roman"/>
          <w:kern w:val="0"/>
          <w:sz w:val="24"/>
          <w:szCs w:val="24"/>
          <w:lang w:val="en-GB"/>
        </w:rPr>
        <w:t xml:space="preserve"> to 8</w:t>
      </w:r>
      <w:r w:rsidRPr="0025669D">
        <w:rPr>
          <w:rFonts w:ascii="Times New Roman" w:eastAsia="Malgun Gothic" w:hAnsi="Times New Roman" w:cs="Times New Roman"/>
          <w:kern w:val="0"/>
          <w:sz w:val="24"/>
          <w:szCs w:val="24"/>
          <w:vertAlign w:val="superscript"/>
          <w:lang w:val="en-GB"/>
        </w:rPr>
        <w:t>o</w:t>
      </w:r>
      <w:r w:rsidRPr="0025669D">
        <w:rPr>
          <w:rFonts w:ascii="Times New Roman" w:eastAsia="Malgun Gothic" w:hAnsi="Times New Roman" w:cs="Times New Roman"/>
          <w:kern w:val="0"/>
          <w:sz w:val="24"/>
          <w:szCs w:val="24"/>
          <w:lang w:val="en-GB"/>
        </w:rPr>
        <w:t xml:space="preserve"> Celsius. Refrigerate.</w:t>
      </w:r>
      <w:r w:rsidR="00F20EE9">
        <w:rPr>
          <w:rFonts w:ascii="Times New Roman" w:eastAsia="Malgun Gothic" w:hAnsi="Times New Roman" w:cs="Times New Roman" w:hint="eastAsia"/>
          <w:kern w:val="0"/>
          <w:sz w:val="24"/>
          <w:szCs w:val="24"/>
          <w:lang w:val="en-GB"/>
        </w:rPr>
        <w:t xml:space="preserve"> Do not freeze.</w:t>
      </w:r>
    </w:p>
    <w:p w14:paraId="2495977F" w14:textId="77777777" w:rsidR="004A10AE" w:rsidRPr="0025669D" w:rsidRDefault="004A10AE" w:rsidP="007947DB">
      <w:pPr>
        <w:spacing w:line="240" w:lineRule="auto"/>
        <w:jc w:val="left"/>
        <w:rPr>
          <w:rFonts w:ascii="Times New Roman" w:eastAsia="Malgun Gothic" w:hAnsi="Times New Roman" w:cs="Times New Roman"/>
          <w:kern w:val="0"/>
          <w:sz w:val="24"/>
          <w:szCs w:val="24"/>
          <w:lang w:val="en-GB"/>
        </w:rPr>
      </w:pPr>
    </w:p>
    <w:p w14:paraId="19E1986A" w14:textId="77777777" w:rsidR="004A10AE" w:rsidRPr="0025669D" w:rsidRDefault="004A10AE" w:rsidP="007947DB">
      <w:pPr>
        <w:pStyle w:val="Heading1"/>
        <w:spacing w:before="240" w:after="240" w:line="240" w:lineRule="auto"/>
        <w:ind w:left="425" w:hanging="425"/>
        <w:rPr>
          <w:rFonts w:eastAsia="Malgun Gothic"/>
          <w:sz w:val="28"/>
          <w:lang w:eastAsia="ko-KR"/>
        </w:rPr>
      </w:pPr>
      <w:r w:rsidRPr="0025669D">
        <w:rPr>
          <w:rFonts w:eastAsia="Malgun Gothic"/>
          <w:sz w:val="28"/>
          <w:lang w:eastAsia="ko-KR"/>
        </w:rPr>
        <w:t>NAME AND ADDRESS OF THE SPONSOR</w:t>
      </w:r>
    </w:p>
    <w:p w14:paraId="63CB7517" w14:textId="77777777" w:rsidR="00457E03" w:rsidRPr="00457E03" w:rsidRDefault="00457E03" w:rsidP="007947DB">
      <w:pPr>
        <w:spacing w:line="240" w:lineRule="auto"/>
        <w:jc w:val="left"/>
        <w:rPr>
          <w:rFonts w:ascii="Times New Roman" w:eastAsia="Malgun Gothic" w:hAnsi="Times New Roman" w:cs="Times New Roman"/>
          <w:b/>
          <w:sz w:val="24"/>
          <w:szCs w:val="24"/>
        </w:rPr>
      </w:pPr>
      <w:r w:rsidRPr="00457E03">
        <w:rPr>
          <w:rFonts w:ascii="Times New Roman" w:eastAsia="Malgun Gothic" w:hAnsi="Times New Roman" w:cs="Times New Roman"/>
          <w:b/>
          <w:sz w:val="24"/>
          <w:szCs w:val="24"/>
        </w:rPr>
        <w:t>Australian Sponsor:</w:t>
      </w:r>
    </w:p>
    <w:p w14:paraId="03D9C0C8" w14:textId="77777777" w:rsidR="00457E03" w:rsidRPr="003E0B79" w:rsidRDefault="00457E03" w:rsidP="003E0B79">
      <w:pPr>
        <w:spacing w:after="0" w:line="240" w:lineRule="auto"/>
        <w:jc w:val="left"/>
        <w:rPr>
          <w:rFonts w:ascii="Times New Roman" w:eastAsia="Malgun Gothic" w:hAnsi="Times New Roman" w:cs="Times New Roman"/>
          <w:kern w:val="0"/>
          <w:sz w:val="24"/>
          <w:szCs w:val="24"/>
          <w:lang w:val="en-GB"/>
        </w:rPr>
      </w:pPr>
      <w:r w:rsidRPr="003E0B79">
        <w:rPr>
          <w:rFonts w:ascii="Times New Roman" w:eastAsia="Malgun Gothic" w:hAnsi="Times New Roman" w:cs="Times New Roman"/>
          <w:kern w:val="0"/>
          <w:sz w:val="24"/>
          <w:szCs w:val="24"/>
          <w:lang w:val="en-GB"/>
        </w:rPr>
        <w:t>SAMSUNG BIOEPIS AU PTY LTD</w:t>
      </w:r>
    </w:p>
    <w:p w14:paraId="1E63123A" w14:textId="77777777" w:rsidR="00457E03" w:rsidRPr="003E0B79" w:rsidRDefault="00457E03" w:rsidP="003E0B79">
      <w:pPr>
        <w:spacing w:after="0" w:line="240" w:lineRule="auto"/>
        <w:jc w:val="left"/>
        <w:rPr>
          <w:rFonts w:ascii="Times New Roman" w:eastAsia="Malgun Gothic" w:hAnsi="Times New Roman" w:cs="Times New Roman"/>
          <w:kern w:val="0"/>
          <w:sz w:val="24"/>
          <w:szCs w:val="24"/>
          <w:lang w:val="en-GB"/>
        </w:rPr>
      </w:pPr>
      <w:r w:rsidRPr="003E0B79">
        <w:rPr>
          <w:rFonts w:ascii="Times New Roman" w:eastAsia="Malgun Gothic" w:hAnsi="Times New Roman" w:cs="Times New Roman"/>
          <w:kern w:val="0"/>
          <w:sz w:val="24"/>
          <w:szCs w:val="24"/>
          <w:lang w:val="en-GB"/>
        </w:rPr>
        <w:t>Level 16, 201 Elizabeth Street, Sydney NSW 2000, Australia</w:t>
      </w:r>
    </w:p>
    <w:p w14:paraId="78C91EE2" w14:textId="77777777" w:rsidR="00AC3E0C" w:rsidRDefault="00AC3E0C" w:rsidP="00AC3E0C">
      <w:pPr>
        <w:widowControl/>
        <w:wordWrap/>
        <w:autoSpaceDE/>
        <w:autoSpaceDN/>
        <w:rPr>
          <w:rFonts w:ascii="Times New Roman" w:eastAsia="Malgun Gothic" w:hAnsi="Times New Roman" w:cs="Times New Roman"/>
          <w:b/>
          <w:sz w:val="24"/>
          <w:szCs w:val="24"/>
        </w:rPr>
      </w:pPr>
    </w:p>
    <w:p w14:paraId="6017E0F2" w14:textId="77777777" w:rsidR="00457E03" w:rsidRPr="00457E03" w:rsidRDefault="00457E03" w:rsidP="00AC3E0C">
      <w:pPr>
        <w:widowControl/>
        <w:wordWrap/>
        <w:autoSpaceDE/>
        <w:autoSpaceDN/>
        <w:rPr>
          <w:rFonts w:ascii="Times New Roman" w:eastAsia="Malgun Gothic" w:hAnsi="Times New Roman" w:cs="Times New Roman"/>
          <w:b/>
          <w:sz w:val="24"/>
          <w:szCs w:val="24"/>
        </w:rPr>
      </w:pPr>
      <w:r w:rsidRPr="00457E03">
        <w:rPr>
          <w:rFonts w:ascii="Times New Roman" w:eastAsia="Malgun Gothic" w:hAnsi="Times New Roman" w:cs="Times New Roman"/>
          <w:b/>
          <w:sz w:val="24"/>
          <w:szCs w:val="24"/>
        </w:rPr>
        <w:t>Distributor:</w:t>
      </w:r>
    </w:p>
    <w:p w14:paraId="0F1D864C" w14:textId="77777777" w:rsidR="00457E03" w:rsidRPr="00457E03" w:rsidRDefault="00457E03" w:rsidP="003E0B79">
      <w:pPr>
        <w:spacing w:after="0" w:line="240" w:lineRule="auto"/>
        <w:jc w:val="left"/>
        <w:rPr>
          <w:rFonts w:ascii="Times New Roman" w:eastAsia="Malgun Gothic" w:hAnsi="Times New Roman" w:cs="Times New Roman"/>
          <w:sz w:val="24"/>
          <w:szCs w:val="24"/>
        </w:rPr>
      </w:pPr>
      <w:r w:rsidRPr="00457E03">
        <w:rPr>
          <w:rFonts w:ascii="Times New Roman" w:eastAsia="Malgun Gothic" w:hAnsi="Times New Roman" w:cs="Times New Roman"/>
          <w:sz w:val="24"/>
          <w:szCs w:val="24"/>
        </w:rPr>
        <w:t>Merck Sharp &amp; Dohme (Australia) Pty Limited</w:t>
      </w:r>
    </w:p>
    <w:p w14:paraId="4787866D" w14:textId="0FB001FB" w:rsidR="00457E03" w:rsidRDefault="00457E03" w:rsidP="003E0B79">
      <w:pPr>
        <w:spacing w:after="0" w:line="240" w:lineRule="auto"/>
        <w:jc w:val="left"/>
        <w:rPr>
          <w:rFonts w:ascii="Times New Roman" w:eastAsia="Malgun Gothic" w:hAnsi="Times New Roman" w:cs="Times New Roman"/>
          <w:sz w:val="24"/>
          <w:szCs w:val="24"/>
        </w:rPr>
      </w:pPr>
      <w:r w:rsidRPr="00457E03">
        <w:rPr>
          <w:rFonts w:ascii="Times New Roman" w:eastAsia="Malgun Gothic" w:hAnsi="Times New Roman" w:cs="Times New Roman"/>
          <w:sz w:val="24"/>
          <w:szCs w:val="24"/>
        </w:rPr>
        <w:t>Level 1, Building A, 26 Talavera Road, Macquarie Park NSW 2113, Australia</w:t>
      </w:r>
    </w:p>
    <w:p w14:paraId="2A0151E8" w14:textId="77777777" w:rsidR="00457E03" w:rsidRPr="006C5E6E" w:rsidRDefault="00457E03" w:rsidP="007947DB">
      <w:pPr>
        <w:spacing w:line="240" w:lineRule="auto"/>
        <w:jc w:val="left"/>
        <w:rPr>
          <w:rFonts w:ascii="Times New Roman" w:eastAsia="Malgun Gothic" w:hAnsi="Times New Roman" w:cs="Times New Roman"/>
          <w:sz w:val="24"/>
          <w:szCs w:val="24"/>
        </w:rPr>
      </w:pPr>
    </w:p>
    <w:p w14:paraId="63CE599B" w14:textId="77777777" w:rsidR="004A10AE" w:rsidRPr="006C5E6E" w:rsidRDefault="004A10AE" w:rsidP="007947DB">
      <w:pPr>
        <w:pStyle w:val="Heading1"/>
        <w:spacing w:before="240" w:after="240" w:line="240" w:lineRule="auto"/>
        <w:ind w:left="425" w:hanging="425"/>
        <w:rPr>
          <w:rFonts w:eastAsia="Malgun Gothic"/>
          <w:sz w:val="28"/>
          <w:lang w:eastAsia="ko-KR"/>
        </w:rPr>
      </w:pPr>
      <w:r w:rsidRPr="006C5E6E">
        <w:rPr>
          <w:rFonts w:eastAsia="Malgun Gothic"/>
          <w:sz w:val="28"/>
          <w:lang w:eastAsia="ko-KR"/>
        </w:rPr>
        <w:t xml:space="preserve">POISON SCHEDULE </w:t>
      </w:r>
    </w:p>
    <w:p w14:paraId="7E5080AC" w14:textId="77777777" w:rsidR="004A10AE" w:rsidRDefault="004A10AE" w:rsidP="007947DB">
      <w:pPr>
        <w:spacing w:line="240" w:lineRule="auto"/>
        <w:jc w:val="left"/>
        <w:rPr>
          <w:rFonts w:ascii="Times New Roman" w:eastAsia="Malgun Gothic" w:hAnsi="Times New Roman" w:cs="Times New Roman"/>
          <w:kern w:val="0"/>
          <w:sz w:val="24"/>
          <w:szCs w:val="24"/>
          <w:lang w:val="en-AU"/>
        </w:rPr>
      </w:pPr>
      <w:r w:rsidRPr="006C5E6E">
        <w:rPr>
          <w:rFonts w:ascii="Times New Roman" w:eastAsia="Malgun Gothic" w:hAnsi="Times New Roman" w:cs="Times New Roman"/>
          <w:kern w:val="0"/>
          <w:sz w:val="24"/>
          <w:szCs w:val="24"/>
          <w:lang w:val="en-AU"/>
        </w:rPr>
        <w:t>S4</w:t>
      </w:r>
      <w:r w:rsidRPr="006C5E6E">
        <w:rPr>
          <w:rFonts w:ascii="Times New Roman" w:eastAsia="Malgun Gothic" w:hAnsi="Times New Roman" w:cs="Times New Roman" w:hint="eastAsia"/>
          <w:kern w:val="0"/>
          <w:sz w:val="24"/>
          <w:szCs w:val="24"/>
          <w:lang w:val="en-AU"/>
        </w:rPr>
        <w:t xml:space="preserve"> </w:t>
      </w:r>
      <w:r w:rsidRPr="006C5E6E">
        <w:rPr>
          <w:rFonts w:ascii="Times New Roman" w:eastAsia="Malgun Gothic" w:hAnsi="Times New Roman" w:cs="Times New Roman"/>
          <w:kern w:val="0"/>
          <w:sz w:val="24"/>
          <w:szCs w:val="24"/>
          <w:lang w:val="en-AU"/>
        </w:rPr>
        <w:t>–</w:t>
      </w:r>
      <w:r w:rsidRPr="006C5E6E">
        <w:rPr>
          <w:rFonts w:ascii="Times New Roman" w:eastAsia="Malgun Gothic" w:hAnsi="Times New Roman" w:cs="Times New Roman" w:hint="eastAsia"/>
          <w:kern w:val="0"/>
          <w:sz w:val="24"/>
          <w:szCs w:val="24"/>
          <w:lang w:val="en-AU"/>
        </w:rPr>
        <w:t xml:space="preserve"> Prescription Only Medicine</w:t>
      </w:r>
    </w:p>
    <w:p w14:paraId="71653FDE" w14:textId="77777777" w:rsidR="004A10AE" w:rsidRPr="006C5E6E" w:rsidRDefault="004A10AE" w:rsidP="007947DB">
      <w:pPr>
        <w:spacing w:line="240" w:lineRule="auto"/>
        <w:jc w:val="left"/>
        <w:rPr>
          <w:rFonts w:ascii="Times New Roman" w:eastAsia="Malgun Gothic" w:hAnsi="Times New Roman" w:cs="Times New Roman"/>
          <w:kern w:val="0"/>
          <w:sz w:val="24"/>
          <w:szCs w:val="24"/>
          <w:lang w:val="en-AU"/>
        </w:rPr>
      </w:pPr>
    </w:p>
    <w:p w14:paraId="54500B61" w14:textId="77777777" w:rsidR="004A10AE" w:rsidRPr="0025669D" w:rsidRDefault="004A10AE" w:rsidP="007947DB">
      <w:pPr>
        <w:pStyle w:val="Heading1"/>
        <w:spacing w:before="240" w:after="240" w:line="240" w:lineRule="auto"/>
        <w:rPr>
          <w:rFonts w:eastAsia="Malgun Gothic"/>
          <w:sz w:val="28"/>
          <w:lang w:eastAsia="ko-KR"/>
        </w:rPr>
      </w:pPr>
      <w:r w:rsidRPr="0025669D">
        <w:rPr>
          <w:rFonts w:eastAsia="Malgun Gothic"/>
          <w:sz w:val="28"/>
          <w:lang w:eastAsia="ko-KR"/>
        </w:rPr>
        <w:t>DATE OF FIRST INCLUSION IN THE AUSTRALIAN REGISTER OF THERAPEUTIC GOODS</w:t>
      </w:r>
    </w:p>
    <w:p w14:paraId="1DD15917" w14:textId="58A3F3A5" w:rsidR="004A10AE" w:rsidRDefault="00A477AF" w:rsidP="007947DB">
      <w:pPr>
        <w:spacing w:line="240" w:lineRule="auto"/>
        <w:jc w:val="left"/>
        <w:rPr>
          <w:rFonts w:ascii="Times New Roman" w:eastAsia="Malgun Gothic" w:hAnsi="Times New Roman" w:cs="Times New Roman"/>
          <w:sz w:val="22"/>
        </w:rPr>
      </w:pPr>
      <w:r>
        <w:rPr>
          <w:rFonts w:ascii="Times New Roman" w:eastAsia="Malgun Gothic" w:hAnsi="Times New Roman" w:cs="Times New Roman" w:hint="eastAsia"/>
          <w:sz w:val="22"/>
        </w:rPr>
        <w:t>28 November 2016</w:t>
      </w:r>
    </w:p>
    <w:p w14:paraId="03537A76" w14:textId="77777777" w:rsidR="004A10AE" w:rsidRPr="0025669D" w:rsidRDefault="004A10AE" w:rsidP="007947DB">
      <w:pPr>
        <w:spacing w:line="240" w:lineRule="auto"/>
        <w:jc w:val="left"/>
        <w:rPr>
          <w:rFonts w:ascii="Times New Roman" w:eastAsia="Malgun Gothic" w:hAnsi="Times New Roman" w:cs="Times New Roman"/>
          <w:sz w:val="22"/>
        </w:rPr>
      </w:pPr>
    </w:p>
    <w:p w14:paraId="348DAFB3" w14:textId="77777777" w:rsidR="004A10AE" w:rsidRPr="0025669D" w:rsidRDefault="004A10AE" w:rsidP="007947DB">
      <w:pPr>
        <w:pStyle w:val="Heading1"/>
        <w:spacing w:before="240" w:after="240" w:line="240" w:lineRule="auto"/>
        <w:rPr>
          <w:rFonts w:eastAsia="Malgun Gothic"/>
          <w:sz w:val="28"/>
          <w:lang w:eastAsia="ko-KR"/>
        </w:rPr>
      </w:pPr>
      <w:r w:rsidRPr="0025669D">
        <w:rPr>
          <w:rFonts w:eastAsia="Malgun Gothic"/>
          <w:sz w:val="28"/>
          <w:lang w:eastAsia="ko-KR"/>
        </w:rPr>
        <w:t>DATE OF MOST RECENT AMENDMENT</w:t>
      </w:r>
    </w:p>
    <w:p w14:paraId="3A9A2DA9" w14:textId="065CDA40" w:rsidR="004A10AE" w:rsidRPr="0025669D" w:rsidRDefault="00C97549" w:rsidP="007947DB">
      <w:pPr>
        <w:spacing w:line="240" w:lineRule="auto"/>
        <w:jc w:val="left"/>
        <w:rPr>
          <w:rFonts w:ascii="Times New Roman" w:eastAsia="Malgun Gothic" w:hAnsi="Times New Roman" w:cs="Times New Roman"/>
          <w:sz w:val="22"/>
        </w:rPr>
      </w:pPr>
      <w:r>
        <w:rPr>
          <w:rFonts w:ascii="Times New Roman" w:eastAsia="Malgun Gothic" w:hAnsi="Times New Roman" w:cs="Times New Roman"/>
          <w:sz w:val="22"/>
        </w:rPr>
        <w:t>1</w:t>
      </w:r>
      <w:r w:rsidR="00E75073">
        <w:rPr>
          <w:rFonts w:ascii="Times New Roman" w:eastAsia="Malgun Gothic" w:hAnsi="Times New Roman" w:cs="Times New Roman"/>
          <w:sz w:val="22"/>
        </w:rPr>
        <w:t>8</w:t>
      </w:r>
      <w:r>
        <w:rPr>
          <w:rFonts w:ascii="Times New Roman" w:eastAsia="Malgun Gothic" w:hAnsi="Times New Roman" w:cs="Times New Roman"/>
          <w:sz w:val="22"/>
        </w:rPr>
        <w:t xml:space="preserve"> </w:t>
      </w:r>
      <w:r w:rsidR="00E75073">
        <w:rPr>
          <w:rFonts w:ascii="Times New Roman" w:eastAsia="Malgun Gothic" w:hAnsi="Times New Roman" w:cs="Times New Roman"/>
          <w:sz w:val="22"/>
        </w:rPr>
        <w:t>September</w:t>
      </w:r>
      <w:r>
        <w:rPr>
          <w:rFonts w:ascii="Times New Roman" w:eastAsia="Malgun Gothic" w:hAnsi="Times New Roman" w:cs="Times New Roman" w:hint="eastAsia"/>
          <w:sz w:val="22"/>
        </w:rPr>
        <w:t xml:space="preserve"> </w:t>
      </w:r>
      <w:r w:rsidR="00AC3E0C">
        <w:rPr>
          <w:rFonts w:ascii="Times New Roman" w:eastAsia="Malgun Gothic" w:hAnsi="Times New Roman" w:cs="Times New Roman" w:hint="eastAsia"/>
          <w:sz w:val="22"/>
        </w:rPr>
        <w:t>2017</w:t>
      </w:r>
    </w:p>
    <w:p w14:paraId="6FFC9017" w14:textId="576BD7E9" w:rsidR="00D3060A" w:rsidRPr="004A10AE" w:rsidRDefault="00D3060A" w:rsidP="007947DB">
      <w:pPr>
        <w:spacing w:line="240" w:lineRule="auto"/>
      </w:pPr>
    </w:p>
    <w:sectPr w:rsidR="00D3060A" w:rsidRPr="004A10AE" w:rsidSect="00800269">
      <w:headerReference w:type="default" r:id="rId33"/>
      <w:footerReference w:type="default" r:id="rId34"/>
      <w:pgSz w:w="11906" w:h="16838"/>
      <w:pgMar w:top="1701" w:right="1440" w:bottom="1440" w:left="1440" w:header="851" w:footer="454"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13930A" w14:textId="77777777" w:rsidR="00215C6D" w:rsidRDefault="00215C6D">
      <w:pPr>
        <w:spacing w:after="0" w:line="240" w:lineRule="auto"/>
      </w:pPr>
      <w:r>
        <w:separator/>
      </w:r>
    </w:p>
  </w:endnote>
  <w:endnote w:type="continuationSeparator" w:id="0">
    <w:p w14:paraId="6DCEE152" w14:textId="77777777" w:rsidR="00215C6D" w:rsidRDefault="00215C6D">
      <w:pPr>
        <w:spacing w:after="0" w:line="240" w:lineRule="auto"/>
      </w:pPr>
      <w:r>
        <w:continuationSeparator/>
      </w:r>
    </w:p>
  </w:endnote>
  <w:endnote w:type="continuationNotice" w:id="1">
    <w:p w14:paraId="022C64FE" w14:textId="77777777" w:rsidR="00215C6D" w:rsidRDefault="00215C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algun Gothic">
    <w:altName w:val="맑은 고딕"/>
    <w:panose1 w:val="020B0503020000020004"/>
    <w:charset w:val="81"/>
    <w:family w:val="swiss"/>
    <w:pitch w:val="variable"/>
    <w:sig w:usb0="900002AF" w:usb1="09D77CFB" w:usb2="00000012" w:usb3="00000000" w:csb0="00080001" w:csb1="00000000"/>
  </w:font>
  <w:font w:name="Courier New">
    <w:panose1 w:val="02070309020205020404"/>
    <w:charset w:val="00"/>
    <w:family w:val="modern"/>
    <w:pitch w:val="fixed"/>
    <w:sig w:usb0="E0002AFF" w:usb1="C0007843" w:usb2="00000009" w:usb3="00000000" w:csb0="000001FF" w:csb1="00000000"/>
  </w:font>
  <w:font w:name="GulimChe">
    <w:altName w:val="굴림체"/>
    <w:panose1 w:val="020B0609000101010101"/>
    <w:charset w:val="81"/>
    <w:family w:val="modern"/>
    <w:pitch w:val="fixed"/>
    <w:sig w:usb0="B00002AF" w:usb1="69D77CFB" w:usb2="00000030" w:usb3="00000000" w:csb0="0008009F" w:csb1="00000000"/>
  </w:font>
  <w:font w:name="Gulim">
    <w:altName w:val="굴림"/>
    <w:panose1 w:val="020B0600000101010101"/>
    <w:charset w:val="81"/>
    <w:family w:val="roman"/>
    <w:notTrueType/>
    <w:pitch w:val="fixed"/>
    <w:sig w:usb0="00000001" w:usb1="09060000" w:usb2="00000010" w:usb3="00000000" w:csb0="00080000"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auto"/>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959533951"/>
      <w:docPartObj>
        <w:docPartGallery w:val="Page Numbers (Bottom of Page)"/>
        <w:docPartUnique/>
      </w:docPartObj>
    </w:sdtPr>
    <w:sdtEndPr/>
    <w:sdtContent>
      <w:sdt>
        <w:sdtPr>
          <w:rPr>
            <w:rFonts w:ascii="Times New Roman" w:hAnsi="Times New Roman" w:cs="Times New Roman"/>
          </w:rPr>
          <w:id w:val="860082579"/>
          <w:docPartObj>
            <w:docPartGallery w:val="Page Numbers (Top of Page)"/>
            <w:docPartUnique/>
          </w:docPartObj>
        </w:sdtPr>
        <w:sdtEndPr/>
        <w:sdtContent>
          <w:p w14:paraId="6FFC904A" w14:textId="41B71AE7" w:rsidR="00501F29" w:rsidRPr="001A04E1" w:rsidRDefault="00501F29" w:rsidP="00E075CA">
            <w:pPr>
              <w:pStyle w:val="Footer"/>
              <w:jc w:val="left"/>
              <w:rPr>
                <w:rFonts w:ascii="Times New Roman" w:hAnsi="Times New Roman" w:cs="Times New Roman"/>
              </w:rPr>
            </w:pPr>
            <w:r>
              <w:rPr>
                <w:rFonts w:ascii="Times New Roman" w:hAnsi="Times New Roman" w:cs="Times New Roman" w:hint="eastAsia"/>
              </w:rPr>
              <w:t>Version 6.0</w:t>
            </w:r>
            <w:r>
              <w:rPr>
                <w:rFonts w:ascii="Times New Roman" w:hAnsi="Times New Roman" w:cs="Times New Roman" w:hint="eastAsia"/>
              </w:rPr>
              <w:tab/>
            </w:r>
            <w:r>
              <w:rPr>
                <w:rFonts w:ascii="Times New Roman" w:hAnsi="Times New Roman" w:cs="Times New Roman" w:hint="eastAsia"/>
              </w:rPr>
              <w:tab/>
            </w:r>
            <w:r w:rsidRPr="001A04E1">
              <w:rPr>
                <w:rFonts w:ascii="Times New Roman" w:hAnsi="Times New Roman" w:cs="Times New Roman"/>
                <w:lang w:val="ko-KR"/>
              </w:rPr>
              <w:t xml:space="preserve">Page </w:t>
            </w:r>
            <w:r w:rsidRPr="001A04E1">
              <w:rPr>
                <w:rFonts w:ascii="Times New Roman" w:hAnsi="Times New Roman" w:cs="Times New Roman"/>
                <w:bCs/>
                <w:sz w:val="24"/>
                <w:szCs w:val="24"/>
              </w:rPr>
              <w:fldChar w:fldCharType="begin"/>
            </w:r>
            <w:r w:rsidRPr="001A04E1">
              <w:rPr>
                <w:rFonts w:ascii="Times New Roman" w:hAnsi="Times New Roman" w:cs="Times New Roman"/>
                <w:bCs/>
              </w:rPr>
              <w:instrText>PAGE</w:instrText>
            </w:r>
            <w:r w:rsidRPr="001A04E1">
              <w:rPr>
                <w:rFonts w:ascii="Times New Roman" w:hAnsi="Times New Roman" w:cs="Times New Roman"/>
                <w:bCs/>
                <w:sz w:val="24"/>
                <w:szCs w:val="24"/>
              </w:rPr>
              <w:fldChar w:fldCharType="separate"/>
            </w:r>
            <w:r w:rsidR="006D7A68">
              <w:rPr>
                <w:rFonts w:ascii="Times New Roman" w:hAnsi="Times New Roman" w:cs="Times New Roman"/>
                <w:bCs/>
                <w:noProof/>
              </w:rPr>
              <w:t>2</w:t>
            </w:r>
            <w:r w:rsidRPr="001A04E1">
              <w:rPr>
                <w:rFonts w:ascii="Times New Roman" w:hAnsi="Times New Roman" w:cs="Times New Roman"/>
                <w:bCs/>
                <w:sz w:val="24"/>
                <w:szCs w:val="24"/>
              </w:rPr>
              <w:fldChar w:fldCharType="end"/>
            </w:r>
            <w:r w:rsidRPr="001A04E1">
              <w:rPr>
                <w:rFonts w:ascii="Times New Roman" w:hAnsi="Times New Roman" w:cs="Times New Roman"/>
                <w:lang w:val="ko-KR"/>
              </w:rPr>
              <w:t xml:space="preserve"> / </w:t>
            </w:r>
            <w:r w:rsidRPr="001A04E1">
              <w:rPr>
                <w:rFonts w:ascii="Times New Roman" w:hAnsi="Times New Roman" w:cs="Times New Roman"/>
                <w:bCs/>
                <w:sz w:val="24"/>
                <w:szCs w:val="24"/>
              </w:rPr>
              <w:fldChar w:fldCharType="begin"/>
            </w:r>
            <w:r w:rsidRPr="001A04E1">
              <w:rPr>
                <w:rFonts w:ascii="Times New Roman" w:hAnsi="Times New Roman" w:cs="Times New Roman"/>
                <w:bCs/>
              </w:rPr>
              <w:instrText>NUMPAGES</w:instrText>
            </w:r>
            <w:r w:rsidRPr="001A04E1">
              <w:rPr>
                <w:rFonts w:ascii="Times New Roman" w:hAnsi="Times New Roman" w:cs="Times New Roman"/>
                <w:bCs/>
                <w:sz w:val="24"/>
                <w:szCs w:val="24"/>
              </w:rPr>
              <w:fldChar w:fldCharType="separate"/>
            </w:r>
            <w:r w:rsidR="006D7A68">
              <w:rPr>
                <w:rFonts w:ascii="Times New Roman" w:hAnsi="Times New Roman" w:cs="Times New Roman"/>
                <w:bCs/>
                <w:noProof/>
              </w:rPr>
              <w:t>62</w:t>
            </w:r>
            <w:r w:rsidRPr="001A04E1">
              <w:rPr>
                <w:rFonts w:ascii="Times New Roman" w:hAnsi="Times New Roman" w:cs="Times New Roman"/>
                <w:bCs/>
                <w:sz w:val="24"/>
                <w:szCs w:val="24"/>
              </w:rPr>
              <w:fldChar w:fldCharType="end"/>
            </w:r>
          </w:p>
        </w:sdtContent>
      </w:sdt>
    </w:sdtContent>
  </w:sdt>
  <w:p w14:paraId="5758EA71" w14:textId="77777777" w:rsidR="00501F29" w:rsidRDefault="00501F2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3D9470" w14:textId="77777777" w:rsidR="00215C6D" w:rsidRDefault="00215C6D">
      <w:pPr>
        <w:spacing w:after="0" w:line="240" w:lineRule="auto"/>
      </w:pPr>
      <w:r>
        <w:separator/>
      </w:r>
    </w:p>
  </w:footnote>
  <w:footnote w:type="continuationSeparator" w:id="0">
    <w:p w14:paraId="556353AC" w14:textId="77777777" w:rsidR="00215C6D" w:rsidRDefault="00215C6D">
      <w:pPr>
        <w:spacing w:after="0" w:line="240" w:lineRule="auto"/>
      </w:pPr>
      <w:r>
        <w:continuationSeparator/>
      </w:r>
    </w:p>
  </w:footnote>
  <w:footnote w:type="continuationNotice" w:id="1">
    <w:p w14:paraId="04493D1B" w14:textId="77777777" w:rsidR="00215C6D" w:rsidRDefault="00215C6D">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shd w:val="clear" w:color="auto" w:fill="E4F2E0"/>
      <w:tblLook w:val="04A0" w:firstRow="1" w:lastRow="0" w:firstColumn="1" w:lastColumn="0" w:noHBand="0" w:noVBand="1"/>
    </w:tblPr>
    <w:tblGrid>
      <w:gridCol w:w="8720"/>
    </w:tblGrid>
    <w:tr w:rsidR="006D7A68" w14:paraId="1DF0DF4D" w14:textId="77777777" w:rsidTr="000D3C49">
      <w:tc>
        <w:tcPr>
          <w:tcW w:w="8720" w:type="dxa"/>
          <w:shd w:val="clear" w:color="auto" w:fill="E4F2E0"/>
        </w:tcPr>
        <w:p w14:paraId="5E4526DD" w14:textId="4DA5260D" w:rsidR="006D7A68" w:rsidRPr="006D7A68" w:rsidRDefault="006D7A68" w:rsidP="006D7A68">
          <w:pPr>
            <w:spacing w:before="40" w:after="40"/>
            <w:jc w:val="left"/>
            <w:rPr>
              <w:b/>
              <w:szCs w:val="20"/>
            </w:rPr>
          </w:pPr>
          <w:r w:rsidRPr="006D7A68">
            <w:rPr>
              <w:b/>
              <w:szCs w:val="20"/>
            </w:rPr>
            <w:t xml:space="preserve">Attachment 1: Product information for </w:t>
          </w:r>
          <w:proofErr w:type="spellStart"/>
          <w:r w:rsidRPr="006D7A68">
            <w:rPr>
              <w:b/>
            </w:rPr>
            <w:t>AusPAR</w:t>
          </w:r>
          <w:proofErr w:type="spellEnd"/>
          <w:r w:rsidRPr="006D7A68">
            <w:rPr>
              <w:b/>
            </w:rPr>
            <w:t xml:space="preserve"> </w:t>
          </w:r>
          <w:proofErr w:type="spellStart"/>
          <w:r w:rsidRPr="006D7A68">
            <w:rPr>
              <w:b/>
            </w:rPr>
            <w:t>Renflexis</w:t>
          </w:r>
          <w:proofErr w:type="spellEnd"/>
          <w:r w:rsidRPr="006D7A68">
            <w:rPr>
              <w:b/>
            </w:rPr>
            <w:t xml:space="preserve"> infliximab Samsung </w:t>
          </w:r>
          <w:proofErr w:type="spellStart"/>
          <w:r w:rsidRPr="006D7A68">
            <w:rPr>
              <w:b/>
            </w:rPr>
            <w:t>Bioepis</w:t>
          </w:r>
          <w:proofErr w:type="spellEnd"/>
          <w:r w:rsidRPr="006D7A68">
            <w:rPr>
              <w:b/>
            </w:rPr>
            <w:t xml:space="preserve"> AU Pty Ltd PM-2015-02764-1-3</w:t>
          </w:r>
          <w:r w:rsidRPr="006D7A68">
            <w:rPr>
              <w:b/>
            </w:rPr>
            <w:t xml:space="preserve"> </w:t>
          </w:r>
          <w:r w:rsidRPr="006D7A68">
            <w:rPr>
              <w:b/>
            </w:rPr>
            <w:t>Final 12 October 2017</w:t>
          </w:r>
          <w:r w:rsidRPr="006D7A68">
            <w:rPr>
              <w:b/>
            </w:rPr>
            <w:t xml:space="preserve">. </w:t>
          </w:r>
          <w:r w:rsidRPr="006D7A68">
            <w:rPr>
              <w:b/>
              <w:szCs w:val="20"/>
            </w:rPr>
            <w:t xml:space="preserve">This Product Information was approved at the time this </w:t>
          </w:r>
          <w:proofErr w:type="spellStart"/>
          <w:r w:rsidRPr="006D7A68">
            <w:rPr>
              <w:b/>
              <w:szCs w:val="20"/>
            </w:rPr>
            <w:t>AusPAR</w:t>
          </w:r>
          <w:proofErr w:type="spellEnd"/>
          <w:r w:rsidRPr="006D7A68">
            <w:rPr>
              <w:b/>
              <w:szCs w:val="20"/>
            </w:rPr>
            <w:t xml:space="preserve"> was published.</w:t>
          </w:r>
        </w:p>
      </w:tc>
    </w:tr>
  </w:tbl>
  <w:p w14:paraId="35241B41" w14:textId="77777777" w:rsidR="006D7A68" w:rsidRDefault="006D7A68" w:rsidP="001A04E1">
    <w:pPr>
      <w:pStyle w:val="Header"/>
      <w:spacing w:after="0"/>
      <w:rPr>
        <w:rFonts w:ascii="Times New Roman" w:hAnsi="Times New Roman" w:cs="Times New Roman"/>
        <w:i/>
      </w:rPr>
    </w:pPr>
  </w:p>
  <w:p w14:paraId="6FFC9048" w14:textId="77777777" w:rsidR="00501F29" w:rsidRPr="001A04E1" w:rsidRDefault="00501F29" w:rsidP="001A04E1">
    <w:pPr>
      <w:pStyle w:val="Header"/>
      <w:spacing w:after="0"/>
      <w:rPr>
        <w:rFonts w:ascii="Times New Roman" w:hAnsi="Times New Roman" w:cs="Times New Roman"/>
        <w:i/>
      </w:rPr>
    </w:pPr>
    <w:r w:rsidRPr="001A04E1">
      <w:rPr>
        <w:rFonts w:ascii="Times New Roman" w:hAnsi="Times New Roman" w:cs="Times New Roman"/>
        <w:i/>
      </w:rPr>
      <w:t xml:space="preserve">Product Information </w:t>
    </w:r>
  </w:p>
  <w:p w14:paraId="655CBCF7" w14:textId="638D0C77" w:rsidR="00501F29" w:rsidRPr="006D7A68" w:rsidRDefault="00501F29" w:rsidP="006D7A68">
    <w:pPr>
      <w:pStyle w:val="Header"/>
      <w:spacing w:after="0"/>
      <w:rPr>
        <w:rFonts w:ascii="Times New Roman" w:hAnsi="Times New Roman" w:cs="Times New Roman"/>
        <w:i/>
      </w:rPr>
    </w:pPr>
    <w:r>
      <w:rPr>
        <w:rFonts w:ascii="Times New Roman" w:hAnsi="Times New Roman" w:cs="Times New Roman" w:hint="eastAsia"/>
        <w:i/>
      </w:rPr>
      <w:t>RENFLEXIS</w:t>
    </w:r>
    <w:r w:rsidRPr="00FD17E4">
      <w:rPr>
        <w:rFonts w:ascii="Times New Roman" w:hAnsi="Times New Roman" w:cs="Times New Roman"/>
        <w:i/>
        <w:vertAlign w:val="superscript"/>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D0692"/>
    <w:multiLevelType w:val="hybridMultilevel"/>
    <w:tmpl w:val="58D2FDE6"/>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nsid w:val="0AC55C11"/>
    <w:multiLevelType w:val="hybridMultilevel"/>
    <w:tmpl w:val="5DC4BD6E"/>
    <w:lvl w:ilvl="0" w:tplc="04090001">
      <w:start w:val="1"/>
      <w:numFmt w:val="bullet"/>
      <w:lvlText w:val=""/>
      <w:lvlJc w:val="left"/>
      <w:pPr>
        <w:ind w:left="360" w:hanging="36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2">
    <w:nsid w:val="0D977B83"/>
    <w:multiLevelType w:val="hybridMultilevel"/>
    <w:tmpl w:val="4E5A4DEE"/>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nsid w:val="14AB1D41"/>
    <w:multiLevelType w:val="hybridMultilevel"/>
    <w:tmpl w:val="E99224AC"/>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nsid w:val="168F13E9"/>
    <w:multiLevelType w:val="multilevel"/>
    <w:tmpl w:val="DA360B98"/>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5">
    <w:nsid w:val="21E206DA"/>
    <w:multiLevelType w:val="hybridMultilevel"/>
    <w:tmpl w:val="506490E8"/>
    <w:lvl w:ilvl="0" w:tplc="7CEE2AC0">
      <w:numFmt w:val="bullet"/>
      <w:lvlText w:val=""/>
      <w:lvlJc w:val="left"/>
      <w:pPr>
        <w:ind w:left="760" w:hanging="360"/>
      </w:pPr>
      <w:rPr>
        <w:rFonts w:ascii="Wingdings" w:eastAsiaTheme="minorEastAsia" w:hAnsi="Wingdings" w:cstheme="minorBidi"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nsid w:val="23105C37"/>
    <w:multiLevelType w:val="hybridMultilevel"/>
    <w:tmpl w:val="C7F6D03A"/>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nsid w:val="257543D5"/>
    <w:multiLevelType w:val="hybridMultilevel"/>
    <w:tmpl w:val="B6DCCA8A"/>
    <w:lvl w:ilvl="0" w:tplc="84D45874">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8">
    <w:nsid w:val="335801F9"/>
    <w:multiLevelType w:val="hybridMultilevel"/>
    <w:tmpl w:val="A8905056"/>
    <w:lvl w:ilvl="0" w:tplc="7832A0CE">
      <w:start w:val="4"/>
      <w:numFmt w:val="bullet"/>
      <w:lvlText w:val=""/>
      <w:lvlJc w:val="left"/>
      <w:pPr>
        <w:ind w:left="760" w:hanging="360"/>
      </w:pPr>
      <w:rPr>
        <w:rFonts w:ascii="Wingdings" w:eastAsiaTheme="minorEastAsia" w:hAnsi="Wingdings" w:cstheme="minorBidi"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nsid w:val="365D441E"/>
    <w:multiLevelType w:val="hybridMultilevel"/>
    <w:tmpl w:val="FC5CF270"/>
    <w:lvl w:ilvl="0" w:tplc="0409000F">
      <w:start w:val="1"/>
      <w:numFmt w:val="decimal"/>
      <w:lvlText w:val="%1."/>
      <w:lvlJc w:val="left"/>
      <w:pPr>
        <w:ind w:left="400" w:hanging="400"/>
      </w:p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10">
    <w:nsid w:val="3C024614"/>
    <w:multiLevelType w:val="hybridMultilevel"/>
    <w:tmpl w:val="9A36AC16"/>
    <w:lvl w:ilvl="0" w:tplc="6478DE60">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1">
    <w:nsid w:val="4D00387B"/>
    <w:multiLevelType w:val="hybridMultilevel"/>
    <w:tmpl w:val="D14265DE"/>
    <w:lvl w:ilvl="0" w:tplc="6C00AB1C">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2">
    <w:nsid w:val="51951586"/>
    <w:multiLevelType w:val="hybridMultilevel"/>
    <w:tmpl w:val="3FA4FD92"/>
    <w:lvl w:ilvl="0" w:tplc="184469CC">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3">
    <w:nsid w:val="60167F49"/>
    <w:multiLevelType w:val="hybridMultilevel"/>
    <w:tmpl w:val="BA70E7BE"/>
    <w:lvl w:ilvl="0" w:tplc="64F20092">
      <w:numFmt w:val="bullet"/>
      <w:lvlText w:val="•"/>
      <w:lvlJc w:val="left"/>
      <w:pPr>
        <w:ind w:left="800" w:hanging="40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nsid w:val="61A36E98"/>
    <w:multiLevelType w:val="hybridMultilevel"/>
    <w:tmpl w:val="76BA4424"/>
    <w:lvl w:ilvl="0" w:tplc="F77C180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5">
    <w:nsid w:val="640E272E"/>
    <w:multiLevelType w:val="singleLevel"/>
    <w:tmpl w:val="78D61636"/>
    <w:lvl w:ilvl="0">
      <w:start w:val="1"/>
      <w:numFmt w:val="decimal"/>
      <w:lvlText w:val="%1."/>
      <w:legacy w:legacy="1" w:legacySpace="0" w:legacyIndent="360"/>
      <w:lvlJc w:val="left"/>
      <w:pPr>
        <w:ind w:left="360" w:hanging="360"/>
      </w:pPr>
    </w:lvl>
  </w:abstractNum>
  <w:abstractNum w:abstractNumId="16">
    <w:nsid w:val="668E15F6"/>
    <w:multiLevelType w:val="hybridMultilevel"/>
    <w:tmpl w:val="7ACC7334"/>
    <w:lvl w:ilvl="0" w:tplc="17DA7518">
      <w:numFmt w:val="bullet"/>
      <w:lvlText w:val=""/>
      <w:lvlJc w:val="left"/>
      <w:pPr>
        <w:ind w:left="720" w:hanging="360"/>
      </w:pPr>
      <w:rPr>
        <w:rFonts w:ascii="Wingdings" w:eastAsiaTheme="minorEastAsia"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68152A01"/>
    <w:multiLevelType w:val="hybridMultilevel"/>
    <w:tmpl w:val="5414F8C0"/>
    <w:lvl w:ilvl="0" w:tplc="64F20092">
      <w:numFmt w:val="bullet"/>
      <w:lvlText w:val="•"/>
      <w:lvlJc w:val="left"/>
      <w:pPr>
        <w:ind w:left="760" w:hanging="36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nsid w:val="70EC5735"/>
    <w:multiLevelType w:val="hybridMultilevel"/>
    <w:tmpl w:val="AF88608C"/>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9">
    <w:nsid w:val="72BC6B57"/>
    <w:multiLevelType w:val="hybridMultilevel"/>
    <w:tmpl w:val="B262FE74"/>
    <w:lvl w:ilvl="0" w:tplc="792A9D28">
      <w:numFmt w:val="bullet"/>
      <w:lvlText w:val=""/>
      <w:lvlJc w:val="left"/>
      <w:pPr>
        <w:ind w:left="760" w:hanging="360"/>
      </w:pPr>
      <w:rPr>
        <w:rFonts w:ascii="Wingdings" w:eastAsiaTheme="minorEastAsia" w:hAnsi="Wingdings" w:cstheme="minorBidi"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0">
    <w:nsid w:val="72C52F04"/>
    <w:multiLevelType w:val="hybridMultilevel"/>
    <w:tmpl w:val="16844C5A"/>
    <w:lvl w:ilvl="0" w:tplc="853235A4">
      <w:start w:val="1"/>
      <w:numFmt w:val="bullet"/>
      <w:lvlText w:val=""/>
      <w:lvlJc w:val="left"/>
      <w:pPr>
        <w:ind w:left="800" w:hanging="400"/>
      </w:pPr>
      <w:rPr>
        <w:rFonts w:ascii="Symbol" w:hAnsi="Symbol" w:hint="default"/>
        <w:color w:val="auto"/>
        <w:sz w:val="20"/>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1">
    <w:nsid w:val="7443793F"/>
    <w:multiLevelType w:val="hybridMultilevel"/>
    <w:tmpl w:val="7858603A"/>
    <w:lvl w:ilvl="0" w:tplc="853235A4">
      <w:start w:val="1"/>
      <w:numFmt w:val="bullet"/>
      <w:lvlText w:val=""/>
      <w:lvlJc w:val="left"/>
      <w:pPr>
        <w:ind w:left="800" w:hanging="400"/>
      </w:pPr>
      <w:rPr>
        <w:rFonts w:ascii="Symbol" w:hAnsi="Symbol" w:hint="default"/>
        <w:color w:val="auto"/>
        <w:sz w:val="20"/>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2">
    <w:nsid w:val="77CF18C7"/>
    <w:multiLevelType w:val="hybridMultilevel"/>
    <w:tmpl w:val="1D9A106C"/>
    <w:lvl w:ilvl="0" w:tplc="4536B700">
      <w:numFmt w:val="bullet"/>
      <w:lvlText w:val=""/>
      <w:lvlJc w:val="left"/>
      <w:pPr>
        <w:ind w:left="760" w:hanging="360"/>
      </w:pPr>
      <w:rPr>
        <w:rFonts w:ascii="Wingdings" w:eastAsia="Malgun Gothic" w:hAnsi="Wingdings"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3">
    <w:nsid w:val="782D159D"/>
    <w:multiLevelType w:val="hybridMultilevel"/>
    <w:tmpl w:val="D3B09B2C"/>
    <w:lvl w:ilvl="0" w:tplc="2C542146">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4">
    <w:nsid w:val="7BA40452"/>
    <w:multiLevelType w:val="hybridMultilevel"/>
    <w:tmpl w:val="DD08F694"/>
    <w:lvl w:ilvl="0" w:tplc="E6EEFC90">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abstractNumId w:val="3"/>
  </w:num>
  <w:num w:numId="2">
    <w:abstractNumId w:val="1"/>
  </w:num>
  <w:num w:numId="3">
    <w:abstractNumId w:val="9"/>
  </w:num>
  <w:num w:numId="4">
    <w:abstractNumId w:val="18"/>
  </w:num>
  <w:num w:numId="5">
    <w:abstractNumId w:val="2"/>
  </w:num>
  <w:num w:numId="6">
    <w:abstractNumId w:val="6"/>
  </w:num>
  <w:num w:numId="7">
    <w:abstractNumId w:val="17"/>
  </w:num>
  <w:num w:numId="8">
    <w:abstractNumId w:val="13"/>
  </w:num>
  <w:num w:numId="9">
    <w:abstractNumId w:val="15"/>
  </w:num>
  <w:num w:numId="10">
    <w:abstractNumId w:val="12"/>
  </w:num>
  <w:num w:numId="11">
    <w:abstractNumId w:val="7"/>
  </w:num>
  <w:num w:numId="12">
    <w:abstractNumId w:val="8"/>
  </w:num>
  <w:num w:numId="13">
    <w:abstractNumId w:val="0"/>
  </w:num>
  <w:num w:numId="14">
    <w:abstractNumId w:val="21"/>
  </w:num>
  <w:num w:numId="15">
    <w:abstractNumId w:val="24"/>
  </w:num>
  <w:num w:numId="16">
    <w:abstractNumId w:val="23"/>
  </w:num>
  <w:num w:numId="17">
    <w:abstractNumId w:val="5"/>
  </w:num>
  <w:num w:numId="18">
    <w:abstractNumId w:val="22"/>
  </w:num>
  <w:num w:numId="19">
    <w:abstractNumId w:val="20"/>
  </w:num>
  <w:num w:numId="20">
    <w:abstractNumId w:val="10"/>
  </w:num>
  <w:num w:numId="21">
    <w:abstractNumId w:val="14"/>
  </w:num>
  <w:num w:numId="22">
    <w:abstractNumId w:val="19"/>
  </w:num>
  <w:num w:numId="23">
    <w:abstractNumId w:val="11"/>
  </w:num>
  <w:num w:numId="24">
    <w:abstractNumId w:val="16"/>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DateAndTime/>
  <w:bordersDoNotSurroundHeader/>
  <w:bordersDoNotSurroundFooter/>
  <w:hideSpellingErrors/>
  <w:hideGrammaticalErrors/>
  <w:proofState w:spelling="clean" w:grammar="clean"/>
  <w:doNotTrackFormatting/>
  <w:defaultTabStop w:val="800"/>
  <w:displayHorizontalDrawingGridEvery w:val="0"/>
  <w:displayVerticalDrawingGridEvery w:val="2"/>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6513"/>
    <w:rsid w:val="00000481"/>
    <w:rsid w:val="00000625"/>
    <w:rsid w:val="00001417"/>
    <w:rsid w:val="00002944"/>
    <w:rsid w:val="00003579"/>
    <w:rsid w:val="00003699"/>
    <w:rsid w:val="000036A8"/>
    <w:rsid w:val="00006CA1"/>
    <w:rsid w:val="00010118"/>
    <w:rsid w:val="000113AB"/>
    <w:rsid w:val="00011860"/>
    <w:rsid w:val="00012C50"/>
    <w:rsid w:val="00014AB1"/>
    <w:rsid w:val="000170F5"/>
    <w:rsid w:val="00017465"/>
    <w:rsid w:val="000174E0"/>
    <w:rsid w:val="00017905"/>
    <w:rsid w:val="00017D55"/>
    <w:rsid w:val="000213FB"/>
    <w:rsid w:val="000215AC"/>
    <w:rsid w:val="00021EC9"/>
    <w:rsid w:val="00022F21"/>
    <w:rsid w:val="0002399C"/>
    <w:rsid w:val="00024277"/>
    <w:rsid w:val="000249C7"/>
    <w:rsid w:val="0002588C"/>
    <w:rsid w:val="00025976"/>
    <w:rsid w:val="000259E0"/>
    <w:rsid w:val="00025D0F"/>
    <w:rsid w:val="000302C3"/>
    <w:rsid w:val="000313FD"/>
    <w:rsid w:val="00031452"/>
    <w:rsid w:val="00031493"/>
    <w:rsid w:val="00031F8C"/>
    <w:rsid w:val="00032343"/>
    <w:rsid w:val="00034D7B"/>
    <w:rsid w:val="00043ECC"/>
    <w:rsid w:val="00043F37"/>
    <w:rsid w:val="000446D7"/>
    <w:rsid w:val="00050374"/>
    <w:rsid w:val="00050C65"/>
    <w:rsid w:val="00054E97"/>
    <w:rsid w:val="00055081"/>
    <w:rsid w:val="0006231A"/>
    <w:rsid w:val="0006236C"/>
    <w:rsid w:val="00063066"/>
    <w:rsid w:val="00063EA0"/>
    <w:rsid w:val="00064AD4"/>
    <w:rsid w:val="000652EA"/>
    <w:rsid w:val="000708E6"/>
    <w:rsid w:val="00070CD2"/>
    <w:rsid w:val="000711B1"/>
    <w:rsid w:val="00071308"/>
    <w:rsid w:val="00071424"/>
    <w:rsid w:val="00071E38"/>
    <w:rsid w:val="0007207B"/>
    <w:rsid w:val="000726D1"/>
    <w:rsid w:val="000742D4"/>
    <w:rsid w:val="00075A5F"/>
    <w:rsid w:val="00076CA1"/>
    <w:rsid w:val="00077836"/>
    <w:rsid w:val="00077E7E"/>
    <w:rsid w:val="00080BDD"/>
    <w:rsid w:val="00081086"/>
    <w:rsid w:val="00081C83"/>
    <w:rsid w:val="00082D1E"/>
    <w:rsid w:val="00083FA5"/>
    <w:rsid w:val="0008419E"/>
    <w:rsid w:val="0008487F"/>
    <w:rsid w:val="0008525B"/>
    <w:rsid w:val="0008612C"/>
    <w:rsid w:val="000869DF"/>
    <w:rsid w:val="00086BC0"/>
    <w:rsid w:val="00087099"/>
    <w:rsid w:val="00090142"/>
    <w:rsid w:val="000904A0"/>
    <w:rsid w:val="00090F6A"/>
    <w:rsid w:val="000911AC"/>
    <w:rsid w:val="0009149E"/>
    <w:rsid w:val="000920A9"/>
    <w:rsid w:val="000927C7"/>
    <w:rsid w:val="00092E77"/>
    <w:rsid w:val="000932AB"/>
    <w:rsid w:val="00093A83"/>
    <w:rsid w:val="00093C01"/>
    <w:rsid w:val="00095B76"/>
    <w:rsid w:val="00095CE8"/>
    <w:rsid w:val="0009767B"/>
    <w:rsid w:val="00097B45"/>
    <w:rsid w:val="000A030B"/>
    <w:rsid w:val="000A086B"/>
    <w:rsid w:val="000A1CD5"/>
    <w:rsid w:val="000A2371"/>
    <w:rsid w:val="000A2CAD"/>
    <w:rsid w:val="000A31AB"/>
    <w:rsid w:val="000A3F05"/>
    <w:rsid w:val="000A4CF0"/>
    <w:rsid w:val="000A4E17"/>
    <w:rsid w:val="000A501B"/>
    <w:rsid w:val="000B083B"/>
    <w:rsid w:val="000B18A4"/>
    <w:rsid w:val="000B2E4A"/>
    <w:rsid w:val="000B324F"/>
    <w:rsid w:val="000B3424"/>
    <w:rsid w:val="000B3D8D"/>
    <w:rsid w:val="000B51FE"/>
    <w:rsid w:val="000B655E"/>
    <w:rsid w:val="000B6B5A"/>
    <w:rsid w:val="000B71E0"/>
    <w:rsid w:val="000C04AC"/>
    <w:rsid w:val="000C0B19"/>
    <w:rsid w:val="000C1313"/>
    <w:rsid w:val="000C15C0"/>
    <w:rsid w:val="000C1D98"/>
    <w:rsid w:val="000C2234"/>
    <w:rsid w:val="000C2503"/>
    <w:rsid w:val="000C2509"/>
    <w:rsid w:val="000C2BCA"/>
    <w:rsid w:val="000C372D"/>
    <w:rsid w:val="000C3C31"/>
    <w:rsid w:val="000C3DB2"/>
    <w:rsid w:val="000C54A2"/>
    <w:rsid w:val="000C54C4"/>
    <w:rsid w:val="000C5C3A"/>
    <w:rsid w:val="000C6C6C"/>
    <w:rsid w:val="000C7188"/>
    <w:rsid w:val="000C75FE"/>
    <w:rsid w:val="000C7719"/>
    <w:rsid w:val="000D15ED"/>
    <w:rsid w:val="000D1C73"/>
    <w:rsid w:val="000D2CE3"/>
    <w:rsid w:val="000D3A27"/>
    <w:rsid w:val="000D6DDE"/>
    <w:rsid w:val="000E12EB"/>
    <w:rsid w:val="000E1842"/>
    <w:rsid w:val="000E5155"/>
    <w:rsid w:val="000E5B64"/>
    <w:rsid w:val="000E5D51"/>
    <w:rsid w:val="000E6CAE"/>
    <w:rsid w:val="000F1FCF"/>
    <w:rsid w:val="000F2B5C"/>
    <w:rsid w:val="000F3046"/>
    <w:rsid w:val="000F3BA3"/>
    <w:rsid w:val="000F3F03"/>
    <w:rsid w:val="000F4FF9"/>
    <w:rsid w:val="000F5FF5"/>
    <w:rsid w:val="000F65C6"/>
    <w:rsid w:val="000F72AA"/>
    <w:rsid w:val="000F768F"/>
    <w:rsid w:val="000F79E0"/>
    <w:rsid w:val="001005D5"/>
    <w:rsid w:val="001019D4"/>
    <w:rsid w:val="001019F5"/>
    <w:rsid w:val="0010234A"/>
    <w:rsid w:val="00104385"/>
    <w:rsid w:val="00105234"/>
    <w:rsid w:val="001056E5"/>
    <w:rsid w:val="0010592E"/>
    <w:rsid w:val="00105EEF"/>
    <w:rsid w:val="00106927"/>
    <w:rsid w:val="001071B9"/>
    <w:rsid w:val="001105BC"/>
    <w:rsid w:val="00111DD6"/>
    <w:rsid w:val="0011247A"/>
    <w:rsid w:val="0011341F"/>
    <w:rsid w:val="001135F8"/>
    <w:rsid w:val="00114AF0"/>
    <w:rsid w:val="00115914"/>
    <w:rsid w:val="0011665F"/>
    <w:rsid w:val="00117C52"/>
    <w:rsid w:val="0012077A"/>
    <w:rsid w:val="00120792"/>
    <w:rsid w:val="001222CD"/>
    <w:rsid w:val="00123C69"/>
    <w:rsid w:val="00125B65"/>
    <w:rsid w:val="00126406"/>
    <w:rsid w:val="00126590"/>
    <w:rsid w:val="00127341"/>
    <w:rsid w:val="00127506"/>
    <w:rsid w:val="0012757C"/>
    <w:rsid w:val="00127F0E"/>
    <w:rsid w:val="001307E2"/>
    <w:rsid w:val="00132532"/>
    <w:rsid w:val="00132DF5"/>
    <w:rsid w:val="00133385"/>
    <w:rsid w:val="0013458E"/>
    <w:rsid w:val="00134772"/>
    <w:rsid w:val="00135569"/>
    <w:rsid w:val="00135978"/>
    <w:rsid w:val="00137809"/>
    <w:rsid w:val="0013796B"/>
    <w:rsid w:val="001405CA"/>
    <w:rsid w:val="001413D6"/>
    <w:rsid w:val="00141A75"/>
    <w:rsid w:val="00142739"/>
    <w:rsid w:val="00143EBC"/>
    <w:rsid w:val="00146E68"/>
    <w:rsid w:val="001507B8"/>
    <w:rsid w:val="00151817"/>
    <w:rsid w:val="001522CE"/>
    <w:rsid w:val="00152F18"/>
    <w:rsid w:val="001546C2"/>
    <w:rsid w:val="001551C0"/>
    <w:rsid w:val="0015591A"/>
    <w:rsid w:val="00156447"/>
    <w:rsid w:val="00160472"/>
    <w:rsid w:val="0016066B"/>
    <w:rsid w:val="00161F3E"/>
    <w:rsid w:val="00162EB8"/>
    <w:rsid w:val="0016341E"/>
    <w:rsid w:val="001638E0"/>
    <w:rsid w:val="001663EA"/>
    <w:rsid w:val="001663EB"/>
    <w:rsid w:val="0016660C"/>
    <w:rsid w:val="001668B0"/>
    <w:rsid w:val="00167826"/>
    <w:rsid w:val="00170972"/>
    <w:rsid w:val="00174769"/>
    <w:rsid w:val="00174778"/>
    <w:rsid w:val="00174B7C"/>
    <w:rsid w:val="00175191"/>
    <w:rsid w:val="00175208"/>
    <w:rsid w:val="00175DBF"/>
    <w:rsid w:val="0018084D"/>
    <w:rsid w:val="00182C6E"/>
    <w:rsid w:val="0018457F"/>
    <w:rsid w:val="00185190"/>
    <w:rsid w:val="00186DED"/>
    <w:rsid w:val="00187372"/>
    <w:rsid w:val="00192CE0"/>
    <w:rsid w:val="001938DA"/>
    <w:rsid w:val="00194107"/>
    <w:rsid w:val="00194254"/>
    <w:rsid w:val="00194E4A"/>
    <w:rsid w:val="00197368"/>
    <w:rsid w:val="00197C14"/>
    <w:rsid w:val="00197E1C"/>
    <w:rsid w:val="001A04E1"/>
    <w:rsid w:val="001A08C8"/>
    <w:rsid w:val="001A0EBA"/>
    <w:rsid w:val="001A2CEB"/>
    <w:rsid w:val="001A464B"/>
    <w:rsid w:val="001A6F1B"/>
    <w:rsid w:val="001A7823"/>
    <w:rsid w:val="001A78C7"/>
    <w:rsid w:val="001B01DB"/>
    <w:rsid w:val="001B0A9D"/>
    <w:rsid w:val="001B187A"/>
    <w:rsid w:val="001B22BD"/>
    <w:rsid w:val="001B2F5D"/>
    <w:rsid w:val="001B3561"/>
    <w:rsid w:val="001B3FC2"/>
    <w:rsid w:val="001B4856"/>
    <w:rsid w:val="001B659E"/>
    <w:rsid w:val="001B7320"/>
    <w:rsid w:val="001B7C07"/>
    <w:rsid w:val="001C01BE"/>
    <w:rsid w:val="001C1286"/>
    <w:rsid w:val="001C290F"/>
    <w:rsid w:val="001C3B6B"/>
    <w:rsid w:val="001C43C4"/>
    <w:rsid w:val="001C4E18"/>
    <w:rsid w:val="001C55B6"/>
    <w:rsid w:val="001C7EE0"/>
    <w:rsid w:val="001D1ABF"/>
    <w:rsid w:val="001D26F3"/>
    <w:rsid w:val="001D28CE"/>
    <w:rsid w:val="001D2AA2"/>
    <w:rsid w:val="001D3172"/>
    <w:rsid w:val="001D543B"/>
    <w:rsid w:val="001D5E09"/>
    <w:rsid w:val="001D62BE"/>
    <w:rsid w:val="001D6F69"/>
    <w:rsid w:val="001D6FCC"/>
    <w:rsid w:val="001D7865"/>
    <w:rsid w:val="001D7CCA"/>
    <w:rsid w:val="001E04BE"/>
    <w:rsid w:val="001E0B9B"/>
    <w:rsid w:val="001E0F00"/>
    <w:rsid w:val="001E2333"/>
    <w:rsid w:val="001E26B8"/>
    <w:rsid w:val="001E2A70"/>
    <w:rsid w:val="001E38B0"/>
    <w:rsid w:val="001E47B0"/>
    <w:rsid w:val="001E50DB"/>
    <w:rsid w:val="001E5DBA"/>
    <w:rsid w:val="001E713C"/>
    <w:rsid w:val="001F0A8C"/>
    <w:rsid w:val="001F10F6"/>
    <w:rsid w:val="001F1B01"/>
    <w:rsid w:val="001F1BBB"/>
    <w:rsid w:val="001F1C8D"/>
    <w:rsid w:val="001F2977"/>
    <w:rsid w:val="001F299A"/>
    <w:rsid w:val="001F29CE"/>
    <w:rsid w:val="001F3538"/>
    <w:rsid w:val="001F361A"/>
    <w:rsid w:val="001F4B14"/>
    <w:rsid w:val="001F63AB"/>
    <w:rsid w:val="001F6C54"/>
    <w:rsid w:val="001F736D"/>
    <w:rsid w:val="001F77AC"/>
    <w:rsid w:val="0020031A"/>
    <w:rsid w:val="00200E8C"/>
    <w:rsid w:val="00205851"/>
    <w:rsid w:val="00206221"/>
    <w:rsid w:val="0020696A"/>
    <w:rsid w:val="00210F5F"/>
    <w:rsid w:val="00211FFC"/>
    <w:rsid w:val="002148F9"/>
    <w:rsid w:val="00214B3C"/>
    <w:rsid w:val="00214B4C"/>
    <w:rsid w:val="00215C6D"/>
    <w:rsid w:val="0021709C"/>
    <w:rsid w:val="002173B8"/>
    <w:rsid w:val="00217827"/>
    <w:rsid w:val="0021782C"/>
    <w:rsid w:val="002201FF"/>
    <w:rsid w:val="00220F99"/>
    <w:rsid w:val="002220E0"/>
    <w:rsid w:val="00222389"/>
    <w:rsid w:val="00223070"/>
    <w:rsid w:val="0022376A"/>
    <w:rsid w:val="00224350"/>
    <w:rsid w:val="00224D83"/>
    <w:rsid w:val="00225400"/>
    <w:rsid w:val="00225818"/>
    <w:rsid w:val="0022779F"/>
    <w:rsid w:val="00227E72"/>
    <w:rsid w:val="00230410"/>
    <w:rsid w:val="00231555"/>
    <w:rsid w:val="002320F5"/>
    <w:rsid w:val="00232C58"/>
    <w:rsid w:val="00233599"/>
    <w:rsid w:val="00234DD5"/>
    <w:rsid w:val="00237627"/>
    <w:rsid w:val="002409EC"/>
    <w:rsid w:val="00240DE1"/>
    <w:rsid w:val="00240EB0"/>
    <w:rsid w:val="0024265C"/>
    <w:rsid w:val="0024279F"/>
    <w:rsid w:val="0024281F"/>
    <w:rsid w:val="002433BF"/>
    <w:rsid w:val="00243CF8"/>
    <w:rsid w:val="002444AF"/>
    <w:rsid w:val="0024458E"/>
    <w:rsid w:val="00245BB2"/>
    <w:rsid w:val="00251F00"/>
    <w:rsid w:val="00252276"/>
    <w:rsid w:val="002522CC"/>
    <w:rsid w:val="00253061"/>
    <w:rsid w:val="0025355B"/>
    <w:rsid w:val="002540F7"/>
    <w:rsid w:val="0025412E"/>
    <w:rsid w:val="0025564D"/>
    <w:rsid w:val="0025669D"/>
    <w:rsid w:val="00256ABE"/>
    <w:rsid w:val="0025794E"/>
    <w:rsid w:val="002579D4"/>
    <w:rsid w:val="00257F39"/>
    <w:rsid w:val="00260C86"/>
    <w:rsid w:val="00262615"/>
    <w:rsid w:val="00262FC7"/>
    <w:rsid w:val="002638DB"/>
    <w:rsid w:val="00265021"/>
    <w:rsid w:val="00267FF5"/>
    <w:rsid w:val="002702C2"/>
    <w:rsid w:val="00271035"/>
    <w:rsid w:val="002713B1"/>
    <w:rsid w:val="00271983"/>
    <w:rsid w:val="00273CE2"/>
    <w:rsid w:val="00273D85"/>
    <w:rsid w:val="00274251"/>
    <w:rsid w:val="0027545B"/>
    <w:rsid w:val="00275A62"/>
    <w:rsid w:val="0027649C"/>
    <w:rsid w:val="00280400"/>
    <w:rsid w:val="002812C9"/>
    <w:rsid w:val="00282189"/>
    <w:rsid w:val="00282317"/>
    <w:rsid w:val="0028244A"/>
    <w:rsid w:val="0028392F"/>
    <w:rsid w:val="00284A7C"/>
    <w:rsid w:val="002850CF"/>
    <w:rsid w:val="00285478"/>
    <w:rsid w:val="002858E2"/>
    <w:rsid w:val="00285FD4"/>
    <w:rsid w:val="00286CB0"/>
    <w:rsid w:val="002874E7"/>
    <w:rsid w:val="0029264D"/>
    <w:rsid w:val="00292978"/>
    <w:rsid w:val="00292B8F"/>
    <w:rsid w:val="0029392F"/>
    <w:rsid w:val="0029493E"/>
    <w:rsid w:val="00296087"/>
    <w:rsid w:val="0029636B"/>
    <w:rsid w:val="00296EE0"/>
    <w:rsid w:val="002A10EB"/>
    <w:rsid w:val="002A35E7"/>
    <w:rsid w:val="002A43B0"/>
    <w:rsid w:val="002A4C17"/>
    <w:rsid w:val="002A4D6E"/>
    <w:rsid w:val="002A60D2"/>
    <w:rsid w:val="002A6BD1"/>
    <w:rsid w:val="002B00C3"/>
    <w:rsid w:val="002B09C4"/>
    <w:rsid w:val="002B1C39"/>
    <w:rsid w:val="002B3759"/>
    <w:rsid w:val="002B3987"/>
    <w:rsid w:val="002B65A6"/>
    <w:rsid w:val="002B66A5"/>
    <w:rsid w:val="002B69CA"/>
    <w:rsid w:val="002B7C97"/>
    <w:rsid w:val="002B7D5B"/>
    <w:rsid w:val="002C07D7"/>
    <w:rsid w:val="002C0B91"/>
    <w:rsid w:val="002C1223"/>
    <w:rsid w:val="002C1FFC"/>
    <w:rsid w:val="002C2DDA"/>
    <w:rsid w:val="002C3C60"/>
    <w:rsid w:val="002C5CC8"/>
    <w:rsid w:val="002C6CCB"/>
    <w:rsid w:val="002D011B"/>
    <w:rsid w:val="002D07D5"/>
    <w:rsid w:val="002D1820"/>
    <w:rsid w:val="002D22ED"/>
    <w:rsid w:val="002D3BC2"/>
    <w:rsid w:val="002D3F1F"/>
    <w:rsid w:val="002D409F"/>
    <w:rsid w:val="002D4B9C"/>
    <w:rsid w:val="002D4DAD"/>
    <w:rsid w:val="002D5211"/>
    <w:rsid w:val="002D5545"/>
    <w:rsid w:val="002D6615"/>
    <w:rsid w:val="002D6D4D"/>
    <w:rsid w:val="002D7B59"/>
    <w:rsid w:val="002E1B96"/>
    <w:rsid w:val="002E2188"/>
    <w:rsid w:val="002E271B"/>
    <w:rsid w:val="002E61DA"/>
    <w:rsid w:val="002E753E"/>
    <w:rsid w:val="002F5B9D"/>
    <w:rsid w:val="002F6655"/>
    <w:rsid w:val="002F67C6"/>
    <w:rsid w:val="002F68D5"/>
    <w:rsid w:val="002F749F"/>
    <w:rsid w:val="002F7892"/>
    <w:rsid w:val="00302648"/>
    <w:rsid w:val="00302816"/>
    <w:rsid w:val="003033AD"/>
    <w:rsid w:val="0030448E"/>
    <w:rsid w:val="00304588"/>
    <w:rsid w:val="00304EB8"/>
    <w:rsid w:val="00305D38"/>
    <w:rsid w:val="00307AFC"/>
    <w:rsid w:val="00307DFC"/>
    <w:rsid w:val="00311FF1"/>
    <w:rsid w:val="0031374E"/>
    <w:rsid w:val="0032035C"/>
    <w:rsid w:val="00321B8F"/>
    <w:rsid w:val="003238E5"/>
    <w:rsid w:val="00323B9A"/>
    <w:rsid w:val="003261E6"/>
    <w:rsid w:val="00326C90"/>
    <w:rsid w:val="00326DA2"/>
    <w:rsid w:val="00331F46"/>
    <w:rsid w:val="00335152"/>
    <w:rsid w:val="00335649"/>
    <w:rsid w:val="00335A0F"/>
    <w:rsid w:val="003363F2"/>
    <w:rsid w:val="003369B9"/>
    <w:rsid w:val="00336B87"/>
    <w:rsid w:val="00337CA9"/>
    <w:rsid w:val="0034022E"/>
    <w:rsid w:val="00341953"/>
    <w:rsid w:val="00341A79"/>
    <w:rsid w:val="00343B99"/>
    <w:rsid w:val="00343E8A"/>
    <w:rsid w:val="003455B3"/>
    <w:rsid w:val="00347BC7"/>
    <w:rsid w:val="00347F1C"/>
    <w:rsid w:val="00350312"/>
    <w:rsid w:val="00350D8A"/>
    <w:rsid w:val="00351E26"/>
    <w:rsid w:val="0035249D"/>
    <w:rsid w:val="00352808"/>
    <w:rsid w:val="003608DD"/>
    <w:rsid w:val="003614F6"/>
    <w:rsid w:val="00362FFA"/>
    <w:rsid w:val="003630A9"/>
    <w:rsid w:val="0036312C"/>
    <w:rsid w:val="00363478"/>
    <w:rsid w:val="00363C91"/>
    <w:rsid w:val="0036509C"/>
    <w:rsid w:val="00367041"/>
    <w:rsid w:val="00367E0E"/>
    <w:rsid w:val="00370C88"/>
    <w:rsid w:val="0037100D"/>
    <w:rsid w:val="00371702"/>
    <w:rsid w:val="00372055"/>
    <w:rsid w:val="00373950"/>
    <w:rsid w:val="00375D86"/>
    <w:rsid w:val="003761A3"/>
    <w:rsid w:val="00376FCE"/>
    <w:rsid w:val="00376FFB"/>
    <w:rsid w:val="0037770B"/>
    <w:rsid w:val="00377C93"/>
    <w:rsid w:val="00380F3A"/>
    <w:rsid w:val="00381435"/>
    <w:rsid w:val="003817C5"/>
    <w:rsid w:val="003818A9"/>
    <w:rsid w:val="003823C4"/>
    <w:rsid w:val="003825F9"/>
    <w:rsid w:val="00384000"/>
    <w:rsid w:val="00384180"/>
    <w:rsid w:val="00385501"/>
    <w:rsid w:val="00386103"/>
    <w:rsid w:val="003877A7"/>
    <w:rsid w:val="00387F22"/>
    <w:rsid w:val="00390273"/>
    <w:rsid w:val="003909F7"/>
    <w:rsid w:val="00390CE3"/>
    <w:rsid w:val="00390E18"/>
    <w:rsid w:val="00391FB7"/>
    <w:rsid w:val="0039250B"/>
    <w:rsid w:val="003931C9"/>
    <w:rsid w:val="00393B86"/>
    <w:rsid w:val="0039431F"/>
    <w:rsid w:val="00394B48"/>
    <w:rsid w:val="00394C1C"/>
    <w:rsid w:val="0039536B"/>
    <w:rsid w:val="00395B1B"/>
    <w:rsid w:val="00397081"/>
    <w:rsid w:val="003A20B7"/>
    <w:rsid w:val="003A4065"/>
    <w:rsid w:val="003A4949"/>
    <w:rsid w:val="003A501B"/>
    <w:rsid w:val="003A55AF"/>
    <w:rsid w:val="003A64A5"/>
    <w:rsid w:val="003B022B"/>
    <w:rsid w:val="003B10AE"/>
    <w:rsid w:val="003B20BF"/>
    <w:rsid w:val="003B2384"/>
    <w:rsid w:val="003B54F7"/>
    <w:rsid w:val="003B6DEC"/>
    <w:rsid w:val="003B7273"/>
    <w:rsid w:val="003B7FB2"/>
    <w:rsid w:val="003B7FDE"/>
    <w:rsid w:val="003C077C"/>
    <w:rsid w:val="003C07AF"/>
    <w:rsid w:val="003C0936"/>
    <w:rsid w:val="003C0F1B"/>
    <w:rsid w:val="003C21C3"/>
    <w:rsid w:val="003C30AC"/>
    <w:rsid w:val="003C40D9"/>
    <w:rsid w:val="003C414D"/>
    <w:rsid w:val="003C4C5C"/>
    <w:rsid w:val="003C66A5"/>
    <w:rsid w:val="003C6F20"/>
    <w:rsid w:val="003C7042"/>
    <w:rsid w:val="003C708E"/>
    <w:rsid w:val="003D102E"/>
    <w:rsid w:val="003D123A"/>
    <w:rsid w:val="003D1EDB"/>
    <w:rsid w:val="003D287B"/>
    <w:rsid w:val="003D3897"/>
    <w:rsid w:val="003D38CC"/>
    <w:rsid w:val="003D4526"/>
    <w:rsid w:val="003D49DD"/>
    <w:rsid w:val="003D6FB5"/>
    <w:rsid w:val="003D7775"/>
    <w:rsid w:val="003E0349"/>
    <w:rsid w:val="003E039E"/>
    <w:rsid w:val="003E0B79"/>
    <w:rsid w:val="003E2CAE"/>
    <w:rsid w:val="003E4DD7"/>
    <w:rsid w:val="003E58B9"/>
    <w:rsid w:val="003E60B8"/>
    <w:rsid w:val="003E66D6"/>
    <w:rsid w:val="003E785A"/>
    <w:rsid w:val="003F2221"/>
    <w:rsid w:val="003F2722"/>
    <w:rsid w:val="003F3312"/>
    <w:rsid w:val="0040184E"/>
    <w:rsid w:val="004045EB"/>
    <w:rsid w:val="00404AD3"/>
    <w:rsid w:val="004054B5"/>
    <w:rsid w:val="00405A62"/>
    <w:rsid w:val="00405B23"/>
    <w:rsid w:val="00405B8F"/>
    <w:rsid w:val="0040627D"/>
    <w:rsid w:val="00406B47"/>
    <w:rsid w:val="00407261"/>
    <w:rsid w:val="00410112"/>
    <w:rsid w:val="004102FD"/>
    <w:rsid w:val="00411164"/>
    <w:rsid w:val="00411168"/>
    <w:rsid w:val="004122C6"/>
    <w:rsid w:val="004163DA"/>
    <w:rsid w:val="00420882"/>
    <w:rsid w:val="00420FA4"/>
    <w:rsid w:val="004218EA"/>
    <w:rsid w:val="0042282B"/>
    <w:rsid w:val="004233CA"/>
    <w:rsid w:val="004238B1"/>
    <w:rsid w:val="00423C2D"/>
    <w:rsid w:val="00424CAF"/>
    <w:rsid w:val="00425648"/>
    <w:rsid w:val="0042569F"/>
    <w:rsid w:val="00426E80"/>
    <w:rsid w:val="00426FB9"/>
    <w:rsid w:val="00430588"/>
    <w:rsid w:val="0043133A"/>
    <w:rsid w:val="00431411"/>
    <w:rsid w:val="00431DCD"/>
    <w:rsid w:val="00431F16"/>
    <w:rsid w:val="00432AC8"/>
    <w:rsid w:val="00432BA0"/>
    <w:rsid w:val="004330DC"/>
    <w:rsid w:val="00434150"/>
    <w:rsid w:val="0043532C"/>
    <w:rsid w:val="00435ABD"/>
    <w:rsid w:val="00435F3E"/>
    <w:rsid w:val="00436454"/>
    <w:rsid w:val="00437EB0"/>
    <w:rsid w:val="004401A3"/>
    <w:rsid w:val="00440AE4"/>
    <w:rsid w:val="00440D76"/>
    <w:rsid w:val="0044148F"/>
    <w:rsid w:val="00441528"/>
    <w:rsid w:val="00441E10"/>
    <w:rsid w:val="004420D0"/>
    <w:rsid w:val="00442A47"/>
    <w:rsid w:val="0044342C"/>
    <w:rsid w:val="004435BC"/>
    <w:rsid w:val="0044367B"/>
    <w:rsid w:val="00444A86"/>
    <w:rsid w:val="00445EC9"/>
    <w:rsid w:val="004464A5"/>
    <w:rsid w:val="0044694C"/>
    <w:rsid w:val="00446CD2"/>
    <w:rsid w:val="00450B70"/>
    <w:rsid w:val="00451BBC"/>
    <w:rsid w:val="00456998"/>
    <w:rsid w:val="00456EF5"/>
    <w:rsid w:val="00457025"/>
    <w:rsid w:val="00457E03"/>
    <w:rsid w:val="0046160C"/>
    <w:rsid w:val="0046232E"/>
    <w:rsid w:val="00464D7B"/>
    <w:rsid w:val="00466E12"/>
    <w:rsid w:val="0046714F"/>
    <w:rsid w:val="0046745E"/>
    <w:rsid w:val="00470726"/>
    <w:rsid w:val="00471A18"/>
    <w:rsid w:val="00473732"/>
    <w:rsid w:val="0047462A"/>
    <w:rsid w:val="00481E86"/>
    <w:rsid w:val="00482F9D"/>
    <w:rsid w:val="00485BE4"/>
    <w:rsid w:val="00490A41"/>
    <w:rsid w:val="00490DE6"/>
    <w:rsid w:val="00490E43"/>
    <w:rsid w:val="004918A3"/>
    <w:rsid w:val="00492367"/>
    <w:rsid w:val="004934BB"/>
    <w:rsid w:val="00493921"/>
    <w:rsid w:val="00495019"/>
    <w:rsid w:val="00495EA9"/>
    <w:rsid w:val="004961FB"/>
    <w:rsid w:val="00496A80"/>
    <w:rsid w:val="004A10AE"/>
    <w:rsid w:val="004A14DD"/>
    <w:rsid w:val="004A1760"/>
    <w:rsid w:val="004A1FFA"/>
    <w:rsid w:val="004A413A"/>
    <w:rsid w:val="004A457C"/>
    <w:rsid w:val="004B17DE"/>
    <w:rsid w:val="004B2B61"/>
    <w:rsid w:val="004B4214"/>
    <w:rsid w:val="004B59B9"/>
    <w:rsid w:val="004B7D10"/>
    <w:rsid w:val="004C093F"/>
    <w:rsid w:val="004C0AF7"/>
    <w:rsid w:val="004C0B2E"/>
    <w:rsid w:val="004C0D59"/>
    <w:rsid w:val="004C1B1D"/>
    <w:rsid w:val="004C22E4"/>
    <w:rsid w:val="004C5EEA"/>
    <w:rsid w:val="004C67DC"/>
    <w:rsid w:val="004C739B"/>
    <w:rsid w:val="004C77D9"/>
    <w:rsid w:val="004C7850"/>
    <w:rsid w:val="004D242B"/>
    <w:rsid w:val="004D2C39"/>
    <w:rsid w:val="004D5C0D"/>
    <w:rsid w:val="004D6EBB"/>
    <w:rsid w:val="004D78C9"/>
    <w:rsid w:val="004E0440"/>
    <w:rsid w:val="004E1793"/>
    <w:rsid w:val="004E324B"/>
    <w:rsid w:val="004E471A"/>
    <w:rsid w:val="004E4D54"/>
    <w:rsid w:val="004E4F2A"/>
    <w:rsid w:val="004E51BF"/>
    <w:rsid w:val="004E53BA"/>
    <w:rsid w:val="004E541D"/>
    <w:rsid w:val="004E5783"/>
    <w:rsid w:val="004E6800"/>
    <w:rsid w:val="004F01E3"/>
    <w:rsid w:val="004F170E"/>
    <w:rsid w:val="004F2D8A"/>
    <w:rsid w:val="004F3F1E"/>
    <w:rsid w:val="004F4C71"/>
    <w:rsid w:val="004F5490"/>
    <w:rsid w:val="004F649F"/>
    <w:rsid w:val="004F64B1"/>
    <w:rsid w:val="004F7B5B"/>
    <w:rsid w:val="004F7C0E"/>
    <w:rsid w:val="00500A37"/>
    <w:rsid w:val="00500B42"/>
    <w:rsid w:val="00500E5A"/>
    <w:rsid w:val="00501F29"/>
    <w:rsid w:val="00502A7C"/>
    <w:rsid w:val="0050311C"/>
    <w:rsid w:val="0050493C"/>
    <w:rsid w:val="00504BB3"/>
    <w:rsid w:val="00506393"/>
    <w:rsid w:val="00507B14"/>
    <w:rsid w:val="00510EBD"/>
    <w:rsid w:val="00511247"/>
    <w:rsid w:val="00511BBA"/>
    <w:rsid w:val="00511E7D"/>
    <w:rsid w:val="0051221E"/>
    <w:rsid w:val="005133E4"/>
    <w:rsid w:val="005141A5"/>
    <w:rsid w:val="005149EA"/>
    <w:rsid w:val="00517B0B"/>
    <w:rsid w:val="00520D4C"/>
    <w:rsid w:val="0052101A"/>
    <w:rsid w:val="0052104A"/>
    <w:rsid w:val="00522BED"/>
    <w:rsid w:val="00522CE2"/>
    <w:rsid w:val="005252E9"/>
    <w:rsid w:val="0052678C"/>
    <w:rsid w:val="005278E8"/>
    <w:rsid w:val="00527D48"/>
    <w:rsid w:val="005300EE"/>
    <w:rsid w:val="005311E0"/>
    <w:rsid w:val="00531A3C"/>
    <w:rsid w:val="00533082"/>
    <w:rsid w:val="00534149"/>
    <w:rsid w:val="005357C6"/>
    <w:rsid w:val="00535C37"/>
    <w:rsid w:val="00537314"/>
    <w:rsid w:val="00546340"/>
    <w:rsid w:val="005470F4"/>
    <w:rsid w:val="0054726F"/>
    <w:rsid w:val="00551185"/>
    <w:rsid w:val="00553737"/>
    <w:rsid w:val="005562B5"/>
    <w:rsid w:val="0055648A"/>
    <w:rsid w:val="00557654"/>
    <w:rsid w:val="005578C1"/>
    <w:rsid w:val="0056042F"/>
    <w:rsid w:val="00560A92"/>
    <w:rsid w:val="005614AA"/>
    <w:rsid w:val="005616B4"/>
    <w:rsid w:val="0056178E"/>
    <w:rsid w:val="00562096"/>
    <w:rsid w:val="00562467"/>
    <w:rsid w:val="0056291A"/>
    <w:rsid w:val="0056390E"/>
    <w:rsid w:val="00565352"/>
    <w:rsid w:val="00565737"/>
    <w:rsid w:val="005660A1"/>
    <w:rsid w:val="005663B4"/>
    <w:rsid w:val="00567519"/>
    <w:rsid w:val="00567680"/>
    <w:rsid w:val="00567D04"/>
    <w:rsid w:val="00570ADE"/>
    <w:rsid w:val="00571030"/>
    <w:rsid w:val="0057112F"/>
    <w:rsid w:val="00572685"/>
    <w:rsid w:val="00574535"/>
    <w:rsid w:val="00574AFB"/>
    <w:rsid w:val="00576139"/>
    <w:rsid w:val="00576BB4"/>
    <w:rsid w:val="00576FBC"/>
    <w:rsid w:val="0057700A"/>
    <w:rsid w:val="00577C5D"/>
    <w:rsid w:val="00580EA5"/>
    <w:rsid w:val="0058245E"/>
    <w:rsid w:val="00582ACC"/>
    <w:rsid w:val="00582F89"/>
    <w:rsid w:val="00584D83"/>
    <w:rsid w:val="00584DA7"/>
    <w:rsid w:val="00585718"/>
    <w:rsid w:val="0058604C"/>
    <w:rsid w:val="005870DA"/>
    <w:rsid w:val="0058755B"/>
    <w:rsid w:val="0059022D"/>
    <w:rsid w:val="0059037E"/>
    <w:rsid w:val="00590BE3"/>
    <w:rsid w:val="0059106F"/>
    <w:rsid w:val="005914C9"/>
    <w:rsid w:val="0059470C"/>
    <w:rsid w:val="0059503D"/>
    <w:rsid w:val="00597AF1"/>
    <w:rsid w:val="005A12F3"/>
    <w:rsid w:val="005A4B0D"/>
    <w:rsid w:val="005A4EC0"/>
    <w:rsid w:val="005A5074"/>
    <w:rsid w:val="005A595B"/>
    <w:rsid w:val="005A5D77"/>
    <w:rsid w:val="005A6BF4"/>
    <w:rsid w:val="005A72B9"/>
    <w:rsid w:val="005A7F19"/>
    <w:rsid w:val="005B0747"/>
    <w:rsid w:val="005B1749"/>
    <w:rsid w:val="005B19AD"/>
    <w:rsid w:val="005B2CFD"/>
    <w:rsid w:val="005B332C"/>
    <w:rsid w:val="005B54A3"/>
    <w:rsid w:val="005B5A83"/>
    <w:rsid w:val="005B5EA3"/>
    <w:rsid w:val="005B6103"/>
    <w:rsid w:val="005B67FD"/>
    <w:rsid w:val="005B7B50"/>
    <w:rsid w:val="005C0074"/>
    <w:rsid w:val="005C08E1"/>
    <w:rsid w:val="005C171B"/>
    <w:rsid w:val="005C1731"/>
    <w:rsid w:val="005C1EDC"/>
    <w:rsid w:val="005C2BAD"/>
    <w:rsid w:val="005C43D4"/>
    <w:rsid w:val="005C652C"/>
    <w:rsid w:val="005C72AF"/>
    <w:rsid w:val="005C75C9"/>
    <w:rsid w:val="005C772C"/>
    <w:rsid w:val="005D0E71"/>
    <w:rsid w:val="005D1FA0"/>
    <w:rsid w:val="005D2AC2"/>
    <w:rsid w:val="005D30E5"/>
    <w:rsid w:val="005D37A3"/>
    <w:rsid w:val="005D3F03"/>
    <w:rsid w:val="005D4C20"/>
    <w:rsid w:val="005D5C3B"/>
    <w:rsid w:val="005D71BB"/>
    <w:rsid w:val="005E01FB"/>
    <w:rsid w:val="005E2121"/>
    <w:rsid w:val="005E2F69"/>
    <w:rsid w:val="005E4164"/>
    <w:rsid w:val="005E46A2"/>
    <w:rsid w:val="005E575B"/>
    <w:rsid w:val="005E62BF"/>
    <w:rsid w:val="005E6AB0"/>
    <w:rsid w:val="005E7AEA"/>
    <w:rsid w:val="005F029C"/>
    <w:rsid w:val="005F0F5F"/>
    <w:rsid w:val="005F15F0"/>
    <w:rsid w:val="005F2283"/>
    <w:rsid w:val="005F2532"/>
    <w:rsid w:val="005F29C6"/>
    <w:rsid w:val="005F2C08"/>
    <w:rsid w:val="005F2D64"/>
    <w:rsid w:val="005F3A08"/>
    <w:rsid w:val="005F50A9"/>
    <w:rsid w:val="005F5F73"/>
    <w:rsid w:val="005F6413"/>
    <w:rsid w:val="005F64F6"/>
    <w:rsid w:val="005F778B"/>
    <w:rsid w:val="00601267"/>
    <w:rsid w:val="0060179C"/>
    <w:rsid w:val="006018A8"/>
    <w:rsid w:val="006027F6"/>
    <w:rsid w:val="006054D4"/>
    <w:rsid w:val="00606248"/>
    <w:rsid w:val="00611393"/>
    <w:rsid w:val="00611685"/>
    <w:rsid w:val="00612B6C"/>
    <w:rsid w:val="00613270"/>
    <w:rsid w:val="00614051"/>
    <w:rsid w:val="00614170"/>
    <w:rsid w:val="00615F9A"/>
    <w:rsid w:val="00616E8E"/>
    <w:rsid w:val="006201E5"/>
    <w:rsid w:val="00620B58"/>
    <w:rsid w:val="00621B89"/>
    <w:rsid w:val="0062325E"/>
    <w:rsid w:val="006235EF"/>
    <w:rsid w:val="00623C9D"/>
    <w:rsid w:val="00624EA3"/>
    <w:rsid w:val="00624F61"/>
    <w:rsid w:val="006266AC"/>
    <w:rsid w:val="00626C73"/>
    <w:rsid w:val="00627233"/>
    <w:rsid w:val="0062725E"/>
    <w:rsid w:val="006300E1"/>
    <w:rsid w:val="006323B9"/>
    <w:rsid w:val="00632715"/>
    <w:rsid w:val="00632E80"/>
    <w:rsid w:val="006361ED"/>
    <w:rsid w:val="006367F1"/>
    <w:rsid w:val="006370C7"/>
    <w:rsid w:val="006378F6"/>
    <w:rsid w:val="00640164"/>
    <w:rsid w:val="00640BA2"/>
    <w:rsid w:val="00640C9E"/>
    <w:rsid w:val="0064203B"/>
    <w:rsid w:val="0064240C"/>
    <w:rsid w:val="006424D2"/>
    <w:rsid w:val="006429A3"/>
    <w:rsid w:val="00642B42"/>
    <w:rsid w:val="00642F2C"/>
    <w:rsid w:val="0064409B"/>
    <w:rsid w:val="00645143"/>
    <w:rsid w:val="00645F6A"/>
    <w:rsid w:val="00646D19"/>
    <w:rsid w:val="00647010"/>
    <w:rsid w:val="00647552"/>
    <w:rsid w:val="00650EDE"/>
    <w:rsid w:val="00650FF0"/>
    <w:rsid w:val="00651086"/>
    <w:rsid w:val="006511A7"/>
    <w:rsid w:val="0065210B"/>
    <w:rsid w:val="00653BBD"/>
    <w:rsid w:val="00653D22"/>
    <w:rsid w:val="0065402B"/>
    <w:rsid w:val="0065408B"/>
    <w:rsid w:val="006549D5"/>
    <w:rsid w:val="00657CF9"/>
    <w:rsid w:val="00660129"/>
    <w:rsid w:val="0066039B"/>
    <w:rsid w:val="00660406"/>
    <w:rsid w:val="00661092"/>
    <w:rsid w:val="006628C0"/>
    <w:rsid w:val="00663B0D"/>
    <w:rsid w:val="00664973"/>
    <w:rsid w:val="00664C91"/>
    <w:rsid w:val="00666256"/>
    <w:rsid w:val="00670CEE"/>
    <w:rsid w:val="00670F04"/>
    <w:rsid w:val="00672B42"/>
    <w:rsid w:val="00672EDE"/>
    <w:rsid w:val="0067338C"/>
    <w:rsid w:val="00673B5A"/>
    <w:rsid w:val="00673FFE"/>
    <w:rsid w:val="006742A6"/>
    <w:rsid w:val="00674836"/>
    <w:rsid w:val="0067521F"/>
    <w:rsid w:val="00677189"/>
    <w:rsid w:val="00681BCE"/>
    <w:rsid w:val="00681D2D"/>
    <w:rsid w:val="00682171"/>
    <w:rsid w:val="00682336"/>
    <w:rsid w:val="00682A8A"/>
    <w:rsid w:val="00682AC0"/>
    <w:rsid w:val="00683889"/>
    <w:rsid w:val="006847F5"/>
    <w:rsid w:val="00684E57"/>
    <w:rsid w:val="00686620"/>
    <w:rsid w:val="006873DB"/>
    <w:rsid w:val="00687B60"/>
    <w:rsid w:val="00687DCD"/>
    <w:rsid w:val="00690761"/>
    <w:rsid w:val="00690C86"/>
    <w:rsid w:val="0069148E"/>
    <w:rsid w:val="00691ADC"/>
    <w:rsid w:val="00691C3A"/>
    <w:rsid w:val="00691C89"/>
    <w:rsid w:val="00691CEC"/>
    <w:rsid w:val="00691E65"/>
    <w:rsid w:val="0069421A"/>
    <w:rsid w:val="00695347"/>
    <w:rsid w:val="00695BD9"/>
    <w:rsid w:val="00695F07"/>
    <w:rsid w:val="00695FE3"/>
    <w:rsid w:val="00696499"/>
    <w:rsid w:val="00697C8C"/>
    <w:rsid w:val="00697D7E"/>
    <w:rsid w:val="006A0C34"/>
    <w:rsid w:val="006A1007"/>
    <w:rsid w:val="006A154E"/>
    <w:rsid w:val="006A2310"/>
    <w:rsid w:val="006A3825"/>
    <w:rsid w:val="006A3E54"/>
    <w:rsid w:val="006A4364"/>
    <w:rsid w:val="006A70C0"/>
    <w:rsid w:val="006A7559"/>
    <w:rsid w:val="006B0C90"/>
    <w:rsid w:val="006B20F5"/>
    <w:rsid w:val="006B3161"/>
    <w:rsid w:val="006B3C5C"/>
    <w:rsid w:val="006B45B6"/>
    <w:rsid w:val="006B47E7"/>
    <w:rsid w:val="006B4A39"/>
    <w:rsid w:val="006B59DD"/>
    <w:rsid w:val="006B5CDE"/>
    <w:rsid w:val="006B637C"/>
    <w:rsid w:val="006B6710"/>
    <w:rsid w:val="006C0844"/>
    <w:rsid w:val="006C1ED7"/>
    <w:rsid w:val="006C20A8"/>
    <w:rsid w:val="006C40B9"/>
    <w:rsid w:val="006C4F00"/>
    <w:rsid w:val="006C5E6E"/>
    <w:rsid w:val="006C6513"/>
    <w:rsid w:val="006C7B82"/>
    <w:rsid w:val="006D0020"/>
    <w:rsid w:val="006D23A1"/>
    <w:rsid w:val="006D23D1"/>
    <w:rsid w:val="006D37D5"/>
    <w:rsid w:val="006D5EC1"/>
    <w:rsid w:val="006D6EBF"/>
    <w:rsid w:val="006D7243"/>
    <w:rsid w:val="006D750E"/>
    <w:rsid w:val="006D795E"/>
    <w:rsid w:val="006D7A3E"/>
    <w:rsid w:val="006D7A68"/>
    <w:rsid w:val="006E128B"/>
    <w:rsid w:val="006E18B3"/>
    <w:rsid w:val="006E18E8"/>
    <w:rsid w:val="006E274A"/>
    <w:rsid w:val="006E2E16"/>
    <w:rsid w:val="006E378F"/>
    <w:rsid w:val="006E3AB1"/>
    <w:rsid w:val="006E4113"/>
    <w:rsid w:val="006E544D"/>
    <w:rsid w:val="006E5A5C"/>
    <w:rsid w:val="006E6263"/>
    <w:rsid w:val="006E75E1"/>
    <w:rsid w:val="006F1B3F"/>
    <w:rsid w:val="006F389C"/>
    <w:rsid w:val="006F3A7D"/>
    <w:rsid w:val="006F4507"/>
    <w:rsid w:val="006F68AA"/>
    <w:rsid w:val="00703AA1"/>
    <w:rsid w:val="00706FC8"/>
    <w:rsid w:val="00706FF7"/>
    <w:rsid w:val="0071064C"/>
    <w:rsid w:val="007114FF"/>
    <w:rsid w:val="00711E95"/>
    <w:rsid w:val="007120A9"/>
    <w:rsid w:val="00712A4F"/>
    <w:rsid w:val="0071365C"/>
    <w:rsid w:val="00714526"/>
    <w:rsid w:val="0071533C"/>
    <w:rsid w:val="00716164"/>
    <w:rsid w:val="00716C9C"/>
    <w:rsid w:val="007171E0"/>
    <w:rsid w:val="007211ED"/>
    <w:rsid w:val="007214E5"/>
    <w:rsid w:val="00721A0F"/>
    <w:rsid w:val="00722D89"/>
    <w:rsid w:val="00723765"/>
    <w:rsid w:val="00724BF2"/>
    <w:rsid w:val="00724C42"/>
    <w:rsid w:val="00725547"/>
    <w:rsid w:val="00727BE1"/>
    <w:rsid w:val="007301F2"/>
    <w:rsid w:val="00730EC6"/>
    <w:rsid w:val="007316B8"/>
    <w:rsid w:val="00731DF9"/>
    <w:rsid w:val="0073254C"/>
    <w:rsid w:val="00732E06"/>
    <w:rsid w:val="00732EF0"/>
    <w:rsid w:val="007334A8"/>
    <w:rsid w:val="007337E7"/>
    <w:rsid w:val="007338A2"/>
    <w:rsid w:val="00734C73"/>
    <w:rsid w:val="00734DE5"/>
    <w:rsid w:val="00734E57"/>
    <w:rsid w:val="0073653D"/>
    <w:rsid w:val="00736B12"/>
    <w:rsid w:val="00736E17"/>
    <w:rsid w:val="0073746F"/>
    <w:rsid w:val="00742DC1"/>
    <w:rsid w:val="00742E70"/>
    <w:rsid w:val="00745A57"/>
    <w:rsid w:val="007514E9"/>
    <w:rsid w:val="00753B38"/>
    <w:rsid w:val="00754114"/>
    <w:rsid w:val="007548D5"/>
    <w:rsid w:val="00756F99"/>
    <w:rsid w:val="00756FBF"/>
    <w:rsid w:val="00757C16"/>
    <w:rsid w:val="00760595"/>
    <w:rsid w:val="0076072A"/>
    <w:rsid w:val="00760FDF"/>
    <w:rsid w:val="00761ECA"/>
    <w:rsid w:val="00764727"/>
    <w:rsid w:val="0076484E"/>
    <w:rsid w:val="007655C7"/>
    <w:rsid w:val="00765C0B"/>
    <w:rsid w:val="00767CAE"/>
    <w:rsid w:val="00770813"/>
    <w:rsid w:val="00770B9C"/>
    <w:rsid w:val="00771AA8"/>
    <w:rsid w:val="0077214E"/>
    <w:rsid w:val="007732A7"/>
    <w:rsid w:val="0077330B"/>
    <w:rsid w:val="0077384C"/>
    <w:rsid w:val="00773E14"/>
    <w:rsid w:val="00774DBC"/>
    <w:rsid w:val="0077555B"/>
    <w:rsid w:val="00776172"/>
    <w:rsid w:val="007812F1"/>
    <w:rsid w:val="007814FB"/>
    <w:rsid w:val="00781B4A"/>
    <w:rsid w:val="00782089"/>
    <w:rsid w:val="007825E9"/>
    <w:rsid w:val="00782BDD"/>
    <w:rsid w:val="00782E47"/>
    <w:rsid w:val="007835EC"/>
    <w:rsid w:val="00783BFF"/>
    <w:rsid w:val="00784586"/>
    <w:rsid w:val="00785055"/>
    <w:rsid w:val="0078606A"/>
    <w:rsid w:val="0079100A"/>
    <w:rsid w:val="007913EC"/>
    <w:rsid w:val="007924F9"/>
    <w:rsid w:val="0079353E"/>
    <w:rsid w:val="0079435B"/>
    <w:rsid w:val="007947DB"/>
    <w:rsid w:val="00795153"/>
    <w:rsid w:val="007A12E4"/>
    <w:rsid w:val="007A218F"/>
    <w:rsid w:val="007A2CEF"/>
    <w:rsid w:val="007A2F24"/>
    <w:rsid w:val="007A470E"/>
    <w:rsid w:val="007A62D0"/>
    <w:rsid w:val="007A7244"/>
    <w:rsid w:val="007B2DB4"/>
    <w:rsid w:val="007B3262"/>
    <w:rsid w:val="007B4D05"/>
    <w:rsid w:val="007B4F16"/>
    <w:rsid w:val="007B553E"/>
    <w:rsid w:val="007B64D2"/>
    <w:rsid w:val="007B67B7"/>
    <w:rsid w:val="007B73A1"/>
    <w:rsid w:val="007B773C"/>
    <w:rsid w:val="007B79F0"/>
    <w:rsid w:val="007B7FEC"/>
    <w:rsid w:val="007C0718"/>
    <w:rsid w:val="007C0D70"/>
    <w:rsid w:val="007C0FE5"/>
    <w:rsid w:val="007C146C"/>
    <w:rsid w:val="007C3608"/>
    <w:rsid w:val="007C3BED"/>
    <w:rsid w:val="007C488F"/>
    <w:rsid w:val="007C59AE"/>
    <w:rsid w:val="007C5D51"/>
    <w:rsid w:val="007C6A1B"/>
    <w:rsid w:val="007C758A"/>
    <w:rsid w:val="007D1209"/>
    <w:rsid w:val="007D1B76"/>
    <w:rsid w:val="007D2C87"/>
    <w:rsid w:val="007D4759"/>
    <w:rsid w:val="007D55AF"/>
    <w:rsid w:val="007D61C6"/>
    <w:rsid w:val="007D6708"/>
    <w:rsid w:val="007D6EC3"/>
    <w:rsid w:val="007D71E5"/>
    <w:rsid w:val="007E004A"/>
    <w:rsid w:val="007E053F"/>
    <w:rsid w:val="007E0A38"/>
    <w:rsid w:val="007E0B37"/>
    <w:rsid w:val="007E173F"/>
    <w:rsid w:val="007E2519"/>
    <w:rsid w:val="007E26E3"/>
    <w:rsid w:val="007E2895"/>
    <w:rsid w:val="007E2EDC"/>
    <w:rsid w:val="007E40B9"/>
    <w:rsid w:val="007E5E34"/>
    <w:rsid w:val="007F2D9F"/>
    <w:rsid w:val="007F33BD"/>
    <w:rsid w:val="007F4B74"/>
    <w:rsid w:val="007F53E6"/>
    <w:rsid w:val="007F7588"/>
    <w:rsid w:val="008001D8"/>
    <w:rsid w:val="00800269"/>
    <w:rsid w:val="008018D0"/>
    <w:rsid w:val="0080260C"/>
    <w:rsid w:val="0080301C"/>
    <w:rsid w:val="00803187"/>
    <w:rsid w:val="00803974"/>
    <w:rsid w:val="00803B86"/>
    <w:rsid w:val="008046F2"/>
    <w:rsid w:val="00807336"/>
    <w:rsid w:val="0080791C"/>
    <w:rsid w:val="00807B2D"/>
    <w:rsid w:val="00810171"/>
    <w:rsid w:val="0081072C"/>
    <w:rsid w:val="00812342"/>
    <w:rsid w:val="00812E28"/>
    <w:rsid w:val="008133C2"/>
    <w:rsid w:val="008138F7"/>
    <w:rsid w:val="0081448C"/>
    <w:rsid w:val="00814491"/>
    <w:rsid w:val="00815EA1"/>
    <w:rsid w:val="0081674B"/>
    <w:rsid w:val="00817600"/>
    <w:rsid w:val="00817D14"/>
    <w:rsid w:val="00820F63"/>
    <w:rsid w:val="0082133C"/>
    <w:rsid w:val="00821971"/>
    <w:rsid w:val="00821A12"/>
    <w:rsid w:val="00821A33"/>
    <w:rsid w:val="00826259"/>
    <w:rsid w:val="0083007F"/>
    <w:rsid w:val="00832224"/>
    <w:rsid w:val="00834BFF"/>
    <w:rsid w:val="00837F1C"/>
    <w:rsid w:val="00840433"/>
    <w:rsid w:val="00841817"/>
    <w:rsid w:val="008424DE"/>
    <w:rsid w:val="00842914"/>
    <w:rsid w:val="00842ACE"/>
    <w:rsid w:val="00845575"/>
    <w:rsid w:val="00845D99"/>
    <w:rsid w:val="008461D6"/>
    <w:rsid w:val="00847110"/>
    <w:rsid w:val="0084737D"/>
    <w:rsid w:val="00847A87"/>
    <w:rsid w:val="0085020C"/>
    <w:rsid w:val="008504A4"/>
    <w:rsid w:val="008508FA"/>
    <w:rsid w:val="00853554"/>
    <w:rsid w:val="00855641"/>
    <w:rsid w:val="00856114"/>
    <w:rsid w:val="00856397"/>
    <w:rsid w:val="00856DAB"/>
    <w:rsid w:val="00860801"/>
    <w:rsid w:val="00861A83"/>
    <w:rsid w:val="00862430"/>
    <w:rsid w:val="00862440"/>
    <w:rsid w:val="00862502"/>
    <w:rsid w:val="008629A6"/>
    <w:rsid w:val="00863ADB"/>
    <w:rsid w:val="00864047"/>
    <w:rsid w:val="0086434E"/>
    <w:rsid w:val="00864A62"/>
    <w:rsid w:val="0086701A"/>
    <w:rsid w:val="00867ABE"/>
    <w:rsid w:val="00867B90"/>
    <w:rsid w:val="00870F14"/>
    <w:rsid w:val="00871FAB"/>
    <w:rsid w:val="0087346F"/>
    <w:rsid w:val="00874136"/>
    <w:rsid w:val="0087418D"/>
    <w:rsid w:val="00874645"/>
    <w:rsid w:val="00874665"/>
    <w:rsid w:val="00874B7F"/>
    <w:rsid w:val="008752CA"/>
    <w:rsid w:val="008768D8"/>
    <w:rsid w:val="008771E0"/>
    <w:rsid w:val="00877488"/>
    <w:rsid w:val="00877F5D"/>
    <w:rsid w:val="00877FD6"/>
    <w:rsid w:val="00880FB1"/>
    <w:rsid w:val="00881243"/>
    <w:rsid w:val="008816EB"/>
    <w:rsid w:val="00882749"/>
    <w:rsid w:val="00883EFA"/>
    <w:rsid w:val="00883F11"/>
    <w:rsid w:val="008846C5"/>
    <w:rsid w:val="00884D53"/>
    <w:rsid w:val="008850C9"/>
    <w:rsid w:val="0089308C"/>
    <w:rsid w:val="00895832"/>
    <w:rsid w:val="008958C8"/>
    <w:rsid w:val="00895DF8"/>
    <w:rsid w:val="00895F61"/>
    <w:rsid w:val="008A036E"/>
    <w:rsid w:val="008A1176"/>
    <w:rsid w:val="008A20EE"/>
    <w:rsid w:val="008A34FF"/>
    <w:rsid w:val="008A403E"/>
    <w:rsid w:val="008A4718"/>
    <w:rsid w:val="008A6203"/>
    <w:rsid w:val="008A634E"/>
    <w:rsid w:val="008A75F7"/>
    <w:rsid w:val="008B134A"/>
    <w:rsid w:val="008B2FC1"/>
    <w:rsid w:val="008B432B"/>
    <w:rsid w:val="008B45FD"/>
    <w:rsid w:val="008B6085"/>
    <w:rsid w:val="008B68BD"/>
    <w:rsid w:val="008B7B58"/>
    <w:rsid w:val="008C1B2C"/>
    <w:rsid w:val="008C2E1D"/>
    <w:rsid w:val="008C3873"/>
    <w:rsid w:val="008C38AC"/>
    <w:rsid w:val="008C45AA"/>
    <w:rsid w:val="008C6CC9"/>
    <w:rsid w:val="008C76C2"/>
    <w:rsid w:val="008D23B0"/>
    <w:rsid w:val="008D2718"/>
    <w:rsid w:val="008D2AC6"/>
    <w:rsid w:val="008D302E"/>
    <w:rsid w:val="008D306B"/>
    <w:rsid w:val="008D4232"/>
    <w:rsid w:val="008D66E3"/>
    <w:rsid w:val="008D6810"/>
    <w:rsid w:val="008D7FA4"/>
    <w:rsid w:val="008E3B28"/>
    <w:rsid w:val="008E3C91"/>
    <w:rsid w:val="008E5C7D"/>
    <w:rsid w:val="008E6300"/>
    <w:rsid w:val="008E7C0E"/>
    <w:rsid w:val="008F1562"/>
    <w:rsid w:val="008F3645"/>
    <w:rsid w:val="008F47BD"/>
    <w:rsid w:val="008F6DB3"/>
    <w:rsid w:val="00900265"/>
    <w:rsid w:val="0090265D"/>
    <w:rsid w:val="00904F21"/>
    <w:rsid w:val="00905102"/>
    <w:rsid w:val="00905173"/>
    <w:rsid w:val="009064E4"/>
    <w:rsid w:val="00907870"/>
    <w:rsid w:val="00910E9B"/>
    <w:rsid w:val="00911375"/>
    <w:rsid w:val="009119D2"/>
    <w:rsid w:val="009123CF"/>
    <w:rsid w:val="009130EA"/>
    <w:rsid w:val="009145F2"/>
    <w:rsid w:val="00914E39"/>
    <w:rsid w:val="009157D2"/>
    <w:rsid w:val="009161D9"/>
    <w:rsid w:val="00916999"/>
    <w:rsid w:val="00916DF7"/>
    <w:rsid w:val="009173B1"/>
    <w:rsid w:val="0091760A"/>
    <w:rsid w:val="00920871"/>
    <w:rsid w:val="00920B3A"/>
    <w:rsid w:val="00924798"/>
    <w:rsid w:val="00926256"/>
    <w:rsid w:val="00930477"/>
    <w:rsid w:val="009305CA"/>
    <w:rsid w:val="00931C61"/>
    <w:rsid w:val="00931EA4"/>
    <w:rsid w:val="009332C0"/>
    <w:rsid w:val="0093370A"/>
    <w:rsid w:val="00933A47"/>
    <w:rsid w:val="00933B6F"/>
    <w:rsid w:val="00934100"/>
    <w:rsid w:val="00934173"/>
    <w:rsid w:val="00936E54"/>
    <w:rsid w:val="00940142"/>
    <w:rsid w:val="00940C20"/>
    <w:rsid w:val="0094117E"/>
    <w:rsid w:val="00942984"/>
    <w:rsid w:val="00942E69"/>
    <w:rsid w:val="00943E8E"/>
    <w:rsid w:val="00945091"/>
    <w:rsid w:val="00945FBD"/>
    <w:rsid w:val="00947B8D"/>
    <w:rsid w:val="009500FB"/>
    <w:rsid w:val="00950497"/>
    <w:rsid w:val="0095138E"/>
    <w:rsid w:val="00952340"/>
    <w:rsid w:val="00952FFA"/>
    <w:rsid w:val="0095314D"/>
    <w:rsid w:val="009535DD"/>
    <w:rsid w:val="00954B94"/>
    <w:rsid w:val="00955938"/>
    <w:rsid w:val="00955FD8"/>
    <w:rsid w:val="00956669"/>
    <w:rsid w:val="00956D5B"/>
    <w:rsid w:val="00957658"/>
    <w:rsid w:val="00960582"/>
    <w:rsid w:val="009607BA"/>
    <w:rsid w:val="009612AF"/>
    <w:rsid w:val="00961CE9"/>
    <w:rsid w:val="00962726"/>
    <w:rsid w:val="00962E0D"/>
    <w:rsid w:val="00964EEA"/>
    <w:rsid w:val="00965B4C"/>
    <w:rsid w:val="00967514"/>
    <w:rsid w:val="009701CB"/>
    <w:rsid w:val="009706BF"/>
    <w:rsid w:val="00973CE6"/>
    <w:rsid w:val="00974E68"/>
    <w:rsid w:val="00976135"/>
    <w:rsid w:val="0097724F"/>
    <w:rsid w:val="00980F89"/>
    <w:rsid w:val="009825EF"/>
    <w:rsid w:val="00982FE7"/>
    <w:rsid w:val="00984494"/>
    <w:rsid w:val="00984A68"/>
    <w:rsid w:val="00984BC4"/>
    <w:rsid w:val="009859DD"/>
    <w:rsid w:val="00985C18"/>
    <w:rsid w:val="0098659A"/>
    <w:rsid w:val="009873D5"/>
    <w:rsid w:val="009877D9"/>
    <w:rsid w:val="00990BC0"/>
    <w:rsid w:val="0099179F"/>
    <w:rsid w:val="00992503"/>
    <w:rsid w:val="00993C74"/>
    <w:rsid w:val="009959E3"/>
    <w:rsid w:val="00996200"/>
    <w:rsid w:val="009967AF"/>
    <w:rsid w:val="00996A08"/>
    <w:rsid w:val="009A080B"/>
    <w:rsid w:val="009A0C20"/>
    <w:rsid w:val="009A183E"/>
    <w:rsid w:val="009A25FB"/>
    <w:rsid w:val="009A48D4"/>
    <w:rsid w:val="009A4B58"/>
    <w:rsid w:val="009A4BEC"/>
    <w:rsid w:val="009A7EA4"/>
    <w:rsid w:val="009B1992"/>
    <w:rsid w:val="009B32C3"/>
    <w:rsid w:val="009B46A0"/>
    <w:rsid w:val="009B49B9"/>
    <w:rsid w:val="009B6CE5"/>
    <w:rsid w:val="009C0487"/>
    <w:rsid w:val="009C0527"/>
    <w:rsid w:val="009C08AE"/>
    <w:rsid w:val="009C1871"/>
    <w:rsid w:val="009C3CD1"/>
    <w:rsid w:val="009C4EF4"/>
    <w:rsid w:val="009C553B"/>
    <w:rsid w:val="009C62C0"/>
    <w:rsid w:val="009C7EAE"/>
    <w:rsid w:val="009C7F4A"/>
    <w:rsid w:val="009D15CF"/>
    <w:rsid w:val="009D2135"/>
    <w:rsid w:val="009D2FA5"/>
    <w:rsid w:val="009D57BC"/>
    <w:rsid w:val="009D5F7A"/>
    <w:rsid w:val="009D606E"/>
    <w:rsid w:val="009D7081"/>
    <w:rsid w:val="009D7AAF"/>
    <w:rsid w:val="009E08A4"/>
    <w:rsid w:val="009E0E5F"/>
    <w:rsid w:val="009E1662"/>
    <w:rsid w:val="009E1D90"/>
    <w:rsid w:val="009E2083"/>
    <w:rsid w:val="009E26BB"/>
    <w:rsid w:val="009E57B0"/>
    <w:rsid w:val="009E6FBA"/>
    <w:rsid w:val="009F0B10"/>
    <w:rsid w:val="009F1722"/>
    <w:rsid w:val="009F175C"/>
    <w:rsid w:val="009F4FAE"/>
    <w:rsid w:val="009F577C"/>
    <w:rsid w:val="009F69A2"/>
    <w:rsid w:val="009F6A1D"/>
    <w:rsid w:val="009F6DCD"/>
    <w:rsid w:val="00A001BA"/>
    <w:rsid w:val="00A00777"/>
    <w:rsid w:val="00A0185C"/>
    <w:rsid w:val="00A01E8A"/>
    <w:rsid w:val="00A022CC"/>
    <w:rsid w:val="00A024CB"/>
    <w:rsid w:val="00A02F74"/>
    <w:rsid w:val="00A050CC"/>
    <w:rsid w:val="00A05498"/>
    <w:rsid w:val="00A07365"/>
    <w:rsid w:val="00A07A16"/>
    <w:rsid w:val="00A11D79"/>
    <w:rsid w:val="00A12D51"/>
    <w:rsid w:val="00A12DB0"/>
    <w:rsid w:val="00A13206"/>
    <w:rsid w:val="00A14718"/>
    <w:rsid w:val="00A15813"/>
    <w:rsid w:val="00A16655"/>
    <w:rsid w:val="00A17010"/>
    <w:rsid w:val="00A17618"/>
    <w:rsid w:val="00A17906"/>
    <w:rsid w:val="00A2038E"/>
    <w:rsid w:val="00A205FB"/>
    <w:rsid w:val="00A20B24"/>
    <w:rsid w:val="00A23311"/>
    <w:rsid w:val="00A2394C"/>
    <w:rsid w:val="00A242C1"/>
    <w:rsid w:val="00A24426"/>
    <w:rsid w:val="00A24453"/>
    <w:rsid w:val="00A26D30"/>
    <w:rsid w:val="00A2723C"/>
    <w:rsid w:val="00A27D9F"/>
    <w:rsid w:val="00A30C00"/>
    <w:rsid w:val="00A30D4D"/>
    <w:rsid w:val="00A30F4A"/>
    <w:rsid w:val="00A31B2E"/>
    <w:rsid w:val="00A31F74"/>
    <w:rsid w:val="00A326B9"/>
    <w:rsid w:val="00A349D6"/>
    <w:rsid w:val="00A37CDF"/>
    <w:rsid w:val="00A402EA"/>
    <w:rsid w:val="00A40939"/>
    <w:rsid w:val="00A42087"/>
    <w:rsid w:val="00A42405"/>
    <w:rsid w:val="00A433B5"/>
    <w:rsid w:val="00A438B9"/>
    <w:rsid w:val="00A44120"/>
    <w:rsid w:val="00A446B0"/>
    <w:rsid w:val="00A45225"/>
    <w:rsid w:val="00A4595C"/>
    <w:rsid w:val="00A459AB"/>
    <w:rsid w:val="00A45A9F"/>
    <w:rsid w:val="00A45B05"/>
    <w:rsid w:val="00A46CAD"/>
    <w:rsid w:val="00A477AF"/>
    <w:rsid w:val="00A478EB"/>
    <w:rsid w:val="00A51335"/>
    <w:rsid w:val="00A53216"/>
    <w:rsid w:val="00A5517F"/>
    <w:rsid w:val="00A55E03"/>
    <w:rsid w:val="00A57C40"/>
    <w:rsid w:val="00A60FD3"/>
    <w:rsid w:val="00A61607"/>
    <w:rsid w:val="00A63579"/>
    <w:rsid w:val="00A63706"/>
    <w:rsid w:val="00A64B57"/>
    <w:rsid w:val="00A64ED1"/>
    <w:rsid w:val="00A6505C"/>
    <w:rsid w:val="00A667E8"/>
    <w:rsid w:val="00A674FC"/>
    <w:rsid w:val="00A67C0F"/>
    <w:rsid w:val="00A67D09"/>
    <w:rsid w:val="00A718DE"/>
    <w:rsid w:val="00A7192F"/>
    <w:rsid w:val="00A71E08"/>
    <w:rsid w:val="00A729BE"/>
    <w:rsid w:val="00A72DFB"/>
    <w:rsid w:val="00A733BB"/>
    <w:rsid w:val="00A74659"/>
    <w:rsid w:val="00A74715"/>
    <w:rsid w:val="00A74754"/>
    <w:rsid w:val="00A74879"/>
    <w:rsid w:val="00A75D8B"/>
    <w:rsid w:val="00A766D8"/>
    <w:rsid w:val="00A76857"/>
    <w:rsid w:val="00A815A7"/>
    <w:rsid w:val="00A847DB"/>
    <w:rsid w:val="00A85E41"/>
    <w:rsid w:val="00A86728"/>
    <w:rsid w:val="00A9025D"/>
    <w:rsid w:val="00A91D17"/>
    <w:rsid w:val="00A92CC6"/>
    <w:rsid w:val="00A94506"/>
    <w:rsid w:val="00A94BB8"/>
    <w:rsid w:val="00A952B3"/>
    <w:rsid w:val="00A966B4"/>
    <w:rsid w:val="00A967B1"/>
    <w:rsid w:val="00A96972"/>
    <w:rsid w:val="00AA111B"/>
    <w:rsid w:val="00AA1BC4"/>
    <w:rsid w:val="00AA1C6A"/>
    <w:rsid w:val="00AA22E7"/>
    <w:rsid w:val="00AA29A9"/>
    <w:rsid w:val="00AA29DA"/>
    <w:rsid w:val="00AA3CC3"/>
    <w:rsid w:val="00AA4E55"/>
    <w:rsid w:val="00AA51D2"/>
    <w:rsid w:val="00AA5AC4"/>
    <w:rsid w:val="00AA795C"/>
    <w:rsid w:val="00AB00CB"/>
    <w:rsid w:val="00AB1448"/>
    <w:rsid w:val="00AB190E"/>
    <w:rsid w:val="00AB1C2F"/>
    <w:rsid w:val="00AB1FD3"/>
    <w:rsid w:val="00AB2611"/>
    <w:rsid w:val="00AB265F"/>
    <w:rsid w:val="00AB38F5"/>
    <w:rsid w:val="00AB4141"/>
    <w:rsid w:val="00AB450A"/>
    <w:rsid w:val="00AB4928"/>
    <w:rsid w:val="00AB5DAB"/>
    <w:rsid w:val="00AB6274"/>
    <w:rsid w:val="00AB6705"/>
    <w:rsid w:val="00AC1498"/>
    <w:rsid w:val="00AC330B"/>
    <w:rsid w:val="00AC3713"/>
    <w:rsid w:val="00AC3E0C"/>
    <w:rsid w:val="00AC4299"/>
    <w:rsid w:val="00AC536B"/>
    <w:rsid w:val="00AC7322"/>
    <w:rsid w:val="00AC79FA"/>
    <w:rsid w:val="00AD056E"/>
    <w:rsid w:val="00AD26A8"/>
    <w:rsid w:val="00AD31F2"/>
    <w:rsid w:val="00AD36A5"/>
    <w:rsid w:val="00AD3DD2"/>
    <w:rsid w:val="00AD5029"/>
    <w:rsid w:val="00AD5DF1"/>
    <w:rsid w:val="00AD5DF9"/>
    <w:rsid w:val="00AD70B5"/>
    <w:rsid w:val="00AD7950"/>
    <w:rsid w:val="00AE0268"/>
    <w:rsid w:val="00AE0F6A"/>
    <w:rsid w:val="00AE1FBC"/>
    <w:rsid w:val="00AE35CF"/>
    <w:rsid w:val="00AE3A8C"/>
    <w:rsid w:val="00AE45F1"/>
    <w:rsid w:val="00AE4E36"/>
    <w:rsid w:val="00AE4E99"/>
    <w:rsid w:val="00AE730B"/>
    <w:rsid w:val="00AF0E08"/>
    <w:rsid w:val="00AF1618"/>
    <w:rsid w:val="00AF18D1"/>
    <w:rsid w:val="00AF1A68"/>
    <w:rsid w:val="00AF2649"/>
    <w:rsid w:val="00AF2F30"/>
    <w:rsid w:val="00AF7143"/>
    <w:rsid w:val="00AF7A65"/>
    <w:rsid w:val="00B00804"/>
    <w:rsid w:val="00B019F0"/>
    <w:rsid w:val="00B01AAC"/>
    <w:rsid w:val="00B030D3"/>
    <w:rsid w:val="00B0367E"/>
    <w:rsid w:val="00B038A0"/>
    <w:rsid w:val="00B0428B"/>
    <w:rsid w:val="00B052CE"/>
    <w:rsid w:val="00B10CE9"/>
    <w:rsid w:val="00B1130D"/>
    <w:rsid w:val="00B1221B"/>
    <w:rsid w:val="00B12E7D"/>
    <w:rsid w:val="00B1398C"/>
    <w:rsid w:val="00B1596E"/>
    <w:rsid w:val="00B16162"/>
    <w:rsid w:val="00B17533"/>
    <w:rsid w:val="00B177BA"/>
    <w:rsid w:val="00B200A4"/>
    <w:rsid w:val="00B21904"/>
    <w:rsid w:val="00B21AD4"/>
    <w:rsid w:val="00B22004"/>
    <w:rsid w:val="00B23FF8"/>
    <w:rsid w:val="00B26BBD"/>
    <w:rsid w:val="00B31273"/>
    <w:rsid w:val="00B32348"/>
    <w:rsid w:val="00B32C4A"/>
    <w:rsid w:val="00B33C42"/>
    <w:rsid w:val="00B342A9"/>
    <w:rsid w:val="00B3446B"/>
    <w:rsid w:val="00B348A3"/>
    <w:rsid w:val="00B350FB"/>
    <w:rsid w:val="00B35EC4"/>
    <w:rsid w:val="00B405FC"/>
    <w:rsid w:val="00B41B7A"/>
    <w:rsid w:val="00B41DC3"/>
    <w:rsid w:val="00B42F4C"/>
    <w:rsid w:val="00B44CAC"/>
    <w:rsid w:val="00B44EFC"/>
    <w:rsid w:val="00B4564B"/>
    <w:rsid w:val="00B457C2"/>
    <w:rsid w:val="00B45E91"/>
    <w:rsid w:val="00B4702C"/>
    <w:rsid w:val="00B55906"/>
    <w:rsid w:val="00B5634C"/>
    <w:rsid w:val="00B57B99"/>
    <w:rsid w:val="00B60C68"/>
    <w:rsid w:val="00B61602"/>
    <w:rsid w:val="00B620D1"/>
    <w:rsid w:val="00B626B4"/>
    <w:rsid w:val="00B630DF"/>
    <w:rsid w:val="00B63BE0"/>
    <w:rsid w:val="00B648AF"/>
    <w:rsid w:val="00B66B2F"/>
    <w:rsid w:val="00B66B7A"/>
    <w:rsid w:val="00B72BCB"/>
    <w:rsid w:val="00B73065"/>
    <w:rsid w:val="00B73348"/>
    <w:rsid w:val="00B7342E"/>
    <w:rsid w:val="00B73B6A"/>
    <w:rsid w:val="00B73ED8"/>
    <w:rsid w:val="00B750A6"/>
    <w:rsid w:val="00B75374"/>
    <w:rsid w:val="00B75BC4"/>
    <w:rsid w:val="00B760C8"/>
    <w:rsid w:val="00B76180"/>
    <w:rsid w:val="00B8079F"/>
    <w:rsid w:val="00B818B9"/>
    <w:rsid w:val="00B819F3"/>
    <w:rsid w:val="00B82B2F"/>
    <w:rsid w:val="00B82F67"/>
    <w:rsid w:val="00B833A3"/>
    <w:rsid w:val="00B835BE"/>
    <w:rsid w:val="00B84C22"/>
    <w:rsid w:val="00B84D3B"/>
    <w:rsid w:val="00B8548E"/>
    <w:rsid w:val="00B906C2"/>
    <w:rsid w:val="00B90BE8"/>
    <w:rsid w:val="00B90FA5"/>
    <w:rsid w:val="00B91023"/>
    <w:rsid w:val="00B9183C"/>
    <w:rsid w:val="00B9508A"/>
    <w:rsid w:val="00B95240"/>
    <w:rsid w:val="00B956C8"/>
    <w:rsid w:val="00B9606A"/>
    <w:rsid w:val="00B96CDE"/>
    <w:rsid w:val="00BA059F"/>
    <w:rsid w:val="00BA137F"/>
    <w:rsid w:val="00BA1AAF"/>
    <w:rsid w:val="00BA2DA6"/>
    <w:rsid w:val="00BA2F71"/>
    <w:rsid w:val="00BA2FBB"/>
    <w:rsid w:val="00BA362D"/>
    <w:rsid w:val="00BA36C7"/>
    <w:rsid w:val="00BA3DF2"/>
    <w:rsid w:val="00BA4FE9"/>
    <w:rsid w:val="00BA5373"/>
    <w:rsid w:val="00BA573A"/>
    <w:rsid w:val="00BA719B"/>
    <w:rsid w:val="00BA7303"/>
    <w:rsid w:val="00BB11D7"/>
    <w:rsid w:val="00BB1702"/>
    <w:rsid w:val="00BB1CD0"/>
    <w:rsid w:val="00BB2166"/>
    <w:rsid w:val="00BB30F9"/>
    <w:rsid w:val="00BB397E"/>
    <w:rsid w:val="00BB40C5"/>
    <w:rsid w:val="00BB4237"/>
    <w:rsid w:val="00BB4D64"/>
    <w:rsid w:val="00BB5DFB"/>
    <w:rsid w:val="00BB69DF"/>
    <w:rsid w:val="00BB7822"/>
    <w:rsid w:val="00BC013F"/>
    <w:rsid w:val="00BC067E"/>
    <w:rsid w:val="00BC1B3A"/>
    <w:rsid w:val="00BC2174"/>
    <w:rsid w:val="00BC3AED"/>
    <w:rsid w:val="00BC4B04"/>
    <w:rsid w:val="00BC4DC2"/>
    <w:rsid w:val="00BC52E7"/>
    <w:rsid w:val="00BC66F4"/>
    <w:rsid w:val="00BC6712"/>
    <w:rsid w:val="00BC6C37"/>
    <w:rsid w:val="00BC723D"/>
    <w:rsid w:val="00BC7CF1"/>
    <w:rsid w:val="00BD2036"/>
    <w:rsid w:val="00BD24ED"/>
    <w:rsid w:val="00BD2BBE"/>
    <w:rsid w:val="00BD3350"/>
    <w:rsid w:val="00BD77EA"/>
    <w:rsid w:val="00BE2357"/>
    <w:rsid w:val="00BE2A30"/>
    <w:rsid w:val="00BE2BAC"/>
    <w:rsid w:val="00BE3D1D"/>
    <w:rsid w:val="00BE421B"/>
    <w:rsid w:val="00BE4E4D"/>
    <w:rsid w:val="00BE56C5"/>
    <w:rsid w:val="00BE6712"/>
    <w:rsid w:val="00BE6BCF"/>
    <w:rsid w:val="00BE7D83"/>
    <w:rsid w:val="00BF1016"/>
    <w:rsid w:val="00BF2E14"/>
    <w:rsid w:val="00BF3731"/>
    <w:rsid w:val="00BF5B83"/>
    <w:rsid w:val="00BF5F02"/>
    <w:rsid w:val="00BF64EE"/>
    <w:rsid w:val="00BF657A"/>
    <w:rsid w:val="00C009A4"/>
    <w:rsid w:val="00C010D3"/>
    <w:rsid w:val="00C0220C"/>
    <w:rsid w:val="00C02D46"/>
    <w:rsid w:val="00C04119"/>
    <w:rsid w:val="00C04A1B"/>
    <w:rsid w:val="00C0504F"/>
    <w:rsid w:val="00C063BF"/>
    <w:rsid w:val="00C063F7"/>
    <w:rsid w:val="00C06BE9"/>
    <w:rsid w:val="00C07378"/>
    <w:rsid w:val="00C079AC"/>
    <w:rsid w:val="00C103E5"/>
    <w:rsid w:val="00C11CA8"/>
    <w:rsid w:val="00C127BC"/>
    <w:rsid w:val="00C1334D"/>
    <w:rsid w:val="00C138D2"/>
    <w:rsid w:val="00C13AFC"/>
    <w:rsid w:val="00C1618A"/>
    <w:rsid w:val="00C177CC"/>
    <w:rsid w:val="00C178BD"/>
    <w:rsid w:val="00C17A75"/>
    <w:rsid w:val="00C206C2"/>
    <w:rsid w:val="00C211A2"/>
    <w:rsid w:val="00C22771"/>
    <w:rsid w:val="00C22921"/>
    <w:rsid w:val="00C22D76"/>
    <w:rsid w:val="00C24A4C"/>
    <w:rsid w:val="00C27BC4"/>
    <w:rsid w:val="00C27D60"/>
    <w:rsid w:val="00C31364"/>
    <w:rsid w:val="00C32403"/>
    <w:rsid w:val="00C32E0D"/>
    <w:rsid w:val="00C3407C"/>
    <w:rsid w:val="00C34224"/>
    <w:rsid w:val="00C3504B"/>
    <w:rsid w:val="00C354ED"/>
    <w:rsid w:val="00C36338"/>
    <w:rsid w:val="00C366B5"/>
    <w:rsid w:val="00C3677C"/>
    <w:rsid w:val="00C41A2B"/>
    <w:rsid w:val="00C428CD"/>
    <w:rsid w:val="00C445C3"/>
    <w:rsid w:val="00C45C95"/>
    <w:rsid w:val="00C45D76"/>
    <w:rsid w:val="00C4718D"/>
    <w:rsid w:val="00C474FF"/>
    <w:rsid w:val="00C50D79"/>
    <w:rsid w:val="00C50E03"/>
    <w:rsid w:val="00C52FC0"/>
    <w:rsid w:val="00C5371B"/>
    <w:rsid w:val="00C53DA7"/>
    <w:rsid w:val="00C54144"/>
    <w:rsid w:val="00C5484E"/>
    <w:rsid w:val="00C561D8"/>
    <w:rsid w:val="00C574D5"/>
    <w:rsid w:val="00C5777B"/>
    <w:rsid w:val="00C57CA6"/>
    <w:rsid w:val="00C617F0"/>
    <w:rsid w:val="00C6254A"/>
    <w:rsid w:val="00C63524"/>
    <w:rsid w:val="00C64795"/>
    <w:rsid w:val="00C652C2"/>
    <w:rsid w:val="00C66197"/>
    <w:rsid w:val="00C70641"/>
    <w:rsid w:val="00C70BE2"/>
    <w:rsid w:val="00C72CCD"/>
    <w:rsid w:val="00C73584"/>
    <w:rsid w:val="00C747CA"/>
    <w:rsid w:val="00C74B90"/>
    <w:rsid w:val="00C75C40"/>
    <w:rsid w:val="00C770CF"/>
    <w:rsid w:val="00C810AD"/>
    <w:rsid w:val="00C815AA"/>
    <w:rsid w:val="00C8164B"/>
    <w:rsid w:val="00C81CCB"/>
    <w:rsid w:val="00C8492D"/>
    <w:rsid w:val="00C84F82"/>
    <w:rsid w:val="00C84F8E"/>
    <w:rsid w:val="00C854EE"/>
    <w:rsid w:val="00C861A4"/>
    <w:rsid w:val="00C86762"/>
    <w:rsid w:val="00C868F3"/>
    <w:rsid w:val="00C871B8"/>
    <w:rsid w:val="00C90169"/>
    <w:rsid w:val="00C90EEB"/>
    <w:rsid w:val="00C9497D"/>
    <w:rsid w:val="00C94BC3"/>
    <w:rsid w:val="00C95508"/>
    <w:rsid w:val="00C95BAD"/>
    <w:rsid w:val="00C95F27"/>
    <w:rsid w:val="00C97549"/>
    <w:rsid w:val="00C976E9"/>
    <w:rsid w:val="00CA0761"/>
    <w:rsid w:val="00CA2454"/>
    <w:rsid w:val="00CA2BDF"/>
    <w:rsid w:val="00CA4205"/>
    <w:rsid w:val="00CA48B6"/>
    <w:rsid w:val="00CA4976"/>
    <w:rsid w:val="00CA6A4A"/>
    <w:rsid w:val="00CA6BA8"/>
    <w:rsid w:val="00CA6C15"/>
    <w:rsid w:val="00CB2268"/>
    <w:rsid w:val="00CB276E"/>
    <w:rsid w:val="00CB2EA0"/>
    <w:rsid w:val="00CB3710"/>
    <w:rsid w:val="00CB374D"/>
    <w:rsid w:val="00CB3979"/>
    <w:rsid w:val="00CB3AA3"/>
    <w:rsid w:val="00CB53E1"/>
    <w:rsid w:val="00CB563F"/>
    <w:rsid w:val="00CB58EA"/>
    <w:rsid w:val="00CB5D65"/>
    <w:rsid w:val="00CB5D69"/>
    <w:rsid w:val="00CB6476"/>
    <w:rsid w:val="00CB6A74"/>
    <w:rsid w:val="00CB7412"/>
    <w:rsid w:val="00CC1563"/>
    <w:rsid w:val="00CC223E"/>
    <w:rsid w:val="00CC2CCF"/>
    <w:rsid w:val="00CC3195"/>
    <w:rsid w:val="00CC4713"/>
    <w:rsid w:val="00CC4FEF"/>
    <w:rsid w:val="00CD025F"/>
    <w:rsid w:val="00CD0857"/>
    <w:rsid w:val="00CD19BE"/>
    <w:rsid w:val="00CD2110"/>
    <w:rsid w:val="00CD275B"/>
    <w:rsid w:val="00CD391A"/>
    <w:rsid w:val="00CD53E7"/>
    <w:rsid w:val="00CD5A45"/>
    <w:rsid w:val="00CD5FDB"/>
    <w:rsid w:val="00CD6B59"/>
    <w:rsid w:val="00CD6DB7"/>
    <w:rsid w:val="00CD7308"/>
    <w:rsid w:val="00CD7B5C"/>
    <w:rsid w:val="00CD7DBC"/>
    <w:rsid w:val="00CE1A3A"/>
    <w:rsid w:val="00CE2E24"/>
    <w:rsid w:val="00CE61A1"/>
    <w:rsid w:val="00CE6B31"/>
    <w:rsid w:val="00CE7A26"/>
    <w:rsid w:val="00CE7D6F"/>
    <w:rsid w:val="00CF0232"/>
    <w:rsid w:val="00CF06B6"/>
    <w:rsid w:val="00CF0873"/>
    <w:rsid w:val="00CF136B"/>
    <w:rsid w:val="00CF24CA"/>
    <w:rsid w:val="00CF267E"/>
    <w:rsid w:val="00CF4EAA"/>
    <w:rsid w:val="00CF5794"/>
    <w:rsid w:val="00CF6250"/>
    <w:rsid w:val="00CF6813"/>
    <w:rsid w:val="00CF6F44"/>
    <w:rsid w:val="00CF7E19"/>
    <w:rsid w:val="00D00216"/>
    <w:rsid w:val="00D00A93"/>
    <w:rsid w:val="00D01051"/>
    <w:rsid w:val="00D0133B"/>
    <w:rsid w:val="00D0135E"/>
    <w:rsid w:val="00D01ED7"/>
    <w:rsid w:val="00D02452"/>
    <w:rsid w:val="00D03814"/>
    <w:rsid w:val="00D03D82"/>
    <w:rsid w:val="00D041E0"/>
    <w:rsid w:val="00D05568"/>
    <w:rsid w:val="00D0698A"/>
    <w:rsid w:val="00D06C99"/>
    <w:rsid w:val="00D108BA"/>
    <w:rsid w:val="00D116C2"/>
    <w:rsid w:val="00D12240"/>
    <w:rsid w:val="00D1247B"/>
    <w:rsid w:val="00D133AA"/>
    <w:rsid w:val="00D137A7"/>
    <w:rsid w:val="00D14458"/>
    <w:rsid w:val="00D14C36"/>
    <w:rsid w:val="00D1526F"/>
    <w:rsid w:val="00D160A5"/>
    <w:rsid w:val="00D17112"/>
    <w:rsid w:val="00D17A71"/>
    <w:rsid w:val="00D20034"/>
    <w:rsid w:val="00D203B7"/>
    <w:rsid w:val="00D21033"/>
    <w:rsid w:val="00D2258D"/>
    <w:rsid w:val="00D2401A"/>
    <w:rsid w:val="00D24CFE"/>
    <w:rsid w:val="00D2635C"/>
    <w:rsid w:val="00D26397"/>
    <w:rsid w:val="00D271F5"/>
    <w:rsid w:val="00D2725F"/>
    <w:rsid w:val="00D278C5"/>
    <w:rsid w:val="00D3008E"/>
    <w:rsid w:val="00D3060A"/>
    <w:rsid w:val="00D30C1C"/>
    <w:rsid w:val="00D30DDA"/>
    <w:rsid w:val="00D31A2F"/>
    <w:rsid w:val="00D31B50"/>
    <w:rsid w:val="00D32E70"/>
    <w:rsid w:val="00D3378C"/>
    <w:rsid w:val="00D34986"/>
    <w:rsid w:val="00D34C29"/>
    <w:rsid w:val="00D3630F"/>
    <w:rsid w:val="00D37550"/>
    <w:rsid w:val="00D37D32"/>
    <w:rsid w:val="00D42C73"/>
    <w:rsid w:val="00D42FE8"/>
    <w:rsid w:val="00D43229"/>
    <w:rsid w:val="00D433C4"/>
    <w:rsid w:val="00D43F52"/>
    <w:rsid w:val="00D445AA"/>
    <w:rsid w:val="00D4639E"/>
    <w:rsid w:val="00D464CB"/>
    <w:rsid w:val="00D47CCD"/>
    <w:rsid w:val="00D50274"/>
    <w:rsid w:val="00D52989"/>
    <w:rsid w:val="00D540FE"/>
    <w:rsid w:val="00D55875"/>
    <w:rsid w:val="00D5664D"/>
    <w:rsid w:val="00D60C82"/>
    <w:rsid w:val="00D6131B"/>
    <w:rsid w:val="00D61F01"/>
    <w:rsid w:val="00D625CA"/>
    <w:rsid w:val="00D648AA"/>
    <w:rsid w:val="00D648CE"/>
    <w:rsid w:val="00D64ACC"/>
    <w:rsid w:val="00D66691"/>
    <w:rsid w:val="00D6758E"/>
    <w:rsid w:val="00D677BA"/>
    <w:rsid w:val="00D679C6"/>
    <w:rsid w:val="00D70797"/>
    <w:rsid w:val="00D710E9"/>
    <w:rsid w:val="00D7212A"/>
    <w:rsid w:val="00D75AF9"/>
    <w:rsid w:val="00D75E26"/>
    <w:rsid w:val="00D774FD"/>
    <w:rsid w:val="00D80D7F"/>
    <w:rsid w:val="00D8150C"/>
    <w:rsid w:val="00D83E57"/>
    <w:rsid w:val="00D85139"/>
    <w:rsid w:val="00D8592C"/>
    <w:rsid w:val="00D8633E"/>
    <w:rsid w:val="00D86C8B"/>
    <w:rsid w:val="00D86EF3"/>
    <w:rsid w:val="00D8716A"/>
    <w:rsid w:val="00D8797B"/>
    <w:rsid w:val="00D87FB9"/>
    <w:rsid w:val="00D91635"/>
    <w:rsid w:val="00D92755"/>
    <w:rsid w:val="00D92F13"/>
    <w:rsid w:val="00D9530B"/>
    <w:rsid w:val="00D97540"/>
    <w:rsid w:val="00DA04C9"/>
    <w:rsid w:val="00DA1251"/>
    <w:rsid w:val="00DA24C6"/>
    <w:rsid w:val="00DA2847"/>
    <w:rsid w:val="00DA3103"/>
    <w:rsid w:val="00DA3F75"/>
    <w:rsid w:val="00DA46C7"/>
    <w:rsid w:val="00DA4BB7"/>
    <w:rsid w:val="00DA6297"/>
    <w:rsid w:val="00DA6520"/>
    <w:rsid w:val="00DA7710"/>
    <w:rsid w:val="00DA7A13"/>
    <w:rsid w:val="00DB0060"/>
    <w:rsid w:val="00DB1070"/>
    <w:rsid w:val="00DB2063"/>
    <w:rsid w:val="00DB4A23"/>
    <w:rsid w:val="00DB612E"/>
    <w:rsid w:val="00DB7647"/>
    <w:rsid w:val="00DC0FF8"/>
    <w:rsid w:val="00DC1119"/>
    <w:rsid w:val="00DC1401"/>
    <w:rsid w:val="00DC228F"/>
    <w:rsid w:val="00DC230D"/>
    <w:rsid w:val="00DC2FA0"/>
    <w:rsid w:val="00DC31C9"/>
    <w:rsid w:val="00DC4A8D"/>
    <w:rsid w:val="00DC5233"/>
    <w:rsid w:val="00DC6331"/>
    <w:rsid w:val="00DC6A2F"/>
    <w:rsid w:val="00DD2022"/>
    <w:rsid w:val="00DD296E"/>
    <w:rsid w:val="00DD3D40"/>
    <w:rsid w:val="00DD4DAB"/>
    <w:rsid w:val="00DD5275"/>
    <w:rsid w:val="00DD569F"/>
    <w:rsid w:val="00DD7849"/>
    <w:rsid w:val="00DE06AE"/>
    <w:rsid w:val="00DE086C"/>
    <w:rsid w:val="00DE124E"/>
    <w:rsid w:val="00DE12C4"/>
    <w:rsid w:val="00DE2819"/>
    <w:rsid w:val="00DE2875"/>
    <w:rsid w:val="00DE3919"/>
    <w:rsid w:val="00DE43A6"/>
    <w:rsid w:val="00DE4C5B"/>
    <w:rsid w:val="00DE4D85"/>
    <w:rsid w:val="00DE4E7A"/>
    <w:rsid w:val="00DE63BF"/>
    <w:rsid w:val="00DE68B7"/>
    <w:rsid w:val="00DE6E1B"/>
    <w:rsid w:val="00DE79DA"/>
    <w:rsid w:val="00DE7F71"/>
    <w:rsid w:val="00DF007A"/>
    <w:rsid w:val="00DF0519"/>
    <w:rsid w:val="00DF05B9"/>
    <w:rsid w:val="00DF0C7E"/>
    <w:rsid w:val="00DF0CA9"/>
    <w:rsid w:val="00DF1D93"/>
    <w:rsid w:val="00DF23C4"/>
    <w:rsid w:val="00DF2C05"/>
    <w:rsid w:val="00DF2D65"/>
    <w:rsid w:val="00DF388B"/>
    <w:rsid w:val="00DF42D8"/>
    <w:rsid w:val="00DF56AD"/>
    <w:rsid w:val="00DF5784"/>
    <w:rsid w:val="00DF766A"/>
    <w:rsid w:val="00E008B4"/>
    <w:rsid w:val="00E0229B"/>
    <w:rsid w:val="00E032D1"/>
    <w:rsid w:val="00E0372A"/>
    <w:rsid w:val="00E043BF"/>
    <w:rsid w:val="00E05CAF"/>
    <w:rsid w:val="00E05EAC"/>
    <w:rsid w:val="00E06722"/>
    <w:rsid w:val="00E06F1E"/>
    <w:rsid w:val="00E075CA"/>
    <w:rsid w:val="00E10E5E"/>
    <w:rsid w:val="00E11533"/>
    <w:rsid w:val="00E11ADF"/>
    <w:rsid w:val="00E11B48"/>
    <w:rsid w:val="00E12549"/>
    <w:rsid w:val="00E13273"/>
    <w:rsid w:val="00E14611"/>
    <w:rsid w:val="00E167BE"/>
    <w:rsid w:val="00E178DB"/>
    <w:rsid w:val="00E17D24"/>
    <w:rsid w:val="00E21D53"/>
    <w:rsid w:val="00E221C0"/>
    <w:rsid w:val="00E226F9"/>
    <w:rsid w:val="00E22D16"/>
    <w:rsid w:val="00E26F59"/>
    <w:rsid w:val="00E27026"/>
    <w:rsid w:val="00E30516"/>
    <w:rsid w:val="00E30E76"/>
    <w:rsid w:val="00E317ED"/>
    <w:rsid w:val="00E324D9"/>
    <w:rsid w:val="00E32EAF"/>
    <w:rsid w:val="00E331E2"/>
    <w:rsid w:val="00E335C3"/>
    <w:rsid w:val="00E33609"/>
    <w:rsid w:val="00E3587C"/>
    <w:rsid w:val="00E35EE3"/>
    <w:rsid w:val="00E37657"/>
    <w:rsid w:val="00E379CF"/>
    <w:rsid w:val="00E41300"/>
    <w:rsid w:val="00E413B7"/>
    <w:rsid w:val="00E41A75"/>
    <w:rsid w:val="00E42AB2"/>
    <w:rsid w:val="00E42D56"/>
    <w:rsid w:val="00E44467"/>
    <w:rsid w:val="00E45004"/>
    <w:rsid w:val="00E45AAB"/>
    <w:rsid w:val="00E4625E"/>
    <w:rsid w:val="00E462A9"/>
    <w:rsid w:val="00E47098"/>
    <w:rsid w:val="00E474F7"/>
    <w:rsid w:val="00E47D8A"/>
    <w:rsid w:val="00E5000C"/>
    <w:rsid w:val="00E5074B"/>
    <w:rsid w:val="00E50A16"/>
    <w:rsid w:val="00E518DE"/>
    <w:rsid w:val="00E51B17"/>
    <w:rsid w:val="00E520AB"/>
    <w:rsid w:val="00E53357"/>
    <w:rsid w:val="00E53430"/>
    <w:rsid w:val="00E5394D"/>
    <w:rsid w:val="00E53EAC"/>
    <w:rsid w:val="00E55428"/>
    <w:rsid w:val="00E55FDD"/>
    <w:rsid w:val="00E56446"/>
    <w:rsid w:val="00E56924"/>
    <w:rsid w:val="00E56D00"/>
    <w:rsid w:val="00E56D63"/>
    <w:rsid w:val="00E6050F"/>
    <w:rsid w:val="00E6085D"/>
    <w:rsid w:val="00E618C8"/>
    <w:rsid w:val="00E61C48"/>
    <w:rsid w:val="00E63160"/>
    <w:rsid w:val="00E6344A"/>
    <w:rsid w:val="00E64BD0"/>
    <w:rsid w:val="00E65A87"/>
    <w:rsid w:val="00E66BD1"/>
    <w:rsid w:val="00E67A65"/>
    <w:rsid w:val="00E700CB"/>
    <w:rsid w:val="00E7087A"/>
    <w:rsid w:val="00E71459"/>
    <w:rsid w:val="00E719DA"/>
    <w:rsid w:val="00E72153"/>
    <w:rsid w:val="00E72FAB"/>
    <w:rsid w:val="00E73061"/>
    <w:rsid w:val="00E75073"/>
    <w:rsid w:val="00E75530"/>
    <w:rsid w:val="00E76F9C"/>
    <w:rsid w:val="00E80417"/>
    <w:rsid w:val="00E80CD9"/>
    <w:rsid w:val="00E81092"/>
    <w:rsid w:val="00E824C6"/>
    <w:rsid w:val="00E82506"/>
    <w:rsid w:val="00E8306D"/>
    <w:rsid w:val="00E8367A"/>
    <w:rsid w:val="00E84C89"/>
    <w:rsid w:val="00E84E46"/>
    <w:rsid w:val="00E861EC"/>
    <w:rsid w:val="00E86AB9"/>
    <w:rsid w:val="00E9150F"/>
    <w:rsid w:val="00E92FF0"/>
    <w:rsid w:val="00E94D7B"/>
    <w:rsid w:val="00E95030"/>
    <w:rsid w:val="00E95A26"/>
    <w:rsid w:val="00E9695F"/>
    <w:rsid w:val="00EA0E21"/>
    <w:rsid w:val="00EA11E7"/>
    <w:rsid w:val="00EA46C3"/>
    <w:rsid w:val="00EA5A73"/>
    <w:rsid w:val="00EA6951"/>
    <w:rsid w:val="00EA6EDE"/>
    <w:rsid w:val="00EB0ADD"/>
    <w:rsid w:val="00EB0BCF"/>
    <w:rsid w:val="00EB0E8C"/>
    <w:rsid w:val="00EB3007"/>
    <w:rsid w:val="00EB3A10"/>
    <w:rsid w:val="00EB4A32"/>
    <w:rsid w:val="00EB610F"/>
    <w:rsid w:val="00EB78AB"/>
    <w:rsid w:val="00EB7BD2"/>
    <w:rsid w:val="00EC0293"/>
    <w:rsid w:val="00EC0E38"/>
    <w:rsid w:val="00EC1E8A"/>
    <w:rsid w:val="00EC46EB"/>
    <w:rsid w:val="00EC57C0"/>
    <w:rsid w:val="00EC690C"/>
    <w:rsid w:val="00EC75B0"/>
    <w:rsid w:val="00EC7811"/>
    <w:rsid w:val="00ED04D8"/>
    <w:rsid w:val="00ED0C4B"/>
    <w:rsid w:val="00ED1652"/>
    <w:rsid w:val="00ED2162"/>
    <w:rsid w:val="00ED28FE"/>
    <w:rsid w:val="00ED49CA"/>
    <w:rsid w:val="00ED50EC"/>
    <w:rsid w:val="00ED6FCB"/>
    <w:rsid w:val="00ED7FE7"/>
    <w:rsid w:val="00EE2C4E"/>
    <w:rsid w:val="00EE481F"/>
    <w:rsid w:val="00EE6F11"/>
    <w:rsid w:val="00EE70E7"/>
    <w:rsid w:val="00EE71B0"/>
    <w:rsid w:val="00EE738C"/>
    <w:rsid w:val="00EF46D0"/>
    <w:rsid w:val="00EF7964"/>
    <w:rsid w:val="00F01058"/>
    <w:rsid w:val="00F0152E"/>
    <w:rsid w:val="00F0298C"/>
    <w:rsid w:val="00F03F58"/>
    <w:rsid w:val="00F046FF"/>
    <w:rsid w:val="00F053E2"/>
    <w:rsid w:val="00F05AC3"/>
    <w:rsid w:val="00F06ACF"/>
    <w:rsid w:val="00F1130E"/>
    <w:rsid w:val="00F11CC8"/>
    <w:rsid w:val="00F142EC"/>
    <w:rsid w:val="00F14D44"/>
    <w:rsid w:val="00F1513E"/>
    <w:rsid w:val="00F1609D"/>
    <w:rsid w:val="00F16D1D"/>
    <w:rsid w:val="00F1718E"/>
    <w:rsid w:val="00F17378"/>
    <w:rsid w:val="00F17A5C"/>
    <w:rsid w:val="00F20EE9"/>
    <w:rsid w:val="00F24DAA"/>
    <w:rsid w:val="00F25E99"/>
    <w:rsid w:val="00F31D2A"/>
    <w:rsid w:val="00F322AE"/>
    <w:rsid w:val="00F322F6"/>
    <w:rsid w:val="00F32A82"/>
    <w:rsid w:val="00F341F0"/>
    <w:rsid w:val="00F41234"/>
    <w:rsid w:val="00F417D5"/>
    <w:rsid w:val="00F441C9"/>
    <w:rsid w:val="00F4450B"/>
    <w:rsid w:val="00F45FB7"/>
    <w:rsid w:val="00F460B1"/>
    <w:rsid w:val="00F467B8"/>
    <w:rsid w:val="00F468AD"/>
    <w:rsid w:val="00F47A8C"/>
    <w:rsid w:val="00F50597"/>
    <w:rsid w:val="00F50F89"/>
    <w:rsid w:val="00F510FF"/>
    <w:rsid w:val="00F512E7"/>
    <w:rsid w:val="00F52328"/>
    <w:rsid w:val="00F532B0"/>
    <w:rsid w:val="00F53938"/>
    <w:rsid w:val="00F53E50"/>
    <w:rsid w:val="00F543A1"/>
    <w:rsid w:val="00F545B3"/>
    <w:rsid w:val="00F5620C"/>
    <w:rsid w:val="00F56975"/>
    <w:rsid w:val="00F5720F"/>
    <w:rsid w:val="00F57598"/>
    <w:rsid w:val="00F6060A"/>
    <w:rsid w:val="00F61DCE"/>
    <w:rsid w:val="00F626C6"/>
    <w:rsid w:val="00F63688"/>
    <w:rsid w:val="00F64BCE"/>
    <w:rsid w:val="00F64E3E"/>
    <w:rsid w:val="00F665FD"/>
    <w:rsid w:val="00F66823"/>
    <w:rsid w:val="00F66C5F"/>
    <w:rsid w:val="00F66D04"/>
    <w:rsid w:val="00F66F01"/>
    <w:rsid w:val="00F67A56"/>
    <w:rsid w:val="00F70414"/>
    <w:rsid w:val="00F70E33"/>
    <w:rsid w:val="00F717F9"/>
    <w:rsid w:val="00F719A5"/>
    <w:rsid w:val="00F7408B"/>
    <w:rsid w:val="00F7444B"/>
    <w:rsid w:val="00F809EC"/>
    <w:rsid w:val="00F8149A"/>
    <w:rsid w:val="00F81EFA"/>
    <w:rsid w:val="00F8207F"/>
    <w:rsid w:val="00F82896"/>
    <w:rsid w:val="00F83FCC"/>
    <w:rsid w:val="00F849CC"/>
    <w:rsid w:val="00F84F2B"/>
    <w:rsid w:val="00F84F67"/>
    <w:rsid w:val="00F8540D"/>
    <w:rsid w:val="00F85456"/>
    <w:rsid w:val="00F85626"/>
    <w:rsid w:val="00F8702B"/>
    <w:rsid w:val="00F87A68"/>
    <w:rsid w:val="00F87C13"/>
    <w:rsid w:val="00F9019D"/>
    <w:rsid w:val="00F901ED"/>
    <w:rsid w:val="00F909A6"/>
    <w:rsid w:val="00F90A61"/>
    <w:rsid w:val="00F90AAA"/>
    <w:rsid w:val="00F91961"/>
    <w:rsid w:val="00F9232A"/>
    <w:rsid w:val="00F925CB"/>
    <w:rsid w:val="00F92744"/>
    <w:rsid w:val="00F9398B"/>
    <w:rsid w:val="00F93D23"/>
    <w:rsid w:val="00F94144"/>
    <w:rsid w:val="00F94A99"/>
    <w:rsid w:val="00F95266"/>
    <w:rsid w:val="00F95D9D"/>
    <w:rsid w:val="00F96407"/>
    <w:rsid w:val="00F96BCB"/>
    <w:rsid w:val="00F97046"/>
    <w:rsid w:val="00F97AAA"/>
    <w:rsid w:val="00FA2BA8"/>
    <w:rsid w:val="00FA352D"/>
    <w:rsid w:val="00FA49FF"/>
    <w:rsid w:val="00FA582F"/>
    <w:rsid w:val="00FA5CB4"/>
    <w:rsid w:val="00FA6754"/>
    <w:rsid w:val="00FA71DC"/>
    <w:rsid w:val="00FA78B4"/>
    <w:rsid w:val="00FB05E4"/>
    <w:rsid w:val="00FB1471"/>
    <w:rsid w:val="00FB3320"/>
    <w:rsid w:val="00FB410D"/>
    <w:rsid w:val="00FB4681"/>
    <w:rsid w:val="00FB4A39"/>
    <w:rsid w:val="00FB6504"/>
    <w:rsid w:val="00FB6B72"/>
    <w:rsid w:val="00FC0232"/>
    <w:rsid w:val="00FC06FE"/>
    <w:rsid w:val="00FC15F4"/>
    <w:rsid w:val="00FC2EEA"/>
    <w:rsid w:val="00FC35B7"/>
    <w:rsid w:val="00FC4529"/>
    <w:rsid w:val="00FC6699"/>
    <w:rsid w:val="00FC7FB9"/>
    <w:rsid w:val="00FD071E"/>
    <w:rsid w:val="00FD0E7E"/>
    <w:rsid w:val="00FD1109"/>
    <w:rsid w:val="00FD15EF"/>
    <w:rsid w:val="00FD17E4"/>
    <w:rsid w:val="00FD2C0F"/>
    <w:rsid w:val="00FD2DAF"/>
    <w:rsid w:val="00FD4151"/>
    <w:rsid w:val="00FD54BD"/>
    <w:rsid w:val="00FD722E"/>
    <w:rsid w:val="00FE0F93"/>
    <w:rsid w:val="00FE14CA"/>
    <w:rsid w:val="00FE5616"/>
    <w:rsid w:val="00FE5A2B"/>
    <w:rsid w:val="00FE5E1B"/>
    <w:rsid w:val="00FE6071"/>
    <w:rsid w:val="00FE636B"/>
    <w:rsid w:val="00FE6549"/>
    <w:rsid w:val="00FE6E97"/>
    <w:rsid w:val="00FF15DE"/>
    <w:rsid w:val="00FF1673"/>
    <w:rsid w:val="00FF1CBD"/>
    <w:rsid w:val="00FF2447"/>
    <w:rsid w:val="00FF252A"/>
    <w:rsid w:val="00FF3339"/>
    <w:rsid w:val="00FF47C6"/>
    <w:rsid w:val="00FF5711"/>
    <w:rsid w:val="00FF7049"/>
    <w:rsid w:val="00FF7E3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FFC8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0" w:qFormat="1"/>
    <w:lsdException w:name="annotation reference" w:uiPriority="0"/>
    <w:lsdException w:name="endnote text" w:uiPriority="0"/>
    <w:lsdException w:name="List Bullet" w:qFormat="1"/>
    <w:lsdException w:name="List Bullet 2" w:qFormat="1"/>
    <w:lsdException w:name="List Bullet 3"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wordWrap w:val="0"/>
      <w:autoSpaceDE w:val="0"/>
      <w:autoSpaceDN w:val="0"/>
    </w:pPr>
  </w:style>
  <w:style w:type="paragraph" w:styleId="Heading1">
    <w:name w:val="heading 1"/>
    <w:aliases w:val="style1,CTD Heading 1"/>
    <w:basedOn w:val="Normal"/>
    <w:next w:val="Normal"/>
    <w:link w:val="Heading1Char"/>
    <w:uiPriority w:val="9"/>
    <w:qFormat/>
    <w:rsid w:val="00457025"/>
    <w:pPr>
      <w:keepNext/>
      <w:widowControl/>
      <w:tabs>
        <w:tab w:val="left" w:pos="567"/>
      </w:tabs>
      <w:wordWrap/>
      <w:autoSpaceDE/>
      <w:autoSpaceDN/>
      <w:spacing w:after="0" w:line="260" w:lineRule="exact"/>
      <w:jc w:val="left"/>
      <w:outlineLvl w:val="0"/>
    </w:pPr>
    <w:rPr>
      <w:rFonts w:ascii="Times New Roman" w:eastAsia="Times New Roman" w:hAnsi="Times New Roman" w:cs="Times New Roman"/>
      <w:b/>
      <w:kern w:val="0"/>
      <w:sz w:val="22"/>
      <w:szCs w:val="28"/>
      <w:lang w:val="en-GB" w:eastAsia="en-US"/>
    </w:rPr>
  </w:style>
  <w:style w:type="paragraph" w:styleId="Heading2">
    <w:name w:val="heading 2"/>
    <w:aliases w:val="eCTD-2nd-Section-Heading"/>
    <w:next w:val="Normal"/>
    <w:link w:val="Heading2Char"/>
    <w:qFormat/>
    <w:rsid w:val="00457025"/>
    <w:pPr>
      <w:keepNext/>
      <w:spacing w:before="240" w:after="60" w:line="240" w:lineRule="auto"/>
      <w:jc w:val="left"/>
      <w:outlineLvl w:val="1"/>
    </w:pPr>
    <w:rPr>
      <w:rFonts w:ascii="Times New Roman" w:hAnsi="Times New Roman" w:cs="Arial"/>
      <w:b/>
      <w:bCs/>
      <w:iCs/>
      <w:kern w:val="0"/>
      <w:sz w:val="24"/>
      <w:szCs w:val="28"/>
      <w:lang w:val="en-GB" w:eastAsia="de-DE"/>
    </w:rPr>
  </w:style>
  <w:style w:type="paragraph" w:styleId="Heading3">
    <w:name w:val="heading 3"/>
    <w:basedOn w:val="Normal"/>
    <w:next w:val="Normal"/>
    <w:link w:val="Heading3Char"/>
    <w:uiPriority w:val="9"/>
    <w:semiHidden/>
    <w:unhideWhenUsed/>
    <w:qFormat/>
    <w:rsid w:val="007B2DB4"/>
    <w:pPr>
      <w:keepNext/>
      <w:ind w:leftChars="300" w:left="300" w:hangingChars="200" w:hanging="2000"/>
      <w:outlineLvl w:val="2"/>
    </w:pPr>
    <w:rPr>
      <w:rFonts w:asciiTheme="majorHAnsi" w:eastAsiaTheme="majorEastAsia" w:hAnsiTheme="majorHAnsi" w:cstheme="majorBidi"/>
    </w:rPr>
  </w:style>
  <w:style w:type="paragraph" w:styleId="Heading6">
    <w:name w:val="heading 6"/>
    <w:basedOn w:val="Normal"/>
    <w:next w:val="Normal"/>
    <w:link w:val="Heading6Char"/>
    <w:uiPriority w:val="9"/>
    <w:semiHidden/>
    <w:unhideWhenUsed/>
    <w:qFormat/>
    <w:rsid w:val="00302648"/>
    <w:pPr>
      <w:keepNext/>
      <w:ind w:leftChars="600" w:left="600" w:hangingChars="200" w:hanging="2000"/>
      <w:outlineLvl w:val="5"/>
    </w:pPr>
    <w:rPr>
      <w:b/>
      <w:bCs/>
    </w:rPr>
  </w:style>
  <w:style w:type="paragraph" w:styleId="Heading7">
    <w:name w:val="heading 7"/>
    <w:basedOn w:val="Normal"/>
    <w:next w:val="Normal"/>
    <w:link w:val="Heading7Char"/>
    <w:uiPriority w:val="9"/>
    <w:semiHidden/>
    <w:unhideWhenUsed/>
    <w:qFormat/>
    <w:rsid w:val="00302648"/>
    <w:pPr>
      <w:keepNext/>
      <w:ind w:leftChars="700" w:left="700" w:hangingChars="200" w:hanging="2000"/>
      <w:outlineLvl w:val="6"/>
    </w:pPr>
  </w:style>
  <w:style w:type="paragraph" w:styleId="Heading8">
    <w:name w:val="heading 8"/>
    <w:basedOn w:val="Normal"/>
    <w:next w:val="Normal"/>
    <w:link w:val="Heading8Char"/>
    <w:uiPriority w:val="9"/>
    <w:semiHidden/>
    <w:unhideWhenUsed/>
    <w:qFormat/>
    <w:rsid w:val="007B2DB4"/>
    <w:pPr>
      <w:keepNext/>
      <w:ind w:leftChars="800" w:left="800" w:hangingChars="200" w:hanging="2000"/>
      <w:outlineLvl w:val="7"/>
    </w:pPr>
  </w:style>
  <w:style w:type="paragraph" w:styleId="Heading9">
    <w:name w:val="heading 9"/>
    <w:basedOn w:val="Normal"/>
    <w:next w:val="Normal"/>
    <w:link w:val="Heading9Char"/>
    <w:uiPriority w:val="9"/>
    <w:semiHidden/>
    <w:unhideWhenUsed/>
    <w:qFormat/>
    <w:rsid w:val="007B2DB4"/>
    <w:pPr>
      <w:keepNext/>
      <w:ind w:leftChars="900" w:left="900" w:hangingChars="200" w:hanging="200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nhideWhenUsed/>
    <w:rsid w:val="006C6513"/>
    <w:rPr>
      <w:sz w:val="18"/>
      <w:szCs w:val="18"/>
    </w:rPr>
  </w:style>
  <w:style w:type="paragraph" w:styleId="CommentText">
    <w:name w:val="annotation text"/>
    <w:basedOn w:val="Normal"/>
    <w:link w:val="CommentTextChar"/>
    <w:uiPriority w:val="99"/>
    <w:unhideWhenUsed/>
    <w:rsid w:val="006C6513"/>
    <w:pPr>
      <w:wordWrap/>
      <w:autoSpaceDE/>
      <w:autoSpaceDN/>
      <w:jc w:val="left"/>
    </w:pPr>
    <w:rPr>
      <w:kern w:val="0"/>
      <w:sz w:val="22"/>
      <w:lang w:eastAsia="en-US"/>
    </w:rPr>
  </w:style>
  <w:style w:type="character" w:customStyle="1" w:styleId="CommentTextChar">
    <w:name w:val="Comment Text Char"/>
    <w:basedOn w:val="DefaultParagraphFont"/>
    <w:link w:val="CommentText"/>
    <w:uiPriority w:val="99"/>
    <w:rsid w:val="006C6513"/>
    <w:rPr>
      <w:kern w:val="0"/>
      <w:sz w:val="22"/>
      <w:lang w:eastAsia="en-US"/>
    </w:rPr>
  </w:style>
  <w:style w:type="paragraph" w:styleId="BalloonText">
    <w:name w:val="Balloon Text"/>
    <w:basedOn w:val="Normal"/>
    <w:link w:val="BalloonTextChar"/>
    <w:uiPriority w:val="99"/>
    <w:semiHidden/>
    <w:unhideWhenUsed/>
    <w:rsid w:val="006C6513"/>
    <w:pPr>
      <w:spacing w:after="0" w:line="240" w:lineRule="auto"/>
    </w:pPr>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6C6513"/>
    <w:rPr>
      <w:rFonts w:asciiTheme="majorHAnsi" w:eastAsiaTheme="majorEastAsia" w:hAnsiTheme="majorHAnsi" w:cstheme="majorBidi"/>
      <w:sz w:val="18"/>
      <w:szCs w:val="18"/>
    </w:rPr>
  </w:style>
  <w:style w:type="table" w:styleId="TableGrid">
    <w:name w:val="Table Grid"/>
    <w:basedOn w:val="TableNormal"/>
    <w:uiPriority w:val="59"/>
    <w:rsid w:val="00A635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aliases w:val="Caption 12pt+,12,Designation,ctdCaption,Table Caption,Tab/Fig,eCTD-Beschriftung"/>
    <w:basedOn w:val="Normal"/>
    <w:next w:val="Normal"/>
    <w:link w:val="CaptionChar"/>
    <w:unhideWhenUsed/>
    <w:qFormat/>
    <w:rsid w:val="00386103"/>
    <w:rPr>
      <w:b/>
      <w:bCs/>
      <w:szCs w:val="20"/>
    </w:rPr>
  </w:style>
  <w:style w:type="paragraph" w:styleId="CommentSubject">
    <w:name w:val="annotation subject"/>
    <w:basedOn w:val="CommentText"/>
    <w:next w:val="CommentText"/>
    <w:link w:val="CommentSubjectChar"/>
    <w:uiPriority w:val="99"/>
    <w:semiHidden/>
    <w:unhideWhenUsed/>
    <w:rsid w:val="00456EF5"/>
    <w:pPr>
      <w:wordWrap w:val="0"/>
      <w:autoSpaceDE w:val="0"/>
      <w:autoSpaceDN w:val="0"/>
    </w:pPr>
    <w:rPr>
      <w:b/>
      <w:bCs/>
      <w:kern w:val="2"/>
      <w:sz w:val="20"/>
      <w:lang w:eastAsia="ko-KR"/>
    </w:rPr>
  </w:style>
  <w:style w:type="character" w:customStyle="1" w:styleId="CommentSubjectChar">
    <w:name w:val="Comment Subject Char"/>
    <w:basedOn w:val="CommentTextChar"/>
    <w:link w:val="CommentSubject"/>
    <w:uiPriority w:val="99"/>
    <w:semiHidden/>
    <w:rsid w:val="00456EF5"/>
    <w:rPr>
      <w:b/>
      <w:bCs/>
      <w:kern w:val="0"/>
      <w:sz w:val="22"/>
      <w:lang w:eastAsia="en-US"/>
    </w:rPr>
  </w:style>
  <w:style w:type="paragraph" w:customStyle="1" w:styleId="Default">
    <w:name w:val="Default"/>
    <w:rsid w:val="00DF766A"/>
    <w:pPr>
      <w:widowControl w:val="0"/>
      <w:autoSpaceDE w:val="0"/>
      <w:autoSpaceDN w:val="0"/>
      <w:adjustRightInd w:val="0"/>
      <w:spacing w:after="0" w:line="240" w:lineRule="auto"/>
      <w:jc w:val="left"/>
    </w:pPr>
    <w:rPr>
      <w:rFonts w:ascii="Times New Roman" w:hAnsi="Times New Roman" w:cs="Times New Roman"/>
      <w:color w:val="000000"/>
      <w:kern w:val="0"/>
      <w:sz w:val="24"/>
      <w:szCs w:val="24"/>
    </w:rPr>
  </w:style>
  <w:style w:type="paragraph" w:styleId="Header">
    <w:name w:val="header"/>
    <w:basedOn w:val="Normal"/>
    <w:link w:val="HeaderChar"/>
    <w:uiPriority w:val="99"/>
    <w:unhideWhenUsed/>
    <w:rsid w:val="00A847DB"/>
    <w:pPr>
      <w:tabs>
        <w:tab w:val="center" w:pos="4513"/>
        <w:tab w:val="right" w:pos="9026"/>
      </w:tabs>
      <w:snapToGrid w:val="0"/>
    </w:pPr>
  </w:style>
  <w:style w:type="character" w:customStyle="1" w:styleId="HeaderChar">
    <w:name w:val="Header Char"/>
    <w:basedOn w:val="DefaultParagraphFont"/>
    <w:link w:val="Header"/>
    <w:uiPriority w:val="99"/>
    <w:rsid w:val="00A847DB"/>
  </w:style>
  <w:style w:type="paragraph" w:styleId="Footer">
    <w:name w:val="footer"/>
    <w:basedOn w:val="Normal"/>
    <w:link w:val="FooterChar"/>
    <w:unhideWhenUsed/>
    <w:rsid w:val="00A847DB"/>
    <w:pPr>
      <w:tabs>
        <w:tab w:val="center" w:pos="4513"/>
        <w:tab w:val="right" w:pos="9026"/>
      </w:tabs>
      <w:snapToGrid w:val="0"/>
    </w:pPr>
  </w:style>
  <w:style w:type="character" w:customStyle="1" w:styleId="FooterChar">
    <w:name w:val="Footer Char"/>
    <w:basedOn w:val="DefaultParagraphFont"/>
    <w:link w:val="Footer"/>
    <w:rsid w:val="00A847DB"/>
  </w:style>
  <w:style w:type="paragraph" w:styleId="ListParagraph">
    <w:name w:val="List Paragraph"/>
    <w:basedOn w:val="Normal"/>
    <w:uiPriority w:val="34"/>
    <w:qFormat/>
    <w:rsid w:val="00394B48"/>
    <w:pPr>
      <w:ind w:leftChars="400" w:left="800"/>
    </w:pPr>
  </w:style>
  <w:style w:type="table" w:customStyle="1" w:styleId="3">
    <w:name w:val="표 구분선3"/>
    <w:basedOn w:val="TableNormal"/>
    <w:next w:val="TableGrid"/>
    <w:uiPriority w:val="59"/>
    <w:rsid w:val="00742DC1"/>
    <w:pPr>
      <w:spacing w:before="20" w:after="20" w:line="240" w:lineRule="auto"/>
      <w:jc w:val="left"/>
    </w:pPr>
    <w:rPr>
      <w:rFonts w:ascii="Times New Roman" w:eastAsia="Malgun Gothic" w:hAnsi="Times New Roman" w:cs="Times New Roman"/>
      <w:kern w:val="0"/>
      <w:szCs w:val="20"/>
    </w:rPr>
    <w:tblPr>
      <w:tblInd w:w="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Pr>
  </w:style>
  <w:style w:type="character" w:customStyle="1" w:styleId="Heading1Char">
    <w:name w:val="Heading 1 Char"/>
    <w:aliases w:val="style1 Char,CTD Heading 1 Char"/>
    <w:basedOn w:val="DefaultParagraphFont"/>
    <w:link w:val="Heading1"/>
    <w:uiPriority w:val="9"/>
    <w:rsid w:val="00457025"/>
    <w:rPr>
      <w:rFonts w:ascii="Times New Roman" w:eastAsia="Times New Roman" w:hAnsi="Times New Roman" w:cs="Times New Roman"/>
      <w:b/>
      <w:kern w:val="0"/>
      <w:sz w:val="22"/>
      <w:szCs w:val="28"/>
      <w:lang w:val="en-GB" w:eastAsia="en-US"/>
    </w:rPr>
  </w:style>
  <w:style w:type="paragraph" w:customStyle="1" w:styleId="style1-1">
    <w:name w:val="style1-1"/>
    <w:basedOn w:val="Normal"/>
    <w:qFormat/>
    <w:rsid w:val="00457025"/>
    <w:pPr>
      <w:keepNext/>
      <w:widowControl/>
      <w:wordWrap/>
      <w:autoSpaceDE/>
      <w:autoSpaceDN/>
      <w:spacing w:before="240" w:after="120" w:line="240" w:lineRule="auto"/>
      <w:outlineLvl w:val="2"/>
    </w:pPr>
    <w:rPr>
      <w:rFonts w:ascii="Times New Roman" w:eastAsia="Times New Roman" w:hAnsi="Times New Roman" w:cs="Times New Roman"/>
      <w:b/>
      <w:kern w:val="0"/>
      <w:sz w:val="22"/>
      <w:szCs w:val="24"/>
    </w:rPr>
  </w:style>
  <w:style w:type="character" w:customStyle="1" w:styleId="Heading2Char">
    <w:name w:val="Heading 2 Char"/>
    <w:aliases w:val="eCTD-2nd-Section-Heading Char"/>
    <w:basedOn w:val="DefaultParagraphFont"/>
    <w:link w:val="Heading2"/>
    <w:rsid w:val="00457025"/>
    <w:rPr>
      <w:rFonts w:ascii="Times New Roman" w:hAnsi="Times New Roman" w:cs="Arial"/>
      <w:b/>
      <w:bCs/>
      <w:iCs/>
      <w:kern w:val="0"/>
      <w:sz w:val="24"/>
      <w:szCs w:val="28"/>
      <w:lang w:val="en-GB" w:eastAsia="de-DE"/>
    </w:rPr>
  </w:style>
  <w:style w:type="paragraph" w:styleId="NormalWeb">
    <w:name w:val="Normal (Web)"/>
    <w:basedOn w:val="Normal"/>
    <w:uiPriority w:val="99"/>
    <w:semiHidden/>
    <w:unhideWhenUsed/>
    <w:rsid w:val="00435F3E"/>
    <w:pPr>
      <w:widowControl/>
      <w:wordWrap/>
      <w:autoSpaceDE/>
      <w:autoSpaceDN/>
      <w:spacing w:before="100" w:beforeAutospacing="1" w:after="100" w:afterAutospacing="1" w:line="240" w:lineRule="auto"/>
      <w:jc w:val="left"/>
    </w:pPr>
    <w:rPr>
      <w:rFonts w:ascii="GulimChe" w:eastAsia="GulimChe" w:hAnsi="GulimChe" w:cs="Gulim"/>
      <w:kern w:val="0"/>
      <w:sz w:val="18"/>
      <w:szCs w:val="18"/>
    </w:rPr>
  </w:style>
  <w:style w:type="paragraph" w:styleId="Revision">
    <w:name w:val="Revision"/>
    <w:hidden/>
    <w:uiPriority w:val="99"/>
    <w:semiHidden/>
    <w:rsid w:val="007334A8"/>
    <w:pPr>
      <w:spacing w:after="0" w:line="240" w:lineRule="auto"/>
      <w:jc w:val="left"/>
    </w:pPr>
  </w:style>
  <w:style w:type="paragraph" w:customStyle="1" w:styleId="TableText10pt">
    <w:name w:val="TableText 10 pt"/>
    <w:basedOn w:val="Normal"/>
    <w:uiPriority w:val="99"/>
    <w:rsid w:val="008846C5"/>
    <w:pPr>
      <w:widowControl/>
      <w:wordWrap/>
      <w:autoSpaceDE/>
      <w:autoSpaceDN/>
      <w:spacing w:after="0" w:line="240" w:lineRule="auto"/>
      <w:jc w:val="left"/>
    </w:pPr>
    <w:rPr>
      <w:rFonts w:ascii="Times New Roman" w:eastAsia="Batang" w:hAnsi="Times New Roman" w:cs="Arial"/>
      <w:kern w:val="0"/>
      <w:szCs w:val="26"/>
      <w:lang w:val="en-GB" w:eastAsia="en-US"/>
    </w:rPr>
  </w:style>
  <w:style w:type="paragraph" w:customStyle="1" w:styleId="TableHeader-10pt">
    <w:name w:val="TableHeader-10 pt"/>
    <w:basedOn w:val="Normal"/>
    <w:uiPriority w:val="99"/>
    <w:rsid w:val="008846C5"/>
    <w:pPr>
      <w:keepNext/>
      <w:keepLines/>
      <w:widowControl/>
      <w:wordWrap/>
      <w:autoSpaceDE/>
      <w:autoSpaceDN/>
      <w:spacing w:before="20" w:after="20" w:line="240" w:lineRule="auto"/>
      <w:jc w:val="left"/>
    </w:pPr>
    <w:rPr>
      <w:rFonts w:ascii="Times New Roman" w:eastAsia="Batang" w:hAnsi="Times New Roman" w:cs="Times New Roman"/>
      <w:b/>
      <w:kern w:val="0"/>
      <w:szCs w:val="24"/>
      <w:lang w:val="en-GB" w:eastAsia="en-US"/>
    </w:rPr>
  </w:style>
  <w:style w:type="paragraph" w:styleId="BodyText">
    <w:name w:val="Body Text"/>
    <w:basedOn w:val="Normal"/>
    <w:link w:val="BodyTextChar"/>
    <w:rsid w:val="00522BED"/>
    <w:pPr>
      <w:widowControl/>
      <w:wordWrap/>
      <w:autoSpaceDE/>
      <w:autoSpaceDN/>
      <w:spacing w:after="120" w:line="240" w:lineRule="auto"/>
      <w:jc w:val="left"/>
    </w:pPr>
    <w:rPr>
      <w:rFonts w:ascii="Times New Roman" w:eastAsia="Malgun Gothic" w:hAnsi="Times New Roman" w:cs="Times New Roman"/>
      <w:kern w:val="0"/>
      <w:sz w:val="24"/>
      <w:szCs w:val="24"/>
      <w:lang w:val="en-GB" w:eastAsia="en-US"/>
    </w:rPr>
  </w:style>
  <w:style w:type="character" w:customStyle="1" w:styleId="BodyTextChar">
    <w:name w:val="Body Text Char"/>
    <w:basedOn w:val="DefaultParagraphFont"/>
    <w:link w:val="BodyText"/>
    <w:rsid w:val="00522BED"/>
    <w:rPr>
      <w:rFonts w:ascii="Times New Roman" w:eastAsia="Malgun Gothic" w:hAnsi="Times New Roman" w:cs="Times New Roman"/>
      <w:kern w:val="0"/>
      <w:sz w:val="24"/>
      <w:szCs w:val="24"/>
      <w:lang w:val="en-GB" w:eastAsia="en-US"/>
    </w:rPr>
  </w:style>
  <w:style w:type="character" w:customStyle="1" w:styleId="CaptionChar">
    <w:name w:val="Caption Char"/>
    <w:aliases w:val="Caption 12pt+ Char,12 Char,Designation Char,ctdCaption Char,Table Caption Char,Tab/Fig Char,eCTD-Beschriftung Char"/>
    <w:link w:val="Caption"/>
    <w:locked/>
    <w:rsid w:val="00522BED"/>
    <w:rPr>
      <w:b/>
      <w:bCs/>
      <w:szCs w:val="20"/>
    </w:rPr>
  </w:style>
  <w:style w:type="table" w:customStyle="1" w:styleId="4">
    <w:name w:val="표 구분선4"/>
    <w:basedOn w:val="TableNormal"/>
    <w:next w:val="TableGrid"/>
    <w:rsid w:val="00522BED"/>
    <w:pPr>
      <w:spacing w:before="20" w:after="20" w:line="240" w:lineRule="auto"/>
      <w:jc w:val="left"/>
    </w:pPr>
    <w:rPr>
      <w:rFonts w:ascii="Times New Roman" w:eastAsia="Malgun Gothic" w:hAnsi="Times New Roman" w:cs="Times New Roman"/>
      <w:kern w:val="0"/>
      <w:szCs w:val="20"/>
    </w:rPr>
    <w:tblPr>
      <w:tblInd w:w="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Pr>
  </w:style>
  <w:style w:type="paragraph" w:customStyle="1" w:styleId="EPTableHeader">
    <w:name w:val="EP Table Header"/>
    <w:rsid w:val="003909F7"/>
    <w:pPr>
      <w:keepNext/>
      <w:spacing w:before="20" w:after="20" w:line="240" w:lineRule="auto"/>
      <w:jc w:val="center"/>
    </w:pPr>
    <w:rPr>
      <w:rFonts w:ascii="Times New Roman Bold" w:eastAsia="Times New Roman" w:hAnsi="Times New Roman Bold" w:cs="Times New Roman"/>
      <w:b/>
      <w:kern w:val="0"/>
      <w:szCs w:val="20"/>
      <w:lang w:eastAsia="en-US"/>
    </w:rPr>
  </w:style>
  <w:style w:type="paragraph" w:customStyle="1" w:styleId="EPTableHeaderLeft">
    <w:name w:val="EP Table Header Left"/>
    <w:basedOn w:val="EPTableHeader"/>
    <w:rsid w:val="003909F7"/>
    <w:pPr>
      <w:jc w:val="left"/>
    </w:pPr>
  </w:style>
  <w:style w:type="paragraph" w:customStyle="1" w:styleId="EPTableRow">
    <w:name w:val="EP Table Row"/>
    <w:rsid w:val="003909F7"/>
    <w:pPr>
      <w:keepNext/>
      <w:spacing w:before="20" w:after="20" w:line="240" w:lineRule="auto"/>
      <w:jc w:val="center"/>
    </w:pPr>
    <w:rPr>
      <w:rFonts w:ascii="Times New Roman" w:eastAsia="Times New Roman" w:hAnsi="Times New Roman" w:cs="Times New Roman"/>
      <w:kern w:val="0"/>
      <w:szCs w:val="20"/>
      <w:lang w:eastAsia="en-US"/>
    </w:rPr>
  </w:style>
  <w:style w:type="paragraph" w:customStyle="1" w:styleId="Figfoot">
    <w:name w:val="Figfoot"/>
    <w:basedOn w:val="Normal"/>
    <w:uiPriority w:val="99"/>
    <w:rsid w:val="003909F7"/>
    <w:pPr>
      <w:widowControl/>
      <w:suppressAutoHyphens/>
      <w:wordWrap/>
      <w:autoSpaceDE/>
      <w:autoSpaceDN/>
      <w:spacing w:after="0" w:line="240" w:lineRule="auto"/>
      <w:ind w:hanging="720"/>
      <w:jc w:val="left"/>
    </w:pPr>
    <w:rPr>
      <w:rFonts w:ascii="Arial" w:eastAsia="Times New Roman" w:hAnsi="Arial" w:cs="Times New Roman"/>
      <w:kern w:val="0"/>
      <w:sz w:val="18"/>
      <w:szCs w:val="20"/>
      <w:lang w:val="en-GB" w:eastAsia="en-US"/>
    </w:rPr>
  </w:style>
  <w:style w:type="table" w:customStyle="1" w:styleId="TableGrid1">
    <w:name w:val="Table Grid1"/>
    <w:basedOn w:val="TableNormal"/>
    <w:rsid w:val="003909F7"/>
    <w:pPr>
      <w:spacing w:after="0" w:line="240" w:lineRule="auto"/>
      <w:jc w:val="left"/>
    </w:pPr>
    <w:rPr>
      <w:rFonts w:ascii="Times New Roman" w:eastAsia="Malgun Gothic" w:hAnsi="Times New Roman" w:cs="Times New Roman"/>
      <w:kern w:val="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E4F2A"/>
    <w:rPr>
      <w:color w:val="0000FF" w:themeColor="hyperlink"/>
      <w:u w:val="single"/>
    </w:rPr>
  </w:style>
  <w:style w:type="character" w:customStyle="1" w:styleId="Heading3Char">
    <w:name w:val="Heading 3 Char"/>
    <w:basedOn w:val="DefaultParagraphFont"/>
    <w:link w:val="Heading3"/>
    <w:uiPriority w:val="9"/>
    <w:semiHidden/>
    <w:rsid w:val="007B2DB4"/>
    <w:rPr>
      <w:rFonts w:asciiTheme="majorHAnsi" w:eastAsiaTheme="majorEastAsia" w:hAnsiTheme="majorHAnsi" w:cstheme="majorBidi"/>
    </w:rPr>
  </w:style>
  <w:style w:type="character" w:customStyle="1" w:styleId="Heading8Char">
    <w:name w:val="Heading 8 Char"/>
    <w:basedOn w:val="DefaultParagraphFont"/>
    <w:link w:val="Heading8"/>
    <w:uiPriority w:val="9"/>
    <w:semiHidden/>
    <w:rsid w:val="007B2DB4"/>
  </w:style>
  <w:style w:type="character" w:customStyle="1" w:styleId="Heading9Char">
    <w:name w:val="Heading 9 Char"/>
    <w:basedOn w:val="DefaultParagraphFont"/>
    <w:link w:val="Heading9"/>
    <w:uiPriority w:val="9"/>
    <w:semiHidden/>
    <w:rsid w:val="007B2DB4"/>
  </w:style>
  <w:style w:type="paragraph" w:styleId="BodyText2">
    <w:name w:val="Body Text 2"/>
    <w:basedOn w:val="Normal"/>
    <w:link w:val="BodyText2Char"/>
    <w:uiPriority w:val="99"/>
    <w:semiHidden/>
    <w:unhideWhenUsed/>
    <w:rsid w:val="007B2DB4"/>
    <w:pPr>
      <w:spacing w:after="180" w:line="480" w:lineRule="auto"/>
    </w:pPr>
  </w:style>
  <w:style w:type="character" w:customStyle="1" w:styleId="BodyText2Char">
    <w:name w:val="Body Text 2 Char"/>
    <w:basedOn w:val="DefaultParagraphFont"/>
    <w:link w:val="BodyText2"/>
    <w:uiPriority w:val="99"/>
    <w:semiHidden/>
    <w:rsid w:val="007B2DB4"/>
  </w:style>
  <w:style w:type="paragraph" w:styleId="NoSpacing">
    <w:name w:val="No Spacing"/>
    <w:uiPriority w:val="1"/>
    <w:qFormat/>
    <w:rsid w:val="00C27D60"/>
    <w:pPr>
      <w:widowControl w:val="0"/>
      <w:wordWrap w:val="0"/>
      <w:autoSpaceDE w:val="0"/>
      <w:autoSpaceDN w:val="0"/>
      <w:spacing w:after="0" w:line="240" w:lineRule="auto"/>
    </w:pPr>
  </w:style>
  <w:style w:type="paragraph" w:customStyle="1" w:styleId="eCTD-Table-Cell-Content">
    <w:name w:val="eCTD-Table-Cell-Content"/>
    <w:rsid w:val="0059022D"/>
    <w:pPr>
      <w:keepLines/>
      <w:spacing w:before="40" w:after="40" w:line="240" w:lineRule="auto"/>
      <w:jc w:val="center"/>
    </w:pPr>
    <w:rPr>
      <w:rFonts w:ascii="Times New Roman" w:hAnsi="Times New Roman" w:cs="Times New Roman"/>
      <w:kern w:val="0"/>
      <w:szCs w:val="20"/>
      <w:lang w:val="en-GB" w:eastAsia="en-US"/>
    </w:rPr>
  </w:style>
  <w:style w:type="paragraph" w:customStyle="1" w:styleId="eCTD-Table-Cell-Heading">
    <w:name w:val="eCTD-Table-Cell-Heading"/>
    <w:next w:val="eCTD-Table-Cell-Content"/>
    <w:rsid w:val="0059022D"/>
    <w:pPr>
      <w:spacing w:before="80" w:after="80" w:line="240" w:lineRule="auto"/>
      <w:jc w:val="center"/>
    </w:pPr>
    <w:rPr>
      <w:rFonts w:ascii="Times New Roman" w:hAnsi="Times New Roman" w:cs="Times New Roman"/>
      <w:b/>
      <w:kern w:val="0"/>
      <w:szCs w:val="20"/>
      <w:lang w:val="en-GB" w:eastAsia="en-US"/>
    </w:rPr>
  </w:style>
  <w:style w:type="paragraph" w:customStyle="1" w:styleId="eCTD-Table-Figure-Legend">
    <w:name w:val="eCTD-Table-Figure-Legend"/>
    <w:rsid w:val="0059022D"/>
    <w:pPr>
      <w:spacing w:after="0" w:line="240" w:lineRule="auto"/>
      <w:jc w:val="left"/>
    </w:pPr>
    <w:rPr>
      <w:rFonts w:ascii="Times New Roman" w:hAnsi="Times New Roman" w:cs="Times New Roman"/>
      <w:kern w:val="0"/>
      <w:sz w:val="18"/>
      <w:szCs w:val="24"/>
      <w:lang w:val="en-GB" w:eastAsia="de-DE"/>
    </w:rPr>
  </w:style>
  <w:style w:type="paragraph" w:styleId="FootnoteText">
    <w:name w:val="footnote text"/>
    <w:basedOn w:val="Normal"/>
    <w:link w:val="FootnoteTextChar"/>
    <w:semiHidden/>
    <w:rsid w:val="00302648"/>
    <w:pPr>
      <w:widowControl/>
      <w:wordWrap/>
      <w:autoSpaceDE/>
      <w:autoSpaceDN/>
      <w:spacing w:after="0" w:line="240" w:lineRule="auto"/>
      <w:jc w:val="left"/>
    </w:pPr>
    <w:rPr>
      <w:rFonts w:ascii="Courier" w:eastAsia="Malgun Gothic" w:hAnsi="Courier" w:cs="Times New Roman"/>
      <w:kern w:val="0"/>
      <w:szCs w:val="20"/>
      <w:lang w:eastAsia="en-AU"/>
    </w:rPr>
  </w:style>
  <w:style w:type="character" w:customStyle="1" w:styleId="FootnoteTextChar">
    <w:name w:val="Footnote Text Char"/>
    <w:basedOn w:val="DefaultParagraphFont"/>
    <w:link w:val="FootnoteText"/>
    <w:semiHidden/>
    <w:rsid w:val="00302648"/>
    <w:rPr>
      <w:rFonts w:ascii="Courier" w:eastAsia="Malgun Gothic" w:hAnsi="Courier" w:cs="Times New Roman"/>
      <w:kern w:val="0"/>
      <w:szCs w:val="20"/>
      <w:lang w:eastAsia="en-AU"/>
    </w:rPr>
  </w:style>
  <w:style w:type="paragraph" w:styleId="EndnoteText">
    <w:name w:val="endnote text"/>
    <w:basedOn w:val="Normal"/>
    <w:link w:val="EndnoteTextChar"/>
    <w:semiHidden/>
    <w:rsid w:val="00302648"/>
    <w:pPr>
      <w:widowControl/>
      <w:tabs>
        <w:tab w:val="left" w:pos="360"/>
      </w:tabs>
      <w:wordWrap/>
      <w:autoSpaceDE/>
      <w:autoSpaceDN/>
      <w:spacing w:after="120" w:line="240" w:lineRule="auto"/>
      <w:ind w:left="360" w:hanging="360"/>
      <w:jc w:val="left"/>
    </w:pPr>
    <w:rPr>
      <w:rFonts w:ascii="Times New Roman" w:eastAsia="Malgun Gothic" w:hAnsi="Times New Roman" w:cs="Times New Roman"/>
      <w:kern w:val="0"/>
      <w:szCs w:val="20"/>
      <w:lang w:eastAsia="en-US"/>
    </w:rPr>
  </w:style>
  <w:style w:type="character" w:customStyle="1" w:styleId="EndnoteTextChar">
    <w:name w:val="Endnote Text Char"/>
    <w:basedOn w:val="DefaultParagraphFont"/>
    <w:link w:val="EndnoteText"/>
    <w:semiHidden/>
    <w:rsid w:val="00302648"/>
    <w:rPr>
      <w:rFonts w:ascii="Times New Roman" w:eastAsia="Malgun Gothic" w:hAnsi="Times New Roman" w:cs="Times New Roman"/>
      <w:kern w:val="0"/>
      <w:szCs w:val="20"/>
      <w:lang w:eastAsia="en-US"/>
    </w:rPr>
  </w:style>
  <w:style w:type="paragraph" w:customStyle="1" w:styleId="Ballongtext">
    <w:name w:val="Ballongtext"/>
    <w:basedOn w:val="Normal"/>
    <w:semiHidden/>
    <w:rsid w:val="00302648"/>
    <w:pPr>
      <w:widowControl/>
      <w:wordWrap/>
      <w:autoSpaceDE/>
      <w:autoSpaceDN/>
      <w:spacing w:after="0" w:line="240" w:lineRule="auto"/>
      <w:jc w:val="left"/>
    </w:pPr>
    <w:rPr>
      <w:rFonts w:ascii="Tahoma" w:eastAsia="Malgun Gothic" w:hAnsi="Tahoma" w:cs="Tahoma"/>
      <w:kern w:val="0"/>
      <w:sz w:val="16"/>
      <w:szCs w:val="16"/>
      <w:lang w:val="en-GB" w:eastAsia="en-US"/>
    </w:rPr>
  </w:style>
  <w:style w:type="paragraph" w:customStyle="1" w:styleId="PI-Header3">
    <w:name w:val="PI - Header 3"/>
    <w:basedOn w:val="Normal"/>
    <w:link w:val="PI-Header3Char"/>
    <w:rsid w:val="00302648"/>
    <w:pPr>
      <w:widowControl/>
      <w:wordWrap/>
      <w:autoSpaceDE/>
      <w:autoSpaceDN/>
      <w:spacing w:after="0" w:line="240" w:lineRule="auto"/>
    </w:pPr>
    <w:rPr>
      <w:rFonts w:ascii="Arial" w:eastAsia="Malgun Gothic" w:hAnsi="Arial" w:cs="Arial"/>
      <w:kern w:val="0"/>
      <w:sz w:val="22"/>
      <w:u w:val="single"/>
      <w:lang w:val="en-GB" w:eastAsia="en-AU"/>
    </w:rPr>
  </w:style>
  <w:style w:type="character" w:customStyle="1" w:styleId="PI-Header3Char">
    <w:name w:val="PI - Header 3 Char"/>
    <w:link w:val="PI-Header3"/>
    <w:rsid w:val="00302648"/>
    <w:rPr>
      <w:rFonts w:ascii="Arial" w:eastAsia="Malgun Gothic" w:hAnsi="Arial" w:cs="Arial"/>
      <w:kern w:val="0"/>
      <w:sz w:val="22"/>
      <w:u w:val="single"/>
      <w:lang w:val="en-GB" w:eastAsia="en-AU"/>
    </w:rPr>
  </w:style>
  <w:style w:type="character" w:customStyle="1" w:styleId="Heading6Char">
    <w:name w:val="Heading 6 Char"/>
    <w:basedOn w:val="DefaultParagraphFont"/>
    <w:link w:val="Heading6"/>
    <w:uiPriority w:val="9"/>
    <w:semiHidden/>
    <w:rsid w:val="00302648"/>
    <w:rPr>
      <w:b/>
      <w:bCs/>
    </w:rPr>
  </w:style>
  <w:style w:type="character" w:customStyle="1" w:styleId="Heading7Char">
    <w:name w:val="Heading 7 Char"/>
    <w:basedOn w:val="DefaultParagraphFont"/>
    <w:link w:val="Heading7"/>
    <w:uiPriority w:val="9"/>
    <w:semiHidden/>
    <w:rsid w:val="00302648"/>
  </w:style>
  <w:style w:type="table" w:customStyle="1" w:styleId="1">
    <w:name w:val="표 구분선1"/>
    <w:basedOn w:val="TableNormal"/>
    <w:next w:val="TableGrid"/>
    <w:rsid w:val="00224350"/>
    <w:pPr>
      <w:spacing w:after="0" w:line="240" w:lineRule="auto"/>
      <w:jc w:val="left"/>
    </w:pPr>
    <w:rPr>
      <w:rFonts w:ascii="Times New Roman" w:hAnsi="Times New Roman" w:cs="Times New Roman"/>
      <w:kern w:val="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표 구분선2"/>
    <w:basedOn w:val="TableNormal"/>
    <w:next w:val="TableGrid"/>
    <w:rsid w:val="00224350"/>
    <w:pPr>
      <w:spacing w:after="0" w:line="240" w:lineRule="auto"/>
      <w:jc w:val="left"/>
    </w:pPr>
    <w:rPr>
      <w:rFonts w:ascii="Times New Roman" w:hAnsi="Times New Roman" w:cs="Times New Roman"/>
      <w:kern w:val="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표 구분선5"/>
    <w:basedOn w:val="TableNormal"/>
    <w:next w:val="TableGrid"/>
    <w:rsid w:val="006E2E16"/>
    <w:pPr>
      <w:spacing w:after="0" w:line="240" w:lineRule="auto"/>
      <w:jc w:val="left"/>
    </w:pPr>
    <w:rPr>
      <w:rFonts w:ascii="Times New Roman" w:hAnsi="Times New Roman" w:cs="Times New Roman"/>
      <w:kern w:val="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qFormat/>
    <w:rsid w:val="006D7A68"/>
    <w:pPr>
      <w:widowControl/>
      <w:numPr>
        <w:numId w:val="25"/>
      </w:numPr>
      <w:wordWrap/>
      <w:autoSpaceDE/>
      <w:autoSpaceDN/>
      <w:spacing w:before="120" w:after="180" w:line="240" w:lineRule="atLeast"/>
      <w:jc w:val="left"/>
    </w:pPr>
    <w:rPr>
      <w:rFonts w:ascii="Cambria" w:eastAsia="Cambria" w:hAnsi="Cambria" w:cs="Times New Roman"/>
      <w:kern w:val="0"/>
      <w:sz w:val="22"/>
      <w:lang w:val="en-AU" w:eastAsia="en-US"/>
    </w:rPr>
  </w:style>
  <w:style w:type="paragraph" w:styleId="ListBullet2">
    <w:name w:val="List Bullet 2"/>
    <w:basedOn w:val="Normal"/>
    <w:uiPriority w:val="99"/>
    <w:qFormat/>
    <w:rsid w:val="006D7A68"/>
    <w:pPr>
      <w:widowControl/>
      <w:numPr>
        <w:ilvl w:val="1"/>
        <w:numId w:val="25"/>
      </w:numPr>
      <w:wordWrap/>
      <w:autoSpaceDE/>
      <w:autoSpaceDN/>
      <w:spacing w:before="120" w:after="180" w:line="240" w:lineRule="atLeast"/>
      <w:jc w:val="left"/>
    </w:pPr>
    <w:rPr>
      <w:rFonts w:ascii="Cambria" w:eastAsia="Cambria" w:hAnsi="Cambria" w:cs="Times New Roman"/>
      <w:kern w:val="0"/>
      <w:sz w:val="22"/>
      <w:lang w:val="en-AU" w:eastAsia="en-US"/>
    </w:rPr>
  </w:style>
  <w:style w:type="paragraph" w:styleId="ListBullet3">
    <w:name w:val="List Bullet 3"/>
    <w:basedOn w:val="Normal"/>
    <w:uiPriority w:val="99"/>
    <w:qFormat/>
    <w:rsid w:val="006D7A68"/>
    <w:pPr>
      <w:widowControl/>
      <w:numPr>
        <w:ilvl w:val="2"/>
        <w:numId w:val="25"/>
      </w:numPr>
      <w:wordWrap/>
      <w:autoSpaceDE/>
      <w:autoSpaceDN/>
      <w:spacing w:before="120" w:after="180" w:line="240" w:lineRule="atLeast"/>
      <w:jc w:val="left"/>
    </w:pPr>
    <w:rPr>
      <w:rFonts w:ascii="Cambria" w:eastAsia="Cambria" w:hAnsi="Cambria" w:cs="Times New Roman"/>
      <w:kern w:val="0"/>
      <w:sz w:val="22"/>
      <w:lang w:val="en-AU" w:eastAsia="en-US"/>
    </w:rPr>
  </w:style>
  <w:style w:type="numbering" w:customStyle="1" w:styleId="ListBullets">
    <w:name w:val="ListBullets"/>
    <w:uiPriority w:val="99"/>
    <w:locked/>
    <w:rsid w:val="006D7A68"/>
    <w:pPr>
      <w:numPr>
        <w:numId w:val="25"/>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0" w:qFormat="1"/>
    <w:lsdException w:name="annotation reference" w:uiPriority="0"/>
    <w:lsdException w:name="endnote text" w:uiPriority="0"/>
    <w:lsdException w:name="List Bullet" w:qFormat="1"/>
    <w:lsdException w:name="List Bullet 2" w:qFormat="1"/>
    <w:lsdException w:name="List Bullet 3"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wordWrap w:val="0"/>
      <w:autoSpaceDE w:val="0"/>
      <w:autoSpaceDN w:val="0"/>
    </w:pPr>
  </w:style>
  <w:style w:type="paragraph" w:styleId="Heading1">
    <w:name w:val="heading 1"/>
    <w:aliases w:val="style1,CTD Heading 1"/>
    <w:basedOn w:val="Normal"/>
    <w:next w:val="Normal"/>
    <w:link w:val="Heading1Char"/>
    <w:uiPriority w:val="9"/>
    <w:qFormat/>
    <w:rsid w:val="00457025"/>
    <w:pPr>
      <w:keepNext/>
      <w:widowControl/>
      <w:tabs>
        <w:tab w:val="left" w:pos="567"/>
      </w:tabs>
      <w:wordWrap/>
      <w:autoSpaceDE/>
      <w:autoSpaceDN/>
      <w:spacing w:after="0" w:line="260" w:lineRule="exact"/>
      <w:jc w:val="left"/>
      <w:outlineLvl w:val="0"/>
    </w:pPr>
    <w:rPr>
      <w:rFonts w:ascii="Times New Roman" w:eastAsia="Times New Roman" w:hAnsi="Times New Roman" w:cs="Times New Roman"/>
      <w:b/>
      <w:kern w:val="0"/>
      <w:sz w:val="22"/>
      <w:szCs w:val="28"/>
      <w:lang w:val="en-GB" w:eastAsia="en-US"/>
    </w:rPr>
  </w:style>
  <w:style w:type="paragraph" w:styleId="Heading2">
    <w:name w:val="heading 2"/>
    <w:aliases w:val="eCTD-2nd-Section-Heading"/>
    <w:next w:val="Normal"/>
    <w:link w:val="Heading2Char"/>
    <w:qFormat/>
    <w:rsid w:val="00457025"/>
    <w:pPr>
      <w:keepNext/>
      <w:spacing w:before="240" w:after="60" w:line="240" w:lineRule="auto"/>
      <w:jc w:val="left"/>
      <w:outlineLvl w:val="1"/>
    </w:pPr>
    <w:rPr>
      <w:rFonts w:ascii="Times New Roman" w:hAnsi="Times New Roman" w:cs="Arial"/>
      <w:b/>
      <w:bCs/>
      <w:iCs/>
      <w:kern w:val="0"/>
      <w:sz w:val="24"/>
      <w:szCs w:val="28"/>
      <w:lang w:val="en-GB" w:eastAsia="de-DE"/>
    </w:rPr>
  </w:style>
  <w:style w:type="paragraph" w:styleId="Heading3">
    <w:name w:val="heading 3"/>
    <w:basedOn w:val="Normal"/>
    <w:next w:val="Normal"/>
    <w:link w:val="Heading3Char"/>
    <w:uiPriority w:val="9"/>
    <w:semiHidden/>
    <w:unhideWhenUsed/>
    <w:qFormat/>
    <w:rsid w:val="007B2DB4"/>
    <w:pPr>
      <w:keepNext/>
      <w:ind w:leftChars="300" w:left="300" w:hangingChars="200" w:hanging="2000"/>
      <w:outlineLvl w:val="2"/>
    </w:pPr>
    <w:rPr>
      <w:rFonts w:asciiTheme="majorHAnsi" w:eastAsiaTheme="majorEastAsia" w:hAnsiTheme="majorHAnsi" w:cstheme="majorBidi"/>
    </w:rPr>
  </w:style>
  <w:style w:type="paragraph" w:styleId="Heading6">
    <w:name w:val="heading 6"/>
    <w:basedOn w:val="Normal"/>
    <w:next w:val="Normal"/>
    <w:link w:val="Heading6Char"/>
    <w:uiPriority w:val="9"/>
    <w:semiHidden/>
    <w:unhideWhenUsed/>
    <w:qFormat/>
    <w:rsid w:val="00302648"/>
    <w:pPr>
      <w:keepNext/>
      <w:ind w:leftChars="600" w:left="600" w:hangingChars="200" w:hanging="2000"/>
      <w:outlineLvl w:val="5"/>
    </w:pPr>
    <w:rPr>
      <w:b/>
      <w:bCs/>
    </w:rPr>
  </w:style>
  <w:style w:type="paragraph" w:styleId="Heading7">
    <w:name w:val="heading 7"/>
    <w:basedOn w:val="Normal"/>
    <w:next w:val="Normal"/>
    <w:link w:val="Heading7Char"/>
    <w:uiPriority w:val="9"/>
    <w:semiHidden/>
    <w:unhideWhenUsed/>
    <w:qFormat/>
    <w:rsid w:val="00302648"/>
    <w:pPr>
      <w:keepNext/>
      <w:ind w:leftChars="700" w:left="700" w:hangingChars="200" w:hanging="2000"/>
      <w:outlineLvl w:val="6"/>
    </w:pPr>
  </w:style>
  <w:style w:type="paragraph" w:styleId="Heading8">
    <w:name w:val="heading 8"/>
    <w:basedOn w:val="Normal"/>
    <w:next w:val="Normal"/>
    <w:link w:val="Heading8Char"/>
    <w:uiPriority w:val="9"/>
    <w:semiHidden/>
    <w:unhideWhenUsed/>
    <w:qFormat/>
    <w:rsid w:val="007B2DB4"/>
    <w:pPr>
      <w:keepNext/>
      <w:ind w:leftChars="800" w:left="800" w:hangingChars="200" w:hanging="2000"/>
      <w:outlineLvl w:val="7"/>
    </w:pPr>
  </w:style>
  <w:style w:type="paragraph" w:styleId="Heading9">
    <w:name w:val="heading 9"/>
    <w:basedOn w:val="Normal"/>
    <w:next w:val="Normal"/>
    <w:link w:val="Heading9Char"/>
    <w:uiPriority w:val="9"/>
    <w:semiHidden/>
    <w:unhideWhenUsed/>
    <w:qFormat/>
    <w:rsid w:val="007B2DB4"/>
    <w:pPr>
      <w:keepNext/>
      <w:ind w:leftChars="900" w:left="900" w:hangingChars="200" w:hanging="200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nhideWhenUsed/>
    <w:rsid w:val="006C6513"/>
    <w:rPr>
      <w:sz w:val="18"/>
      <w:szCs w:val="18"/>
    </w:rPr>
  </w:style>
  <w:style w:type="paragraph" w:styleId="CommentText">
    <w:name w:val="annotation text"/>
    <w:basedOn w:val="Normal"/>
    <w:link w:val="CommentTextChar"/>
    <w:uiPriority w:val="99"/>
    <w:unhideWhenUsed/>
    <w:rsid w:val="006C6513"/>
    <w:pPr>
      <w:wordWrap/>
      <w:autoSpaceDE/>
      <w:autoSpaceDN/>
      <w:jc w:val="left"/>
    </w:pPr>
    <w:rPr>
      <w:kern w:val="0"/>
      <w:sz w:val="22"/>
      <w:lang w:eastAsia="en-US"/>
    </w:rPr>
  </w:style>
  <w:style w:type="character" w:customStyle="1" w:styleId="CommentTextChar">
    <w:name w:val="Comment Text Char"/>
    <w:basedOn w:val="DefaultParagraphFont"/>
    <w:link w:val="CommentText"/>
    <w:uiPriority w:val="99"/>
    <w:rsid w:val="006C6513"/>
    <w:rPr>
      <w:kern w:val="0"/>
      <w:sz w:val="22"/>
      <w:lang w:eastAsia="en-US"/>
    </w:rPr>
  </w:style>
  <w:style w:type="paragraph" w:styleId="BalloonText">
    <w:name w:val="Balloon Text"/>
    <w:basedOn w:val="Normal"/>
    <w:link w:val="BalloonTextChar"/>
    <w:uiPriority w:val="99"/>
    <w:semiHidden/>
    <w:unhideWhenUsed/>
    <w:rsid w:val="006C6513"/>
    <w:pPr>
      <w:spacing w:after="0" w:line="240" w:lineRule="auto"/>
    </w:pPr>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6C6513"/>
    <w:rPr>
      <w:rFonts w:asciiTheme="majorHAnsi" w:eastAsiaTheme="majorEastAsia" w:hAnsiTheme="majorHAnsi" w:cstheme="majorBidi"/>
      <w:sz w:val="18"/>
      <w:szCs w:val="18"/>
    </w:rPr>
  </w:style>
  <w:style w:type="table" w:styleId="TableGrid">
    <w:name w:val="Table Grid"/>
    <w:basedOn w:val="TableNormal"/>
    <w:uiPriority w:val="59"/>
    <w:rsid w:val="00A635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aliases w:val="Caption 12pt+,12,Designation,ctdCaption,Table Caption,Tab/Fig,eCTD-Beschriftung"/>
    <w:basedOn w:val="Normal"/>
    <w:next w:val="Normal"/>
    <w:link w:val="CaptionChar"/>
    <w:unhideWhenUsed/>
    <w:qFormat/>
    <w:rsid w:val="00386103"/>
    <w:rPr>
      <w:b/>
      <w:bCs/>
      <w:szCs w:val="20"/>
    </w:rPr>
  </w:style>
  <w:style w:type="paragraph" w:styleId="CommentSubject">
    <w:name w:val="annotation subject"/>
    <w:basedOn w:val="CommentText"/>
    <w:next w:val="CommentText"/>
    <w:link w:val="CommentSubjectChar"/>
    <w:uiPriority w:val="99"/>
    <w:semiHidden/>
    <w:unhideWhenUsed/>
    <w:rsid w:val="00456EF5"/>
    <w:pPr>
      <w:wordWrap w:val="0"/>
      <w:autoSpaceDE w:val="0"/>
      <w:autoSpaceDN w:val="0"/>
    </w:pPr>
    <w:rPr>
      <w:b/>
      <w:bCs/>
      <w:kern w:val="2"/>
      <w:sz w:val="20"/>
      <w:lang w:eastAsia="ko-KR"/>
    </w:rPr>
  </w:style>
  <w:style w:type="character" w:customStyle="1" w:styleId="CommentSubjectChar">
    <w:name w:val="Comment Subject Char"/>
    <w:basedOn w:val="CommentTextChar"/>
    <w:link w:val="CommentSubject"/>
    <w:uiPriority w:val="99"/>
    <w:semiHidden/>
    <w:rsid w:val="00456EF5"/>
    <w:rPr>
      <w:b/>
      <w:bCs/>
      <w:kern w:val="0"/>
      <w:sz w:val="22"/>
      <w:lang w:eastAsia="en-US"/>
    </w:rPr>
  </w:style>
  <w:style w:type="paragraph" w:customStyle="1" w:styleId="Default">
    <w:name w:val="Default"/>
    <w:rsid w:val="00DF766A"/>
    <w:pPr>
      <w:widowControl w:val="0"/>
      <w:autoSpaceDE w:val="0"/>
      <w:autoSpaceDN w:val="0"/>
      <w:adjustRightInd w:val="0"/>
      <w:spacing w:after="0" w:line="240" w:lineRule="auto"/>
      <w:jc w:val="left"/>
    </w:pPr>
    <w:rPr>
      <w:rFonts w:ascii="Times New Roman" w:hAnsi="Times New Roman" w:cs="Times New Roman"/>
      <w:color w:val="000000"/>
      <w:kern w:val="0"/>
      <w:sz w:val="24"/>
      <w:szCs w:val="24"/>
    </w:rPr>
  </w:style>
  <w:style w:type="paragraph" w:styleId="Header">
    <w:name w:val="header"/>
    <w:basedOn w:val="Normal"/>
    <w:link w:val="HeaderChar"/>
    <w:uiPriority w:val="99"/>
    <w:unhideWhenUsed/>
    <w:rsid w:val="00A847DB"/>
    <w:pPr>
      <w:tabs>
        <w:tab w:val="center" w:pos="4513"/>
        <w:tab w:val="right" w:pos="9026"/>
      </w:tabs>
      <w:snapToGrid w:val="0"/>
    </w:pPr>
  </w:style>
  <w:style w:type="character" w:customStyle="1" w:styleId="HeaderChar">
    <w:name w:val="Header Char"/>
    <w:basedOn w:val="DefaultParagraphFont"/>
    <w:link w:val="Header"/>
    <w:uiPriority w:val="99"/>
    <w:rsid w:val="00A847DB"/>
  </w:style>
  <w:style w:type="paragraph" w:styleId="Footer">
    <w:name w:val="footer"/>
    <w:basedOn w:val="Normal"/>
    <w:link w:val="FooterChar"/>
    <w:unhideWhenUsed/>
    <w:rsid w:val="00A847DB"/>
    <w:pPr>
      <w:tabs>
        <w:tab w:val="center" w:pos="4513"/>
        <w:tab w:val="right" w:pos="9026"/>
      </w:tabs>
      <w:snapToGrid w:val="0"/>
    </w:pPr>
  </w:style>
  <w:style w:type="character" w:customStyle="1" w:styleId="FooterChar">
    <w:name w:val="Footer Char"/>
    <w:basedOn w:val="DefaultParagraphFont"/>
    <w:link w:val="Footer"/>
    <w:rsid w:val="00A847DB"/>
  </w:style>
  <w:style w:type="paragraph" w:styleId="ListParagraph">
    <w:name w:val="List Paragraph"/>
    <w:basedOn w:val="Normal"/>
    <w:uiPriority w:val="34"/>
    <w:qFormat/>
    <w:rsid w:val="00394B48"/>
    <w:pPr>
      <w:ind w:leftChars="400" w:left="800"/>
    </w:pPr>
  </w:style>
  <w:style w:type="table" w:customStyle="1" w:styleId="3">
    <w:name w:val="표 구분선3"/>
    <w:basedOn w:val="TableNormal"/>
    <w:next w:val="TableGrid"/>
    <w:uiPriority w:val="59"/>
    <w:rsid w:val="00742DC1"/>
    <w:pPr>
      <w:spacing w:before="20" w:after="20" w:line="240" w:lineRule="auto"/>
      <w:jc w:val="left"/>
    </w:pPr>
    <w:rPr>
      <w:rFonts w:ascii="Times New Roman" w:eastAsia="Malgun Gothic" w:hAnsi="Times New Roman" w:cs="Times New Roman"/>
      <w:kern w:val="0"/>
      <w:szCs w:val="20"/>
    </w:rPr>
    <w:tblPr>
      <w:tblInd w:w="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Pr>
  </w:style>
  <w:style w:type="character" w:customStyle="1" w:styleId="Heading1Char">
    <w:name w:val="Heading 1 Char"/>
    <w:aliases w:val="style1 Char,CTD Heading 1 Char"/>
    <w:basedOn w:val="DefaultParagraphFont"/>
    <w:link w:val="Heading1"/>
    <w:uiPriority w:val="9"/>
    <w:rsid w:val="00457025"/>
    <w:rPr>
      <w:rFonts w:ascii="Times New Roman" w:eastAsia="Times New Roman" w:hAnsi="Times New Roman" w:cs="Times New Roman"/>
      <w:b/>
      <w:kern w:val="0"/>
      <w:sz w:val="22"/>
      <w:szCs w:val="28"/>
      <w:lang w:val="en-GB" w:eastAsia="en-US"/>
    </w:rPr>
  </w:style>
  <w:style w:type="paragraph" w:customStyle="1" w:styleId="style1-1">
    <w:name w:val="style1-1"/>
    <w:basedOn w:val="Normal"/>
    <w:qFormat/>
    <w:rsid w:val="00457025"/>
    <w:pPr>
      <w:keepNext/>
      <w:widowControl/>
      <w:wordWrap/>
      <w:autoSpaceDE/>
      <w:autoSpaceDN/>
      <w:spacing w:before="240" w:after="120" w:line="240" w:lineRule="auto"/>
      <w:outlineLvl w:val="2"/>
    </w:pPr>
    <w:rPr>
      <w:rFonts w:ascii="Times New Roman" w:eastAsia="Times New Roman" w:hAnsi="Times New Roman" w:cs="Times New Roman"/>
      <w:b/>
      <w:kern w:val="0"/>
      <w:sz w:val="22"/>
      <w:szCs w:val="24"/>
    </w:rPr>
  </w:style>
  <w:style w:type="character" w:customStyle="1" w:styleId="Heading2Char">
    <w:name w:val="Heading 2 Char"/>
    <w:aliases w:val="eCTD-2nd-Section-Heading Char"/>
    <w:basedOn w:val="DefaultParagraphFont"/>
    <w:link w:val="Heading2"/>
    <w:rsid w:val="00457025"/>
    <w:rPr>
      <w:rFonts w:ascii="Times New Roman" w:hAnsi="Times New Roman" w:cs="Arial"/>
      <w:b/>
      <w:bCs/>
      <w:iCs/>
      <w:kern w:val="0"/>
      <w:sz w:val="24"/>
      <w:szCs w:val="28"/>
      <w:lang w:val="en-GB" w:eastAsia="de-DE"/>
    </w:rPr>
  </w:style>
  <w:style w:type="paragraph" w:styleId="NormalWeb">
    <w:name w:val="Normal (Web)"/>
    <w:basedOn w:val="Normal"/>
    <w:uiPriority w:val="99"/>
    <w:semiHidden/>
    <w:unhideWhenUsed/>
    <w:rsid w:val="00435F3E"/>
    <w:pPr>
      <w:widowControl/>
      <w:wordWrap/>
      <w:autoSpaceDE/>
      <w:autoSpaceDN/>
      <w:spacing w:before="100" w:beforeAutospacing="1" w:after="100" w:afterAutospacing="1" w:line="240" w:lineRule="auto"/>
      <w:jc w:val="left"/>
    </w:pPr>
    <w:rPr>
      <w:rFonts w:ascii="GulimChe" w:eastAsia="GulimChe" w:hAnsi="GulimChe" w:cs="Gulim"/>
      <w:kern w:val="0"/>
      <w:sz w:val="18"/>
      <w:szCs w:val="18"/>
    </w:rPr>
  </w:style>
  <w:style w:type="paragraph" w:styleId="Revision">
    <w:name w:val="Revision"/>
    <w:hidden/>
    <w:uiPriority w:val="99"/>
    <w:semiHidden/>
    <w:rsid w:val="007334A8"/>
    <w:pPr>
      <w:spacing w:after="0" w:line="240" w:lineRule="auto"/>
      <w:jc w:val="left"/>
    </w:pPr>
  </w:style>
  <w:style w:type="paragraph" w:customStyle="1" w:styleId="TableText10pt">
    <w:name w:val="TableText 10 pt"/>
    <w:basedOn w:val="Normal"/>
    <w:uiPriority w:val="99"/>
    <w:rsid w:val="008846C5"/>
    <w:pPr>
      <w:widowControl/>
      <w:wordWrap/>
      <w:autoSpaceDE/>
      <w:autoSpaceDN/>
      <w:spacing w:after="0" w:line="240" w:lineRule="auto"/>
      <w:jc w:val="left"/>
    </w:pPr>
    <w:rPr>
      <w:rFonts w:ascii="Times New Roman" w:eastAsia="Batang" w:hAnsi="Times New Roman" w:cs="Arial"/>
      <w:kern w:val="0"/>
      <w:szCs w:val="26"/>
      <w:lang w:val="en-GB" w:eastAsia="en-US"/>
    </w:rPr>
  </w:style>
  <w:style w:type="paragraph" w:customStyle="1" w:styleId="TableHeader-10pt">
    <w:name w:val="TableHeader-10 pt"/>
    <w:basedOn w:val="Normal"/>
    <w:uiPriority w:val="99"/>
    <w:rsid w:val="008846C5"/>
    <w:pPr>
      <w:keepNext/>
      <w:keepLines/>
      <w:widowControl/>
      <w:wordWrap/>
      <w:autoSpaceDE/>
      <w:autoSpaceDN/>
      <w:spacing w:before="20" w:after="20" w:line="240" w:lineRule="auto"/>
      <w:jc w:val="left"/>
    </w:pPr>
    <w:rPr>
      <w:rFonts w:ascii="Times New Roman" w:eastAsia="Batang" w:hAnsi="Times New Roman" w:cs="Times New Roman"/>
      <w:b/>
      <w:kern w:val="0"/>
      <w:szCs w:val="24"/>
      <w:lang w:val="en-GB" w:eastAsia="en-US"/>
    </w:rPr>
  </w:style>
  <w:style w:type="paragraph" w:styleId="BodyText">
    <w:name w:val="Body Text"/>
    <w:basedOn w:val="Normal"/>
    <w:link w:val="BodyTextChar"/>
    <w:rsid w:val="00522BED"/>
    <w:pPr>
      <w:widowControl/>
      <w:wordWrap/>
      <w:autoSpaceDE/>
      <w:autoSpaceDN/>
      <w:spacing w:after="120" w:line="240" w:lineRule="auto"/>
      <w:jc w:val="left"/>
    </w:pPr>
    <w:rPr>
      <w:rFonts w:ascii="Times New Roman" w:eastAsia="Malgun Gothic" w:hAnsi="Times New Roman" w:cs="Times New Roman"/>
      <w:kern w:val="0"/>
      <w:sz w:val="24"/>
      <w:szCs w:val="24"/>
      <w:lang w:val="en-GB" w:eastAsia="en-US"/>
    </w:rPr>
  </w:style>
  <w:style w:type="character" w:customStyle="1" w:styleId="BodyTextChar">
    <w:name w:val="Body Text Char"/>
    <w:basedOn w:val="DefaultParagraphFont"/>
    <w:link w:val="BodyText"/>
    <w:rsid w:val="00522BED"/>
    <w:rPr>
      <w:rFonts w:ascii="Times New Roman" w:eastAsia="Malgun Gothic" w:hAnsi="Times New Roman" w:cs="Times New Roman"/>
      <w:kern w:val="0"/>
      <w:sz w:val="24"/>
      <w:szCs w:val="24"/>
      <w:lang w:val="en-GB" w:eastAsia="en-US"/>
    </w:rPr>
  </w:style>
  <w:style w:type="character" w:customStyle="1" w:styleId="CaptionChar">
    <w:name w:val="Caption Char"/>
    <w:aliases w:val="Caption 12pt+ Char,12 Char,Designation Char,ctdCaption Char,Table Caption Char,Tab/Fig Char,eCTD-Beschriftung Char"/>
    <w:link w:val="Caption"/>
    <w:locked/>
    <w:rsid w:val="00522BED"/>
    <w:rPr>
      <w:b/>
      <w:bCs/>
      <w:szCs w:val="20"/>
    </w:rPr>
  </w:style>
  <w:style w:type="table" w:customStyle="1" w:styleId="4">
    <w:name w:val="표 구분선4"/>
    <w:basedOn w:val="TableNormal"/>
    <w:next w:val="TableGrid"/>
    <w:rsid w:val="00522BED"/>
    <w:pPr>
      <w:spacing w:before="20" w:after="20" w:line="240" w:lineRule="auto"/>
      <w:jc w:val="left"/>
    </w:pPr>
    <w:rPr>
      <w:rFonts w:ascii="Times New Roman" w:eastAsia="Malgun Gothic" w:hAnsi="Times New Roman" w:cs="Times New Roman"/>
      <w:kern w:val="0"/>
      <w:szCs w:val="20"/>
    </w:rPr>
    <w:tblPr>
      <w:tblInd w:w="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Pr>
  </w:style>
  <w:style w:type="paragraph" w:customStyle="1" w:styleId="EPTableHeader">
    <w:name w:val="EP Table Header"/>
    <w:rsid w:val="003909F7"/>
    <w:pPr>
      <w:keepNext/>
      <w:spacing w:before="20" w:after="20" w:line="240" w:lineRule="auto"/>
      <w:jc w:val="center"/>
    </w:pPr>
    <w:rPr>
      <w:rFonts w:ascii="Times New Roman Bold" w:eastAsia="Times New Roman" w:hAnsi="Times New Roman Bold" w:cs="Times New Roman"/>
      <w:b/>
      <w:kern w:val="0"/>
      <w:szCs w:val="20"/>
      <w:lang w:eastAsia="en-US"/>
    </w:rPr>
  </w:style>
  <w:style w:type="paragraph" w:customStyle="1" w:styleId="EPTableHeaderLeft">
    <w:name w:val="EP Table Header Left"/>
    <w:basedOn w:val="EPTableHeader"/>
    <w:rsid w:val="003909F7"/>
    <w:pPr>
      <w:jc w:val="left"/>
    </w:pPr>
  </w:style>
  <w:style w:type="paragraph" w:customStyle="1" w:styleId="EPTableRow">
    <w:name w:val="EP Table Row"/>
    <w:rsid w:val="003909F7"/>
    <w:pPr>
      <w:keepNext/>
      <w:spacing w:before="20" w:after="20" w:line="240" w:lineRule="auto"/>
      <w:jc w:val="center"/>
    </w:pPr>
    <w:rPr>
      <w:rFonts w:ascii="Times New Roman" w:eastAsia="Times New Roman" w:hAnsi="Times New Roman" w:cs="Times New Roman"/>
      <w:kern w:val="0"/>
      <w:szCs w:val="20"/>
      <w:lang w:eastAsia="en-US"/>
    </w:rPr>
  </w:style>
  <w:style w:type="paragraph" w:customStyle="1" w:styleId="Figfoot">
    <w:name w:val="Figfoot"/>
    <w:basedOn w:val="Normal"/>
    <w:uiPriority w:val="99"/>
    <w:rsid w:val="003909F7"/>
    <w:pPr>
      <w:widowControl/>
      <w:suppressAutoHyphens/>
      <w:wordWrap/>
      <w:autoSpaceDE/>
      <w:autoSpaceDN/>
      <w:spacing w:after="0" w:line="240" w:lineRule="auto"/>
      <w:ind w:hanging="720"/>
      <w:jc w:val="left"/>
    </w:pPr>
    <w:rPr>
      <w:rFonts w:ascii="Arial" w:eastAsia="Times New Roman" w:hAnsi="Arial" w:cs="Times New Roman"/>
      <w:kern w:val="0"/>
      <w:sz w:val="18"/>
      <w:szCs w:val="20"/>
      <w:lang w:val="en-GB" w:eastAsia="en-US"/>
    </w:rPr>
  </w:style>
  <w:style w:type="table" w:customStyle="1" w:styleId="TableGrid1">
    <w:name w:val="Table Grid1"/>
    <w:basedOn w:val="TableNormal"/>
    <w:rsid w:val="003909F7"/>
    <w:pPr>
      <w:spacing w:after="0" w:line="240" w:lineRule="auto"/>
      <w:jc w:val="left"/>
    </w:pPr>
    <w:rPr>
      <w:rFonts w:ascii="Times New Roman" w:eastAsia="Malgun Gothic" w:hAnsi="Times New Roman" w:cs="Times New Roman"/>
      <w:kern w:val="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E4F2A"/>
    <w:rPr>
      <w:color w:val="0000FF" w:themeColor="hyperlink"/>
      <w:u w:val="single"/>
    </w:rPr>
  </w:style>
  <w:style w:type="character" w:customStyle="1" w:styleId="Heading3Char">
    <w:name w:val="Heading 3 Char"/>
    <w:basedOn w:val="DefaultParagraphFont"/>
    <w:link w:val="Heading3"/>
    <w:uiPriority w:val="9"/>
    <w:semiHidden/>
    <w:rsid w:val="007B2DB4"/>
    <w:rPr>
      <w:rFonts w:asciiTheme="majorHAnsi" w:eastAsiaTheme="majorEastAsia" w:hAnsiTheme="majorHAnsi" w:cstheme="majorBidi"/>
    </w:rPr>
  </w:style>
  <w:style w:type="character" w:customStyle="1" w:styleId="Heading8Char">
    <w:name w:val="Heading 8 Char"/>
    <w:basedOn w:val="DefaultParagraphFont"/>
    <w:link w:val="Heading8"/>
    <w:uiPriority w:val="9"/>
    <w:semiHidden/>
    <w:rsid w:val="007B2DB4"/>
  </w:style>
  <w:style w:type="character" w:customStyle="1" w:styleId="Heading9Char">
    <w:name w:val="Heading 9 Char"/>
    <w:basedOn w:val="DefaultParagraphFont"/>
    <w:link w:val="Heading9"/>
    <w:uiPriority w:val="9"/>
    <w:semiHidden/>
    <w:rsid w:val="007B2DB4"/>
  </w:style>
  <w:style w:type="paragraph" w:styleId="BodyText2">
    <w:name w:val="Body Text 2"/>
    <w:basedOn w:val="Normal"/>
    <w:link w:val="BodyText2Char"/>
    <w:uiPriority w:val="99"/>
    <w:semiHidden/>
    <w:unhideWhenUsed/>
    <w:rsid w:val="007B2DB4"/>
    <w:pPr>
      <w:spacing w:after="180" w:line="480" w:lineRule="auto"/>
    </w:pPr>
  </w:style>
  <w:style w:type="character" w:customStyle="1" w:styleId="BodyText2Char">
    <w:name w:val="Body Text 2 Char"/>
    <w:basedOn w:val="DefaultParagraphFont"/>
    <w:link w:val="BodyText2"/>
    <w:uiPriority w:val="99"/>
    <w:semiHidden/>
    <w:rsid w:val="007B2DB4"/>
  </w:style>
  <w:style w:type="paragraph" w:styleId="NoSpacing">
    <w:name w:val="No Spacing"/>
    <w:uiPriority w:val="1"/>
    <w:qFormat/>
    <w:rsid w:val="00C27D60"/>
    <w:pPr>
      <w:widowControl w:val="0"/>
      <w:wordWrap w:val="0"/>
      <w:autoSpaceDE w:val="0"/>
      <w:autoSpaceDN w:val="0"/>
      <w:spacing w:after="0" w:line="240" w:lineRule="auto"/>
    </w:pPr>
  </w:style>
  <w:style w:type="paragraph" w:customStyle="1" w:styleId="eCTD-Table-Cell-Content">
    <w:name w:val="eCTD-Table-Cell-Content"/>
    <w:rsid w:val="0059022D"/>
    <w:pPr>
      <w:keepLines/>
      <w:spacing w:before="40" w:after="40" w:line="240" w:lineRule="auto"/>
      <w:jc w:val="center"/>
    </w:pPr>
    <w:rPr>
      <w:rFonts w:ascii="Times New Roman" w:hAnsi="Times New Roman" w:cs="Times New Roman"/>
      <w:kern w:val="0"/>
      <w:szCs w:val="20"/>
      <w:lang w:val="en-GB" w:eastAsia="en-US"/>
    </w:rPr>
  </w:style>
  <w:style w:type="paragraph" w:customStyle="1" w:styleId="eCTD-Table-Cell-Heading">
    <w:name w:val="eCTD-Table-Cell-Heading"/>
    <w:next w:val="eCTD-Table-Cell-Content"/>
    <w:rsid w:val="0059022D"/>
    <w:pPr>
      <w:spacing w:before="80" w:after="80" w:line="240" w:lineRule="auto"/>
      <w:jc w:val="center"/>
    </w:pPr>
    <w:rPr>
      <w:rFonts w:ascii="Times New Roman" w:hAnsi="Times New Roman" w:cs="Times New Roman"/>
      <w:b/>
      <w:kern w:val="0"/>
      <w:szCs w:val="20"/>
      <w:lang w:val="en-GB" w:eastAsia="en-US"/>
    </w:rPr>
  </w:style>
  <w:style w:type="paragraph" w:customStyle="1" w:styleId="eCTD-Table-Figure-Legend">
    <w:name w:val="eCTD-Table-Figure-Legend"/>
    <w:rsid w:val="0059022D"/>
    <w:pPr>
      <w:spacing w:after="0" w:line="240" w:lineRule="auto"/>
      <w:jc w:val="left"/>
    </w:pPr>
    <w:rPr>
      <w:rFonts w:ascii="Times New Roman" w:hAnsi="Times New Roman" w:cs="Times New Roman"/>
      <w:kern w:val="0"/>
      <w:sz w:val="18"/>
      <w:szCs w:val="24"/>
      <w:lang w:val="en-GB" w:eastAsia="de-DE"/>
    </w:rPr>
  </w:style>
  <w:style w:type="paragraph" w:styleId="FootnoteText">
    <w:name w:val="footnote text"/>
    <w:basedOn w:val="Normal"/>
    <w:link w:val="FootnoteTextChar"/>
    <w:semiHidden/>
    <w:rsid w:val="00302648"/>
    <w:pPr>
      <w:widowControl/>
      <w:wordWrap/>
      <w:autoSpaceDE/>
      <w:autoSpaceDN/>
      <w:spacing w:after="0" w:line="240" w:lineRule="auto"/>
      <w:jc w:val="left"/>
    </w:pPr>
    <w:rPr>
      <w:rFonts w:ascii="Courier" w:eastAsia="Malgun Gothic" w:hAnsi="Courier" w:cs="Times New Roman"/>
      <w:kern w:val="0"/>
      <w:szCs w:val="20"/>
      <w:lang w:eastAsia="en-AU"/>
    </w:rPr>
  </w:style>
  <w:style w:type="character" w:customStyle="1" w:styleId="FootnoteTextChar">
    <w:name w:val="Footnote Text Char"/>
    <w:basedOn w:val="DefaultParagraphFont"/>
    <w:link w:val="FootnoteText"/>
    <w:semiHidden/>
    <w:rsid w:val="00302648"/>
    <w:rPr>
      <w:rFonts w:ascii="Courier" w:eastAsia="Malgun Gothic" w:hAnsi="Courier" w:cs="Times New Roman"/>
      <w:kern w:val="0"/>
      <w:szCs w:val="20"/>
      <w:lang w:eastAsia="en-AU"/>
    </w:rPr>
  </w:style>
  <w:style w:type="paragraph" w:styleId="EndnoteText">
    <w:name w:val="endnote text"/>
    <w:basedOn w:val="Normal"/>
    <w:link w:val="EndnoteTextChar"/>
    <w:semiHidden/>
    <w:rsid w:val="00302648"/>
    <w:pPr>
      <w:widowControl/>
      <w:tabs>
        <w:tab w:val="left" w:pos="360"/>
      </w:tabs>
      <w:wordWrap/>
      <w:autoSpaceDE/>
      <w:autoSpaceDN/>
      <w:spacing w:after="120" w:line="240" w:lineRule="auto"/>
      <w:ind w:left="360" w:hanging="360"/>
      <w:jc w:val="left"/>
    </w:pPr>
    <w:rPr>
      <w:rFonts w:ascii="Times New Roman" w:eastAsia="Malgun Gothic" w:hAnsi="Times New Roman" w:cs="Times New Roman"/>
      <w:kern w:val="0"/>
      <w:szCs w:val="20"/>
      <w:lang w:eastAsia="en-US"/>
    </w:rPr>
  </w:style>
  <w:style w:type="character" w:customStyle="1" w:styleId="EndnoteTextChar">
    <w:name w:val="Endnote Text Char"/>
    <w:basedOn w:val="DefaultParagraphFont"/>
    <w:link w:val="EndnoteText"/>
    <w:semiHidden/>
    <w:rsid w:val="00302648"/>
    <w:rPr>
      <w:rFonts w:ascii="Times New Roman" w:eastAsia="Malgun Gothic" w:hAnsi="Times New Roman" w:cs="Times New Roman"/>
      <w:kern w:val="0"/>
      <w:szCs w:val="20"/>
      <w:lang w:eastAsia="en-US"/>
    </w:rPr>
  </w:style>
  <w:style w:type="paragraph" w:customStyle="1" w:styleId="Ballongtext">
    <w:name w:val="Ballongtext"/>
    <w:basedOn w:val="Normal"/>
    <w:semiHidden/>
    <w:rsid w:val="00302648"/>
    <w:pPr>
      <w:widowControl/>
      <w:wordWrap/>
      <w:autoSpaceDE/>
      <w:autoSpaceDN/>
      <w:spacing w:after="0" w:line="240" w:lineRule="auto"/>
      <w:jc w:val="left"/>
    </w:pPr>
    <w:rPr>
      <w:rFonts w:ascii="Tahoma" w:eastAsia="Malgun Gothic" w:hAnsi="Tahoma" w:cs="Tahoma"/>
      <w:kern w:val="0"/>
      <w:sz w:val="16"/>
      <w:szCs w:val="16"/>
      <w:lang w:val="en-GB" w:eastAsia="en-US"/>
    </w:rPr>
  </w:style>
  <w:style w:type="paragraph" w:customStyle="1" w:styleId="PI-Header3">
    <w:name w:val="PI - Header 3"/>
    <w:basedOn w:val="Normal"/>
    <w:link w:val="PI-Header3Char"/>
    <w:rsid w:val="00302648"/>
    <w:pPr>
      <w:widowControl/>
      <w:wordWrap/>
      <w:autoSpaceDE/>
      <w:autoSpaceDN/>
      <w:spacing w:after="0" w:line="240" w:lineRule="auto"/>
    </w:pPr>
    <w:rPr>
      <w:rFonts w:ascii="Arial" w:eastAsia="Malgun Gothic" w:hAnsi="Arial" w:cs="Arial"/>
      <w:kern w:val="0"/>
      <w:sz w:val="22"/>
      <w:u w:val="single"/>
      <w:lang w:val="en-GB" w:eastAsia="en-AU"/>
    </w:rPr>
  </w:style>
  <w:style w:type="character" w:customStyle="1" w:styleId="PI-Header3Char">
    <w:name w:val="PI - Header 3 Char"/>
    <w:link w:val="PI-Header3"/>
    <w:rsid w:val="00302648"/>
    <w:rPr>
      <w:rFonts w:ascii="Arial" w:eastAsia="Malgun Gothic" w:hAnsi="Arial" w:cs="Arial"/>
      <w:kern w:val="0"/>
      <w:sz w:val="22"/>
      <w:u w:val="single"/>
      <w:lang w:val="en-GB" w:eastAsia="en-AU"/>
    </w:rPr>
  </w:style>
  <w:style w:type="character" w:customStyle="1" w:styleId="Heading6Char">
    <w:name w:val="Heading 6 Char"/>
    <w:basedOn w:val="DefaultParagraphFont"/>
    <w:link w:val="Heading6"/>
    <w:uiPriority w:val="9"/>
    <w:semiHidden/>
    <w:rsid w:val="00302648"/>
    <w:rPr>
      <w:b/>
      <w:bCs/>
    </w:rPr>
  </w:style>
  <w:style w:type="character" w:customStyle="1" w:styleId="Heading7Char">
    <w:name w:val="Heading 7 Char"/>
    <w:basedOn w:val="DefaultParagraphFont"/>
    <w:link w:val="Heading7"/>
    <w:uiPriority w:val="9"/>
    <w:semiHidden/>
    <w:rsid w:val="00302648"/>
  </w:style>
  <w:style w:type="table" w:customStyle="1" w:styleId="1">
    <w:name w:val="표 구분선1"/>
    <w:basedOn w:val="TableNormal"/>
    <w:next w:val="TableGrid"/>
    <w:rsid w:val="00224350"/>
    <w:pPr>
      <w:spacing w:after="0" w:line="240" w:lineRule="auto"/>
      <w:jc w:val="left"/>
    </w:pPr>
    <w:rPr>
      <w:rFonts w:ascii="Times New Roman" w:hAnsi="Times New Roman" w:cs="Times New Roman"/>
      <w:kern w:val="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표 구분선2"/>
    <w:basedOn w:val="TableNormal"/>
    <w:next w:val="TableGrid"/>
    <w:rsid w:val="00224350"/>
    <w:pPr>
      <w:spacing w:after="0" w:line="240" w:lineRule="auto"/>
      <w:jc w:val="left"/>
    </w:pPr>
    <w:rPr>
      <w:rFonts w:ascii="Times New Roman" w:hAnsi="Times New Roman" w:cs="Times New Roman"/>
      <w:kern w:val="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표 구분선5"/>
    <w:basedOn w:val="TableNormal"/>
    <w:next w:val="TableGrid"/>
    <w:rsid w:val="006E2E16"/>
    <w:pPr>
      <w:spacing w:after="0" w:line="240" w:lineRule="auto"/>
      <w:jc w:val="left"/>
    </w:pPr>
    <w:rPr>
      <w:rFonts w:ascii="Times New Roman" w:hAnsi="Times New Roman" w:cs="Times New Roman"/>
      <w:kern w:val="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qFormat/>
    <w:rsid w:val="006D7A68"/>
    <w:pPr>
      <w:widowControl/>
      <w:numPr>
        <w:numId w:val="25"/>
      </w:numPr>
      <w:wordWrap/>
      <w:autoSpaceDE/>
      <w:autoSpaceDN/>
      <w:spacing w:before="120" w:after="180" w:line="240" w:lineRule="atLeast"/>
      <w:jc w:val="left"/>
    </w:pPr>
    <w:rPr>
      <w:rFonts w:ascii="Cambria" w:eastAsia="Cambria" w:hAnsi="Cambria" w:cs="Times New Roman"/>
      <w:kern w:val="0"/>
      <w:sz w:val="22"/>
      <w:lang w:val="en-AU" w:eastAsia="en-US"/>
    </w:rPr>
  </w:style>
  <w:style w:type="paragraph" w:styleId="ListBullet2">
    <w:name w:val="List Bullet 2"/>
    <w:basedOn w:val="Normal"/>
    <w:uiPriority w:val="99"/>
    <w:qFormat/>
    <w:rsid w:val="006D7A68"/>
    <w:pPr>
      <w:widowControl/>
      <w:numPr>
        <w:ilvl w:val="1"/>
        <w:numId w:val="25"/>
      </w:numPr>
      <w:wordWrap/>
      <w:autoSpaceDE/>
      <w:autoSpaceDN/>
      <w:spacing w:before="120" w:after="180" w:line="240" w:lineRule="atLeast"/>
      <w:jc w:val="left"/>
    </w:pPr>
    <w:rPr>
      <w:rFonts w:ascii="Cambria" w:eastAsia="Cambria" w:hAnsi="Cambria" w:cs="Times New Roman"/>
      <w:kern w:val="0"/>
      <w:sz w:val="22"/>
      <w:lang w:val="en-AU" w:eastAsia="en-US"/>
    </w:rPr>
  </w:style>
  <w:style w:type="paragraph" w:styleId="ListBullet3">
    <w:name w:val="List Bullet 3"/>
    <w:basedOn w:val="Normal"/>
    <w:uiPriority w:val="99"/>
    <w:qFormat/>
    <w:rsid w:val="006D7A68"/>
    <w:pPr>
      <w:widowControl/>
      <w:numPr>
        <w:ilvl w:val="2"/>
        <w:numId w:val="25"/>
      </w:numPr>
      <w:wordWrap/>
      <w:autoSpaceDE/>
      <w:autoSpaceDN/>
      <w:spacing w:before="120" w:after="180" w:line="240" w:lineRule="atLeast"/>
      <w:jc w:val="left"/>
    </w:pPr>
    <w:rPr>
      <w:rFonts w:ascii="Cambria" w:eastAsia="Cambria" w:hAnsi="Cambria" w:cs="Times New Roman"/>
      <w:kern w:val="0"/>
      <w:sz w:val="22"/>
      <w:lang w:val="en-AU" w:eastAsia="en-US"/>
    </w:rPr>
  </w:style>
  <w:style w:type="numbering" w:customStyle="1" w:styleId="ListBullets">
    <w:name w:val="ListBullets"/>
    <w:uiPriority w:val="99"/>
    <w:locked/>
    <w:rsid w:val="006D7A68"/>
    <w:pPr>
      <w:numPr>
        <w:numId w:val="2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0740">
      <w:bodyDiv w:val="1"/>
      <w:marLeft w:val="0"/>
      <w:marRight w:val="0"/>
      <w:marTop w:val="0"/>
      <w:marBottom w:val="0"/>
      <w:divBdr>
        <w:top w:val="none" w:sz="0" w:space="0" w:color="auto"/>
        <w:left w:val="none" w:sz="0" w:space="0" w:color="auto"/>
        <w:bottom w:val="none" w:sz="0" w:space="0" w:color="auto"/>
        <w:right w:val="none" w:sz="0" w:space="0" w:color="auto"/>
      </w:divBdr>
    </w:div>
    <w:div w:id="113645500">
      <w:bodyDiv w:val="1"/>
      <w:marLeft w:val="0"/>
      <w:marRight w:val="0"/>
      <w:marTop w:val="0"/>
      <w:marBottom w:val="0"/>
      <w:divBdr>
        <w:top w:val="none" w:sz="0" w:space="0" w:color="auto"/>
        <w:left w:val="none" w:sz="0" w:space="0" w:color="auto"/>
        <w:bottom w:val="none" w:sz="0" w:space="0" w:color="auto"/>
        <w:right w:val="none" w:sz="0" w:space="0" w:color="auto"/>
      </w:divBdr>
    </w:div>
    <w:div w:id="192773825">
      <w:bodyDiv w:val="1"/>
      <w:marLeft w:val="0"/>
      <w:marRight w:val="0"/>
      <w:marTop w:val="0"/>
      <w:marBottom w:val="0"/>
      <w:divBdr>
        <w:top w:val="none" w:sz="0" w:space="0" w:color="auto"/>
        <w:left w:val="none" w:sz="0" w:space="0" w:color="auto"/>
        <w:bottom w:val="none" w:sz="0" w:space="0" w:color="auto"/>
        <w:right w:val="none" w:sz="0" w:space="0" w:color="auto"/>
      </w:divBdr>
    </w:div>
    <w:div w:id="345640862">
      <w:bodyDiv w:val="1"/>
      <w:marLeft w:val="0"/>
      <w:marRight w:val="0"/>
      <w:marTop w:val="0"/>
      <w:marBottom w:val="0"/>
      <w:divBdr>
        <w:top w:val="none" w:sz="0" w:space="0" w:color="auto"/>
        <w:left w:val="none" w:sz="0" w:space="0" w:color="auto"/>
        <w:bottom w:val="none" w:sz="0" w:space="0" w:color="auto"/>
        <w:right w:val="none" w:sz="0" w:space="0" w:color="auto"/>
      </w:divBdr>
    </w:div>
    <w:div w:id="387612457">
      <w:bodyDiv w:val="1"/>
      <w:marLeft w:val="0"/>
      <w:marRight w:val="0"/>
      <w:marTop w:val="0"/>
      <w:marBottom w:val="0"/>
      <w:divBdr>
        <w:top w:val="none" w:sz="0" w:space="0" w:color="auto"/>
        <w:left w:val="none" w:sz="0" w:space="0" w:color="auto"/>
        <w:bottom w:val="none" w:sz="0" w:space="0" w:color="auto"/>
        <w:right w:val="none" w:sz="0" w:space="0" w:color="auto"/>
      </w:divBdr>
    </w:div>
    <w:div w:id="389351097">
      <w:bodyDiv w:val="1"/>
      <w:marLeft w:val="0"/>
      <w:marRight w:val="0"/>
      <w:marTop w:val="0"/>
      <w:marBottom w:val="0"/>
      <w:divBdr>
        <w:top w:val="none" w:sz="0" w:space="0" w:color="auto"/>
        <w:left w:val="none" w:sz="0" w:space="0" w:color="auto"/>
        <w:bottom w:val="none" w:sz="0" w:space="0" w:color="auto"/>
        <w:right w:val="none" w:sz="0" w:space="0" w:color="auto"/>
      </w:divBdr>
    </w:div>
    <w:div w:id="472406750">
      <w:bodyDiv w:val="1"/>
      <w:marLeft w:val="0"/>
      <w:marRight w:val="0"/>
      <w:marTop w:val="0"/>
      <w:marBottom w:val="0"/>
      <w:divBdr>
        <w:top w:val="none" w:sz="0" w:space="0" w:color="auto"/>
        <w:left w:val="none" w:sz="0" w:space="0" w:color="auto"/>
        <w:bottom w:val="none" w:sz="0" w:space="0" w:color="auto"/>
        <w:right w:val="none" w:sz="0" w:space="0" w:color="auto"/>
      </w:divBdr>
    </w:div>
    <w:div w:id="528681490">
      <w:bodyDiv w:val="1"/>
      <w:marLeft w:val="0"/>
      <w:marRight w:val="0"/>
      <w:marTop w:val="0"/>
      <w:marBottom w:val="0"/>
      <w:divBdr>
        <w:top w:val="none" w:sz="0" w:space="0" w:color="auto"/>
        <w:left w:val="none" w:sz="0" w:space="0" w:color="auto"/>
        <w:bottom w:val="none" w:sz="0" w:space="0" w:color="auto"/>
        <w:right w:val="none" w:sz="0" w:space="0" w:color="auto"/>
      </w:divBdr>
    </w:div>
    <w:div w:id="731343094">
      <w:bodyDiv w:val="1"/>
      <w:marLeft w:val="0"/>
      <w:marRight w:val="0"/>
      <w:marTop w:val="0"/>
      <w:marBottom w:val="0"/>
      <w:divBdr>
        <w:top w:val="none" w:sz="0" w:space="0" w:color="auto"/>
        <w:left w:val="none" w:sz="0" w:space="0" w:color="auto"/>
        <w:bottom w:val="none" w:sz="0" w:space="0" w:color="auto"/>
        <w:right w:val="none" w:sz="0" w:space="0" w:color="auto"/>
      </w:divBdr>
    </w:div>
    <w:div w:id="1021200210">
      <w:bodyDiv w:val="1"/>
      <w:marLeft w:val="0"/>
      <w:marRight w:val="0"/>
      <w:marTop w:val="0"/>
      <w:marBottom w:val="0"/>
      <w:divBdr>
        <w:top w:val="none" w:sz="0" w:space="0" w:color="auto"/>
        <w:left w:val="none" w:sz="0" w:space="0" w:color="auto"/>
        <w:bottom w:val="none" w:sz="0" w:space="0" w:color="auto"/>
        <w:right w:val="none" w:sz="0" w:space="0" w:color="auto"/>
      </w:divBdr>
      <w:divsChild>
        <w:div w:id="1095593299">
          <w:marLeft w:val="150"/>
          <w:marRight w:val="150"/>
          <w:marTop w:val="150"/>
          <w:marBottom w:val="150"/>
          <w:divBdr>
            <w:top w:val="none" w:sz="0" w:space="0" w:color="auto"/>
            <w:left w:val="none" w:sz="0" w:space="0" w:color="auto"/>
            <w:bottom w:val="none" w:sz="0" w:space="0" w:color="auto"/>
            <w:right w:val="none" w:sz="0" w:space="0" w:color="auto"/>
          </w:divBdr>
        </w:div>
      </w:divsChild>
    </w:div>
    <w:div w:id="1031614830">
      <w:bodyDiv w:val="1"/>
      <w:marLeft w:val="0"/>
      <w:marRight w:val="0"/>
      <w:marTop w:val="0"/>
      <w:marBottom w:val="0"/>
      <w:divBdr>
        <w:top w:val="none" w:sz="0" w:space="0" w:color="auto"/>
        <w:left w:val="none" w:sz="0" w:space="0" w:color="auto"/>
        <w:bottom w:val="none" w:sz="0" w:space="0" w:color="auto"/>
        <w:right w:val="none" w:sz="0" w:space="0" w:color="auto"/>
      </w:divBdr>
    </w:div>
    <w:div w:id="1089425447">
      <w:bodyDiv w:val="1"/>
      <w:marLeft w:val="0"/>
      <w:marRight w:val="0"/>
      <w:marTop w:val="0"/>
      <w:marBottom w:val="0"/>
      <w:divBdr>
        <w:top w:val="none" w:sz="0" w:space="0" w:color="auto"/>
        <w:left w:val="none" w:sz="0" w:space="0" w:color="auto"/>
        <w:bottom w:val="none" w:sz="0" w:space="0" w:color="auto"/>
        <w:right w:val="none" w:sz="0" w:space="0" w:color="auto"/>
      </w:divBdr>
    </w:div>
    <w:div w:id="1153253939">
      <w:bodyDiv w:val="1"/>
      <w:marLeft w:val="0"/>
      <w:marRight w:val="0"/>
      <w:marTop w:val="0"/>
      <w:marBottom w:val="0"/>
      <w:divBdr>
        <w:top w:val="none" w:sz="0" w:space="0" w:color="auto"/>
        <w:left w:val="none" w:sz="0" w:space="0" w:color="auto"/>
        <w:bottom w:val="none" w:sz="0" w:space="0" w:color="auto"/>
        <w:right w:val="none" w:sz="0" w:space="0" w:color="auto"/>
      </w:divBdr>
    </w:div>
    <w:div w:id="1349212827">
      <w:bodyDiv w:val="1"/>
      <w:marLeft w:val="0"/>
      <w:marRight w:val="0"/>
      <w:marTop w:val="0"/>
      <w:marBottom w:val="0"/>
      <w:divBdr>
        <w:top w:val="none" w:sz="0" w:space="0" w:color="auto"/>
        <w:left w:val="none" w:sz="0" w:space="0" w:color="auto"/>
        <w:bottom w:val="none" w:sz="0" w:space="0" w:color="auto"/>
        <w:right w:val="none" w:sz="0" w:space="0" w:color="auto"/>
      </w:divBdr>
    </w:div>
    <w:div w:id="1422412926">
      <w:bodyDiv w:val="1"/>
      <w:marLeft w:val="0"/>
      <w:marRight w:val="0"/>
      <w:marTop w:val="0"/>
      <w:marBottom w:val="0"/>
      <w:divBdr>
        <w:top w:val="none" w:sz="0" w:space="0" w:color="auto"/>
        <w:left w:val="none" w:sz="0" w:space="0" w:color="auto"/>
        <w:bottom w:val="none" w:sz="0" w:space="0" w:color="auto"/>
        <w:right w:val="none" w:sz="0" w:space="0" w:color="auto"/>
      </w:divBdr>
    </w:div>
    <w:div w:id="1458646342">
      <w:bodyDiv w:val="1"/>
      <w:marLeft w:val="0"/>
      <w:marRight w:val="0"/>
      <w:marTop w:val="0"/>
      <w:marBottom w:val="0"/>
      <w:divBdr>
        <w:top w:val="none" w:sz="0" w:space="0" w:color="auto"/>
        <w:left w:val="none" w:sz="0" w:space="0" w:color="auto"/>
        <w:bottom w:val="none" w:sz="0" w:space="0" w:color="auto"/>
        <w:right w:val="none" w:sz="0" w:space="0" w:color="auto"/>
      </w:divBdr>
    </w:div>
    <w:div w:id="1491286941">
      <w:bodyDiv w:val="1"/>
      <w:marLeft w:val="0"/>
      <w:marRight w:val="0"/>
      <w:marTop w:val="0"/>
      <w:marBottom w:val="0"/>
      <w:divBdr>
        <w:top w:val="none" w:sz="0" w:space="0" w:color="auto"/>
        <w:left w:val="none" w:sz="0" w:space="0" w:color="auto"/>
        <w:bottom w:val="none" w:sz="0" w:space="0" w:color="auto"/>
        <w:right w:val="none" w:sz="0" w:space="0" w:color="auto"/>
      </w:divBdr>
    </w:div>
    <w:div w:id="1545095191">
      <w:bodyDiv w:val="1"/>
      <w:marLeft w:val="0"/>
      <w:marRight w:val="0"/>
      <w:marTop w:val="0"/>
      <w:marBottom w:val="0"/>
      <w:divBdr>
        <w:top w:val="none" w:sz="0" w:space="0" w:color="auto"/>
        <w:left w:val="none" w:sz="0" w:space="0" w:color="auto"/>
        <w:bottom w:val="none" w:sz="0" w:space="0" w:color="auto"/>
        <w:right w:val="none" w:sz="0" w:space="0" w:color="auto"/>
      </w:divBdr>
    </w:div>
    <w:div w:id="1561093985">
      <w:bodyDiv w:val="1"/>
      <w:marLeft w:val="0"/>
      <w:marRight w:val="0"/>
      <w:marTop w:val="0"/>
      <w:marBottom w:val="0"/>
      <w:divBdr>
        <w:top w:val="none" w:sz="0" w:space="0" w:color="auto"/>
        <w:left w:val="none" w:sz="0" w:space="0" w:color="auto"/>
        <w:bottom w:val="none" w:sz="0" w:space="0" w:color="auto"/>
        <w:right w:val="none" w:sz="0" w:space="0" w:color="auto"/>
      </w:divBdr>
    </w:div>
    <w:div w:id="1715419585">
      <w:bodyDiv w:val="1"/>
      <w:marLeft w:val="0"/>
      <w:marRight w:val="0"/>
      <w:marTop w:val="0"/>
      <w:marBottom w:val="0"/>
      <w:divBdr>
        <w:top w:val="none" w:sz="0" w:space="0" w:color="auto"/>
        <w:left w:val="none" w:sz="0" w:space="0" w:color="auto"/>
        <w:bottom w:val="none" w:sz="0" w:space="0" w:color="auto"/>
        <w:right w:val="none" w:sz="0" w:space="0" w:color="auto"/>
      </w:divBdr>
    </w:div>
    <w:div w:id="1941987327">
      <w:bodyDiv w:val="1"/>
      <w:marLeft w:val="0"/>
      <w:marRight w:val="0"/>
      <w:marTop w:val="0"/>
      <w:marBottom w:val="0"/>
      <w:divBdr>
        <w:top w:val="none" w:sz="0" w:space="0" w:color="auto"/>
        <w:left w:val="none" w:sz="0" w:space="0" w:color="auto"/>
        <w:bottom w:val="none" w:sz="0" w:space="0" w:color="auto"/>
        <w:right w:val="none" w:sz="0" w:space="0" w:color="auto"/>
      </w:divBdr>
    </w:div>
    <w:div w:id="1976139141">
      <w:bodyDiv w:val="1"/>
      <w:marLeft w:val="0"/>
      <w:marRight w:val="0"/>
      <w:marTop w:val="0"/>
      <w:marBottom w:val="0"/>
      <w:divBdr>
        <w:top w:val="none" w:sz="0" w:space="0" w:color="auto"/>
        <w:left w:val="none" w:sz="0" w:space="0" w:color="auto"/>
        <w:bottom w:val="none" w:sz="0" w:space="0" w:color="auto"/>
        <w:right w:val="none" w:sz="0" w:space="0" w:color="auto"/>
      </w:divBdr>
    </w:div>
    <w:div w:id="2032608523">
      <w:bodyDiv w:val="1"/>
      <w:marLeft w:val="0"/>
      <w:marRight w:val="0"/>
      <w:marTop w:val="0"/>
      <w:marBottom w:val="0"/>
      <w:divBdr>
        <w:top w:val="none" w:sz="0" w:space="0" w:color="auto"/>
        <w:left w:val="none" w:sz="0" w:space="0" w:color="auto"/>
        <w:bottom w:val="none" w:sz="0" w:space="0" w:color="auto"/>
        <w:right w:val="none" w:sz="0" w:space="0" w:color="auto"/>
      </w:divBdr>
    </w:div>
    <w:div w:id="2045330445">
      <w:bodyDiv w:val="1"/>
      <w:marLeft w:val="0"/>
      <w:marRight w:val="0"/>
      <w:marTop w:val="0"/>
      <w:marBottom w:val="0"/>
      <w:divBdr>
        <w:top w:val="none" w:sz="0" w:space="0" w:color="auto"/>
        <w:left w:val="none" w:sz="0" w:space="0" w:color="auto"/>
        <w:bottom w:val="none" w:sz="0" w:space="0" w:color="auto"/>
        <w:right w:val="none" w:sz="0" w:space="0" w:color="auto"/>
      </w:divBdr>
    </w:div>
    <w:div w:id="2053115241">
      <w:bodyDiv w:val="1"/>
      <w:marLeft w:val="0"/>
      <w:marRight w:val="0"/>
      <w:marTop w:val="0"/>
      <w:marBottom w:val="0"/>
      <w:divBdr>
        <w:top w:val="none" w:sz="0" w:space="0" w:color="auto"/>
        <w:left w:val="none" w:sz="0" w:space="0" w:color="auto"/>
        <w:bottom w:val="none" w:sz="0" w:space="0" w:color="auto"/>
        <w:right w:val="none" w:sz="0" w:space="0" w:color="auto"/>
      </w:divBdr>
    </w:div>
    <w:div w:id="2059739677">
      <w:bodyDiv w:val="1"/>
      <w:marLeft w:val="0"/>
      <w:marRight w:val="0"/>
      <w:marTop w:val="0"/>
      <w:marBottom w:val="0"/>
      <w:divBdr>
        <w:top w:val="none" w:sz="0" w:space="0" w:color="auto"/>
        <w:left w:val="none" w:sz="0" w:space="0" w:color="auto"/>
        <w:bottom w:val="none" w:sz="0" w:space="0" w:color="auto"/>
        <w:right w:val="none" w:sz="0" w:space="0" w:color="auto"/>
      </w:divBdr>
    </w:div>
    <w:div w:id="2073960138">
      <w:bodyDiv w:val="1"/>
      <w:marLeft w:val="0"/>
      <w:marRight w:val="0"/>
      <w:marTop w:val="0"/>
      <w:marBottom w:val="0"/>
      <w:divBdr>
        <w:top w:val="none" w:sz="0" w:space="0" w:color="auto"/>
        <w:left w:val="none" w:sz="0" w:space="0" w:color="auto"/>
        <w:bottom w:val="none" w:sz="0" w:space="0" w:color="auto"/>
        <w:right w:val="none" w:sz="0" w:space="0" w:color="auto"/>
      </w:divBdr>
    </w:div>
    <w:div w:id="2123841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customXml" Target="../customXml/item18.xml"/><Relationship Id="rId26" Type="http://schemas.microsoft.com/office/2007/relationships/stylesWithEffects" Target="stylesWithEffects.xml"/><Relationship Id="rId3" Type="http://schemas.openxmlformats.org/officeDocument/2006/relationships/customXml" Target="../customXml/item3.xml"/><Relationship Id="rId21" Type="http://schemas.openxmlformats.org/officeDocument/2006/relationships/customXml" Target="../customXml/item21.xml"/><Relationship Id="rId34"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styles" Target="styles.xm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customXml" Target="../customXml/item20.xml"/><Relationship Id="rId29" Type="http://schemas.openxmlformats.org/officeDocument/2006/relationships/footnotes" Target="footnote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numbering" Target="numbering.xml"/><Relationship Id="rId32" Type="http://schemas.openxmlformats.org/officeDocument/2006/relationships/image" Target="media/image2.png"/><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webSettings" Target="webSettings.xml"/><Relationship Id="rId36" Type="http://schemas.openxmlformats.org/officeDocument/2006/relationships/theme" Target="theme/theme1.xm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image" Target="media/image1.wmf"/><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settings" Target="settings.xml"/><Relationship Id="rId30" Type="http://schemas.openxmlformats.org/officeDocument/2006/relationships/endnotes" Target="endnotes.xml"/><Relationship Id="rId35"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10.xml><?xml version="1.0" encoding="utf-8"?>
<?mso-contentType ?>
<CTPrintExport xmlns="http://www.Qumas.com/Qumas.Compliance/ContentTypes/CTPrintExport" xmlns:i="http://www.w3.org/2001/XMLSchema-instance">
  <TimeStamp xmlns="http://schemas.datacontract.org/2004/07/QUMAS.Compliance.Common.SOM.DataContracts" i:nil="true"/>
  <UniqueId xmlns="http://schemas.datacontract.org/2004/07/QUMAS.Compliance.Common.SOM.DataContracts">00000000-0000-0000-0000-000000000000</UniqueId>
  <_printExportForLcss xmlns:a="http://www.Qumas.com/Qumas.Compliance/ContentTypes/CTPrintExportForLCS">
    <a:CTPrintExportForLCS>
      <TimeStamp xmlns="http://schemas.datacontract.org/2004/07/QUMAS.Compliance.Common.SOM.DataContracts" i:nil="true"/>
      <UniqueId xmlns="http://schemas.datacontract.org/2004/07/QUMAS.Compliance.Common.SOM.DataContracts">00000000-0000-0000-0000-000000000000</UniqueId>
      <a:LifecycleState>Draft</a:LifecycleState>
      <a:_printExportConfigs xmlns:b="http://www.Qumas.com/Qumas.Compliance/ContentTypes/CTPrintExportConfig">
        <b:CTPrintExportConfig>
          <TimeStamp xmlns="http://schemas.datacontract.org/2004/07/QUMAS.Compliance.Common.SOM.DataContracts" i:nil="true"/>
          <UniqueId xmlns="http://schemas.datacontract.org/2004/07/QUMAS.Compliance.Common.SOM.DataContracts">00000000-0000-0000-0000-000000000000</UniqueId>
          <b:AuthorizedUsers xmlns:c="http://schemas.datacontract.org/2004/07/QUMAS.Compliance.Common.SOM.DataContracts.Security">
            <c:UserOrGroup>
              <TimeStamp xmlns="http://schemas.datacontract.org/2004/07/QUMAS.Compliance.Common.SOM.DataContracts" i:nil="true"/>
              <UniqueId xmlns="http://schemas.datacontract.org/2004/07/QUMAS.Compliance.Common.SOM.DataContracts">00000000-0000-0000-0000-000000000000</UniqueId>
              <c:Id>7</c:Id>
              <c:Member>Samsung Bioepis Members</c:Member>
              <c:MemberType>SharePointGroup</c:MemberType>
            </c:UserOrGroup>
            <c:UserOrGroup>
              <TimeStamp xmlns="http://schemas.datacontract.org/2004/07/QUMAS.Compliance.Common.SOM.DataContracts" i:nil="true"/>
              <UniqueId xmlns="http://schemas.datacontract.org/2004/07/QUMAS.Compliance.Common.SOM.DataContracts">00000000-0000-0000-0000-000000000000</UniqueId>
              <c:Id>6</c:Id>
              <c:Member>Samsung Bioepis Visitors</c:Member>
              <c:MemberType>SharePointGroup</c:MemberType>
            </c:UserOrGroup>
          </b:AuthorizedUsers>
          <b:Description/>
          <b:ForExport>false</b:ForExport>
          <b:Id>6a9a0e4a-2bc1-4b80-b67b-995b93ac4e7f</b:Id>
          <b:Name>Print</b:Name>
          <b:RenderTemplate>Default Print Template</b:RenderTemplate>
        </b:CTPrintExportConfig>
        <b:CTPrintExportConfig>
          <TimeStamp xmlns="http://schemas.datacontract.org/2004/07/QUMAS.Compliance.Common.SOM.DataContracts" i:nil="true"/>
          <UniqueId xmlns="http://schemas.datacontract.org/2004/07/QUMAS.Compliance.Common.SOM.DataContracts">00000000-0000-0000-0000-000000000000</UniqueId>
          <b:AuthorizedUsers xmlns:c="http://schemas.datacontract.org/2004/07/QUMAS.Compliance.Common.SOM.DataContracts.Security">
            <c:UserOrGroup>
              <TimeStamp xmlns="http://schemas.datacontract.org/2004/07/QUMAS.Compliance.Common.SOM.DataContracts" i:nil="true"/>
              <UniqueId xmlns="http://schemas.datacontract.org/2004/07/QUMAS.Compliance.Common.SOM.DataContracts">00000000-0000-0000-0000-000000000000</UniqueId>
              <c:Id>7</c:Id>
              <c:Member>Samsung Bioepis Members</c:Member>
              <c:MemberType>SharePointGroup</c:MemberType>
            </c:UserOrGroup>
            <c:UserOrGroup>
              <TimeStamp xmlns="http://schemas.datacontract.org/2004/07/QUMAS.Compliance.Common.SOM.DataContracts" i:nil="true"/>
              <UniqueId xmlns="http://schemas.datacontract.org/2004/07/QUMAS.Compliance.Common.SOM.DataContracts">00000000-0000-0000-0000-000000000000</UniqueId>
              <c:Id>6</c:Id>
              <c:Member>Samsung Bioepis Visitors</c:Member>
              <c:MemberType>SharePointGroup</c:MemberType>
            </c:UserOrGroup>
          </b:AuthorizedUsers>
          <b:Description/>
          <b:ForExport>false</b:ForExport>
          <b:Id>2c9cdd99-d58d-4b1a-b9e1-1aef1587fea9</b:Id>
          <b:Name>Confidential Print</b:Name>
          <b:RenderTemplate>Confidential Print</b:RenderTemplate>
        </b:CTPrintExportConfig>
        <b:CTPrintExportConfig>
          <TimeStamp xmlns="http://schemas.datacontract.org/2004/07/QUMAS.Compliance.Common.SOM.DataContracts" i:nil="true"/>
          <UniqueId xmlns="http://schemas.datacontract.org/2004/07/QUMAS.Compliance.Common.SOM.DataContracts">00000000-0000-0000-0000-000000000000</UniqueId>
          <b:AuthorizedUsers xmlns:c="http://schemas.datacontract.org/2004/07/QUMAS.Compliance.Common.SOM.DataContracts.Security">
            <c:UserOrGroup>
              <TimeStamp xmlns="http://schemas.datacontract.org/2004/07/QUMAS.Compliance.Common.SOM.DataContracts" i:nil="true"/>
              <UniqueId xmlns="http://schemas.datacontract.org/2004/07/QUMAS.Compliance.Common.SOM.DataContracts">00000000-0000-0000-0000-000000000000</UniqueId>
              <c:Id>573</c:Id>
              <c:Member>maa_grp</c:Member>
              <c:MemberType>SharePointGroup</c:MemberType>
            </c:UserOrGroup>
          </b:AuthorizedUsers>
          <b:Description/>
          <b:ForExport>false</b:ForExport>
          <b:Id>7d57110a-da15-4679-bdbe-a89744565e54</b:Id>
          <b:Name>eCTD Print</b:Name>
          <b:RenderTemplate>eCTD Print</b:RenderTemplate>
        </b:CTPrintExportConfig>
        <b:CTPrintExportConfig>
          <TimeStamp xmlns="http://schemas.datacontract.org/2004/07/QUMAS.Compliance.Common.SOM.DataContracts" i:nil="true"/>
          <UniqueId xmlns="http://schemas.datacontract.org/2004/07/QUMAS.Compliance.Common.SOM.DataContracts">00000000-0000-0000-0000-000000000000</UniqueId>
          <b:AuthorizedUsers xmlns:c="http://schemas.datacontract.org/2004/07/QUMAS.Compliance.Common.SOM.DataContracts.Security">
            <c:UserOrGroup>
              <TimeStamp xmlns="http://schemas.datacontract.org/2004/07/QUMAS.Compliance.Common.SOM.DataContracts" i:nil="true"/>
              <UniqueId xmlns="http://schemas.datacontract.org/2004/07/QUMAS.Compliance.Common.SOM.DataContracts">00000000-0000-0000-0000-000000000000</UniqueId>
              <c:Id>5</c:Id>
              <c:Member>Samsung Bioepis Owners</c:Member>
              <c:MemberType>SharePointGroup</c:MemberType>
            </c:UserOrGroup>
          </b:AuthorizedUsers>
          <b:Description/>
          <b:ForExport>false</b:ForExport>
          <b:Id>76fdf272-2133-4e20-bc43-124c204cc1f5</b:Id>
          <b:Name>Hardcopy Print</b:Name>
          <b:RenderTemplate>Hardcopy Managed Print Template</b:RenderTemplate>
        </b:CTPrintExportConfig>
      </a:_printExportConfigs>
    </a:CTPrintExportForLCS>
    <a:CTPrintExportForLCS>
      <TimeStamp xmlns="http://schemas.datacontract.org/2004/07/QUMAS.Compliance.Common.SOM.DataContracts" i:nil="true"/>
      <UniqueId xmlns="http://schemas.datacontract.org/2004/07/QUMAS.Compliance.Common.SOM.DataContracts">00000000-0000-0000-0000-000000000000</UniqueId>
      <a:LifecycleState>Approved</a:LifecycleState>
      <a:_printExportConfigs xmlns:b="http://www.Qumas.com/Qumas.Compliance/ContentTypes/CTPrintExportConfig">
        <b:CTPrintExportConfig>
          <TimeStamp xmlns="http://schemas.datacontract.org/2004/07/QUMAS.Compliance.Common.SOM.DataContracts" i:nil="true"/>
          <UniqueId xmlns="http://schemas.datacontract.org/2004/07/QUMAS.Compliance.Common.SOM.DataContracts">00000000-0000-0000-0000-000000000000</UniqueId>
          <b:AuthorizedUsers xmlns:c="http://schemas.datacontract.org/2004/07/QUMAS.Compliance.Common.SOM.DataContracts.Security">
            <c:UserOrGroup>
              <TimeStamp xmlns="http://schemas.datacontract.org/2004/07/QUMAS.Compliance.Common.SOM.DataContracts" i:nil="true"/>
              <UniqueId xmlns="http://schemas.datacontract.org/2004/07/QUMAS.Compliance.Common.SOM.DataContracts">00000000-0000-0000-0000-000000000000</UniqueId>
              <c:Id>7</c:Id>
              <c:Member>Samsung Bioepis Members</c:Member>
              <c:MemberType>SharePointGroup</c:MemberType>
            </c:UserOrGroup>
            <c:UserOrGroup>
              <TimeStamp xmlns="http://schemas.datacontract.org/2004/07/QUMAS.Compliance.Common.SOM.DataContracts" i:nil="true"/>
              <UniqueId xmlns="http://schemas.datacontract.org/2004/07/QUMAS.Compliance.Common.SOM.DataContracts">00000000-0000-0000-0000-000000000000</UniqueId>
              <c:Id>6</c:Id>
              <c:Member>Samsung Bioepis Visitors</c:Member>
              <c:MemberType>SharePointGroup</c:MemberType>
            </c:UserOrGroup>
          </b:AuthorizedUsers>
          <b:Description/>
          <b:ForExport>false</b:ForExport>
          <b:Id>6a9a0e4a-2bc1-4b80-b67b-995b93ac4e7f</b:Id>
          <b:Name>Print</b:Name>
          <b:RenderTemplate>Default Print Template</b:RenderTemplate>
        </b:CTPrintExportConfig>
        <b:CTPrintExportConfig>
          <TimeStamp xmlns="http://schemas.datacontract.org/2004/07/QUMAS.Compliance.Common.SOM.DataContracts" i:nil="true"/>
          <UniqueId xmlns="http://schemas.datacontract.org/2004/07/QUMAS.Compliance.Common.SOM.DataContracts">00000000-0000-0000-0000-000000000000</UniqueId>
          <b:AuthorizedUsers xmlns:c="http://schemas.datacontract.org/2004/07/QUMAS.Compliance.Common.SOM.DataContracts.Security">
            <c:UserOrGroup>
              <TimeStamp xmlns="http://schemas.datacontract.org/2004/07/QUMAS.Compliance.Common.SOM.DataContracts" i:nil="true"/>
              <UniqueId xmlns="http://schemas.datacontract.org/2004/07/QUMAS.Compliance.Common.SOM.DataContracts">00000000-0000-0000-0000-000000000000</UniqueId>
              <c:Id>7</c:Id>
              <c:Member>Samsung Bioepis Members</c:Member>
              <c:MemberType>SharePointGroup</c:MemberType>
            </c:UserOrGroup>
            <c:UserOrGroup>
              <TimeStamp xmlns="http://schemas.datacontract.org/2004/07/QUMAS.Compliance.Common.SOM.DataContracts" i:nil="true"/>
              <UniqueId xmlns="http://schemas.datacontract.org/2004/07/QUMAS.Compliance.Common.SOM.DataContracts">00000000-0000-0000-0000-000000000000</UniqueId>
              <c:Id>6</c:Id>
              <c:Member>Samsung Bioepis Visitors</c:Member>
              <c:MemberType>SharePointGroup</c:MemberType>
            </c:UserOrGroup>
          </b:AuthorizedUsers>
          <b:Description/>
          <b:ForExport>false</b:ForExport>
          <b:Id>50a6c609-dc26-477a-8eb7-8408ddeee46e</b:Id>
          <b:Name>Confidential Print</b:Name>
          <b:RenderTemplate>Confidential Print</b:RenderTemplate>
        </b:CTPrintExportConfig>
        <b:CTPrintExportConfig>
          <TimeStamp xmlns="http://schemas.datacontract.org/2004/07/QUMAS.Compliance.Common.SOM.DataContracts" i:nil="true"/>
          <UniqueId xmlns="http://schemas.datacontract.org/2004/07/QUMAS.Compliance.Common.SOM.DataContracts">00000000-0000-0000-0000-000000000000</UniqueId>
          <b:AuthorizedUsers xmlns:c="http://schemas.datacontract.org/2004/07/QUMAS.Compliance.Common.SOM.DataContracts.Security">
            <c:UserOrGroup>
              <TimeStamp xmlns="http://schemas.datacontract.org/2004/07/QUMAS.Compliance.Common.SOM.DataContracts" i:nil="true"/>
              <UniqueId xmlns="http://schemas.datacontract.org/2004/07/QUMAS.Compliance.Common.SOM.DataContracts">00000000-0000-0000-0000-000000000000</UniqueId>
              <c:Id>27</c:Id>
              <c:Member>regulatory_affairs_team_grp</c:Member>
              <c:MemberType>SharePointGroup</c:MemberType>
            </c:UserOrGroup>
          </b:AuthorizedUsers>
          <b:Description/>
          <b:ForExport>false</b:ForExport>
          <b:Id>5fbd8117-fe53-4729-9681-35d966af22a1</b:Id>
          <b:Name>Submission Print</b:Name>
          <b:RenderTemplate>Submission Print</b:RenderTemplate>
        </b:CTPrintExportConfig>
        <b:CTPrintExportConfig>
          <TimeStamp xmlns="http://schemas.datacontract.org/2004/07/QUMAS.Compliance.Common.SOM.DataContracts" i:nil="true"/>
          <UniqueId xmlns="http://schemas.datacontract.org/2004/07/QUMAS.Compliance.Common.SOM.DataContracts">00000000-0000-0000-0000-000000000000</UniqueId>
          <b:AuthorizedUsers xmlns:c="http://schemas.datacontract.org/2004/07/QUMAS.Compliance.Common.SOM.DataContracts.Security">
            <c:UserOrGroup>
              <TimeStamp xmlns="http://schemas.datacontract.org/2004/07/QUMAS.Compliance.Common.SOM.DataContracts" i:nil="true"/>
              <UniqueId xmlns="http://schemas.datacontract.org/2004/07/QUMAS.Compliance.Common.SOM.DataContracts">00000000-0000-0000-0000-000000000000</UniqueId>
              <c:Id>573</c:Id>
              <c:Member>maa_grp</c:Member>
              <c:MemberType>SharePointGroup</c:MemberType>
            </c:UserOrGroup>
          </b:AuthorizedUsers>
          <b:Description/>
          <b:ForExport>false</b:ForExport>
          <b:Id>0fe40541-7aa4-46ff-936f-3e2970b17730</b:Id>
          <b:Name>eCTD Print</b:Name>
          <b:RenderTemplate>eCTD Print</b:RenderTemplate>
        </b:CTPrintExportConfig>
        <b:CTPrintExportConfig>
          <TimeStamp xmlns="http://schemas.datacontract.org/2004/07/QUMAS.Compliance.Common.SOM.DataContracts" i:nil="true"/>
          <UniqueId xmlns="http://schemas.datacontract.org/2004/07/QUMAS.Compliance.Common.SOM.DataContracts">00000000-0000-0000-0000-000000000000</UniqueId>
          <b:AuthorizedUsers xmlns:c="http://schemas.datacontract.org/2004/07/QUMAS.Compliance.Common.SOM.DataContracts.Security">
            <c:UserOrGroup>
              <TimeStamp xmlns="http://schemas.datacontract.org/2004/07/QUMAS.Compliance.Common.SOM.DataContracts" i:nil="true"/>
              <UniqueId xmlns="http://schemas.datacontract.org/2004/07/QUMAS.Compliance.Common.SOM.DataContracts">00000000-0000-0000-0000-000000000000</UniqueId>
              <c:Id>5</c:Id>
              <c:Member>Samsung Bioepis Owners</c:Member>
              <c:MemberType>SharePointGroup</c:MemberType>
            </c:UserOrGroup>
          </b:AuthorizedUsers>
          <b:Description/>
          <b:ForExport>false</b:ForExport>
          <b:Id>7b2e0777-c222-4716-94fb-c512a614cb9f</b:Id>
          <b:Name>Hardcopy Print</b:Name>
          <b:RenderTemplate>Hardcopy Managed Print Template</b:RenderTemplate>
        </b:CTPrintExportConfig>
      </a:_printExportConfigs>
    </a:CTPrintExportForLCS>
    <a:CTPrintExportForLCS>
      <TimeStamp xmlns="http://schemas.datacontract.org/2004/07/QUMAS.Compliance.Common.SOM.DataContracts" i:nil="true"/>
      <UniqueId xmlns="http://schemas.datacontract.org/2004/07/QUMAS.Compliance.Common.SOM.DataContracts">00000000-0000-0000-0000-000000000000</UniqueId>
      <a:LifecycleState>Retired</a:LifecycleState>
      <a:_printExportConfigs xmlns:b="http://www.Qumas.com/Qumas.Compliance/ContentTypes/CTPrintExportConfig">
        <b:CTPrintExportConfig>
          <TimeStamp xmlns="http://schemas.datacontract.org/2004/07/QUMAS.Compliance.Common.SOM.DataContracts" i:nil="true"/>
          <UniqueId xmlns="http://schemas.datacontract.org/2004/07/QUMAS.Compliance.Common.SOM.DataContracts">00000000-0000-0000-0000-000000000000</UniqueId>
          <b:AuthorizedUsers xmlns:c="http://schemas.datacontract.org/2004/07/QUMAS.Compliance.Common.SOM.DataContracts.Security">
            <c:UserOrGroup>
              <TimeStamp xmlns="http://schemas.datacontract.org/2004/07/QUMAS.Compliance.Common.SOM.DataContracts" i:nil="true"/>
              <UniqueId xmlns="http://schemas.datacontract.org/2004/07/QUMAS.Compliance.Common.SOM.DataContracts">00000000-0000-0000-0000-000000000000</UniqueId>
              <c:Id>7</c:Id>
              <c:Member>Samsung Bioepis Members</c:Member>
              <c:MemberType>SharePointGroup</c:MemberType>
            </c:UserOrGroup>
            <c:UserOrGroup>
              <TimeStamp xmlns="http://schemas.datacontract.org/2004/07/QUMAS.Compliance.Common.SOM.DataContracts" i:nil="true"/>
              <UniqueId xmlns="http://schemas.datacontract.org/2004/07/QUMAS.Compliance.Common.SOM.DataContracts">00000000-0000-0000-0000-000000000000</UniqueId>
              <c:Id>6</c:Id>
              <c:Member>Samsung Bioepis Visitors</c:Member>
              <c:MemberType>SharePointGroup</c:MemberType>
            </c:UserOrGroup>
          </b:AuthorizedUsers>
          <b:Description/>
          <b:ForExport>false</b:ForExport>
          <b:Id>6a9a0e4a-2bc1-4b80-b67b-995b93ac4e7f</b:Id>
          <b:Name>Print</b:Name>
          <b:RenderTemplate>Default Print Template</b:RenderTemplate>
        </b:CTPrintExportConfig>
        <b:CTPrintExportConfig>
          <TimeStamp xmlns="http://schemas.datacontract.org/2004/07/QUMAS.Compliance.Common.SOM.DataContracts" i:nil="true"/>
          <UniqueId xmlns="http://schemas.datacontract.org/2004/07/QUMAS.Compliance.Common.SOM.DataContracts">00000000-0000-0000-0000-000000000000</UniqueId>
          <b:AuthorizedUsers xmlns:c="http://schemas.datacontract.org/2004/07/QUMAS.Compliance.Common.SOM.DataContracts.Security">
            <c:UserOrGroup>
              <TimeStamp xmlns="http://schemas.datacontract.org/2004/07/QUMAS.Compliance.Common.SOM.DataContracts" i:nil="true"/>
              <UniqueId xmlns="http://schemas.datacontract.org/2004/07/QUMAS.Compliance.Common.SOM.DataContracts">00000000-0000-0000-0000-000000000000</UniqueId>
              <c:Id>7</c:Id>
              <c:Member>Samsung Bioepis Members</c:Member>
              <c:MemberType>SharePointGroup</c:MemberType>
            </c:UserOrGroup>
            <c:UserOrGroup>
              <TimeStamp xmlns="http://schemas.datacontract.org/2004/07/QUMAS.Compliance.Common.SOM.DataContracts" i:nil="true"/>
              <UniqueId xmlns="http://schemas.datacontract.org/2004/07/QUMAS.Compliance.Common.SOM.DataContracts">00000000-0000-0000-0000-000000000000</UniqueId>
              <c:Id>6</c:Id>
              <c:Member>Samsung Bioepis Visitors</c:Member>
              <c:MemberType>SharePointGroup</c:MemberType>
            </c:UserOrGroup>
          </b:AuthorizedUsers>
          <b:Description/>
          <b:ForExport>false</b:ForExport>
          <b:Id>aca0612f-02a2-4516-8ffd-de41f257cc16</b:Id>
          <b:Name>Confidential Print</b:Name>
          <b:RenderTemplate>Confidential Print</b:RenderTemplate>
        </b:CTPrintExportConfig>
        <b:CTPrintExportConfig>
          <TimeStamp xmlns="http://schemas.datacontract.org/2004/07/QUMAS.Compliance.Common.SOM.DataContracts" i:nil="true"/>
          <UniqueId xmlns="http://schemas.datacontract.org/2004/07/QUMAS.Compliance.Common.SOM.DataContracts">00000000-0000-0000-0000-000000000000</UniqueId>
          <b:AuthorizedUsers xmlns:c="http://schemas.datacontract.org/2004/07/QUMAS.Compliance.Common.SOM.DataContracts.Security">
            <c:UserOrGroup>
              <TimeStamp xmlns="http://schemas.datacontract.org/2004/07/QUMAS.Compliance.Common.SOM.DataContracts" i:nil="true"/>
              <UniqueId xmlns="http://schemas.datacontract.org/2004/07/QUMAS.Compliance.Common.SOM.DataContracts">00000000-0000-0000-0000-000000000000</UniqueId>
              <c:Id>573</c:Id>
              <c:Member>maa_grp</c:Member>
              <c:MemberType>SharePointGroup</c:MemberType>
            </c:UserOrGroup>
          </b:AuthorizedUsers>
          <b:Description/>
          <b:ForExport>false</b:ForExport>
          <b:Id>2465df74-a5ef-456e-be0a-f19fbd0dbab6</b:Id>
          <b:Name>eCTD Print</b:Name>
          <b:RenderTemplate>eCTD Print</b:RenderTemplate>
        </b:CTPrintExportConfig>
        <b:CTPrintExportConfig>
          <TimeStamp xmlns="http://schemas.datacontract.org/2004/07/QUMAS.Compliance.Common.SOM.DataContracts" i:nil="true"/>
          <UniqueId xmlns="http://schemas.datacontract.org/2004/07/QUMAS.Compliance.Common.SOM.DataContracts">00000000-0000-0000-0000-000000000000</UniqueId>
          <b:AuthorizedUsers xmlns:c="http://schemas.datacontract.org/2004/07/QUMAS.Compliance.Common.SOM.DataContracts.Security">
            <c:UserOrGroup>
              <TimeStamp xmlns="http://schemas.datacontract.org/2004/07/QUMAS.Compliance.Common.SOM.DataContracts" i:nil="true"/>
              <UniqueId xmlns="http://schemas.datacontract.org/2004/07/QUMAS.Compliance.Common.SOM.DataContracts">00000000-0000-0000-0000-000000000000</UniqueId>
              <c:Id>5</c:Id>
              <c:Member>Samsung Bioepis Owners</c:Member>
              <c:MemberType>SharePointGroup</c:MemberType>
            </c:UserOrGroup>
          </b:AuthorizedUsers>
          <b:Description/>
          <b:ForExport>false</b:ForExport>
          <b:Id>749623e8-7a4e-4a7c-9150-74f07c57bb0a</b:Id>
          <b:Name>Hardcopy Print</b:Name>
          <b:RenderTemplate>Hardcopy Managed Print Template</b:RenderTemplate>
        </b:CTPrintExportConfig>
      </a:_printExportConfigs>
    </a:CTPrintExportForLCS>
  </_printExportForLcss>
  <_useMigratedDocumentRenderOption>false</_useMigratedDocumentRenderOption>
</CTPrintExport>
</file>

<file path=customXml/item11.xml><?xml version="1.0" encoding="utf-8"?>
<?mso-contentType ?>
<AssociationsConfiguration xmlns="http://www.Qumas.com/Qumas.Compliance/ContentTypes/AssociationsConfiguration" xmlns:i="http://www.w3.org/2001/XMLSchema-instance">
  <TimeStamp xmlns="http://schemas.datacontract.org/2004/07/QUMAS.Compliance.Common.SOM.DataContracts" i:nil="true"/>
  <UniqueId xmlns="http://schemas.datacontract.org/2004/07/QUMAS.Compliance.Common.SOM.DataContracts">00000000-0000-0000-0000-000000000000</UniqueId>
  <AllowedPrincipals xmlns:a="http://schemas.datacontract.org/2004/07/QUMAS.Compliance.Common.SOM.DataContracts.Security">
    <a:UserOrGroup>
      <TimeStamp xmlns="http://schemas.datacontract.org/2004/07/QUMAS.Compliance.Common.SOM.DataContracts" i:nil="true"/>
      <UniqueId xmlns="http://schemas.datacontract.org/2004/07/QUMAS.Compliance.Common.SOM.DataContracts">00000000-0000-0000-0000-000000000000</UniqueId>
      <a:Id>0</a:Id>
      <a:Member>regulatory_affairs_team_grp</a:Member>
      <a:MemberType>SharePointGroup</a:MemberType>
    </a:UserOrGroup>
    <a:UserOrGroup>
      <TimeStamp xmlns="http://schemas.datacontract.org/2004/07/QUMAS.Compliance.Common.SOM.DataContracts" i:nil="true"/>
      <UniqueId xmlns="http://schemas.datacontract.org/2004/07/QUMAS.Compliance.Common.SOM.DataContracts">00000000-0000-0000-0000-000000000000</UniqueId>
      <a:Id>0</a:Id>
      <a:Member>medical_lifecycle_safety_team_grp</a:Member>
      <a:MemberType>SharePointGroup</a:MemberType>
    </a:UserOrGroup>
    <a:UserOrGroup>
      <TimeStamp xmlns="http://schemas.datacontract.org/2004/07/QUMAS.Compliance.Common.SOM.DataContracts" i:nil="true"/>
      <UniqueId xmlns="http://schemas.datacontract.org/2004/07/QUMAS.Compliance.Common.SOM.DataContracts">00000000-0000-0000-0000-000000000000</UniqueId>
      <a:Id>0</a:Id>
      <a:Member>clinical_operation_frontiers_grp</a:Member>
      <a:MemberType>SharePointGroup</a:MemberType>
    </a:UserOrGroup>
  </AllowedPrincipals>
</AssociationsConfiguration>
</file>

<file path=customXml/item12.xml><?xml version="1.0" encoding="utf-8"?>
<?mso-contentType ?>
<LifecycleStateDocumentConfiguration xmlns="http://www.Qumas.com/Qumas.Compliance/Configuration/LifecycleState/LifecycleStateDocumentConfiguration" xmlns:i="http://www.w3.org/2001/XMLSchema-instance">
  <TimeStamp xmlns="http://schemas.datacontract.org/2004/07/QUMAS.Compliance.Common.SOM.DataContracts" i:nil="true"/>
  <UniqueId xmlns="http://schemas.datacontract.org/2004/07/QUMAS.Compliance.Common.SOM.DataContracts">00000000-0000-0000-0000-000000000000</UniqueId>
  <NewConfiguration xmlns:a="http://www.Qumas.com/Qumas.Compliance/Configuration/LifecycleState/LifecycleStateNewDocumentConfiguration">
    <TimeStamp xmlns="http://schemas.datacontract.org/2004/07/QUMAS.Compliance.Common.SOM.DataContracts" i:nil="true"/>
    <UniqueId xmlns="http://schemas.datacontract.org/2004/07/QUMAS.Compliance.Common.SOM.DataContracts">00000000-0000-0000-0000-000000000000</UniqueId>
    <a:AllowedPrincipals xmlns:b="http://schemas.datacontract.org/2004/07/QUMAS.Compliance.Common.SOM.DataContracts.Security">
      <b:UserOrGroup>
        <TimeStamp xmlns="http://schemas.datacontract.org/2004/07/QUMAS.Compliance.Common.SOM.DataContracts" i:nil="true"/>
        <UniqueId xmlns="http://schemas.datacontract.org/2004/07/QUMAS.Compliance.Common.SOM.DataContracts">00000000-0000-0000-0000-000000000000</UniqueId>
        <b:Id>0</b:Id>
        <b:Member>regulatory_affairs_team_grp</b:Member>
        <b:MemberType>SharePointGroup</b:MemberType>
      </b:UserOrGroup>
      <b:UserOrGroup>
        <TimeStamp xmlns="http://schemas.datacontract.org/2004/07/QUMAS.Compliance.Common.SOM.DataContracts" i:nil="true"/>
        <UniqueId xmlns="http://schemas.datacontract.org/2004/07/QUMAS.Compliance.Common.SOM.DataContracts">00000000-0000-0000-0000-000000000000</UniqueId>
        <b:Id>0</b:Id>
        <b:Member>medical_lifecycle_safety_team_grp</b:Member>
        <b:MemberType>SharePointGroup</b:MemberType>
      </b:UserOrGroup>
      <b:UserOrGroup>
        <TimeStamp xmlns="http://schemas.datacontract.org/2004/07/QUMAS.Compliance.Common.SOM.DataContracts" i:nil="true"/>
        <UniqueId xmlns="http://schemas.datacontract.org/2004/07/QUMAS.Compliance.Common.SOM.DataContracts">00000000-0000-0000-0000-000000000000</UniqueId>
        <b:Id>0</b:Id>
        <b:Member>clinical_operation_frontiers_grp</b:Member>
        <b:MemberType>SharePointGroup</b:MemberType>
      </b:UserOrGroup>
    </a:AllowedPrincipals>
    <a:MetaDataColumns xmlns:b="http://www.Qumas.com/Qumas.Compliance/ContentTypes/MetaData">
      <TimeStamp xmlns="http://schemas.datacontract.org/2004/07/QUMAS.Compliance.Common.SOM.DataContracts" i:nil="true"/>
      <UniqueId xmlns="http://schemas.datacontract.org/2004/07/QUMAS.Compliance.Common.SOM.DataContracts">00000000-0000-0000-0000-000000000000</UniqueId>
      <b:columns xmlns:c="http://schemas.microsoft.com/2003/10/Serialization/Arrays">
        <c:KeyValueOfguidCtMetaDataColumnUMerrUjH>
          <c:Key>83f7025a-ae9b-40ee-9f02-42ca1b19b0f4</c:Key>
          <c:Value xmlns:d="http://schemas.datacontract.org/2004/07/QUMAS.ServerObjectModel.DataContracts.ContentTypes">
            <TimeStamp xmlns="http://schemas.datacontract.org/2004/07/QUMAS.Compliance.Common.SOM.DataContracts" i:nil="true"/>
            <UniqueId xmlns="http://schemas.datacontract.org/2004/07/QUMAS.Compliance.Common.SOM.DataContracts">00000000-0000-0000-0000-000000000000</UniqueId>
            <d:ColumnId>83f7025a-ae9b-40ee-9f02-42ca1b19b0f4</d:ColumnId>
            <d:ColumnTitle>Legacy Number</d:ColumnTitle>
            <d:IsEditable>false</d:IsEditable>
            <d:IsVisible>true</d:IsVisible>
          </c:Value>
        </c:KeyValueOfguidCtMetaDataColumnUMerrUjH>
        <c:KeyValueOfguidCtMetaDataColumnUMerrUjH>
          <c:Key>999868a3-a960-4ea9-8640-6f4e733990cf</c:Key>
          <c:Value xmlns:d="http://schemas.datacontract.org/2004/07/QUMAS.ServerObjectModel.DataContracts.ContentTypes">
            <TimeStamp xmlns="http://schemas.datacontract.org/2004/07/QUMAS.Compliance.Common.SOM.DataContracts" i:nil="true"/>
            <UniqueId xmlns="http://schemas.datacontract.org/2004/07/QUMAS.Compliance.Common.SOM.DataContracts">00000000-0000-0000-0000-000000000000</UniqueId>
            <d:ColumnId>999868a3-a960-4ea9-8640-6f4e733990cf</d:ColumnId>
            <d:ColumnTitle>Litigation Hold</d:ColumnTitle>
            <d:IsEditable>false</d:IsEditable>
            <d:IsVisible>true</d:IsVisible>
          </c:Value>
        </c:KeyValueOfguidCtMetaDataColumnUMerrUjH>
        <c:KeyValueOfguidCtMetaDataColumnUMerrUjH>
          <c:Key>dec8c0c6-9284-45c9-86cd-a6677926f060</c:Key>
          <c:Value xmlns:d="http://schemas.datacontract.org/2004/07/QUMAS.ServerObjectModel.DataContracts.ContentTypes">
            <TimeStamp xmlns="http://schemas.datacontract.org/2004/07/QUMAS.Compliance.Common.SOM.DataContracts" i:nil="true"/>
            <UniqueId xmlns="http://schemas.datacontract.org/2004/07/QUMAS.Compliance.Common.SOM.DataContracts">00000000-0000-0000-0000-000000000000</UniqueId>
            <d:ColumnId>dec8c0c6-9284-45c9-86cd-a6677926f060</d:ColumnId>
            <d:ColumnTitle>Country</d:ColumnTitle>
            <d:IsEditable>false</d:IsEditable>
            <d:IsVisible>true</d:IsVisible>
          </c:Value>
        </c:KeyValueOfguidCtMetaDataColumnUMerrUjH>
        <c:KeyValueOfguidCtMetaDataColumnUMerrUjH>
          <c:Key>09b8c107-9bb2-480b-9dfe-c4eec8602873</c:Key>
          <c:Value xmlns:d="http://schemas.datacontract.org/2004/07/QUMAS.ServerObjectModel.DataContracts.ContentTypes">
            <TimeStamp xmlns="http://schemas.datacontract.org/2004/07/QUMAS.Compliance.Common.SOM.DataContracts" i:nil="true"/>
            <UniqueId xmlns="http://schemas.datacontract.org/2004/07/QUMAS.Compliance.Common.SOM.DataContracts">00000000-0000-0000-0000-000000000000</UniqueId>
            <d:ColumnId>09b8c107-9bb2-480b-9dfe-c4eec8602873</d:ColumnId>
            <d:ColumnTitle>Product Name</d:ColumnTitle>
            <d:IsEditable>false</d:IsEditable>
            <d:IsVisible>true</d:IsVisible>
          </c:Value>
        </c:KeyValueOfguidCtMetaDataColumnUMerrUjH>
        <c:KeyValueOfguidCtMetaDataColumnUMerrUjH>
          <c:Key>2d20f4e1-a1cf-4b55-adaa-8c8ec1919e5d</c:Key>
          <c:Value xmlns:d="http://schemas.datacontract.org/2004/07/QUMAS.ServerObjectModel.DataContracts.ContentTypes">
            <TimeStamp xmlns="http://schemas.datacontract.org/2004/07/QUMAS.Compliance.Common.SOM.DataContracts" i:nil="true"/>
            <UniqueId xmlns="http://schemas.datacontract.org/2004/07/QUMAS.Compliance.Common.SOM.DataContracts">00000000-0000-0000-0000-000000000000</UniqueId>
            <d:ColumnId>2d20f4e1-a1cf-4b55-adaa-8c8ec1919e5d</d:ColumnId>
            <d:ColumnTitle>Product Name &amp; Clinical Study Number</d:ColumnTitle>
            <d:IsEditable>false</d:IsEditable>
            <d:IsVisible>true</d:IsVisible>
          </c:Value>
        </c:KeyValueOfguidCtMetaDataColumnUMerrUjH>
        <c:KeyValueOfguidCtMetaDataColumnUMerrUjH>
          <c:Key>1aaa060f-dabb-4fe6-b4c9-ac13e12c617a</c:Key>
          <c:Value xmlns:d="http://schemas.datacontract.org/2004/07/QUMAS.ServerObjectModel.DataContracts.ContentTypes">
            <TimeStamp xmlns="http://schemas.datacontract.org/2004/07/QUMAS.Compliance.Common.SOM.DataContracts" i:nil="true"/>
            <UniqueId xmlns="http://schemas.datacontract.org/2004/07/QUMAS.Compliance.Common.SOM.DataContracts">00000000-0000-0000-0000-000000000000</UniqueId>
            <d:ColumnId>1aaa060f-dabb-4fe6-b4c9-ac13e12c617a</d:ColumnId>
            <d:ColumnTitle>Application Type</d:ColumnTitle>
            <d:IsEditable>false</d:IsEditable>
            <d:IsVisible>true</d:IsVisible>
          </c:Value>
        </c:KeyValueOfguidCtMetaDataColumnUMerrUjH>
        <c:KeyValueOfguidCtMetaDataColumnUMerrUjH>
          <c:Key>3a988d94-7e05-4d7c-a004-3bd95cd99f09</c:Key>
          <c:Value xmlns:d="http://schemas.datacontract.org/2004/07/QUMAS.ServerObjectModel.DataContracts.ContentTypes">
            <TimeStamp xmlns="http://schemas.datacontract.org/2004/07/QUMAS.Compliance.Common.SOM.DataContracts" i:nil="true"/>
            <UniqueId xmlns="http://schemas.datacontract.org/2004/07/QUMAS.Compliance.Common.SOM.DataContracts">00000000-0000-0000-0000-000000000000</UniqueId>
            <d:ColumnId>3a988d94-7e05-4d7c-a004-3bd95cd99f09</d:ColumnId>
            <d:ColumnTitle>RA Documents</d:ColumnTitle>
            <d:IsEditable>false</d:IsEditable>
            <d:IsVisible>true</d:IsVisible>
          </c:Value>
        </c:KeyValueOfguidCtMetaDataColumnUMerrUjH>
        <c:KeyValueOfguidCtMetaDataColumnUMerrUjH>
          <c:Key>3b70048b-a549-4b95-894d-35fa21d986f7</c:Key>
          <c:Value xmlns:d="http://schemas.datacontract.org/2004/07/QUMAS.ServerObjectModel.DataContracts.ContentTypes">
            <TimeStamp xmlns="http://schemas.datacontract.org/2004/07/QUMAS.Compliance.Common.SOM.DataContracts" i:nil="true"/>
            <UniqueId xmlns="http://schemas.datacontract.org/2004/07/QUMAS.Compliance.Common.SOM.DataContracts">00000000-0000-0000-0000-000000000000</UniqueId>
            <d:ColumnId>3b70048b-a549-4b95-894d-35fa21d986f7</d:ColumnId>
            <d:ColumnTitle>External Approved</d:ColumnTitle>
            <d:IsEditable>false</d:IsEditable>
            <d:IsVisible>true</d:IsVisible>
          </c:Value>
        </c:KeyValueOfguidCtMetaDataColumnUMerrUjH>
        <c:KeyValueOfguidCtMetaDataColumnUMerrUjH>
          <c:Key>63da565c-212f-437b-a8be-f9bddb310c30</c:Key>
          <c:Value xmlns:d="http://schemas.datacontract.org/2004/07/QUMAS.ServerObjectModel.DataContracts.ContentTypes">
            <TimeStamp xmlns="http://schemas.datacontract.org/2004/07/QUMAS.Compliance.Common.SOM.DataContracts" i:nil="true"/>
            <UniqueId xmlns="http://schemas.datacontract.org/2004/07/QUMAS.Compliance.Common.SOM.DataContracts">00000000-0000-0000-0000-000000000000</UniqueId>
            <d:ColumnId>63da565c-212f-437b-a8be-f9bddb310c30</d:ColumnId>
            <d:ColumnTitle>Responsibility</d:ColumnTitle>
            <d:IsEditable>false</d:IsEditable>
            <d:IsVisible>true</d:IsVisible>
          </c:Value>
        </c:KeyValueOfguidCtMetaDataColumnUMerrUjH>
      </b:columns>
    </a:MetaDataColumns>
  </NewConfiguration>
  <UploadConfiguration xmlns:a="http://www.Qumas.com/Qumas.Compliance/Configuration/LifecycleState/LifecycleStateUploadDocumentConfiguration">
    <TimeStamp xmlns="http://schemas.datacontract.org/2004/07/QUMAS.Compliance.Common.SOM.DataContracts" i:nil="true"/>
    <UniqueId xmlns="http://schemas.datacontract.org/2004/07/QUMAS.Compliance.Common.SOM.DataContracts">00000000-0000-0000-0000-000000000000</UniqueId>
    <a:AllowedPrincipals xmlns:b="http://schemas.datacontract.org/2004/07/QUMAS.Compliance.Common.SOM.DataContracts.Security">
      <b:UserOrGroup>
        <TimeStamp xmlns="http://schemas.datacontract.org/2004/07/QUMAS.Compliance.Common.SOM.DataContracts" i:nil="true"/>
        <UniqueId xmlns="http://schemas.datacontract.org/2004/07/QUMAS.Compliance.Common.SOM.DataContracts">00000000-0000-0000-0000-000000000000</UniqueId>
        <b:Id>0</b:Id>
        <b:Member>regulatory_affairs_team_grp</b:Member>
        <b:MemberType>SharePointGroup</b:MemberType>
      </b:UserOrGroup>
      <b:UserOrGroup>
        <TimeStamp xmlns="http://schemas.datacontract.org/2004/07/QUMAS.Compliance.Common.SOM.DataContracts" i:nil="true"/>
        <UniqueId xmlns="http://schemas.datacontract.org/2004/07/QUMAS.Compliance.Common.SOM.DataContracts">00000000-0000-0000-0000-000000000000</UniqueId>
        <b:Id>0</b:Id>
        <b:Member>medical_lifecycle_safety_team_grp</b:Member>
        <b:MemberType>SharePointGroup</b:MemberType>
      </b:UserOrGroup>
      <b:UserOrGroup>
        <TimeStamp xmlns="http://schemas.datacontract.org/2004/07/QUMAS.Compliance.Common.SOM.DataContracts" i:nil="true"/>
        <UniqueId xmlns="http://schemas.datacontract.org/2004/07/QUMAS.Compliance.Common.SOM.DataContracts">00000000-0000-0000-0000-000000000000</UniqueId>
        <b:Id>0</b:Id>
        <b:Member>clinical_operation_frontiers_grp</b:Member>
        <b:MemberType>SharePointGroup</b:MemberType>
      </b:UserOrGroup>
    </a:AllowedPrincipals>
    <a:MetaDataColumns xmlns:b="http://www.Qumas.com/Qumas.Compliance/ContentTypes/MetaData">
      <TimeStamp xmlns="http://schemas.datacontract.org/2004/07/QUMAS.Compliance.Common.SOM.DataContracts" i:nil="true"/>
      <UniqueId xmlns="http://schemas.datacontract.org/2004/07/QUMAS.Compliance.Common.SOM.DataContracts">00000000-0000-0000-0000-000000000000</UniqueId>
      <b:columns xmlns:c="http://schemas.microsoft.com/2003/10/Serialization/Arrays">
        <c:KeyValueOfguidCtMetaDataColumnUMerrUjH>
          <c:Key>83f7025a-ae9b-40ee-9f02-42ca1b19b0f4</c:Key>
          <c:Value xmlns:d="http://schemas.datacontract.org/2004/07/QUMAS.ServerObjectModel.DataContracts.ContentTypes">
            <TimeStamp xmlns="http://schemas.datacontract.org/2004/07/QUMAS.Compliance.Common.SOM.DataContracts" i:nil="true"/>
            <UniqueId xmlns="http://schemas.datacontract.org/2004/07/QUMAS.Compliance.Common.SOM.DataContracts">00000000-0000-0000-0000-000000000000</UniqueId>
            <d:ColumnId>83f7025a-ae9b-40ee-9f02-42ca1b19b0f4</d:ColumnId>
            <d:ColumnTitle>Legacy Number</d:ColumnTitle>
            <d:IsEditable>false</d:IsEditable>
            <d:IsVisible>true</d:IsVisible>
          </c:Value>
        </c:KeyValueOfguidCtMetaDataColumnUMerrUjH>
        <c:KeyValueOfguidCtMetaDataColumnUMerrUjH>
          <c:Key>999868a3-a960-4ea9-8640-6f4e733990cf</c:Key>
          <c:Value xmlns:d="http://schemas.datacontract.org/2004/07/QUMAS.ServerObjectModel.DataContracts.ContentTypes">
            <TimeStamp xmlns="http://schemas.datacontract.org/2004/07/QUMAS.Compliance.Common.SOM.DataContracts" i:nil="true"/>
            <UniqueId xmlns="http://schemas.datacontract.org/2004/07/QUMAS.Compliance.Common.SOM.DataContracts">00000000-0000-0000-0000-000000000000</UniqueId>
            <d:ColumnId>999868a3-a960-4ea9-8640-6f4e733990cf</d:ColumnId>
            <d:ColumnTitle>Litigation Hold</d:ColumnTitle>
            <d:IsEditable>false</d:IsEditable>
            <d:IsVisible>true</d:IsVisible>
          </c:Value>
        </c:KeyValueOfguidCtMetaDataColumnUMerrUjH>
        <c:KeyValueOfguidCtMetaDataColumnUMerrUjH>
          <c:Key>dec8c0c6-9284-45c9-86cd-a6677926f060</c:Key>
          <c:Value xmlns:d="http://schemas.datacontract.org/2004/07/QUMAS.ServerObjectModel.DataContracts.ContentTypes">
            <TimeStamp xmlns="http://schemas.datacontract.org/2004/07/QUMAS.Compliance.Common.SOM.DataContracts" i:nil="true"/>
            <UniqueId xmlns="http://schemas.datacontract.org/2004/07/QUMAS.Compliance.Common.SOM.DataContracts">00000000-0000-0000-0000-000000000000</UniqueId>
            <d:ColumnId>dec8c0c6-9284-45c9-86cd-a6677926f060</d:ColumnId>
            <d:ColumnTitle>Country</d:ColumnTitle>
            <d:IsEditable>false</d:IsEditable>
            <d:IsVisible>true</d:IsVisible>
          </c:Value>
        </c:KeyValueOfguidCtMetaDataColumnUMerrUjH>
        <c:KeyValueOfguidCtMetaDataColumnUMerrUjH>
          <c:Key>09b8c107-9bb2-480b-9dfe-c4eec8602873</c:Key>
          <c:Value xmlns:d="http://schemas.datacontract.org/2004/07/QUMAS.ServerObjectModel.DataContracts.ContentTypes">
            <TimeStamp xmlns="http://schemas.datacontract.org/2004/07/QUMAS.Compliance.Common.SOM.DataContracts" i:nil="true"/>
            <UniqueId xmlns="http://schemas.datacontract.org/2004/07/QUMAS.Compliance.Common.SOM.DataContracts">00000000-0000-0000-0000-000000000000</UniqueId>
            <d:ColumnId>09b8c107-9bb2-480b-9dfe-c4eec8602873</d:ColumnId>
            <d:ColumnTitle>Product Name</d:ColumnTitle>
            <d:IsEditable>false</d:IsEditable>
            <d:IsVisible>true</d:IsVisible>
          </c:Value>
        </c:KeyValueOfguidCtMetaDataColumnUMerrUjH>
        <c:KeyValueOfguidCtMetaDataColumnUMerrUjH>
          <c:Key>2d20f4e1-a1cf-4b55-adaa-8c8ec1919e5d</c:Key>
          <c:Value xmlns:d="http://schemas.datacontract.org/2004/07/QUMAS.ServerObjectModel.DataContracts.ContentTypes">
            <TimeStamp xmlns="http://schemas.datacontract.org/2004/07/QUMAS.Compliance.Common.SOM.DataContracts" i:nil="true"/>
            <UniqueId xmlns="http://schemas.datacontract.org/2004/07/QUMAS.Compliance.Common.SOM.DataContracts">00000000-0000-0000-0000-000000000000</UniqueId>
            <d:ColumnId>2d20f4e1-a1cf-4b55-adaa-8c8ec1919e5d</d:ColumnId>
            <d:ColumnTitle>Product Name &amp; Clinical Study Number</d:ColumnTitle>
            <d:IsEditable>false</d:IsEditable>
            <d:IsVisible>true</d:IsVisible>
          </c:Value>
        </c:KeyValueOfguidCtMetaDataColumnUMerrUjH>
        <c:KeyValueOfguidCtMetaDataColumnUMerrUjH>
          <c:Key>1aaa060f-dabb-4fe6-b4c9-ac13e12c617a</c:Key>
          <c:Value xmlns:d="http://schemas.datacontract.org/2004/07/QUMAS.ServerObjectModel.DataContracts.ContentTypes">
            <TimeStamp xmlns="http://schemas.datacontract.org/2004/07/QUMAS.Compliance.Common.SOM.DataContracts" i:nil="true"/>
            <UniqueId xmlns="http://schemas.datacontract.org/2004/07/QUMAS.Compliance.Common.SOM.DataContracts">00000000-0000-0000-0000-000000000000</UniqueId>
            <d:ColumnId>1aaa060f-dabb-4fe6-b4c9-ac13e12c617a</d:ColumnId>
            <d:ColumnTitle>Application Type</d:ColumnTitle>
            <d:IsEditable>false</d:IsEditable>
            <d:IsVisible>true</d:IsVisible>
          </c:Value>
        </c:KeyValueOfguidCtMetaDataColumnUMerrUjH>
        <c:KeyValueOfguidCtMetaDataColumnUMerrUjH>
          <c:Key>3a988d94-7e05-4d7c-a004-3bd95cd99f09</c:Key>
          <c:Value xmlns:d="http://schemas.datacontract.org/2004/07/QUMAS.ServerObjectModel.DataContracts.ContentTypes">
            <TimeStamp xmlns="http://schemas.datacontract.org/2004/07/QUMAS.Compliance.Common.SOM.DataContracts" i:nil="true"/>
            <UniqueId xmlns="http://schemas.datacontract.org/2004/07/QUMAS.Compliance.Common.SOM.DataContracts">00000000-0000-0000-0000-000000000000</UniqueId>
            <d:ColumnId>3a988d94-7e05-4d7c-a004-3bd95cd99f09</d:ColumnId>
            <d:ColumnTitle>RA Documents</d:ColumnTitle>
            <d:IsEditable>false</d:IsEditable>
            <d:IsVisible>true</d:IsVisible>
          </c:Value>
        </c:KeyValueOfguidCtMetaDataColumnUMerrUjH>
        <c:KeyValueOfguidCtMetaDataColumnUMerrUjH>
          <c:Key>3b70048b-a549-4b95-894d-35fa21d986f7</c:Key>
          <c:Value xmlns:d="http://schemas.datacontract.org/2004/07/QUMAS.ServerObjectModel.DataContracts.ContentTypes">
            <TimeStamp xmlns="http://schemas.datacontract.org/2004/07/QUMAS.Compliance.Common.SOM.DataContracts" i:nil="true"/>
            <UniqueId xmlns="http://schemas.datacontract.org/2004/07/QUMAS.Compliance.Common.SOM.DataContracts">00000000-0000-0000-0000-000000000000</UniqueId>
            <d:ColumnId>3b70048b-a549-4b95-894d-35fa21d986f7</d:ColumnId>
            <d:ColumnTitle>External Approved</d:ColumnTitle>
            <d:IsEditable>false</d:IsEditable>
            <d:IsVisible>true</d:IsVisible>
          </c:Value>
        </c:KeyValueOfguidCtMetaDataColumnUMerrUjH>
        <c:KeyValueOfguidCtMetaDataColumnUMerrUjH>
          <c:Key>63da565c-212f-437b-a8be-f9bddb310c30</c:Key>
          <c:Value xmlns:d="http://schemas.datacontract.org/2004/07/QUMAS.ServerObjectModel.DataContracts.ContentTypes">
            <TimeStamp xmlns="http://schemas.datacontract.org/2004/07/QUMAS.Compliance.Common.SOM.DataContracts" i:nil="true"/>
            <UniqueId xmlns="http://schemas.datacontract.org/2004/07/QUMAS.Compliance.Common.SOM.DataContracts">00000000-0000-0000-0000-000000000000</UniqueId>
            <d:ColumnId>63da565c-212f-437b-a8be-f9bddb310c30</d:ColumnId>
            <d:ColumnTitle>Responsibility</d:ColumnTitle>
            <d:IsEditable>false</d:IsEditable>
            <d:IsVisible>true</d:IsVisible>
          </c:Value>
        </c:KeyValueOfguidCtMetaDataColumnUMerrUjH>
      </b:columns>
    </a:MetaDataColumns>
  </UploadConfiguration>
</LifecycleStateDocumentConfiguration>
</file>

<file path=customXml/item13.xml><?xml version="1.0" encoding="utf-8"?>
<p:properties xmlns:p="http://schemas.microsoft.com/office/2006/metadata/properties" xmlns:xsi="http://www.w3.org/2001/XMLSchema-instance" xmlns:pc="http://schemas.microsoft.com/office/infopath/2007/PartnerControls">
  <documentManagement>
    <QUMASEffectiveDistributions xmlns="f7a5749a-0743-4a43-8d53-d0e889f1a7c8" xsi:nil="true"/>
    <QUMASDescription xmlns="f7a5749a-0743-4a43-8d53-d0e889f1a7c8" xsi:nil="true"/>
    <QUMASRandUCoord xmlns="f7a5749a-0743-4a43-8d53-d0e889f1a7c8">
      <UserInfo>
        <DisplayName>Eunjin Jo</DisplayName>
        <AccountId>504</AccountId>
        <AccountType/>
      </UserInfo>
    </QUMASRandUCoord>
    <QUMASDocCoord xmlns="f7a5749a-0743-4a43-8d53-d0e889f1a7c8">
      <UserInfo>
        <DisplayName>Eunjin Jo</DisplayName>
        <AccountId>504</AccountId>
        <AccountType/>
      </UserInfo>
    </QUMASDocCoord>
    <QUMASHasAutoName xmlns="f7a5749a-0743-4a43-8d53-d0e889f1a7c8">b15edf5b-3b84-44ac-a81f-e031b9cb4346</QUMASHasAutoName>
    <id20f4e1a1cf4b55adaa8c8ec1919e5d xmlns="8a680eef-6a7d-4d7b-b884-09c24675cc90">
      <Terms xmlns="http://schemas.microsoft.com/office/infopath/2007/PartnerControls"/>
    </id20f4e1a1cf4b55adaa8c8ec1919e5d>
    <External_x0020_Approved xmlns="8a680eef-6a7d-4d7b-b884-09c24675cc90">false</External_x0020_Approved>
    <Product_x0020_Name xmlns="8a680eef-6a7d-4d7b-b884-09c24675cc90">
      <Value>1</Value>
    </Product_x0020_Name>
    <RA_x0020_Documents xmlns="8a680eef-6a7d-4d7b-b884-09c24675cc90">8</RA_x0020_Documents>
    <Country xmlns="8a680eef-6a7d-4d7b-b884-09c24675cc90">
      <Value>12</Value>
    </Country>
    <TaxCatchAll xmlns="8a680eef-6a7d-4d7b-b884-09c24675cc90"/>
    <Litigation_x0020_Hold xmlns="8a680eef-6a7d-4d7b-b884-09c24675cc90" xsi:nil="true"/>
    <Application_x0020_Type xmlns="8a680eef-6a7d-4d7b-b884-09c24675cc90" xsi:nil="true"/>
    <Legacy_x0020_Number xmlns="8a680eef-6a7d-4d7b-b884-09c24675cc90" xsi:nil="true"/>
    <QUMASLifeCycleStateDesc xmlns="f7a5749a-0743-4a43-8d53-d0e889f1a7c8">Draft</QUMASLifeCycleStateDesc>
    <RDCT_Version xmlns="f7a5749a-0743-4a43-8d53-d0e889f1a7c8">0.3</RDCT_Version>
    <QUMASWorkflowRevise xmlns="f7a5749a-0743-4a43-8d53-d0e889f1a7c8" xsi:nil="true"/>
    <QUMASLifecycleWorkflow xmlns="f7a5749a-0743-4a43-8d53-d0e889f1a7c8">
      <Url>http://sharepoint.bioepis.ad/sites/CSP/rd/_layouts/WrkStat.aspx?List=f7a5749a%2D0743%2D4a43%2D8d53%2Dd0e889f1a7c8&amp;WorkflowInstanceID=ecb619b7%2D2b71%2D44d0%2Dba6b%2Dffa598937734</Url>
      <Description>Revise in progress</Description>
    </QUMASLifecycleWorkflow>
    <QUMASDocumentLog xmlns="f7a5749a-0743-4a43-8d53-d0e889f1a7c8" xsi:nil="true"/>
    <QUMASWorkflowApprove xmlns="f7a5749a-0743-4a43-8d53-d0e889f1a7c8" xsi:nil="true"/>
    <QUMASUseEffectiveLifecycle xmlns="f7a5749a-0743-4a43-8d53-d0e889f1a7c8">false</QUMASUseEffectiveLifecycle>
    <QUMASRenderStatus xmlns="f7a5749a-0743-4a43-8d53-d0e889f1a7c8" xsi:nil="true"/>
    <QUMASElecSignature xmlns="f7a5749a-0743-4a43-8d53-d0e889f1a7c8" xsi:nil="true"/>
    <QUMASAllowMajorCheckin xmlns="f7a5749a-0743-4a43-8d53-d0e889f1a7c8">false</QUMASAllowMajorCheckin>
    <RDCT_ReleasedDate xmlns="f7a5749a-0743-4a43-8d53-d0e889f1a7c8" xsi:nil="true"/>
    <Responsibility xmlns="8a680eef-6a7d-4d7b-b884-09c24675cc90">
      <UserInfo>
        <DisplayName>Heemin Oh</DisplayName>
        <AccountId>430</AccountId>
        <AccountType/>
      </UserInfo>
    </Responsibility>
  </documentManagement>
</p:properties>
</file>

<file path=customXml/item14.xml><?xml version="1.0" encoding="utf-8"?>
<?mso-contentType ?>
<CtDocTemplates xmlns="http://www.Qumas.com/Qumas.Compliance/ContentTypes/DocTemplates" xmlns:i="http://www.w3.org/2001/XMLSchema-instance">
  <templates xmlns:a="http://schemas.datacontract.org/2004/07/QUMAS.ServerObjectModel.DataContracts.ContentTypes">
    <a:CtDocTemplate>
      <a:DocumentId>5be032e4-8f19-43fe-ba2c-4fc0aa1bbb2f</a:DocumentId>
      <a:LocaleId/>
      <a:Title>Blank_Landscape.docx</a:Title>
      <a:Url>/sites/CSP/ComplianceSP Document Templates/Blank_Landscape.docx</a:Url>
    </a:CtDocTemplate>
    <a:CtDocTemplate>
      <a:DocumentId>06c2bee9-61fc-4c46-9e64-6212d2eb99fc</a:DocumentId>
      <a:LocaleId/>
      <a:Title>Blank_Portrait.docx</a:Title>
      <a:Url>/sites/CSP/ComplianceSP Document Templates/Blank_Portrait.docx</a:Url>
    </a:CtDocTemplate>
  </templates>
</CtDocTemplates>
</file>

<file path=customXml/item15.xml><?xml version="1.0" encoding="utf-8"?>
<?mso-contentType ?>
<CtLifecycleStateWorkflows xmlns="http://www.Qumas.com/Qumas.Compliance/ContentTypes/LifecycleStateWorkflowConfig" xmlns:i="http://www.w3.org/2001/XMLSchema-instance">
  <_lifeCycleStateWorkflows>
    <CtLifecycleStateWorkflow>
      <AllowDocumentPermissionsOverride>false</AllowDocumentPermissionsOverride>
      <Permissions xmlns:a="http://schemas.datacontract.org/2004/07/QUMAS.ServerObjectModel.DataContracts.Security" i:nil="true"/>
      <action>Revise</action>
      <configuredWorkflow>QUMAS</configuredWorkflow>
      <sharePointWorkflow i:nil="true"/>
    </CtLifecycleStateWorkflow>
    <CtLifecycleStateWorkflow>
      <AllowDocumentPermissionsOverride>false</AllowDocumentPermissionsOverride>
      <Permissions xmlns:a="http://schemas.datacontract.org/2004/07/QUMAS.ServerObjectModel.DataContracts.Security" i:nil="true"/>
      <action>Approve</action>
      <configuredWorkflow>QUMAS</configuredWorkflow>
      <sharePointWorkflow i:nil="true"/>
    </CtLifecycleStateWorkflow>
    <CtLifecycleStateWorkflow>
      <AllowDocumentPermissionsOverride>false</AllowDocumentPermissionsOverride>
      <Permissions xmlns:a="http://schemas.datacontract.org/2004/07/QUMAS.ServerObjectModel.DataContracts.Security" i:nil="true"/>
      <action>MakeEffective</action>
      <configuredWorkflow>QUMAS</configuredWorkflow>
      <sharePointWorkflow i:nil="true"/>
    </CtLifecycleStateWorkflow>
    <CtLifecycleStateWorkflow>
      <AllowDocumentPermissionsOverride>false</AllowDocumentPermissionsOverride>
      <Permissions xmlns:a="http://schemas.datacontract.org/2004/07/QUMAS.ServerObjectModel.DataContracts.Security" i:nil="true"/>
      <action>ImportEffective</action>
      <configuredWorkflow>QUMAS</configuredWorkflow>
      <sharePointWorkflow i:nil="true"/>
    </CtLifecycleStateWorkflow>
    <CtLifecycleStateWorkflow>
      <AllowDocumentPermissionsOverride>false</AllowDocumentPermissionsOverride>
      <Permissions xmlns:a="http://schemas.datacontract.org/2004/07/QUMAS.ServerObjectModel.DataContracts.Security" i:nil="true"/>
      <action>Withdraw</action>
      <configuredWorkflow>QUMAS</configuredWorkflow>
      <sharePointWorkflow i:nil="true"/>
    </CtLifecycleStateWorkflow>
    <CtLifecycleStateWorkflow>
      <AllowDocumentPermissionsOverride>false</AllowDocumentPermissionsOverride>
      <Permissions xmlns:a="http://schemas.datacontract.org/2004/07/QUMAS.ServerObjectModel.DataContracts.Security" i:nil="true"/>
      <action>Retire</action>
      <configuredWorkflow>QUMAS</configuredWorkflow>
      <sharePointWorkflow i:nil="true"/>
    </CtLifecycleStateWorkflow>
    <CtLifecycleStateWorkflow>
      <AllowDocumentPermissionsOverride>false</AllowDocumentPermissionsOverride>
      <Permissions xmlns:a="http://schemas.datacontract.org/2004/07/QUMAS.ServerObjectModel.DataContracts.Security" i:nil="true"/>
      <action>NewDocument</action>
      <configuredWorkflow>QUMAS</configuredWorkflow>
      <sharePointWorkflow i:nil="true"/>
    </CtLifecycleStateWorkflow>
    <CtLifecycleStateWorkflow>
      <AllowDocumentPermissionsOverride>false</AllowDocumentPermissionsOverride>
      <Permissions xmlns:a="http://schemas.datacontract.org/2004/07/QUMAS.ServerObjectModel.DataContracts.Security" i:nil="true"/>
      <action>UploadDocument</action>
      <configuredWorkflow>QUMAS</configuredWorkflow>
      <sharePointWorkflow i:nil="true"/>
    </CtLifecycleStateWorkflow>
    <CtLifecycleStateWorkflow>
      <AllowDocumentPermissionsOverride>false</AllowDocumentPermissionsOverride>
      <Permissions xmlns:a="http://schemas.datacontract.org/2004/07/QUMAS.ServerObjectModel.DataContracts.Security" i:nil="true"/>
      <action>PrintDocument</action>
      <configuredWorkflow>QUMAS</configuredWorkflow>
      <sharePointWorkflow i:nil="true"/>
    </CtLifecycleStateWorkflow>
    <CtLifecycleStateWorkflow>
      <AllowDocumentPermissionsOverride>false</AllowDocumentPermissionsOverride>
      <Permissions xmlns:a="http://schemas.datacontract.org/2004/07/QUMAS.ServerObjectModel.DataContracts.Security" i:nil="true"/>
      <action>PrintReleasedDocument</action>
      <configuredWorkflow>QUMAS</configuredWorkflow>
      <sharePointWorkflow i:nil="true"/>
    </CtLifecycleStateWorkflow>
    <CtLifecycleStateWorkflow>
      <AllowDocumentPermissionsOverride>false</AllowDocumentPermissionsOverride>
      <Permissions xmlns:a="http://schemas.datacontract.org/2004/07/QUMAS.ServerObjectModel.DataContracts.Security" i:nil="true"/>
      <action>StartWorkflow</action>
      <configuredWorkflow>QUMAS</configuredWorkflow>
      <sharePointWorkflow i:nil="true"/>
    </CtLifecycleStateWorkflow>
  </_lifeCycleStateWorkflows>
</CtLifecycleStateWorkflows>
</file>

<file path=customXml/item16.xml><?xml version="1.0" encoding="utf-8"?>
<?mso-contentType ?>
<AutoNumber xmlns="http://www.Qumas.com/Qumas.Compliance/ContentTypes/AutoNumber" xmlns:i="http://www.w3.org/2001/XMLSchema-instance">
  <_Formats xmlns:a="http://schemas.microsoft.com/2003/10/Serialization/Arrays">
    <a:KeyValueOfintAutoNumberFormatmYVxyQg_S>
      <a:Key>0</a:Key>
      <a:Value xmlns:b="http://www.Qumas.com/Qumas.Compliance/ContentTypes/DocNumber">
        <b:ChoiceFieldName i:nil="true"/>
        <b:NumberType>Unknown</b:NumberType>
        <b:TextVal>RA_</b:TextVal>
        <b:formatSpecType>Text</b:formatSpecType>
      </a:Value>
    </a:KeyValueOfintAutoNumberFormatmYVxyQg_S>
    <a:KeyValueOfintAutoNumberFormatmYVxyQg_S>
      <a:Key>1</a:Key>
      <a:Value xmlns:b="http://www.Qumas.com/Qumas.Compliance/ContentTypes/DocNumber">
        <b:ChoiceFieldName i:nil="true"/>
        <b:NumberType>Local</b:NumberType>
        <b:TextVal>5</b:TextVal>
        <b:formatSpecType>DocNum</b:formatSpecType>
      </a:Value>
    </a:KeyValueOfintAutoNumberFormatmYVxyQg_S>
  </_Formats>
</AutoNumber>
</file>

<file path=customXml/item17.xml><?xml version="1.0" encoding="utf-8"?>
<?mso-contentType ?>
<ObjectManager xmlns="http://www.Qumas.com/Qumas.Compliance/Configuration/LifecycleAction/LifecycleActionNamedConfigurations/Retire" xmlns:i="http://www.w3.org/2001/XMLSchema-instance"><![CDATA[<LifecycleActionNamedConfigurations xmlns="http://www.Qumas.com/Qumas.Compliance/Configuration/LifecycleAction/LifecycleActionNamedConfigurations" xmlns:i="http://www.w3.org/2001/XMLSchema-instance"><TimeStamp i:nil="true" xmlns="http://schemas.datacontract.org/2004/07/QUMAS.Compliance.Common.SOM.DataContracts" /><UniqueId xmlns="http://schemas.datacontract.org/2004/07/QUMAS.Compliance.Common.SOM.DataContracts">00000000-0000-0000-0000-000000000000</UniqueId><_Configuration xmlns:a="http://schemas.microsoft.com/2003/10/Serialization/Arrays"><a:KeyValueOfstringLifecycleActionNamedConfigurationWMHOgtwe><a:Key>Retire</a:Key><a:Value xmlns:b="http://www.Qumas.com/Qumas.Compliance/Configuration/LifecycleAction/LifecycleActionNamedConfiguration"><TimeStamp i:nil="true" xmlns="http://schemas.datacontract.org/2004/07/QUMAS.Compliance.Common.SOM.DataContracts" /><UniqueId xmlns="http://schemas.datacontract.org/2004/07/QUMAS.Compliance.Common.SOM.DataContracts">00000000-0000-0000-0000-000000000000</UniqueId><b:AOAutoTransitionToNextAction>false</b:AOAutoTransitionToNextAction><b:AllowedPrincipals xmlns:c="http://schemas.datacontract.org/2004/07/QUMAS.Compliance.Common.SOM.DataContracts.Security"><c:UserOrGroup><TimeStamp i:nil="true" xmlns="http://schemas.datacontract.org/2004/07/QUMAS.Compliance.Common.SOM.DataContracts" /><UniqueId xmlns="http://schemas.datacontract.org/2004/07/QUMAS.Compliance.Common.SOM.DataContracts">00000000-0000-0000-0000-000000000000</UniqueId><c:Id>0</c:Id><c:Member>document_coordinators_grp</c:Member><c:MemberType>SharePointGroup</c:MemberType></c:UserOrGroup></b:AllowedPrincipals><b:AutoTransitionToNextAction>false</b:AutoTransitionToNextAction><b:Description>Start the Retire workflow to retire the released document.</b:Description><b:DirectActionConfiguration xmlns:c="http://www.Qumas.com/Qumas.Compliance/Configuration/LifecycleAction/DirectActionConfiguration"><TimeStamp i:nil="true" xmlns="http://schemas.datacontract.org/2004/07/QUMAS.Compliance.Common.SOM.DataContracts" /><UniqueId xmlns="http://schemas.datacontract.org/2004/07/QUMAS.Compliance.Common.SOM.DataContracts">00000000-0000-0000-0000-000000000000</UniqueId><c:EsignatureRequired xmlns:d="http://www.Qumas.com/Qumas.Compliance/Configuration/Controls/EsignatureRequiredConf"><TimeStamp i:nil="true" xmlns="http://schemas.datacontract.org/2004/07/QUMAS.Compliance.Common.SOM.DataContracts" /><UniqueId xmlns="http://schemas.datacontract.org/2004/07/QUMAS.Compliance.Common.SOM.DataContracts">00000000-0000-0000-0000-000000000000</UniqueId><d:BusinessRole>Quality Manager</d:BusinessRole><d:MeaningOfSignatureCode>GMPDocApproval</d:MeaningOfSignatureCode><d:RequiresESig>false</d:RequiresESig></c:EsignatureRequired><c:RetractReleasedDoc>false</c:RetractReleasedDoc></b:DirectActionConfiguration><b:EffectiveRenderTemplate i:nil="true" /><b:EndTransitionRenderTemplate>Retired Template</b:EndTransitionRenderTemplate><b:HOAutoTransitionToNextAction>false</b:HOAutoTransitionToNextAction><b:MetaDataColumnId /><b:MetaDataColumnValue /><b:Name>Retire</b:Name><b:ReleaseConditions xmlns:c="http://www.Qumas.com/Qumas.Compliance/Configuration/LifecycleAction/ReleaseConditionsConfiguration"><TimeStamp i:nil="true" xmlns="http://schemas.datacontract.org/2004/07/QUMAS.Compliance.Common.SOM.DataContracts" /><UniqueId xmlns="http://schemas.datacontract.org/2004/07/QUMAS.Compliance.Common.SOM.DataContracts">00000000-0000-0000-0000-000000000000</UniqueId><c:AfterDays i:nil="true" /><c:AllowedPrincipals xmlns:d="http://schemas.datacontract.org/2004/07/QUMAS.Compliance.Common.SOM.DataContracts.Security" /><c:ReleaseName>Release</c:ReleaseName><c:Type>Automatic</c:Type></b:ReleaseConditions><b:StartTransitionRenderTemplate>Approved Submission</b:StartTransitionRenderTemplate><b:TransitionOptions>UseWorkflow</b:TransitionOptions><b:WorkflowConfiguration>&lt;RetireWorkflowConfiguration xmlns="http://www.Qumas.com/Qumas.Compliance/Configuration/Workflows/RetireWorkflowConfiguration" xmlns:i="http://www.w3.org/2001/XMLSchema-instance"&gt;&lt;TimeStamp i:nil="true" xmlns="http://schemas.datacontract.org/2004/07/QUMAS.Compliance.Common.SOM.DataContracts" /&gt;&lt;UniqueId xmlns="http://schemas.datacontract.org/2004/07/QUMAS.Compliance.Common.SOM.DataContracts"&gt;00000000-0000-0000-0000-000000000000&lt;/UniqueId&gt;&lt;AOAutoRetractReleasedDocument&gt;false&lt;/AOAutoRetractReleasedDocument&gt;&lt;AODuration&gt;true&lt;/AODuration&gt;&lt;AOESig&gt;false&lt;/AOESig&gt;&lt;AOEscalationConfigurationOverdue&gt;false&lt;/AOEscalationConfigurationOverdue&gt;&lt;AOEscalationConfigurationWarn&gt;false&lt;/AOEscalationConfigurationWarn&gt;&lt;AOTaskDescription&gt;true&lt;/AOTaskDescription&gt;&lt;AOTaskTitle&gt;false&lt;/AOTaskTitle&gt;&lt;AOWorkflowCompletionCondition&gt;false&lt;/AOWorkflowCompletionCondition&gt;&lt;AutoRetractReleasedDocument&gt;true&lt;/AutoRetractReleasedDocument&gt;&lt;BusinessRole&gt;Approver&lt;/BusinessRole&gt;&lt;Duration&gt;5&lt;/Duration&gt;&lt;ESignatureRequired xmlns:a="http://www.Qumas.com/Qumas.Compliance/Configuration/Controls/EsignatureRequiredConf"&gt;&lt;TimeStamp i:nil="true" xmlns="http://schemas.datacontract.org/2004/07/QUMAS.Compliance.Common.SOM.DataContracts" /&gt;&lt;UniqueId xmlns="http://schemas.datacontract.org/2004/07/QUMAS.Compliance.Common.SOM.DataContracts"&gt;00000000-0000-0000-0000-000000000000&lt;/UniqueId&gt;&lt;a:BusinessRole&gt;Approver&lt;/a:BusinessRole&gt;&lt;a:MeaningOfSignatureCode&gt;RetireDocument&lt;/a:MeaningOfSignatureCode&gt;&lt;a:RequiresESig&gt;true&lt;/a:RequiresESig&gt;&lt;/ESignatureRequired&gt;&lt;EscalationConfigurationOverdue xmlns:a="http://www.Qumas.com/Qumas.Compliance/Configuration/Controls/EscalationNotificationOverdueConf"&gt;&lt;a:DaysRepeat&gt;2&lt;/a:DaysRepeat&gt;&lt;a:InitialNotification&gt;Default Escalation&lt;/a:InitialNotification&gt;&lt;a:IsEnableTaskEscalation&gt;true&lt;/a:IsEnableTaskEscalation&gt;&lt;a:IsOverdueHighPriority&gt;false&lt;/a:IsOverdueHighPriority&gt;&lt;a:IsRepeatNotification&gt;true&lt;/a:IsRepeatNotification&gt;&lt;a:RepeatNotification&gt;Default Escalation&lt;/a:RepeatNotification&gt;&lt;/EscalationConfigurationOverdue&gt;&lt;EscalationConfigurationWarn xmlns:a="http://www.Qumas.com/Qumas.Compliance/Configuration/Controls/EscalationNotificationWarnConf"&gt;&lt;a:DaysBeforeDueDate&gt;2&lt;/a:DaysBeforeDueDate&gt;&lt;a:DaysRepeat&gt;2&lt;/a:DaysRepeat&gt;&lt;a:IsRepeatNotification&gt;true&lt;/a:IsRepeatNotification&gt;&lt;a:IsWarnSoonOvedue&gt;true&lt;/a:IsWarnSoonOvedue&gt;&lt;a:NotificationBeforeDueDate&gt;Default Pending Escalation&lt;/a:NotificationBeforeDueDate&gt;&lt;a:RepeatNotification&gt;Default Pending Escalation&lt;/a:RepeatNotification&gt;&lt;/EscalationConfigurationWarn&gt;&lt;HOAutoRetractReleasedDocument&gt;true&lt;/HOAutoRetractReleasedDocument&gt;&lt;HODuration&gt;false&lt;/HODuration&gt;&lt;HOESig&gt;true&lt;/HOESig&gt;&lt;HOEscalationConfigurationOverdue&gt;true&lt;/HOEscalationConfigurationOverdue&gt;&lt;HOEscalationConfigurationWarn&gt;true&lt;/HOEscalationConfigurationWarn&gt;&lt;HOTaskDescription&gt;false&lt;/HOTaskDescription&gt;&lt;HOTaskTitle&gt;false&lt;/HOTaskTitle&gt;&lt;HOWorkflowCompletionCondition&gt;true&lt;/HOWorkflowCompletionCondition&gt;&lt;HaltOnSingleDisapproval&gt;true&lt;/HaltOnSingleDisapproval&gt;&lt;MeaningOfSignatureCode&gt;GMPRetireDocument&lt;/MeaningOfSignatureCode&gt;&lt;PanelName&gt;Retire&lt;/PanelName&gt;&lt;QuorumNum&gt;0&lt;/QuorumNum&gt;&lt;RequiresESig&gt;true&lt;/RequiresESig&gt;&lt;SegregationCfg xmlns:a="http://www.Qumas.com/Qumas.Compliance/Configuration/Controls/SegregationConfig"&gt;&lt;TimeStamp i:nil="true" xmlns="http://schemas.datacontract.org/2004/07/QUMAS.Compliance.Common.SOM.DataContracts" /&gt;&lt;UniqueId xmlns="http://schemas.datacontract.org/2004/07/QUMAS.Compliance.Common.SOM.DataContracts"&gt;00000000-0000-0000-0000-000000000000&lt;/UniqueId&gt;&lt;a:AO&gt;true&lt;/a:AO&gt;&lt;a:Assignees xmlns:b="http://schemas.datacontract.org/2004/07/QUMAS.Compliance.Common.SOM.DataContracts.Security" /&gt;&lt;a:Filter xmlns:b="http://schemas.datacontract.org/2004/07/QUMAS.Compliance.Common.SOM.DataContracts.Security"&gt;&lt;TimeStamp i:nil="true" xmlns="http://schemas.datacontract.org/2004/07/QUMAS.Compliance.Common.SOM.DataContracts" /&gt;&lt;UniqueId xmlns="http://schemas.datacontract.org/2004/07/QUMAS.Compliance.Common.SOM.DataContracts"&gt;00000000-0000-0000-0000-000000000000&lt;/UniqueId&gt;&lt;b:Id&gt;28&lt;/b:Id&gt;&lt;b:Member&gt;retireres_grp&lt;/b:Member&gt;&lt;b:MemberType&gt;SharePointGroup&lt;/b:MemberType&gt;&lt;/a:Filter&gt;&lt;a:HO&gt;false&lt;/a:HO&gt;&lt;a:Limit&gt;true&lt;/a:Limit&gt;&lt;a:SepTasks&gt;true&lt;/a:SepTasks&gt;&lt;/SegregationCfg&gt;&lt;TaskDescription&gt;Please review {Title} ({Name}) and approve or disapprove.&lt;/TaskDescription&gt;&lt;TaskTitle&gt;Retire task for {Title} ({Name})&lt;/TaskTitle&gt;&lt;WorkflowCompletionCondition&gt;AllTasksCompletion&lt;/WorkflowCompletionCondition&gt;&lt;/RetireWorkflowConfiguration&gt;</b:WorkflowConfiguration></a:Value></a:KeyValueOfstringLifecycleActionNamedConfigurationWMHOgtwe><a:KeyValueOfstringLifecycleActionNamedConfigurationWMHOgtwe><a:Key>Direct Retire</a:Key><a:Value xmlns:b="http://www.Qumas.com/Qumas.Compliance/Configuration/LifecycleAction/LifecycleActionNamedConfiguration"><TimeStamp i:nil="true" xmlns="http://schemas.datacontract.org/2004/07/QUMAS.Compliance.Common.SOM.DataContracts" /><UniqueId xmlns="http://schemas.datacontract.org/2004/07/QUMAS.Compliance.Common.SOM.DataContracts">00000000-0000-0000-0000-000000000000</UniqueId><b:AOAutoTransitionToNextAction>false</b:AOAutoTransitionToNextAction><b:AllowedPrincipals xmlns:c="http://schemas.datacontract.org/2004/07/QUMAS.Compliance.Common.SOM.DataContracts.Security"><c:UserOrGroup><TimeStamp i:nil="true" xmlns="http://schemas.datacontract.org/2004/07/QUMAS.Compliance.Common.SOM.DataContracts" /><UniqueId xmlns="http://schemas.datacontract.org/2004/07/QUMAS.Compliance.Common.SOM.DataContracts">00000000-0000-0000-0000-000000000000</UniqueId><c:Id>0</c:Id><c:Member>document_coordinators_grp</c:Member><c:MemberType>SharePointGroup</c:MemberType></c:UserOrGroup></b:AllowedPrincipals><b:AutoTransitionToNextAction>false</b:AutoTransitionToNextAction><b:Description>Change lifecycle state to retire directly</b:Description><b:DirectActionConfiguration xmlns:c="http://www.Qumas.com/Qumas.Compliance/Configuration/LifecycleAction/DirectActionConfiguration"><TimeStamp i:nil="true" xmlns="http://schemas.datacontract.org/2004/07/QUMAS.Compliance.Common.SOM.DataContracts" /><UniqueId xmlns="http://schemas.datacontract.org/2004/07/QUMAS.Compliance.Common.SOM.DataContracts">00000000-0000-0000-0000-000000000000</UniqueId><c:EsignatureRequired xmlns:d="http://www.Qumas.com/Qumas.Compliance/Configuration/Controls/EsignatureRequiredConf"><TimeStamp i:nil="true" xmlns="http://schemas.datacontract.org/2004/07/QUMAS.Compliance.Common.SOM.DataContracts" /><UniqueId xmlns="http://schemas.datacontract.org/2004/07/QUMAS.Compliance.Common.SOM.DataContracts">00000000-0000-0000-0000-000000000000</UniqueId><d:BusinessRole>Quality Manager</d:BusinessRole><d:MeaningOfSignatureCode>GMPRetireDocument</d:MeaningOfSignatureCode><d:RequiresESig>false</d:RequiresESig></c:EsignatureRequired><c:RetractReleasedDoc>true</c:RetractReleasedDoc></b:DirectActionConfiguration><b:EffectiveRenderTemplate i:nil="true" /><b:EndTransitionRenderTemplate>Retired Template</b:EndTransitionRenderTemplate><b:HOAutoTransitionToNextAction>false</b:HOAutoTransitionToNextAction><b:MetaDataColumnId /><b:MetaDataColumnValue /><b:Name>Direct Retire</b:Name><b:ReleaseConditions xmlns:c="http://www.Qumas.com/Qumas.Compliance/Configuration/LifecycleAction/ReleaseConditionsConfiguration"><TimeStamp i:nil="true" xmlns="http://schemas.datacontract.org/2004/07/QUMAS.Compliance.Common.SOM.DataContracts" /><UniqueId xmlns="http://schemas.datacontract.org/2004/07/QUMAS.Compliance.Common.SOM.DataContracts">00000000-0000-0000-0000-000000000000</UniqueId><c:AfterDays i:nil="true" /><c:AllowedPrincipals xmlns:d="http://schemas.datacontract.org/2004/07/QUMAS.Compliance.Common.SOM.DataContracts.Security" /><c:ReleaseName>Release</c:ReleaseName><c:Type>Automatic</c:Type></b:ReleaseConditions><b:StartTransitionRenderTemplate>Approved Submission</b:StartTransitionRenderTemplate><b:TransitionOptions>Direct</b:TransitionOptions><b:WorkflowConfiguration>&lt;RetireWorkflowConfiguration xmlns="http://www.Qumas.com/Qumas.Compliance/Configuration/Workflows/RetireWorkflowConfiguration" xmlns:i="http://www.w3.org/2001/XMLSchema-instance"&gt;&lt;TimeStamp i:nil="true" xmlns="http://schemas.datacontract.org/2004/07/QUMAS.Compliance.Common.SOM.DataContracts" /&gt;&lt;UniqueId xmlns="http://schemas.datacontract.org/2004/07/QUMAS.Compliance.Common.SOM.DataContracts"&gt;00000000-0000-0000-0000-000000000000&lt;/UniqueId&gt;&lt;AOAutoRetractReleasedDocument&gt;false&lt;/AOAutoRetractReleasedDocument&gt;&lt;AODuration&gt;true&lt;/AODuration&gt;&lt;AOESig&gt;false&lt;/AOESig&gt;&lt;AOEscalationConfigurationOverdue&gt;false&lt;/AOEscalationConfigurationOverdue&gt;&lt;AOEscalationConfigurationWarn&gt;false&lt;/AOEscalationConfigurationWarn&gt;&lt;AOTaskDescription&gt;false&lt;/AOTaskDescription&gt;&lt;AOTaskTitle&gt;false&lt;/AOTaskTitle&gt;&lt;AOWorkflowCompletionCondition&gt;false&lt;/AOWorkflowCompletionCondition&gt;&lt;AutoRetractReleasedDocument&gt;true&lt;/AutoRetractReleasedDocument&gt;&lt;BusinessRole i:nil="true" /&gt;&lt;Duration&gt;10&lt;/Duration&gt;&lt;ESignatureRequired xmlns:a="http://www.Qumas.com/Qumas.Compliance/Configuration/Controls/EsignatureRequiredConf"&gt;&lt;TimeStamp i:nil="true" xmlns="http://schemas.datacontract.org/2004/07/QUMAS.Compliance.Common.SOM.DataContracts" /&gt;&lt;UniqueId xmlns="http://schemas.datacontract.org/2004/07/QUMAS.Compliance.Common.SOM.DataContracts"&gt;00000000-0000-0000-0000-000000000000&lt;/UniqueId&gt;&lt;a:BusinessRole&gt;Quality Manager&lt;/a:BusinessRole&gt;&lt;a:MeaningOfSignatureCode&gt;GMPRetireDocument&lt;/a:MeaningOfSignatureCode&gt;&lt;a:RequiresESig&gt;true&lt;/a:RequiresESig&gt;&lt;/ESignatureRequired&gt;&lt;EscalationConfigurationOverdue xmlns:a="http://www.Qumas.com/Qumas.Compliance/Configuration/Controls/EscalationNotificationOverdueConf"&gt;&lt;a:DaysRepeat&gt;2&lt;/a:DaysRepeat&gt;&lt;a:InitialNotification&gt;Approaching Periodic Review Escalation&lt;/a:InitialNotification&gt;&lt;a:IsEnableTaskEscalation&gt;false&lt;/a:IsEnableTaskEscalation&gt;&lt;a:IsOverdueHighPriority&gt;false&lt;/a:IsOverdueHighPriority&gt;&lt;a:IsRepeatNotification&gt;false&lt;/a:IsRepeatNotification&gt;&lt;a:RepeatNotification&gt;Approaching Periodic Review Escalation&lt;/a:RepeatNotification&gt;&lt;/EscalationConfigurationOverdue&gt;&lt;EscalationConfigurationWarn xmlns:a="http://www.Qumas.com/Qumas.Compliance/Configuration/Controls/EscalationNotificationWarnConf"&gt;&lt;a:DaysBeforeDueDate&gt;2&lt;/a:DaysBeforeDueDate&gt;&lt;a:DaysRepeat&gt;2&lt;/a:DaysRepeat&gt;&lt;a:IsRepeatNotification&gt;false&lt;/a:IsRepeatNotification&gt;&lt;a:IsWarnSoonOvedue&gt;false&lt;/a:IsWarnSoonOvedue&gt;&lt;a:NotificationBeforeDueDate&gt;Approaching Periodic Review Escalation&lt;/a:NotificationBeforeDueDate&gt;&lt;a:RepeatNotification&gt;Approaching Periodic Review Escalation&lt;/a:RepeatNotification&gt;&lt;/EscalationConfigurationWarn&gt;&lt;HOAutoRetractReleasedDocument&gt;false&lt;/HOAutoRetractReleasedDocument&gt;&lt;HODuration&gt;false&lt;/HODuration&gt;&lt;HOESig&gt;true&lt;/HOESig&gt;&lt;HOEscalationConfigurationOverdue&gt;true&lt;/HOEscalationConfigurationOverdue&gt;&lt;HOEscalationConfigurationWarn&gt;true&lt;/HOEscalationConfigurationWarn&gt;&lt;HOTaskDescription&gt;false&lt;/HOTaskDescription&gt;&lt;HOTaskTitle&gt;false&lt;/HOTaskTitle&gt;&lt;HOWorkflowCompletionCondition&gt;true&lt;/HOWorkflowCompletionCondition&gt;&lt;HaltOnSingleDisapproval&gt;true&lt;/HaltOnSingleDisapproval&gt;&lt;MeaningOfSignatureCode i:nil="true" /&gt;&lt;PanelName&gt;Retire Panel&lt;/PanelName&gt;&lt;QuorumNum&gt;0&lt;/QuorumNum&gt;&lt;RequiresESig&gt;false&lt;/RequiresESig&gt;&lt;SegregationCfg xmlns:a="http://www.Qumas.com/Qumas.Compliance/Configuration/Controls/SegregationConfig"&gt;&lt;TimeStamp i:nil="true" xmlns="http://schemas.datacontract.org/2004/07/QUMAS.Compliance.Common.SOM.DataContracts" /&gt;&lt;UniqueId xmlns="http://schemas.datacontract.org/2004/07/QUMAS.Compliance.Common.SOM.DataContracts"&gt;00000000-0000-0000-0000-000000000000&lt;/UniqueId&gt;&lt;a:AO&gt;true&lt;/a:AO&gt;&lt;a:Assignees xmlns:b="http://schemas.datacontract.org/2004/07/QUMAS.Compliance.Common.SOM.DataContracts.Security" /&gt;&lt;a:Filter i:nil="true" xmlns:b="http://schemas.datacontract.org/2004/07/QUMAS.Compliance.Common.SOM.DataContracts.Security" /&gt;&lt;a:HO&gt;false&lt;/a:HO&gt;&lt;a:Limit&gt;false&lt;/a:Limit&gt;&lt;a:SepTasks&gt;false&lt;/a:SepTasks&gt;&lt;/SegregationCfg&gt;&lt;TaskDescription&gt;Please review {Title} ({Name}) and approve or disapprove.&lt;/TaskDescription&gt;&lt;TaskTitle&gt;Retire task for {Title} ({Name})&lt;/TaskTitle&gt;&lt;WorkflowCompletionCondition&gt;AllTasksCompletion&lt;/WorkflowCompletionCondition&gt;&lt;/RetireWorkflowConfiguration&gt;</b:WorkflowConfiguration></a:Value></a:KeyValueOfstringLifecycleActionNamedConfigurationWMHOgtwe></_Configuration></LifecycleActionNamedConfigurations>]]></ObjectManager>
</file>

<file path=customXml/item18.xml><?xml version="1.0" encoding="utf-8"?>
<?mso-contentType ?>
<ObjectManager xmlns="http://www.Qumas.com/Qumas.Compliance/Configuration/LifecycleAction/LifecycleActionNamedConfigurations/Approve" xmlns:i="http://www.w3.org/2001/XMLSchema-instance"><![CDATA[<LifecycleActionNamedConfigurations xmlns="http://www.Qumas.com/Qumas.Compliance/Configuration/LifecycleAction/LifecycleActionNamedConfigurations" xmlns:i="http://www.w3.org/2001/XMLSchema-instance"><TimeStamp i:nil="true" xmlns="http://schemas.datacontract.org/2004/07/QUMAS.Compliance.Common.SOM.DataContracts" /><UniqueId xmlns="http://schemas.datacontract.org/2004/07/QUMAS.Compliance.Common.SOM.DataContracts">00000000-0000-0000-0000-000000000000</UniqueId><_Configuration xmlns:a="http://schemas.microsoft.com/2003/10/Serialization/Arrays"><a:KeyValueOfstringLifecycleActionNamedConfigurationWMHOgtwe><a:Key>Approve</a:Key><a:Value xmlns:b="http://www.Qumas.com/Qumas.Compliance/Configuration/LifecycleAction/LifecycleActionNamedConfiguration"><TimeStamp i:nil="true" xmlns="http://schemas.datacontract.org/2004/07/QUMAS.Compliance.Common.SOM.DataContracts" /><UniqueId xmlns="http://schemas.datacontract.org/2004/07/QUMAS.Compliance.Common.SOM.DataContracts">00000000-0000-0000-0000-000000000000</UniqueId><b:AOAutoTransitionToNextAction>false</b:AOAutoTransitionToNextAction><b:AllowedPrincipals xmlns:c="http://schemas.datacontract.org/2004/07/QUMAS.Compliance.Common.SOM.DataContracts.Security"><c:UserOrGroup><TimeStamp i:nil="true" xmlns="http://schemas.datacontract.org/2004/07/QUMAS.Compliance.Common.SOM.DataContracts" /><UniqueId xmlns="http://schemas.datacontract.org/2004/07/QUMAS.Compliance.Common.SOM.DataContracts">00000000-0000-0000-0000-000000000000</UniqueId><c:Id>0</c:Id><c:Member>initiate_workflow_grp</c:Member><c:MemberType>SharePointGroup</c:MemberType></c:UserOrGroup></b:AllowedPrincipals><b:AutoTransitionToNextAction>false</b:AutoTransitionToNextAction><b:Description>Start the Approve workflow on the document.</b:Description><b:DirectActionConfiguration xmlns:c="http://www.Qumas.com/Qumas.Compliance/Configuration/LifecycleAction/DirectActionConfiguration"><TimeStamp i:nil="true" xmlns="http://schemas.datacontract.org/2004/07/QUMAS.Compliance.Common.SOM.DataContracts" /><UniqueId xmlns="http://schemas.datacontract.org/2004/07/QUMAS.Compliance.Common.SOM.DataContracts">00000000-0000-0000-0000-000000000000</UniqueId><c:EsignatureRequired xmlns:d="http://www.Qumas.com/Qumas.Compliance/Configuration/Controls/EsignatureRequiredConf"><TimeStamp i:nil="true" xmlns="http://schemas.datacontract.org/2004/07/QUMAS.Compliance.Common.SOM.DataContracts" /><UniqueId xmlns="http://schemas.datacontract.org/2004/07/QUMAS.Compliance.Common.SOM.DataContracts">00000000-0000-0000-0000-000000000000</UniqueId><d:BusinessRole>Quality Manager</d:BusinessRole><d:MeaningOfSignatureCode>GMPDocApproval</d:MeaningOfSignatureCode><d:RequiresESig>false</d:RequiresESig></c:EsignatureRequired><c:RetractReleasedDoc>false</c:RetractReleasedDoc></b:DirectActionConfiguration><b:EffectiveRenderTemplate>Effective Template</b:EffectiveRenderTemplate><b:EndTransitionRenderTemplate>Approved Template</b:EndTransitionRenderTemplate><b:HOAutoTransitionToNextAction>false</b:HOAutoTransitionToNextAction><b:MetaDataColumnId /><b:MetaDataColumnValue /><b:Name>Approve</b:Name><b:ReleaseConditions xmlns:c="http://www.Qumas.com/Qumas.Compliance/Configuration/LifecycleAction/ReleaseConditionsConfiguration"><TimeStamp i:nil="true" xmlns="http://schemas.datacontract.org/2004/07/QUMAS.Compliance.Common.SOM.DataContracts" /><UniqueId xmlns="http://schemas.datacontract.org/2004/07/QUMAS.Compliance.Common.SOM.DataContracts">00000000-0000-0000-0000-000000000000</UniqueId><c:AfterDays>7</c:AfterDays><c:AllowedPrincipals xmlns:d="http://schemas.datacontract.org/2004/07/QUMAS.Compliance.Common.SOM.DataContracts.Security" /><c:ReleaseName>Release</c:ReleaseName><c:Type>Automatic</c:Type></b:ReleaseConditions><b:StartTransitionRenderTemplate>Draft Template</b:StartTransitionRenderTemplate><b:TransitionOptions>UseWorkflow</b:TransitionOptions><b:WorkflowConfiguration>&lt;CtApprovalWorkflowConfig xmlns="http://www.Qumas.com/Qumas.ContentTypes/CtApprovalWorkflowConfig" xmlns:i="http://www.w3.org/2001/XMLSchema-instance"&gt;&lt;TimeStamp i:nil="true" xmlns="http://schemas.datacontract.org/2004/07/QUMAS.Compliance.Common.SOM.DataContracts" /&gt;&lt;UniqueId xmlns="http://schemas.datacontract.org/2004/07/QUMAS.Compliance.Common.SOM.DataContracts"&gt;00000000-0000-0000-0000-000000000000&lt;/UniqueId&gt;&lt;AOAutoExecuteMakeEffective&gt;true&lt;/AOAutoExecuteMakeEffective&gt;&lt;AutoExecuteMakeEffective&gt;true&lt;/AutoExecuteMakeEffective&gt;&lt;Panels xmlns:a="http://www.Qumas.com/Qumas.ContentTypes/ApprovalPanel"&gt;&lt;a:ApprovalPanel&gt;&lt;TimeStamp i:nil="true" xmlns="http://schemas.datacontract.org/2004/07/QUMAS.Compliance.Common.SOM.DataContracts" /&gt;&lt;UniqueId xmlns="http://schemas.datacontract.org/2004/07/QUMAS.Compliance.Common.SOM.DataContracts"&gt;00000000-0000-0000-0000-000000000000&lt;/UniqueId&gt;&lt;AOEscalationConfigurationOverdue xmlns="http://www.Qumas.com/Qumas.ContentTypes/BasePanel"&gt;false&lt;/AOEscalationConfigurationOverdue&gt;&lt;AOEscalationConfigurationWarn xmlns="http://www.Qumas.com/Qumas.ContentTypes/BasePanel"&gt;false&lt;/AOEscalationConfigurationWarn&gt;&lt;AONumDaysToComplete xmlns="http://www.Qumas.com/Qumas.ContentTypes/BasePanel"&gt;true&lt;/AONumDaysToComplete&gt;&lt;AOPanelCompletion xmlns="http://www.Qumas.com/Qumas.ContentTypes/BasePanel"&gt;false&lt;/AOPanelCompletion&gt;&lt;AOTaskDescription xmlns="http://www.Qumas.com/Qumas.ContentTypes/BasePanel"&gt;true&lt;/AOTaskDescription&gt;&lt;AOTaskTitle xmlns="http://www.Qumas.com/Qumas.ContentTypes/BasePanel"&gt;false&lt;/AOTaskTitle&gt;&lt;EscalationConfigurationOverdue xmlns="http://www.Qumas.com/Qumas.ContentTypes/BasePanel" xmlns:b="http://www.Qumas.com/Qumas.Compliance/Configuration/Controls/EscalationNotificationOverdueConf"&gt;&lt;b:DaysRepeat&gt;2&lt;/b:DaysRepeat&gt;&lt;b:InitialNotification&gt;Default Escalation&lt;/b:InitialNotification&gt;&lt;b:IsEnableTaskEscalation&gt;true&lt;/b:IsEnableTaskEscalation&gt;&lt;b:IsOverdueHighPriority&gt;false&lt;/b:IsOverdueHighPriority&gt;&lt;b:IsRepeatNotification&gt;true&lt;/b:IsRepeatNotification&gt;&lt;b:RepeatNotification&gt;Default Escalation&lt;/b:RepeatNotification&gt;&lt;/EscalationConfigurationOverdue&gt;&lt;EscalationConfigurationWarn xmlns="http://www.Qumas.com/Qumas.ContentTypes/BasePanel" xmlns:b="http://www.Qumas.com/Qumas.Compliance/Configuration/Controls/EscalationNotificationWarnConf"&gt;&lt;b:DaysBeforeDueDate&gt;2&lt;/b:DaysBeforeDueDate&gt;&lt;b:DaysRepeat&gt;1&lt;/b:DaysRepeat&gt;&lt;b:IsRepeatNotification&gt;true&lt;/b:IsRepeatNotification&gt;&lt;b:IsWarnSoonOvedue&gt;true&lt;/b:IsWarnSoonOvedue&gt;&lt;b:NotificationBeforeDueDate&gt;Default Pending Escalation&lt;/b:NotificationBeforeDueDate&gt;&lt;b:RepeatNotification&gt;Default Pending Escalation&lt;/b:RepeatNotification&gt;&lt;/EscalationConfigurationWarn&gt;&lt;HOEscalationConfigurationOverdue xmlns="http://www.Qumas.com/Qumas.ContentTypes/BasePanel"&gt;true&lt;/HOEscalationConfigurationOverdue&gt;&lt;HOEscalationConfigurationWarn xmlns="http://www.Qumas.com/Qumas.ContentTypes/BasePanel"&gt;true&lt;/HOEscalationConfigurationWarn&gt;&lt;HONumDaysToComplete xmlns="http://www.Qumas.com/Qumas.ContentTypes/BasePanel"&gt;false&lt;/HONumDaysToComplete&gt;&lt;HOPanelCompletion xmlns="http://www.Qumas.com/Qumas.ContentTypes/BasePanel"&gt;true&lt;/HOPanelCompletion&gt;&lt;HOTaskDescription xmlns="http://www.Qumas.com/Qumas.ContentTypes/BasePanel"&gt;false&lt;/HOTaskDescription&gt;&lt;HOTaskTitle xmlns="http://www.Qumas.com/Qumas.ContentTypes/BasePanel"&gt;false&lt;/HOTaskTitle&gt;&lt;HaltOnSingleDisapproval xmlns="http://www.Qumas.com/Qumas.ContentTypes/BasePanel"&gt;true&lt;/HaltOnSingleDisapproval&gt;&lt;NumDaysToComplete xmlns="http://www.Qumas.com/Qumas.ContentTypes/BasePanel"&gt;3&lt;/NumDaysToComplete&gt;&lt;PanelName xmlns="http://www.Qumas.com/Qumas.ContentTypes/BasePanel"&gt;Review&lt;/PanelName&gt;&lt;QuorumNumber xmlns="http://www.Qumas.com/Qumas.ContentTypes/BasePanel"&gt;1&lt;/QuorumNumber&gt;&lt;SegregationCfg xmlns="http://www.Qumas.com/Qumas.ContentTypes/BasePanel" xmlns:b="http://www.Qumas.com/Qumas.Compliance/Configuration/Controls/SegregationConfig"&gt;&lt;TimeStamp i:nil="true" xmlns="http://schemas.datacontract.org/2004/07/QUMAS.Compliance.Common.SOM.DataContracts" /&gt;&lt;UniqueId xmlns="http://schemas.datacontract.org/2004/07/QUMAS.Compliance.Common.SOM.DataContracts"&gt;00000000-0000-0000-0000-000000000000&lt;/UniqueId&gt;&lt;b:AO&gt;true&lt;/b:AO&gt;&lt;b:Assignees xmlns:c="http://schemas.datacontract.org/2004/07/QUMAS.Compliance.Common.SOM.DataContracts.Security" /&gt;&lt;b:Filter xmlns:c="http://schemas.datacontract.org/2004/07/QUMAS.Compliance.Common.SOM.DataContracts.Security"&gt;&lt;TimeStamp i:nil="true" xmlns="http://schemas.datacontract.org/2004/07/QUMAS.Compliance.Common.SOM.DataContracts" /&gt;&lt;UniqueId xmlns="http://schemas.datacontract.org/2004/07/QUMAS.Compliance.Common.SOM.DataContracts"&gt;00000000-0000-0000-0000-000000000000&lt;/UniqueId&gt;&lt;c:Id&gt;30&lt;/c:Id&gt;&lt;c:Member&gt;workflow_participants_grp&lt;/c:Member&gt;&lt;c:MemberType&gt;SharePointGroup&lt;/c:MemberType&gt;&lt;/b:Filter&gt;&lt;b:HO&gt;false&lt;/b:HO&gt;&lt;b:Limit&gt;true&lt;/b:Limit&gt;&lt;b:SepTasks&gt;true&lt;/b:SepTasks&gt;&lt;/SegregationCfg&gt;&lt;TaskDescription xmlns="http://www.Qumas.com/Qumas.ContentTypes/BasePanel"&gt;Please review {Title} ({Name}) and approve or disapprove.&lt;/TaskDescription&gt;&lt;TaskTitle xmlns="http://www.Qumas.com/Qumas.ContentTypes/BasePanel"&gt;Review task for {Title} ({Name})&lt;/TaskTitle&gt;&lt;a:AOESig&gt;false&lt;/a:AOESig&gt;&lt;a:AOEscalationConfigurationOverdue&gt;false&lt;/a:AOEscalationConfigurationOverdue&gt;&lt;a:AOEscalationConfigurationWarn&gt;false&lt;/a:AOEscalationConfigurationWarn&gt;&lt;a:AONumDaysToComplete&gt;true&lt;/a:AONumDaysToComplete&gt;&lt;a:AOPanelCompletion&gt;false&lt;/a:AOPanelCompletion&gt;&lt;a:AOTaskDescription&gt;false&lt;/a:AOTaskDescription&gt;&lt;a:AOTaskTitle&gt;false&lt;/a:AOTaskTitle&gt;&lt;a:BusinessRole&gt;Reviewer&lt;/a:BusinessRole&gt;&lt;a:ESignatureRequired xmlns:b="http://www.Qumas.com/Qumas.Compliance/Configuration/Controls/EsignatureRequiredConf"&gt;&lt;TimeStamp i:nil="true" xmlns="http://schemas.datacontract.org/2004/07/QUMAS.Compliance.Common.SOM.DataContracts" /&gt;&lt;UniqueId xmlns="http://schemas.datacontract.org/2004/07/QUMAS.Compliance.Common.SOM.DataContracts"&gt;00000000-0000-0000-0000-000000000000&lt;/UniqueId&gt;&lt;b:BusinessRole&gt;Reviewer&lt;/b:BusinessRole&gt;&lt;b:MeaningOfSignatureCode&gt;DocumentReview&lt;/b:MeaningOfSignatureCode&gt;&lt;b:RequiresESig&gt;true&lt;/b:RequiresESig&gt;&lt;/a:ESignatureRequired&gt;&lt;a:EscalationConfigurationOverdue xmlns:b="http://www.Qumas.com/Qumas.Compliance/Configuration/Controls/EscalationNotificationOverdueConf"&gt;&lt;b:DaysRepeat&gt;2&lt;/b:DaysRepeat&gt;&lt;b:InitialNotification /&gt;&lt;b:IsEnableTaskEscalation&gt;true&lt;/b:IsEnableTaskEscalation&gt;&lt;b:IsOverdueHighPriority&gt;false&lt;/b:IsOverdueHighPriority&gt;&lt;b:IsRepeatNotification&gt;true&lt;/b:IsRepeatNotification&gt;&lt;b:RepeatNotification /&gt;&lt;/a:EscalationConfigurationOverdue&gt;&lt;a:EscalationConfigurationWarn xmlns:b="http://www.Qumas.com/Qumas.Compliance/Configuration/Controls/EscalationNotificationWarnConf"&gt;&lt;b:DaysBeforeDueDate&gt;2&lt;/b:DaysBeforeDueDate&gt;&lt;b:DaysRepeat&gt;1&lt;/b:DaysRepeat&gt;&lt;b:IsRepeatNotification&gt;true&lt;/b:IsRepeatNotification&gt;&lt;b:IsWarnSoonOvedue&gt;true&lt;/b:IsWarnSoonOvedue&gt;&lt;b:NotificationBeforeDueDate /&gt;&lt;b:RepeatNotification /&gt;&lt;/a:EscalationConfigurationWarn&gt;&lt;a:HOESig&gt;true&lt;/a:HOESig&gt;&lt;a:HOEscalationConfigurationOverdue&gt;true&lt;/a:HOEscalationConfigurationOverdue&gt;&lt;a:HOEscalationConfigurationWarn&gt;true&lt;/a:HOEscalationConfigurationWarn&gt;&lt;a:HONumDaysToComplete&gt;false&lt;/a:HONumDaysToComplete&gt;&lt;a:HOPanelCompletion&gt;true&lt;/a:HOPanelCompletion&gt;&lt;a:HOTaskDescription&gt;false&lt;/a:HOTaskDescription&gt;&lt;a:HOTaskTitle&gt;false&lt;/a:HOTaskTitle&gt;&lt;a:HaltOnSingleDisapproval&gt;true&lt;/a:HaltOnSingleDisapproval&gt;&lt;a:MeaningOfSignatureCode&gt;GMPDocApproval&lt;/a:MeaningOfSignatureCode&gt;&lt;a:NumDaysToComplete&gt;3&lt;/a:NumDaysToComplete&gt;&lt;a:PanelCompletion&gt;RequireAllToApprove&lt;/a:PanelCompletion&gt;&lt;a:PanelCompletionV2&gt;AllTasksCompletion&lt;/a:PanelCompletionV2&gt;&lt;a:QuorumNumber&gt;1&lt;/a:QuorumNumber&gt;&lt;a:RequiresESig&gt;true&lt;/a:RequiresESig&gt;&lt;a:SegregationCfg xmlns:b="http://www.Qumas.com/Qumas.Compliance/Configuration/Controls/SegregationConfig"&gt;&lt;TimeStamp i:nil="true" xmlns="http://schemas.datacontract.org/2004/07/QUMAS.Compliance.Common.SOM.DataContracts" /&gt;&lt;UniqueId xmlns="http://schemas.datacontract.org/2004/07/QUMAS.Compliance.Common.SOM.DataContracts"&gt;00000000-0000-0000-0000-000000000000&lt;/UniqueId&gt;&lt;b:AO&gt;true&lt;/b:AO&gt;&lt;b:Assignees xmlns:c="http://schemas.datacontract.org/2004/07/QUMAS.Compliance.Common.SOM.DataContracts.Security" /&gt;&lt;b:Filter xmlns:c="http://schemas.datacontract.org/2004/07/QUMAS.Compliance.Common.SOM.DataContracts.Security"&gt;&lt;TimeStamp i:nil="true" xmlns="http://schemas.datacontract.org/2004/07/QUMAS.Compliance.Common.SOM.DataContracts" /&gt;&lt;UniqueId xmlns="http://schemas.datacontract.org/2004/07/QUMAS.Compliance.Common.SOM.DataContracts"&gt;00000000-0000-0000-0000-000000000000&lt;/UniqueId&gt;&lt;c:Id&gt;0&lt;/c:Id&gt;&lt;c:Member&gt;workflow_participants_grp&lt;/c:Member&gt;&lt;c:MemberType&gt;SharePointGroup&lt;/c:MemberType&gt;&lt;/b:Filter&gt;&lt;b:HO&gt;false&lt;/b:HO&gt;&lt;b:Limit&gt;true&lt;/b:Limit&gt;&lt;b:SepTasks&gt;true&lt;/b:SepTasks&gt;&lt;/a:SegregationCfg&gt;&lt;a:TaskDescription&gt;Please review {Title} ({Name}) and approve or disapprove.&lt;/a:TaskDescription&gt;&lt;a:TaskTitle&gt;Review task for {Title} ({Name})&lt;/a:TaskTitle&gt;&lt;/a:ApprovalPanel&gt;&lt;a:ApprovalPanel&gt;&lt;TimeStamp i:nil="true" xmlns="http://schemas.datacontract.org/2004/07/QUMAS.Compliance.Common.SOM.DataContracts" /&gt;&lt;UniqueId xmlns="http://schemas.datacontract.org/2004/07/QUMAS.Compliance.Common.SOM.DataContracts"&gt;00000000-0000-0000-0000-000000000000&lt;/UniqueId&gt;&lt;AOEscalationConfigurationOverdue xmlns="http://www.Qumas.com/Qumas.ContentTypes/BasePanel"&gt;false&lt;/AOEscalationConfigurationOverdue&gt;&lt;AOEscalationConfigurationWarn xmlns="http://www.Qumas.com/Qumas.ContentTypes/BasePanel"&gt;false&lt;/AOEscalationConfigurationWarn&gt;&lt;AONumDaysToComplete xmlns="http://www.Qumas.com/Qumas.ContentTypes/BasePanel"&gt;true&lt;/AONumDaysToComplete&gt;&lt;AOPanelCompletion xmlns="http://www.Qumas.com/Qumas.ContentTypes/BasePanel"&gt;false&lt;/AOPanelCompletion&gt;&lt;AOTaskDescription xmlns="http://www.Qumas.com/Qumas.ContentTypes/BasePanel"&gt;true&lt;/AOTaskDescription&gt;&lt;AOTaskTitle xmlns="http://www.Qumas.com/Qumas.ContentTypes/BasePanel"&gt;false&lt;/AOTaskTitle&gt;&lt;EscalationConfigurationOverdue xmlns="http://www.Qumas.com/Qumas.ContentTypes/BasePanel" xmlns:b="http://www.Qumas.com/Qumas.Compliance/Configuration/Controls/EscalationNotificationOverdueConf"&gt;&lt;b:DaysRepeat&gt;2&lt;/b:DaysRepeat&gt;&lt;b:InitialNotification&gt;Default Escalation&lt;/b:InitialNotification&gt;&lt;b:IsEnableTaskEscalation&gt;true&lt;/b:IsEnableTaskEscalation&gt;&lt;b:IsOverdueHighPriority&gt;false&lt;/b:IsOverdueHighPriority&gt;&lt;b:IsRepeatNotification&gt;true&lt;/b:IsRepeatNotification&gt;&lt;b:RepeatNotification&gt;Default Escalation&lt;/b:RepeatNotification&gt;&lt;/EscalationConfigurationOverdue&gt;&lt;EscalationConfigurationWarn xmlns="http://www.Qumas.com/Qumas.ContentTypes/BasePanel" xmlns:b="http://www.Qumas.com/Qumas.Compliance/Configuration/Controls/EscalationNotificationWarnConf"&gt;&lt;b:DaysBeforeDueDate&gt;2&lt;/b:DaysBeforeDueDate&gt;&lt;b:DaysRepeat&gt;2&lt;/b:DaysRepeat&gt;&lt;b:IsRepeatNotification&gt;true&lt;/b:IsRepeatNotification&gt;&lt;b:IsWarnSoonOvedue&gt;true&lt;/b:IsWarnSoonOvedue&gt;&lt;b:NotificationBeforeDueDate&gt;Default Pending Escalation&lt;/b:NotificationBeforeDueDate&gt;&lt;b:RepeatNotification&gt;Default Pending Escalation&lt;/b:RepeatNotification&gt;&lt;/EscalationConfigurationWarn&gt;&lt;HOEscalationConfigurationOverdue xmlns="http://www.Qumas.com/Qumas.ContentTypes/BasePanel"&gt;true&lt;/HOEscalationConfigurationOverdue&gt;&lt;HOEscalationConfigurationWarn xmlns="http://www.Qumas.com/Qumas.ContentTypes/BasePanel"&gt;true&lt;/HOEscalationConfigurationWarn&gt;&lt;HONumDaysToComplete xmlns="http://www.Qumas.com/Qumas.ContentTypes/BasePanel"&gt;false&lt;/HONumDaysToComplete&gt;&lt;HOPanelCompletion xmlns="http://www.Qumas.com/Qumas.ContentTypes/BasePanel"&gt;true&lt;/HOPanelCompletion&gt;&lt;HOTaskDescription xmlns="http://www.Qumas.com/Qumas.ContentTypes/BasePanel"&gt;false&lt;/HOTaskDescription&gt;&lt;HOTaskTitle xmlns="http://www.Qumas.com/Qumas.ContentTypes/BasePanel"&gt;false&lt;/HOTaskTitle&gt;&lt;HaltOnSingleDisapproval xmlns="http://www.Qumas.com/Qumas.ContentTypes/BasePanel"&gt;true&lt;/HaltOnSingleDisapproval&gt;&lt;NumDaysToComplete xmlns="http://www.Qumas.com/Qumas.ContentTypes/BasePanel"&gt;3&lt;/NumDaysToComplete&gt;&lt;PanelName xmlns="http://www.Qumas.com/Qumas.ContentTypes/BasePanel"&gt;Approval&lt;/PanelName&gt;&lt;QuorumNumber xmlns="http://www.Qumas.com/Qumas.ContentTypes/BasePanel"&gt;1&lt;/QuorumNumber&gt;&lt;SegregationCfg xmlns="http://www.Qumas.com/Qumas.ContentTypes/BasePanel" xmlns:b="http://www.Qumas.com/Qumas.Compliance/Configuration/Controls/SegregationConfig"&gt;&lt;TimeStamp i:nil="true" xmlns="http://schemas.datacontract.org/2004/07/QUMAS.Compliance.Common.SOM.DataContracts" /&gt;&lt;UniqueId xmlns="http://schemas.datacontract.org/2004/07/QUMAS.Compliance.Common.SOM.DataContracts"&gt;00000000-0000-0000-0000-000000000000&lt;/UniqueId&gt;&lt;b:AO&gt;true&lt;/b:AO&gt;&lt;b:Assignees xmlns:c="http://schemas.datacontract.org/2004/07/QUMAS.Compliance.Common.SOM.DataContracts.Security" /&gt;&lt;b:Filter xmlns:c="http://schemas.datacontract.org/2004/07/QUMAS.Compliance.Common.SOM.DataContracts.Security"&gt;&lt;TimeStamp i:nil="true" xmlns="http://schemas.datacontract.org/2004/07/QUMAS.Compliance.Common.SOM.DataContracts" /&gt;&lt;UniqueId xmlns="http://schemas.datacontract.org/2004/07/QUMAS.Compliance.Common.SOM.DataContracts"&gt;00000000-0000-0000-0000-000000000000&lt;/UniqueId&gt;&lt;c:Id&gt;13&lt;/c:Id&gt;&lt;c:Member&gt;approvers_grp&lt;/c:Member&gt;&lt;c:MemberType&gt;SharePointGroup&lt;/c:MemberType&gt;&lt;/b:Filter&gt;&lt;b:HO&gt;false&lt;/b:HO&gt;&lt;b:Limit&gt;true&lt;/b:Limit&gt;&lt;b:SepTasks&gt;true&lt;/b:SepTasks&gt;&lt;/SegregationCfg&gt;&lt;TaskDescription xmlns="http://www.Qumas.com/Qumas.ContentTypes/BasePanel"&gt;Please review {Title} ({Name}) and approve or disapprove.&lt;/TaskDescription&gt;&lt;TaskTitle xmlns="http://www.Qumas.com/Qumas.ContentTypes/BasePanel"&gt;Approval task for {Title} ({Name})&lt;/TaskTitle&gt;&lt;a:AOESig&gt;false&lt;/a:AOESig&gt;&lt;a:AOEscalationConfigurationOverdue&gt;false&lt;/a:AOEscalationConfigurationOverdue&gt;&lt;a:AOEscalationConfigurationWarn&gt;false&lt;/a:AOEscalationConfigurationWarn&gt;&lt;a:AONumDaysToComplete&gt;true&lt;/a:AONumDaysToComplete&gt;&lt;a:AOPanelCompletion&gt;false&lt;/a:AOPanelCompletion&gt;&lt;a:AOTaskDescription&gt;false&lt;/a:AOTaskDescription&gt;&lt;a:AOTaskTitle&gt;false&lt;/a:AOTaskTitle&gt;&lt;a:BusinessRole&gt;Approver&lt;/a:BusinessRole&gt;&lt;a:ESignatureRequired xmlns:b="http://www.Qumas.com/Qumas.Compliance/Configuration/Controls/EsignatureRequiredConf"&gt;&lt;TimeStamp i:nil="true" xmlns="http://schemas.datacontract.org/2004/07/QUMAS.Compliance.Common.SOM.DataContracts" /&gt;&lt;UniqueId xmlns="http://schemas.datacontract.org/2004/07/QUMAS.Compliance.Common.SOM.DataContracts"&gt;00000000-0000-0000-0000-000000000000&lt;/UniqueId&gt;&lt;b:BusinessRole&gt;Approver&lt;/b:BusinessRole&gt;&lt;b:MeaningOfSignatureCode&gt;DocApproval&lt;/b:MeaningOfSignatureCode&gt;&lt;b:RequiresESig&gt;true&lt;/b:RequiresESig&gt;&lt;/a:ESignatureRequired&gt;&lt;a:EscalationConfigurationOverdue xmlns:b="http://www.Qumas.com/Qumas.Compliance/Configuration/Controls/EscalationNotificationOverdueConf"&gt;&lt;b:DaysRepeat&gt;2&lt;/b:DaysRepeat&gt;&lt;b:InitialNotification /&gt;&lt;b:IsEnableTaskEscalation&gt;true&lt;/b:IsEnableTaskEscalation&gt;&lt;b:IsOverdueHighPriority&gt;false&lt;/b:IsOverdueHighPriority&gt;&lt;b:IsRepeatNotification&gt;true&lt;/b:IsRepeatNotification&gt;&lt;b:RepeatNotification /&gt;&lt;/a:EscalationConfigurationOverdue&gt;&lt;a:EscalationConfigurationWarn xmlns:b="http://www.Qumas.com/Qumas.Compliance/Configuration/Controls/EscalationNotificationWarnConf"&gt;&lt;b:DaysBeforeDueDate&gt;2&lt;/b:DaysBeforeDueDate&gt;&lt;b:DaysRepeat&gt;2&lt;/b:DaysRepeat&gt;&lt;b:IsRepeatNotification&gt;true&lt;/b:IsRepeatNotification&gt;&lt;b:IsWarnSoonOvedue&gt;true&lt;/b:IsWarnSoonOvedue&gt;&lt;b:NotificationBeforeDueDate /&gt;&lt;b:RepeatNotification /&gt;&lt;/a:EscalationConfigurationWarn&gt;&lt;a:HOESig&gt;true&lt;/a:HOESig&gt;&lt;a:HOEscalationConfigurationOverdue&gt;true&lt;/a:HOEscalationConfigurationOverdue&gt;&lt;a:HOEscalationConfigurationWarn&gt;true&lt;/a:HOEscalationConfigurationWarn&gt;&lt;a:HONumDaysToComplete&gt;false&lt;/a:HONumDaysToComplete&gt;&lt;a:HOPanelCompletion&gt;true&lt;/a:HOPanelCompletion&gt;&lt;a:HOTaskDescription&gt;false&lt;/a:HOTaskDescription&gt;&lt;a:HOTaskTitle&gt;false&lt;/a:HOTaskTitle&gt;&lt;a:HaltOnSingleDisapproval&gt;true&lt;/a:HaltOnSingleDisapproval&gt;&lt;a:MeaningOfSignatureCode&gt;GMPDocApproval&lt;/a:MeaningOfSignatureCode&gt;&lt;a:NumDaysToComplete&gt;3&lt;/a:NumDaysToComplete&gt;&lt;a:PanelCompletion&gt;RequireAllToApprove&lt;/a:PanelCompletion&gt;&lt;a:PanelCompletionV2&gt;AllTasksCompletion&lt;/a:PanelCompletionV2&gt;&lt;a:QuorumNumber&gt;1&lt;/a:QuorumNumber&gt;&lt;a:RequiresESig&gt;true&lt;/a:RequiresESig&gt;&lt;a:SegregationCfg xmlns:b="http://www.Qumas.com/Qumas.Compliance/Configuration/Controls/SegregationConfig"&gt;&lt;TimeStamp i:nil="true" xmlns="http://schemas.datacontract.org/2004/07/QUMAS.Compliance.Common.SOM.DataContracts" /&gt;&lt;UniqueId xmlns="http://schemas.datacontract.org/2004/07/QUMAS.Compliance.Common.SOM.DataContracts"&gt;00000000-0000-0000-0000-000000000000&lt;/UniqueId&gt;&lt;b:AO&gt;true&lt;/b:AO&gt;&lt;b:Assignees xmlns:c="http://schemas.datacontract.org/2004/07/QUMAS.Compliance.Common.SOM.DataContracts.Security" /&gt;&lt;b:Filter xmlns:c="http://schemas.datacontract.org/2004/07/QUMAS.Compliance.Common.SOM.DataContracts.Security"&gt;&lt;TimeStamp i:nil="true" xmlns="http://schemas.datacontract.org/2004/07/QUMAS.Compliance.Common.SOM.DataContracts" /&gt;&lt;UniqueId xmlns="http://schemas.datacontract.org/2004/07/QUMAS.Compliance.Common.SOM.DataContracts"&gt;00000000-0000-0000-0000-000000000000&lt;/UniqueId&gt;&lt;c:Id&gt;0&lt;/c:Id&gt;&lt;c:Member&gt;approvers_grp&lt;/c:Member&gt;&lt;c:MemberType&gt;SharePointGroup&lt;/c:MemberType&gt;&lt;/b:Filter&gt;&lt;b:HO&gt;false&lt;/b:HO&gt;&lt;b:Limit&gt;true&lt;/b:Limit&gt;&lt;b:SepTasks&gt;true&lt;/b:SepTasks&gt;&lt;/a:SegregationCfg&gt;&lt;a:TaskDescription&gt;Please review {Title} ({Name}) and approve or disapprove.&lt;/a:TaskDescription&gt;&lt;a:TaskTitle&gt;Approval task for {Title} ({Name})&lt;/a:TaskTitle&gt;&lt;/a:ApprovalPanel&gt;&lt;/Panels&gt;&lt;/CtApprovalWorkflowConfig&gt;</b:WorkflowConfiguration></a:Value></a:KeyValueOfstringLifecycleActionNamedConfigurationWMHOgtwe><a:KeyValueOfstringLifecycleActionNamedConfigurationWMHOgtwe><a:Key>Approve with CEO</a:Key><a:Value xmlns:b="http://www.Qumas.com/Qumas.Compliance/Configuration/LifecycleAction/LifecycleActionNamedConfiguration"><TimeStamp i:nil="true" xmlns="http://schemas.datacontract.org/2004/07/QUMAS.Compliance.Common.SOM.DataContracts" /><UniqueId xmlns="http://schemas.datacontract.org/2004/07/QUMAS.Compliance.Common.SOM.DataContracts">00000000-0000-0000-0000-000000000000</UniqueId><b:AOAutoTransitionToNextAction>false</b:AOAutoTransitionToNextAction><b:AllowedPrincipals xmlns:c="http://schemas.datacontract.org/2004/07/QUMAS.Compliance.Common.SOM.DataContracts.Security"><c:UserOrGroup><TimeStamp i:nil="true" xmlns="http://schemas.datacontract.org/2004/07/QUMAS.Compliance.Common.SOM.DataContracts" /><UniqueId xmlns="http://schemas.datacontract.org/2004/07/QUMAS.Compliance.Common.SOM.DataContracts">00000000-0000-0000-0000-000000000000</UniqueId><c:Id>0</c:Id><c:Member>initiate_workflow_grp</c:Member><c:MemberType>SharePointGroup</c:MemberType></c:UserOrGroup></b:AllowedPrincipals><b:AutoTransitionToNextAction>false</b:AutoTransitionToNextAction><b:Description>Start the Approve workflow on the document.</b:Description><b:DirectActionConfiguration xmlns:c="http://www.Qumas.com/Qumas.Compliance/Configuration/LifecycleAction/DirectActionConfiguration"><TimeStamp i:nil="true" xmlns="http://schemas.datacontract.org/2004/07/QUMAS.Compliance.Common.SOM.DataContracts" /><UniqueId xmlns="http://schemas.datacontract.org/2004/07/QUMAS.Compliance.Common.SOM.DataContracts">00000000-0000-0000-0000-000000000000</UniqueId><c:EsignatureRequired xmlns:d="http://www.Qumas.com/Qumas.Compliance/Configuration/Controls/EsignatureRequiredConf"><TimeStamp i:nil="true" xmlns="http://schemas.datacontract.org/2004/07/QUMAS.Compliance.Common.SOM.DataContracts" /><UniqueId xmlns="http://schemas.datacontract.org/2004/07/QUMAS.Compliance.Common.SOM.DataContracts">00000000-0000-0000-0000-000000000000</UniqueId><d:BusinessRole>Quality Manager</d:BusinessRole><d:MeaningOfSignatureCode>GMPDocApproval</d:MeaningOfSignatureCode><d:RequiresESig>false</d:RequiresESig></c:EsignatureRequired><c:RetractReleasedDoc>false</c:RetractReleasedDoc></b:DirectActionConfiguration><b:EffectiveRenderTemplate>Effective Template</b:EffectiveRenderTemplate><b:EndTransitionRenderTemplate>Approved Template</b:EndTransitionRenderTemplate><b:HOAutoTransitionToNextAction>false</b:HOAutoTransitionToNextAction><b:MetaDataColumnId /><b:MetaDataColumnValue /><b:Name>Approve with CEO</b:Name><b:ReleaseConditions xmlns:c="http://www.Qumas.com/Qumas.Compliance/Configuration/LifecycleAction/ReleaseConditionsConfiguration"><TimeStamp i:nil="true" xmlns="http://schemas.datacontract.org/2004/07/QUMAS.Compliance.Common.SOM.DataContracts" /><UniqueId xmlns="http://schemas.datacontract.org/2004/07/QUMAS.Compliance.Common.SOM.DataContracts">00000000-0000-0000-0000-000000000000</UniqueId><c:AfterDays>7</c:AfterDays><c:AllowedPrincipals xmlns:d="http://schemas.datacontract.org/2004/07/QUMAS.Compliance.Common.SOM.DataContracts.Security" /><c:ReleaseName>Release</c:ReleaseName><c:Type>Automatic</c:Type></b:ReleaseConditions><b:StartTransitionRenderTemplate>Draft Template</b:StartTransitionRenderTemplate><b:TransitionOptions>UseWorkflow</b:TransitionOptions><b:WorkflowConfiguration>&lt;CtApprovalWorkflowConfig xmlns="http://www.Qumas.com/Qumas.ContentTypes/CtApprovalWorkflowConfig" xmlns:i="http://www.w3.org/2001/XMLSchema-instance"&gt;&lt;TimeStamp i:nil="true" xmlns="http://schemas.datacontract.org/2004/07/QUMAS.Compliance.Common.SOM.DataContracts" /&gt;&lt;UniqueId xmlns="http://schemas.datacontract.org/2004/07/QUMAS.Compliance.Common.SOM.DataContracts"&gt;00000000-0000-0000-0000-000000000000&lt;/UniqueId&gt;&lt;AOAutoExecuteMakeEffective&gt;true&lt;/AOAutoExecuteMakeEffective&gt;&lt;AutoExecuteMakeEffective&gt;true&lt;/AutoExecuteMakeEffective&gt;&lt;Panels xmlns:a="http://www.Qumas.com/Qumas.ContentTypes/ApprovalPanel"&gt;&lt;a:ApprovalPanel&gt;&lt;TimeStamp i:nil="true" xmlns="http://schemas.datacontract.org/2004/07/QUMAS.Compliance.Common.SOM.DataContracts" /&gt;&lt;UniqueId xmlns="http://schemas.datacontract.org/2004/07/QUMAS.Compliance.Common.SOM.DataContracts"&gt;00000000-0000-0000-0000-000000000000&lt;/UniqueId&gt;&lt;AOEscalationConfigurationOverdue xmlns="http://www.Qumas.com/Qumas.ContentTypes/BasePanel"&gt;false&lt;/AOEscalationConfigurationOverdue&gt;&lt;AOEscalationConfigurationWarn xmlns="http://www.Qumas.com/Qumas.ContentTypes/BasePanel"&gt;false&lt;/AOEscalationConfigurationWarn&gt;&lt;AONumDaysToComplete xmlns="http://www.Qumas.com/Qumas.ContentTypes/BasePanel"&gt;true&lt;/AONumDaysToComplete&gt;&lt;AOPanelCompletion xmlns="http://www.Qumas.com/Qumas.ContentTypes/BasePanel"&gt;false&lt;/AOPanelCompletion&gt;&lt;AOTaskDescription xmlns="http://www.Qumas.com/Qumas.ContentTypes/BasePanel"&gt;true&lt;/AOTaskDescription&gt;&lt;AOTaskTitle xmlns="http://www.Qumas.com/Qumas.ContentTypes/BasePanel"&gt;false&lt;/AOTaskTitle&gt;&lt;EscalationConfigurationOverdue xmlns="http://www.Qumas.com/Qumas.ContentTypes/BasePanel" xmlns:b="http://www.Qumas.com/Qumas.Compliance/Configuration/Controls/EscalationNotificationOverdueConf"&gt;&lt;b:DaysRepeat&gt;2&lt;/b:DaysRepeat&gt;&lt;b:InitialNotification&gt;Default Escalation&lt;/b:InitialNotification&gt;&lt;b:IsEnableTaskEscalation&gt;true&lt;/b:IsEnableTaskEscalation&gt;&lt;b:IsOverdueHighPriority&gt;false&lt;/b:IsOverdueHighPriority&gt;&lt;b:IsRepeatNotification&gt;true&lt;/b:IsRepeatNotification&gt;&lt;b:RepeatNotification&gt;Default Escalation&lt;/b:RepeatNotification&gt;&lt;/EscalationConfigurationOverdue&gt;&lt;EscalationConfigurationWarn xmlns="http://www.Qumas.com/Qumas.ContentTypes/BasePanel" xmlns:b="http://www.Qumas.com/Qumas.Compliance/Configuration/Controls/EscalationNotificationWarnConf"&gt;&lt;b:DaysBeforeDueDate&gt;2&lt;/b:DaysBeforeDueDate&gt;&lt;b:DaysRepeat&gt;1&lt;/b:DaysRepeat&gt;&lt;b:IsRepeatNotification&gt;true&lt;/b:IsRepeatNotification&gt;&lt;b:IsWarnSoonOvedue&gt;true&lt;/b:IsWarnSoonOvedue&gt;&lt;b:NotificationBeforeDueDate&gt;Default Pending Escalation&lt;/b:NotificationBeforeDueDate&gt;&lt;b:RepeatNotification&gt;Default Pending Escalation&lt;/b:RepeatNotification&gt;&lt;/EscalationConfigurationWarn&gt;&lt;HOEscalationConfigurationOverdue xmlns="http://www.Qumas.com/Qumas.ContentTypes/BasePanel"&gt;true&lt;/HOEscalationConfigurationOverdue&gt;&lt;HOEscalationConfigurationWarn xmlns="http://www.Qumas.com/Qumas.ContentTypes/BasePanel"&gt;true&lt;/HOEscalationConfigurationWarn&gt;&lt;HONumDaysToComplete xmlns="http://www.Qumas.com/Qumas.ContentTypes/BasePanel"&gt;false&lt;/HONumDaysToComplete&gt;&lt;HOPanelCompletion xmlns="http://www.Qumas.com/Qumas.ContentTypes/BasePanel"&gt;true&lt;/HOPanelCompletion&gt;&lt;HOTaskDescription xmlns="http://www.Qumas.com/Qumas.ContentTypes/BasePanel"&gt;false&lt;/HOTaskDescription&gt;&lt;HOTaskTitle xmlns="http://www.Qumas.com/Qumas.ContentTypes/BasePanel"&gt;false&lt;/HOTaskTitle&gt;&lt;HaltOnSingleDisapproval xmlns="http://www.Qumas.com/Qumas.ContentTypes/BasePanel"&gt;true&lt;/HaltOnSingleDisapproval&gt;&lt;NumDaysToComplete xmlns="http://www.Qumas.com/Qumas.ContentTypes/BasePanel"&gt;3&lt;/NumDaysToComplete&gt;&lt;PanelName xmlns="http://www.Qumas.com/Qumas.ContentTypes/BasePanel"&gt;Review&lt;/PanelName&gt;&lt;QuorumNumber xmlns="http://www.Qumas.com/Qumas.ContentTypes/BasePanel"&gt;1&lt;/QuorumNumber&gt;&lt;SegregationCfg xmlns="http://www.Qumas.com/Qumas.ContentTypes/BasePanel" xmlns:b="http://www.Qumas.com/Qumas.Compliance/Configuration/Controls/SegregationConfig"&gt;&lt;TimeStamp i:nil="true" xmlns="http://schemas.datacontract.org/2004/07/QUMAS.Compliance.Common.SOM.DataContracts" /&gt;&lt;UniqueId xmlns="http://schemas.datacontract.org/2004/07/QUMAS.Compliance.Common.SOM.DataContracts"&gt;00000000-0000-0000-0000-000000000000&lt;/UniqueId&gt;&lt;b:AO&gt;true&lt;/b:AO&gt;&lt;b:Assignees xmlns:c="http://schemas.datacontract.org/2004/07/QUMAS.Compliance.Common.SOM.DataContracts.Security" /&gt;&lt;b:Filter xmlns:c="http://schemas.datacontract.org/2004/07/QUMAS.Compliance.Common.SOM.DataContracts.Security"&gt;&lt;TimeStamp i:nil="true" xmlns="http://schemas.datacontract.org/2004/07/QUMAS.Compliance.Common.SOM.DataContracts" /&gt;&lt;UniqueId xmlns="http://schemas.datacontract.org/2004/07/QUMAS.Compliance.Common.SOM.DataContracts"&gt;00000000-0000-0000-0000-000000000000&lt;/UniqueId&gt;&lt;c:Id&gt;30&lt;/c:Id&gt;&lt;c:Member&gt;workflow_participants_grp&lt;/c:Member&gt;&lt;c:MemberType&gt;SharePointGroup&lt;/c:MemberType&gt;&lt;/b:Filter&gt;&lt;b:HO&gt;false&lt;/b:HO&gt;&lt;b:Limit&gt;true&lt;/b:Limit&gt;&lt;b:SepTasks&gt;true&lt;/b:SepTasks&gt;&lt;/SegregationCfg&gt;&lt;TaskDescription xmlns="http://www.Qumas.com/Qumas.ContentTypes/BasePanel"&gt;Please review {Title} ({Name}) and approve or disapprove.&lt;/TaskDescription&gt;&lt;TaskTitle xmlns="http://www.Qumas.com/Qumas.ContentTypes/BasePanel"&gt;Review task for {Title} ({Name})&lt;/TaskTitle&gt;&lt;a:AOESig&gt;false&lt;/a:AOESig&gt;&lt;a:AOEscalationConfigurationOverdue&gt;false&lt;/a:AOEscalationConfigurationOverdue&gt;&lt;a:AOEscalationConfigurationWarn&gt;false&lt;/a:AOEscalationConfigurationWarn&gt;&lt;a:AONumDaysToComplete&gt;true&lt;/a:AONumDaysToComplete&gt;&lt;a:AOPanelCompletion&gt;false&lt;/a:AOPanelCompletion&gt;&lt;a:AOTaskDescription&gt;false&lt;/a:AOTaskDescription&gt;&lt;a:AOTaskTitle&gt;false&lt;/a:AOTaskTitle&gt;&lt;a:BusinessRole&gt;Reviewer&lt;/a:BusinessRole&gt;&lt;a:ESignatureRequired xmlns:b="http://www.Qumas.com/Qumas.Compliance/Configuration/Controls/EsignatureRequiredConf"&gt;&lt;TimeStamp i:nil="true" xmlns="http://schemas.datacontract.org/2004/07/QUMAS.Compliance.Common.SOM.DataContracts" /&gt;&lt;UniqueId xmlns="http://schemas.datacontract.org/2004/07/QUMAS.Compliance.Common.SOM.DataContracts"&gt;00000000-0000-0000-0000-000000000000&lt;/UniqueId&gt;&lt;b:BusinessRole&gt;Reviewer&lt;/b:BusinessRole&gt;&lt;b:MeaningOfSignatureCode&gt;DocumentReview&lt;/b:MeaningOfSignatureCode&gt;&lt;b:RequiresESig&gt;true&lt;/b:RequiresESig&gt;&lt;/a:ESignatureRequired&gt;&lt;a:EscalationConfigurationOverdue xmlns:b="http://www.Qumas.com/Qumas.Compliance/Configuration/Controls/EscalationNotificationOverdueConf"&gt;&lt;b:DaysRepeat&gt;2&lt;/b:DaysRepeat&gt;&lt;b:InitialNotification /&gt;&lt;b:IsEnableTaskEscalation&gt;true&lt;/b:IsEnableTaskEscalation&gt;&lt;b:IsOverdueHighPriority&gt;false&lt;/b:IsOverdueHighPriority&gt;&lt;b:IsRepeatNotification&gt;true&lt;/b:IsRepeatNotification&gt;&lt;b:RepeatNotification /&gt;&lt;/a:EscalationConfigurationOverdue&gt;&lt;a:EscalationConfigurationWarn xmlns:b="http://www.Qumas.com/Qumas.Compliance/Configuration/Controls/EscalationNotificationWarnConf"&gt;&lt;b:DaysBeforeDueDate&gt;2&lt;/b:DaysBeforeDueDate&gt;&lt;b:DaysRepeat&gt;1&lt;/b:DaysRepeat&gt;&lt;b:IsRepeatNotification&gt;true&lt;/b:IsRepeatNotification&gt;&lt;b:IsWarnSoonOvedue&gt;true&lt;/b:IsWarnSoonOvedue&gt;&lt;b:NotificationBeforeDueDate /&gt;&lt;b:RepeatNotification /&gt;&lt;/a:EscalationConfigurationWarn&gt;&lt;a:HOESig&gt;true&lt;/a:HOESig&gt;&lt;a:HOEscalationConfigurationOverdue&gt;true&lt;/a:HOEscalationConfigurationOverdue&gt;&lt;a:HOEscalationConfigurationWarn&gt;true&lt;/a:HOEscalationConfigurationWarn&gt;&lt;a:HONumDaysToComplete&gt;false&lt;/a:HONumDaysToComplete&gt;&lt;a:HOPanelCompletion&gt;true&lt;/a:HOPanelCompletion&gt;&lt;a:HOTaskDescription&gt;false&lt;/a:HOTaskDescription&gt;&lt;a:HOTaskTitle&gt;false&lt;/a:HOTaskTitle&gt;&lt;a:HaltOnSingleDisapproval&gt;true&lt;/a:HaltOnSingleDisapproval&gt;&lt;a:MeaningOfSignatureCode&gt;GMPDocApproval&lt;/a:MeaningOfSignatureCode&gt;&lt;a:NumDaysToComplete&gt;3&lt;/a:NumDaysToComplete&gt;&lt;a:PanelCompletion&gt;RequireAllToApprove&lt;/a:PanelCompletion&gt;&lt;a:PanelCompletionV2&gt;AllTasksCompletion&lt;/a:PanelCompletionV2&gt;&lt;a:QuorumNumber&gt;1&lt;/a:QuorumNumber&gt;&lt;a:RequiresESig&gt;true&lt;/a:RequiresESig&gt;&lt;a:SegregationCfg xmlns:b="http://www.Qumas.com/Qumas.Compliance/Configuration/Controls/SegregationConfig"&gt;&lt;TimeStamp i:nil="true" xmlns="http://schemas.datacontract.org/2004/07/QUMAS.Compliance.Common.SOM.DataContracts" /&gt;&lt;UniqueId xmlns="http://schemas.datacontract.org/2004/07/QUMAS.Compliance.Common.SOM.DataContracts"&gt;00000000-0000-0000-0000-000000000000&lt;/UniqueId&gt;&lt;b:AO&gt;true&lt;/b:AO&gt;&lt;b:Assignees xmlns:c="http://schemas.datacontract.org/2004/07/QUMAS.Compliance.Common.SOM.DataContracts.Security" /&gt;&lt;b:Filter xmlns:c="http://schemas.datacontract.org/2004/07/QUMAS.Compliance.Common.SOM.DataContracts.Security"&gt;&lt;TimeStamp i:nil="true" xmlns="http://schemas.datacontract.org/2004/07/QUMAS.Compliance.Common.SOM.DataContracts" /&gt;&lt;UniqueId xmlns="http://schemas.datacontract.org/2004/07/QUMAS.Compliance.Common.SOM.DataContracts"&gt;00000000-0000-0000-0000-000000000000&lt;/UniqueId&gt;&lt;c:Id&gt;0&lt;/c:Id&gt;&lt;c:Member&gt;workflow_participants_grp&lt;/c:Member&gt;&lt;c:MemberType&gt;SharePointGroup&lt;/c:MemberType&gt;&lt;/b:Filter&gt;&lt;b:HO&gt;false&lt;/b:HO&gt;&lt;b:Limit&gt;true&lt;/b:Limit&gt;&lt;b:SepTasks&gt;true&lt;/b:SepTasks&gt;&lt;/a:SegregationCfg&gt;&lt;a:TaskDescription&gt;Please review {Title} ({Name}) and approve or disapprove.&lt;/a:TaskDescription&gt;&lt;a:TaskTitle&gt;Review task for {Title} ({Name})&lt;/a:TaskTitle&gt;&lt;/a:ApprovalPanel&gt;&lt;a:ApprovalPanel&gt;&lt;TimeStamp i:nil="true" xmlns="http://schemas.datacontract.org/2004/07/QUMAS.Compliance.Common.SOM.DataContracts" /&gt;&lt;UniqueId xmlns="http://schemas.datacontract.org/2004/07/QUMAS.Compliance.Common.SOM.DataContracts"&gt;00000000-0000-0000-0000-000000000000&lt;/UniqueId&gt;&lt;AOEscalationConfigurationOverdue xmlns="http://www.Qumas.com/Qumas.ContentTypes/BasePanel"&gt;false&lt;/AOEscalationConfigurationOverdue&gt;&lt;AOEscalationConfigurationWarn xmlns="http://www.Qumas.com/Qumas.ContentTypes/BasePanel"&gt;false&lt;/AOEscalationConfigurationWarn&gt;&lt;AONumDaysToComplete xmlns="http://www.Qumas.com/Qumas.ContentTypes/BasePanel"&gt;true&lt;/AONumDaysToComplete&gt;&lt;AOPanelCompletion xmlns="http://www.Qumas.com/Qumas.ContentTypes/BasePanel"&gt;false&lt;/AOPanelCompletion&gt;&lt;AOTaskDescription xmlns="http://www.Qumas.com/Qumas.ContentTypes/BasePanel"&gt;true&lt;/AOTaskDescription&gt;&lt;AOTaskTitle xmlns="http://www.Qumas.com/Qumas.ContentTypes/BasePanel"&gt;false&lt;/AOTaskTitle&gt;&lt;EscalationConfigurationOverdue xmlns="http://www.Qumas.com/Qumas.ContentTypes/BasePanel" xmlns:b="http://www.Qumas.com/Qumas.Compliance/Configuration/Controls/EscalationNotificationOverdueConf"&gt;&lt;b:DaysRepeat&gt;2&lt;/b:DaysRepeat&gt;&lt;b:InitialNotification&gt;Default Escalation&lt;/b:InitialNotification&gt;&lt;b:IsEnableTaskEscalation&gt;true&lt;/b:IsEnableTaskEscalation&gt;&lt;b:IsOverdueHighPriority&gt;false&lt;/b:IsOverdueHighPriority&gt;&lt;b:IsRepeatNotification&gt;true&lt;/b:IsRepeatNotification&gt;&lt;b:RepeatNotification&gt;Default Escalation&lt;/b:RepeatNotification&gt;&lt;/EscalationConfigurationOverdue&gt;&lt;EscalationConfigurationWarn xmlns="http://www.Qumas.com/Qumas.ContentTypes/BasePanel" xmlns:b="http://www.Qumas.com/Qumas.Compliance/Configuration/Controls/EscalationNotificationWarnConf"&gt;&lt;b:DaysBeforeDueDate&gt;2&lt;/b:DaysBeforeDueDate&gt;&lt;b:DaysRepeat&gt;2&lt;/b:DaysRepeat&gt;&lt;b:IsRepeatNotification&gt;true&lt;/b:IsRepeatNotification&gt;&lt;b:IsWarnSoonOvedue&gt;true&lt;/b:IsWarnSoonOvedue&gt;&lt;b:NotificationBeforeDueDate&gt;Default Pending Escalation&lt;/b:NotificationBeforeDueDate&gt;&lt;b:RepeatNotification&gt;Default Pending Escalation&lt;/b:RepeatNotification&gt;&lt;/EscalationConfigurationWarn&gt;&lt;HOEscalationConfigurationOverdue xmlns="http://www.Qumas.com/Qumas.ContentTypes/BasePanel"&gt;true&lt;/HOEscalationConfigurationOverdue&gt;&lt;HOEscalationConfigurationWarn xmlns="http://www.Qumas.com/Qumas.ContentTypes/BasePanel"&gt;true&lt;/HOEscalationConfigurationWarn&gt;&lt;HONumDaysToComplete xmlns="http://www.Qumas.com/Qumas.ContentTypes/BasePanel"&gt;false&lt;/HONumDaysToComplete&gt;&lt;HOPanelCompletion xmlns="http://www.Qumas.com/Qumas.ContentTypes/BasePanel"&gt;true&lt;/HOPanelCompletion&gt;&lt;HOTaskDescription xmlns="http://www.Qumas.com/Qumas.ContentTypes/BasePanel"&gt;false&lt;/HOTaskDescription&gt;&lt;HOTaskTitle xmlns="http://www.Qumas.com/Qumas.ContentTypes/BasePanel"&gt;false&lt;/HOTaskTitle&gt;&lt;HaltOnSingleDisapproval xmlns="http://www.Qumas.com/Qumas.ContentTypes/BasePanel"&gt;true&lt;/HaltOnSingleDisapproval&gt;&lt;NumDaysToComplete xmlns="http://www.Qumas.com/Qumas.ContentTypes/BasePanel"&gt;3&lt;/NumDaysToComplete&gt;&lt;PanelName xmlns="http://www.Qumas.com/Qumas.ContentTypes/BasePanel"&gt;Approval&lt;/PanelName&gt;&lt;QuorumNumber xmlns="http://www.Qumas.com/Qumas.ContentTypes/BasePanel"&gt;1&lt;/QuorumNumber&gt;&lt;SegregationCfg xmlns="http://www.Qumas.com/Qumas.ContentTypes/BasePanel" xmlns:b="http://www.Qumas.com/Qumas.Compliance/Configuration/Controls/SegregationConfig"&gt;&lt;TimeStamp i:nil="true" xmlns="http://schemas.datacontract.org/2004/07/QUMAS.Compliance.Common.SOM.DataContracts" /&gt;&lt;UniqueId xmlns="http://schemas.datacontract.org/2004/07/QUMAS.Compliance.Common.SOM.DataContracts"&gt;00000000-0000-0000-0000-000000000000&lt;/UniqueId&gt;&lt;b:AO&gt;true&lt;/b:AO&gt;&lt;b:Assignees xmlns:c="http://schemas.datacontract.org/2004/07/QUMAS.Compliance.Common.SOM.DataContracts.Security" /&gt;&lt;b:Filter xmlns:c="http://schemas.datacontract.org/2004/07/QUMAS.Compliance.Common.SOM.DataContracts.Security"&gt;&lt;TimeStamp i:nil="true" xmlns="http://schemas.datacontract.org/2004/07/QUMAS.Compliance.Common.SOM.DataContracts" /&gt;&lt;UniqueId xmlns="http://schemas.datacontract.org/2004/07/QUMAS.Compliance.Common.SOM.DataContracts"&gt;00000000-0000-0000-0000-000000000000&lt;/UniqueId&gt;&lt;c:Id&gt;13&lt;/c:Id&gt;&lt;c:Member&gt;approvers_grp&lt;/c:Member&gt;&lt;c:MemberType&gt;SharePointGroup&lt;/c:MemberType&gt;&lt;/b:Filter&gt;&lt;b:HO&gt;false&lt;/b:HO&gt;&lt;b:Limit&gt;true&lt;/b:Limit&gt;&lt;b:SepTasks&gt;true&lt;/b:SepTasks&gt;&lt;/SegregationCfg&gt;&lt;TaskDescription xmlns="http://www.Qumas.com/Qumas.ContentTypes/BasePanel"&gt;Please review {Title} ({Name}) and approve or disapprove.&lt;/TaskDescription&gt;&lt;TaskTitle xmlns="http://www.Qumas.com/Qumas.ContentTypes/BasePanel"&gt;Approval task for {Title} ({Name})&lt;/TaskTitle&gt;&lt;a:AOESig&gt;false&lt;/a:AOESig&gt;&lt;a:AOEscalationConfigurationOverdue&gt;false&lt;/a:AOEscalationConfigurationOverdue&gt;&lt;a:AOEscalationConfigurationWarn&gt;false&lt;/a:AOEscalationConfigurationWarn&gt;&lt;a:AONumDaysToComplete&gt;true&lt;/a:AONumDaysToComplete&gt;&lt;a:AOPanelCompletion&gt;false&lt;/a:AOPanelCompletion&gt;&lt;a:AOTaskDescription&gt;false&lt;/a:AOTaskDescription&gt;&lt;a:AOTaskTitle&gt;false&lt;/a:AOTaskTitle&gt;&lt;a:BusinessRole&gt;Approver&lt;/a:BusinessRole&gt;&lt;a:ESignatureRequired xmlns:b="http://www.Qumas.com/Qumas.Compliance/Configuration/Controls/EsignatureRequiredConf"&gt;&lt;TimeStamp i:nil="true" xmlns="http://schemas.datacontract.org/2004/07/QUMAS.Compliance.Common.SOM.DataContracts" /&gt;&lt;UniqueId xmlns="http://schemas.datacontract.org/2004/07/QUMAS.Compliance.Common.SOM.DataContracts"&gt;00000000-0000-0000-0000-000000000000&lt;/UniqueId&gt;&lt;b:BusinessRole&gt;Approver&lt;/b:BusinessRole&gt;&lt;b:MeaningOfSignatureCode&gt;DocApproval&lt;/b:MeaningOfSignatureCode&gt;&lt;b:RequiresESig&gt;true&lt;/b:RequiresESig&gt;&lt;/a:ESignatureRequired&gt;&lt;a:EscalationConfigurationOverdue xmlns:b="http://www.Qumas.com/Qumas.Compliance/Configuration/Controls/EscalationNotificationOverdueConf"&gt;&lt;b:DaysRepeat&gt;2&lt;/b:DaysRepeat&gt;&lt;b:InitialNotification /&gt;&lt;b:IsEnableTaskEscalation&gt;true&lt;/b:IsEnableTaskEscalation&gt;&lt;b:IsOverdueHighPriority&gt;false&lt;/b:IsOverdueHighPriority&gt;&lt;b:IsRepeatNotification&gt;true&lt;/b:IsRepeatNotification&gt;&lt;b:RepeatNotification /&gt;&lt;/a:EscalationConfigurationOverdue&gt;&lt;a:EscalationConfigurationWarn xmlns:b="http://www.Qumas.com/Qumas.Compliance/Configuration/Controls/EscalationNotificationWarnConf"&gt;&lt;b:DaysBeforeDueDate&gt;2&lt;/b:DaysBeforeDueDate&gt;&lt;b:DaysRepeat&gt;2&lt;/b:DaysRepeat&gt;&lt;b:IsRepeatNotification&gt;true&lt;/b:IsRepeatNotification&gt;&lt;b:IsWarnSoonOvedue&gt;true&lt;/b:IsWarnSoonOvedue&gt;&lt;b:NotificationBeforeDueDate /&gt;&lt;b:RepeatNotification /&gt;&lt;/a:EscalationConfigurationWarn&gt;&lt;a:HOESig&gt;true&lt;/a:HOESig&gt;&lt;a:HOEscalationConfigurationOverdue&gt;true&lt;/a:HOEscalationConfigurationOverdue&gt;&lt;a:HOEscalationConfigurationWarn&gt;true&lt;/a:HOEscalationConfigurationWarn&gt;&lt;a:HONumDaysToComplete&gt;false&lt;/a:HONumDaysToComplete&gt;&lt;a:HOPanelCompletion&gt;true&lt;/a:HOPanelCompletion&gt;&lt;a:HOTaskDescription&gt;false&lt;/a:HOTaskDescription&gt;&lt;a:HOTaskTitle&gt;false&lt;/a:HOTaskTitle&gt;&lt;a:HaltOnSingleDisapproval&gt;true&lt;/a:HaltOnSingleDisapproval&gt;&lt;a:MeaningOfSignatureCode&gt;GMPDocApproval&lt;/a:MeaningOfSignatureCode&gt;&lt;a:NumDaysToComplete&gt;3&lt;/a:NumDaysToComplete&gt;&lt;a:PanelCompletion&gt;RequireAllToApprove&lt;/a:PanelCompletion&gt;&lt;a:PanelCompletionV2&gt;AllTasksCompletion&lt;/a:PanelCompletionV2&gt;&lt;a:QuorumNumber&gt;1&lt;/a:QuorumNumber&gt;&lt;a:RequiresESig&gt;true&lt;/a:RequiresESig&gt;&lt;a:SegregationCfg xmlns:b="http://www.Qumas.com/Qumas.Compliance/Configuration/Controls/SegregationConfig"&gt;&lt;TimeStamp i:nil="true" xmlns="http://schemas.datacontract.org/2004/07/QUMAS.Compliance.Common.SOM.DataContracts" /&gt;&lt;UniqueId xmlns="http://schemas.datacontract.org/2004/07/QUMAS.Compliance.Common.SOM.DataContracts"&gt;00000000-0000-0000-0000-000000000000&lt;/UniqueId&gt;&lt;b:AO&gt;true&lt;/b:AO&gt;&lt;b:Assignees xmlns:c="http://schemas.datacontract.org/2004/07/QUMAS.Compliance.Common.SOM.DataContracts.Security" /&gt;&lt;b:Filter xmlns:c="http://schemas.datacontract.org/2004/07/QUMAS.Compliance.Common.SOM.DataContracts.Security"&gt;&lt;TimeStamp i:nil="true" xmlns="http://schemas.datacontract.org/2004/07/QUMAS.Compliance.Common.SOM.DataContracts" /&gt;&lt;UniqueId xmlns="http://schemas.datacontract.org/2004/07/QUMAS.Compliance.Common.SOM.DataContracts"&gt;00000000-0000-0000-0000-000000000000&lt;/UniqueId&gt;&lt;c:Id&gt;0&lt;/c:Id&gt;&lt;c:Member&gt;approvers_grp&lt;/c:Member&gt;&lt;c:MemberType&gt;SharePointGroup&lt;/c:MemberType&gt;&lt;/b:Filter&gt;&lt;b:HO&gt;false&lt;/b:HO&gt;&lt;b:Limit&gt;true&lt;/b:Limit&gt;&lt;b:SepTasks&gt;true&lt;/b:SepTasks&gt;&lt;/a:SegregationCfg&gt;&lt;a:TaskDescription&gt;Please review {Title} ({Name}) and approve or disapprove.&lt;/a:TaskDescription&gt;&lt;a:TaskTitle&gt;Approval task for {Title} ({Name})&lt;/a:TaskTitle&gt;&lt;/a:ApprovalPanel&gt;&lt;a:ApprovalPanel&gt;&lt;TimeStamp i:nil="true" xmlns="http://schemas.datacontract.org/2004/07/QUMAS.Compliance.Common.SOM.DataContracts" /&gt;&lt;UniqueId xmlns="http://schemas.datacontract.org/2004/07/QUMAS.Compliance.Common.SOM.DataContracts"&gt;00000000-0000-0000-0000-000000000000&lt;/UniqueId&gt;&lt;AOEscalationConfigurationOverdue xmlns="http://www.Qumas.com/Qumas.ContentTypes/BasePanel"&gt;false&lt;/AOEscalationConfigurationOverdue&gt;&lt;AOEscalationConfigurationWarn xmlns="http://www.Qumas.com/Qumas.ContentTypes/BasePanel"&gt;false&lt;/AOEscalationConfigurationWarn&gt;&lt;AONumDaysToComplete xmlns="http://www.Qumas.com/Qumas.ContentTypes/BasePanel"&gt;true&lt;/AONumDaysToComplete&gt;&lt;AOPanelCompletion xmlns="http://www.Qumas.com/Qumas.ContentTypes/BasePanel"&gt;false&lt;/AOPanelCompletion&gt;&lt;AOTaskDescription xmlns="http://www.Qumas.com/Qumas.ContentTypes/BasePanel"&gt;true&lt;/AOTaskDescription&gt;&lt;AOTaskTitle xmlns="http://www.Qumas.com/Qumas.ContentTypes/BasePanel"&gt;false&lt;/AOTaskTitle&gt;&lt;EscalationConfigurationOverdue xmlns="http://www.Qumas.com/Qumas.ContentTypes/BasePanel" xmlns:b="http://www.Qumas.com/Qumas.Compliance/Configuration/Controls/EscalationNotificationOverdueConf"&gt;&lt;b:DaysRepeat&gt;2&lt;/b:DaysRepeat&gt;&lt;b:InitialNotification&gt;Default Escalation&lt;/b:InitialNotification&gt;&lt;b:IsEnableTaskEscalation&gt;true&lt;/b:IsEnableTaskEscalation&gt;&lt;b:IsOverdueHighPriority&gt;false&lt;/b:IsOverdueHighPriority&gt;&lt;b:IsRepeatNotification&gt;true&lt;/b:IsRepeatNotification&gt;&lt;b:RepeatNotification&gt;Default Escalation&lt;/b:RepeatNotification&gt;&lt;/EscalationConfigurationOverdue&gt;&lt;EscalationConfigurationWarn xmlns="http://www.Qumas.com/Qumas.ContentTypes/BasePanel" xmlns:b="http://www.Qumas.com/Qumas.Compliance/Configuration/Controls/EscalationNotificationWarnConf"&gt;&lt;b:DaysBeforeDueDate&gt;1&lt;/b:DaysBeforeDueDate&gt;&lt;b:DaysRepeat&gt;3&lt;/b:DaysRepeat&gt;&lt;b:IsRepeatNotification&gt;true&lt;/b:IsRepeatNotification&gt;&lt;b:IsWarnSoonOvedue&gt;true&lt;/b:IsWarnSoonOvedue&gt;&lt;b:NotificationBeforeDueDate&gt;Default Pending Escalation&lt;/b:NotificationBeforeDueDate&gt;&lt;b:RepeatNotification&gt;Default Pending Escalation&lt;/b:RepeatNotification&gt;&lt;/EscalationConfigurationWarn&gt;&lt;HOEscalationConfigurationOverdue xmlns="http://www.Qumas.com/Qumas.ContentTypes/BasePanel"&gt;true&lt;/HOEscalationConfigurationOverdue&gt;&lt;HOEscalationConfigurationWarn xmlns="http://www.Qumas.com/Qumas.ContentTypes/BasePanel"&gt;true&lt;/HOEscalationConfigurationWarn&gt;&lt;HONumDaysToComplete xmlns="http://www.Qumas.com/Qumas.ContentTypes/BasePanel"&gt;false&lt;/HONumDaysToComplete&gt;&lt;HOPanelCompletion xmlns="http://www.Qumas.com/Qumas.ContentTypes/BasePanel"&gt;true&lt;/HOPanelCompletion&gt;&lt;HOTaskDescription xmlns="http://www.Qumas.com/Qumas.ContentTypes/BasePanel"&gt;false&lt;/HOTaskDescription&gt;&lt;HOTaskTitle xmlns="http://www.Qumas.com/Qumas.ContentTypes/BasePanel"&gt;false&lt;/HOTaskTitle&gt;&lt;HaltOnSingleDisapproval xmlns="http://www.Qumas.com/Qumas.ContentTypes/BasePanel"&gt;true&lt;/HaltOnSingleDisapproval&gt;&lt;NumDaysToComplete xmlns="http://www.Qumas.com/Qumas.ContentTypes/BasePanel"&gt;3&lt;/NumDaysToComplete&gt;&lt;PanelName xmlns="http://www.Qumas.com/Qumas.ContentTypes/BasePanel"&gt;CEO Approval&lt;/PanelName&gt;&lt;QuorumNumber xmlns="http://www.Qumas.com/Qumas.ContentTypes/BasePanel"&gt;1&lt;/QuorumNumber&gt;&lt;SegregationCfg xmlns="http://www.Qumas.com/Qumas.ContentTypes/BasePanel" xmlns:b="http://www.Qumas.com/Qumas.Compliance/Configuration/Controls/SegregationConfig"&gt;&lt;TimeStamp i:nil="true" xmlns="http://schemas.datacontract.org/2004/07/QUMAS.Compliance.Common.SOM.DataContracts" /&gt;&lt;UniqueId xmlns="http://schemas.datacontract.org/2004/07/QUMAS.Compliance.Common.SOM.DataContracts"&gt;00000000-0000-0000-0000-000000000000&lt;/UniqueId&gt;&lt;b:AO&gt;false&lt;/b:AO&gt;&lt;b:Assignees xmlns:c="http://schemas.datacontract.org/2004/07/QUMAS.Compliance.Common.SOM.DataContracts.Security"&gt;&lt;c:UserOrGroup&gt;&lt;TimeStamp i:nil="true" xmlns="http://schemas.datacontract.org/2004/07/QUMAS.Compliance.Common.SOM.DataContracts" /&gt;&lt;UniqueId xmlns="http://schemas.datacontract.org/2004/07/QUMAS.Compliance.Common.SOM.DataContracts"&gt;00000000-0000-0000-0000-000000000000&lt;/UniqueId&gt;&lt;c:Id&gt;14&lt;/c:Id&gt;&lt;c:Member&gt;ceo_grp&lt;/c:Member&gt;&lt;c:MemberType&gt;SharePointGroup&lt;/c:MemberType&gt;&lt;/c:UserOrGroup&gt;&lt;/b:Assignees&gt;&lt;b:Filter xmlns:c="http://schemas.datacontract.org/2004/07/QUMAS.Compliance.Common.SOM.DataContracts.Security"&gt;&lt;TimeStamp i:nil="true" xmlns="http://schemas.datacontract.org/2004/07/QUMAS.Compliance.Common.SOM.DataContracts" /&gt;&lt;UniqueId xmlns="http://schemas.datacontract.org/2004/07/QUMAS.Compliance.Common.SOM.DataContracts"&gt;00000000-0000-0000-0000-000000000000&lt;/UniqueId&gt;&lt;c:Id&gt;14&lt;/c:Id&gt;&lt;c:Member&gt;ceo_grp&lt;/c:Member&gt;&lt;c:MemberType&gt;SharePointGroup&lt;/c:MemberType&gt;&lt;/b:Filter&gt;&lt;b:HO&gt;true&lt;/b:HO&gt;&lt;b:Limit&gt;true&lt;/b:Limit&gt;&lt;b:SepTasks&gt;true&lt;/b:SepTasks&gt;&lt;/SegregationCfg&gt;&lt;TaskDescription xmlns="http://www.Qumas.com/Qumas.ContentTypes/BasePanel"&gt;Please review {Title} ({Name}) and approve or disapprove.&lt;/TaskDescription&gt;&lt;TaskTitle xmlns="http://www.Qumas.com/Qumas.ContentTypes/BasePanel"&gt;CEO Approval task for {Title} ({Name})&lt;/TaskTitle&gt;&lt;a:AOESig&gt;false&lt;/a:AOESig&gt;&lt;a:AOEscalationConfigurationOverdue&gt;false&lt;/a:AOEscalationConfigurationOverdue&gt;&lt;a:AOEscalationConfigurationWarn&gt;false&lt;/a:AOEscalationConfigurationWarn&gt;&lt;a:AONumDaysToComplete&gt;true&lt;/a:AONumDaysToComplete&gt;&lt;a:AOPanelCompletion&gt;false&lt;/a:AOPanelCompletion&gt;&lt;a:AOTaskDescription&gt;false&lt;/a:AOTaskDescription&gt;&lt;a:AOTaskTitle&gt;false&lt;/a:AOTaskTitle&gt;&lt;a:BusinessRole&gt;CEO&lt;/a:BusinessRole&gt;&lt;a:ESignatureRequired xmlns:b="http://www.Qumas.com/Qumas.Compliance/Configuration/Controls/EsignatureRequiredConf"&gt;&lt;TimeStamp i:nil="true" xmlns="http://schemas.datacontract.org/2004/07/QUMAS.Compliance.Common.SOM.DataContracts" /&gt;&lt;UniqueId xmlns="http://schemas.datacontract.org/2004/07/QUMAS.Compliance.Common.SOM.DataContracts"&gt;00000000-0000-0000-0000-000000000000&lt;/UniqueId&gt;&lt;b:BusinessRole&gt;CEO&lt;/b:BusinessRole&gt;&lt;b:MeaningOfSignatureCode&gt;DocApproval&lt;/b:MeaningOfSignatureCode&gt;&lt;b:RequiresESig&gt;true&lt;/b:RequiresESig&gt;&lt;/a:ESignatureRequired&gt;&lt;a:EscalationConfigurationOverdue xmlns:b="http://www.Qumas.com/Qumas.Compliance/Configuration/Controls/EscalationNotificationOverdueConf"&gt;&lt;b:DaysRepeat&gt;2&lt;/b:DaysRepeat&gt;&lt;b:InitialNotification /&gt;&lt;b:IsEnableTaskEscalation&gt;true&lt;/b:IsEnableTaskEscalation&gt;&lt;b:IsOverdueHighPriority&gt;false&lt;/b:IsOverdueHighPriority&gt;&lt;b:IsRepeatNotification&gt;true&lt;/b:IsRepeatNotification&gt;&lt;b:RepeatNotification /&gt;&lt;/a:EscalationConfigurationOverdue&gt;&lt;a:EscalationConfigurationWarn xmlns:b="http://www.Qumas.com/Qumas.Compliance/Configuration/Controls/EscalationNotificationWarnConf"&gt;&lt;b:DaysBeforeDueDate&gt;1&lt;/b:DaysBeforeDueDate&gt;&lt;b:DaysRepeat&gt;3&lt;/b:DaysRepeat&gt;&lt;b:IsRepeatNotification&gt;true&lt;/b:IsRepeatNotification&gt;&lt;b:IsWarnSoonOvedue&gt;true&lt;/b:IsWarnSoonOvedue&gt;&lt;b:NotificationBeforeDueDate /&gt;&lt;b:RepeatNotification /&gt;&lt;/a:EscalationConfigurationWarn&gt;&lt;a:HOESig&gt;true&lt;/a:HOESig&gt;&lt;a:HOEscalationConfigurationOverdue&gt;true&lt;/a:HOEscalationConfigurationOverdue&gt;&lt;a:HOEscalationConfigurationWarn&gt;true&lt;/a:HOEscalationConfigurationWarn&gt;&lt;a:HONumDaysToComplete&gt;false&lt;/a:HONumDaysToComplete&gt;&lt;a:HOPanelCompletion&gt;true&lt;/a:HOPanelCompletion&gt;&lt;a:HOTaskDescription&gt;false&lt;/a:HOTaskDescription&gt;&lt;a:HOTaskTitle&gt;false&lt;/a:HOTaskTitle&gt;&lt;a:HaltOnSingleDisapproval&gt;true&lt;/a:HaltOnSingleDisapproval&gt;&lt;a:MeaningOfSignatureCode&gt;GMPDocApproval&lt;/a:MeaningOfSignatureCode&gt;&lt;a:NumDaysToComplete&gt;3&lt;/a:NumDaysToComplete&gt;&lt;a:PanelCompletion&gt;RequireAllToApprove&lt;/a:PanelCompletion&gt;&lt;a:PanelCompletionV2&gt;AllTasksCompletion&lt;/a:PanelCompletionV2&gt;&lt;a:QuorumNumber&gt;1&lt;/a:QuorumNumber&gt;&lt;a:RequiresESig&gt;true&lt;/a:RequiresESig&gt;&lt;a:SegregationCfg xmlns:b="http://www.Qumas.com/Qumas.Compliance/Configuration/Controls/SegregationConfig"&gt;&lt;TimeStamp i:nil="true" xmlns="http://schemas.datacontract.org/2004/07/QUMAS.Compliance.Common.SOM.DataContracts" /&gt;&lt;UniqueId xmlns="http://schemas.datacontract.org/2004/07/QUMAS.Compliance.Common.SOM.DataContracts"&gt;00000000-0000-0000-0000-000000000000&lt;/UniqueId&gt;&lt;b:AO&gt;false&lt;/b:AO&gt;&lt;b:Assignees xmlns:c="http://schemas.datacontract.org/2004/07/QUMAS.Compliance.Common.SOM.DataContracts.Security"&gt;&lt;c:UserOrGroup&gt;&lt;TimeStamp i:nil="true" xmlns="http://schemas.datacontract.org/2004/07/QUMAS.Compliance.Common.SOM.DataContracts" /&gt;&lt;UniqueId xmlns="http://schemas.datacontract.org/2004/07/QUMAS.Compliance.Common.SOM.DataContracts"&gt;00000000-0000-0000-0000-000000000000&lt;/UniqueId&gt;&lt;c:Id&gt;0&lt;/c:Id&gt;&lt;c:Member&gt;ceo_grp&lt;/c:Member&gt;&lt;c:MemberType&gt;SharePointGroup&lt;/c:MemberType&gt;&lt;/c:UserOrGroup&gt;&lt;/b:Assignees&gt;&lt;b:Filter xmlns:c="http://schemas.datacontract.org/2004/07/QUMAS.Compliance.Common.SOM.DataContracts.Security"&gt;&lt;TimeStamp i:nil="true" xmlns="http://schemas.datacontract.org/2004/07/QUMAS.Compliance.Common.SOM.DataContracts" /&gt;&lt;UniqueId xmlns="http://schemas.datacontract.org/2004/07/QUMAS.Compliance.Common.SOM.DataContracts"&gt;00000000-0000-0000-0000-000000000000&lt;/UniqueId&gt;&lt;c:Id&gt;0&lt;/c:Id&gt;&lt;c:Member&gt;ceo_grp&lt;/c:Member&gt;&lt;c:MemberType&gt;SharePointGroup&lt;/c:MemberType&gt;&lt;/b:Filter&gt;&lt;b:HO&gt;true&lt;/b:HO&gt;&lt;b:Limit&gt;true&lt;/b:Limit&gt;&lt;b:SepTasks&gt;true&lt;/b:SepTasks&gt;&lt;/a:SegregationCfg&gt;&lt;a:TaskDescription&gt;Please review {Title} ({Name}) and approve or disapprove.&lt;/a:TaskDescription&gt;&lt;a:TaskTitle&gt;CEO Approval task for {Title} ({Name})&lt;/a:TaskTitle&gt;&lt;/a:ApprovalPanel&gt;&lt;/Panels&gt;&lt;/CtApprovalWorkflowConfig&gt;</b:WorkflowConfiguration></a:Value></a:KeyValueOfstringLifecycleActionNamedConfigurationWMHOgtwe><a:KeyValueOfstringLifecycleActionNamedConfigurationWMHOgtwe><a:Key>Confirm</a:Key><a:Value xmlns:b="http://www.Qumas.com/Qumas.Compliance/Configuration/LifecycleAction/LifecycleActionNamedConfiguration"><TimeStamp i:nil="true" xmlns="http://schemas.datacontract.org/2004/07/QUMAS.Compliance.Common.SOM.DataContracts" /><UniqueId xmlns="http://schemas.datacontract.org/2004/07/QUMAS.Compliance.Common.SOM.DataContracts">00000000-0000-0000-0000-000000000000</UniqueId><b:AOAutoTransitionToNextAction>false</b:AOAutoTransitionToNextAction><b:AllowedPrincipals xmlns:c="http://schemas.datacontract.org/2004/07/QUMAS.Compliance.Common.SOM.DataContracts.Security"><c:UserOrGroup><TimeStamp i:nil="true" xmlns="http://schemas.datacontract.org/2004/07/QUMAS.Compliance.Common.SOM.DataContracts" /><UniqueId xmlns="http://schemas.datacontract.org/2004/07/QUMAS.Compliance.Common.SOM.DataContracts">00000000-0000-0000-0000-000000000000</UniqueId><c:Id>0</c:Id><c:Member>initiate_workflow_grp</c:Member><c:MemberType>SharePointGroup</c:MemberType></c:UserOrGroup></b:AllowedPrincipals><b:AutoTransitionToNextAction>false</b:AutoTransitionToNextAction><b:Description>Start the Confirm workflow on the document.</b:Description><b:DirectActionConfiguration xmlns:c="http://www.Qumas.com/Qumas.Compliance/Configuration/LifecycleAction/DirectActionConfiguration"><TimeStamp i:nil="true" xmlns="http://schemas.datacontract.org/2004/07/QUMAS.Compliance.Common.SOM.DataContracts" /><UniqueId xmlns="http://schemas.datacontract.org/2004/07/QUMAS.Compliance.Common.SOM.DataContracts">00000000-0000-0000-0000-000000000000</UniqueId><c:EsignatureRequired xmlns:d="http://www.Qumas.com/Qumas.Compliance/Configuration/Controls/EsignatureRequiredConf"><TimeStamp i:nil="true" xmlns="http://schemas.datacontract.org/2004/07/QUMAS.Compliance.Common.SOM.DataContracts" /><UniqueId xmlns="http://schemas.datacontract.org/2004/07/QUMAS.Compliance.Common.SOM.DataContracts">00000000-0000-0000-0000-000000000000</UniqueId><d:BusinessRole>Quality Manager</d:BusinessRole><d:MeaningOfSignatureCode>GMPDocApproval</d:MeaningOfSignatureCode><d:RequiresESig>false</d:RequiresESig></c:EsignatureRequired><c:RetractReleasedDoc>false</c:RetractReleasedDoc></b:DirectActionConfiguration><b:EffectiveRenderTemplate>Effective Template</b:EffectiveRenderTemplate><b:EndTransitionRenderTemplate>Approved Template</b:EndTransitionRenderTemplate><b:HOAutoTransitionToNextAction>false</b:HOAutoTransitionToNextAction><b:MetaDataColumnId /><b:MetaDataColumnValue /><b:Name>Confirm</b:Name><b:ReleaseConditions xmlns:c="http://www.Qumas.com/Qumas.Compliance/Configuration/LifecycleAction/ReleaseConditionsConfiguration"><TimeStamp i:nil="true" xmlns="http://schemas.datacontract.org/2004/07/QUMAS.Compliance.Common.SOM.DataContracts" /><UniqueId xmlns="http://schemas.datacontract.org/2004/07/QUMAS.Compliance.Common.SOM.DataContracts">00000000-0000-0000-0000-000000000000</UniqueId><c:AfterDays>7</c:AfterDays><c:AllowedPrincipals xmlns:d="http://schemas.datacontract.org/2004/07/QUMAS.Compliance.Common.SOM.DataContracts.Security" /><c:ReleaseName>Release</c:ReleaseName><c:Type>Automatic</c:Type></b:ReleaseConditions><b:StartTransitionRenderTemplate>Draft Template</b:StartTransitionRenderTemplate><b:TransitionOptions>UseWorkflow</b:TransitionOptions><b:WorkflowConfiguration>&lt;CtApprovalWorkflowConfig xmlns="http://www.Qumas.com/Qumas.ContentTypes/CtApprovalWorkflowConfig" xmlns:i="http://www.w3.org/2001/XMLSchema-instance"&gt;&lt;TimeStamp i:nil="true" xmlns="http://schemas.datacontract.org/2004/07/QUMAS.Compliance.Common.SOM.DataContracts" /&gt;&lt;UniqueId xmlns="http://schemas.datacontract.org/2004/07/QUMAS.Compliance.Common.SOM.DataContracts"&gt;00000000-0000-0000-0000-000000000000&lt;/UniqueId&gt;&lt;AOAutoExecuteMakeEffective&gt;true&lt;/AOAutoExecuteMakeEffective&gt;&lt;AutoExecuteMakeEffective&gt;true&lt;/AutoExecuteMakeEffective&gt;&lt;Panels xmlns:a="http://www.Qumas.com/Qumas.ContentTypes/ApprovalPanel"&gt;&lt;a:ApprovalPanel&gt;&lt;TimeStamp i:nil="true" xmlns="http://schemas.datacontract.org/2004/07/QUMAS.Compliance.Common.SOM.DataContracts" /&gt;&lt;UniqueId xmlns="http://schemas.datacontract.org/2004/07/QUMAS.Compliance.Common.SOM.DataContracts"&gt;00000000-0000-0000-0000-000000000000&lt;/UniqueId&gt;&lt;AOEscalationConfigurationOverdue xmlns="http://www.Qumas.com/Qumas.ContentTypes/BasePanel"&gt;false&lt;/AOEscalationConfigurationOverdue&gt;&lt;AOEscalationConfigurationWarn xmlns="http://www.Qumas.com/Qumas.ContentTypes/BasePanel"&gt;false&lt;/AOEscalationConfigurationWarn&gt;&lt;AONumDaysToComplete xmlns="http://www.Qumas.com/Qumas.ContentTypes/BasePanel"&gt;true&lt;/AONumDaysToComplete&gt;&lt;AOPanelCompletion xmlns="http://www.Qumas.com/Qumas.ContentTypes/BasePanel"&gt;false&lt;/AOPanelCompletion&gt;&lt;AOTaskDescription xmlns="http://www.Qumas.com/Qumas.ContentTypes/BasePanel"&gt;true&lt;/AOTaskDescription&gt;&lt;AOTaskTitle xmlns="http://www.Qumas.com/Qumas.ContentTypes/BasePanel"&gt;false&lt;/AOTaskTitle&gt;&lt;EscalationConfigurationOverdue xmlns="http://www.Qumas.com/Qumas.ContentTypes/BasePanel" xmlns:b="http://www.Qumas.com/Qumas.Compliance/Configuration/Controls/EscalationNotificationOverdueConf"&gt;&lt;b:DaysRepeat&gt;2&lt;/b:DaysRepeat&gt;&lt;b:InitialNotification&gt;Approaching Periodic Review Escalation&lt;/b:InitialNotification&gt;&lt;b:IsEnableTaskEscalation&gt;false&lt;/b:IsEnableTaskEscalation&gt;&lt;b:IsOverdueHighPriority&gt;false&lt;/b:IsOverdueHighPriority&gt;&lt;b:IsRepeatNotification&gt;false&lt;/b:IsRepeatNotification&gt;&lt;b:RepeatNotification&gt;Approaching Periodic Review Escalation&lt;/b:RepeatNotification&gt;&lt;/EscalationConfigurationOverdue&gt;&lt;EscalationConfigurationWarn xmlns="http://www.Qumas.com/Qumas.ContentTypes/BasePanel" xmlns:b="http://www.Qumas.com/Qumas.Compliance/Configuration/Controls/EscalationNotificationWarnConf"&gt;&lt;b:DaysBeforeDueDate&gt;2&lt;/b:DaysBeforeDueDate&gt;&lt;b:DaysRepeat&gt;1&lt;/b:DaysRepeat&gt;&lt;b:IsRepeatNotification&gt;true&lt;/b:IsRepeatNotification&gt;&lt;b:IsWarnSoonOvedue&gt;true&lt;/b:IsWarnSoonOvedue&gt;&lt;b:NotificationBeforeDueDate&gt;Default Pending Escalation&lt;/b:NotificationBeforeDueDate&gt;&lt;b:RepeatNotification&gt;Default Pending Escalation&lt;/b:RepeatNotification&gt;&lt;/EscalationConfigurationWarn&gt;&lt;HOEscalationConfigurationOverdue xmlns="http://www.Qumas.com/Qumas.ContentTypes/BasePanel"&gt;true&lt;/HOEscalationConfigurationOverdue&gt;&lt;HOEscalationConfigurationWarn xmlns="http://www.Qumas.com/Qumas.ContentTypes/BasePanel"&gt;true&lt;/HOEscalationConfigurationWarn&gt;&lt;HONumDaysToComplete xmlns="http://www.Qumas.com/Qumas.ContentTypes/BasePanel"&gt;false&lt;/HONumDaysToComplete&gt;&lt;HOPanelCompletion xmlns="http://www.Qumas.com/Qumas.ContentTypes/BasePanel"&gt;true&lt;/HOPanelCompletion&gt;&lt;HOTaskDescription xmlns="http://www.Qumas.com/Qumas.ContentTypes/BasePanel"&gt;false&lt;/HOTaskDescription&gt;&lt;HOTaskTitle xmlns="http://www.Qumas.com/Qumas.ContentTypes/BasePanel"&gt;false&lt;/HOTaskTitle&gt;&lt;HaltOnSingleDisapproval xmlns="http://www.Qumas.com/Qumas.ContentTypes/BasePanel"&gt;true&lt;/HaltOnSingleDisapproval&gt;&lt;NumDaysToComplete xmlns="http://www.Qumas.com/Qumas.ContentTypes/BasePanel"&gt;5&lt;/NumDaysToComplete&gt;&lt;PanelName xmlns="http://www.Qumas.com/Qumas.ContentTypes/BasePanel"&gt;Confirm&lt;/PanelName&gt;&lt;QuorumNumber xmlns="http://www.Qumas.com/Qumas.ContentTypes/BasePanel"&gt;1&lt;/QuorumNumber&gt;&lt;SegregationCfg xmlns="http://www.Qumas.com/Qumas.ContentTypes/BasePanel" xmlns:b="http://www.Qumas.com/Qumas.Compliance/Configuration/Controls/SegregationConfig"&gt;&lt;TimeStamp i:nil="true" xmlns="http://schemas.datacontract.org/2004/07/QUMAS.Compliance.Common.SOM.DataContracts" /&gt;&lt;UniqueId xmlns="http://schemas.datacontract.org/2004/07/QUMAS.Compliance.Common.SOM.DataContracts"&gt;00000000-0000-0000-0000-000000000000&lt;/UniqueId&gt;&lt;b:AO&gt;true&lt;/b:AO&gt;&lt;b:Assignees xmlns:c="http://schemas.datacontract.org/2004/07/QUMAS.Compliance.Common.SOM.DataContracts.Security" /&gt;&lt;b:Filter xmlns:c="http://schemas.datacontract.org/2004/07/QUMAS.Compliance.Common.SOM.DataContracts.Security"&gt;&lt;TimeStamp i:nil="true" xmlns="http://schemas.datacontract.org/2004/07/QUMAS.Compliance.Common.SOM.DataContracts" /&gt;&lt;UniqueId xmlns="http://schemas.datacontract.org/2004/07/QUMAS.Compliance.Common.SOM.DataContracts"&gt;00000000-0000-0000-0000-000000000000&lt;/UniqueId&gt;&lt;c:Id&gt;20&lt;/c:Id&gt;&lt;c:Member&gt;document_coordinators_grp&lt;/c:Member&gt;&lt;c:MemberType&gt;SharePointGroup&lt;/c:MemberType&gt;&lt;/b:Filter&gt;&lt;b:HO&gt;false&lt;/b:HO&gt;&lt;b:Limit&gt;true&lt;/b:Limit&gt;&lt;b:SepTasks&gt;true&lt;/b:SepTasks&gt;&lt;/SegregationCfg&gt;&lt;TaskDescription xmlns="http://www.Qumas.com/Qumas.ContentTypes/BasePanel"&gt;Please review {Title} ({Name}) and approve or disapprove.&lt;/TaskDescription&gt;&lt;TaskTitle xmlns="http://www.Qumas.com/Qumas.ContentTypes/BasePanel"&gt;Confirmation task for {Title} ({Name})&lt;/TaskTitle&gt;&lt;a:AOESig&gt;true&lt;/a:AOESig&gt;&lt;a:AOEscalationConfigurationOverdue&gt;false&lt;/a:AOEscalationConfigurationOverdue&gt;&lt;a:AOEscalationConfigurationWarn&gt;false&lt;/a:AOEscalationConfigurationWarn&gt;&lt;a:AONumDaysToComplete&gt;true&lt;/a:AONumDaysToComplete&gt;&lt;a:AOPanelCompletion&gt;false&lt;/a:AOPanelCompletion&gt;&lt;a:AOTaskDescription&gt;false&lt;/a:AOTaskDescription&gt;&lt;a:AOTaskTitle&gt;false&lt;/a:AOTaskTitle&gt;&lt;a:BusinessRole&gt;Reviewer&lt;/a:BusinessRole&gt;&lt;a:ESignatureRequired xmlns:b="http://www.Qumas.com/Qumas.Compliance/Configuration/Controls/EsignatureRequiredConf"&gt;&lt;TimeStamp i:nil="true" xmlns="http://schemas.datacontract.org/2004/07/QUMAS.Compliance.Common.SOM.DataContracts" /&gt;&lt;UniqueId xmlns="http://schemas.datacontract.org/2004/07/QUMAS.Compliance.Common.SOM.DataContracts"&gt;00000000-0000-0000-0000-000000000000&lt;/UniqueId&gt;&lt;b:BusinessRole&gt;Reviewer&lt;/b:BusinessRole&gt;&lt;b:MeaningOfSignatureCode&gt;DocApproval&lt;/b:MeaningOfSignatureCode&gt;&lt;b:RequiresESig&gt;true&lt;/b:RequiresESig&gt;&lt;/a:ESignatureRequired&gt;&lt;a:EscalationConfigurationOverdue xmlns:b="http://www.Qumas.com/Qumas.Compliance/Configuration/Controls/EscalationNotificationOverdueConf"&gt;&lt;b:DaysRepeat&gt;2&lt;/b:DaysRepeat&gt;&lt;b:InitialNotification /&gt;&lt;b:IsEnableTaskEscalation&gt;false&lt;/b:IsEnableTaskEscalation&gt;&lt;b:IsOverdueHighPriority&gt;false&lt;/b:IsOverdueHighPriority&gt;&lt;b:IsRepeatNotification&gt;false&lt;/b:IsRepeatNotification&gt;&lt;b:RepeatNotification /&gt;&lt;/a:EscalationConfigurationOverdue&gt;&lt;a:EscalationConfigurationWarn xmlns:b="http://www.Qumas.com/Qumas.Compliance/Configuration/Controls/EscalationNotificationWarnConf"&gt;&lt;b:DaysBeforeDueDate&gt;2&lt;/b:DaysBeforeDueDate&gt;&lt;b:DaysRepeat&gt;1&lt;/b:DaysRepeat&gt;&lt;b:IsRepeatNotification&gt;true&lt;/b:IsRepeatNotification&gt;&lt;b:IsWarnSoonOvedue&gt;true&lt;/b:IsWarnSoonOvedue&gt;&lt;b:NotificationBeforeDueDate /&gt;&lt;b:RepeatNotification /&gt;&lt;/a:EscalationConfigurationWarn&gt;&lt;a:HOESig&gt;false&lt;/a:HOESig&gt;&lt;a:HOEscalationConfigurationOverdue&gt;true&lt;/a:HOEscalationConfigurationOverdue&gt;&lt;a:HOEscalationConfigurationWarn&gt;true&lt;/a:HOEscalationConfigurationWarn&gt;&lt;a:HONumDaysToComplete&gt;false&lt;/a:HONumDaysToComplete&gt;&lt;a:HOPanelCompletion&gt;true&lt;/a:HOPanelCompletion&gt;&lt;a:HOTaskDescription&gt;false&lt;/a:HOTaskDescription&gt;&lt;a:HOTaskTitle&gt;false&lt;/a:HOTaskTitle&gt;&lt;a:HaltOnSingleDisapproval&gt;true&lt;/a:HaltOnSingleDisapproval&gt;&lt;a:MeaningOfSignatureCode&gt;GMPDocApproval&lt;/a:MeaningOfSignatureCode&gt;&lt;a:NumDaysToComplete&gt;5&lt;/a:NumDaysToComplete&gt;&lt;a:PanelCompletion&gt;RequireAllToApprove&lt;/a:PanelCompletion&gt;&lt;a:PanelCompletionV2&gt;AllTasksCompletion&lt;/a:PanelCompletionV2&gt;&lt;a:QuorumNumber&gt;1&lt;/a:QuorumNumber&gt;&lt;a:RequiresESig&gt;true&lt;/a:RequiresESig&gt;&lt;a:SegregationCfg xmlns:b="http://www.Qumas.com/Qumas.Compliance/Configuration/Controls/SegregationConfig"&gt;&lt;TimeStamp i:nil="true" xmlns="http://schemas.datacontract.org/2004/07/QUMAS.Compliance.Common.SOM.DataContracts" /&gt;&lt;UniqueId xmlns="http://schemas.datacontract.org/2004/07/QUMAS.Compliance.Common.SOM.DataContracts"&gt;00000000-0000-0000-0000-000000000000&lt;/UniqueId&gt;&lt;b:AO&gt;true&lt;/b:AO&gt;&lt;b:Assignees xmlns:c="http://schemas.datacontract.org/2004/07/QUMAS.Compliance.Common.SOM.DataContracts.Security" /&gt;&lt;b:Filter xmlns:c="http://schemas.datacontract.org/2004/07/QUMAS.Compliance.Common.SOM.DataContracts.Security"&gt;&lt;TimeStamp i:nil="true" xmlns="http://schemas.datacontract.org/2004/07/QUMAS.Compliance.Common.SOM.DataContracts" /&gt;&lt;UniqueId xmlns="http://schemas.datacontract.org/2004/07/QUMAS.Compliance.Common.SOM.DataContracts"&gt;00000000-0000-0000-0000-000000000000&lt;/UniqueId&gt;&lt;c:Id&gt;0&lt;/c:Id&gt;&lt;c:Member&gt;document_coordinators_grp&lt;/c:Member&gt;&lt;c:MemberType&gt;SharePointGroup&lt;/c:MemberType&gt;&lt;/b:Filter&gt;&lt;b:HO&gt;false&lt;/b:HO&gt;&lt;b:Limit&gt;true&lt;/b:Limit&gt;&lt;b:SepTasks&gt;true&lt;/b:SepTasks&gt;&lt;/a:SegregationCfg&gt;&lt;a:TaskDescription&gt;Please review {Title} ({Name}) and approve or disapprove.&lt;/a:TaskDescription&gt;&lt;a:TaskTitle&gt;Confirmation task for {Title} ({Name})&lt;/a:TaskTitle&gt;&lt;/a:ApprovalPanel&gt;&lt;/Panels&gt;&lt;/CtApprovalWorkflowConfig&gt;</b:WorkflowConfiguration></a:Value></a:KeyValueOfstringLifecycleActionNamedConfigurationWMHOgtwe><a:KeyValueOfstringLifecycleActionNamedConfigurationWMHOgtwe><a:Key>Direct Approve</a:Key><a:Value xmlns:b="http://www.Qumas.com/Qumas.Compliance/Configuration/LifecycleAction/LifecycleActionNamedConfiguration"><TimeStamp i:nil="true" xmlns="http://schemas.datacontract.org/2004/07/QUMAS.Compliance.Common.SOM.DataContracts" /><UniqueId xmlns="http://schemas.datacontract.org/2004/07/QUMAS.Compliance.Common.SOM.DataContracts">00000000-0000-0000-0000-000000000000</UniqueId><b:AOAutoTransitionToNextAction>false</b:AOAutoTransitionToNextAction><b:AllowedPrincipals xmlns:c="http://schemas.datacontract.org/2004/07/QUMAS.Compliance.Common.SOM.DataContracts.Security"><c:UserOrGroup><TimeStamp i:nil="true" xmlns="http://schemas.datacontract.org/2004/07/QUMAS.Compliance.Common.SOM.DataContracts" /><UniqueId xmlns="http://schemas.datacontract.org/2004/07/QUMAS.Compliance.Common.SOM.DataContracts">00000000-0000-0000-0000-000000000000</UniqueId><c:Id>0</c:Id><c:Member>document_coordinators_grp</c:Member><c:MemberType>SharePointGroup</c:MemberType></c:UserOrGroup></b:AllowedPrincipals><b:AutoTransitionToNextAction>false</b:AutoTransitionToNextAction><b:Description>Change lifecycle state to approved directly</b:Description><b:DirectActionConfiguration xmlns:c="http://www.Qumas.com/Qumas.Compliance/Configuration/LifecycleAction/DirectActionConfiguration"><TimeStamp i:nil="true" xmlns="http://schemas.datacontract.org/2004/07/QUMAS.Compliance.Common.SOM.DataContracts" /><UniqueId xmlns="http://schemas.datacontract.org/2004/07/QUMAS.Compliance.Common.SOM.DataContracts">00000000-0000-0000-0000-000000000000</UniqueId><c:EsignatureRequired xmlns:d="http://www.Qumas.com/Qumas.Compliance/Configuration/Controls/EsignatureRequiredConf"><TimeStamp i:nil="true" xmlns="http://schemas.datacontract.org/2004/07/QUMAS.Compliance.Common.SOM.DataContracts" /><UniqueId xmlns="http://schemas.datacontract.org/2004/07/QUMAS.Compliance.Common.SOM.DataContracts">00000000-0000-0000-0000-000000000000</UniqueId><d:BusinessRole>Quality Manager</d:BusinessRole><d:MeaningOfSignatureCode>GMPDocApproval</d:MeaningOfSignatureCode><d:RequiresESig>false</d:RequiresESig></c:EsignatureRequired><c:RetractReleasedDoc>false</c:RetractReleasedDoc></b:DirectActionConfiguration><b:EffectiveRenderTemplate>Effective Template</b:EffectiveRenderTemplate><b:EndTransitionRenderTemplate>Approved Template</b:EndTransitionRenderTemplate><b:HOAutoTransitionToNextAction>false</b:HOAutoTransitionToNextAction><b:MetaDataColumnId /><b:MetaDataColumnValue /><b:Name>Direct Approve</b:Name><b:ReleaseConditions xmlns:c="http://www.Qumas.com/Qumas.Compliance/Configuration/LifecycleAction/ReleaseConditionsConfiguration"><TimeStamp i:nil="true" xmlns="http://schemas.datacontract.org/2004/07/QUMAS.Compliance.Common.SOM.DataContracts" /><UniqueId xmlns="http://schemas.datacontract.org/2004/07/QUMAS.Compliance.Common.SOM.DataContracts">00000000-0000-0000-0000-000000000000</UniqueId><c:AfterDays>7</c:AfterDays><c:AllowedPrincipals xmlns:d="http://schemas.datacontract.org/2004/07/QUMAS.Compliance.Common.SOM.DataContracts.Security" /><c:ReleaseName>Release</c:ReleaseName><c:Type>Automatic</c:Type></b:ReleaseConditions><b:StartTransitionRenderTemplate>Draft Template</b:StartTransitionRenderTemplate><b:TransitionOptions>Direct</b:TransitionOptions><b:WorkflowConfiguration>&lt;CtApprovalWorkflowConfig xmlns="http://www.Qumas.com/Qumas.ContentTypes/CtApprovalWorkflowConfig" xmlns:i="http://www.w3.org/2001/XMLSchema-instance"&gt;&lt;TimeStamp i:nil="true" xmlns="http://schemas.datacontract.org/2004/07/QUMAS.Compliance.Common.SOM.DataContracts" /&gt;&lt;UniqueId xmlns="http://schemas.datacontract.org/2004/07/QUMAS.Compliance.Common.SOM.DataContracts"&gt;00000000-0000-0000-0000-000000000000&lt;/UniqueId&gt;&lt;AOAutoExecuteMakeEffective&gt;true&lt;/AOAutoExecuteMakeEffective&gt;&lt;AutoExecuteMakeEffective&gt;true&lt;/AutoExecuteMakeEffective&gt;&lt;Panels xmlns:a="http://www.Qumas.com/Qumas.ContentTypes/ApprovalPanel"&gt;&lt;a:ApprovalPanel&gt;&lt;TimeStamp i:nil="true" xmlns="http://schemas.datacontract.org/2004/07/QUMAS.Compliance.Common.SOM.DataContracts" /&gt;&lt;UniqueId xmlns="http://schemas.datacontract.org/2004/07/QUMAS.Compliance.Common.SOM.DataContracts"&gt;00000000-0000-0000-0000-000000000000&lt;/UniqueId&gt;&lt;AOEscalationConfigurationOverdue xmlns="http://www.Qumas.com/Qumas.ContentTypes/BasePanel"&gt;false&lt;/AOEscalationConfigurationOverdue&gt;&lt;AOEscalationConfigurationWarn xmlns="http://www.Qumas.com/Qumas.ContentTypes/BasePanel"&gt;false&lt;/AOEscalationConfigurationWarn&gt;&lt;AONumDaysToComplete xmlns="http://www.Qumas.com/Qumas.ContentTypes/BasePanel"&gt;true&lt;/AONumDaysToComplete&gt;&lt;AOPanelCompletion xmlns="http://www.Qumas.com/Qumas.ContentTypes/BasePanel"&gt;false&lt;/AOPanelCompletion&gt;&lt;AOTaskDescription xmlns="http://www.Qumas.com/Qumas.ContentTypes/BasePanel"&gt;false&lt;/AOTaskDescription&gt;&lt;AOTaskTitle xmlns="http://www.Qumas.com/Qumas.ContentTypes/BasePanel"&gt;false&lt;/AOTaskTitle&gt;&lt;EscalationConfigurationOverdue xmlns="http://www.Qumas.com/Qumas.ContentTypes/BasePanel" xmlns:b="http://www.Qumas.com/Qumas.Compliance/Configuration/Controls/EscalationNotificationOverdueConf"&gt;&lt;b:DaysRepeat&gt;2&lt;/b:DaysRepeat&gt;&lt;b:InitialNotification&gt;Approaching Periodic Review Escalation&lt;/b:InitialNotification&gt;&lt;b:IsEnableTaskEscalation&gt;false&lt;/b:IsEnableTaskEscalation&gt;&lt;b:IsOverdueHighPriority&gt;false&lt;/b:IsOverdueHighPriority&gt;&lt;b:IsRepeatNotification&gt;false&lt;/b:IsRepeatNotification&gt;&lt;b:RepeatNotification&gt;Approaching Periodic Review Escalation&lt;/b:RepeatNotification&gt;&lt;/EscalationConfigurationOverdue&gt;&lt;EscalationConfigurationWarn xmlns="http://www.Qumas.com/Qumas.ContentTypes/BasePanel" xmlns:b="http://www.Qumas.com/Qumas.Compliance/Configuration/Controls/EscalationNotificationWarnConf"&gt;&lt;b:DaysBeforeDueDate&gt;2&lt;/b:DaysBeforeDueDate&gt;&lt;b:DaysRepeat&gt;2&lt;/b:DaysRepeat&gt;&lt;b:IsRepeatNotification&gt;false&lt;/b:IsRepeatNotification&gt;&lt;b:IsWarnSoonOvedue&gt;false&lt;/b:IsWarnSoonOvedue&gt;&lt;b:NotificationBeforeDueDate&gt;Approaching Periodic Review Escalation&lt;/b:NotificationBeforeDueDate&gt;&lt;b:RepeatNotification&gt;Approaching Periodic Review Escalation&lt;/b:RepeatNotification&gt;&lt;/EscalationConfigurationWarn&gt;&lt;HOEscalationConfigurationOverdue xmlns="http://www.Qumas.com/Qumas.ContentTypes/BasePanel"&gt;true&lt;/HOEscalationConfigurationOverdue&gt;&lt;HOEscalationConfigurationWarn xmlns="http://www.Qumas.com/Qumas.ContentTypes/BasePanel"&gt;true&lt;/HOEscalationConfigurationWarn&gt;&lt;HONumDaysToComplete xmlns="http://www.Qumas.com/Qumas.ContentTypes/BasePanel"&gt;false&lt;/HONumDaysToComplete&gt;&lt;HOPanelCompletion xmlns="http://www.Qumas.com/Qumas.ContentTypes/BasePanel"&gt;true&lt;/HOPanelCompletion&gt;&lt;HOTaskDescription xmlns="http://www.Qumas.com/Qumas.ContentTypes/BasePanel"&gt;false&lt;/HOTaskDescription&gt;&lt;HOTaskTitle xmlns="http://www.Qumas.com/Qumas.ContentTypes/BasePanel"&gt;false&lt;/HOTaskTitle&gt;&lt;HaltOnSingleDisapproval xmlns="http://www.Qumas.com/Qumas.ContentTypes/BasePanel"&gt;true&lt;/HaltOnSingleDisapproval&gt;&lt;NumDaysToComplete xmlns="http://www.Qumas.com/Qumas.ContentTypes/BasePanel"&gt;10&lt;/NumDaysToComplete&gt;&lt;PanelName xmlns="http://www.Qumas.com/Qumas.ContentTypes/BasePanel"&gt;Approval Panel #1&lt;/PanelName&gt;&lt;QuorumNumber xmlns="http://www.Qumas.com/Qumas.ContentTypes/BasePanel"&gt;1&lt;/QuorumNumber&gt;&lt;SegregationCfg xmlns="http://www.Qumas.com/Qumas.ContentTypes/BasePanel" xmlns:b="http://www.Qumas.com/Qumas.Compliance/Configuration/Controls/SegregationConfig"&gt;&lt;TimeStamp i:nil="true" xmlns="http://schemas.datacontract.org/2004/07/QUMAS.Compliance.Common.SOM.DataContracts" /&gt;&lt;UniqueId xmlns="http://schemas.datacontract.org/2004/07/QUMAS.Compliance.Common.SOM.DataContracts"&gt;00000000-0000-0000-0000-000000000000&lt;/UniqueId&gt;&lt;b:AO&gt;true&lt;/b:AO&gt;&lt;b:Assignees xmlns:c="http://schemas.datacontract.org/2004/07/QUMAS.Compliance.Common.SOM.DataContracts.Security" /&gt;&lt;b:Filter i:nil="true" xmlns:c="http://schemas.datacontract.org/2004/07/QUMAS.Compliance.Common.SOM.DataContracts.Security" /&gt;&lt;b:HO&gt;false&lt;/b:HO&gt;&lt;b:Limit&gt;false&lt;/b:Limit&gt;&lt;b:SepTasks&gt;false&lt;/b:SepTasks&gt;&lt;/SegregationCfg&gt;&lt;TaskDescription xmlns="http://www.Qumas.com/Qumas.ContentTypes/BasePanel"&gt;Please review {Title} ({Name}) and approve or disapprove.&lt;/TaskDescription&gt;&lt;TaskTitle xmlns="http://www.Qumas.com/Qumas.ContentTypes/BasePanel"&gt;Approval task for {Title} ({Name})&lt;/TaskTitle&gt;&lt;a:AOESig&gt;false&lt;/a:AOESig&gt;&lt;a:AOEscalationConfigurationOverdue&gt;false&lt;/a:AOEscalationConfigurationOverdue&gt;&lt;a:AOEscalationConfigurationWarn&gt;false&lt;/a:AOEscalationConfigurationWarn&gt;&lt;a:AONumDaysToComplete&gt;false&lt;/a:AONumDaysToComplete&gt;&lt;a:AOPanelCompletion&gt;false&lt;/a:AOPanelCompletion&gt;&lt;a:AOTaskDescription&gt;false&lt;/a:AOTaskDescription&gt;&lt;a:AOTaskTitle&gt;false&lt;/a:AOTaskTitle&gt;&lt;a:BusinessRole&gt;Quality Manager&lt;/a:BusinessRole&gt;&lt;a:ESignatureRequired xmlns:b="http://www.Qumas.com/Qumas.Compliance/Configuration/Controls/EsignatureRequiredConf"&gt;&lt;TimeStamp i:nil="true" xmlns="http://schemas.datacontract.org/2004/07/QUMAS.Compliance.Common.SOM.DataContracts" /&gt;&lt;UniqueId xmlns="http://schemas.datacontract.org/2004/07/QUMAS.Compliance.Common.SOM.DataContracts"&gt;00000000-0000-0000-0000-000000000000&lt;/UniqueId&gt;&lt;b:BusinessRole&gt;Quality Manager&lt;/b:BusinessRole&gt;&lt;b:MeaningOfSignatureCode&gt;GMPDocApproval&lt;/b:MeaningOfSignatureCode&gt;&lt;b:RequiresESig&gt;true&lt;/b:RequiresESig&gt;&lt;/a:ESignatureRequired&gt;&lt;a:EscalationConfigurationOverdue i:nil="true" xmlns:b="http://www.Qumas.com/Qumas.Compliance/Configuration/Controls/EscalationNotificationOverdueConf" /&gt;&lt;a:EscalationConfigurationWarn i:nil="true" xmlns:b="http://www.Qumas.com/Qumas.Compliance/Configuration/Controls/EscalationNotificationWarnConf" /&gt;&lt;a:HOESig&gt;true&lt;/a:HOESig&gt;&lt;a:HOEscalationConfigurationOverdue&gt;false&lt;/a:HOEscalationConfigurationOverdue&gt;&lt;a:HOEscalationConfigurationWarn&gt;false&lt;/a:HOEscalationConfigurationWarn&gt;&lt;a:HONumDaysToComplete&gt;false&lt;/a:HONumDaysToComplete&gt;&lt;a:HOPanelCompletion&gt;false&lt;/a:HOPanelCompletion&gt;&lt;a:HOTaskDescription&gt;false&lt;/a:HOTaskDescription&gt;&lt;a:HOTaskTitle&gt;false&lt;/a:HOTaskTitle&gt;&lt;a:HaltOnSingleDisapproval&gt;false&lt;/a:HaltOnSingleDisapproval&gt;&lt;a:MeaningOfSignatureCode&gt;GMPDocApproval&lt;/a:MeaningOfSignatureCode&gt;&lt;a:NumDaysToComplete&gt;0&lt;/a:NumDaysToComplete&gt;&lt;a:PanelCompletion&gt;RequireAllToApprove&lt;/a:PanelCompletion&gt;&lt;a:PanelCompletionV2&gt;AllTasksCompletion&lt;/a:PanelCompletionV2&gt;&lt;a:QuorumNumber&gt;0&lt;/a:QuorumNumber&gt;&lt;a:RequiresESig&gt;true&lt;/a:RequiresESig&gt;&lt;a:SegregationCfg i:nil="true" xmlns:b="http://www.Qumas.com/Qumas.Compliance/Configuration/Controls/SegregationConfig" /&gt;&lt;a:TaskDescription i:nil="true" /&gt;&lt;a:TaskTitle i:nil="true" /&gt;&lt;/a:ApprovalPanel&gt;&lt;/Panels&gt;&lt;/CtApprovalWorkflowConfig&gt;</b:WorkflowConfiguration></a:Value></a:KeyValueOfstringLifecycleActionNamedConfigurationWMHOgtwe></_Configuration></LifecycleActionNamedConfigurations>]]></ObjectManager>
</file>

<file path=customXml/item19.xml><?xml version="1.0" encoding="utf-8"?>
<?mso-contentType ?>
<LifecycleStateMetaDataConfiguration xmlns="http://www.Qumas.com/Qumas.Compliance/Configuration/LifecycleState/LifecycleStateMetaDataConfiguration" xmlns:i="http://www.w3.org/2001/XMLSchema-instance">
  <TimeStamp xmlns="http://schemas.datacontract.org/2004/07/QUMAS.Compliance.Common.SOM.DataContracts" i:nil="true"/>
  <UniqueId xmlns="http://schemas.datacontract.org/2004/07/QUMAS.Compliance.Common.SOM.DataContracts">00000000-0000-0000-0000-000000000000</UniqueId>
  <_Configuration xmlns:a="http://schemas.microsoft.com/2003/10/Serialization/Arrays">
    <a:KeyValueOfstringCtMetaDataColumnsLZ3rjnj2>
      <a:Key>Draft</a:Key>
      <a:Value xmlns:b="http://www.Qumas.com/Qumas.Compliance/ContentTypes/MetaData">
        <TimeStamp xmlns="http://schemas.datacontract.org/2004/07/QUMAS.Compliance.Common.SOM.DataContracts" i:nil="true"/>
        <UniqueId xmlns="http://schemas.datacontract.org/2004/07/QUMAS.Compliance.Common.SOM.DataContracts">00000000-0000-0000-0000-000000000000</UniqueId>
        <b:columns>
          <a:KeyValueOfguidCtMetaDataColumnUMerrUjH>
            <a:Key>fa564e0f-0c70-4ab9-b863-0177e6ddd247</a:Key>
            <a:Value xmlns:c="http://schemas.datacontract.org/2004/07/QUMAS.ServerObjectModel.DataContracts.ContentTypes">
              <TimeStamp xmlns="http://schemas.datacontract.org/2004/07/QUMAS.Compliance.Common.SOM.DataContracts" i:nil="true"/>
              <UniqueId xmlns="http://schemas.datacontract.org/2004/07/QUMAS.Compliance.Common.SOM.DataContracts">00000000-0000-0000-0000-000000000000</UniqueId>
              <c:ColumnId>fa564e0f-0c70-4ab9-b863-0177e6ddd247</c:ColumnId>
              <c:ColumnTitle>Title</c:ColumnTitle>
              <c:IsEditable>false</c:IsEditable>
              <c:IsVisible>true</c:IsVisible>
            </a:Value>
          </a:KeyValueOfguidCtMetaDataColumnUMerrUjH>
          <a:KeyValueOfguidCtMetaDataColumnUMerrUjH>
            <a:Key>87cb7466-f351-4009-9b1e-aab65aa3b419</a:Key>
            <a:Value xmlns:c="http://schemas.datacontract.org/2004/07/QUMAS.ServerObjectModel.DataContracts.ContentTypes">
              <TimeStamp xmlns="http://schemas.datacontract.org/2004/07/QUMAS.Compliance.Common.SOM.DataContracts" i:nil="true"/>
              <UniqueId xmlns="http://schemas.datacontract.org/2004/07/QUMAS.Compliance.Common.SOM.DataContracts">00000000-0000-0000-0000-000000000000</UniqueId>
              <c:ColumnId>87cb7466-f351-4009-9b1e-aab65aa3b419</c:ColumnId>
              <c:ColumnTitle>Description</c:ColumnTitle>
              <c:IsEditable>false</c:IsEditable>
              <c:IsVisible>true</c:IsVisible>
            </a:Value>
          </a:KeyValueOfguidCtMetaDataColumnUMerrUjH>
          <a:KeyValueOfguidCtMetaDataColumnUMerrUjH>
            <a:Key>be4decb5-4212-42c3-b314-89c58943eec1</a:Key>
            <a:Value xmlns:c="http://schemas.datacontract.org/2004/07/QUMAS.ServerObjectModel.DataContracts.ContentTypes">
              <TimeStamp xmlns="http://schemas.datacontract.org/2004/07/QUMAS.Compliance.Common.SOM.DataContracts" i:nil="true"/>
              <UniqueId xmlns="http://schemas.datacontract.org/2004/07/QUMAS.Compliance.Common.SOM.DataContracts">00000000-0000-0000-0000-000000000000</UniqueId>
              <c:ColumnId>be4decb5-4212-42c3-b314-89c58943eec1</c:ColumnId>
              <c:ColumnTitle>Document Coordinator</c:ColumnTitle>
              <c:IsEditable>false</c:IsEditable>
              <c:IsVisible>true</c:IsVisible>
            </a:Value>
          </a:KeyValueOfguidCtMetaDataColumnUMerrUjH>
          <a:KeyValueOfguidCtMetaDataColumnUMerrUjH>
            <a:Key>b6568d82-2d72-4087-acea-de31db3bd6d5</a:Key>
            <a:Value xmlns:c="http://schemas.datacontract.org/2004/07/QUMAS.ServerObjectModel.DataContracts.ContentTypes">
              <TimeStamp xmlns="http://schemas.datacontract.org/2004/07/QUMAS.Compliance.Common.SOM.DataContracts" i:nil="true"/>
              <UniqueId xmlns="http://schemas.datacontract.org/2004/07/QUMAS.Compliance.Common.SOM.DataContracts">00000000-0000-0000-0000-000000000000</UniqueId>
              <c:ColumnId>b6568d82-2d72-4087-acea-de31db3bd6d5</c:ColumnId>
              <c:ColumnTitle>Read and Understood Coordinator</c:ColumnTitle>
              <c:IsEditable>false</c:IsEditable>
              <c:IsVisible>true</c:IsVisible>
            </a:Value>
          </a:KeyValueOfguidCtMetaDataColumnUMerrUjH>
          <a:KeyValueOfguidCtMetaDataColumnUMerrUjH>
            <a:Key>83f7025a-ae9b-40ee-9f02-42ca1b19b0f4</a:Key>
            <a:Value xmlns:c="http://schemas.datacontract.org/2004/07/QUMAS.ServerObjectModel.DataContracts.ContentTypes">
              <TimeStamp xmlns="http://schemas.datacontract.org/2004/07/QUMAS.Compliance.Common.SOM.DataContracts" i:nil="true"/>
              <UniqueId xmlns="http://schemas.datacontract.org/2004/07/QUMAS.Compliance.Common.SOM.DataContracts">00000000-0000-0000-0000-000000000000</UniqueId>
              <c:ColumnId>83f7025a-ae9b-40ee-9f02-42ca1b19b0f4</c:ColumnId>
              <c:ColumnTitle>Legacy Number</c:ColumnTitle>
              <c:IsEditable>false</c:IsEditable>
              <c:IsVisible>true</c:IsVisible>
            </a:Value>
          </a:KeyValueOfguidCtMetaDataColumnUMerrUjH>
          <a:KeyValueOfguidCtMetaDataColumnUMerrUjH>
            <a:Key>999868a3-a960-4ea9-8640-6f4e733990cf</a:Key>
            <a:Value xmlns:c="http://schemas.datacontract.org/2004/07/QUMAS.ServerObjectModel.DataContracts.ContentTypes">
              <TimeStamp xmlns="http://schemas.datacontract.org/2004/07/QUMAS.Compliance.Common.SOM.DataContracts" i:nil="true"/>
              <UniqueId xmlns="http://schemas.datacontract.org/2004/07/QUMAS.Compliance.Common.SOM.DataContracts">00000000-0000-0000-0000-000000000000</UniqueId>
              <c:ColumnId>999868a3-a960-4ea9-8640-6f4e733990cf</c:ColumnId>
              <c:ColumnTitle>Litigation Hold</c:ColumnTitle>
              <c:IsEditable>false</c:IsEditable>
              <c:IsVisible>true</c:IsVisible>
            </a:Value>
          </a:KeyValueOfguidCtMetaDataColumnUMerrUjH>
          <a:KeyValueOfguidCtMetaDataColumnUMerrUjH>
            <a:Key>dec8c0c6-9284-45c9-86cd-a6677926f060</a:Key>
            <a:Value xmlns:c="http://schemas.datacontract.org/2004/07/QUMAS.ServerObjectModel.DataContracts.ContentTypes">
              <TimeStamp xmlns="http://schemas.datacontract.org/2004/07/QUMAS.Compliance.Common.SOM.DataContracts" i:nil="true"/>
              <UniqueId xmlns="http://schemas.datacontract.org/2004/07/QUMAS.Compliance.Common.SOM.DataContracts">00000000-0000-0000-0000-000000000000</UniqueId>
              <c:ColumnId>dec8c0c6-9284-45c9-86cd-a6677926f060</c:ColumnId>
              <c:ColumnTitle>Country</c:ColumnTitle>
              <c:IsEditable>false</c:IsEditable>
              <c:IsVisible>true</c:IsVisible>
            </a:Value>
          </a:KeyValueOfguidCtMetaDataColumnUMerrUjH>
          <a:KeyValueOfguidCtMetaDataColumnUMerrUjH>
            <a:Key>09b8c107-9bb2-480b-9dfe-c4eec8602873</a:Key>
            <a:Value xmlns:c="http://schemas.datacontract.org/2004/07/QUMAS.ServerObjectModel.DataContracts.ContentTypes">
              <TimeStamp xmlns="http://schemas.datacontract.org/2004/07/QUMAS.Compliance.Common.SOM.DataContracts" i:nil="true"/>
              <UniqueId xmlns="http://schemas.datacontract.org/2004/07/QUMAS.Compliance.Common.SOM.DataContracts">00000000-0000-0000-0000-000000000000</UniqueId>
              <c:ColumnId>09b8c107-9bb2-480b-9dfe-c4eec8602873</c:ColumnId>
              <c:ColumnTitle>Product Name</c:ColumnTitle>
              <c:IsEditable>false</c:IsEditable>
              <c:IsVisible>true</c:IsVisible>
            </a:Value>
          </a:KeyValueOfguidCtMetaDataColumnUMerrUjH>
          <a:KeyValueOfguidCtMetaDataColumnUMerrUjH>
            <a:Key>2d20f4e1-a1cf-4b55-adaa-8c8ec1919e5d</a:Key>
            <a:Value xmlns:c="http://schemas.datacontract.org/2004/07/QUMAS.ServerObjectModel.DataContracts.ContentTypes">
              <TimeStamp xmlns="http://schemas.datacontract.org/2004/07/QUMAS.Compliance.Common.SOM.DataContracts" i:nil="true"/>
              <UniqueId xmlns="http://schemas.datacontract.org/2004/07/QUMAS.Compliance.Common.SOM.DataContracts">00000000-0000-0000-0000-000000000000</UniqueId>
              <c:ColumnId>2d20f4e1-a1cf-4b55-adaa-8c8ec1919e5d</c:ColumnId>
              <c:ColumnTitle>Product Name &amp; Clinical Study Number</c:ColumnTitle>
              <c:IsEditable>false</c:IsEditable>
              <c:IsVisible>true</c:IsVisible>
            </a:Value>
          </a:KeyValueOfguidCtMetaDataColumnUMerrUjH>
          <a:KeyValueOfguidCtMetaDataColumnUMerrUjH>
            <a:Key>1aaa060f-dabb-4fe6-b4c9-ac13e12c617a</a:Key>
            <a:Value xmlns:c="http://schemas.datacontract.org/2004/07/QUMAS.ServerObjectModel.DataContracts.ContentTypes">
              <TimeStamp xmlns="http://schemas.datacontract.org/2004/07/QUMAS.Compliance.Common.SOM.DataContracts" i:nil="true"/>
              <UniqueId xmlns="http://schemas.datacontract.org/2004/07/QUMAS.Compliance.Common.SOM.DataContracts">00000000-0000-0000-0000-000000000000</UniqueId>
              <c:ColumnId>1aaa060f-dabb-4fe6-b4c9-ac13e12c617a</c:ColumnId>
              <c:ColumnTitle>Application Type</c:ColumnTitle>
              <c:IsEditable>false</c:IsEditable>
              <c:IsVisible>true</c:IsVisible>
            </a:Value>
          </a:KeyValueOfguidCtMetaDataColumnUMerrUjH>
          <a:KeyValueOfguidCtMetaDataColumnUMerrUjH>
            <a:Key>3a988d94-7e05-4d7c-a004-3bd95cd99f09</a:Key>
            <a:Value xmlns:c="http://schemas.datacontract.org/2004/07/QUMAS.ServerObjectModel.DataContracts.ContentTypes">
              <TimeStamp xmlns="http://schemas.datacontract.org/2004/07/QUMAS.Compliance.Common.SOM.DataContracts" i:nil="true"/>
              <UniqueId xmlns="http://schemas.datacontract.org/2004/07/QUMAS.Compliance.Common.SOM.DataContracts">00000000-0000-0000-0000-000000000000</UniqueId>
              <c:ColumnId>3a988d94-7e05-4d7c-a004-3bd95cd99f09</c:ColumnId>
              <c:ColumnTitle>RA Documents</c:ColumnTitle>
              <c:IsEditable>false</c:IsEditable>
              <c:IsVisible>true</c:IsVisible>
            </a:Value>
          </a:KeyValueOfguidCtMetaDataColumnUMerrUjH>
          <a:KeyValueOfguidCtMetaDataColumnUMerrUjH>
            <a:Key>3b70048b-a549-4b95-894d-35fa21d986f7</a:Key>
            <a:Value xmlns:c="http://schemas.datacontract.org/2004/07/QUMAS.ServerObjectModel.DataContracts.ContentTypes">
              <TimeStamp xmlns="http://schemas.datacontract.org/2004/07/QUMAS.Compliance.Common.SOM.DataContracts" i:nil="true"/>
              <UniqueId xmlns="http://schemas.datacontract.org/2004/07/QUMAS.Compliance.Common.SOM.DataContracts">00000000-0000-0000-0000-000000000000</UniqueId>
              <c:ColumnId>3b70048b-a549-4b95-894d-35fa21d986f7</c:ColumnId>
              <c:ColumnTitle>External Approved</c:ColumnTitle>
              <c:IsEditable>false</c:IsEditable>
              <c:IsVisible>true</c:IsVisible>
            </a:Value>
          </a:KeyValueOfguidCtMetaDataColumnUMerrUjH>
          <a:KeyValueOfguidCtMetaDataColumnUMerrUjH>
            <a:Key>63da565c-212f-437b-a8be-f9bddb310c30</a:Key>
            <a:Value xmlns:c="http://schemas.datacontract.org/2004/07/QUMAS.ServerObjectModel.DataContracts.ContentTypes">
              <TimeStamp xmlns="http://schemas.datacontract.org/2004/07/QUMAS.Compliance.Common.SOM.DataContracts" i:nil="true"/>
              <UniqueId xmlns="http://schemas.datacontract.org/2004/07/QUMAS.Compliance.Common.SOM.DataContracts">00000000-0000-0000-0000-000000000000</UniqueId>
              <c:ColumnId>63da565c-212f-437b-a8be-f9bddb310c30</c:ColumnId>
              <c:ColumnTitle>Responsibility</c:ColumnTitle>
              <c:IsEditable>false</c:IsEditable>
              <c:IsVisible>true</c:IsVisible>
            </a:Value>
          </a:KeyValueOfguidCtMetaDataColumnUMerrUjH>
        </b:columns>
      </a:Value>
    </a:KeyValueOfstringCtMetaDataColumnsLZ3rjnj2>
    <a:KeyValueOfstringCtMetaDataColumnsLZ3rjnj2>
      <a:Key>Approved</a:Key>
      <a:Value xmlns:b="http://www.Qumas.com/Qumas.Compliance/ContentTypes/MetaData">
        <TimeStamp xmlns="http://schemas.datacontract.org/2004/07/QUMAS.Compliance.Common.SOM.DataContracts" i:nil="true"/>
        <UniqueId xmlns="http://schemas.datacontract.org/2004/07/QUMAS.Compliance.Common.SOM.DataContracts">00000000-0000-0000-0000-000000000000</UniqueId>
        <b:columns>
          <a:KeyValueOfguidCtMetaDataColumnUMerrUjH>
            <a:Key>fa564e0f-0c70-4ab9-b863-0177e6ddd247</a:Key>
            <a:Value xmlns:c="http://schemas.datacontract.org/2004/07/QUMAS.ServerObjectModel.DataContracts.ContentTypes">
              <TimeStamp xmlns="http://schemas.datacontract.org/2004/07/QUMAS.Compliance.Common.SOM.DataContracts" i:nil="true"/>
              <UniqueId xmlns="http://schemas.datacontract.org/2004/07/QUMAS.Compliance.Common.SOM.DataContracts">00000000-0000-0000-0000-000000000000</UniqueId>
              <c:ColumnId>fa564e0f-0c70-4ab9-b863-0177e6ddd247</c:ColumnId>
              <c:ColumnTitle>Title</c:ColumnTitle>
              <c:IsEditable>false</c:IsEditable>
              <c:IsVisible>true</c:IsVisible>
            </a:Value>
          </a:KeyValueOfguidCtMetaDataColumnUMerrUjH>
          <a:KeyValueOfguidCtMetaDataColumnUMerrUjH>
            <a:Key>87cb7466-f351-4009-9b1e-aab65aa3b419</a:Key>
            <a:Value xmlns:c="http://schemas.datacontract.org/2004/07/QUMAS.ServerObjectModel.DataContracts.ContentTypes">
              <TimeStamp xmlns="http://schemas.datacontract.org/2004/07/QUMAS.Compliance.Common.SOM.DataContracts" i:nil="true"/>
              <UniqueId xmlns="http://schemas.datacontract.org/2004/07/QUMAS.Compliance.Common.SOM.DataContracts">00000000-0000-0000-0000-000000000000</UniqueId>
              <c:ColumnId>87cb7466-f351-4009-9b1e-aab65aa3b419</c:ColumnId>
              <c:ColumnTitle>Description</c:ColumnTitle>
              <c:IsEditable>false</c:IsEditable>
              <c:IsVisible>true</c:IsVisible>
            </a:Value>
          </a:KeyValueOfguidCtMetaDataColumnUMerrUjH>
          <a:KeyValueOfguidCtMetaDataColumnUMerrUjH>
            <a:Key>be4decb5-4212-42c3-b314-89c58943eec1</a:Key>
            <a:Value xmlns:c="http://schemas.datacontract.org/2004/07/QUMAS.ServerObjectModel.DataContracts.ContentTypes">
              <TimeStamp xmlns="http://schemas.datacontract.org/2004/07/QUMAS.Compliance.Common.SOM.DataContracts" i:nil="true"/>
              <UniqueId xmlns="http://schemas.datacontract.org/2004/07/QUMAS.Compliance.Common.SOM.DataContracts">00000000-0000-0000-0000-000000000000</UniqueId>
              <c:ColumnId>be4decb5-4212-42c3-b314-89c58943eec1</c:ColumnId>
              <c:ColumnTitle>Document Coordinator</c:ColumnTitle>
              <c:IsEditable>false</c:IsEditable>
              <c:IsVisible>true</c:IsVisible>
            </a:Value>
          </a:KeyValueOfguidCtMetaDataColumnUMerrUjH>
          <a:KeyValueOfguidCtMetaDataColumnUMerrUjH>
            <a:Key>b6568d82-2d72-4087-acea-de31db3bd6d5</a:Key>
            <a:Value xmlns:c="http://schemas.datacontract.org/2004/07/QUMAS.ServerObjectModel.DataContracts.ContentTypes">
              <TimeStamp xmlns="http://schemas.datacontract.org/2004/07/QUMAS.Compliance.Common.SOM.DataContracts" i:nil="true"/>
              <UniqueId xmlns="http://schemas.datacontract.org/2004/07/QUMAS.Compliance.Common.SOM.DataContracts">00000000-0000-0000-0000-000000000000</UniqueId>
              <c:ColumnId>b6568d82-2d72-4087-acea-de31db3bd6d5</c:ColumnId>
              <c:ColumnTitle>Read and Understood Coordinator</c:ColumnTitle>
              <c:IsEditable>false</c:IsEditable>
              <c:IsVisible>true</c:IsVisible>
            </a:Value>
          </a:KeyValueOfguidCtMetaDataColumnUMerrUjH>
          <a:KeyValueOfguidCtMetaDataColumnUMerrUjH>
            <a:Key>83f7025a-ae9b-40ee-9f02-42ca1b19b0f4</a:Key>
            <a:Value xmlns:c="http://schemas.datacontract.org/2004/07/QUMAS.ServerObjectModel.DataContracts.ContentTypes">
              <TimeStamp xmlns="http://schemas.datacontract.org/2004/07/QUMAS.Compliance.Common.SOM.DataContracts" i:nil="true"/>
              <UniqueId xmlns="http://schemas.datacontract.org/2004/07/QUMAS.Compliance.Common.SOM.DataContracts">00000000-0000-0000-0000-000000000000</UniqueId>
              <c:ColumnId>83f7025a-ae9b-40ee-9f02-42ca1b19b0f4</c:ColumnId>
              <c:ColumnTitle>Legacy Number</c:ColumnTitle>
              <c:IsEditable>false</c:IsEditable>
              <c:IsVisible>true</c:IsVisible>
            </a:Value>
          </a:KeyValueOfguidCtMetaDataColumnUMerrUjH>
          <a:KeyValueOfguidCtMetaDataColumnUMerrUjH>
            <a:Key>999868a3-a960-4ea9-8640-6f4e733990cf</a:Key>
            <a:Value xmlns:c="http://schemas.datacontract.org/2004/07/QUMAS.ServerObjectModel.DataContracts.ContentTypes">
              <TimeStamp xmlns="http://schemas.datacontract.org/2004/07/QUMAS.Compliance.Common.SOM.DataContracts" i:nil="true"/>
              <UniqueId xmlns="http://schemas.datacontract.org/2004/07/QUMAS.Compliance.Common.SOM.DataContracts">00000000-0000-0000-0000-000000000000</UniqueId>
              <c:ColumnId>999868a3-a960-4ea9-8640-6f4e733990cf</c:ColumnId>
              <c:ColumnTitle>Litigation Hold</c:ColumnTitle>
              <c:IsEditable>false</c:IsEditable>
              <c:IsVisible>true</c:IsVisible>
            </a:Value>
          </a:KeyValueOfguidCtMetaDataColumnUMerrUjH>
          <a:KeyValueOfguidCtMetaDataColumnUMerrUjH>
            <a:Key>dec8c0c6-9284-45c9-86cd-a6677926f060</a:Key>
            <a:Value xmlns:c="http://schemas.datacontract.org/2004/07/QUMAS.ServerObjectModel.DataContracts.ContentTypes">
              <TimeStamp xmlns="http://schemas.datacontract.org/2004/07/QUMAS.Compliance.Common.SOM.DataContracts" i:nil="true"/>
              <UniqueId xmlns="http://schemas.datacontract.org/2004/07/QUMAS.Compliance.Common.SOM.DataContracts">00000000-0000-0000-0000-000000000000</UniqueId>
              <c:ColumnId>dec8c0c6-9284-45c9-86cd-a6677926f060</c:ColumnId>
              <c:ColumnTitle>Country</c:ColumnTitle>
              <c:IsEditable>false</c:IsEditable>
              <c:IsVisible>true</c:IsVisible>
            </a:Value>
          </a:KeyValueOfguidCtMetaDataColumnUMerrUjH>
          <a:KeyValueOfguidCtMetaDataColumnUMerrUjH>
            <a:Key>09b8c107-9bb2-480b-9dfe-c4eec8602873</a:Key>
            <a:Value xmlns:c="http://schemas.datacontract.org/2004/07/QUMAS.ServerObjectModel.DataContracts.ContentTypes">
              <TimeStamp xmlns="http://schemas.datacontract.org/2004/07/QUMAS.Compliance.Common.SOM.DataContracts" i:nil="true"/>
              <UniqueId xmlns="http://schemas.datacontract.org/2004/07/QUMAS.Compliance.Common.SOM.DataContracts">00000000-0000-0000-0000-000000000000</UniqueId>
              <c:ColumnId>09b8c107-9bb2-480b-9dfe-c4eec8602873</c:ColumnId>
              <c:ColumnTitle>Product Name</c:ColumnTitle>
              <c:IsEditable>false</c:IsEditable>
              <c:IsVisible>true</c:IsVisible>
            </a:Value>
          </a:KeyValueOfguidCtMetaDataColumnUMerrUjH>
          <a:KeyValueOfguidCtMetaDataColumnUMerrUjH>
            <a:Key>2d20f4e1-a1cf-4b55-adaa-8c8ec1919e5d</a:Key>
            <a:Value xmlns:c="http://schemas.datacontract.org/2004/07/QUMAS.ServerObjectModel.DataContracts.ContentTypes">
              <TimeStamp xmlns="http://schemas.datacontract.org/2004/07/QUMAS.Compliance.Common.SOM.DataContracts" i:nil="true"/>
              <UniqueId xmlns="http://schemas.datacontract.org/2004/07/QUMAS.Compliance.Common.SOM.DataContracts">00000000-0000-0000-0000-000000000000</UniqueId>
              <c:ColumnId>2d20f4e1-a1cf-4b55-adaa-8c8ec1919e5d</c:ColumnId>
              <c:ColumnTitle>Product Name &amp; Clinical Study Number</c:ColumnTitle>
              <c:IsEditable>false</c:IsEditable>
              <c:IsVisible>true</c:IsVisible>
            </a:Value>
          </a:KeyValueOfguidCtMetaDataColumnUMerrUjH>
          <a:KeyValueOfguidCtMetaDataColumnUMerrUjH>
            <a:Key>1aaa060f-dabb-4fe6-b4c9-ac13e12c617a</a:Key>
            <a:Value xmlns:c="http://schemas.datacontract.org/2004/07/QUMAS.ServerObjectModel.DataContracts.ContentTypes">
              <TimeStamp xmlns="http://schemas.datacontract.org/2004/07/QUMAS.Compliance.Common.SOM.DataContracts" i:nil="true"/>
              <UniqueId xmlns="http://schemas.datacontract.org/2004/07/QUMAS.Compliance.Common.SOM.DataContracts">00000000-0000-0000-0000-000000000000</UniqueId>
              <c:ColumnId>1aaa060f-dabb-4fe6-b4c9-ac13e12c617a</c:ColumnId>
              <c:ColumnTitle>Application Type</c:ColumnTitle>
              <c:IsEditable>false</c:IsEditable>
              <c:IsVisible>true</c:IsVisible>
            </a:Value>
          </a:KeyValueOfguidCtMetaDataColumnUMerrUjH>
          <a:KeyValueOfguidCtMetaDataColumnUMerrUjH>
            <a:Key>3a988d94-7e05-4d7c-a004-3bd95cd99f09</a:Key>
            <a:Value xmlns:c="http://schemas.datacontract.org/2004/07/QUMAS.ServerObjectModel.DataContracts.ContentTypes">
              <TimeStamp xmlns="http://schemas.datacontract.org/2004/07/QUMAS.Compliance.Common.SOM.DataContracts" i:nil="true"/>
              <UniqueId xmlns="http://schemas.datacontract.org/2004/07/QUMAS.Compliance.Common.SOM.DataContracts">00000000-0000-0000-0000-000000000000</UniqueId>
              <c:ColumnId>3a988d94-7e05-4d7c-a004-3bd95cd99f09</c:ColumnId>
              <c:ColumnTitle>RA Documents</c:ColumnTitle>
              <c:IsEditable>false</c:IsEditable>
              <c:IsVisible>true</c:IsVisible>
            </a:Value>
          </a:KeyValueOfguidCtMetaDataColumnUMerrUjH>
          <a:KeyValueOfguidCtMetaDataColumnUMerrUjH>
            <a:Key>3b70048b-a549-4b95-894d-35fa21d986f7</a:Key>
            <a:Value xmlns:c="http://schemas.datacontract.org/2004/07/QUMAS.ServerObjectModel.DataContracts.ContentTypes">
              <TimeStamp xmlns="http://schemas.datacontract.org/2004/07/QUMAS.Compliance.Common.SOM.DataContracts" i:nil="true"/>
              <UniqueId xmlns="http://schemas.datacontract.org/2004/07/QUMAS.Compliance.Common.SOM.DataContracts">00000000-0000-0000-0000-000000000000</UniqueId>
              <c:ColumnId>3b70048b-a549-4b95-894d-35fa21d986f7</c:ColumnId>
              <c:ColumnTitle>External Approved</c:ColumnTitle>
              <c:IsEditable>false</c:IsEditable>
              <c:IsVisible>true</c:IsVisible>
            </a:Value>
          </a:KeyValueOfguidCtMetaDataColumnUMerrUjH>
          <a:KeyValueOfguidCtMetaDataColumnUMerrUjH>
            <a:Key>63da565c-212f-437b-a8be-f9bddb310c30</a:Key>
            <a:Value xmlns:c="http://schemas.datacontract.org/2004/07/QUMAS.ServerObjectModel.DataContracts.ContentTypes">
              <TimeStamp xmlns="http://schemas.datacontract.org/2004/07/QUMAS.Compliance.Common.SOM.DataContracts" i:nil="true"/>
              <UniqueId xmlns="http://schemas.datacontract.org/2004/07/QUMAS.Compliance.Common.SOM.DataContracts">00000000-0000-0000-0000-000000000000</UniqueId>
              <c:ColumnId>63da565c-212f-437b-a8be-f9bddb310c30</c:ColumnId>
              <c:ColumnTitle>Responsibility</c:ColumnTitle>
              <c:IsEditable>false</c:IsEditable>
              <c:IsVisible>true</c:IsVisible>
            </a:Value>
          </a:KeyValueOfguidCtMetaDataColumnUMerrUjH>
        </b:columns>
      </a:Value>
    </a:KeyValueOfstringCtMetaDataColumnsLZ3rjnj2>
    <a:KeyValueOfstringCtMetaDataColumnsLZ3rjnj2>
      <a:Key>Retired</a:Key>
      <a:Value xmlns:b="http://www.Qumas.com/Qumas.Compliance/ContentTypes/MetaData">
        <TimeStamp xmlns="http://schemas.datacontract.org/2004/07/QUMAS.Compliance.Common.SOM.DataContracts" i:nil="true"/>
        <UniqueId xmlns="http://schemas.datacontract.org/2004/07/QUMAS.Compliance.Common.SOM.DataContracts">00000000-0000-0000-0000-000000000000</UniqueId>
        <b:columns>
          <a:KeyValueOfguidCtMetaDataColumnUMerrUjH>
            <a:Key>fa564e0f-0c70-4ab9-b863-0177e6ddd247</a:Key>
            <a:Value xmlns:c="http://schemas.datacontract.org/2004/07/QUMAS.ServerObjectModel.DataContracts.ContentTypes">
              <TimeStamp xmlns="http://schemas.datacontract.org/2004/07/QUMAS.Compliance.Common.SOM.DataContracts" i:nil="true"/>
              <UniqueId xmlns="http://schemas.datacontract.org/2004/07/QUMAS.Compliance.Common.SOM.DataContracts">00000000-0000-0000-0000-000000000000</UniqueId>
              <c:ColumnId>fa564e0f-0c70-4ab9-b863-0177e6ddd247</c:ColumnId>
              <c:ColumnTitle>Title</c:ColumnTitle>
              <c:IsEditable>false</c:IsEditable>
              <c:IsVisible>true</c:IsVisible>
            </a:Value>
          </a:KeyValueOfguidCtMetaDataColumnUMerrUjH>
          <a:KeyValueOfguidCtMetaDataColumnUMerrUjH>
            <a:Key>87cb7466-f351-4009-9b1e-aab65aa3b419</a:Key>
            <a:Value xmlns:c="http://schemas.datacontract.org/2004/07/QUMAS.ServerObjectModel.DataContracts.ContentTypes">
              <TimeStamp xmlns="http://schemas.datacontract.org/2004/07/QUMAS.Compliance.Common.SOM.DataContracts" i:nil="true"/>
              <UniqueId xmlns="http://schemas.datacontract.org/2004/07/QUMAS.Compliance.Common.SOM.DataContracts">00000000-0000-0000-0000-000000000000</UniqueId>
              <c:ColumnId>87cb7466-f351-4009-9b1e-aab65aa3b419</c:ColumnId>
              <c:ColumnTitle>Description</c:ColumnTitle>
              <c:IsEditable>false</c:IsEditable>
              <c:IsVisible>true</c:IsVisible>
            </a:Value>
          </a:KeyValueOfguidCtMetaDataColumnUMerrUjH>
          <a:KeyValueOfguidCtMetaDataColumnUMerrUjH>
            <a:Key>be4decb5-4212-42c3-b314-89c58943eec1</a:Key>
            <a:Value xmlns:c="http://schemas.datacontract.org/2004/07/QUMAS.ServerObjectModel.DataContracts.ContentTypes">
              <TimeStamp xmlns="http://schemas.datacontract.org/2004/07/QUMAS.Compliance.Common.SOM.DataContracts" i:nil="true"/>
              <UniqueId xmlns="http://schemas.datacontract.org/2004/07/QUMAS.Compliance.Common.SOM.DataContracts">00000000-0000-0000-0000-000000000000</UniqueId>
              <c:ColumnId>be4decb5-4212-42c3-b314-89c58943eec1</c:ColumnId>
              <c:ColumnTitle>Document Coordinator</c:ColumnTitle>
              <c:IsEditable>false</c:IsEditable>
              <c:IsVisible>true</c:IsVisible>
            </a:Value>
          </a:KeyValueOfguidCtMetaDataColumnUMerrUjH>
          <a:KeyValueOfguidCtMetaDataColumnUMerrUjH>
            <a:Key>b6568d82-2d72-4087-acea-de31db3bd6d5</a:Key>
            <a:Value xmlns:c="http://schemas.datacontract.org/2004/07/QUMAS.ServerObjectModel.DataContracts.ContentTypes">
              <TimeStamp xmlns="http://schemas.datacontract.org/2004/07/QUMAS.Compliance.Common.SOM.DataContracts" i:nil="true"/>
              <UniqueId xmlns="http://schemas.datacontract.org/2004/07/QUMAS.Compliance.Common.SOM.DataContracts">00000000-0000-0000-0000-000000000000</UniqueId>
              <c:ColumnId>b6568d82-2d72-4087-acea-de31db3bd6d5</c:ColumnId>
              <c:ColumnTitle>Read and Understood Coordinator</c:ColumnTitle>
              <c:IsEditable>false</c:IsEditable>
              <c:IsVisible>true</c:IsVisible>
            </a:Value>
          </a:KeyValueOfguidCtMetaDataColumnUMerrUjH>
          <a:KeyValueOfguidCtMetaDataColumnUMerrUjH>
            <a:Key>83f7025a-ae9b-40ee-9f02-42ca1b19b0f4</a:Key>
            <a:Value xmlns:c="http://schemas.datacontract.org/2004/07/QUMAS.ServerObjectModel.DataContracts.ContentTypes">
              <TimeStamp xmlns="http://schemas.datacontract.org/2004/07/QUMAS.Compliance.Common.SOM.DataContracts" i:nil="true"/>
              <UniqueId xmlns="http://schemas.datacontract.org/2004/07/QUMAS.Compliance.Common.SOM.DataContracts">00000000-0000-0000-0000-000000000000</UniqueId>
              <c:ColumnId>83f7025a-ae9b-40ee-9f02-42ca1b19b0f4</c:ColumnId>
              <c:ColumnTitle>Legacy Number</c:ColumnTitle>
              <c:IsEditable>false</c:IsEditable>
              <c:IsVisible>true</c:IsVisible>
            </a:Value>
          </a:KeyValueOfguidCtMetaDataColumnUMerrUjH>
          <a:KeyValueOfguidCtMetaDataColumnUMerrUjH>
            <a:Key>999868a3-a960-4ea9-8640-6f4e733990cf</a:Key>
            <a:Value xmlns:c="http://schemas.datacontract.org/2004/07/QUMAS.ServerObjectModel.DataContracts.ContentTypes">
              <TimeStamp xmlns="http://schemas.datacontract.org/2004/07/QUMAS.Compliance.Common.SOM.DataContracts" i:nil="true"/>
              <UniqueId xmlns="http://schemas.datacontract.org/2004/07/QUMAS.Compliance.Common.SOM.DataContracts">00000000-0000-0000-0000-000000000000</UniqueId>
              <c:ColumnId>999868a3-a960-4ea9-8640-6f4e733990cf</c:ColumnId>
              <c:ColumnTitle>Litigation Hold</c:ColumnTitle>
              <c:IsEditable>false</c:IsEditable>
              <c:IsVisible>true</c:IsVisible>
            </a:Value>
          </a:KeyValueOfguidCtMetaDataColumnUMerrUjH>
          <a:KeyValueOfguidCtMetaDataColumnUMerrUjH>
            <a:Key>dec8c0c6-9284-45c9-86cd-a6677926f060</a:Key>
            <a:Value xmlns:c="http://schemas.datacontract.org/2004/07/QUMAS.ServerObjectModel.DataContracts.ContentTypes">
              <TimeStamp xmlns="http://schemas.datacontract.org/2004/07/QUMAS.Compliance.Common.SOM.DataContracts" i:nil="true"/>
              <UniqueId xmlns="http://schemas.datacontract.org/2004/07/QUMAS.Compliance.Common.SOM.DataContracts">00000000-0000-0000-0000-000000000000</UniqueId>
              <c:ColumnId>dec8c0c6-9284-45c9-86cd-a6677926f060</c:ColumnId>
              <c:ColumnTitle>Country</c:ColumnTitle>
              <c:IsEditable>false</c:IsEditable>
              <c:IsVisible>true</c:IsVisible>
            </a:Value>
          </a:KeyValueOfguidCtMetaDataColumnUMerrUjH>
          <a:KeyValueOfguidCtMetaDataColumnUMerrUjH>
            <a:Key>09b8c107-9bb2-480b-9dfe-c4eec8602873</a:Key>
            <a:Value xmlns:c="http://schemas.datacontract.org/2004/07/QUMAS.ServerObjectModel.DataContracts.ContentTypes">
              <TimeStamp xmlns="http://schemas.datacontract.org/2004/07/QUMAS.Compliance.Common.SOM.DataContracts" i:nil="true"/>
              <UniqueId xmlns="http://schemas.datacontract.org/2004/07/QUMAS.Compliance.Common.SOM.DataContracts">00000000-0000-0000-0000-000000000000</UniqueId>
              <c:ColumnId>09b8c107-9bb2-480b-9dfe-c4eec8602873</c:ColumnId>
              <c:ColumnTitle>Product Name</c:ColumnTitle>
              <c:IsEditable>false</c:IsEditable>
              <c:IsVisible>true</c:IsVisible>
            </a:Value>
          </a:KeyValueOfguidCtMetaDataColumnUMerrUjH>
          <a:KeyValueOfguidCtMetaDataColumnUMerrUjH>
            <a:Key>2d20f4e1-a1cf-4b55-adaa-8c8ec1919e5d</a:Key>
            <a:Value xmlns:c="http://schemas.datacontract.org/2004/07/QUMAS.ServerObjectModel.DataContracts.ContentTypes">
              <TimeStamp xmlns="http://schemas.datacontract.org/2004/07/QUMAS.Compliance.Common.SOM.DataContracts" i:nil="true"/>
              <UniqueId xmlns="http://schemas.datacontract.org/2004/07/QUMAS.Compliance.Common.SOM.DataContracts">00000000-0000-0000-0000-000000000000</UniqueId>
              <c:ColumnId>2d20f4e1-a1cf-4b55-adaa-8c8ec1919e5d</c:ColumnId>
              <c:ColumnTitle>Product Name &amp; Clinical Study Number</c:ColumnTitle>
              <c:IsEditable>false</c:IsEditable>
              <c:IsVisible>true</c:IsVisible>
            </a:Value>
          </a:KeyValueOfguidCtMetaDataColumnUMerrUjH>
          <a:KeyValueOfguidCtMetaDataColumnUMerrUjH>
            <a:Key>1aaa060f-dabb-4fe6-b4c9-ac13e12c617a</a:Key>
            <a:Value xmlns:c="http://schemas.datacontract.org/2004/07/QUMAS.ServerObjectModel.DataContracts.ContentTypes">
              <TimeStamp xmlns="http://schemas.datacontract.org/2004/07/QUMAS.Compliance.Common.SOM.DataContracts" i:nil="true"/>
              <UniqueId xmlns="http://schemas.datacontract.org/2004/07/QUMAS.Compliance.Common.SOM.DataContracts">00000000-0000-0000-0000-000000000000</UniqueId>
              <c:ColumnId>1aaa060f-dabb-4fe6-b4c9-ac13e12c617a</c:ColumnId>
              <c:ColumnTitle>Application Type</c:ColumnTitle>
              <c:IsEditable>false</c:IsEditable>
              <c:IsVisible>true</c:IsVisible>
            </a:Value>
          </a:KeyValueOfguidCtMetaDataColumnUMerrUjH>
          <a:KeyValueOfguidCtMetaDataColumnUMerrUjH>
            <a:Key>3a988d94-7e05-4d7c-a004-3bd95cd99f09</a:Key>
            <a:Value xmlns:c="http://schemas.datacontract.org/2004/07/QUMAS.ServerObjectModel.DataContracts.ContentTypes">
              <TimeStamp xmlns="http://schemas.datacontract.org/2004/07/QUMAS.Compliance.Common.SOM.DataContracts" i:nil="true"/>
              <UniqueId xmlns="http://schemas.datacontract.org/2004/07/QUMAS.Compliance.Common.SOM.DataContracts">00000000-0000-0000-0000-000000000000</UniqueId>
              <c:ColumnId>3a988d94-7e05-4d7c-a004-3bd95cd99f09</c:ColumnId>
              <c:ColumnTitle>RA Documents</c:ColumnTitle>
              <c:IsEditable>false</c:IsEditable>
              <c:IsVisible>true</c:IsVisible>
            </a:Value>
          </a:KeyValueOfguidCtMetaDataColumnUMerrUjH>
          <a:KeyValueOfguidCtMetaDataColumnUMerrUjH>
            <a:Key>3b70048b-a549-4b95-894d-35fa21d986f7</a:Key>
            <a:Value xmlns:c="http://schemas.datacontract.org/2004/07/QUMAS.ServerObjectModel.DataContracts.ContentTypes">
              <TimeStamp xmlns="http://schemas.datacontract.org/2004/07/QUMAS.Compliance.Common.SOM.DataContracts" i:nil="true"/>
              <UniqueId xmlns="http://schemas.datacontract.org/2004/07/QUMAS.Compliance.Common.SOM.DataContracts">00000000-0000-0000-0000-000000000000</UniqueId>
              <c:ColumnId>3b70048b-a549-4b95-894d-35fa21d986f7</c:ColumnId>
              <c:ColumnTitle>External Approved</c:ColumnTitle>
              <c:IsEditable>false</c:IsEditable>
              <c:IsVisible>true</c:IsVisible>
            </a:Value>
          </a:KeyValueOfguidCtMetaDataColumnUMerrUjH>
          <a:KeyValueOfguidCtMetaDataColumnUMerrUjH>
            <a:Key>63da565c-212f-437b-a8be-f9bddb310c30</a:Key>
            <a:Value xmlns:c="http://schemas.datacontract.org/2004/07/QUMAS.ServerObjectModel.DataContracts.ContentTypes">
              <TimeStamp xmlns="http://schemas.datacontract.org/2004/07/QUMAS.Compliance.Common.SOM.DataContracts" i:nil="true"/>
              <UniqueId xmlns="http://schemas.datacontract.org/2004/07/QUMAS.Compliance.Common.SOM.DataContracts">00000000-0000-0000-0000-000000000000</UniqueId>
              <c:ColumnId>63da565c-212f-437b-a8be-f9bddb310c30</c:ColumnId>
              <c:ColumnTitle>Responsibility</c:ColumnTitle>
              <c:IsEditable>false</c:IsEditable>
              <c:IsVisible>true</c:IsVisible>
            </a:Value>
          </a:KeyValueOfguidCtMetaDataColumnUMerrUjH>
        </b:columns>
      </a:Value>
    </a:KeyValueOfstringCtMetaDataColumnsLZ3rjnj2>
  </_Configuration>
</LifecycleStateMetaDataConfiguration>
</file>

<file path=customXml/item2.xml><?xml version="1.0" encoding="utf-8"?>
<ct:contentTypeSchema xmlns:ct="http://schemas.microsoft.com/office/2006/metadata/contentType" xmlns:ma="http://schemas.microsoft.com/office/2006/metadata/properties/metaAttributes" ct:_="" ma:_="" ma:contentTypeName="RA Documents" ma:contentTypeID="0x01010064EF5778BBDB426ABAC6661E461254E6008D11BE97610B274EA7BF8FBFEB7E75350208008ACC031515AEFD4DA2AFB80748E3878D" ma:contentTypeVersion="74" ma:contentTypeDescription="This content type is for the creation of any RA Documents required to support a submission " ma:contentTypeScope="" ma:versionID="ff5fa11336b5cf06c3d07df8ce3ad811">
  <xsd:schema xmlns:xsd="http://www.w3.org/2001/XMLSchema" xmlns:xs="http://www.w3.org/2001/XMLSchema" xmlns:p="http://schemas.microsoft.com/office/2006/metadata/properties" xmlns:ns2="f7a5749a-0743-4a43-8d53-d0e889f1a7c8" xmlns:ns3="8a680eef-6a7d-4d7b-b884-09c24675cc90" targetNamespace="http://schemas.microsoft.com/office/2006/metadata/properties" ma:root="true" ma:fieldsID="16616ecf6c576b92414ad79498e6700f" ns2:_="" ns3:_="">
    <xsd:import namespace="f7a5749a-0743-4a43-8d53-d0e889f1a7c8"/>
    <xsd:import namespace="8a680eef-6a7d-4d7b-b884-09c24675cc90"/>
    <xsd:element name="properties">
      <xsd:complexType>
        <xsd:sequence>
          <xsd:element name="documentManagement">
            <xsd:complexType>
              <xsd:all>
                <xsd:element ref="ns2:QUMASDescription" minOccurs="0"/>
                <xsd:element ref="ns2:QUMASLifeCycleStateDesc" minOccurs="0"/>
                <xsd:element ref="ns2:QUMASNextReviewDate" minOccurs="0"/>
                <xsd:element ref="ns2:QUMASNextReviewNotificationDate" minOccurs="0"/>
                <xsd:element ref="ns2:QUMASLocaleId" minOccurs="0"/>
                <xsd:element ref="ns2:QUMASLocale" minOccurs="0"/>
                <xsd:element ref="ns2:QUMASDocCoord"/>
                <xsd:element ref="ns2:QUMASRandUCoord" minOccurs="0"/>
                <xsd:element ref="ns2:QUMASElecSignature" minOccurs="0"/>
                <xsd:element ref="ns2:QUMASRenderStatus" minOccurs="0"/>
                <xsd:element ref="ns2:QUMASEffectiveDistributions" minOccurs="0"/>
                <xsd:element ref="ns2:QUMASHasAutoName" minOccurs="0"/>
                <xsd:element ref="ns2:QUMASWorkflowRevise" minOccurs="0"/>
                <xsd:element ref="ns2:QUMASWorkflowApprove" minOccurs="0"/>
                <xsd:element ref="ns2:QUMASWorkflowMakeEffective" minOccurs="0"/>
                <xsd:element ref="ns2:QUMASWorkflowRetire" minOccurs="0"/>
                <xsd:element ref="ns2:QUMASWorkflowWithdraw" minOccurs="0"/>
                <xsd:element ref="ns2:QUMASWorkflowPeriodicReview" minOccurs="0"/>
                <xsd:element ref="ns2:QUMASDocumentLog" minOccurs="0"/>
                <xsd:element ref="ns2:QUMASAllowMajorCheckin" minOccurs="0"/>
                <xsd:element ref="ns2:QUMASIsNewDocument" minOccurs="0"/>
                <xsd:element ref="ns2:RDCT_Version" minOccurs="0"/>
                <xsd:element ref="ns2:QUMASLifecycleWorkflow" minOccurs="0"/>
                <xsd:element ref="ns2:QUMASUseEffectiveLifecycle" minOccurs="0"/>
                <xsd:element ref="ns3:Legacy_x0020_Number" minOccurs="0"/>
                <xsd:element ref="ns3:Litigation_x0020_Hold" minOccurs="0"/>
                <xsd:element ref="ns3:Country" minOccurs="0"/>
                <xsd:element ref="ns3:Product_x0020_Name" minOccurs="0"/>
                <xsd:element ref="ns3:id20f4e1a1cf4b55adaa8c8ec1919e5d" minOccurs="0"/>
                <xsd:element ref="ns3:TaxCatchAll" minOccurs="0"/>
                <xsd:element ref="ns3:TaxCatchAllLabel" minOccurs="0"/>
                <xsd:element ref="ns3:Application_x0020_Type" minOccurs="0"/>
                <xsd:element ref="ns3:RA_x0020_Documents"/>
                <xsd:element ref="ns3:External_x0020_Approved" minOccurs="0"/>
                <xsd:element ref="ns3:QUMASDirectActionState" minOccurs="0"/>
                <xsd:element ref="ns2:RDCT_ReleasedDate" minOccurs="0"/>
                <xsd:element ref="ns3:QUMASMigratedOn" minOccurs="0"/>
                <xsd:element ref="ns3:QUMASMigrated" minOccurs="0"/>
                <xsd:element ref="ns3:MigratedReleasedPDF" minOccurs="0"/>
                <xsd:element ref="ns3:QUMASMigratedVersion" minOccurs="0"/>
                <xsd:element ref="ns3:QUMASPendingRelease" minOccurs="0"/>
                <xsd:element ref="ns3:QUMASScheduledReleaseDate" minOccurs="0"/>
                <xsd:element ref="ns3:QUMASWorkflowReadAndUnderstood" minOccurs="0"/>
                <xsd:element ref="ns3:Responsibilit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a5749a-0743-4a43-8d53-d0e889f1a7c8" elementFormDefault="qualified">
    <xsd:import namespace="http://schemas.microsoft.com/office/2006/documentManagement/types"/>
    <xsd:import namespace="http://schemas.microsoft.com/office/infopath/2007/PartnerControls"/>
    <xsd:element name="QUMASDescription" ma:index="8" nillable="true" ma:displayName="Description" ma:description="Description of an item of the Content Type" ma:internalName="QUMASDescription" ma:readOnly="false">
      <xsd:simpleType>
        <xsd:restriction base="dms:Note">
          <xsd:maxLength value="255"/>
        </xsd:restriction>
      </xsd:simpleType>
    </xsd:element>
    <xsd:element name="QUMASLifeCycleStateDesc" ma:index="9" nillable="true" ma:displayName="Lifecycle State" ma:default="Draft" ma:description="QUMAS Localized Lifecycle State description" ma:internalName="QUMASLifeCycleStateDesc" ma:readOnly="true">
      <xsd:simpleType>
        <xsd:restriction base="dms:Text"/>
      </xsd:simpleType>
    </xsd:element>
    <xsd:element name="QUMASNextReviewDate" ma:index="10" nillable="true" ma:displayName="Next Review Date" ma:description="Specifies Date/Time when the document is to be reviewed" ma:format="DateOnly" ma:internalName="QUMASNextReviewDate" ma:readOnly="true">
      <xsd:simpleType>
        <xsd:restriction base="dms:DateTime"/>
      </xsd:simpleType>
    </xsd:element>
    <xsd:element name="QUMASNextReviewNotificationDate" ma:index="11" nillable="true" ma:displayName="Next Review Notification Date" ma:hidden="true" ma:internalName="QUMASNextReviewNotificationDate" ma:readOnly="true">
      <xsd:simpleType>
        <xsd:restriction base="dms:DateTime"/>
      </xsd:simpleType>
    </xsd:element>
    <xsd:element name="QUMASLocaleId" ma:index="12" nillable="true" ma:displayName="LocaleId" ma:description="The Locale Identifier" ma:internalName="QUMASLocaleId" ma:readOnly="true">
      <xsd:simpleType>
        <xsd:restriction base="dms:Text"/>
      </xsd:simpleType>
    </xsd:element>
    <xsd:element name="QUMASLocale" ma:index="13" nillable="true" ma:displayName="Locale" ma:description="The LCID of the document content's language" ma:internalName="QUMASLocale" ma:readOnly="true">
      <xsd:simpleType>
        <xsd:restriction base="dms:Text"/>
      </xsd:simpleType>
    </xsd:element>
    <xsd:element name="QUMASDocCoord" ma:index="14" ma:displayName="Document Coordinator" ma:description="Document Coordinator" ma:internalName="QUMASDocCoord" ma:readOnly="fals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QUMASRandUCoord" ma:index="15" nillable="true" ma:displayName="Read and Understood Coordinator" ma:description="Read and Understood Coordinator" ma:internalName="QUMASRandUCoord"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QUMASElecSignature" ma:index="16" nillable="true" ma:displayName="QUMAS Electronic Signature" ma:description="Electronic Signature for the document version" ma:hidden="true" ma:internalName="QUMASElecSignature" ma:readOnly="true">
      <xsd:simpleType>
        <xsd:restriction base="dms:Note"/>
      </xsd:simpleType>
    </xsd:element>
    <xsd:element name="QUMASRenderStatus" ma:index="17" nillable="true" ma:displayName="RenderStatus" ma:description="Render for review status for document" ma:hidden="true" ma:internalName="QUMASRenderStatus" ma:readOnly="true">
      <xsd:simpleType>
        <xsd:restriction base="dms:Note"/>
      </xsd:simpleType>
    </xsd:element>
    <xsd:element name="QUMASEffectiveDistributions" ma:index="18" nillable="true" ma:displayName="Effective Distributions " ma:description="Effective Distributions Description" ma:hidden="true" ma:internalName="QUMASEffectiveDistributions">
      <xsd:simpleType>
        <xsd:restriction base="dms:Note"/>
      </xsd:simpleType>
    </xsd:element>
    <xsd:element name="QUMASHasAutoName" ma:index="19" nillable="true" ma:displayName="True if the item has been given an autoname" ma:hidden="true" ma:internalName="QUMASHasAutoName" ma:readOnly="true">
      <xsd:simpleType>
        <xsd:restriction base="dms:Text"/>
      </xsd:simpleType>
    </xsd:element>
    <xsd:element name="QUMASWorkflowRevise" ma:index="20" nillable="true" ma:displayName="Revise Workflow Initiation Data" ma:hidden="true" ma:internalName="QUMASWorkflowRevise" ma:readOnly="true">
      <xsd:simpleType>
        <xsd:restriction base="dms:Note"/>
      </xsd:simpleType>
    </xsd:element>
    <xsd:element name="QUMASWorkflowApprove" ma:index="21" nillable="true" ma:displayName="Approve Workflow Initiation Data" ma:hidden="true" ma:internalName="QUMASWorkflowApprove" ma:readOnly="true">
      <xsd:simpleType>
        <xsd:restriction base="dms:Note"/>
      </xsd:simpleType>
    </xsd:element>
    <xsd:element name="QUMASWorkflowMakeEffective" ma:index="22" nillable="true" ma:displayName="Release Document Workflow Initiation Data" ma:hidden="true" ma:internalName="QUMASWorkflowMakeEffective" ma:readOnly="true">
      <xsd:simpleType>
        <xsd:restriction base="dms:Note"/>
      </xsd:simpleType>
    </xsd:element>
    <xsd:element name="QUMASWorkflowRetire" ma:index="23" nillable="true" ma:displayName="Retire Workflow Initiation Data" ma:hidden="true" ma:internalName="QUMASWorkflowRetire" ma:readOnly="true">
      <xsd:simpleType>
        <xsd:restriction base="dms:Note"/>
      </xsd:simpleType>
    </xsd:element>
    <xsd:element name="QUMASWorkflowWithdraw" ma:index="24" nillable="true" ma:displayName="Withdraw Workflow Initiation Data" ma:hidden="true" ma:internalName="QUMASWorkflowWithdraw" ma:readOnly="true">
      <xsd:simpleType>
        <xsd:restriction base="dms:Note"/>
      </xsd:simpleType>
    </xsd:element>
    <xsd:element name="QUMASWorkflowPeriodicReview" ma:index="25" nillable="true" ma:displayName="Periodic Review Workflow Initiation Data" ma:hidden="true" ma:internalName="CDCT_QUMASWorkflowPeriodicReview" ma:readOnly="true">
      <xsd:simpleType>
        <xsd:restriction base="dms:Note"/>
      </xsd:simpleType>
    </xsd:element>
    <xsd:element name="QUMASDocumentLog" ma:index="26" nillable="true" ma:displayName="Document Log" ma:description="Document Log for a Content Type" ma:hidden="true" ma:internalName="QUMASDocumentLog" ma:readOnly="true">
      <xsd:simpleType>
        <xsd:restriction base="dms:Note"/>
      </xsd:simpleType>
    </xsd:element>
    <xsd:element name="QUMASAllowMajorCheckin" ma:index="27" nillable="true" ma:displayName="Allow Major Check in" ma:hidden="true" ma:internalName="QUMASAllowMajorCheckin" ma:readOnly="true">
      <xsd:simpleType>
        <xsd:restriction base="dms:Boolean"/>
      </xsd:simpleType>
    </xsd:element>
    <xsd:element name="QUMASIsNewDocument" ma:index="28" nillable="true" ma:displayName="Created from new document action" ma:hidden="true" ma:internalName="QUMASIsNewDocument" ma:readOnly="true">
      <xsd:simpleType>
        <xsd:restriction base="dms:Boolean"/>
      </xsd:simpleType>
    </xsd:element>
    <xsd:element name="RDCT_Version" ma:index="29" nillable="true" ma:displayName="Rendered Document Version" ma:description="RDCT_Version" ma:internalName="RDCT_Version" ma:readOnly="true">
      <xsd:simpleType>
        <xsd:restriction base="dms:Text"/>
      </xsd:simpleType>
    </xsd:element>
    <xsd:element name="QUMASLifecycleWorkflow" ma:index="30" nillable="true" ma:displayName="Lifecycle Workflow" ma:description="Lifecycle workflow status field" ma:format="Hyperlink" ma:internalName="QUMASLifecycleWorkflow"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QUMASUseEffectiveLifecycle" ma:index="31" nillable="true" ma:displayName="Use 'Effective' Lifecycle" ma:hidden="true" ma:internalName="QUMASUseEffectiveLifecycle" ma:readOnly="true">
      <xsd:simpleType>
        <xsd:restriction base="dms:Boolean"/>
      </xsd:simpleType>
    </xsd:element>
    <xsd:element name="RDCT_ReleasedDate" ma:index="44" nillable="true" ma:displayName="Released Date" ma:description="Released Date Description" ma:format="DateOnly" ma:internalName="RDCT_Released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a680eef-6a7d-4d7b-b884-09c24675cc90" elementFormDefault="qualified">
    <xsd:import namespace="http://schemas.microsoft.com/office/2006/documentManagement/types"/>
    <xsd:import namespace="http://schemas.microsoft.com/office/infopath/2007/PartnerControls"/>
    <xsd:element name="Legacy_x0020_Number" ma:index="32" nillable="true" ma:displayName="Legacy Number" ma:internalName="Legacy_x0020_Number">
      <xsd:simpleType>
        <xsd:restriction base="dms:Text">
          <xsd:maxLength value="255"/>
        </xsd:restriction>
      </xsd:simpleType>
    </xsd:element>
    <xsd:element name="Litigation_x0020_Hold" ma:index="33" nillable="true" ma:displayName="Litigation Hold" ma:list="{a3e0dd7b-a279-498d-9089-2cdf8893d023}" ma:internalName="Litigation_x0020_Hold" ma:showField="Title" ma:web="8a680eef-6a7d-4d7b-b884-09c24675cc90">
      <xsd:simpleType>
        <xsd:restriction base="dms:Lookup"/>
      </xsd:simpleType>
    </xsd:element>
    <xsd:element name="Country" ma:index="34" nillable="true" ma:displayName="Country" ma:list="{8564c19a-0236-4243-bd8e-325de6e90d17}" ma:internalName="Country" ma:showField="Title" ma:web="8a680eef-6a7d-4d7b-b884-09c24675cc90">
      <xsd:complexType>
        <xsd:complexContent>
          <xsd:extension base="dms:MultiChoiceLookup">
            <xsd:sequence>
              <xsd:element name="Value" type="dms:Lookup" maxOccurs="unbounded" minOccurs="0" nillable="true"/>
            </xsd:sequence>
          </xsd:extension>
        </xsd:complexContent>
      </xsd:complexType>
    </xsd:element>
    <xsd:element name="Product_x0020_Name" ma:index="35" nillable="true" ma:displayName="Product Name" ma:list="{ed2d8257-35de-43b3-8c43-8136fa05dc3e}" ma:internalName="Product_x0020_Name" ma:showField="Title" ma:web="8a680eef-6a7d-4d7b-b884-09c24675cc90" ma:requiredMultiChoice="true">
      <xsd:complexType>
        <xsd:complexContent>
          <xsd:extension base="dms:MultiChoiceLookup">
            <xsd:sequence>
              <xsd:element name="Value" type="dms:Lookup" maxOccurs="unbounded" minOccurs="0" nillable="true"/>
            </xsd:sequence>
          </xsd:extension>
        </xsd:complexContent>
      </xsd:complexType>
    </xsd:element>
    <xsd:element name="id20f4e1a1cf4b55adaa8c8ec1919e5d" ma:index="36" nillable="true" ma:taxonomy="true" ma:internalName="id20f4e1a1cf4b55adaa8c8ec1919e5d" ma:taxonomyFieldName="Product_x0020_Name_x0020__x0026__x0020_Clinical_x0020_Study_x0020_Number" ma:displayName="Product Name &amp; Clinical Study Number" ma:readOnly="false" ma:default="" ma:fieldId="{2d20f4e1-a1cf-4b55-adaa-8c8ec1919e5d}" ma:sspId="903058a6-492d-4d13-8ca5-c906699849d9" ma:termSetId="70656196-0bed-4ba6-a5d8-9c95c3282fcb" ma:anchorId="00000000-0000-0000-0000-000000000000" ma:open="false" ma:isKeyword="false">
      <xsd:complexType>
        <xsd:sequence>
          <xsd:element ref="pc:Terms" minOccurs="0" maxOccurs="1"/>
        </xsd:sequence>
      </xsd:complexType>
    </xsd:element>
    <xsd:element name="TaxCatchAll" ma:index="37" nillable="true" ma:displayName="Taxonomy Catch All Column" ma:hidden="true" ma:list="{54de06e6-b487-4fe9-915b-38bddc3e9974}" ma:internalName="TaxCatchAll" ma:showField="CatchAllData" ma:web="8a680eef-6a7d-4d7b-b884-09c24675cc90">
      <xsd:complexType>
        <xsd:complexContent>
          <xsd:extension base="dms:MultiChoiceLookup">
            <xsd:sequence>
              <xsd:element name="Value" type="dms:Lookup" maxOccurs="unbounded" minOccurs="0" nillable="true"/>
            </xsd:sequence>
          </xsd:extension>
        </xsd:complexContent>
      </xsd:complexType>
    </xsd:element>
    <xsd:element name="TaxCatchAllLabel" ma:index="38" nillable="true" ma:displayName="Taxonomy Catch All Column1" ma:hidden="true" ma:list="{54de06e6-b487-4fe9-915b-38bddc3e9974}" ma:internalName="TaxCatchAllLabel" ma:readOnly="true" ma:showField="CatchAllDataLabel" ma:web="8a680eef-6a7d-4d7b-b884-09c24675cc90">
      <xsd:complexType>
        <xsd:complexContent>
          <xsd:extension base="dms:MultiChoiceLookup">
            <xsd:sequence>
              <xsd:element name="Value" type="dms:Lookup" maxOccurs="unbounded" minOccurs="0" nillable="true"/>
            </xsd:sequence>
          </xsd:extension>
        </xsd:complexContent>
      </xsd:complexType>
    </xsd:element>
    <xsd:element name="Application_x0020_Type" ma:index="40" nillable="true" ma:displayName="Application Type" ma:list="{e48eeac4-6bba-4deb-a675-156cc97046d4}" ma:internalName="Application_x0020_Type" ma:showField="Title" ma:web="8a680eef-6a7d-4d7b-b884-09c24675cc90">
      <xsd:simpleType>
        <xsd:restriction base="dms:Lookup"/>
      </xsd:simpleType>
    </xsd:element>
    <xsd:element name="RA_x0020_Documents" ma:index="41" ma:displayName="RA Documents" ma:list="{94ac25a3-ff8d-4ffc-acf2-4b2d5dbe76d8}" ma:internalName="RA_x0020_Documents" ma:showField="Title" ma:web="8a680eef-6a7d-4d7b-b884-09c24675cc90">
      <xsd:simpleType>
        <xsd:restriction base="dms:Lookup"/>
      </xsd:simpleType>
    </xsd:element>
    <xsd:element name="External_x0020_Approved" ma:index="42" nillable="true" ma:displayName="External Approved" ma:default="0" ma:internalName="External_x0020_Approved">
      <xsd:simpleType>
        <xsd:restriction base="dms:Boolean"/>
      </xsd:simpleType>
    </xsd:element>
    <xsd:element name="QUMASDirectActionState" ma:index="43" nillable="true" ma:displayName="Direct Action State" ma:description="Specifies the state of direct action" ma:internalName="QUMASDirectActionState" ma:readOnly="true">
      <xsd:simpleType>
        <xsd:restriction base="dms:Text"/>
      </xsd:simpleType>
    </xsd:element>
    <xsd:element name="QUMASMigratedOn" ma:index="45" nillable="true" ma:displayName="Migrated On" ma:description="Specifies the date / time the document was migrated" ma:hidden="true" ma:internalName="QUMASMigratedOn" ma:readOnly="true">
      <xsd:simpleType>
        <xsd:restriction base="dms:DateTime"/>
      </xsd:simpleType>
    </xsd:element>
    <xsd:element name="QUMASMigrated" ma:index="46" nillable="true" ma:displayName="Migrated" ma:description="Specifies if the document was created due to a migration" ma:hidden="true" ma:internalName="QUMASMigrated" ma:readOnly="true">
      <xsd:simpleType>
        <xsd:restriction base="dms:Text"/>
      </xsd:simpleType>
    </xsd:element>
    <xsd:element name="MigratedReleasedPDF" ma:index="47" nillable="true" ma:displayName="MigratedReleasedPDF" ma:default="0" ma:description="Specifies if released document content is to be used for the migrated document" ma:hidden="true" ma:internalName="MigratedReleasedPDF" ma:readOnly="true">
      <xsd:simpleType>
        <xsd:restriction base="dms:Boolean"/>
      </xsd:simpleType>
    </xsd:element>
    <xsd:element name="QUMASMigratedVersion" ma:index="48" nillable="true" ma:displayName="Migrated Version" ma:description="Specifies the migration version of the migrated document" ma:internalName="QUMASMigratedVersion" ma:readOnly="true">
      <xsd:simpleType>
        <xsd:restriction base="dms:Text"/>
      </xsd:simpleType>
    </xsd:element>
    <xsd:element name="QUMASPendingRelease" ma:index="49" nillable="true" ma:displayName="Pending Release" ma:default="0" ma:description="Indicates if a document is pending to be released" ma:internalName="QUMASPendingRelease" ma:readOnly="true">
      <xsd:simpleType>
        <xsd:restriction base="dms:Boolean"/>
      </xsd:simpleType>
    </xsd:element>
    <xsd:element name="QUMASScheduledReleaseDate" ma:index="50" nillable="true" ma:displayName="Scheduled Release Date" ma:description="Date where a document will be released" ma:format="DateOnly" ma:internalName="QUMASScheduledReleaseDate" ma:readOnly="true">
      <xsd:simpleType>
        <xsd:restriction base="dms:DateTime"/>
      </xsd:simpleType>
    </xsd:element>
    <xsd:element name="QUMASWorkflowReadAndUnderstood" ma:index="51" nillable="true" ma:displayName="Read and Understood Workflow Initiation Data" ma:hidden="true" ma:internalName="CDCT_QUMASWorkflowReadAndUnderstood" ma:readOnly="true">
      <xsd:simpleType>
        <xsd:restriction base="dms:Note"/>
      </xsd:simpleType>
    </xsd:element>
    <xsd:element name="Responsibility" ma:index="52" ma:displayName="Responsibility" ma:list="UserInfo" ma:SharePointGroup="0" ma:internalName="Responsibility"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0.xml><?xml version="1.0" encoding="utf-8"?>
<?mso-contentType ?>
<spe:Receivers xmlns:spe="http://schemas.microsoft.com/sharepoint/events">
  <Receiver>
    <Name>ComplianceDocumentCT_ItemAdding</Name>
    <Synchronization>Synchronous</Synchronization>
    <Type>1</Type>
    <SequenceNumber>10000</SequenceNumber>
    <Assembly>QUMAS.Compliance.Documents, Version=2.2.0.0, Culture=neutral, PublicKeyToken=af85829af764d976</Assembly>
    <Class>QUMAS.Compliance.Documents.EventReceivers.ComplianceDocumentItemER</Class>
    <Data/>
    <Filter/>
  </Receiver>
  <Receiver>
    <Name>ComplianceDocumentCT_ItemAdded</Name>
    <Synchronization>Synchronous</Synchronization>
    <Type>10001</Type>
    <SequenceNumber>10000</SequenceNumber>
    <Assembly>QUMAS.Compliance.Documents, Version=2.2.0.0, Culture=neutral, PublicKeyToken=af85829af764d976</Assembly>
    <Class>QUMAS.Compliance.Documents.EventReceivers.ComplianceDocumentItemER</Class>
    <Data/>
    <Filter/>
  </Receiver>
  <Receiver>
    <Name>ComplianceDocumentCT_ItemUpdating</Name>
    <Synchronization>Synchronous</Synchronization>
    <Type>2</Type>
    <SequenceNumber>10000</SequenceNumber>
    <Assembly>QUMAS.Compliance.Documents, Version=2.2.0.0, Culture=neutral, PublicKeyToken=af85829af764d976</Assembly>
    <Class>QUMAS.Compliance.Documents.EventReceivers.ComplianceDocumentItemER</Class>
    <Data/>
    <Filter/>
  </Receiver>
  <Receiver>
    <Name>ComplianceDocumentCT_ItemUpdated</Name>
    <Synchronization>Synchronous</Synchronization>
    <Type>10002</Type>
    <SequenceNumber>10000</SequenceNumber>
    <Assembly>QUMAS.Compliance.Documents, Version=2.2.0.0, Culture=neutral, PublicKeyToken=af85829af764d976</Assembly>
    <Class>QUMAS.Compliance.Documents.EventReceivers.ComplianceDocumentItemER</Class>
    <Data/>
    <Filter/>
  </Receiver>
  <Receiver>
    <Name>ComplianceDocumentCT_ItemAttachmentAdded</Name>
    <Synchronization>Asynchronous</Synchronization>
    <Type>10007</Type>
    <SequenceNumber>10000</SequenceNumber>
    <Assembly>QUMAS.Compliance.Documents, Version=2.2.0.0, Culture=neutral, PublicKeyToken=af85829af764d976</Assembly>
    <Class>QUMAS.Compliance.Documents.EventReceivers.ComplianceDocumentItemER</Class>
    <Data/>
    <Filter/>
  </Receiver>
  <Receiver>
    <Name>ComplianceDocumentCT_ItemAttachmentDeleted</Name>
    <Synchronization>Asynchronous</Synchronization>
    <Type>10008</Type>
    <SequenceNumber>10000</SequenceNumber>
    <Assembly>QUMAS.Compliance.Documents, Version=2.2.0.0, Culture=neutral, PublicKeyToken=af85829af764d976</Assembly>
    <Class>QUMAS.Compliance.Documents.EventReceivers.ComplianceDocumentItemER</Class>
    <Data/>
    <Filter/>
  </Receiver>
  <Receiver>
    <Name>ComplianceDocumentCT_ItemCheckedIn</Name>
    <Synchronization>Synchronous</Synchronization>
    <Type>10004</Type>
    <SequenceNumber>10000</SequenceNumber>
    <Assembly>QUMAS.Compliance.Documents, Version=2.2.0.0, Culture=neutral, PublicKeyToken=af85829af764d976</Assembly>
    <Class>QUMAS.Compliance.Documents.EventReceivers.ComplianceDocumentItemER</Class>
    <Data/>
    <Filter/>
  </Receiver>
  <Receiver>
    <Name>ComplianceDocumentCT_ItemCheckingIn</Name>
    <Synchronization>Synchronous</Synchronization>
    <Type>4</Type>
    <SequenceNumber>10000</SequenceNumber>
    <Assembly>QUMAS.Compliance.Documents, Version=2.2.0.0, Culture=neutral, PublicKeyToken=af85829af764d976</Assembly>
    <Class>QUMAS.Compliance.Documents.EventReceivers.ComplianceDocumentItemER</Class>
    <Data/>
    <Filter/>
  </Receiver>
  <Receiver>
    <Name>ComplianceDocumentCT_ItemCheckedOut</Name>
    <Synchronization>Asynchronous</Synchronization>
    <Type>10005</Type>
    <SequenceNumber>10000</SequenceNumber>
    <Assembly>QUMAS.Compliance.Documents, Version=2.2.0.0, Culture=neutral, PublicKeyToken=af85829af764d976</Assembly>
    <Class>QUMAS.Compliance.Documents.EventReceivers.ComplianceDocumentItemER</Class>
    <Data/>
    <Filter/>
  </Receiver>
  <Receiver>
    <Name>ComplianceDocumentCT_ItemDeleted</Name>
    <Synchronization>Asynchronous</Synchronization>
    <Type>10003</Type>
    <SequenceNumber>10000</SequenceNumber>
    <Assembly>QUMAS.Compliance.Documents, Version=2.2.0.0, Culture=neutral, PublicKeyToken=af85829af764d976</Assembly>
    <Class>QUMAS.Compliance.Documents.EventReceivers.ComplianceDocumentItemER</Class>
    <Data/>
    <Filter/>
  </Receiver>
  <Receiver>
    <Name>ComplianceDocumentCT_ItemFileConverted</Name>
    <Synchronization>Asynchronous</Synchronization>
    <Type>10010</Type>
    <SequenceNumber>10000</SequenceNumber>
    <Assembly>QUMAS.Compliance.Documents, Version=2.2.0.0, Culture=neutral, PublicKeyToken=af85829af764d976</Assembly>
    <Class>QUMAS.Compliance.Documents.EventReceivers.ComplianceDocumentItemER</Class>
    <Data/>
    <Filter/>
  </Receiver>
  <Receiver>
    <Name>ComplianceDocumentCT_ItemFileMoved</Name>
    <Synchronization>Asynchronous</Synchronization>
    <Type>10009</Type>
    <SequenceNumber>10000</SequenceNumber>
    <Assembly>QUMAS.Compliance.Documents, Version=2.2.0.0, Culture=neutral, PublicKeyToken=af85829af764d976</Assembly>
    <Class>QUMAS.Compliance.Documents.EventReceivers.ComplianceDocumentItemER</Class>
    <Data/>
    <Filter/>
  </Receiver>
  <Receiver>
    <Name>ComplianceDocumentCT_ItemFileMoving</Name>
    <Synchronization>Synchronous</Synchronization>
    <Type>9</Type>
    <SequenceNumber>10000</SequenceNumber>
    <Assembly>QUMAS.Compliance.Documents, Version=2.2.0.0, Culture=neutral, PublicKeyToken=af85829af764d976</Assembly>
    <Class>QUMAS.Compliance.Documents.EventReceivers.ComplianceDocumentItemER</Class>
    <Data/>
    <Filter/>
  </Receiver>
  <Receiver>
    <Name>ComplianceDocumentCT_ItemUncheckedOut</Name>
    <Synchronization>Asynchronous</Synchronization>
    <Type>10006</Type>
    <SequenceNumber>10000</SequenceNumber>
    <Assembly>QUMAS.Compliance.Documents, Version=2.2.0.0, Culture=neutral, PublicKeyToken=af85829af764d976</Assembly>
    <Class>QUMAS.Compliance.Documents.EventReceivers.ComplianceDocumentItemER</Class>
    <Data/>
    <Filter/>
  </Receiver>
  <Receiver>
    <Name>ComplianceDocumentCT_FieldAdded</Name>
    <Synchronization>Asynchronous</Synchronization>
    <Type>10101</Type>
    <SequenceNumber>10000</SequenceNumber>
    <Assembly>QUMAS.Compliance.Documents, Version=2.2.0.0, Culture=neutral, PublicKeyToken=af85829af764d976</Assembly>
    <Class>QUMAS.Compliance.Documents.EventReceivers.ComplianceDocumentListER</Class>
    <Data/>
    <Filter/>
  </Receiver>
  <Receiver>
    <Name>ComplianceDocumentCT_FieldDeleted</Name>
    <Synchronization>Asynchronous</Synchronization>
    <Type>10103</Type>
    <SequenceNumber>10000</SequenceNumber>
    <Assembly>QUMAS.Compliance.Documents, Version=2.2.0.0, Culture=neutral, PublicKeyToken=af85829af764d976</Assembly>
    <Class>QUMAS.Compliance.Documents.EventReceivers.ComplianceDocumentListER</Class>
    <Data/>
    <Filter/>
  </Receiver>
  <Receiver>
    <Name>ComplianceDocumentCT_FieldUpdating</Name>
    <Synchronization>Synchronous</Synchronization>
    <Type>102</Type>
    <SequenceNumber>10000</SequenceNumber>
    <Assembly>QUMAS.Compliance.Documents, Version=2.2.0.0, Culture=neutral, PublicKeyToken=af85829af764d976</Assembly>
    <Class>QUMAS.Compliance.Documents.EventReceivers.ComplianceDocumentListER</Class>
    <Data/>
    <Filter/>
  </Receiver>
  <Receiver>
    <Name>ComplianceDocumentCT_FieldUpdated</Name>
    <Synchronization>Asynchronous</Synchronization>
    <Type>10102</Type>
    <SequenceNumber>10000</SequenceNumber>
    <Assembly>QUMAS.Compliance.Documents, Version=2.2.0.0, Culture=neutral, PublicKeyToken=af85829af764d976</Assembly>
    <Class>QUMAS.Compliance.Documents.EventReceivers.ComplianceDocumentListER</Class>
    <Data/>
    <Filter/>
  </Receiver>
  <Receiver>
    <Name>ComplianceDocumentCT_WorkflowStarted</Name>
    <Synchronization>Synchronous</Synchronization>
    <Type>10501</Type>
    <SequenceNumber>10000</SequenceNumber>
    <Assembly>QUMAS.Compliance.Documents, Version=2.2.0.0, Culture=neutral, PublicKeyToken=af85829af764d976</Assembly>
    <Class>QUMAS.Compliance.Documents.EventReceivers.ComplianceDocumentWorkflowER</Class>
    <Data/>
    <Filter/>
  </Receiver>
  <Receiver>
    <Name>ComplianceDocumentCT_WorkflowStarting</Name>
    <Synchronization>Synchronous</Synchronization>
    <Type>501</Type>
    <SequenceNumber>10000</SequenceNumber>
    <Assembly>QUMAS.Compliance.Documents, Version=2.2.0.0, Culture=neutral, PublicKeyToken=af85829af764d976</Assembly>
    <Class>QUMAS.Compliance.Documents.EventReceivers.ComplianceDocumentWorkflowER</Class>
    <Data/>
    <Filter/>
  </Receiver>
  <Receiver>
    <Name>ComplianceDocumentCT_WorkflowPostponed</Name>
    <Synchronization>Asynchronous</Synchronization>
    <Type>10502</Type>
    <SequenceNumber>10000</SequenceNumber>
    <Assembly>QUMAS.Compliance.Documents, Version=2.2.0.0, Culture=neutral, PublicKeyToken=af85829af764d976</Assembly>
    <Class>QUMAS.Compliance.Documents.EventReceivers.ComplianceDocumentWorkflowER</Class>
    <Data/>
    <Filter/>
  </Receiver>
  <Receiver>
    <Name>ComplianceDocumentCT_WorkflowCompleted</Name>
    <Synchronization>Synchronous</Synchronization>
    <Type>10503</Type>
    <SequenceNumber>10000</SequenceNumber>
    <Assembly>QUMAS.Compliance.Documents, Version=2.2.0.0, Culture=neutral, PublicKeyToken=af85829af764d976</Assembly>
    <Class>QUMAS.Compliance.Documents.EventReceivers.ComplianceDocumentWorkflowER</Class>
    <Data/>
    <Filter/>
  </Receiver>
  <Receiver>
    <Name>ComplianceDocumentCT_ItemDeleting</Name>
    <Synchronization>Synchronous</Synchronization>
    <Type>3</Type>
    <SequenceNumber>10000</SequenceNumber>
    <Assembly>QUMAS.Compliance.Documents, Version=2.2.0.0, Culture=neutral, PublicKeyToken=af85829af764d976</Assembly>
    <Class>QUMAS.Compliance.Documents.EventReceivers.ComplianceDocumentItemER</Class>
    <Data/>
    <Filter/>
  </Receiver>
</spe:Receivers>
</file>

<file path=customXml/item21.xml><?xml version="1.0" encoding="utf-8"?>
<?mso-contentType ?>
<DistributionConfigurations xmlns="http://www.Qumas.com/Qumas.Compliance/ContentTypes/DistributionConfigurations" xmlns:i="http://www.w3.org/2001/XMLSchema-instance">
  <Default xmlns:a="http://www.QUMAS.com/QUMAS.Compliance/Documents">
    <a:Folder/>
    <a:FolderOption>UseSourceFolder</a:FolderOption>
    <a:TargetLibrary>/sites/CSP/rd/Approved Submission</a:TargetLibrary>
  </Default>
  <dictionary xmlns:a="http://schemas.microsoft.com/2003/10/Serialization/Arrays"/>
</DistributionConfigurations>
</file>

<file path=customXml/item22.xml><?xml version="1.0" encoding="utf-8"?>
<?mso-contentType ?>
<ObjectManager xmlns="http://www.Qumas.com/Qumas.Compliance/Configuration/LifecycleAction/LifecycleActionNamedConfigurations/Withdraw" xmlns:i="http://www.w3.org/2001/XMLSchema-instance"><![CDATA[<LifecycleActionNamedConfigurations xmlns="http://www.Qumas.com/Qumas.Compliance/Configuration/LifecycleAction/LifecycleActionNamedConfigurations" xmlns:i="http://www.w3.org/2001/XMLSchema-instance"><TimeStamp i:nil="true" xmlns="http://schemas.datacontract.org/2004/07/QUMAS.Compliance.Common.SOM.DataContracts" /><UniqueId xmlns="http://schemas.datacontract.org/2004/07/QUMAS.Compliance.Common.SOM.DataContracts">00000000-0000-0000-0000-000000000000</UniqueId><_Configuration xmlns:a="http://schemas.microsoft.com/2003/10/Serialization/Arrays"><a:KeyValueOfstringLifecycleActionNamedConfigurationWMHOgtwe><a:Key>Withdraw</a:Key><a:Value xmlns:b="http://www.Qumas.com/Qumas.Compliance/Configuration/LifecycleAction/LifecycleActionNamedConfiguration"><TimeStamp i:nil="true" xmlns="http://schemas.datacontract.org/2004/07/QUMAS.Compliance.Common.SOM.DataContracts" /><UniqueId xmlns="http://schemas.datacontract.org/2004/07/QUMAS.Compliance.Common.SOM.DataContracts">00000000-0000-0000-0000-000000000000</UniqueId><b:AOAutoTransitionToNextAction>false</b:AOAutoTransitionToNextAction><b:AllowedPrincipals xmlns:c="http://schemas.datacontract.org/2004/07/QUMAS.Compliance.Common.SOM.DataContracts.Security"><c:UserOrGroup><TimeStamp i:nil="true" xmlns="http://schemas.datacontract.org/2004/07/QUMAS.Compliance.Common.SOM.DataContracts" /><UniqueId xmlns="http://schemas.datacontract.org/2004/07/QUMAS.Compliance.Common.SOM.DataContracts">00000000-0000-0000-0000-000000000000</UniqueId><c:Id>0</c:Id><c:Member>document_coordinators_grp</c:Member><c:MemberType>SharePointGroup</c:MemberType></c:UserOrGroup></b:AllowedPrincipals><b:AutoTransitionToNextAction>false</b:AutoTransitionToNextAction><b:Description>Start the withdraw Workflow to withdraw an Approved document prior to it becoming Effective.</b:Description><b:DirectActionConfiguration xmlns:c="http://www.Qumas.com/Qumas.Compliance/Configuration/LifecycleAction/DirectActionConfiguration"><TimeStamp i:nil="true" xmlns="http://schemas.datacontract.org/2004/07/QUMAS.Compliance.Common.SOM.DataContracts" /><UniqueId xmlns="http://schemas.datacontract.org/2004/07/QUMAS.Compliance.Common.SOM.DataContracts">00000000-0000-0000-0000-000000000000</UniqueId><c:EsignatureRequired xmlns:d="http://www.Qumas.com/Qumas.Compliance/Configuration/Controls/EsignatureRequiredConf"><TimeStamp i:nil="true" xmlns="http://schemas.datacontract.org/2004/07/QUMAS.Compliance.Common.SOM.DataContracts" /><UniqueId xmlns="http://schemas.datacontract.org/2004/07/QUMAS.Compliance.Common.SOM.DataContracts">00000000-0000-0000-0000-000000000000</UniqueId><d:BusinessRole>Quality Manager</d:BusinessRole><d:MeaningOfSignatureCode>GMPDocApproval</d:MeaningOfSignatureCode><d:RequiresESig>false</d:RequiresESig></c:EsignatureRequired><c:RetractReleasedDoc>false</c:RetractReleasedDoc></b:DirectActionConfiguration><b:EndTransitionRenderTemplate>Withdrawn Template</b:EndTransitionRenderTemplate><b:HOAutoTransitionToNextAction>false</b:HOAutoTransitionToNextAction><b:MetaDataColumnId /><b:MetaDataColumnValue /><b:Name>Withdraw</b:Name><b:StartTransitionRenderTemplate>Approved Template</b:StartTransitionRenderTemplate><b:TransitionOptions>UseWorkflow</b:TransitionOptions><b:WorkflowConfiguration>&lt;WithdrawWorkflowConfiguration xmlns="http://www.Qumas.com/Qumas.Compliance/Configuration/Workflows/WithdrawWorkflowConfiguration" xmlns:i="http://www.w3.org/2001/XMLSchema-instance"&gt;&lt;AODuration&gt;true&lt;/AODuration&gt;&lt;AOESig&gt;true&lt;/AOESig&gt;&lt;AOEscalationConfigurationOverdue&gt;false&lt;/AOEscalationConfigurationOverdue&gt;&lt;AOEscalationConfigurationWarn&gt;false&lt;/AOEscalationConfigurationWarn&gt;&lt;AOTaskDescription&gt;false&lt;/AOTaskDescription&gt;&lt;AOTaskTitle&gt;false&lt;/AOTaskTitle&gt;&lt;AOWorkflowCompletionCondition&gt;false&lt;/AOWorkflowCompletionCondition&gt;&lt;Duration&gt;5&lt;/Duration&gt;&lt;ESigBusinessRole&gt;Approver&lt;/ESigBusinessRole&gt;&lt;ESigType&gt;GMPWithdrawDocument&lt;/ESigType&gt;&lt;EscalationConfigurationOverdue xmlns:a="http://www.Qumas.com/Qumas.Compliance/Configuration/Controls/EscalationNotificationOverdueConf"&gt;&lt;a:DaysRepeat&gt;2&lt;/a:DaysRepeat&gt;&lt;a:InitialNotification&gt;Default Escalation&lt;/a:InitialNotification&gt;&lt;a:IsEnableTaskEscalation&gt;true&lt;/a:IsEnableTaskEscalation&gt;&lt;a:IsOverdueHighPriority&gt;false&lt;/a:IsOverdueHighPriority&gt;&lt;a:IsRepeatNotification&gt;true&lt;/a:IsRepeatNotification&gt;&lt;a:RepeatNotification&gt;Default Escalation&lt;/a:RepeatNotification&gt;&lt;/EscalationConfigurationOverdue&gt;&lt;EscalationConfigurationWarn xmlns:a="http://www.Qumas.com/Qumas.Compliance/Configuration/Controls/EscalationNotificationWarnConf"&gt;&lt;a:DaysBeforeDueDate&gt;2&lt;/a:DaysBeforeDueDate&gt;&lt;a:DaysRepeat&gt;2&lt;/a:DaysRepeat&gt;&lt;a:IsRepeatNotification&gt;true&lt;/a:IsRepeatNotification&gt;&lt;a:IsWarnSoonOvedue&gt;true&lt;/a:IsWarnSoonOvedue&gt;&lt;a:NotificationBeforeDueDate&gt;Default Pending Escalation&lt;/a:NotificationBeforeDueDate&gt;&lt;a:RepeatNotification&gt;Default Pending Escalation&lt;/a:RepeatNotification&gt;&lt;/EscalationConfigurationWarn&gt;&lt;HODuration&gt;false&lt;/HODuration&gt;&lt;HOESig&gt;false&lt;/HOESig&gt;&lt;HOEscalationConfigurationOverdue&gt;true&lt;/HOEscalationConfigurationOverdue&gt;&lt;HOEscalationConfigurationWarn&gt;true&lt;/HOEscalationConfigurationWarn&gt;&lt;HOTaskDescription&gt;false&lt;/HOTaskDescription&gt;&lt;HOTaskTitle&gt;false&lt;/HOTaskTitle&gt;&lt;HOWorkflowCompletionCondition&gt;true&lt;/HOWorkflowCompletionCondition&gt;&lt;HaltOnSingleDisapproval&gt;true&lt;/HaltOnSingleDisapproval&gt;&lt;QuorumNum&gt;0&lt;/QuorumNum&gt;&lt;RequiresESig&gt;true&lt;/RequiresESig&gt;&lt;SegregationCfg xmlns:a="http://www.Qumas.com/Qumas.Compliance/Configuration/Controls/SegregationConfig"&gt;&lt;a:AO&gt;true&lt;/a:AO&gt;&lt;a:Assignees xmlns:b="http://schemas.datacontract.org/2004/07/QUMAS.Compliance.Common.SOM.DataContracts.Security" /&gt;&lt;a:Filter xmlns:b="http://schemas.datacontract.org/2004/07/QUMAS.Compliance.Common.SOM.DataContracts.Security"&gt;&lt;b:Member&gt;retireres_grp&lt;/b:Member&gt;&lt;b:MemberType&gt;SharePointGroup&lt;/b:MemberType&gt;&lt;/a:Filter&gt;&lt;a:HO&gt;false&lt;/a:HO&gt;&lt;a:Limit&gt;true&lt;/a:Limit&gt;&lt;a:SepTasks&gt;true&lt;/a:SepTasks&gt;&lt;/SegregationCfg&gt;&lt;TaskDescription&gt;Please review {Title} ({Name}) and approve or disapprove.&lt;/TaskDescription&gt;&lt;TaskTitle&gt;Withdraw task for {Title} ({Name})&lt;/TaskTitle&gt;&lt;WorkflowCompletionCondition&gt;AllTasksCompletion&lt;/WorkflowCompletionCondition&gt;&lt;/WithdrawWorkflowConfiguration&gt;</b:WorkflowConfiguration></a:Value></a:KeyValueOfstringLifecycleActionNamedConfigurationWMHOgtwe></_Configuration></LifecycleActionNamedConfigurations>]]></ObjectManager>
</file>

<file path=customXml/item23.xml><?xml version="1.0" encoding="utf-8"?>
<b:Sources xmlns:b="http://schemas.openxmlformats.org/officeDocument/2006/bibliography" xmlns="http://schemas.openxmlformats.org/officeDocument/2006/bibliography" SelectedStyle="\APA.XSL" StyleName="APA"/>
</file>

<file path=customXml/item3.xml><?xml version="1.0" encoding="utf-8"?>
<?mso-contentType ?>
<ControlPanelTabs xmlns="http://www.Qumas.com/Qumas.Compliance/ContentTypes/ControlPanelTabs" xmlns:i="http://www.w3.org/2001/XMLSchema-instance">
  <TimeStamp xmlns="http://schemas.datacontract.org/2004/07/QUMAS.Compliance.Common.SOM.DataContracts" i:nil="true"/>
  <UniqueId xmlns="http://schemas.datacontract.org/2004/07/QUMAS.Compliance.Common.SOM.DataContracts">00000000-0000-0000-0000-000000000000</UniqueId>
  <tabs xmlns:a="http://schemas.datacontract.org/2004/07/QUMAS.Compliance.Common.SOM.DataContracts.ContentTypes">
    <a:ControlPanelTab>
      <a:Control>~/_controltemplates/QUMAS.Compliance.DocLibraryTemplates/QuDocCtrlPanGeneral.ascx</a:Control>
      <a:Name>General</a:Name>
      <a:Permissions>
        <a:UserPermission>Visitor</a:UserPermission>
        <a:UserPermission>Contributor</a:UserPermission>
        <a:UserPermission>Owner</a:UserPermission>
      </a:Permissions>
    </a:ControlPanelTab>
    <a:ControlPanelTab>
      <a:Control>~/_controltemplates/QUMAS.Compliance.DocLibraryTemplates/QuDocCtrlPanProperties.ascx</a:Control>
      <a:Name>Metadata</a:Name>
      <a:Permissions>
        <a:UserPermission>Visitor</a:UserPermission>
        <a:UserPermission>Contributor</a:UserPermission>
        <a:UserPermission>Owner</a:UserPermission>
      </a:Permissions>
    </a:ControlPanelTab>
    <a:ControlPanelTab>
      <a:Control>~/_controltemplates/QUMAS.ComplianceSiteDefinition/QuItemCtrlPanWorkFlows.ascx</a:Control>
      <a:Name>Workflows</a:Name>
      <a:Permissions>
        <a:UserPermission>Owner</a:UserPermission>
        <a:UserPermission>Contributor</a:UserPermission>
        <a:UserPermission>Visitor</a:UserPermission>
      </a:Permissions>
    </a:ControlPanelTab>
    <a:ControlPanelTab>
      <a:Control>~/_controltemplates/QUMAS.Compliance.DocLibraryTemplates/QuDocCtrlPanRevisionLog.ascx</a:Control>
      <a:Name>Revision Log</a:Name>
      <a:Permissions>
        <a:UserPermission>Contributor</a:UserPermission>
        <a:UserPermission>Owner</a:UserPermission>
      </a:Permissions>
    </a:ControlPanelTab>
    <a:ControlPanelTab>
      <a:Control>~/_controltemplates/QUMAS.ComplianceSiteDefinition/QuItemCtrlPanElectronicSignatures.ascx</a:Control>
      <a:Name>Electronic Signatures</a:Name>
      <a:Permissions>
        <a:UserPermission>Visitor</a:UserPermission>
        <a:UserPermission>Contributor</a:UserPermission>
        <a:UserPermission>Owner</a:UserPermission>
      </a:Permissions>
    </a:ControlPanelTab>
    <a:ControlPanelTab>
      <a:Control>~/_controltemplates/QUMAS.Compliance.DocLibraryTemplates/QuDocCtrlPanDistribution.ascx</a:Control>
      <a:Name>Distribution</a:Name>
      <a:Permissions>
        <a:UserPermission>Contributor</a:UserPermission>
        <a:UserPermission>Owner</a:UserPermission>
      </a:Permissions>
    </a:ControlPanelTab>
    <a:ControlPanelTab>
      <a:Control>~/_controltemplates/QUMAS.ComplianceSiteDefinition/QuItemCtrlPanAuditTrail.ascx</a:Control>
      <a:Name>Audit Trail</a:Name>
      <a:Permissions>
        <a:UserPermission>Owner</a:UserPermission>
        <a:UserPermission>Coordinator</a:UserPermission>
      </a:Permissions>
    </a:ControlPanelTab>
    <a:ControlPanelTab>
      <a:Control>~/_controltemplates/QUMAS.ComplianceSiteDefinition/QuItemCtrlPanVersionHistory.ascx</a:Control>
      <a:Name>Version History</a:Name>
      <a:Permissions>
        <a:UserPermission>Owner</a:UserPermission>
      </a:Permissions>
    </a:ControlPanelTab>
    <a:ControlPanelTab>
      <a:Control>~/_controltemplates/QUMAS.Compliance.DocLibraryTemplates/QuDocReleaseHistory.ascx</a:Control>
      <a:Name>Release History</a:Name>
      <a:Permissions>
        <a:UserPermission>Visitor</a:UserPermission>
        <a:UserPermission>Owner</a:UserPermission>
        <a:UserPermission>Contributor</a:UserPermission>
      </a:Permissions>
    </a:ControlPanelTab>
    <a:ControlPanelTab>
      <a:Control>~/_controltemplates/QUMAS.ComplianceSiteDefinition/AssociationsView.ascx</a:Control>
      <a:Name>Associations</a:Name>
      <a:Permissions>
        <a:UserPermission>Visitor</a:UserPermission>
        <a:UserPermission>Contributor</a:UserPermission>
        <a:UserPermission>Owner</a:UserPermission>
      </a:Permissions>
    </a:ControlPanelTab>
  </tabs>
</ControlPanelTabs>
</file>

<file path=customXml/item4.xml><?xml version="1.0" encoding="utf-8"?>
<?mso-contentType ?>
<LifecycleStateGeneralConfiguration xmlns="http://www.Qumas.com/Qumas.Compliance/Configuration/LifecycleState/LifecycleStateGeneralConfiguration" xmlns:i="http://www.w3.org/2001/XMLSchema-instance">
  <TimeStamp xmlns="http://schemas.datacontract.org/2004/07/QUMAS.Compliance.Common.SOM.DataContracts" i:nil="true"/>
  <UniqueId xmlns="http://schemas.datacontract.org/2004/07/QUMAS.Compliance.Common.SOM.DataContracts">00000000-0000-0000-0000-000000000000</UniqueId>
  <CustomWorkflowAllowedPrincipals xmlns:a="http://schemas.datacontract.org/2004/07/QUMAS.Compliance.Common.SOM.DataContracts.Security"/>
  <DisplayeEsigUserName>true</DisplayeEsigUserName>
  <UseEffectiveLifecycle>false</UseEffectiveLifecycle>
</LifecycleStateGeneralConfiguration>
</file>

<file path=customXml/item5.xml><?xml version="1.0" encoding="utf-8"?>
<?mso-contentType ?>
<ObjectManager xmlns="http://www.Qumas.com/Qumas.Compliance/Configuration/LifecycleAction/LifecycleActionNamedConfigurations/Revise" xmlns:i="http://www.w3.org/2001/XMLSchema-instance"><![CDATA[<LifecycleActionNamedConfigurations xmlns="http://www.Qumas.com/Qumas.Compliance/Configuration/LifecycleAction/LifecycleActionNamedConfigurations" xmlns:i="http://www.w3.org/2001/XMLSchema-instance"><TimeStamp i:nil="true" xmlns="http://schemas.datacontract.org/2004/07/QUMAS.Compliance.Common.SOM.DataContracts" /><UniqueId xmlns="http://schemas.datacontract.org/2004/07/QUMAS.Compliance.Common.SOM.DataContracts">00000000-0000-0000-0000-000000000000</UniqueId><_Configuration xmlns:a="http://schemas.microsoft.com/2003/10/Serialization/Arrays"><a:KeyValueOfstringLifecycleActionNamedConfigurationWMHOgtwe><a:Key>Revise - 1 Panel</a:Key><a:Value xmlns:b="http://www.Qumas.com/Qumas.Compliance/Configuration/LifecycleAction/LifecycleActionNamedConfiguration"><TimeStamp i:nil="true" xmlns="http://schemas.datacontract.org/2004/07/QUMAS.Compliance.Common.SOM.DataContracts" /><UniqueId xmlns="http://schemas.datacontract.org/2004/07/QUMAS.Compliance.Common.SOM.DataContracts">00000000-0000-0000-0000-000000000000</UniqueId><b:AOAutoTransitionToNextAction>false</b:AOAutoTransitionToNextAction><b:AllowedPrincipals xmlns:c="http://schemas.datacontract.org/2004/07/QUMAS.Compliance.Common.SOM.DataContracts.Security"><c:UserOrGroup><TimeStamp i:nil="true" xmlns="http://schemas.datacontract.org/2004/07/QUMAS.Compliance.Common.SOM.DataContracts" /><UniqueId xmlns="http://schemas.datacontract.org/2004/07/QUMAS.Compliance.Common.SOM.DataContracts">00000000-0000-0000-0000-000000000000</UniqueId><c:Id>0</c:Id><c:Member>initiate_workflow_grp</c:Member><c:MemberType>SharePointGroup</c:MemberType></c:UserOrGroup></b:AllowedPrincipals><b:AutoTransitionToNextAction>false</b:AutoTransitionToNextAction><b:Description>Start the Revise workflow to allow editing of a document.</b:Description><b:DirectActionConfiguration xmlns:c="http://www.Qumas.com/Qumas.Compliance/Configuration/LifecycleAction/DirectActionConfiguration"><TimeStamp i:nil="true" xmlns="http://schemas.datacontract.org/2004/07/QUMAS.Compliance.Common.SOM.DataContracts" /><UniqueId xmlns="http://schemas.datacontract.org/2004/07/QUMAS.Compliance.Common.SOM.DataContracts">00000000-0000-0000-0000-000000000000</UniqueId><c:EsignatureRequired xmlns:d="http://www.Qumas.com/Qumas.Compliance/Configuration/Controls/EsignatureRequiredConf"><TimeStamp i:nil="true" xmlns="http://schemas.datacontract.org/2004/07/QUMAS.Compliance.Common.SOM.DataContracts" /><UniqueId xmlns="http://schemas.datacontract.org/2004/07/QUMAS.Compliance.Common.SOM.DataContracts">00000000-0000-0000-0000-000000000000</UniqueId><d:BusinessRole>Quality Manager</d:BusinessRole><d:MeaningOfSignatureCode>GMPDocApproval</d:MeaningOfSignatureCode><d:RequiresESig>false</d:RequiresESig></c:EsignatureRequired><c:RetractReleasedDoc>false</c:RetractReleasedDoc></b:DirectActionConfiguration><b:EffectiveRenderTemplate i:nil="true" /><b:EndTransitionRenderTemplate>Approved Submission</b:EndTransitionRenderTemplate><b:HOAutoTransitionToNextAction>false</b:HOAutoTransitionToNextAction><b:MetaDataColumnId /><b:MetaDataColumnValue /><b:Name>Revise - 1 Panel</b:Name><b:ReleaseConditions xmlns:c="http://www.Qumas.com/Qumas.Compliance/Configuration/LifecycleAction/ReleaseConditionsConfiguration"><TimeStamp i:nil="true" xmlns="http://schemas.datacontract.org/2004/07/QUMAS.Compliance.Common.SOM.DataContracts" /><UniqueId xmlns="http://schemas.datacontract.org/2004/07/QUMAS.Compliance.Common.SOM.DataContracts">00000000-0000-0000-0000-000000000000</UniqueId><c:AfterDays i:nil="true" /><c:AllowedPrincipals xmlns:d="http://schemas.datacontract.org/2004/07/QUMAS.Compliance.Common.SOM.DataContracts.Security" /><c:ReleaseName>Release</c:ReleaseName><c:Type>Automatic</c:Type></b:ReleaseConditions><b:StartTransitionRenderTemplate>Approved Submission</b:StartTransitionRenderTemplate><b:TransitionOptions>UseWorkflow</b:TransitionOptions><b:WorkflowConfiguration>&lt;CtReviseWFConfig xmlns="http://www.Qumas.com/Qumas.Compliance/Qumas.ContentTypes/CtReviseWFConfig" xmlns:i="http://www.w3.org/2001/XMLSchema-instance"&gt;&lt;TimeStamp i:nil="true" xmlns="http://schemas.datacontract.org/2004/07/QUMAS.Compliance.Common.SOM.DataContracts" /&gt;&lt;UniqueId xmlns="http://schemas.datacontract.org/2004/07/QUMAS.Compliance.Common.SOM.DataContracts"&gt;00000000-0000-0000-0000-000000000000&lt;/UniqueId&gt;&lt;AOAutomaticallyCreateWorkspace&gt;false&lt;/AOAutomaticallyCreateWorkspace&gt;&lt;AOAutomaticallyDeleteWorkspace&gt;false&lt;/AOAutomaticallyDeleteWorkspace&gt;&lt;AODuration&gt;true&lt;/AODuration&gt;&lt;AOEscalationConfigurationOverdue&gt;false&lt;/AOEscalationConfigurationOverdue&gt;&lt;AOEscalationConfigurationWarn&gt;false&lt;/AOEscalationConfigurationWarn&gt;&lt;AOTaskDescription&gt;true&lt;/AOTaskDescription&gt;&lt;AOTaskTitle&gt;false&lt;/AOTaskTitle&gt;&lt;AOWorkflowCompletionCondition&gt;false&lt;/AOWorkflowCompletionCondition&gt;&lt;AOWorkspaceAdditionalMembers&gt;false&lt;/AOWorkspaceAdditionalMembers&gt;&lt;AOWorkspaceName&gt;false&lt;/AOWorkspaceName&gt;&lt;AOWorkspaceTemplate&gt;false&lt;/AOWorkspaceTemplate&gt;&lt;AOWorkspaceUrl&gt;false&lt;/AOWorkspaceUrl&gt;&lt;AutomaticallyCreateWorkspace&gt;false&lt;/AutomaticallyCreateWorkspace&gt;&lt;AutomaticallyDeleteWorkspace&gt;false&lt;/AutomaticallyDeleteWorkspace&gt;&lt;Duration&gt;7&lt;/Duration&gt;&lt;EscalationConfigurationOverdue xmlns:a="http://www.Qumas.com/Qumas.Compliance/Configuration/Controls/EscalationNotificationOverdueConf"&gt;&lt;a:DaysRepeat&gt;2&lt;/a:DaysRepeat&gt;&lt;a:InitialNotification /&gt;&lt;a:IsEnableTaskEscalation&gt;false&lt;/a:IsEnableTaskEscalation&gt;&lt;a:IsOverdueHighPriority&gt;false&lt;/a:IsOverdueHighPriority&gt;&lt;a:IsRepeatNotification&gt;false&lt;/a:IsRepeatNotification&gt;&lt;a:RepeatNotification /&gt;&lt;/EscalationConfigurationOverdue&gt;&lt;EscalationConfigurationWarn xmlns:a="http://www.Qumas.com/Qumas.Compliance/Configuration/Controls/EscalationNotificationWarnConf"&gt;&lt;a:DaysBeforeDueDate&gt;3&lt;/a:DaysBeforeDueDate&gt;&lt;a:DaysRepeat&gt;2&lt;/a:DaysRepeat&gt;&lt;a:IsRepeatNotification&gt;true&lt;/a:IsRepeatNotification&gt;&lt;a:IsWarnSoonOvedue&gt;true&lt;/a:IsWarnSoonOvedue&gt;&lt;a:NotificationBeforeDueDate /&gt;&lt;a:RepeatNotification /&gt;&lt;/EscalationConfigurationWarn&gt;&lt;HOAutomaticallyCreateWorkspace&gt;true&lt;/HOAutomaticallyCreateWorkspace&gt;&lt;HOAutomaticallyDeleteWorkspace&gt;false&lt;/HOAutomaticallyDeleteWorkspace&gt;&lt;HODuration&gt;false&lt;/HODuration&gt;&lt;HOEscalationConfigurationOverdue&gt;true&lt;/HOEscalationConfigurationOverdue&gt;&lt;HOEscalationConfigurationWarn&gt;true&lt;/HOEscalationConfigurationWarn&gt;&lt;HOTaskDescription&gt;false&lt;/HOTaskDescription&gt;&lt;HOTaskTitle&gt;false&lt;/HOTaskTitle&gt;&lt;HOWorkflowCompletionCondition&gt;true&lt;/HOWorkflowCompletionCondition&gt;&lt;HOWorkspaceAdditionalMembers&gt;false&lt;/HOWorkspaceAdditionalMembers&gt;&lt;HOWorkspaceName&gt;false&lt;/HOWorkspaceName&gt;&lt;HOWorkspaceTemplate&gt;false&lt;/HOWorkspaceTemplate&gt;&lt;HOWorkspaceUrl&gt;false&lt;/HOWorkspaceUrl&gt;&lt;NumOfTasksToCompleteWorkflow&gt;0&lt;/NumOfTasksToCompleteWorkflow&gt;&lt;Panels xmlns:a="http://www.Qumas.com/Qumas.ContentTypes/RevisePanel"&gt;&lt;a:RevisePanel&gt;&lt;TimeStamp i:nil="true" xmlns="http://schemas.datacontract.org/2004/07/QUMAS.Compliance.Common.SOM.DataContracts" /&gt;&lt;UniqueId xmlns="http://schemas.datacontract.org/2004/07/QUMAS.Compliance.Common.SOM.DataContracts"&gt;00000000-0000-0000-0000-000000000000&lt;/UniqueId&gt;&lt;AOEscalationConfigurationOverdue xmlns="http://www.Qumas.com/Qumas.ContentTypes/BasePanel"&gt;false&lt;/AOEscalationConfigurationOverdue&gt;&lt;AOEscalationConfigurationWarn xmlns="http://www.Qumas.com/Qumas.ContentTypes/BasePanel"&gt;false&lt;/AOEscalationConfigurationWarn&gt;&lt;AONumDaysToComplete xmlns="http://www.Qumas.com/Qumas.ContentTypes/BasePanel"&gt;true&lt;/AONumDaysToComplete&gt;&lt;AOPanelCompletion xmlns="http://www.Qumas.com/Qumas.ContentTypes/BasePanel"&gt;false&lt;/AOPanelCompletion&gt;&lt;AOTaskDescription xmlns="http://www.Qumas.com/Qumas.ContentTypes/BasePanel"&gt;true&lt;/AOTaskDescription&gt;&lt;AOTaskTitle xmlns="http://www.Qumas.com/Qumas.ContentTypes/BasePanel"&gt;false&lt;/AOTaskTitle&gt;&lt;EscalationConfigurationOverdue xmlns="http://www.Qumas.com/Qumas.ContentTypes/BasePanel" xmlns:b="http://www.Qumas.com/Qumas.Compliance/Configuration/Controls/EscalationNotificationOverdueConf"&gt;&lt;b:DaysRepeat&gt;2&lt;/b:DaysRepeat&gt;&lt;b:InitialNotification&gt;Approaching Periodic Review Escalation&lt;/b:InitialNotification&gt;&lt;b:IsEnableTaskEscalation&gt;false&lt;/b:IsEnableTaskEscalation&gt;&lt;b:IsOverdueHighPriority&gt;false&lt;/b:IsOverdueHighPriority&gt;&lt;b:IsRepeatNotification&gt;false&lt;/b:IsRepeatNotification&gt;&lt;b:RepeatNotification&gt;Approaching Periodic Review Escalation&lt;/b:RepeatNotification&gt;&lt;/EscalationConfigurationOverdue&gt;&lt;EscalationConfigurationWarn xmlns="http://www.Qumas.com/Qumas.ContentTypes/BasePanel" xmlns:b="http://www.Qumas.com/Qumas.Compliance/Configuration/Controls/EscalationNotificationWarnConf"&gt;&lt;b:DaysBeforeDueDate&gt;3&lt;/b:DaysBeforeDueDate&gt;&lt;b:DaysRepeat&gt;2&lt;/b:DaysRepeat&gt;&lt;b:IsRepeatNotification&gt;true&lt;/b:IsRepeatNotification&gt;&lt;b:IsWarnSoonOvedue&gt;true&lt;/b:IsWarnSoonOvedue&gt;&lt;b:NotificationBeforeDueDate&gt;Default Pending Escalation&lt;/b:NotificationBeforeDueDate&gt;&lt;b:RepeatNotification&gt;Default Pending Escalation&lt;/b:RepeatNotification&gt;&lt;/EscalationConfigurationWarn&gt;&lt;HOEscalationConfigurationOverdue xmlns="http://www.Qumas.com/Qumas.ContentTypes/BasePanel"&gt;true&lt;/HOEscalationConfigurationOverdue&gt;&lt;HOEscalationConfigurationWarn xmlns="http://www.Qumas.com/Qumas.ContentTypes/BasePanel"&gt;true&lt;/HOEscalationConfigurationWarn&gt;&lt;HONumDaysToComplete xmlns="http://www.Qumas.com/Qumas.ContentTypes/BasePanel"&gt;false&lt;/HONumDaysToComplete&gt;&lt;HOPanelCompletion xmlns="http://www.Qumas.com/Qumas.ContentTypes/BasePanel"&gt;true&lt;/HOPanelCompletion&gt;&lt;HOTaskDescription xmlns="http://www.Qumas.com/Qumas.ContentTypes/BasePanel"&gt;false&lt;/HOTaskDescription&gt;&lt;HOTaskTitle xmlns="http://www.Qumas.com/Qumas.ContentTypes/BasePanel"&gt;false&lt;/HOTaskTitle&gt;&lt;HaltOnSingleDisapproval xmlns="http://www.Qumas.com/Qumas.ContentTypes/BasePanel"&gt;true&lt;/HaltOnSingleDisapproval&gt;&lt;NumDaysToComplete xmlns="http://www.Qumas.com/Qumas.ContentTypes/BasePanel"&gt;7&lt;/NumDaysToComplete&gt;&lt;PanelName xmlns="http://www.Qumas.com/Qumas.ContentTypes/BasePanel"&gt;Revise&lt;/PanelName&gt;&lt;QuorumNumber xmlns="http://www.Qumas.com/Qumas.ContentTypes/BasePanel"&gt;0&lt;/QuorumNumber&gt;&lt;SegregationCfg xmlns="http://www.Qumas.com/Qumas.ContentTypes/BasePanel" xmlns:b="http://www.Qumas.com/Qumas.Compliance/Configuration/Controls/SegregationConfig"&gt;&lt;TimeStamp i:nil="true" xmlns="http://schemas.datacontract.org/2004/07/QUMAS.Compliance.Common.SOM.DataContracts" /&gt;&lt;UniqueId xmlns="http://schemas.datacontract.org/2004/07/QUMAS.Compliance.Common.SOM.DataContracts"&gt;00000000-0000-0000-0000-000000000000&lt;/UniqueId&gt;&lt;b:AO&gt;true&lt;/b:AO&gt;&lt;b:Assignees xmlns:c="http://schemas.datacontract.org/2004/07/QUMAS.Compliance.Common.SOM.DataContracts.Security" /&gt;&lt;b:Filter xmlns:c="http://schemas.datacontract.org/2004/07/QUMAS.Compliance.Common.SOM.DataContracts.Security"&gt;&lt;TimeStamp i:nil="true" xmlns="http://schemas.datacontract.org/2004/07/QUMAS.Compliance.Common.SOM.DataContracts" /&gt;&lt;UniqueId xmlns="http://schemas.datacontract.org/2004/07/QUMAS.Compliance.Common.SOM.DataContracts"&gt;00000000-0000-0000-0000-000000000000&lt;/UniqueId&gt;&lt;c:Id&gt;30&lt;/c:Id&gt;&lt;c:Member&gt;workflow_participants_grp&lt;/c:Member&gt;&lt;c:MemberType&gt;SharePointGroup&lt;/c:MemberType&gt;&lt;/b:Filter&gt;&lt;b:HO&gt;false&lt;/b:HO&gt;&lt;b:Limit&gt;true&lt;/b:Limit&gt;&lt;b:SepTasks&gt;true&lt;/b:SepTasks&gt;&lt;/SegregationCfg&gt;&lt;TaskDescription xmlns="http://www.Qumas.com/Qumas.ContentTypes/BasePanel"&gt;Please review {Title} ({Name}). You should check-in the document and complete this task once the revisions are complete.&lt;/TaskDescription&gt;&lt;TaskTitle xmlns="http://www.Qumas.com/Qumas.ContentTypes/BasePanel"&gt;Revise task for {Title} ({Name})&lt;/TaskTitle&gt;&lt;a:AOEnableOutcome&gt;false&lt;/a:AOEnableOutcome&gt;&lt;a:EnableOutcome&gt;false&lt;/a:EnableOutcome&gt;&lt;a:HOEnableOutcome&gt;false&lt;/a:HOEnableOutcome&gt;&lt;a:PanelCompletion&gt;AllTasksCompletion&lt;/a:PanelCompletion&gt;&lt;/a:RevisePanel&gt;&lt;/Panels&gt;&lt;SegregationCfg xmlns:a="http://www.Qumas.com/Qumas.Compliance/Configuration/Controls/SegregationConfig"&gt;&lt;TimeStamp i:nil="true" xmlns="http://schemas.datacontract.org/2004/07/QUMAS.Compliance.Common.SOM.DataContracts" /&gt;&lt;UniqueId xmlns="http://schemas.datacontract.org/2004/07/QUMAS.Compliance.Common.SOM.DataContracts"&gt;00000000-0000-0000-0000-000000000000&lt;/UniqueId&gt;&lt;a:AO&gt;true&lt;/a:AO&gt;&lt;a:Assignees xmlns:b="http://schemas.datacontract.org/2004/07/QUMAS.Compliance.Common.SOM.DataContracts.Security" /&gt;&lt;a:Filter xmlns:b="http://schemas.datacontract.org/2004/07/QUMAS.Compliance.Common.SOM.DataContracts.Security"&gt;&lt;TimeStamp i:nil="true" xmlns="http://schemas.datacontract.org/2004/07/QUMAS.Compliance.Common.SOM.DataContracts" /&gt;&lt;UniqueId xmlns="http://schemas.datacontract.org/2004/07/QUMAS.Compliance.Common.SOM.DataContracts"&gt;00000000-0000-0000-0000-000000000000&lt;/UniqueId&gt;&lt;b:Id&gt;0&lt;/b:Id&gt;&lt;b:Member&gt;workflow_participants_grp&lt;/b:Member&gt;&lt;b:MemberType&gt;SharePointGroup&lt;/b:MemberType&gt;&lt;/a:Filter&gt;&lt;a:HO&gt;false&lt;/a:HO&gt;&lt;a:Limit&gt;true&lt;/a:Limit&gt;&lt;a:SepTasks&gt;true&lt;/a:SepTasks&gt;&lt;/SegregationCfg&gt;&lt;TaskDescription&gt;Please review {Title} ({Name}). You should check-in the document and complete this task once the revisions are complete.&lt;/TaskDescription&gt;&lt;TaskTitle&gt;Revise task for {Title} ({Name})&lt;/TaskTitle&gt;&lt;WorkflowCompletionCondition&gt;AllTasksCompletion&lt;/WorkflowCompletionCondition&gt;&lt;WorkspaceAdditionalMembers i:nil="true" xmlns:a="http://schemas.datacontract.org/2004/07/QUMAS.Compliance.Common.SOM.DataContracts.Security" /&gt;&lt;WorkspaceName&gt;Unspecified&lt;/WorkspaceName&gt;&lt;WorkspaceTemplate i:nil="true" /&gt;&lt;WorkspaceUrl i:nil="true" /&gt;&lt;/CtReviseWFConfig&gt;</b:WorkflowConfiguration></a:Value></a:KeyValueOfstringLifecycleActionNamedConfigurationWMHOgtwe><a:KeyValueOfstringLifecycleActionNamedConfigurationWMHOgtwe><a:Key>Revise - 2 Panel</a:Key><a:Value xmlns:b="http://www.Qumas.com/Qumas.Compliance/Configuration/LifecycleAction/LifecycleActionNamedConfiguration"><TimeStamp i:nil="true" xmlns="http://schemas.datacontract.org/2004/07/QUMAS.Compliance.Common.SOM.DataContracts" /><UniqueId xmlns="http://schemas.datacontract.org/2004/07/QUMAS.Compliance.Common.SOM.DataContracts">00000000-0000-0000-0000-000000000000</UniqueId><b:AOAutoTransitionToNextAction>false</b:AOAutoTransitionToNextAction><b:AllowedPrincipals xmlns:c="http://schemas.datacontract.org/2004/07/QUMAS.Compliance.Common.SOM.DataContracts.Security"><c:UserOrGroup><TimeStamp i:nil="true" xmlns="http://schemas.datacontract.org/2004/07/QUMAS.Compliance.Common.SOM.DataContracts" /><UniqueId xmlns="http://schemas.datacontract.org/2004/07/QUMAS.Compliance.Common.SOM.DataContracts">00000000-0000-0000-0000-000000000000</UniqueId><c:Id>0</c:Id><c:Member>initiate_workflow_grp</c:Member><c:MemberType>SharePointGroup</c:MemberType></c:UserOrGroup></b:AllowedPrincipals><b:AutoTransitionToNextAction>false</b:AutoTransitionToNextAction><b:Description>Start the Revise workflow to allow editing of a document.</b:Description><b:DirectActionConfiguration xmlns:c="http://www.Qumas.com/Qumas.Compliance/Configuration/LifecycleAction/DirectActionConfiguration"><TimeStamp i:nil="true" xmlns="http://schemas.datacontract.org/2004/07/QUMAS.Compliance.Common.SOM.DataContracts" /><UniqueId xmlns="http://schemas.datacontract.org/2004/07/QUMAS.Compliance.Common.SOM.DataContracts">00000000-0000-0000-0000-000000000000</UniqueId><c:EsignatureRequired xmlns:d="http://www.Qumas.com/Qumas.Compliance/Configuration/Controls/EsignatureRequiredConf"><TimeStamp i:nil="true" xmlns="http://schemas.datacontract.org/2004/07/QUMAS.Compliance.Common.SOM.DataContracts" /><UniqueId xmlns="http://schemas.datacontract.org/2004/07/QUMAS.Compliance.Common.SOM.DataContracts">00000000-0000-0000-0000-000000000000</UniqueId><d:BusinessRole>Quality Manager</d:BusinessRole><d:MeaningOfSignatureCode>GMPDocApproval</d:MeaningOfSignatureCode><d:RequiresESig>false</d:RequiresESig></c:EsignatureRequired><c:RetractReleasedDoc>false</c:RetractReleasedDoc></b:DirectActionConfiguration><b:EffectiveRenderTemplate i:nil="true" /><b:EndTransitionRenderTemplate>Approved Submission</b:EndTransitionRenderTemplate><b:HOAutoTransitionToNextAction>false</b:HOAutoTransitionToNextAction><b:MetaDataColumnId /><b:MetaDataColumnValue /><b:Name>Revise - 2 Panel</b:Name><b:ReleaseConditions xmlns:c="http://www.Qumas.com/Qumas.Compliance/Configuration/LifecycleAction/ReleaseConditionsConfiguration"><TimeStamp i:nil="true" xmlns="http://schemas.datacontract.org/2004/07/QUMAS.Compliance.Common.SOM.DataContracts" /><UniqueId xmlns="http://schemas.datacontract.org/2004/07/QUMAS.Compliance.Common.SOM.DataContracts">00000000-0000-0000-0000-000000000000</UniqueId><c:AfterDays i:nil="true" /><c:AllowedPrincipals xmlns:d="http://schemas.datacontract.org/2004/07/QUMAS.Compliance.Common.SOM.DataContracts.Security" /><c:ReleaseName>Release</c:ReleaseName><c:Type>Automatic</c:Type></b:ReleaseConditions><b:StartTransitionRenderTemplate>Approved Submission</b:StartTransitionRenderTemplate><b:TransitionOptions>UseWorkflow</b:TransitionOptions><b:WorkflowConfiguration>&lt;CtReviseWFConfig xmlns="http://www.Qumas.com/Qumas.Compliance/Qumas.ContentTypes/CtReviseWFConfig" xmlns:i="http://www.w3.org/2001/XMLSchema-instance"&gt;&lt;TimeStamp i:nil="true" xmlns="http://schemas.datacontract.org/2004/07/QUMAS.Compliance.Common.SOM.DataContracts" /&gt;&lt;UniqueId xmlns="http://schemas.datacontract.org/2004/07/QUMAS.Compliance.Common.SOM.DataContracts"&gt;00000000-0000-0000-0000-000000000000&lt;/UniqueId&gt;&lt;AOAutomaticallyCreateWorkspace&gt;false&lt;/AOAutomaticallyCreateWorkspace&gt;&lt;AOAutomaticallyDeleteWorkspace&gt;false&lt;/AOAutomaticallyDeleteWorkspace&gt;&lt;AODuration&gt;true&lt;/AODuration&gt;&lt;AOEscalationConfigurationOverdue&gt;false&lt;/AOEscalationConfigurationOverdue&gt;&lt;AOEscalationConfigurationWarn&gt;false&lt;/AOEscalationConfigurationWarn&gt;&lt;AOTaskDescription&gt;false&lt;/AOTaskDescription&gt;&lt;AOTaskTitle&gt;false&lt;/AOTaskTitle&gt;&lt;AOWorkflowCompletionCondition&gt;false&lt;/AOWorkflowCompletionCondition&gt;&lt;AOWorkspaceAdditionalMembers&gt;false&lt;/AOWorkspaceAdditionalMembers&gt;&lt;AOWorkspaceName&gt;false&lt;/AOWorkspaceName&gt;&lt;AOWorkspaceTemplate&gt;false&lt;/AOWorkspaceTemplate&gt;&lt;AOWorkspaceUrl&gt;false&lt;/AOWorkspaceUrl&gt;&lt;AutomaticallyCreateWorkspace&gt;false&lt;/AutomaticallyCreateWorkspace&gt;&lt;AutomaticallyDeleteWorkspace&gt;false&lt;/AutomaticallyDeleteWorkspace&gt;&lt;Duration&gt;10&lt;/Duration&gt;&lt;EscalationConfigurationOverdue i:nil="true" xmlns:a="http://www.Qumas.com/Qumas.Compliance/Configuration/Controls/EscalationNotificationOverdueConf" /&gt;&lt;EscalationConfigurationWarn i:nil="true" xmlns:a="http://www.Qumas.com/Qumas.Compliance/Configuration/Controls/EscalationNotificationWarnConf" /&gt;&lt;HOAutomaticallyCreateWorkspace&gt;true&lt;/HOAutomaticallyCreateWorkspace&gt;&lt;HOAutomaticallyDeleteWorkspace&gt;false&lt;/HOAutomaticallyDeleteWorkspace&gt;&lt;HODuration&gt;false&lt;/HODuration&gt;&lt;HOEscalationConfigurationOverdue&gt;false&lt;/HOEscalationConfigurationOverdue&gt;&lt;HOEscalationConfigurationWarn&gt;false&lt;/HOEscalationConfigurationWarn&gt;&lt;HOTaskDescription&gt;false&lt;/HOTaskDescription&gt;&lt;HOTaskTitle&gt;false&lt;/HOTaskTitle&gt;&lt;HOWorkflowCompletionCondition&gt;false&lt;/HOWorkflowCompletionCondition&gt;&lt;HOWorkspaceAdditionalMembers&gt;false&lt;/HOWorkspaceAdditionalMembers&gt;&lt;HOWorkspaceName&gt;false&lt;/HOWorkspaceName&gt;&lt;HOWorkspaceTemplate&gt;false&lt;/HOWorkspaceTemplate&gt;&lt;HOWorkspaceUrl&gt;false&lt;/HOWorkspaceUrl&gt;&lt;NumOfTasksToCompleteWorkflow&gt;0&lt;/NumOfTasksToCompleteWorkflow&gt;&lt;Panels xmlns:a="http://www.Qumas.com/Qumas.ContentTypes/RevisePanel"&gt;&lt;a:RevisePanel&gt;&lt;TimeStamp i:nil="true" xmlns="http://schemas.datacontract.org/2004/07/QUMAS.Compliance.Common.SOM.DataContracts" /&gt;&lt;UniqueId xmlns="http://schemas.datacontract.org/2004/07/QUMAS.Compliance.Common.SOM.DataContracts"&gt;00000000-0000-0000-0000-000000000000&lt;/UniqueId&gt;&lt;AOEscalationConfigurationOverdue xmlns="http://www.Qumas.com/Qumas.ContentTypes/BasePanel"&gt;false&lt;/AOEscalationConfigurationOverdue&gt;&lt;AOEscalationConfigurationWarn xmlns="http://www.Qumas.com/Qumas.ContentTypes/BasePanel"&gt;false&lt;/AOEscalationConfigurationWarn&gt;&lt;AONumDaysToComplete xmlns="http://www.Qumas.com/Qumas.ContentTypes/BasePanel"&gt;true&lt;/AONumDaysToComplete&gt;&lt;AOPanelCompletion xmlns="http://www.Qumas.com/Qumas.ContentTypes/BasePanel"&gt;false&lt;/AOPanelCompletion&gt;&lt;AOTaskDescription xmlns="http://www.Qumas.com/Qumas.ContentTypes/BasePanel"&gt;true&lt;/AOTaskDescription&gt;&lt;AOTaskTitle xmlns="http://www.Qumas.com/Qumas.ContentTypes/BasePanel"&gt;false&lt;/AOTaskTitle&gt;&lt;EscalationConfigurationOverdue xmlns="http://www.Qumas.com/Qumas.ContentTypes/BasePanel" xmlns:b="http://www.Qumas.com/Qumas.Compliance/Configuration/Controls/EscalationNotificationOverdueConf"&gt;&lt;b:DaysRepeat&gt;2&lt;/b:DaysRepeat&gt;&lt;b:InitialNotification&gt;Approaching Periodic Review Escalation&lt;/b:InitialNotification&gt;&lt;b:IsEnableTaskEscalation&gt;false&lt;/b:IsEnableTaskEscalation&gt;&lt;b:IsOverdueHighPriority&gt;false&lt;/b:IsOverdueHighPriority&gt;&lt;b:IsRepeatNotification&gt;false&lt;/b:IsRepeatNotification&gt;&lt;b:RepeatNotification&gt;Approaching Periodic Review Escalation&lt;/b:RepeatNotification&gt;&lt;/EscalationConfigurationOverdue&gt;&lt;EscalationConfigurationWarn xmlns="http://www.Qumas.com/Qumas.ContentTypes/BasePanel" xmlns:b="http://www.Qumas.com/Qumas.Compliance/Configuration/Controls/EscalationNotificationWarnConf"&gt;&lt;b:DaysBeforeDueDate&gt;3&lt;/b:DaysBeforeDueDate&gt;&lt;b:DaysRepeat&gt;2&lt;/b:DaysRepeat&gt;&lt;b:IsRepeatNotification&gt;true&lt;/b:IsRepeatNotification&gt;&lt;b:IsWarnSoonOvedue&gt;true&lt;/b:IsWarnSoonOvedue&gt;&lt;b:NotificationBeforeDueDate&gt;Default Pending Escalation&lt;/b:NotificationBeforeDueDate&gt;&lt;b:RepeatNotification&gt;Default Pending Escalation&lt;/b:RepeatNotification&gt;&lt;/EscalationConfigurationWarn&gt;&lt;HOEscalationConfigurationOverdue xmlns="http://www.Qumas.com/Qumas.ContentTypes/BasePanel"&gt;true&lt;/HOEscalationConfigurationOverdue&gt;&lt;HOEscalationConfigurationWarn xmlns="http://www.Qumas.com/Qumas.ContentTypes/BasePanel"&gt;true&lt;/HOEscalationConfigurationWarn&gt;&lt;HONumDaysToComplete xmlns="http://www.Qumas.com/Qumas.ContentTypes/BasePanel"&gt;false&lt;/HONumDaysToComplete&gt;&lt;HOPanelCompletion xmlns="http://www.Qumas.com/Qumas.ContentTypes/BasePanel"&gt;true&lt;/HOPanelCompletion&gt;&lt;HOTaskDescription xmlns="http://www.Qumas.com/Qumas.ContentTypes/BasePanel"&gt;false&lt;/HOTaskDescription&gt;&lt;HOTaskTitle xmlns="http://www.Qumas.com/Qumas.ContentTypes/BasePanel"&gt;false&lt;/HOTaskTitle&gt;&lt;HaltOnSingleDisapproval xmlns="http://www.Qumas.com/Qumas.ContentTypes/BasePanel"&gt;true&lt;/HaltOnSingleDisapproval&gt;&lt;NumDaysToComplete xmlns="http://www.Qumas.com/Qumas.ContentTypes/BasePanel"&gt;7&lt;/NumDaysToComplete&gt;&lt;PanelName xmlns="http://www.Qumas.com/Qumas.ContentTypes/BasePanel"&gt;Cross Revise&lt;/PanelName&gt;&lt;QuorumNumber xmlns="http://www.Qumas.com/Qumas.ContentTypes/BasePanel"&gt;1&lt;/QuorumNumber&gt;&lt;SegregationCfg xmlns="http://www.Qumas.com/Qumas.ContentTypes/BasePanel" xmlns:b="http://www.Qumas.com/Qumas.Compliance/Configuration/Controls/SegregationConfig"&gt;&lt;TimeStamp i:nil="true" xmlns="http://schemas.datacontract.org/2004/07/QUMAS.Compliance.Common.SOM.DataContracts" /&gt;&lt;UniqueId xmlns="http://schemas.datacontract.org/2004/07/QUMAS.Compliance.Common.SOM.DataContracts"&gt;00000000-0000-0000-0000-000000000000&lt;/UniqueId&gt;&lt;b:AO&gt;true&lt;/b:AO&gt;&lt;b:Assignees xmlns:c="http://schemas.datacontract.org/2004/07/QUMAS.Compliance.Common.SOM.DataContracts.Security" /&gt;&lt;b:Filter xmlns:c="http://schemas.datacontract.org/2004/07/QUMAS.Compliance.Common.SOM.DataContracts.Security"&gt;&lt;TimeStamp i:nil="true" xmlns="http://schemas.datacontract.org/2004/07/QUMAS.Compliance.Common.SOM.DataContracts" /&gt;&lt;UniqueId xmlns="http://schemas.datacontract.org/2004/07/QUMAS.Compliance.Common.SOM.DataContracts"&gt;00000000-0000-0000-0000-000000000000&lt;/UniqueId&gt;&lt;c:Id&gt;30&lt;/c:Id&gt;&lt;c:Member&gt;workflow_participants_grp&lt;/c:Member&gt;&lt;c:MemberType&gt;SharePointGroup&lt;/c:MemberType&gt;&lt;/b:Filter&gt;&lt;b:HO&gt;false&lt;/b:HO&gt;&lt;b:Limit&gt;true&lt;/b:Limit&gt;&lt;b:SepTasks&gt;true&lt;/b:SepTasks&gt;&lt;/SegregationCfg&gt;&lt;TaskDescription xmlns="http://www.Qumas.com/Qumas.ContentTypes/BasePanel"&gt;Please review {Title} ({Name}). You should check-in the document and complete this task once the revisions are complete.&lt;/TaskDescription&gt;&lt;TaskTitle xmlns="http://www.Qumas.com/Qumas.ContentTypes/BasePanel"&gt;Revise task for {Title} ({Name})&lt;/TaskTitle&gt;&lt;a:AOEnableOutcome&gt;false&lt;/a:AOEnableOutcome&gt;&lt;a:EnableOutcome&gt;false&lt;/a:EnableOutcome&gt;&lt;a:HOEnableOutcome&gt;false&lt;/a:HOEnableOutcome&gt;&lt;a:PanelCompletion&gt;AllTasksCompletion&lt;/a:PanelCompletion&gt;&lt;/a:RevisePanel&gt;&lt;a:RevisePanel&gt;&lt;TimeStamp i:nil="true" xmlns="http://schemas.datacontract.org/2004/07/QUMAS.Compliance.Common.SOM.DataContracts" /&gt;&lt;UniqueId xmlns="http://schemas.datacontract.org/2004/07/QUMAS.Compliance.Common.SOM.DataContracts"&gt;00000000-0000-0000-0000-000000000000&lt;/UniqueId&gt;&lt;AOEscalationConfigurationOverdue xmlns="http://www.Qumas.com/Qumas.ContentTypes/BasePanel"&gt;false&lt;/AOEscalationConfigurationOverdue&gt;&lt;AOEscalationConfigurationWarn xmlns="http://www.Qumas.com/Qumas.ContentTypes/BasePanel"&gt;false&lt;/AOEscalationConfigurationWarn&gt;&lt;AONumDaysToComplete xmlns="http://www.Qumas.com/Qumas.ContentTypes/BasePanel"&gt;true&lt;/AONumDaysToComplete&gt;&lt;AOPanelCompletion xmlns="http://www.Qumas.com/Qumas.ContentTypes/BasePanel"&gt;false&lt;/AOPanelCompletion&gt;&lt;AOTaskDescription xmlns="http://www.Qumas.com/Qumas.ContentTypes/BasePanel"&gt;true&lt;/AOTaskDescription&gt;&lt;AOTaskTitle xmlns="http://www.Qumas.com/Qumas.ContentTypes/BasePanel"&gt;false&lt;/AOTaskTitle&gt;&lt;EscalationConfigurationOverdue xmlns="http://www.Qumas.com/Qumas.ContentTypes/BasePanel" xmlns:b="http://www.Qumas.com/Qumas.Compliance/Configuration/Controls/EscalationNotificationOverdueConf"&gt;&lt;b:DaysRepeat&gt;2&lt;/b:DaysRepeat&gt;&lt;b:InitialNotification&gt;Approaching Periodic Review Escalation&lt;/b:InitialNotification&gt;&lt;b:IsEnableTaskEscalation&gt;false&lt;/b:IsEnableTaskEscalation&gt;&lt;b:IsOverdueHighPriority&gt;false&lt;/b:IsOverdueHighPriority&gt;&lt;b:IsRepeatNotification&gt;false&lt;/b:IsRepeatNotification&gt;&lt;b:RepeatNotification&gt;Approaching Periodic Review Escalation&lt;/b:RepeatNotification&gt;&lt;/EscalationConfigurationOverdue&gt;&lt;EscalationConfigurationWarn xmlns="http://www.Qumas.com/Qumas.ContentTypes/BasePanel" xmlns:b="http://www.Qumas.com/Qumas.Compliance/Configuration/Controls/EscalationNotificationWarnConf"&gt;&lt;b:DaysBeforeDueDate&gt;3&lt;/b:DaysBeforeDueDate&gt;&lt;b:DaysRepeat&gt;2&lt;/b:DaysRepeat&gt;&lt;b:IsRepeatNotification&gt;true&lt;/b:IsRepeatNotification&gt;&lt;b:IsWarnSoonOvedue&gt;true&lt;/b:IsWarnSoonOvedue&gt;&lt;b:NotificationBeforeDueDate&gt;Default Pending Escalation&lt;/b:NotificationBeforeDueDate&gt;&lt;b:RepeatNotification&gt;Default Pending Escalation&lt;/b:RepeatNotification&gt;&lt;/EscalationConfigurationWarn&gt;&lt;HOEscalationConfigurationOverdue xmlns="http://www.Qumas.com/Qumas.ContentTypes/BasePanel"&gt;true&lt;/HOEscalationConfigurationOverdue&gt;&lt;HOEscalationConfigurationWarn xmlns="http://www.Qumas.com/Qumas.ContentTypes/BasePanel"&gt;true&lt;/HOEscalationConfigurationWarn&gt;&lt;HONumDaysToComplete xmlns="http://www.Qumas.com/Qumas.ContentTypes/BasePanel"&gt;false&lt;/HONumDaysToComplete&gt;&lt;HOPanelCompletion xmlns="http://www.Qumas.com/Qumas.ContentTypes/BasePanel"&gt;true&lt;/HOPanelCompletion&gt;&lt;HOTaskDescription xmlns="http://www.Qumas.com/Qumas.ContentTypes/BasePanel"&gt;false&lt;/HOTaskDescription&gt;&lt;HOTaskTitle xmlns="http://www.Qumas.com/Qumas.ContentTypes/BasePanel"&gt;false&lt;/HOTaskTitle&gt;&lt;HaltOnSingleDisapproval xmlns="http://www.Qumas.com/Qumas.ContentTypes/BasePanel"&gt;true&lt;/HaltOnSingleDisapproval&gt;&lt;NumDaysToComplete xmlns="http://www.Qumas.com/Qumas.ContentTypes/BasePanel"&gt;7&lt;/NumDaysToComplete&gt;&lt;PanelName xmlns="http://www.Qumas.com/Qumas.ContentTypes/BasePanel"&gt;Final Revise&lt;/PanelName&gt;&lt;QuorumNumber xmlns="http://www.Qumas.com/Qumas.ContentTypes/BasePanel"&gt;1&lt;/QuorumNumber&gt;&lt;SegregationCfg xmlns="http://www.Qumas.com/Qumas.ContentTypes/BasePanel" xmlns:b="http://www.Qumas.com/Qumas.Compliance/Configuration/Controls/SegregationConfig"&gt;&lt;TimeStamp i:nil="true" xmlns="http://schemas.datacontract.org/2004/07/QUMAS.Compliance.Common.SOM.DataContracts" /&gt;&lt;UniqueId xmlns="http://schemas.datacontract.org/2004/07/QUMAS.Compliance.Common.SOM.DataContracts"&gt;00000000-0000-0000-0000-000000000000&lt;/UniqueId&gt;&lt;b:AO&gt;true&lt;/b:AO&gt;&lt;b:Assignees xmlns:c="http://schemas.datacontract.org/2004/07/QUMAS.Compliance.Common.SOM.DataContracts.Security" /&gt;&lt;b:Filter xmlns:c="http://schemas.datacontract.org/2004/07/QUMAS.Compliance.Common.SOM.DataContracts.Security"&gt;&lt;TimeStamp i:nil="true" xmlns="http://schemas.datacontract.org/2004/07/QUMAS.Compliance.Common.SOM.DataContracts" /&gt;&lt;UniqueId xmlns="http://schemas.datacontract.org/2004/07/QUMAS.Compliance.Common.SOM.DataContracts"&gt;00000000-0000-0000-0000-000000000000&lt;/UniqueId&gt;&lt;c:Id&gt;30&lt;/c:Id&gt;&lt;c:Member&gt;workflow_participants_grp&lt;/c:Member&gt;&lt;c:MemberType&gt;SharePointGroup&lt;/c:MemberType&gt;&lt;/b:Filter&gt;&lt;b:HO&gt;false&lt;/b:HO&gt;&lt;b:Limit&gt;true&lt;/b:Limit&gt;&lt;b:SepTasks&gt;true&lt;/b:SepTasks&gt;&lt;/SegregationCfg&gt;&lt;TaskDescription xmlns="http://www.Qumas.com/Qumas.ContentTypes/BasePanel"&gt;Please review {Title} ({Name}). You should check-in the document and complete this task once the revisions are complete.&lt;/TaskDescription&gt;&lt;TaskTitle xmlns="http://www.Qumas.com/Qumas.ContentTypes/BasePanel"&gt;Revise task for {Title} ({Name})&lt;/TaskTitle&gt;&lt;a:AOEnableOutcome&gt;false&lt;/a:AOEnableOutcome&gt;&lt;a:EnableOutcome&gt;false&lt;/a:EnableOutcome&gt;&lt;a:HOEnableOutcome&gt;false&lt;/a:HOEnableOutcome&gt;&lt;a:PanelCompletion&gt;AllTasksCompletion&lt;/a:PanelCompletion&gt;&lt;/a:RevisePanel&gt;&lt;/Panels&gt;&lt;SegregationCfg i:nil="true" xmlns:a="http://www.Qumas.com/Qumas.Compliance/Configuration/Controls/SegregationConfig" /&gt;&lt;TaskDescription i:nil="true" /&gt;&lt;TaskTitle i:nil="true" /&gt;&lt;WorkflowCompletionCondition&gt;Unspecified&lt;/WorkflowCompletionCondition&gt;&lt;WorkspaceAdditionalMembers i:nil="true" xmlns:a="http://schemas.datacontract.org/2004/07/QUMAS.Compliance.Common.SOM.DataContracts.Security" /&gt;&lt;WorkspaceName&gt;Unspecified&lt;/WorkspaceName&gt;&lt;WorkspaceTemplate i:nil="true" /&gt;&lt;WorkspaceUrl i:nil="true" /&gt;&lt;/CtReviseWFConfig&gt;</b:WorkflowConfiguration></a:Value></a:KeyValueOfstringLifecycleActionNamedConfigurationWMHOgtwe><a:KeyValueOfstringLifecycleActionNamedConfigurationWMHOgtwe><a:Key>Revise - 3 Panel</a:Key><a:Value xmlns:b="http://www.Qumas.com/Qumas.Compliance/Configuration/LifecycleAction/LifecycleActionNamedConfiguration"><TimeStamp i:nil="true" xmlns="http://schemas.datacontract.org/2004/07/QUMAS.Compliance.Common.SOM.DataContracts" /><UniqueId xmlns="http://schemas.datacontract.org/2004/07/QUMAS.Compliance.Common.SOM.DataContracts">00000000-0000-0000-0000-000000000000</UniqueId><b:AOAutoTransitionToNextAction>false</b:AOAutoTransitionToNextAction><b:AllowedPrincipals xmlns:c="http://schemas.datacontract.org/2004/07/QUMAS.Compliance.Common.SOM.DataContracts.Security"><c:UserOrGroup><TimeStamp i:nil="true" xmlns="http://schemas.datacontract.org/2004/07/QUMAS.Compliance.Common.SOM.DataContracts" /><UniqueId xmlns="http://schemas.datacontract.org/2004/07/QUMAS.Compliance.Common.SOM.DataContracts">00000000-0000-0000-0000-000000000000</UniqueId><c:Id>0</c:Id><c:Member>initiate_workflow_grp</c:Member><c:MemberType>SharePointGroup</c:MemberType></c:UserOrGroup></b:AllowedPrincipals><b:AutoTransitionToNextAction>false</b:AutoTransitionToNextAction><b:Description>Start the Revise workflow to allow editing of a document.</b:Description><b:DirectActionConfiguration xmlns:c="http://www.Qumas.com/Qumas.Compliance/Configuration/LifecycleAction/DirectActionConfiguration"><TimeStamp i:nil="true" xmlns="http://schemas.datacontract.org/2004/07/QUMAS.Compliance.Common.SOM.DataContracts" /><UniqueId xmlns="http://schemas.datacontract.org/2004/07/QUMAS.Compliance.Common.SOM.DataContracts">00000000-0000-0000-0000-000000000000</UniqueId><c:EsignatureRequired xmlns:d="http://www.Qumas.com/Qumas.Compliance/Configuration/Controls/EsignatureRequiredConf"><TimeStamp i:nil="true" xmlns="http://schemas.datacontract.org/2004/07/QUMAS.Compliance.Common.SOM.DataContracts" /><UniqueId xmlns="http://schemas.datacontract.org/2004/07/QUMAS.Compliance.Common.SOM.DataContracts">00000000-0000-0000-0000-000000000000</UniqueId><d:BusinessRole>Quality Manager</d:BusinessRole><d:MeaningOfSignatureCode>GMPDocApproval</d:MeaningOfSignatureCode><d:RequiresESig>false</d:RequiresESig></c:EsignatureRequired><c:RetractReleasedDoc>false</c:RetractReleasedDoc></b:DirectActionConfiguration><b:EffectiveRenderTemplate i:nil="true" /><b:EndTransitionRenderTemplate>Approved Submission</b:EndTransitionRenderTemplate><b:HOAutoTransitionToNextAction>false</b:HOAutoTransitionToNextAction><b:MetaDataColumnId /><b:MetaDataColumnValue /><b:Name>Revise - 3 Panel</b:Name><b:ReleaseConditions xmlns:c="http://www.Qumas.com/Qumas.Compliance/Configuration/LifecycleAction/ReleaseConditionsConfiguration"><TimeStamp i:nil="true" xmlns="http://schemas.datacontract.org/2004/07/QUMAS.Compliance.Common.SOM.DataContracts" /><UniqueId xmlns="http://schemas.datacontract.org/2004/07/QUMAS.Compliance.Common.SOM.DataContracts">00000000-0000-0000-0000-000000000000</UniqueId><c:AfterDays i:nil="true" /><c:AllowedPrincipals xmlns:d="http://schemas.datacontract.org/2004/07/QUMAS.Compliance.Common.SOM.DataContracts.Security" /><c:ReleaseName>Release</c:ReleaseName><c:Type>Automatic</c:Type></b:ReleaseConditions><b:StartTransitionRenderTemplate>Approved Submission</b:StartTransitionRenderTemplate><b:TransitionOptions>UseWorkflow</b:TransitionOptions><b:WorkflowConfiguration>&lt;CtReviseWFConfig xmlns="http://www.Qumas.com/Qumas.Compliance/Qumas.ContentTypes/CtReviseWFConfig" xmlns:i="http://www.w3.org/2001/XMLSchema-instance"&gt;&lt;TimeStamp i:nil="true" xmlns="http://schemas.datacontract.org/2004/07/QUMAS.Compliance.Common.SOM.DataContracts" /&gt;&lt;UniqueId xmlns="http://schemas.datacontract.org/2004/07/QUMAS.Compliance.Common.SOM.DataContracts"&gt;00000000-0000-0000-0000-000000000000&lt;/UniqueId&gt;&lt;AOAutomaticallyCreateWorkspace&gt;false&lt;/AOAutomaticallyCreateWorkspace&gt;&lt;AOAutomaticallyDeleteWorkspace&gt;false&lt;/AOAutomaticallyDeleteWorkspace&gt;&lt;AODuration&gt;true&lt;/AODuration&gt;&lt;AOEscalationConfigurationOverdue&gt;false&lt;/AOEscalationConfigurationOverdue&gt;&lt;AOEscalationConfigurationWarn&gt;false&lt;/AOEscalationConfigurationWarn&gt;&lt;AOTaskDescription&gt;false&lt;/AOTaskDescription&gt;&lt;AOTaskTitle&gt;false&lt;/AOTaskTitle&gt;&lt;AOWorkflowCompletionCondition&gt;false&lt;/AOWorkflowCompletionCondition&gt;&lt;AOWorkspaceAdditionalMembers&gt;false&lt;/AOWorkspaceAdditionalMembers&gt;&lt;AOWorkspaceName&gt;false&lt;/AOWorkspaceName&gt;&lt;AOWorkspaceTemplate&gt;false&lt;/AOWorkspaceTemplate&gt;&lt;AOWorkspaceUrl&gt;false&lt;/AOWorkspaceUrl&gt;&lt;AutomaticallyCreateWorkspace&gt;false&lt;/AutomaticallyCreateWorkspace&gt;&lt;AutomaticallyDeleteWorkspace&gt;false&lt;/AutomaticallyDeleteWorkspace&gt;&lt;Duration&gt;10&lt;/Duration&gt;&lt;EscalationConfigurationOverdue i:nil="true" xmlns:a="http://www.Qumas.com/Qumas.Compliance/Configuration/Controls/EscalationNotificationOverdueConf" /&gt;&lt;EscalationConfigurationWarn i:nil="true" xmlns:a="http://www.Qumas.com/Qumas.Compliance/Configuration/Controls/EscalationNotificationWarnConf" /&gt;&lt;HOAutomaticallyCreateWorkspace&gt;true&lt;/HOAutomaticallyCreateWorkspace&gt;&lt;HOAutomaticallyDeleteWorkspace&gt;false&lt;/HOAutomaticallyDeleteWorkspace&gt;&lt;HODuration&gt;false&lt;/HODuration&gt;&lt;HOEscalationConfigurationOverdue&gt;false&lt;/HOEscalationConfigurationOverdue&gt;&lt;HOEscalationConfigurationWarn&gt;false&lt;/HOEscalationConfigurationWarn&gt;&lt;HOTaskDescription&gt;false&lt;/HOTaskDescription&gt;&lt;HOTaskTitle&gt;false&lt;/HOTaskTitle&gt;&lt;HOWorkflowCompletionCondition&gt;false&lt;/HOWorkflowCompletionCondition&gt;&lt;HOWorkspaceAdditionalMembers&gt;false&lt;/HOWorkspaceAdditionalMembers&gt;&lt;HOWorkspaceName&gt;false&lt;/HOWorkspaceName&gt;&lt;HOWorkspaceTemplate&gt;false&lt;/HOWorkspaceTemplate&gt;&lt;HOWorkspaceUrl&gt;false&lt;/HOWorkspaceUrl&gt;&lt;NumOfTasksToCompleteWorkflow&gt;0&lt;/NumOfTasksToCompleteWorkflow&gt;&lt;Panels xmlns:a="http://www.Qumas.com/Qumas.ContentTypes/RevisePanel"&gt;&lt;a:RevisePanel&gt;&lt;TimeStamp i:nil="true" xmlns="http://schemas.datacontract.org/2004/07/QUMAS.Compliance.Common.SOM.DataContracts" /&gt;&lt;UniqueId xmlns="http://schemas.datacontract.org/2004/07/QUMAS.Compliance.Common.SOM.DataContracts"&gt;00000000-0000-0000-0000-000000000000&lt;/UniqueId&gt;&lt;AOEscalationConfigurationOverdue xmlns="http://www.Qumas.com/Qumas.ContentTypes/BasePanel"&gt;false&lt;/AOEscalationConfigurationOverdue&gt;&lt;AOEscalationConfigurationWarn xmlns="http://www.Qumas.com/Qumas.ContentTypes/BasePanel"&gt;false&lt;/AOEscalationConfigurationWarn&gt;&lt;AONumDaysToComplete xmlns="http://www.Qumas.com/Qumas.ContentTypes/BasePanel"&gt;true&lt;/AONumDaysToComplete&gt;&lt;AOPanelCompletion xmlns="http://www.Qumas.com/Qumas.ContentTypes/BasePanel"&gt;false&lt;/AOPanelCompletion&gt;&lt;AOTaskDescription xmlns="http://www.Qumas.com/Qumas.ContentTypes/BasePanel"&gt;true&lt;/AOTaskDescription&gt;&lt;AOTaskTitle xmlns="http://www.Qumas.com/Qumas.ContentTypes/BasePanel"&gt;false&lt;/AOTaskTitle&gt;&lt;EscalationConfigurationOverdue xmlns="http://www.Qumas.com/Qumas.ContentTypes/BasePanel" xmlns:b="http://www.Qumas.com/Qumas.Compliance/Configuration/Controls/EscalationNotificationOverdueConf"&gt;&lt;b:DaysRepeat&gt;2&lt;/b:DaysRepeat&gt;&lt;b:InitialNotification&gt;Approaching Periodic Review Escalation&lt;/b:InitialNotification&gt;&lt;b:IsEnableTaskEscalation&gt;false&lt;/b:IsEnableTaskEscalation&gt;&lt;b:IsOverdueHighPriority&gt;false&lt;/b:IsOverdueHighPriority&gt;&lt;b:IsRepeatNotification&gt;false&lt;/b:IsRepeatNotification&gt;&lt;b:RepeatNotification&gt;Approaching Periodic Review Escalation&lt;/b:RepeatNotification&gt;&lt;/EscalationConfigurationOverdue&gt;&lt;EscalationConfigurationWarn xmlns="http://www.Qumas.com/Qumas.ContentTypes/BasePanel" xmlns:b="http://www.Qumas.com/Qumas.Compliance/Configuration/Controls/EscalationNotificationWarnConf"&gt;&lt;b:DaysBeforeDueDate&gt;3&lt;/b:DaysBeforeDueDate&gt;&lt;b:DaysRepeat&gt;2&lt;/b:DaysRepeat&gt;&lt;b:IsRepeatNotification&gt;true&lt;/b:IsRepeatNotification&gt;&lt;b:IsWarnSoonOvedue&gt;true&lt;/b:IsWarnSoonOvedue&gt;&lt;b:NotificationBeforeDueDate&gt;Default Pending Escalation&lt;/b:NotificationBeforeDueDate&gt;&lt;b:RepeatNotification&gt;Default Pending Escalation&lt;/b:RepeatNotification&gt;&lt;/EscalationConfigurationWarn&gt;&lt;HOEscalationConfigurationOverdue xmlns="http://www.Qumas.com/Qumas.ContentTypes/BasePanel"&gt;true&lt;/HOEscalationConfigurationOverdue&gt;&lt;HOEscalationConfigurationWarn xmlns="http://www.Qumas.com/Qumas.ContentTypes/BasePanel"&gt;true&lt;/HOEscalationConfigurationWarn&gt;&lt;HONumDaysToComplete xmlns="http://www.Qumas.com/Qumas.ContentTypes/BasePanel"&gt;false&lt;/HONumDaysToComplete&gt;&lt;HOPanelCompletion xmlns="http://www.Qumas.com/Qumas.ContentTypes/BasePanel"&gt;true&lt;/HOPanelCompletion&gt;&lt;HOTaskDescription xmlns="http://www.Qumas.com/Qumas.ContentTypes/BasePanel"&gt;false&lt;/HOTaskDescription&gt;&lt;HOTaskTitle xmlns="http://www.Qumas.com/Qumas.ContentTypes/BasePanel"&gt;false&lt;/HOTaskTitle&gt;&lt;HaltOnSingleDisapproval xmlns="http://www.Qumas.com/Qumas.ContentTypes/BasePanel"&gt;true&lt;/HaltOnSingleDisapproval&gt;&lt;NumDaysToComplete xmlns="http://www.Qumas.com/Qumas.ContentTypes/BasePanel"&gt;7&lt;/NumDaysToComplete&gt;&lt;PanelName xmlns="http://www.Qumas.com/Qumas.ContentTypes/BasePanel"&gt;Draft Revise&lt;/PanelName&gt;&lt;QuorumNumber xmlns="http://www.Qumas.com/Qumas.ContentTypes/BasePanel"&gt;1&lt;/QuorumNumber&gt;&lt;SegregationCfg xmlns="http://www.Qumas.com/Qumas.ContentTypes/BasePanel" xmlns:b="http://www.Qumas.com/Qumas.Compliance/Configuration/Controls/SegregationConfig"&gt;&lt;TimeStamp i:nil="true" xmlns="http://schemas.datacontract.org/2004/07/QUMAS.Compliance.Common.SOM.DataContracts" /&gt;&lt;UniqueId xmlns="http://schemas.datacontract.org/2004/07/QUMAS.Compliance.Common.SOM.DataContracts"&gt;00000000-0000-0000-0000-000000000000&lt;/UniqueId&gt;&lt;b:AO&gt;true&lt;/b:AO&gt;&lt;b:Assignees xmlns:c="http://schemas.datacontract.org/2004/07/QUMAS.Compliance.Common.SOM.DataContracts.Security" /&gt;&lt;b:Filter xmlns:c="http://schemas.datacontract.org/2004/07/QUMAS.Compliance.Common.SOM.DataContracts.Security"&gt;&lt;TimeStamp i:nil="true" xmlns="http://schemas.datacontract.org/2004/07/QUMAS.Compliance.Common.SOM.DataContracts" /&gt;&lt;UniqueId xmlns="http://schemas.datacontract.org/2004/07/QUMAS.Compliance.Common.SOM.DataContracts"&gt;00000000-0000-0000-0000-000000000000&lt;/UniqueId&gt;&lt;c:Id&gt;30&lt;/c:Id&gt;&lt;c:Member&gt;workflow_participants_grp&lt;/c:Member&gt;&lt;c:MemberType&gt;SharePointGroup&lt;/c:MemberType&gt;&lt;/b:Filter&gt;&lt;b:HO&gt;false&lt;/b:HO&gt;&lt;b:Limit&gt;true&lt;/b:Limit&gt;&lt;b:SepTasks&gt;true&lt;/b:SepTasks&gt;&lt;/SegregationCfg&gt;&lt;TaskDescription xmlns="http://www.Qumas.com/Qumas.ContentTypes/BasePanel"&gt;Please review {Title} ({Name}). You should check-in the document and complete this task once the revisions are complete.&lt;/TaskDescription&gt;&lt;TaskTitle xmlns="http://www.Qumas.com/Qumas.ContentTypes/BasePanel"&gt;Revise task for {Title} ({Name})&lt;/TaskTitle&gt;&lt;a:AOEnableOutcome&gt;false&lt;/a:AOEnableOutcome&gt;&lt;a:EnableOutcome&gt;false&lt;/a:EnableOutcome&gt;&lt;a:HOEnableOutcome&gt;false&lt;/a:HOEnableOutcome&gt;&lt;a:PanelCompletion&gt;AllTasksCompletion&lt;/a:PanelCompletion&gt;&lt;/a:RevisePanel&gt;&lt;a:RevisePanel&gt;&lt;TimeStamp i:nil="true" xmlns="http://schemas.datacontract.org/2004/07/QUMAS.Compliance.Common.SOM.DataContracts" /&gt;&lt;UniqueId xmlns="http://schemas.datacontract.org/2004/07/QUMAS.Compliance.Common.SOM.DataContracts"&gt;00000000-0000-0000-0000-000000000000&lt;/UniqueId&gt;&lt;AOEscalationConfigurationOverdue xmlns="http://www.Qumas.com/Qumas.ContentTypes/BasePanel"&gt;false&lt;/AOEscalationConfigurationOverdue&gt;&lt;AOEscalationConfigurationWarn xmlns="http://www.Qumas.com/Qumas.ContentTypes/BasePanel"&gt;false&lt;/AOEscalationConfigurationWarn&gt;&lt;AONumDaysToComplete xmlns="http://www.Qumas.com/Qumas.ContentTypes/BasePanel"&gt;true&lt;/AONumDaysToComplete&gt;&lt;AOPanelCompletion xmlns="http://www.Qumas.com/Qumas.ContentTypes/BasePanel"&gt;false&lt;/AOPanelCompletion&gt;&lt;AOTaskDescription xmlns="http://www.Qumas.com/Qumas.ContentTypes/BasePanel"&gt;true&lt;/AOTaskDescription&gt;&lt;AOTaskTitle xmlns="http://www.Qumas.com/Qumas.ContentTypes/BasePanel"&gt;false&lt;/AOTaskTitle&gt;&lt;EscalationConfigurationOverdue xmlns="http://www.Qumas.com/Qumas.ContentTypes/BasePanel" xmlns:b="http://www.Qumas.com/Qumas.Compliance/Configuration/Controls/EscalationNotificationOverdueConf"&gt;&lt;b:DaysRepeat&gt;2&lt;/b:DaysRepeat&gt;&lt;b:InitialNotification&gt;Approaching Periodic Review Escalation&lt;/b:InitialNotification&gt;&lt;b:IsEnableTaskEscalation&gt;false&lt;/b:IsEnableTaskEscalation&gt;&lt;b:IsOverdueHighPriority&gt;false&lt;/b:IsOverdueHighPriority&gt;&lt;b:IsRepeatNotification&gt;false&lt;/b:IsRepeatNotification&gt;&lt;b:RepeatNotification&gt;Approaching Periodic Review Escalation&lt;/b:RepeatNotification&gt;&lt;/EscalationConfigurationOverdue&gt;&lt;EscalationConfigurationWarn xmlns="http://www.Qumas.com/Qumas.ContentTypes/BasePanel" xmlns:b="http://www.Qumas.com/Qumas.Compliance/Configuration/Controls/EscalationNotificationWarnConf"&gt;&lt;b:DaysBeforeDueDate&gt;3&lt;/b:DaysBeforeDueDate&gt;&lt;b:DaysRepeat&gt;2&lt;/b:DaysRepeat&gt;&lt;b:IsRepeatNotification&gt;true&lt;/b:IsRepeatNotification&gt;&lt;b:IsWarnSoonOvedue&gt;true&lt;/b:IsWarnSoonOvedue&gt;&lt;b:NotificationBeforeDueDate&gt;Default Pending Escalation&lt;/b:NotificationBeforeDueDate&gt;&lt;b:RepeatNotification&gt;Default Pending Escalation&lt;/b:RepeatNotification&gt;&lt;/EscalationConfigurationWarn&gt;&lt;HOEscalationConfigurationOverdue xmlns="http://www.Qumas.com/Qumas.ContentTypes/BasePanel"&gt;true&lt;/HOEscalationConfigurationOverdue&gt;&lt;HOEscalationConfigurationWarn xmlns="http://www.Qumas.com/Qumas.ContentTypes/BasePanel"&gt;true&lt;/HOEscalationConfigurationWarn&gt;&lt;HONumDaysToComplete xmlns="http://www.Qumas.com/Qumas.ContentTypes/BasePanel"&gt;false&lt;/HONumDaysToComplete&gt;&lt;HOPanelCompletion xmlns="http://www.Qumas.com/Qumas.ContentTypes/BasePanel"&gt;true&lt;/HOPanelCompletion&gt;&lt;HOTaskDescription xmlns="http://www.Qumas.com/Qumas.ContentTypes/BasePanel"&gt;false&lt;/HOTaskDescription&gt;&lt;HOTaskTitle xmlns="http://www.Qumas.com/Qumas.ContentTypes/BasePanel"&gt;false&lt;/HOTaskTitle&gt;&lt;HaltOnSingleDisapproval xmlns="http://www.Qumas.com/Qumas.ContentTypes/BasePanel"&gt;true&lt;/HaltOnSingleDisapproval&gt;&lt;NumDaysToComplete xmlns="http://www.Qumas.com/Qumas.ContentTypes/BasePanel"&gt;7&lt;/NumDaysToComplete&gt;&lt;PanelName xmlns="http://www.Qumas.com/Qumas.ContentTypes/BasePanel"&gt;Cross Revise&lt;/PanelName&gt;&lt;QuorumNumber xmlns="http://www.Qumas.com/Qumas.ContentTypes/BasePanel"&gt;1&lt;/QuorumNumber&gt;&lt;SegregationCfg xmlns="http://www.Qumas.com/Qumas.ContentTypes/BasePanel" xmlns:b="http://www.Qumas.com/Qumas.Compliance/Configuration/Controls/SegregationConfig"&gt;&lt;TimeStamp i:nil="true" xmlns="http://schemas.datacontract.org/2004/07/QUMAS.Compliance.Common.SOM.DataContracts" /&gt;&lt;UniqueId xmlns="http://schemas.datacontract.org/2004/07/QUMAS.Compliance.Common.SOM.DataContracts"&gt;00000000-0000-0000-0000-000000000000&lt;/UniqueId&gt;&lt;b:AO&gt;true&lt;/b:AO&gt;&lt;b:Assignees xmlns:c="http://schemas.datacontract.org/2004/07/QUMAS.Compliance.Common.SOM.DataContracts.Security" /&gt;&lt;b:Filter xmlns:c="http://schemas.datacontract.org/2004/07/QUMAS.Compliance.Common.SOM.DataContracts.Security"&gt;&lt;TimeStamp i:nil="true" xmlns="http://schemas.datacontract.org/2004/07/QUMAS.Compliance.Common.SOM.DataContracts" /&gt;&lt;UniqueId xmlns="http://schemas.datacontract.org/2004/07/QUMAS.Compliance.Common.SOM.DataContracts"&gt;00000000-0000-0000-0000-000000000000&lt;/UniqueId&gt;&lt;c:Id&gt;30&lt;/c:Id&gt;&lt;c:Member&gt;workflow_participants_grp&lt;/c:Member&gt;&lt;c:MemberType&gt;SharePointGroup&lt;/c:MemberType&gt;&lt;/b:Filter&gt;&lt;b:HO&gt;false&lt;/b:HO&gt;&lt;b:Limit&gt;true&lt;/b:Limit&gt;&lt;b:SepTasks&gt;true&lt;/b:SepTasks&gt;&lt;/SegregationCfg&gt;&lt;TaskDescription xmlns="http://www.Qumas.com/Qumas.ContentTypes/BasePanel"&gt;Please review {Title} ({Name}). You should check-in the document and complete this task once the revisions are complete.&lt;/TaskDescription&gt;&lt;TaskTitle xmlns="http://www.Qumas.com/Qumas.ContentTypes/BasePanel"&gt;Revise task for {Title} ({Name})&lt;/TaskTitle&gt;&lt;a:AOEnableOutcome&gt;false&lt;/a:AOEnableOutcome&gt;&lt;a:EnableOutcome&gt;false&lt;/a:EnableOutcome&gt;&lt;a:HOEnableOutcome&gt;false&lt;/a:HOEnableOutcome&gt;&lt;a:PanelCompletion&gt;AllTasksCompletion&lt;/a:PanelCompletion&gt;&lt;/a:RevisePanel&gt;&lt;a:RevisePanel&gt;&lt;TimeStamp i:nil="true" xmlns="http://schemas.datacontract.org/2004/07/QUMAS.Compliance.Common.SOM.DataContracts" /&gt;&lt;UniqueId xmlns="http://schemas.datacontract.org/2004/07/QUMAS.Compliance.Common.SOM.DataContracts"&gt;00000000-0000-0000-0000-000000000000&lt;/UniqueId&gt;&lt;AOEscalationConfigurationOverdue xmlns="http://www.Qumas.com/Qumas.ContentTypes/BasePanel"&gt;false&lt;/AOEscalationConfigurationOverdue&gt;&lt;AOEscalationConfigurationWarn xmlns="http://www.Qumas.com/Qumas.ContentTypes/BasePanel"&gt;false&lt;/AOEscalationConfigurationWarn&gt;&lt;AONumDaysToComplete xmlns="http://www.Qumas.com/Qumas.ContentTypes/BasePanel"&gt;true&lt;/AONumDaysToComplete&gt;&lt;AOPanelCompletion xmlns="http://www.Qumas.com/Qumas.ContentTypes/BasePanel"&gt;false&lt;/AOPanelCompletion&gt;&lt;AOTaskDescription xmlns="http://www.Qumas.com/Qumas.ContentTypes/BasePanel"&gt;true&lt;/AOTaskDescription&gt;&lt;AOTaskTitle xmlns="http://www.Qumas.com/Qumas.ContentTypes/BasePanel"&gt;false&lt;/AOTaskTitle&gt;&lt;EscalationConfigurationOverdue xmlns="http://www.Qumas.com/Qumas.ContentTypes/BasePanel" xmlns:b="http://www.Qumas.com/Qumas.Compliance/Configuration/Controls/EscalationNotificationOverdueConf"&gt;&lt;b:DaysRepeat&gt;2&lt;/b:DaysRepeat&gt;&lt;b:InitialNotification&gt;Approaching Periodic Review Escalation&lt;/b:InitialNotification&gt;&lt;b:IsEnableTaskEscalation&gt;false&lt;/b:IsEnableTaskEscalation&gt;&lt;b:IsOverdueHighPriority&gt;false&lt;/b:IsOverdueHighPriority&gt;&lt;b:IsRepeatNotification&gt;false&lt;/b:IsRepeatNotification&gt;&lt;b:RepeatNotification&gt;Approaching Periodic Review Escalation&lt;/b:RepeatNotification&gt;&lt;/EscalationConfigurationOverdue&gt;&lt;EscalationConfigurationWarn xmlns="http://www.Qumas.com/Qumas.ContentTypes/BasePanel" xmlns:b="http://www.Qumas.com/Qumas.Compliance/Configuration/Controls/EscalationNotificationWarnConf"&gt;&lt;b:DaysBeforeDueDate&gt;3&lt;/b:DaysBeforeDueDate&gt;&lt;b:DaysRepeat&gt;2&lt;/b:DaysRepeat&gt;&lt;b:IsRepeatNotification&gt;true&lt;/b:IsRepeatNotification&gt;&lt;b:IsWarnSoonOvedue&gt;true&lt;/b:IsWarnSoonOvedue&gt;&lt;b:NotificationBeforeDueDate&gt;Default Pending Escalation&lt;/b:NotificationBeforeDueDate&gt;&lt;b:RepeatNotification&gt;Default Pending Escalation&lt;/b:RepeatNotification&gt;&lt;/EscalationConfigurationWarn&gt;&lt;HOEscalationConfigurationOverdue xmlns="http://www.Qumas.com/Qumas.ContentTypes/BasePanel"&gt;true&lt;/HOEscalationConfigurationOverdue&gt;&lt;HOEscalationConfigurationWarn xmlns="http://www.Qumas.com/Qumas.ContentTypes/BasePanel"&gt;true&lt;/HOEscalationConfigurationWarn&gt;&lt;HONumDaysToComplete xmlns="http://www.Qumas.com/Qumas.ContentTypes/BasePanel"&gt;false&lt;/HONumDaysToComplete&gt;&lt;HOPanelCompletion xmlns="http://www.Qumas.com/Qumas.ContentTypes/BasePanel"&gt;true&lt;/HOPanelCompletion&gt;&lt;HOTaskDescription xmlns="http://www.Qumas.com/Qumas.ContentTypes/BasePanel"&gt;false&lt;/HOTaskDescription&gt;&lt;HOTaskTitle xmlns="http://www.Qumas.com/Qumas.ContentTypes/BasePanel"&gt;false&lt;/HOTaskTitle&gt;&lt;HaltOnSingleDisapproval xmlns="http://www.Qumas.com/Qumas.ContentTypes/BasePanel"&gt;true&lt;/HaltOnSingleDisapproval&gt;&lt;NumDaysToComplete xmlns="http://www.Qumas.com/Qumas.ContentTypes/BasePanel"&gt;7&lt;/NumDaysToComplete&gt;&lt;PanelName xmlns="http://www.Qumas.com/Qumas.ContentTypes/BasePanel"&gt;Final Revise&lt;/PanelName&gt;&lt;QuorumNumber xmlns="http://www.Qumas.com/Qumas.ContentTypes/BasePanel"&gt;1&lt;/QuorumNumber&gt;&lt;SegregationCfg xmlns="http://www.Qumas.com/Qumas.ContentTypes/BasePanel" xmlns:b="http://www.Qumas.com/Qumas.Compliance/Configuration/Controls/SegregationConfig"&gt;&lt;TimeStamp i:nil="true" xmlns="http://schemas.datacontract.org/2004/07/QUMAS.Compliance.Common.SOM.DataContracts" /&gt;&lt;UniqueId xmlns="http://schemas.datacontract.org/2004/07/QUMAS.Compliance.Common.SOM.DataContracts"&gt;00000000-0000-0000-0000-000000000000&lt;/UniqueId&gt;&lt;b:AO&gt;true&lt;/b:AO&gt;&lt;b:Assignees xmlns:c="http://schemas.datacontract.org/2004/07/QUMAS.Compliance.Common.SOM.DataContracts.Security" /&gt;&lt;b:Filter xmlns:c="http://schemas.datacontract.org/2004/07/QUMAS.Compliance.Common.SOM.DataContracts.Security"&gt;&lt;TimeStamp i:nil="true" xmlns="http://schemas.datacontract.org/2004/07/QUMAS.Compliance.Common.SOM.DataContracts" /&gt;&lt;UniqueId xmlns="http://schemas.datacontract.org/2004/07/QUMAS.Compliance.Common.SOM.DataContracts"&gt;00000000-0000-0000-0000-000000000000&lt;/UniqueId&gt;&lt;c:Id&gt;30&lt;/c:Id&gt;&lt;c:Member&gt;workflow_participants_grp&lt;/c:Member&gt;&lt;c:MemberType&gt;SharePointGroup&lt;/c:MemberType&gt;&lt;/b:Filter&gt;&lt;b:HO&gt;false&lt;/b:HO&gt;&lt;b:Limit&gt;true&lt;/b:Limit&gt;&lt;b:SepTasks&gt;true&lt;/b:SepTasks&gt;&lt;/SegregationCfg&gt;&lt;TaskDescription xmlns="http://www.Qumas.com/Qumas.ContentTypes/BasePanel"&gt;Please review {Title} ({Name}). You should check-in the document and complete this task once the revisions are complete.&lt;/TaskDescription&gt;&lt;TaskTitle xmlns="http://www.Qumas.com/Qumas.ContentTypes/BasePanel"&gt;Revise task for {Title} ({Name})&lt;/TaskTitle&gt;&lt;a:AOEnableOutcome&gt;false&lt;/a:AOEnableOutcome&gt;&lt;a:EnableOutcome&gt;false&lt;/a:EnableOutcome&gt;&lt;a:HOEnableOutcome&gt;false&lt;/a:HOEnableOutcome&gt;&lt;a:PanelCompletion&gt;AllTasksCompletion&lt;/a:PanelCompletion&gt;&lt;/a:RevisePanel&gt;&lt;/Panels&gt;&lt;SegregationCfg i:nil="true" xmlns:a="http://www.Qumas.com/Qumas.Compliance/Configuration/Controls/SegregationConfig" /&gt;&lt;TaskDescription i:nil="true" /&gt;&lt;TaskTitle i:nil="true" /&gt;&lt;WorkflowCompletionCondition&gt;Unspecified&lt;/WorkflowCompletionCondition&gt;&lt;WorkspaceAdditionalMembers i:nil="true" xmlns:a="http://schemas.datacontract.org/2004/07/QUMAS.Compliance.Common.SOM.DataContracts.Security" /&gt;&lt;WorkspaceName&gt;Unspecified&lt;/WorkspaceName&gt;&lt;WorkspaceTemplate i:nil="true" /&gt;&lt;WorkspaceUrl i:nil="true" /&gt;&lt;/CtReviseWFConfig&gt;</b:WorkflowConfiguration></a:Value></a:KeyValueOfstringLifecycleActionNamedConfigurationWMHOgtwe><a:KeyValueOfstringLifecycleActionNamedConfigurationWMHOgtwe><a:Key>Direct Revise</a:Key><a:Value xmlns:b="http://www.Qumas.com/Qumas.Compliance/Configuration/LifecycleAction/LifecycleActionNamedConfiguration"><TimeStamp i:nil="true" xmlns="http://schemas.datacontract.org/2004/07/QUMAS.Compliance.Common.SOM.DataContracts" /><UniqueId xmlns="http://schemas.datacontract.org/2004/07/QUMAS.Compliance.Common.SOM.DataContracts">00000000-0000-0000-0000-000000000000</UniqueId><b:AOAutoTransitionToNextAction>false</b:AOAutoTransitionToNextAction><b:AllowedPrincipals xmlns:c="http://schemas.datacontract.org/2004/07/QUMAS.Compliance.Common.SOM.DataContracts.Security"><c:UserOrGroup><TimeStamp i:nil="true" xmlns="http://schemas.datacontract.org/2004/07/QUMAS.Compliance.Common.SOM.DataContracts" /><UniqueId xmlns="http://schemas.datacontract.org/2004/07/QUMAS.Compliance.Common.SOM.DataContracts">00000000-0000-0000-0000-000000000000</UniqueId><c:Id>0</c:Id><c:Member>document_coordinators_grp</c:Member><c:MemberType>SharePointGroup</c:MemberType></c:UserOrGroup></b:AllowedPrincipals><b:AutoTransitionToNextAction>false</b:AutoTransitionToNextAction><b:Description>Change lifecycle state to draft directly</b:Description><b:DirectActionConfiguration xmlns:c="http://www.Qumas.com/Qumas.Compliance/Configuration/LifecycleAction/DirectActionConfiguration"><TimeStamp i:nil="true" xmlns="http://schemas.datacontract.org/2004/07/QUMAS.Compliance.Common.SOM.DataContracts" /><UniqueId xmlns="http://schemas.datacontract.org/2004/07/QUMAS.Compliance.Common.SOM.DataContracts">00000000-0000-0000-0000-000000000000</UniqueId><c:EsignatureRequired xmlns:d="http://www.Qumas.com/Qumas.Compliance/Configuration/Controls/EsignatureRequiredConf"><TimeStamp i:nil="true" xmlns="http://schemas.datacontract.org/2004/07/QUMAS.Compliance.Common.SOM.DataContracts" /><UniqueId xmlns="http://schemas.datacontract.org/2004/07/QUMAS.Compliance.Common.SOM.DataContracts">00000000-0000-0000-0000-000000000000</UniqueId><d:BusinessRole /><d:MeaningOfSignatureCode /><d:RequiresESig>false</d:RequiresESig></c:EsignatureRequired><c:RetractReleasedDoc>false</c:RetractReleasedDoc></b:DirectActionConfiguration><b:EffectiveRenderTemplate i:nil="true" /><b:EndTransitionRenderTemplate>Approved Submission</b:EndTransitionRenderTemplate><b:HOAutoTransitionToNextAction>false</b:HOAutoTransitionToNextAction><b:MetaDataColumnId /><b:MetaDataColumnValue /><b:Name>Direct Revise</b:Name><b:ReleaseConditions xmlns:c="http://www.Qumas.com/Qumas.Compliance/Configuration/LifecycleAction/ReleaseConditionsConfiguration"><TimeStamp i:nil="true" xmlns="http://schemas.datacontract.org/2004/07/QUMAS.Compliance.Common.SOM.DataContracts" /><UniqueId xmlns="http://schemas.datacontract.org/2004/07/QUMAS.Compliance.Common.SOM.DataContracts">00000000-0000-0000-0000-000000000000</UniqueId><c:AfterDays i:nil="true" /><c:AllowedPrincipals xmlns:d="http://schemas.datacontract.org/2004/07/QUMAS.Compliance.Common.SOM.DataContracts.Security" /><c:ReleaseName>Release</c:ReleaseName><c:Type>Automatic</c:Type></b:ReleaseConditions><b:StartTransitionRenderTemplate>Approved Submission</b:StartTransitionRenderTemplate><b:TransitionOptions>Direct</b:TransitionOptions><b:WorkflowConfiguration>&lt;CtReviseWFConfig xmlns="http://www.Qumas.com/Qumas.Compliance/Qumas.ContentTypes/CtReviseWFConfig" xmlns:i="http://www.w3.org/2001/XMLSchema-instance"&gt;&lt;TimeStamp i:nil="true" xmlns="http://schemas.datacontract.org/2004/07/QUMAS.Compliance.Common.SOM.DataContracts" /&gt;&lt;UniqueId xmlns="http://schemas.datacontract.org/2004/07/QUMAS.Compliance.Common.SOM.DataContracts"&gt;00000000-0000-0000-0000-000000000000&lt;/UniqueId&gt;&lt;AOAutomaticallyCreateWorkspace&gt;false&lt;/AOAutomaticallyCreateWorkspace&gt;&lt;AOAutomaticallyDeleteWorkspace&gt;false&lt;/AOAutomaticallyDeleteWorkspace&gt;&lt;AODuration&gt;true&lt;/AODuration&gt;&lt;AOEscalationConfigurationOverdue&gt;false&lt;/AOEscalationConfigurationOverdue&gt;&lt;AOEscalationConfigurationWarn&gt;false&lt;/AOEscalationConfigurationWarn&gt;&lt;AOTaskDescription&gt;false&lt;/AOTaskDescription&gt;&lt;AOTaskTitle&gt;false&lt;/AOTaskTitle&gt;&lt;AOWorkflowCompletionCondition&gt;false&lt;/AOWorkflowCompletionCondition&gt;&lt;AOWorkspaceAdditionalMembers&gt;false&lt;/AOWorkspaceAdditionalMembers&gt;&lt;AOWorkspaceName&gt;false&lt;/AOWorkspaceName&gt;&lt;AOWorkspaceTemplate&gt;false&lt;/AOWorkspaceTemplate&gt;&lt;AOWorkspaceUrl&gt;false&lt;/AOWorkspaceUrl&gt;&lt;AutomaticallyCreateWorkspace&gt;false&lt;/AutomaticallyCreateWorkspace&gt;&lt;AutomaticallyDeleteWorkspace&gt;false&lt;/AutomaticallyDeleteWorkspace&gt;&lt;Duration&gt;10&lt;/Duration&gt;&lt;EscalationConfigurationOverdue i:nil="true" xmlns:a="http://www.Qumas.com/Qumas.Compliance/Configuration/Controls/EscalationNotificationOverdueConf" /&gt;&lt;EscalationConfigurationWarn i:nil="true" xmlns:a="http://www.Qumas.com/Qumas.Compliance/Configuration/Controls/EscalationNotificationWarnConf" /&gt;&lt;HOAutomaticallyCreateWorkspace&gt;true&lt;/HOAutomaticallyCreateWorkspace&gt;&lt;HOAutomaticallyDeleteWorkspace&gt;false&lt;/HOAutomaticallyDeleteWorkspace&gt;&lt;HODuration&gt;false&lt;/HODuration&gt;&lt;HOEscalationConfigurationOverdue&gt;false&lt;/HOEscalationConfigurationOverdue&gt;&lt;HOEscalationConfigurationWarn&gt;false&lt;/HOEscalationConfigurationWarn&gt;&lt;HOTaskDescription&gt;false&lt;/HOTaskDescription&gt;&lt;HOTaskTitle&gt;false&lt;/HOTaskTitle&gt;&lt;HOWorkflowCompletionCondition&gt;false&lt;/HOWorkflowCompletionCondition&gt;&lt;HOWorkspaceAdditionalMembers&gt;false&lt;/HOWorkspaceAdditionalMembers&gt;&lt;HOWorkspaceName&gt;false&lt;/HOWorkspaceName&gt;&lt;HOWorkspaceTemplate&gt;false&lt;/HOWorkspaceTemplate&gt;&lt;HOWorkspaceUrl&gt;false&lt;/HOWorkspaceUrl&gt;&lt;NumOfTasksToCompleteWorkflow&gt;0&lt;/NumOfTasksToCompleteWorkflow&gt;&lt;Panels xmlns:a="http://www.Qumas.com/Qumas.ContentTypes/RevisePanel"&gt;&lt;a:RevisePanel&gt;&lt;TimeStamp i:nil="true" xmlns="http://schemas.datacontract.org/2004/07/QUMAS.Compliance.Common.SOM.DataContracts" /&gt;&lt;UniqueId xmlns="http://schemas.datacontract.org/2004/07/QUMAS.Compliance.Common.SOM.DataContracts"&gt;00000000-0000-0000-0000-000000000000&lt;/UniqueId&gt;&lt;AOEscalationConfigurationOverdue xmlns="http://www.Qumas.com/Qumas.ContentTypes/BasePanel"&gt;false&lt;/AOEscalationConfigurationOverdue&gt;&lt;AOEscalationConfigurationWarn xmlns="http://www.Qumas.com/Qumas.ContentTypes/BasePanel"&gt;false&lt;/AOEscalationConfigurationWarn&gt;&lt;AONumDaysToComplete xmlns="http://www.Qumas.com/Qumas.ContentTypes/BasePanel"&gt;true&lt;/AONumDaysToComplete&gt;&lt;AOPanelCompletion xmlns="http://www.Qumas.com/Qumas.ContentTypes/BasePanel"&gt;false&lt;/AOPanelCompletion&gt;&lt;AOTaskDescription xmlns="http://www.Qumas.com/Qumas.ContentTypes/BasePanel"&gt;false&lt;/AOTaskDescription&gt;&lt;AOTaskTitle xmlns="http://www.Qumas.com/Qumas.ContentTypes/BasePanel"&gt;false&lt;/AOTaskTitle&gt;&lt;EscalationConfigurationOverdue xmlns="http://www.Qumas.com/Qumas.ContentTypes/BasePanel" xmlns:b="http://www.Qumas.com/Qumas.Compliance/Configuration/Controls/EscalationNotificationOverdueConf"&gt;&lt;b:DaysRepeat&gt;2&lt;/b:DaysRepeat&gt;&lt;b:InitialNotification&gt;Approaching Periodic Review Escalation&lt;/b:InitialNotification&gt;&lt;b:IsEnableTaskEscalation&gt;false&lt;/b:IsEnableTaskEscalation&gt;&lt;b:IsOverdueHighPriority&gt;false&lt;/b:IsOverdueHighPriority&gt;&lt;b:IsRepeatNotification&gt;false&lt;/b:IsRepeatNotification&gt;&lt;b:RepeatNotification&gt;Approaching Periodic Review Escalation&lt;/b:RepeatNotification&gt;&lt;/EscalationConfigurationOverdue&gt;&lt;EscalationConfigurationWarn xmlns="http://www.Qumas.com/Qumas.ContentTypes/BasePanel" xmlns:b="http://www.Qumas.com/Qumas.Compliance/Configuration/Controls/EscalationNotificationWarnConf"&gt;&lt;b:DaysBeforeDueDate&gt;2&lt;/b:DaysBeforeDueDate&gt;&lt;b:DaysRepeat&gt;2&lt;/b:DaysRepeat&gt;&lt;b:IsRepeatNotification&gt;false&lt;/b:IsRepeatNotification&gt;&lt;b:IsWarnSoonOvedue&gt;false&lt;/b:IsWarnSoonOvedue&gt;&lt;b:NotificationBeforeDueDate&gt;Approaching Periodic Review Escalation&lt;/b:NotificationBeforeDueDate&gt;&lt;b:RepeatNotification&gt;Approaching Periodic Review Escalation&lt;/b:RepeatNotification&gt;&lt;/EscalationConfigurationWarn&gt;&lt;HOEscalationConfigurationOverdue xmlns="http://www.Qumas.com/Qumas.ContentTypes/BasePanel"&gt;true&lt;/HOEscalationConfigurationOverdue&gt;&lt;HOEscalationConfigurationWarn xmlns="http://www.Qumas.com/Qumas.ContentTypes/BasePanel"&gt;true&lt;/HOEscalationConfigurationWarn&gt;&lt;HONumDaysToComplete xmlns="http://www.Qumas.com/Qumas.ContentTypes/BasePanel"&gt;false&lt;/HONumDaysToComplete&gt;&lt;HOPanelCompletion xmlns="http://www.Qumas.com/Qumas.ContentTypes/BasePanel"&gt;true&lt;/HOPanelCompletion&gt;&lt;HOTaskDescription xmlns="http://www.Qumas.com/Qumas.ContentTypes/BasePanel"&gt;false&lt;/HOTaskDescription&gt;&lt;HOTaskTitle xmlns="http://www.Qumas.com/Qumas.ContentTypes/BasePanel"&gt;false&lt;/HOTaskTitle&gt;&lt;HaltOnSingleDisapproval xmlns="http://www.Qumas.com/Qumas.ContentTypes/BasePanel"&gt;true&lt;/HaltOnSingleDisapproval&gt;&lt;NumDaysToComplete xmlns="http://www.Qumas.com/Qumas.ContentTypes/BasePanel"&gt;10&lt;/NumDaysToComplete&gt;&lt;PanelName xmlns="http://www.Qumas.com/Qumas.ContentTypes/BasePanel"&gt;Revise Panel #1&lt;/PanelName&gt;&lt;QuorumNumber xmlns="http://www.Qumas.com/Qumas.ContentTypes/BasePanel"&gt;1&lt;/QuorumNumber&gt;&lt;SegregationCfg xmlns="http://www.Qumas.com/Qumas.ContentTypes/BasePanel" xmlns:b="http://www.Qumas.com/Qumas.Compliance/Configuration/Controls/SegregationConfig"&gt;&lt;TimeStamp i:nil="true" xmlns="http://schemas.datacontract.org/2004/07/QUMAS.Compliance.Common.SOM.DataContracts" /&gt;&lt;UniqueId xmlns="http://schemas.datacontract.org/2004/07/QUMAS.Compliance.Common.SOM.DataContracts"&gt;00000000-0000-0000-0000-000000000000&lt;/UniqueId&gt;&lt;b:AO&gt;true&lt;/b:AO&gt;&lt;b:Assignees xmlns:c="http://schemas.datacontract.org/2004/07/QUMAS.Compliance.Common.SOM.DataContracts.Security" /&gt;&lt;b:Filter i:nil="true" xmlns:c="http://schemas.datacontract.org/2004/07/QUMAS.Compliance.Common.SOM.DataContracts.Security" /&gt;&lt;b:HO&gt;false&lt;/b:HO&gt;&lt;b:Limit&gt;false&lt;/b:Limit&gt;&lt;b:SepTasks&gt;false&lt;/b:SepTasks&gt;&lt;/SegregationCfg&gt;&lt;TaskDescription xmlns="http://www.Qumas.com/Qumas.ContentTypes/BasePanel"&gt;Please review {Title} ({Name}). You should complete this task once your revisions are complete.&lt;/TaskDescription&gt;&lt;TaskTitle xmlns="http://www.Qumas.com/Qumas.ContentTypes/BasePanel"&gt;Revise task for {Title} ({Name})&lt;/TaskTitle&gt;&lt;a:AOEnableOutcome&gt;false&lt;/a:AOEnableOutcome&gt;&lt;a:EnableOutcome&gt;false&lt;/a:EnableOutcome&gt;&lt;a:HOEnableOutcome&gt;false&lt;/a:HOEnableOutcome&gt;&lt;a:PanelCompletion&gt;AllTasksCompletion&lt;/a:PanelCompletion&gt;&lt;/a:RevisePanel&gt;&lt;/Panels&gt;&lt;SegregationCfg i:nil="true" xmlns:a="http://www.Qumas.com/Qumas.Compliance/Configuration/Controls/SegregationConfig" /&gt;&lt;TaskDescription i:nil="true" /&gt;&lt;TaskTitle i:nil="true" /&gt;&lt;WorkflowCompletionCondition&gt;Unspecified&lt;/WorkflowCompletionCondition&gt;&lt;WorkspaceAdditionalMembers i:nil="true" xmlns:a="http://schemas.datacontract.org/2004/07/QUMAS.Compliance.Common.SOM.DataContracts.Security" /&gt;&lt;WorkspaceName&gt;Unspecified&lt;/WorkspaceName&gt;&lt;WorkspaceTemplate i:nil="true" /&gt;&lt;WorkspaceUrl i:nil="true" /&gt;&lt;/CtReviseWFConfig&gt;</b:WorkflowConfiguration></a:Value></a:KeyValueOfstringLifecycleActionNamedConfigurationWMHOgtwe></_Configuration></LifecycleActionNamedConfigurations>]]></ObjectManager>
</file>

<file path=customXml/item6.xml><?xml version="1.0" encoding="utf-8"?>
<?mso-contentType ?>
<SecurityConfiguration xmlns="http://www.QUMAS.com/QUMAS.Compliance/Configuration/Security" xmlns:i="http://www.w3.org/2001/XMLSchema-instance">
  <TimeStamp xmlns="http://schemas.datacontract.org/2004/07/QUMAS.Compliance.Common.SOM.DataContracts" i:nil="true"/>
  <UniqueId xmlns="http://schemas.datacontract.org/2004/07/QUMAS.Compliance.Common.SOM.DataContracts">00000000-0000-0000-0000-000000000000</UniqueId>
  <Actions xmlns:a="http://www.QUMAS.com/QUMAS.Compliance/Security">
    <TimeStamp xmlns="http://schemas.datacontract.org/2004/07/QUMAS.Compliance.Common.SOM.DataContracts" i:nil="true"/>
    <UniqueId xmlns="http://schemas.datacontract.org/2004/07/QUMAS.Compliance.Common.SOM.DataContracts">00000000-0000-0000-0000-000000000000</UniqueId>
    <a:list>
      <a:Action>
        <TimeStamp xmlns="http://schemas.datacontract.org/2004/07/QUMAS.Compliance.Common.SOM.DataContracts" i:nil="true"/>
        <UniqueId xmlns="http://schemas.datacontract.org/2004/07/QUMAS.Compliance.Common.SOM.DataContracts">00000000-0000-0000-0000-000000000000</UniqueId>
        <a:Name>TaskCompletion</a:Name>
        <a:ContentTypeID>0x010801008F5A0AC480BB42B1B97DC1B3EEE07DC8</a:ContentTypeID>
        <a:RequiredUserMatch xmlns:b="http://schemas.microsoft.com/2003/10/Serialization/Arrays">
          <b:string>{53101F38-DD2E-458C-B245-0C236CC13D1A}</b:string>
        </a:RequiredUserMatch>
        <a:RequiredPermissions>
          <a:Permission>
            <TimeStamp xmlns="http://schemas.datacontract.org/2004/07/QUMAS.Compliance.Common.SOM.DataContracts" i:nil="true"/>
            <UniqueId xmlns="http://schemas.datacontract.org/2004/07/QUMAS.Compliance.Common.SOM.DataContracts">00000000-0000-0000-0000-000000000000</UniqueId>
            <a:Type>BasePermission</a:Type>
            <a:Value>EditListItems</a:Value>
          </a:Permission>
          <a:Permission>
            <TimeStamp xmlns="http://schemas.datacontract.org/2004/07/QUMAS.Compliance.Common.SOM.DataContracts" i:nil="true"/>
            <UniqueId xmlns="http://schemas.datacontract.org/2004/07/QUMAS.Compliance.Common.SOM.DataContracts">00000000-0000-0000-0000-000000000000</UniqueId>
            <a:Type>PermissionLevel</a:Type>
            <a:Value>Contribute</a:Value>
          </a:Permission>
        </a:RequiredPermissions>
        <a:AssociatedRoles xmlns:b="http://schemas.microsoft.com/2003/10/Serialization/Arrays"/>
        <a:AllowedProcessStates xmlns:b="http://schemas.microsoft.com/2003/10/Serialization/Arrays"/>
        <a:RequiredFormStates xmlns:b="http://schemas.microsoft.com/2003/10/Serialization/Arrays"/>
      </a:Action>
      <a:Action>
        <TimeStamp xmlns="http://schemas.datacontract.org/2004/07/QUMAS.Compliance.Common.SOM.DataContracts" i:nil="true"/>
        <UniqueId xmlns="http://schemas.datacontract.org/2004/07/QUMAS.Compliance.Common.SOM.DataContracts">00000000-0000-0000-0000-000000000000</UniqueId>
        <a:Name>RandUSelectCoordinatorTaskCompletion</a:Name>
        <a:ContentTypeID>0x010801008F5A0AC480BB42B1B97DC1B3EEE07DC80048927EAF9D0343ACB072EA3ADE8C706E</a:ContentTypeID>
        <a:RequiredUserMatch xmlns:b="http://schemas.microsoft.com/2003/10/Serialization/Arrays">
          <b:string>{53101F38-DD2E-458C-B245-0C236CC13D1A}</b:string>
        </a:RequiredUserMatch>
        <a:RequiredPermissions/>
        <a:AssociatedRoles xmlns:b="http://schemas.microsoft.com/2003/10/Serialization/Arrays"/>
        <a:AllowedProcessStates xmlns:b="http://schemas.microsoft.com/2003/10/Serialization/Arrays"/>
        <a:RequiredFormStates xmlns:b="http://schemas.microsoft.com/2003/10/Serialization/Arrays"/>
      </a:Action>
      <a:Action>
        <TimeStamp xmlns="http://schemas.datacontract.org/2004/07/QUMAS.Compliance.Common.SOM.DataContracts" i:nil="true"/>
        <UniqueId xmlns="http://schemas.datacontract.org/2004/07/QUMAS.Compliance.Common.SOM.DataContracts">00000000-0000-0000-0000-000000000000</UniqueId>
        <a:Name>RandUCoordinatorTaskCompletion</a:Name>
        <a:ContentTypeID>0x010801008F5A0AC480BB42B1B97DC1B3EEE07DC800AE5C83EF449E46F280401FFA2F6A828D</a:ContentTypeID>
        <a:RequiredUserMatch xmlns:b="http://schemas.microsoft.com/2003/10/Serialization/Arrays">
          <b:string>{53101F38-DD2E-458C-B245-0C236CC13D1A}</b:string>
        </a:RequiredUserMatch>
        <a:RequiredPermissions/>
        <a:AssociatedRoles xmlns:b="http://schemas.microsoft.com/2003/10/Serialization/Arrays"/>
        <a:AllowedProcessStates xmlns:b="http://schemas.microsoft.com/2003/10/Serialization/Arrays"/>
        <a:RequiredFormStates xmlns:b="http://schemas.microsoft.com/2003/10/Serialization/Arrays"/>
      </a:Action>
      <a:Action>
        <TimeStamp xmlns="http://schemas.datacontract.org/2004/07/QUMAS.Compliance.Common.SOM.DataContracts" i:nil="true"/>
        <UniqueId xmlns="http://schemas.datacontract.org/2004/07/QUMAS.Compliance.Common.SOM.DataContracts">00000000-0000-0000-0000-000000000000</UniqueId>
        <a:Name>ApproveRandUTaskCompletion</a:Name>
        <a:ContentTypeID>0x010801008F5A0AC480BB42B1B97DC1B3EEE07DC80080FD6B0D772B478792062FB06F7C248F</a:ContentTypeID>
        <a:RequiredUserMatch xmlns:b="http://schemas.microsoft.com/2003/10/Serialization/Arrays">
          <b:string>{53101F38-DD2E-458C-B245-0C236CC13D1A}</b:string>
        </a:RequiredUserMatch>
        <a:RequiredPermissions/>
        <a:AssociatedRoles xmlns:b="http://schemas.microsoft.com/2003/10/Serialization/Arrays"/>
        <a:AllowedProcessStates xmlns:b="http://schemas.microsoft.com/2003/10/Serialization/Arrays"/>
        <a:RequiredFormStates xmlns:b="http://schemas.microsoft.com/2003/10/Serialization/Arrays"/>
      </a:Action>
      <a:Action>
        <TimeStamp xmlns="http://schemas.datacontract.org/2004/07/QUMAS.Compliance.Common.SOM.DataContracts" i:nil="true"/>
        <UniqueId xmlns="http://schemas.datacontract.org/2004/07/QUMAS.Compliance.Common.SOM.DataContracts">00000000-0000-0000-0000-000000000000</UniqueId>
        <a:Name>RandURetractTask</a:Name>
        <a:ContentTypeID>0x01010064EF5778BBDB426ABAC6661E461254E6</a:ContentTypeID>
        <a:RequiredUserMatch xmlns:b="http://schemas.microsoft.com/2003/10/Serialization/Arrays">
          <b:string>{B6568D82-2D72-4087-ACEA-DE31DB3BD6D5}</b:string>
        </a:RequiredUserMatch>
        <a:RequiredPermissions/>
        <a:AssociatedRoles xmlns:b="http://schemas.microsoft.com/2003/10/Serialization/Arrays"/>
        <a:AllowedProcessStates xmlns:b="http://schemas.microsoft.com/2003/10/Serialization/Arrays"/>
        <a:RequiredFormStates xmlns:b="http://schemas.microsoft.com/2003/10/Serialization/Arrays"/>
      </a:Action>
      <a:Action>
        <TimeStamp xmlns="http://schemas.datacontract.org/2004/07/QUMAS.Compliance.Common.SOM.DataContracts" i:nil="true"/>
        <UniqueId xmlns="http://schemas.datacontract.org/2004/07/QUMAS.Compliance.Common.SOM.DataContracts">00000000-0000-0000-0000-000000000000</UniqueId>
        <a:Name>CreateAdHocRandUTask</a:Name>
        <a:ContentTypeID>0x01010064EF5778BBDB426ABAC6661E461254E6</a:ContentTypeID>
        <a:RequiredUserMatch xmlns:b="http://schemas.microsoft.com/2003/10/Serialization/Arrays">
          <b:string>{B6568D82-2D72-4087-ACEA-DE31DB3BD6D5}</b:string>
        </a:RequiredUserMatch>
        <a:RequiredPermissions/>
        <a:AssociatedRoles xmlns:b="http://schemas.microsoft.com/2003/10/Serialization/Arrays"/>
        <a:AllowedProcessStates xmlns:b="http://schemas.microsoft.com/2003/10/Serialization/Arrays"/>
        <a:RequiredFormStates xmlns:b="http://schemas.microsoft.com/2003/10/Serialization/Arrays"/>
      </a:Action>
      <a:Action>
        <TimeStamp xmlns="http://schemas.datacontract.org/2004/07/QUMAS.Compliance.Common.SOM.DataContracts" i:nil="true"/>
        <UniqueId xmlns="http://schemas.datacontract.org/2004/07/QUMAS.Compliance.Common.SOM.DataContracts">00000000-0000-0000-0000-000000000000</UniqueId>
        <a:Name>CreateAdHocReviseTask</a:Name>
        <a:ContentTypeID>0x01010064EF5778BBDB426ABAC6661E461254E6</a:ContentTypeID>
        <a:RequiredUserMatch xmlns:b="http://schemas.microsoft.com/2003/10/Serialization/Arrays">
          <b:string>{BE4DECB5-4212-42C3-B314-89C58943EEC1}</b:string>
        </a:RequiredUserMatch>
        <a:RequiredPermissions/>
        <a:AssociatedRoles xmlns:b="http://schemas.microsoft.com/2003/10/Serialization/Arrays"/>
        <a:AllowedProcessStates xmlns:b="http://schemas.microsoft.com/2003/10/Serialization/Arrays"/>
        <a:RequiredFormStates xmlns:b="http://schemas.microsoft.com/2003/10/Serialization/Arrays"/>
      </a:Action>
      <a:Action>
        <TimeStamp xmlns="http://schemas.datacontract.org/2004/07/QUMAS.Compliance.Common.SOM.DataContracts" i:nil="true"/>
        <UniqueId xmlns="http://schemas.datacontract.org/2004/07/QUMAS.Compliance.Common.SOM.DataContracts">00000000-0000-0000-0000-000000000000</UniqueId>
        <a:Name>CreateAdHocRetireTask</a:Name>
        <a:ContentTypeID>0x01010064EF5778BBDB426ABAC6661E461254E6</a:ContentTypeID>
        <a:RequiredUserMatch xmlns:b="http://schemas.microsoft.com/2003/10/Serialization/Arrays">
          <b:string>{BE4DECB5-4212-42C3-B314-89C58943EEC1}</b:string>
        </a:RequiredUserMatch>
        <a:RequiredPermissions/>
        <a:AssociatedRoles xmlns:b="http://schemas.microsoft.com/2003/10/Serialization/Arrays"/>
        <a:AllowedProcessStates xmlns:b="http://schemas.microsoft.com/2003/10/Serialization/Arrays"/>
        <a:RequiredFormStates xmlns:b="http://schemas.microsoft.com/2003/10/Serialization/Arrays"/>
      </a:Action>
      <a:Action>
        <TimeStamp xmlns="http://schemas.datacontract.org/2004/07/QUMAS.Compliance.Common.SOM.DataContracts" i:nil="true"/>
        <UniqueId xmlns="http://schemas.datacontract.org/2004/07/QUMAS.Compliance.Common.SOM.DataContracts">00000000-0000-0000-0000-000000000000</UniqueId>
        <a:Name>CreateAdHocApprovalTask</a:Name>
        <a:ContentTypeID>0x01010064EF5778BBDB426ABAC6661E461254E6</a:ContentTypeID>
        <a:RequiredUserMatch xmlns:b="http://schemas.microsoft.com/2003/10/Serialization/Arrays">
          <b:string>{BE4DECB5-4212-42C3-B314-89C58943EEC1}</b:string>
        </a:RequiredUserMatch>
        <a:RequiredPermissions/>
        <a:AssociatedRoles xmlns:b="http://schemas.microsoft.com/2003/10/Serialization/Arrays"/>
        <a:AllowedProcessStates xmlns:b="http://schemas.microsoft.com/2003/10/Serialization/Arrays"/>
        <a:RequiredFormStates xmlns:b="http://schemas.microsoft.com/2003/10/Serialization/Arrays"/>
      </a:Action>
      <a:Action>
        <TimeStamp xmlns="http://schemas.datacontract.org/2004/07/QUMAS.Compliance.Common.SOM.DataContracts" i:nil="true"/>
        <UniqueId xmlns="http://schemas.datacontract.org/2004/07/QUMAS.Compliance.Common.SOM.DataContracts">00000000-0000-0000-0000-000000000000</UniqueId>
        <a:Name>TerminatePeriodicReviewWorfklow</a:Name>
        <a:ContentTypeID>0x01010064EF5778BBDB426ABAC6661E461254E6</a:ContentTypeID>
        <a:RequiredUserMatch xmlns:b="http://schemas.microsoft.com/2003/10/Serialization/Arrays">
          <b:string>{BE4DECB5-4212-42C3-B314-89C58943EEC1}</b:string>
        </a:RequiredUserMatch>
        <a:RequiredPermissions/>
        <a:AssociatedRoles xmlns:b="http://schemas.microsoft.com/2003/10/Serialization/Arrays"/>
        <a:AllowedProcessStates xmlns:b="http://schemas.microsoft.com/2003/10/Serialization/Arrays"/>
        <a:RequiredFormStates xmlns:b="http://schemas.microsoft.com/2003/10/Serialization/Arrays"/>
      </a:Action>
      <a:Action>
        <TimeStamp xmlns="http://schemas.datacontract.org/2004/07/QUMAS.Compliance.Common.SOM.DataContracts" i:nil="true"/>
        <UniqueId xmlns="http://schemas.datacontract.org/2004/07/QUMAS.Compliance.Common.SOM.DataContracts">00000000-0000-0000-0000-000000000000</UniqueId>
        <a:Name>CreateAdHocWithdrawTask</a:Name>
        <a:ContentTypeID>0x01010064EF5778BBDB426ABAC6661E461254E6</a:ContentTypeID>
        <a:RequiredUserMatch xmlns:b="http://schemas.microsoft.com/2003/10/Serialization/Arrays">
          <b:string>{BE4DECB5-4212-42C3-B314-89C58943EEC1}</b:string>
        </a:RequiredUserMatch>
        <a:RequiredPermissions/>
        <a:AssociatedRoles xmlns:b="http://schemas.microsoft.com/2003/10/Serialization/Arrays"/>
        <a:AllowedProcessStates xmlns:b="http://schemas.microsoft.com/2003/10/Serialization/Arrays"/>
        <a:RequiredFormStates xmlns:b="http://schemas.microsoft.com/2003/10/Serialization/Arrays"/>
      </a:Action>
    </a:list>
  </Actions>
  <ProcessStatePermissions xmlns:a="http://www.QUMAS.com/QUMAS.Compliance/Security">
    <TimeStamp xmlns="http://schemas.datacontract.org/2004/07/QUMAS.Compliance.Common.SOM.DataContracts" i:nil="true"/>
    <UniqueId xmlns="http://schemas.datacontract.org/2004/07/QUMAS.Compliance.Common.SOM.DataContracts">00000000-0000-0000-0000-000000000000</UniqueId>
    <a:StateColumn>{3AF51B99-4659-4DFC-8BED-3A950C7D36E2}</a:StateColumn>
    <a:list>
      <a:ProcessStatePermission>
        <TimeStamp xmlns="http://schemas.datacontract.org/2004/07/QUMAS.Compliance.Common.SOM.DataContracts" i:nil="true"/>
        <UniqueId xmlns="http://schemas.datacontract.org/2004/07/QUMAS.Compliance.Common.SOM.DataContracts">00000000-0000-0000-0000-000000000000</UniqueId>
        <a:State>Draft</a:State>
        <a:ContentTypeID i:nil="true"/>
        <a:RestoreRoleInheritance>false</a:RestoreRoleInheritance>
        <a:Roles>
          <a:PermissionRole>
            <TimeStamp xmlns="http://schemas.datacontract.org/2004/07/QUMAS.Compliance.Common.SOM.DataContracts" i:nil="true"/>
            <UniqueId xmlns="http://schemas.datacontract.org/2004/07/QUMAS.Compliance.Common.SOM.DataContracts">00000000-0000-0000-0000-000000000000</UniqueId>
            <a:ID>DocumentCoordinator</a:ID>
            <a:Permissions>
              <a:Permission>
                <TimeStamp xmlns="http://schemas.datacontract.org/2004/07/QUMAS.Compliance.Common.SOM.DataContracts" i:nil="true"/>
                <UniqueId xmlns="http://schemas.datacontract.org/2004/07/QUMAS.Compliance.Common.SOM.DataContracts">00000000-0000-0000-0000-000000000000</UniqueId>
                <a:Type>PermissionLevel</a:Type>
                <a:Value>Contribute</a:Value>
              </a:Permission>
            </a:Permissions>
          </a:PermissionRole>
        </a:Roles>
        <a:Groups>
          <a:PermissionGroup>
            <TimeStamp xmlns="http://schemas.datacontract.org/2004/07/QUMAS.Compliance.Common.SOM.DataContracts" i:nil="true"/>
            <UniqueId xmlns="http://schemas.datacontract.org/2004/07/QUMAS.Compliance.Common.SOM.DataContracts">00000000-0000-0000-0000-000000000000</UniqueId>
            <a:Name>Visitor</a:Name>
            <a:IsAssociateGroup>true</a:IsAssociateGroup>
            <a:Permissions>
              <a:Permission>
                <TimeStamp xmlns="http://schemas.datacontract.org/2004/07/QUMAS.Compliance.Common.SOM.DataContracts" i:nil="true"/>
                <UniqueId xmlns="http://schemas.datacontract.org/2004/07/QUMAS.Compliance.Common.SOM.DataContracts">00000000-0000-0000-0000-000000000000</UniqueId>
                <a:Type>BasePermission</a:Type>
                <a:Value>Read</a:Value>
              </a:Permission>
            </a:Permissions>
          </a:PermissionGroup>
          <a:PermissionGroup>
            <TimeStamp xmlns="http://schemas.datacontract.org/2004/07/QUMAS.Compliance.Common.SOM.DataContracts" i:nil="true"/>
            <UniqueId xmlns="http://schemas.datacontract.org/2004/07/QUMAS.Compliance.Common.SOM.DataContracts">00000000-0000-0000-0000-000000000000</UniqueId>
            <a:Name>Member</a:Name>
            <a:IsAssociateGroup>true</a:IsAssociateGroup>
            <a:Permissions>
              <a:Permission>
                <TimeStamp xmlns="http://schemas.datacontract.org/2004/07/QUMAS.Compliance.Common.SOM.DataContracts" i:nil="true"/>
                <UniqueId xmlns="http://schemas.datacontract.org/2004/07/QUMAS.Compliance.Common.SOM.DataContracts">00000000-0000-0000-0000-000000000000</UniqueId>
                <a:Type>PermissionLevel</a:Type>
                <a:Value>Contribute</a:Value>
              </a:Permission>
            </a:Permissions>
          </a:PermissionGroup>
        </a:Groups>
        <a:Users>
          <a:PermissionUser>
            <TimeStamp xmlns="http://schemas.datacontract.org/2004/07/QUMAS.Compliance.Common.SOM.DataContracts" i:nil="true"/>
            <UniqueId xmlns="http://schemas.datacontract.org/2004/07/QUMAS.Compliance.Common.SOM.DataContracts">00000000-0000-0000-0000-000000000000</UniqueId>
            <a:LoginName>jseymour</a:LoginName>
            <a:Permissions>
              <a:Permission>
                <TimeStamp xmlns="http://schemas.datacontract.org/2004/07/QUMAS.Compliance.Common.SOM.DataContracts" i:nil="true"/>
                <UniqueId xmlns="http://schemas.datacontract.org/2004/07/QUMAS.Compliance.Common.SOM.DataContracts">00000000-0000-0000-0000-000000000000</UniqueId>
                <a:Type>BasePermission</a:Type>
                <a:Value>Contribute</a:Value>
              </a:Permission>
            </a:Permissions>
          </a:PermissionUser>
        </a:Users>
      </a:ProcessStatePermission>
      <a:ProcessStatePermission>
        <TimeStamp xmlns="http://schemas.datacontract.org/2004/07/QUMAS.Compliance.Common.SOM.DataContracts" i:nil="true"/>
        <UniqueId xmlns="http://schemas.datacontract.org/2004/07/QUMAS.Compliance.Common.SOM.DataContracts">00000000-0000-0000-0000-000000000000</UniqueId>
        <a:State>Approved</a:State>
        <a:ContentTypeID>0x01010064EF5778BBDB426ABAC6661E461254E6</a:ContentTypeID>
        <a:RestoreRoleInheritance>false</a:RestoreRoleInheritance>
        <a:Roles>
          <a:PermissionRole>
            <TimeStamp xmlns="http://schemas.datacontract.org/2004/07/QUMAS.Compliance.Common.SOM.DataContracts" i:nil="true"/>
            <UniqueId xmlns="http://schemas.datacontract.org/2004/07/QUMAS.Compliance.Common.SOM.DataContracts">00000000-0000-0000-0000-000000000000</UniqueId>
            <a:ID>DocumentCoordinator</a:ID>
            <a:Permissions>
              <a:Permission>
                <TimeStamp xmlns="http://schemas.datacontract.org/2004/07/QUMAS.Compliance.Common.SOM.DataContracts" i:nil="true"/>
                <UniqueId xmlns="http://schemas.datacontract.org/2004/07/QUMAS.Compliance.Common.SOM.DataContracts">00000000-0000-0000-0000-000000000000</UniqueId>
                <a:Type>PermissionLevel</a:Type>
                <a:Value>Read</a:Value>
              </a:Permission>
            </a:Permissions>
          </a:PermissionRole>
        </a:Roles>
        <a:Groups>
          <a:PermissionGroup>
            <TimeStamp xmlns="http://schemas.datacontract.org/2004/07/QUMAS.Compliance.Common.SOM.DataContracts" i:nil="true"/>
            <UniqueId xmlns="http://schemas.datacontract.org/2004/07/QUMAS.Compliance.Common.SOM.DataContracts">00000000-0000-0000-0000-000000000000</UniqueId>
            <a:Name>Owner</a:Name>
            <a:IsAssociateGroup>true</a:IsAssociateGroup>
            <a:Permissions>
              <a:Permission>
                <TimeStamp xmlns="http://schemas.datacontract.org/2004/07/QUMAS.Compliance.Common.SOM.DataContracts" i:nil="true"/>
                <UniqueId xmlns="http://schemas.datacontract.org/2004/07/QUMAS.Compliance.Common.SOM.DataContracts">00000000-0000-0000-0000-000000000000</UniqueId>
                <a:Type>BasePermission</a:Type>
                <a:Value>Read</a:Value>
              </a:Permission>
            </a:Permissions>
          </a:PermissionGroup>
        </a:Groups>
        <a:Users>
          <a:PermissionUser>
            <TimeStamp xmlns="http://schemas.datacontract.org/2004/07/QUMAS.Compliance.Common.SOM.DataContracts" i:nil="true"/>
            <UniqueId xmlns="http://schemas.datacontract.org/2004/07/QUMAS.Compliance.Common.SOM.DataContracts">00000000-0000-0000-0000-000000000000</UniqueId>
            <a:LoginName>eohara</a:LoginName>
            <a:Permissions>
              <a:Permission>
                <TimeStamp xmlns="http://schemas.datacontract.org/2004/07/QUMAS.Compliance.Common.SOM.DataContracts" i:nil="true"/>
                <UniqueId xmlns="http://schemas.datacontract.org/2004/07/QUMAS.Compliance.Common.SOM.DataContracts">00000000-0000-0000-0000-000000000000</UniqueId>
                <a:Type>BasePermission</a:Type>
                <a:Value>Read</a:Value>
              </a:Permission>
            </a:Permissions>
          </a:PermissionUser>
        </a:Users>
      </a:ProcessStatePermission>
    </a:list>
  </ProcessStatePermissions>
  <Roles xmlns:a="http://www.QUMAS.com/QUMAS.Compliance/Security">
    <TimeStamp xmlns="http://schemas.datacontract.org/2004/07/QUMAS.Compliance.Common.SOM.DataContracts" i:nil="true"/>
    <UniqueId xmlns="http://schemas.datacontract.org/2004/07/QUMAS.Compliance.Common.SOM.DataContracts">00000000-0000-0000-0000-000000000000</UniqueId>
    <a:list>
      <a:Role>
        <TimeStamp xmlns="http://schemas.datacontract.org/2004/07/QUMAS.Compliance.Common.SOM.DataContracts" i:nil="true"/>
        <UniqueId xmlns="http://schemas.datacontract.org/2004/07/QUMAS.Compliance.Common.SOM.DataContracts">00000000-0000-0000-0000-000000000000</UniqueId>
        <a:ID>UserProfileManager</a:ID>
        <a:Name>User's Manager</a:Name>
        <a:Description>User's Manager.</a:Description>
        <a:Required>false</a:Required>
        <a:DefaultToCurrentUser>false</a:DefaultToCurrentUser>
        <a:UseDefaultColumn>true</a:UseDefaultColumn>
        <a:AllowMultiplePrinciples>false</a:AllowMultiplePrinciples>
        <a:AllowedPrincipleTypes>UsersAndGroups</a:AllowedPrincipleTypes>
        <a:AllowOverrideInObject>false</a:AllowOverrideInObject>
        <a:RoleColumn>Manager</a:RoleColumn>
        <a:DefaultColumn>{BE4DECB5-4212-42C3-B314-89C58943EEC1}</a:DefaultColumn>
        <a:DefaultPrincipals xmlns:b="http://schemas.datacontract.org/2004/07/QUMAS.Compliance.Common.SOM.DataContracts.Security"/>
        <a:LimitingPrincipals xmlns:b="http://schemas.datacontract.org/2004/07/QUMAS.Compliance.Common.SOM.DataContracts.Security"/>
      </a:Role>
      <a:Role>
        <TimeStamp xmlns="http://schemas.datacontract.org/2004/07/QUMAS.Compliance.Common.SOM.DataContracts" i:nil="true"/>
        <UniqueId xmlns="http://schemas.datacontract.org/2004/07/QUMAS.Compliance.Common.SOM.DataContracts">00000000-0000-0000-0000-000000000000</UniqueId>
        <a:ID>UserProfileAssistant</a:ID>
        <a:Name>User's Assistant</a:Name>
        <a:Description>User's Assistant</a:Description>
        <a:Required>false</a:Required>
        <a:DefaultToCurrentUser>false</a:DefaultToCurrentUser>
        <a:UseDefaultColumn>true</a:UseDefaultColumn>
        <a:AllowMultiplePrinciples>false</a:AllowMultiplePrinciples>
        <a:AllowedPrincipleTypes>UsersAndGroups</a:AllowedPrincipleTypes>
        <a:AllowOverrideInObject>false</a:AllowOverrideInObject>
        <a:RoleColumn>Assistant</a:RoleColumn>
        <a:DefaultColumn>{BE4DECB5-4212-42C3-B314-89C58943EEC1}</a:DefaultColumn>
        <a:DefaultPrincipals xmlns:b="http://schemas.datacontract.org/2004/07/QUMAS.Compliance.Common.SOM.DataContracts.Security"/>
        <a:LimitingPrincipals xmlns:b="http://schemas.datacontract.org/2004/07/QUMAS.Compliance.Common.SOM.DataContracts.Security"/>
      </a:Role>
      <a:Role>
        <TimeStamp xmlns="http://schemas.datacontract.org/2004/07/QUMAS.Compliance.Common.SOM.DataContracts" i:nil="true"/>
        <UniqueId xmlns="http://schemas.datacontract.org/2004/07/QUMAS.Compliance.Common.SOM.DataContracts">00000000-0000-0000-0000-000000000000</UniqueId>
        <a:ID>DocumentCoordinator</a:ID>
        <a:Name>Default Document Coordinator</a:Name>
        <a:Description>Choose who will be the document coordinator for all documents created from this content type. Specify a document coordinator or tick the checkbox to default to the user who creates the document.</a:Description>
        <a:Required>true</a:Required>
        <a:DefaultToCurrentUser>false</a:DefaultToCurrentUser>
        <a:UseDefaultColumn>false</a:UseDefaultColumn>
        <a:AllowMultiplePrinciples>false</a:AllowMultiplePrinciples>
        <a:AllowedPrincipleTypes>UsersAndGroups</a:AllowedPrincipleTypes>
        <a:AllowOverrideInObject>true</a:AllowOverrideInObject>
        <a:RoleColumn>{BE4DECB5-4212-42C3-B314-89C58943EEC1}</a:RoleColumn>
        <a:DefaultColumn i:nil="true"/>
        <a:DefaultPrincipals xmlns:b="http://schemas.datacontract.org/2004/07/QUMAS.Compliance.Common.SOM.DataContracts.Security"/>
        <a:LimitingPrincipals xmlns:b="http://schemas.datacontract.org/2004/07/QUMAS.Compliance.Common.SOM.DataContracts.Security">
          <b:UserOrGroup>
            <TimeStamp xmlns="http://schemas.datacontract.org/2004/07/QUMAS.Compliance.Common.SOM.DataContracts" i:nil="true"/>
            <UniqueId xmlns="http://schemas.datacontract.org/2004/07/QUMAS.Compliance.Common.SOM.DataContracts">00000000-0000-0000-0000-000000000000</UniqueId>
            <b:Id>0</b:Id>
            <b:Member>document_coordinators_grp</b:Member>
            <b:MemberType>SharePointGroup</b:MemberType>
          </b:UserOrGroup>
        </a:LimitingPrincipals>
      </a:Role>
      <a:Role>
        <TimeStamp xmlns="http://schemas.datacontract.org/2004/07/QUMAS.Compliance.Common.SOM.DataContracts" i:nil="true"/>
        <UniqueId xmlns="http://schemas.datacontract.org/2004/07/QUMAS.Compliance.Common.SOM.DataContracts">00000000-0000-0000-0000-000000000000</UniqueId>
        <a:ID>RandUCoordinator</a:ID>
        <a:Name>Read and Understood Coordinator</a:Name>
        <a:Description>Choose who will be the Read and Understood coordinator for all documents created from this content type. This configuration option can be blank in which case the Read and Understood coordinator defaults to the user who set up as the Document Coordinator.</a:Description>
        <a:Required>true</a:Required>
        <a:DefaultToCurrentUser>false</a:DefaultToCurrentUser>
        <a:UseDefaultColumn>true</a:UseDefaultColumn>
        <a:AllowMultiplePrinciples>false</a:AllowMultiplePrinciples>
        <a:AllowedPrincipleTypes>UsersAndGroups</a:AllowedPrincipleTypes>
        <a:AllowOverrideInObject>false</a:AllowOverrideInObject>
        <a:RoleColumn>{B6568D82-2D72-4087-ACEA-DE31DB3BD6D5}</a:RoleColumn>
        <a:DefaultColumn>{BE4DECB5-4212-42C3-B314-89C58943EEC1}</a:DefaultColumn>
        <a:DefaultPrincipals xmlns:b="http://schemas.datacontract.org/2004/07/QUMAS.Compliance.Common.SOM.DataContracts.Security"/>
        <a:LimitingPrincipals xmlns:b="http://schemas.datacontract.org/2004/07/QUMAS.Compliance.Common.SOM.DataContracts.Security"/>
      </a:Role>
    </a:list>
  </Roles>
</SecurityConfiguration>
</file>

<file path=customXml/item7.xml><?xml version="1.0" encoding="utf-8"?>
<?mso-contentType ?>
<SecondaryMetadataConfiguration xmlns="http://www.Qumas.com/Qumas.Compliance/ContentTypes/SecondaryMetadataConfiguration" xmlns:i="http://www.w3.org/2001/XMLSchema-instance">
  <TimeStamp xmlns="http://schemas.datacontract.org/2004/07/QUMAS.Compliance.Common.SOM.DataContracts" i:nil="true"/>
  <UniqueId xmlns="http://schemas.datacontract.org/2004/07/QUMAS.Compliance.Common.SOM.DataContracts">00000000-0000-0000-0000-000000000000</UniqueId>
  <AllowedPrincipals xmlns:a="http://schemas.datacontract.org/2004/07/QUMAS.Compliance.Common.SOM.DataContracts.Security">
    <a:UserOrGroup>
      <TimeStamp xmlns="http://schemas.datacontract.org/2004/07/QUMAS.Compliance.Common.SOM.DataContracts" i:nil="true"/>
      <UniqueId xmlns="http://schemas.datacontract.org/2004/07/QUMAS.Compliance.Common.SOM.DataContracts">00000000-0000-0000-0000-000000000000</UniqueId>
      <a:Id>0</a:Id>
      <a:Member>document_coordinators_grp</a:Member>
      <a:MemberType>SharePointGroup</a:MemberType>
    </a:UserOrGroup>
  </AllowedPrincipals>
  <MetaDataColection xmlns:a="http://www.Qumas.com/Qumas.Compliance/ContentTypes/MetaData">
    <TimeStamp xmlns="http://schemas.datacontract.org/2004/07/QUMAS.Compliance.Common.SOM.DataContracts" i:nil="true"/>
    <UniqueId xmlns="http://schemas.datacontract.org/2004/07/QUMAS.Compliance.Common.SOM.DataContracts">00000000-0000-0000-0000-000000000000</UniqueId>
    <a:columns xmlns:b="http://schemas.microsoft.com/2003/10/Serialization/Arrays">
      <b:KeyValueOfguidCtMetaDataColumnUMerrUjH>
        <b:Key>fa564e0f-0c70-4ab9-b863-0177e6ddd247</b:Key>
        <b:Value xmlns:c="http://schemas.datacontract.org/2004/07/QUMAS.ServerObjectModel.DataContracts.ContentTypes">
          <TimeStamp xmlns="http://schemas.datacontract.org/2004/07/QUMAS.Compliance.Common.SOM.DataContracts" i:nil="true"/>
          <UniqueId xmlns="http://schemas.datacontract.org/2004/07/QUMAS.Compliance.Common.SOM.DataContracts">00000000-0000-0000-0000-000000000000</UniqueId>
          <c:ColumnId>fa564e0f-0c70-4ab9-b863-0177e6ddd247</c:ColumnId>
          <c:ColumnTitle>Title</c:ColumnTitle>
          <c:IsEditable>false</c:IsEditable>
          <c:IsVisible>true</c:IsVisible>
        </b:Value>
      </b:KeyValueOfguidCtMetaDataColumnUMerrUjH>
      <b:KeyValueOfguidCtMetaDataColumnUMerrUjH>
        <b:Key>87cb7466-f351-4009-9b1e-aab65aa3b419</b:Key>
        <b:Value xmlns:c="http://schemas.datacontract.org/2004/07/QUMAS.ServerObjectModel.DataContracts.ContentTypes">
          <TimeStamp xmlns="http://schemas.datacontract.org/2004/07/QUMAS.Compliance.Common.SOM.DataContracts" i:nil="true"/>
          <UniqueId xmlns="http://schemas.datacontract.org/2004/07/QUMAS.Compliance.Common.SOM.DataContracts">00000000-0000-0000-0000-000000000000</UniqueId>
          <c:ColumnId>87cb7466-f351-4009-9b1e-aab65aa3b419</c:ColumnId>
          <c:ColumnTitle>Description</c:ColumnTitle>
          <c:IsEditable>false</c:IsEditable>
          <c:IsVisible>true</c:IsVisible>
        </b:Value>
      </b:KeyValueOfguidCtMetaDataColumnUMerrUjH>
      <b:KeyValueOfguidCtMetaDataColumnUMerrUjH>
        <b:Key>be4decb5-4212-42c3-b314-89c58943eec1</b:Key>
        <b:Value xmlns:c="http://schemas.datacontract.org/2004/07/QUMAS.ServerObjectModel.DataContracts.ContentTypes">
          <TimeStamp xmlns="http://schemas.datacontract.org/2004/07/QUMAS.Compliance.Common.SOM.DataContracts" i:nil="true"/>
          <UniqueId xmlns="http://schemas.datacontract.org/2004/07/QUMAS.Compliance.Common.SOM.DataContracts">00000000-0000-0000-0000-000000000000</UniqueId>
          <c:ColumnId>be4decb5-4212-42c3-b314-89c58943eec1</c:ColumnId>
          <c:ColumnTitle>Document Coordinator</c:ColumnTitle>
          <c:IsEditable>false</c:IsEditable>
          <c:IsVisible>true</c:IsVisible>
        </b:Value>
      </b:KeyValueOfguidCtMetaDataColumnUMerrUjH>
      <b:KeyValueOfguidCtMetaDataColumnUMerrUjH>
        <b:Key>b6568d82-2d72-4087-acea-de31db3bd6d5</b:Key>
        <b:Value xmlns:c="http://schemas.datacontract.org/2004/07/QUMAS.ServerObjectModel.DataContracts.ContentTypes">
          <TimeStamp xmlns="http://schemas.datacontract.org/2004/07/QUMAS.Compliance.Common.SOM.DataContracts" i:nil="true"/>
          <UniqueId xmlns="http://schemas.datacontract.org/2004/07/QUMAS.Compliance.Common.SOM.DataContracts">00000000-0000-0000-0000-000000000000</UniqueId>
          <c:ColumnId>b6568d82-2d72-4087-acea-de31db3bd6d5</c:ColumnId>
          <c:ColumnTitle>Read and Understood Coordinator</c:ColumnTitle>
          <c:IsEditable>false</c:IsEditable>
          <c:IsVisible>true</c:IsVisible>
        </b:Value>
      </b:KeyValueOfguidCtMetaDataColumnUMerrUjH>
      <b:KeyValueOfguidCtMetaDataColumnUMerrUjH>
        <b:Key>83f7025a-ae9b-40ee-9f02-42ca1b19b0f4</b:Key>
        <b:Value xmlns:c="http://schemas.datacontract.org/2004/07/QUMAS.ServerObjectModel.DataContracts.ContentTypes">
          <TimeStamp xmlns="http://schemas.datacontract.org/2004/07/QUMAS.Compliance.Common.SOM.DataContracts" i:nil="true"/>
          <UniqueId xmlns="http://schemas.datacontract.org/2004/07/QUMAS.Compliance.Common.SOM.DataContracts">00000000-0000-0000-0000-000000000000</UniqueId>
          <c:ColumnId>83f7025a-ae9b-40ee-9f02-42ca1b19b0f4</c:ColumnId>
          <c:ColumnTitle>Legacy Number</c:ColumnTitle>
          <c:IsEditable>false</c:IsEditable>
          <c:IsVisible>true</c:IsVisible>
        </b:Value>
      </b:KeyValueOfguidCtMetaDataColumnUMerrUjH>
      <b:KeyValueOfguidCtMetaDataColumnUMerrUjH>
        <b:Key>999868a3-a960-4ea9-8640-6f4e733990cf</b:Key>
        <b:Value xmlns:c="http://schemas.datacontract.org/2004/07/QUMAS.ServerObjectModel.DataContracts.ContentTypes">
          <TimeStamp xmlns="http://schemas.datacontract.org/2004/07/QUMAS.Compliance.Common.SOM.DataContracts" i:nil="true"/>
          <UniqueId xmlns="http://schemas.datacontract.org/2004/07/QUMAS.Compliance.Common.SOM.DataContracts">00000000-0000-0000-0000-000000000000</UniqueId>
          <c:ColumnId>999868a3-a960-4ea9-8640-6f4e733990cf</c:ColumnId>
          <c:ColumnTitle>Litigation Hold</c:ColumnTitle>
          <c:IsEditable>false</c:IsEditable>
          <c:IsVisible>true</c:IsVisible>
        </b:Value>
      </b:KeyValueOfguidCtMetaDataColumnUMerrUjH>
      <b:KeyValueOfguidCtMetaDataColumnUMerrUjH>
        <b:Key>dec8c0c6-9284-45c9-86cd-a6677926f060</b:Key>
        <b:Value xmlns:c="http://schemas.datacontract.org/2004/07/QUMAS.ServerObjectModel.DataContracts.ContentTypes">
          <TimeStamp xmlns="http://schemas.datacontract.org/2004/07/QUMAS.Compliance.Common.SOM.DataContracts" i:nil="true"/>
          <UniqueId xmlns="http://schemas.datacontract.org/2004/07/QUMAS.Compliance.Common.SOM.DataContracts">00000000-0000-0000-0000-000000000000</UniqueId>
          <c:ColumnId>dec8c0c6-9284-45c9-86cd-a6677926f060</c:ColumnId>
          <c:ColumnTitle>Country</c:ColumnTitle>
          <c:IsEditable>false</c:IsEditable>
          <c:IsVisible>true</c:IsVisible>
        </b:Value>
      </b:KeyValueOfguidCtMetaDataColumnUMerrUjH>
      <b:KeyValueOfguidCtMetaDataColumnUMerrUjH>
        <b:Key>09b8c107-9bb2-480b-9dfe-c4eec8602873</b:Key>
        <b:Value xmlns:c="http://schemas.datacontract.org/2004/07/QUMAS.ServerObjectModel.DataContracts.ContentTypes">
          <TimeStamp xmlns="http://schemas.datacontract.org/2004/07/QUMAS.Compliance.Common.SOM.DataContracts" i:nil="true"/>
          <UniqueId xmlns="http://schemas.datacontract.org/2004/07/QUMAS.Compliance.Common.SOM.DataContracts">00000000-0000-0000-0000-000000000000</UniqueId>
          <c:ColumnId>09b8c107-9bb2-480b-9dfe-c4eec8602873</c:ColumnId>
          <c:ColumnTitle>Product Name</c:ColumnTitle>
          <c:IsEditable>false</c:IsEditable>
          <c:IsVisible>true</c:IsVisible>
        </b:Value>
      </b:KeyValueOfguidCtMetaDataColumnUMerrUjH>
      <b:KeyValueOfguidCtMetaDataColumnUMerrUjH>
        <b:Key>2d20f4e1-a1cf-4b55-adaa-8c8ec1919e5d</b:Key>
        <b:Value xmlns:c="http://schemas.datacontract.org/2004/07/QUMAS.ServerObjectModel.DataContracts.ContentTypes">
          <TimeStamp xmlns="http://schemas.datacontract.org/2004/07/QUMAS.Compliance.Common.SOM.DataContracts" i:nil="true"/>
          <UniqueId xmlns="http://schemas.datacontract.org/2004/07/QUMAS.Compliance.Common.SOM.DataContracts">00000000-0000-0000-0000-000000000000</UniqueId>
          <c:ColumnId>2d20f4e1-a1cf-4b55-adaa-8c8ec1919e5d</c:ColumnId>
          <c:ColumnTitle>Product Name &amp; Clinical Study Number</c:ColumnTitle>
          <c:IsEditable>false</c:IsEditable>
          <c:IsVisible>true</c:IsVisible>
        </b:Value>
      </b:KeyValueOfguidCtMetaDataColumnUMerrUjH>
      <b:KeyValueOfguidCtMetaDataColumnUMerrUjH>
        <b:Key>1aaa060f-dabb-4fe6-b4c9-ac13e12c617a</b:Key>
        <b:Value xmlns:c="http://schemas.datacontract.org/2004/07/QUMAS.ServerObjectModel.DataContracts.ContentTypes">
          <TimeStamp xmlns="http://schemas.datacontract.org/2004/07/QUMAS.Compliance.Common.SOM.DataContracts" i:nil="true"/>
          <UniqueId xmlns="http://schemas.datacontract.org/2004/07/QUMAS.Compliance.Common.SOM.DataContracts">00000000-0000-0000-0000-000000000000</UniqueId>
          <c:ColumnId>1aaa060f-dabb-4fe6-b4c9-ac13e12c617a</c:ColumnId>
          <c:ColumnTitle>Application Type</c:ColumnTitle>
          <c:IsEditable>false</c:IsEditable>
          <c:IsVisible>true</c:IsVisible>
        </b:Value>
      </b:KeyValueOfguidCtMetaDataColumnUMerrUjH>
      <b:KeyValueOfguidCtMetaDataColumnUMerrUjH>
        <b:Key>3a988d94-7e05-4d7c-a004-3bd95cd99f09</b:Key>
        <b:Value xmlns:c="http://schemas.datacontract.org/2004/07/QUMAS.ServerObjectModel.DataContracts.ContentTypes">
          <TimeStamp xmlns="http://schemas.datacontract.org/2004/07/QUMAS.Compliance.Common.SOM.DataContracts" i:nil="true"/>
          <UniqueId xmlns="http://schemas.datacontract.org/2004/07/QUMAS.Compliance.Common.SOM.DataContracts">00000000-0000-0000-0000-000000000000</UniqueId>
          <c:ColumnId>3a988d94-7e05-4d7c-a004-3bd95cd99f09</c:ColumnId>
          <c:ColumnTitle>RA Documents</c:ColumnTitle>
          <c:IsEditable>false</c:IsEditable>
          <c:IsVisible>true</c:IsVisible>
        </b:Value>
      </b:KeyValueOfguidCtMetaDataColumnUMerrUjH>
      <b:KeyValueOfguidCtMetaDataColumnUMerrUjH>
        <b:Key>3b70048b-a549-4b95-894d-35fa21d986f7</b:Key>
        <b:Value xmlns:c="http://schemas.datacontract.org/2004/07/QUMAS.ServerObjectModel.DataContracts.ContentTypes">
          <TimeStamp xmlns="http://schemas.datacontract.org/2004/07/QUMAS.Compliance.Common.SOM.DataContracts" i:nil="true"/>
          <UniqueId xmlns="http://schemas.datacontract.org/2004/07/QUMAS.Compliance.Common.SOM.DataContracts">00000000-0000-0000-0000-000000000000</UniqueId>
          <c:ColumnId>3b70048b-a549-4b95-894d-35fa21d986f7</c:ColumnId>
          <c:ColumnTitle>External Approved</c:ColumnTitle>
          <c:IsEditable>false</c:IsEditable>
          <c:IsVisible>true</c:IsVisible>
        </b:Value>
      </b:KeyValueOfguidCtMetaDataColumnUMerrUjH>
      <b:KeyValueOfguidCtMetaDataColumnUMerrUjH>
        <b:Key>63da565c-212f-437b-a8be-f9bddb310c30</b:Key>
        <b:Value xmlns:c="http://schemas.datacontract.org/2004/07/QUMAS.ServerObjectModel.DataContracts.ContentTypes">
          <TimeStamp xmlns="http://schemas.datacontract.org/2004/07/QUMAS.Compliance.Common.SOM.DataContracts" i:nil="true"/>
          <UniqueId xmlns="http://schemas.datacontract.org/2004/07/QUMAS.Compliance.Common.SOM.DataContracts">00000000-0000-0000-0000-000000000000</UniqueId>
          <c:ColumnId>63da565c-212f-437b-a8be-f9bddb310c30</c:ColumnId>
          <c:ColumnTitle>Responsibility</c:ColumnTitle>
          <c:IsEditable>false</c:IsEditable>
          <c:IsVisible>true</c:IsVisible>
        </b:Value>
      </b:KeyValueOfguidCtMetaDataColumnUMerrUjH>
    </a:columns>
  </MetaDataColection>
</SecondaryMetadataConfiguration>
</file>

<file path=customXml/item8.xml><?xml version="1.0" encoding="utf-8"?>
<?mso-contentType ?>
<CtReadAndUnderstoodConfig xmlns="http://www.Qumas.com/Qumas.Compliance/Qumas.ContentTypes/ReadAndUnderstood" xmlns:i="http://www.w3.org/2001/XMLSchema-instance">
  <TimeStamp xmlns="http://schemas.datacontract.org/2004/07/QUMAS.Compliance.Common.SOM.DataContracts" i:nil="true"/>
  <UniqueId xmlns="http://schemas.datacontract.org/2004/07/QUMAS.Compliance.Common.SOM.DataContracts">00000000-0000-0000-0000-000000000000</UniqueId>
  <AOEscalationConfigurationOverdue>false</AOEscalationConfigurationOverdue>
  <AOEscalationConfigurationWarn>false</AOEscalationConfigurationWarn>
  <AORandUDescription>true</AORandUDescription>
  <AORandUDuration>true</AORandUDuration>
  <AORandUParticipant>true</AORandUParticipant>
  <AORandUTitle>false</AORandUTitle>
  <AOVerificationConfiguration>false</AOVerificationConfiguration>
  <EnableSelfAssign>true</EnableSelfAssign>
  <EscalationConfigurationOverdue xmlns:a="http://www.Qumas.com/Qumas.Compliance/Configuration/Controls/EscalationNotificationOverdueConf">
    <a:DaysRepeat>2</a:DaysRepeat>
    <a:InitialNotification>Approaching Periodic Review Escalation</a:InitialNotification>
    <a:IsEnableTaskEscalation>false</a:IsEnableTaskEscalation>
    <a:IsOverdueHighPriority>false</a:IsOverdueHighPriority>
    <a:IsRepeatNotification>false</a:IsRepeatNotification>
    <a:RepeatNotification>Approaching Periodic Review Escalation</a:RepeatNotification>
  </EscalationConfigurationOverdue>
  <EscalationConfigurationWarn xmlns:a="http://www.Qumas.com/Qumas.Compliance/Configuration/Controls/EscalationNotificationWarnConf">
    <a:DaysBeforeDueDate>3</a:DaysBeforeDueDate>
    <a:DaysRepeat>2</a:DaysRepeat>
    <a:IsRepeatNotification>true</a:IsRepeatNotification>
    <a:IsWarnSoonOvedue>true</a:IsWarnSoonOvedue>
    <a:NotificationBeforeDueDate>Default Pending Escalation</a:NotificationBeforeDueDate>
    <a:RepeatNotification>Default Pending Escalation</a:RepeatNotification>
  </EscalationConfigurationWarn>
  <RandUAutoRetraction>false</RandUAutoRetraction>
  <RandUAutostart>false</RandUAutostart>
  <RandUAutostartLifecycleState>Approved</RandUAutostartLifecycleState>
  <RandUCoordinatorRoleId>RandUCoordinator</RandUCoordinatorRoleId>
  <RandUDescription>Please complete the Read and Understood task for {Title} ({Name}).</RandUDescription>
  <RandUDuration>5</RandUDuration>
  <RandUParticipant xmlns:a="http://schemas.datacontract.org/2004/07/QUMAS.Compliance.Common.SOM.DataContracts.Security"/>
  <RandURole>Participant</RandURole>
  <RandUTitle>Read and Understood task for {Title} ({Name})</RandUTitle>
  <VerificationConfiguration xmlns:a="http://www.Qumas.com/Qumas.Compliance/Configuration/Controls/VerificationConf">
    <TimeStamp xmlns="http://schemas.datacontract.org/2004/07/QUMAS.Compliance.Common.SOM.DataContracts" i:nil="true"/>
    <UniqueId xmlns="http://schemas.datacontract.org/2004/07/QUMAS.Compliance.Common.SOM.DataContracts">00000000-0000-0000-0000-000000000000</UniqueId>
    <a:RequiresVerification>false</a:RequiresVerification>
  </VerificationConfiguration>
</CtReadAndUnderstoodConfig>
</file>

<file path=customXml/item9.xml><?xml version="1.0" encoding="utf-8"?>
<?mso-contentType ?>
<PeriodicReviewWorkflowConfiguration xmlns="http://www.Qumas.com/Qumas.Compliance/Configuration/Workflows/PeriodicReviewWorkflowConfiguration" xmlns:i="http://www.w3.org/2001/XMLSchema-instance">
  <TimeStamp xmlns="http://schemas.datacontract.org/2004/07/QUMAS.Compliance.Common.SOM.DataContracts" i:nil="true"/>
  <UniqueId xmlns="http://schemas.datacontract.org/2004/07/QUMAS.Compliance.Common.SOM.DataContracts">00000000-0000-0000-0000-000000000000</UniqueId>
  <AOAutoRetractReleasedDocument>false</AOAutoRetractReleasedDocument>
  <AODuration>true</AODuration>
  <AOESig>true</AOESig>
  <AOEscalationConfigurationOverdue>false</AOEscalationConfigurationOverdue>
  <AOEscalationConfigurationWarn>false</AOEscalationConfigurationWarn>
  <AOTaskDescription>true</AOTaskDescription>
  <AOTaskTitle>false</AOTaskTitle>
  <AOWorkflowCompletionCondition>false</AOWorkflowCompletionCondition>
  <AllowedPrincipals xmlns:a="http://schemas.datacontract.org/2004/07/QUMAS.Compliance.Common.SOM.DataContracts.Security">
    <a:UserOrGroup>
      <TimeStamp xmlns="http://schemas.datacontract.org/2004/07/QUMAS.Compliance.Common.SOM.DataContracts" i:nil="true"/>
      <UniqueId xmlns="http://schemas.datacontract.org/2004/07/QUMAS.Compliance.Common.SOM.DataContracts">00000000-0000-0000-0000-000000000000</UniqueId>
      <a:Id>0</a:Id>
      <a:Member>document_coordinators_grp</a:Member>
      <a:MemberType>SharePointGroup</a:MemberType>
    </a:UserOrGroup>
  </AllowedPrincipals>
  <AutoRetractReleasedDocument>true</AutoRetractReleasedDocument>
  <BusinessRole>Quality Manager</BusinessRole>
  <Duration>5</Duration>
  <ESignatureRequired xmlns:a="http://www.Qumas.com/Qumas.Compliance/Configuration/Controls/EsignatureRequiredConf">
    <TimeStamp xmlns="http://schemas.datacontract.org/2004/07/QUMAS.Compliance.Common.SOM.DataContracts" i:nil="true"/>
    <UniqueId xmlns="http://schemas.datacontract.org/2004/07/QUMAS.Compliance.Common.SOM.DataContracts">00000000-0000-0000-0000-000000000000</UniqueId>
    <a:BusinessRole>Approver</a:BusinessRole>
    <a:MeaningOfSignatureCode>PeriodicReview</a:MeaningOfSignatureCode>
    <a:RequiresESig>true</a:RequiresESig>
  </ESignatureRequired>
  <EscalationConfigurationOverdue xmlns:a="http://www.Qumas.com/Qumas.Compliance/Configuration/Controls/EscalationNotificationOverdueConf">
    <a:DaysRepeat>2</a:DaysRepeat>
    <a:InitialNotification>Periodic Review Escalation</a:InitialNotification>
    <a:IsEnableTaskEscalation>true</a:IsEnableTaskEscalation>
    <a:IsOverdueHighPriority>false</a:IsOverdueHighPriority>
    <a:IsRepeatNotification>true</a:IsRepeatNotification>
    <a:RepeatNotification>Periodic Review Escalation</a:RepeatNotification>
  </EscalationConfigurationOverdue>
  <EscalationConfigurationWarn xmlns:a="http://www.Qumas.com/Qumas.Compliance/Configuration/Controls/EscalationNotificationWarnConf">
    <a:DaysBeforeDueDate>2</a:DaysBeforeDueDate>
    <a:DaysRepeat>2</a:DaysRepeat>
    <a:IsRepeatNotification>true</a:IsRepeatNotification>
    <a:IsWarnSoonOvedue>true</a:IsWarnSoonOvedue>
    <a:NotificationBeforeDueDate>Approaching Periodic Review Escalation</a:NotificationBeforeDueDate>
    <a:RepeatNotification>Approaching Periodic Review Escalation</a:RepeatNotification>
  </EscalationConfigurationWarn>
  <HOAutoRetractReleasedDocument>false</HOAutoRetractReleasedDocument>
  <HODuration>false</HODuration>
  <HOESig>false</HOESig>
  <HOEscalationConfigurationOverdue>true</HOEscalationConfigurationOverdue>
  <HOEscalationConfigurationWarn>true</HOEscalationConfigurationWarn>
  <HOTaskDescription>false</HOTaskDescription>
  <HOTaskTitle>false</HOTaskTitle>
  <HOWorkflowCompletionCondition>true</HOWorkflowCompletionCondition>
  <HaltOnSingleDisapproval>true</HaltOnSingleDisapproval>
  <IsAutomaticallySetNextReviewDate>false</IsAutomaticallySetNextReviewDate>
  <MeaningOfSignatureCode>GMPPeriodicReview</MeaningOfSignatureCode>
  <PanelName>Periodic Review</PanelName>
  <PeriodDay>0</PeriodDay>
  <PeriodMonth>0</PeriodMonth>
  <PeriodYear>2</PeriodYear>
  <PeriodicReviewConfigurationOverdue xmlns:a="http://www.Qumas.com/Qumas.Compliance/Configuration/Controls/EscalationNotificationOverdueConf">
    <a:DaysRepeat>2</a:DaysRepeat>
    <a:InitialNotification>Approaching Periodic Review Escalation</a:InitialNotification>
    <a:IsEnableTaskEscalation>false</a:IsEnableTaskEscalation>
    <a:IsOverdueHighPriority>false</a:IsOverdueHighPriority>
    <a:IsRepeatNotification>false</a:IsRepeatNotification>
    <a:RepeatNotification>Approaching Periodic Review Escalation</a:RepeatNotification>
  </PeriodicReviewConfigurationOverdue>
  <PeriodicReviewConfigurationWarn xmlns:a="http://www.Qumas.com/Qumas.Compliance/Configuration/Controls/EscalationNotificationWarnConf">
    <a:DaysBeforeDueDate>90</a:DaysBeforeDueDate>
    <a:DaysRepeat>7</a:DaysRepeat>
    <a:IsRepeatNotification>true</a:IsRepeatNotification>
    <a:IsWarnSoonOvedue>true</a:IsWarnSoonOvedue>
    <a:NotificationBeforeDueDate>Approaching Periodic Review Escalation</a:NotificationBeforeDueDate>
    <a:RepeatNotification>Approaching Periodic Review Escalation</a:RepeatNotification>
  </PeriodicReviewConfigurationWarn>
  <QuorumNum>0</QuorumNum>
  <RequiresESig>true</RequiresESig>
  <SegregationCfg xmlns:a="http://www.Qumas.com/Qumas.Compliance/Configuration/Controls/SegregationConfig">
    <TimeStamp xmlns="http://schemas.datacontract.org/2004/07/QUMAS.Compliance.Common.SOM.DataContracts" i:nil="true"/>
    <UniqueId xmlns="http://schemas.datacontract.org/2004/07/QUMAS.Compliance.Common.SOM.DataContracts">00000000-0000-0000-0000-000000000000</UniqueId>
    <a:AO>true</a:AO>
    <a:Assignees xmlns:b="http://schemas.datacontract.org/2004/07/QUMAS.Compliance.Common.SOM.DataContracts.Security"/>
    <a:Filter xmlns:b="http://schemas.datacontract.org/2004/07/QUMAS.Compliance.Common.SOM.DataContracts.Security">
      <TimeStamp xmlns="http://schemas.datacontract.org/2004/07/QUMAS.Compliance.Common.SOM.DataContracts" i:nil="true"/>
      <UniqueId xmlns="http://schemas.datacontract.org/2004/07/QUMAS.Compliance.Common.SOM.DataContracts">00000000-0000-0000-0000-000000000000</UniqueId>
      <b:Id>30</b:Id>
      <b:Member>workflow_participants_grp</b:Member>
      <b:MemberType>SharePointGroup</b:MemberType>
    </a:Filter>
    <a:HO>false</a:HO>
    <a:Limit>true</a:Limit>
    <a:SepTasks>true</a:SepTasks>
  </SegregationCfg>
  <TaskDescription>Please review {Title} ({Name}) and approve or disapprove.</TaskDescription>
  <TaskTitle>Periodic Review task for {Title} ({Name})</TaskTitle>
  <WorkflowCompletionCondition>AllTasksCompletion</WorkflowCompletionCondition>
</PeriodicReviewWorkflowConfiguration>
</file>

<file path=customXml/itemProps1.xml><?xml version="1.0" encoding="utf-8"?>
<ds:datastoreItem xmlns:ds="http://schemas.openxmlformats.org/officeDocument/2006/customXml" ds:itemID="{8F16A394-AE94-4617-81E0-615FC3D21916}">
  <ds:schemaRefs>
    <ds:schemaRef ds:uri="http://schemas.microsoft.com/sharepoint/v3/contenttype/forms"/>
  </ds:schemaRefs>
</ds:datastoreItem>
</file>

<file path=customXml/itemProps10.xml><?xml version="1.0" encoding="utf-8"?>
<ds:datastoreItem xmlns:ds="http://schemas.openxmlformats.org/officeDocument/2006/customXml" ds:itemID="{91F3AC47-26AB-4FA6-9F8C-9969DA125DF2}">
  <ds:schemaRefs>
    <ds:schemaRef ds:uri="http://www.Qumas.com/Qumas.Compliance/ContentTypes/CTPrintExport"/>
    <ds:schemaRef ds:uri="http://schemas.datacontract.org/2004/07/QUMAS.Compliance.Common.SOM.DataContracts"/>
    <ds:schemaRef ds:uri="http://www.Qumas.com/Qumas.Compliance/ContentTypes/CTPrintExportForLCS"/>
    <ds:schemaRef ds:uri="http://www.Qumas.com/Qumas.Compliance/ContentTypes/CTPrintExportConfig"/>
    <ds:schemaRef ds:uri="http://schemas.datacontract.org/2004/07/QUMAS.Compliance.Common.SOM.DataContracts.Security"/>
  </ds:schemaRefs>
</ds:datastoreItem>
</file>

<file path=customXml/itemProps11.xml><?xml version="1.0" encoding="utf-8"?>
<ds:datastoreItem xmlns:ds="http://schemas.openxmlformats.org/officeDocument/2006/customXml" ds:itemID="{C7DC7AE8-836B-472B-AD1A-7C4026434940}">
  <ds:schemaRefs>
    <ds:schemaRef ds:uri="http://www.Qumas.com/Qumas.Compliance/ContentTypes/AssociationsConfiguration"/>
    <ds:schemaRef ds:uri="http://schemas.datacontract.org/2004/07/QUMAS.Compliance.Common.SOM.DataContracts"/>
    <ds:schemaRef ds:uri="http://schemas.datacontract.org/2004/07/QUMAS.Compliance.Common.SOM.DataContracts.Security"/>
  </ds:schemaRefs>
</ds:datastoreItem>
</file>

<file path=customXml/itemProps12.xml><?xml version="1.0" encoding="utf-8"?>
<ds:datastoreItem xmlns:ds="http://schemas.openxmlformats.org/officeDocument/2006/customXml" ds:itemID="{0D08509F-46C7-45D2-BB07-8BFF5980EBEE}">
  <ds:schemaRefs>
    <ds:schemaRef ds:uri="http://www.Qumas.com/Qumas.Compliance/Configuration/LifecycleState/LifecycleStateDocumentConfiguration"/>
    <ds:schemaRef ds:uri="http://schemas.datacontract.org/2004/07/QUMAS.Compliance.Common.SOM.DataContracts"/>
    <ds:schemaRef ds:uri="http://www.Qumas.com/Qumas.Compliance/Configuration/LifecycleState/LifecycleStateNewDocumentConfiguration"/>
    <ds:schemaRef ds:uri="http://schemas.datacontract.org/2004/07/QUMAS.Compliance.Common.SOM.DataContracts.Security"/>
    <ds:schemaRef ds:uri="http://www.Qumas.com/Qumas.Compliance/ContentTypes/MetaData"/>
    <ds:schemaRef ds:uri="http://schemas.microsoft.com/2003/10/Serialization/Arrays"/>
    <ds:schemaRef ds:uri="http://schemas.datacontract.org/2004/07/QUMAS.ServerObjectModel.DataContracts.ContentTypes"/>
    <ds:schemaRef ds:uri="http://www.Qumas.com/Qumas.Compliance/Configuration/LifecycleState/LifecycleStateUploadDocumentConfiguration"/>
  </ds:schemaRefs>
</ds:datastoreItem>
</file>

<file path=customXml/itemProps13.xml><?xml version="1.0" encoding="utf-8"?>
<ds:datastoreItem xmlns:ds="http://schemas.openxmlformats.org/officeDocument/2006/customXml" ds:itemID="{15CC870B-8C84-4573-AEDB-0A1CD09566EF}">
  <ds:schemaRefs>
    <ds:schemaRef ds:uri="f7a5749a-0743-4a43-8d53-d0e889f1a7c8"/>
    <ds:schemaRef ds:uri="http://www.w3.org/XML/1998/namespace"/>
    <ds:schemaRef ds:uri="http://purl.org/dc/elements/1.1/"/>
    <ds:schemaRef ds:uri="8a680eef-6a7d-4d7b-b884-09c24675cc90"/>
    <ds:schemaRef ds:uri="http://schemas.microsoft.com/office/infopath/2007/PartnerControls"/>
    <ds:schemaRef ds:uri="http://schemas.microsoft.com/office/2006/documentManagement/types"/>
    <ds:schemaRef ds:uri="http://purl.org/dc/terms/"/>
    <ds:schemaRef ds:uri="http://schemas.openxmlformats.org/package/2006/metadata/core-properties"/>
    <ds:schemaRef ds:uri="http://schemas.microsoft.com/office/2006/metadata/properties"/>
    <ds:schemaRef ds:uri="http://purl.org/dc/dcmitype/"/>
  </ds:schemaRefs>
</ds:datastoreItem>
</file>

<file path=customXml/itemProps14.xml><?xml version="1.0" encoding="utf-8"?>
<ds:datastoreItem xmlns:ds="http://schemas.openxmlformats.org/officeDocument/2006/customXml" ds:itemID="{33BDF4AB-8127-459B-87F7-B722EA765237}">
  <ds:schemaRefs>
    <ds:schemaRef ds:uri="http://www.Qumas.com/Qumas.Compliance/ContentTypes/DocTemplates"/>
    <ds:schemaRef ds:uri="http://schemas.datacontract.org/2004/07/QUMAS.ServerObjectModel.DataContracts.ContentTypes"/>
  </ds:schemaRefs>
</ds:datastoreItem>
</file>

<file path=customXml/itemProps15.xml><?xml version="1.0" encoding="utf-8"?>
<ds:datastoreItem xmlns:ds="http://schemas.openxmlformats.org/officeDocument/2006/customXml" ds:itemID="{4ECA22F3-CD12-4A9E-88D1-68DE7BA9D95B}">
  <ds:schemaRefs>
    <ds:schemaRef ds:uri="http://www.Qumas.com/Qumas.Compliance/ContentTypes/LifecycleStateWorkflowConfig"/>
    <ds:schemaRef ds:uri="http://schemas.datacontract.org/2004/07/QUMAS.ServerObjectModel.DataContracts.Security"/>
  </ds:schemaRefs>
</ds:datastoreItem>
</file>

<file path=customXml/itemProps16.xml><?xml version="1.0" encoding="utf-8"?>
<ds:datastoreItem xmlns:ds="http://schemas.openxmlformats.org/officeDocument/2006/customXml" ds:itemID="{987AFA6D-FBC5-4EA0-BC75-32217A24F740}">
  <ds:schemaRefs>
    <ds:schemaRef ds:uri="http://www.Qumas.com/Qumas.Compliance/ContentTypes/AutoNumber"/>
    <ds:schemaRef ds:uri="http://schemas.microsoft.com/2003/10/Serialization/Arrays"/>
    <ds:schemaRef ds:uri="http://www.Qumas.com/Qumas.Compliance/ContentTypes/DocNumber"/>
  </ds:schemaRefs>
</ds:datastoreItem>
</file>

<file path=customXml/itemProps17.xml><?xml version="1.0" encoding="utf-8"?>
<ds:datastoreItem xmlns:ds="http://schemas.openxmlformats.org/officeDocument/2006/customXml" ds:itemID="{553F1456-C534-41B7-B619-DFAF777BA621}">
  <ds:schemaRefs>
    <ds:schemaRef ds:uri="http://www.Qumas.com/Qumas.Compliance/Configuration/LifecycleAction/LifecycleActionNamedConfigurations/Retire"/>
  </ds:schemaRefs>
</ds:datastoreItem>
</file>

<file path=customXml/itemProps18.xml><?xml version="1.0" encoding="utf-8"?>
<ds:datastoreItem xmlns:ds="http://schemas.openxmlformats.org/officeDocument/2006/customXml" ds:itemID="{58602DA0-4B3C-425E-970F-C985241F1D07}">
  <ds:schemaRefs>
    <ds:schemaRef ds:uri="http://www.Qumas.com/Qumas.Compliance/Configuration/LifecycleAction/LifecycleActionNamedConfigurations/Approve"/>
  </ds:schemaRefs>
</ds:datastoreItem>
</file>

<file path=customXml/itemProps19.xml><?xml version="1.0" encoding="utf-8"?>
<ds:datastoreItem xmlns:ds="http://schemas.openxmlformats.org/officeDocument/2006/customXml" ds:itemID="{358E6D46-0871-4F3D-B10B-0AF15AF327A8}">
  <ds:schemaRefs>
    <ds:schemaRef ds:uri="http://www.Qumas.com/Qumas.Compliance/Configuration/LifecycleState/LifecycleStateMetaDataConfiguration"/>
    <ds:schemaRef ds:uri="http://schemas.datacontract.org/2004/07/QUMAS.Compliance.Common.SOM.DataContracts"/>
    <ds:schemaRef ds:uri="http://schemas.microsoft.com/2003/10/Serialization/Arrays"/>
    <ds:schemaRef ds:uri="http://www.Qumas.com/Qumas.Compliance/ContentTypes/MetaData"/>
    <ds:schemaRef ds:uri="http://schemas.datacontract.org/2004/07/QUMAS.ServerObjectModel.DataContracts.ContentTypes"/>
  </ds:schemaRefs>
</ds:datastoreItem>
</file>

<file path=customXml/itemProps2.xml><?xml version="1.0" encoding="utf-8"?>
<ds:datastoreItem xmlns:ds="http://schemas.openxmlformats.org/officeDocument/2006/customXml" ds:itemID="{320F5488-B01C-427C-8E6E-AC0844416A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a5749a-0743-4a43-8d53-d0e889f1a7c8"/>
    <ds:schemaRef ds:uri="8a680eef-6a7d-4d7b-b884-09c24675cc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0.xml><?xml version="1.0" encoding="utf-8"?>
<ds:datastoreItem xmlns:ds="http://schemas.openxmlformats.org/officeDocument/2006/customXml" ds:itemID="{A315E341-799A-476E-9789-439DE0CF411D}">
  <ds:schemaRefs>
    <ds:schemaRef ds:uri="http://schemas.microsoft.com/sharepoint/events"/>
  </ds:schemaRefs>
</ds:datastoreItem>
</file>

<file path=customXml/itemProps21.xml><?xml version="1.0" encoding="utf-8"?>
<ds:datastoreItem xmlns:ds="http://schemas.openxmlformats.org/officeDocument/2006/customXml" ds:itemID="{E0D9BB3B-D3D6-4104-9480-32A76F9BBB00}">
  <ds:schemaRefs>
    <ds:schemaRef ds:uri="http://www.Qumas.com/Qumas.Compliance/ContentTypes/DistributionConfigurations"/>
    <ds:schemaRef ds:uri="http://www.QUMAS.com/QUMAS.Compliance/Documents"/>
    <ds:schemaRef ds:uri="http://schemas.microsoft.com/2003/10/Serialization/Arrays"/>
  </ds:schemaRefs>
</ds:datastoreItem>
</file>

<file path=customXml/itemProps22.xml><?xml version="1.0" encoding="utf-8"?>
<ds:datastoreItem xmlns:ds="http://schemas.openxmlformats.org/officeDocument/2006/customXml" ds:itemID="{B1823EB1-E663-4ACC-999C-6B338927293F}">
  <ds:schemaRefs>
    <ds:schemaRef ds:uri="http://www.Qumas.com/Qumas.Compliance/Configuration/LifecycleAction/LifecycleActionNamedConfigurations/Withdraw"/>
  </ds:schemaRefs>
</ds:datastoreItem>
</file>

<file path=customXml/itemProps23.xml><?xml version="1.0" encoding="utf-8"?>
<ds:datastoreItem xmlns:ds="http://schemas.openxmlformats.org/officeDocument/2006/customXml" ds:itemID="{4E9967DA-FF6C-4209-BA29-12A1686AF50E}">
  <ds:schemaRefs>
    <ds:schemaRef ds:uri="http://schemas.openxmlformats.org/officeDocument/2006/bibliography"/>
  </ds:schemaRefs>
</ds:datastoreItem>
</file>

<file path=customXml/itemProps3.xml><?xml version="1.0" encoding="utf-8"?>
<ds:datastoreItem xmlns:ds="http://schemas.openxmlformats.org/officeDocument/2006/customXml" ds:itemID="{F1F15229-E305-478E-9057-2729056A9192}">
  <ds:schemaRefs>
    <ds:schemaRef ds:uri="http://www.Qumas.com/Qumas.Compliance/ContentTypes/ControlPanelTabs"/>
    <ds:schemaRef ds:uri="http://schemas.datacontract.org/2004/07/QUMAS.Compliance.Common.SOM.DataContracts"/>
    <ds:schemaRef ds:uri="http://schemas.datacontract.org/2004/07/QUMAS.Compliance.Common.SOM.DataContracts.ContentTypes"/>
  </ds:schemaRefs>
</ds:datastoreItem>
</file>

<file path=customXml/itemProps4.xml><?xml version="1.0" encoding="utf-8"?>
<ds:datastoreItem xmlns:ds="http://schemas.openxmlformats.org/officeDocument/2006/customXml" ds:itemID="{91ADA471-B998-4A64-A662-483464E2094D}">
  <ds:schemaRefs>
    <ds:schemaRef ds:uri="http://www.Qumas.com/Qumas.Compliance/Configuration/LifecycleState/LifecycleStateGeneralConfiguration"/>
    <ds:schemaRef ds:uri="http://schemas.datacontract.org/2004/07/QUMAS.Compliance.Common.SOM.DataContracts"/>
    <ds:schemaRef ds:uri="http://schemas.datacontract.org/2004/07/QUMAS.Compliance.Common.SOM.DataContracts.Security"/>
  </ds:schemaRefs>
</ds:datastoreItem>
</file>

<file path=customXml/itemProps5.xml><?xml version="1.0" encoding="utf-8"?>
<ds:datastoreItem xmlns:ds="http://schemas.openxmlformats.org/officeDocument/2006/customXml" ds:itemID="{E79F04F7-EA23-450B-8F3E-62C49388E412}">
  <ds:schemaRefs>
    <ds:schemaRef ds:uri="http://www.Qumas.com/Qumas.Compliance/Configuration/LifecycleAction/LifecycleActionNamedConfigurations/Revise"/>
  </ds:schemaRefs>
</ds:datastoreItem>
</file>

<file path=customXml/itemProps6.xml><?xml version="1.0" encoding="utf-8"?>
<ds:datastoreItem xmlns:ds="http://schemas.openxmlformats.org/officeDocument/2006/customXml" ds:itemID="{C4B42F46-FACE-470E-80B8-0369095DFA97}">
  <ds:schemaRefs>
    <ds:schemaRef ds:uri="http://www.QUMAS.com/QUMAS.Compliance/Configuration/Security"/>
    <ds:schemaRef ds:uri="http://schemas.datacontract.org/2004/07/QUMAS.Compliance.Common.SOM.DataContracts"/>
    <ds:schemaRef ds:uri="http://www.QUMAS.com/QUMAS.Compliance/Security"/>
    <ds:schemaRef ds:uri="http://schemas.microsoft.com/2003/10/Serialization/Arrays"/>
    <ds:schemaRef ds:uri="http://schemas.datacontract.org/2004/07/QUMAS.Compliance.Common.SOM.DataContracts.Security"/>
  </ds:schemaRefs>
</ds:datastoreItem>
</file>

<file path=customXml/itemProps7.xml><?xml version="1.0" encoding="utf-8"?>
<ds:datastoreItem xmlns:ds="http://schemas.openxmlformats.org/officeDocument/2006/customXml" ds:itemID="{ED383622-FA8B-4FB1-B5EF-A7D5E9DB273B}">
  <ds:schemaRefs>
    <ds:schemaRef ds:uri="http://www.Qumas.com/Qumas.Compliance/ContentTypes/SecondaryMetadataConfiguration"/>
    <ds:schemaRef ds:uri="http://schemas.datacontract.org/2004/07/QUMAS.Compliance.Common.SOM.DataContracts"/>
    <ds:schemaRef ds:uri="http://schemas.datacontract.org/2004/07/QUMAS.Compliance.Common.SOM.DataContracts.Security"/>
    <ds:schemaRef ds:uri="http://www.Qumas.com/Qumas.Compliance/ContentTypes/MetaData"/>
    <ds:schemaRef ds:uri="http://schemas.microsoft.com/2003/10/Serialization/Arrays"/>
    <ds:schemaRef ds:uri="http://schemas.datacontract.org/2004/07/QUMAS.ServerObjectModel.DataContracts.ContentTypes"/>
  </ds:schemaRefs>
</ds:datastoreItem>
</file>

<file path=customXml/itemProps8.xml><?xml version="1.0" encoding="utf-8"?>
<ds:datastoreItem xmlns:ds="http://schemas.openxmlformats.org/officeDocument/2006/customXml" ds:itemID="{93C926C1-230F-4487-913E-06E4E5F4F4C6}">
  <ds:schemaRefs>
    <ds:schemaRef ds:uri="http://www.Qumas.com/Qumas.Compliance/Qumas.ContentTypes/ReadAndUnderstood"/>
    <ds:schemaRef ds:uri="http://schemas.datacontract.org/2004/07/QUMAS.Compliance.Common.SOM.DataContracts"/>
    <ds:schemaRef ds:uri="http://www.Qumas.com/Qumas.Compliance/Configuration/Controls/EscalationNotificationOverdueConf"/>
    <ds:schemaRef ds:uri="http://www.Qumas.com/Qumas.Compliance/Configuration/Controls/EscalationNotificationWarnConf"/>
    <ds:schemaRef ds:uri="http://schemas.datacontract.org/2004/07/QUMAS.Compliance.Common.SOM.DataContracts.Security"/>
    <ds:schemaRef ds:uri="http://www.Qumas.com/Qumas.Compliance/Configuration/Controls/VerificationConf"/>
  </ds:schemaRefs>
</ds:datastoreItem>
</file>

<file path=customXml/itemProps9.xml><?xml version="1.0" encoding="utf-8"?>
<ds:datastoreItem xmlns:ds="http://schemas.openxmlformats.org/officeDocument/2006/customXml" ds:itemID="{5CF36A45-4144-4EA9-A8D5-F80C5B578BC5}">
  <ds:schemaRefs>
    <ds:schemaRef ds:uri="http://www.Qumas.com/Qumas.Compliance/Configuration/Workflows/PeriodicReviewWorkflowConfiguration"/>
    <ds:schemaRef ds:uri="http://schemas.datacontract.org/2004/07/QUMAS.Compliance.Common.SOM.DataContracts"/>
    <ds:schemaRef ds:uri="http://schemas.datacontract.org/2004/07/QUMAS.Compliance.Common.SOM.DataContracts.Security"/>
    <ds:schemaRef ds:uri="http://www.Qumas.com/Qumas.Compliance/Configuration/Controls/EsignatureRequiredConf"/>
    <ds:schemaRef ds:uri="http://www.Qumas.com/Qumas.Compliance/Configuration/Controls/EscalationNotificationOverdueConf"/>
    <ds:schemaRef ds:uri="http://www.Qumas.com/Qumas.Compliance/Configuration/Controls/EscalationNotificationWarnConf"/>
    <ds:schemaRef ds:uri="http://www.Qumas.com/Qumas.Compliance/Configuration/Controls/SegregationConfig"/>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62</Pages>
  <Words>21602</Words>
  <Characters>124860</Characters>
  <Application>Microsoft Office Word</Application>
  <DocSecurity>0</DocSecurity>
  <Lines>2270</Lines>
  <Paragraphs>996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SB2_AU_Product Information_v6.0_1st draft</vt:lpstr>
      <vt:lpstr>SB2_AU_Product Information_v6.0_1st draft</vt:lpstr>
    </vt:vector>
  </TitlesOfParts>
  <Company>Toshiba</Company>
  <LinksUpToDate>false</LinksUpToDate>
  <CharactersWithSpaces>145466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AusPAR Attachment 1: Product Information for Infliximab</dc:title>
  <dc:subject>Prescription medicines</dc:subject>
  <dc:creator>Songhee Lee</dc:creator>
  <cp:keywords>AusPARs</cp:keywords>
  <cp:lastModifiedBy>THOMPSON, Lynette</cp:lastModifiedBy>
  <cp:revision>4</cp:revision>
  <cp:lastPrinted>2017-07-18T12:58:00Z</cp:lastPrinted>
  <dcterms:created xsi:type="dcterms:W3CDTF">2017-10-13T03:27:00Z</dcterms:created>
  <dcterms:modified xsi:type="dcterms:W3CDTF">2017-11-01T01:56:00Z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0x01010064EF5778BBDB426ABAC6661E461254E6008D11BE97610B274EA7BF8FBFEB7E75350208008ACC031515AEFD4DA2AFB80748E3878D</vt:lpwstr>
  </property>
  <property fmtid="{D5CDD505-2E9C-101B-9397-08002B2CF9AE}" pid="3" name="f07ea97df2674014ba2f7ef6bcf699f3">
    <vt:lpwstr/>
  </property>
  <property fmtid="{D5CDD505-2E9C-101B-9397-08002B2CF9AE}" pid="4" name="e9843d737bea4213855ef57e684fa688">
    <vt:lpwstr/>
  </property>
  <property fmtid="{D5CDD505-2E9C-101B-9397-08002B2CF9AE}" pid="5" name="gb5c5bc44c064e918c211a49e622cb6d">
    <vt:lpwstr/>
  </property>
  <property fmtid="{D5CDD505-2E9C-101B-9397-08002B2CF9AE}" pid="6" name="lc6a2eb9a7c14b34a3d6b66b845670bc">
    <vt:lpwstr/>
  </property>
  <property fmtid="{D5CDD505-2E9C-101B-9397-08002B2CF9AE}" pid="7" name="h5dade96b66b4dcbb9733bb1fa65c5cb">
    <vt:lpwstr/>
  </property>
  <property fmtid="{D5CDD505-2E9C-101B-9397-08002B2CF9AE}" pid="8" name="c4f1940c4dde428d84d3e8c4367d6af4">
    <vt:lpwstr/>
  </property>
  <property fmtid="{D5CDD505-2E9C-101B-9397-08002B2CF9AE}" pid="9" name="j9d95e19047849c88196ddcc23fe461b">
    <vt:lpwstr/>
  </property>
  <property fmtid="{D5CDD505-2E9C-101B-9397-08002B2CF9AE}" pid="10" name="p4985041f1894cdb893e68f2a0436683">
    <vt:lpwstr/>
  </property>
  <property fmtid="{D5CDD505-2E9C-101B-9397-08002B2CF9AE}" pid="11" name="n1aa84dc25ab4b5ea9b8c743f8b69ae2">
    <vt:lpwstr/>
  </property>
  <property fmtid="{D5CDD505-2E9C-101B-9397-08002B2CF9AE}" pid="12" name="Product Name &amp; Product/Substance Manufacturer">
    <vt:lpwstr/>
  </property>
  <property fmtid="{D5CDD505-2E9C-101B-9397-08002B2CF9AE}" pid="13" name="n5a30dddf6c94eee9db2e45a95c25568">
    <vt:lpwstr/>
  </property>
  <property fmtid="{D5CDD505-2E9C-101B-9397-08002B2CF9AE}" pid="14" name="m777c71497c444e2976b6e4368df91d8">
    <vt:lpwstr/>
  </property>
  <property fmtid="{D5CDD505-2E9C-101B-9397-08002B2CF9AE}" pid="15" name="ke3f2641b5c9407ca269c487a055f38e">
    <vt:lpwstr/>
  </property>
  <property fmtid="{D5CDD505-2E9C-101B-9397-08002B2CF9AE}" pid="16" name="o8f6bc3899af4bd7a39d0c9ff39963c2">
    <vt:lpwstr/>
  </property>
  <property fmtid="{D5CDD505-2E9C-101B-9397-08002B2CF9AE}" pid="17" name="ef59a133cf6d4df791043ec961055bf1">
    <vt:lpwstr/>
  </property>
  <property fmtid="{D5CDD505-2E9C-101B-9397-08002B2CF9AE}" pid="18" name="Country_x0020__x0026__x0020_Doc_x0020_Language">
    <vt:lpwstr/>
  </property>
  <property fmtid="{D5CDD505-2E9C-101B-9397-08002B2CF9AE}" pid="19" name="CMC_x0020_DP_x0020_Module_x0020__x0026__x0020_Section">
    <vt:lpwstr/>
  </property>
  <property fmtid="{D5CDD505-2E9C-101B-9397-08002B2CF9AE}" pid="20" name="Module_x0020_1_x0020__x0026__x0020_Section">
    <vt:lpwstr/>
  </property>
  <property fmtid="{D5CDD505-2E9C-101B-9397-08002B2CF9AE}" pid="21" name="NonClinical_x0020_Module_x0020__x0026__x0020_Section">
    <vt:lpwstr/>
  </property>
  <property fmtid="{D5CDD505-2E9C-101B-9397-08002B2CF9AE}" pid="22" name="CMC_x0020_DS_x0020_Module_x0020__x0026__x0020_Section">
    <vt:lpwstr/>
  </property>
  <property fmtid="{D5CDD505-2E9C-101B-9397-08002B2CF9AE}" pid="23" name="Correspondence_x0020_Category_x0020__x0026__x0020_Type">
    <vt:lpwstr/>
  </property>
  <property fmtid="{D5CDD505-2E9C-101B-9397-08002B2CF9AE}" pid="24" name="Product_x0020_Name_x0020__x0026__x0020_Clinical_x0020_Study_x0020_Number">
    <vt:lpwstr/>
  </property>
  <property fmtid="{D5CDD505-2E9C-101B-9397-08002B2CF9AE}" pid="25" name="Product_x0020_Name_x0020__x0026__x0020_NonClinical_x0020_Study_x0020_Number">
    <vt:lpwstr/>
  </property>
  <property fmtid="{D5CDD505-2E9C-101B-9397-08002B2CF9AE}" pid="26" name="Product_x0020_Name_x0020__x0026__x0020_Substance_x0020_Name">
    <vt:lpwstr/>
  </property>
  <property fmtid="{D5CDD505-2E9C-101B-9397-08002B2CF9AE}" pid="27" name="Clincial_x0020_Module_x0020__x0026__x0020_Section">
    <vt:lpwstr/>
  </property>
  <property fmtid="{D5CDD505-2E9C-101B-9397-08002B2CF9AE}" pid="28" name="Substance_x0020__x0026__x0020_Product_x002F_Substance_x0020_Manufacturer">
    <vt:lpwstr/>
  </property>
  <property fmtid="{D5CDD505-2E9C-101B-9397-08002B2CF9AE}" pid="29" name="Product_x0020_and_x0020_TradeName">
    <vt:lpwstr/>
  </property>
  <property fmtid="{D5CDD505-2E9C-101B-9397-08002B2CF9AE}" pid="30" name="Product_x0020_Name_x0020__x0026__x0020_Dosage_x0020_Form">
    <vt:lpwstr/>
  </property>
  <property fmtid="{D5CDD505-2E9C-101B-9397-08002B2CF9AE}" pid="31" name="Product_x0020_Information_x0020_Type_x0020__x0026__x0020_Subtype">
    <vt:lpwstr/>
  </property>
  <property fmtid="{D5CDD505-2E9C-101B-9397-08002B2CF9AE}" pid="32" name="fa564e0f-0c70-4ab9-b863-0177e6ddd247">
    <vt:lpwstr>SB2_AU_Product Information_v6.0_1st draft</vt:lpwstr>
  </property>
  <property fmtid="{D5CDD505-2E9C-101B-9397-08002B2CF9AE}" pid="33" name="{00FE94E4-F16D-4FE3-A728-4D3B1484C1CC}">
    <vt:lpwstr/>
  </property>
  <property fmtid="{D5CDD505-2E9C-101B-9397-08002B2CF9AE}" pid="34" name="Product Name &amp; NonClinical Study Number">
    <vt:lpwstr/>
  </property>
  <property fmtid="{D5CDD505-2E9C-101B-9397-08002B2CF9AE}" pid="35" name="NonClinical Module &amp; Section">
    <vt:lpwstr/>
  </property>
  <property fmtid="{D5CDD505-2E9C-101B-9397-08002B2CF9AE}" pid="36" name="Country &amp; Doc Language">
    <vt:lpwstr/>
  </property>
  <property fmtid="{D5CDD505-2E9C-101B-9397-08002B2CF9AE}" pid="37" name="CMC DS Module &amp; Section">
    <vt:lpwstr/>
  </property>
  <property fmtid="{D5CDD505-2E9C-101B-9397-08002B2CF9AE}" pid="38" name="Correspondence Category &amp; Type">
    <vt:lpwstr/>
  </property>
  <property fmtid="{D5CDD505-2E9C-101B-9397-08002B2CF9AE}" pid="39" name="Substance &amp; Product/Substance Manufacturer">
    <vt:lpwstr/>
  </property>
  <property fmtid="{D5CDD505-2E9C-101B-9397-08002B2CF9AE}" pid="40" name="CMC DP Module &amp; Section">
    <vt:lpwstr/>
  </property>
  <property fmtid="{D5CDD505-2E9C-101B-9397-08002B2CF9AE}" pid="41" name="Product Name &amp; Substance Name">
    <vt:lpwstr/>
  </property>
  <property fmtid="{D5CDD505-2E9C-101B-9397-08002B2CF9AE}" pid="42" name="Product and TradeName">
    <vt:lpwstr/>
  </property>
  <property fmtid="{D5CDD505-2E9C-101B-9397-08002B2CF9AE}" pid="43" name="Product Information Type &amp; Subtype">
    <vt:lpwstr/>
  </property>
  <property fmtid="{D5CDD505-2E9C-101B-9397-08002B2CF9AE}" pid="44" name="Product Name &amp; Clinical Study Number">
    <vt:lpwstr/>
  </property>
  <property fmtid="{D5CDD505-2E9C-101B-9397-08002B2CF9AE}" pid="45" name="Clincial Module &amp; Section">
    <vt:lpwstr/>
  </property>
  <property fmtid="{D5CDD505-2E9C-101B-9397-08002B2CF9AE}" pid="46" name="Product Name &amp; Dosage Form">
    <vt:lpwstr/>
  </property>
  <property fmtid="{D5CDD505-2E9C-101B-9397-08002B2CF9AE}" pid="47" name="Module 1 &amp; Section">
    <vt:lpwstr/>
  </property>
</Properties>
</file>