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E7059FC" w14:textId="77777777" w:rsidTr="00BF1190">
        <w:trPr>
          <w:trHeight w:val="1863"/>
        </w:trPr>
        <w:tc>
          <w:tcPr>
            <w:tcW w:w="3652" w:type="dxa"/>
            <w:tcBorders>
              <w:top w:val="nil"/>
              <w:left w:val="nil"/>
              <w:bottom w:val="nil"/>
              <w:right w:val="nil"/>
            </w:tcBorders>
          </w:tcPr>
          <w:p w14:paraId="348C88FE" w14:textId="7B3CAD47" w:rsidR="008E7846" w:rsidRPr="00096AA7" w:rsidRDefault="000A6315" w:rsidP="00FC6220">
            <w:pPr>
              <w:rPr>
                <w:rFonts w:ascii="Arial" w:hAnsi="Arial" w:cs="Arial"/>
                <w:b/>
                <w:color w:val="002C47"/>
                <w:sz w:val="36"/>
                <w:szCs w:val="36"/>
              </w:rPr>
            </w:pPr>
            <w:r>
              <w:rPr>
                <w:rFonts w:ascii="Arial" w:hAnsi="Arial" w:cs="Arial"/>
                <w:b/>
                <w:color w:val="002C47"/>
                <w:sz w:val="36"/>
                <w:szCs w:val="36"/>
              </w:rPr>
              <w:t>S</w:t>
            </w:r>
            <w:r w:rsidR="00FC6220">
              <w:rPr>
                <w:rFonts w:ascii="Arial" w:hAnsi="Arial" w:cs="Arial"/>
                <w:b/>
                <w:color w:val="002C47"/>
                <w:sz w:val="36"/>
                <w:szCs w:val="36"/>
              </w:rPr>
              <w:t>ep</w:t>
            </w:r>
            <w:bookmarkStart w:id="0" w:name="_GoBack"/>
            <w:bookmarkEnd w:id="0"/>
            <w:r>
              <w:rPr>
                <w:rFonts w:ascii="Arial" w:hAnsi="Arial" w:cs="Arial"/>
                <w:b/>
                <w:color w:val="002C47"/>
                <w:sz w:val="36"/>
                <w:szCs w:val="36"/>
              </w:rPr>
              <w:t xml:space="preserve">tember </w:t>
            </w:r>
            <w:r w:rsidR="0011299B">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828DD2A" w14:textId="77777777" w:rsidTr="0032583B">
        <w:trPr>
          <w:trHeight w:val="868"/>
        </w:trPr>
        <w:tc>
          <w:tcPr>
            <w:tcW w:w="9079" w:type="dxa"/>
          </w:tcPr>
          <w:p w14:paraId="0738C6A2" w14:textId="77777777" w:rsidR="0032583B" w:rsidRPr="00A964D1" w:rsidRDefault="0032583B" w:rsidP="0011299B">
            <w:pPr>
              <w:pStyle w:val="Title"/>
              <w:rPr>
                <w:color w:val="FFFFFF" w:themeColor="background1"/>
              </w:rPr>
            </w:pPr>
            <w:r w:rsidRPr="00A964D1">
              <w:rPr>
                <w:color w:val="FFFFFF" w:themeColor="background1"/>
              </w:rPr>
              <w:t xml:space="preserve">Australian Public Assessment Report for </w:t>
            </w:r>
            <w:r w:rsidR="0011299B" w:rsidRPr="0011299B">
              <w:rPr>
                <w:color w:val="FFFFFF" w:themeColor="background1"/>
              </w:rPr>
              <w:t xml:space="preserve">Indacaterol </w:t>
            </w:r>
            <w:r w:rsidR="00954DA7">
              <w:rPr>
                <w:color w:val="FFFFFF" w:themeColor="background1"/>
              </w:rPr>
              <w:t>maleate/ G</w:t>
            </w:r>
            <w:r w:rsidR="0011299B">
              <w:rPr>
                <w:color w:val="FFFFFF" w:themeColor="background1"/>
              </w:rPr>
              <w:t>lycopyrronium</w:t>
            </w:r>
            <w:r w:rsidR="005629DE">
              <w:rPr>
                <w:color w:val="FFFFFF" w:themeColor="background1"/>
              </w:rPr>
              <w:t xml:space="preserve"> </w:t>
            </w:r>
            <w:r w:rsidR="0011299B">
              <w:rPr>
                <w:color w:val="FFFFFF" w:themeColor="background1"/>
              </w:rPr>
              <w:t>bromide</w:t>
            </w:r>
          </w:p>
        </w:tc>
      </w:tr>
      <w:tr w:rsidR="0032583B" w:rsidRPr="00B64760" w14:paraId="5D29591E" w14:textId="77777777" w:rsidTr="0032583B">
        <w:tc>
          <w:tcPr>
            <w:tcW w:w="9079" w:type="dxa"/>
          </w:tcPr>
          <w:p w14:paraId="42B96375" w14:textId="77777777"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11299B">
              <w:rPr>
                <w:color w:val="FFFFFF" w:themeColor="background1"/>
              </w:rPr>
              <w:t>U</w:t>
            </w:r>
            <w:r w:rsidR="00236FC3">
              <w:rPr>
                <w:color w:val="FFFFFF" w:themeColor="background1"/>
              </w:rPr>
              <w:t>ltibro</w:t>
            </w:r>
            <w:r w:rsidR="0011299B">
              <w:rPr>
                <w:color w:val="FFFFFF" w:themeColor="background1"/>
              </w:rPr>
              <w:t xml:space="preserve"> B</w:t>
            </w:r>
            <w:r w:rsidR="00954DA7">
              <w:rPr>
                <w:color w:val="FFFFFF" w:themeColor="background1"/>
              </w:rPr>
              <w:t>reez</w:t>
            </w:r>
            <w:r w:rsidR="00236FC3">
              <w:rPr>
                <w:color w:val="FFFFFF" w:themeColor="background1"/>
              </w:rPr>
              <w:t>haler</w:t>
            </w:r>
          </w:p>
        </w:tc>
      </w:tr>
      <w:tr w:rsidR="0032583B" w:rsidRPr="00B64760" w14:paraId="18166D4C" w14:textId="77777777" w:rsidTr="0032583B">
        <w:trPr>
          <w:trHeight w:val="486"/>
        </w:trPr>
        <w:tc>
          <w:tcPr>
            <w:tcW w:w="9079" w:type="dxa"/>
          </w:tcPr>
          <w:p w14:paraId="164CB708" w14:textId="77777777" w:rsidR="0032583B" w:rsidRPr="008E7846" w:rsidRDefault="0032583B" w:rsidP="0032583B">
            <w:pPr>
              <w:pStyle w:val="Subtitle"/>
              <w:rPr>
                <w:color w:val="FFFFFF" w:themeColor="background1"/>
              </w:rPr>
            </w:pPr>
            <w:r w:rsidRPr="008E7846">
              <w:rPr>
                <w:color w:val="FFFFFF" w:themeColor="background1"/>
              </w:rPr>
              <w:t>Sponsor:</w:t>
            </w:r>
            <w:r w:rsidR="00FE4E85">
              <w:rPr>
                <w:color w:val="FFFFFF" w:themeColor="background1"/>
              </w:rPr>
              <w:t xml:space="preserve"> </w:t>
            </w:r>
            <w:r w:rsidR="0011299B" w:rsidRPr="0011299B">
              <w:rPr>
                <w:color w:val="FFFFFF" w:themeColor="background1"/>
              </w:rPr>
              <w:t>Novartis Ph</w:t>
            </w:r>
            <w:r w:rsidR="0011299B">
              <w:rPr>
                <w:color w:val="FFFFFF" w:themeColor="background1"/>
              </w:rPr>
              <w:t>armaceuticals Australia Pty Ltd</w:t>
            </w:r>
          </w:p>
        </w:tc>
      </w:tr>
    </w:tbl>
    <w:p w14:paraId="2F6BC9B6" w14:textId="77777777" w:rsidR="008E7846" w:rsidRPr="0085156D" w:rsidRDefault="008E7846" w:rsidP="0085156D">
      <w:r w:rsidRPr="0085156D">
        <w:br w:type="page"/>
      </w:r>
    </w:p>
    <w:p w14:paraId="5526216F" w14:textId="77777777" w:rsidR="008E7846" w:rsidRPr="001F6CBA" w:rsidRDefault="008E7846" w:rsidP="008E7846">
      <w:pPr>
        <w:pStyle w:val="NonTOCHeading2"/>
      </w:pPr>
      <w:r w:rsidRPr="001F6CBA">
        <w:lastRenderedPageBreak/>
        <w:t>About the Therapeutic Goods Administration (TGA)</w:t>
      </w:r>
    </w:p>
    <w:p w14:paraId="32DD82C1"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6EE015F"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23B7A2DB"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56EF8373"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3D92AF17" w14:textId="3C066CC9"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8E65BA">
        <w:t>&gt;</w:t>
      </w:r>
      <w:r w:rsidR="00441C3F">
        <w:t>.</w:t>
      </w:r>
    </w:p>
    <w:p w14:paraId="3F53D6CE" w14:textId="77777777" w:rsidR="008E7846" w:rsidRDefault="008E7846" w:rsidP="00875A6B">
      <w:pPr>
        <w:pStyle w:val="NonTOCHeading2"/>
      </w:pPr>
      <w:r>
        <w:t xml:space="preserve">About </w:t>
      </w:r>
      <w:proofErr w:type="spellStart"/>
      <w:r>
        <w:t>AusPARs</w:t>
      </w:r>
      <w:proofErr w:type="spellEnd"/>
    </w:p>
    <w:p w14:paraId="0E646153"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BF66161"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760290DD"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5B7C6B30"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F2908D9"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744542B2" w14:textId="77777777" w:rsidR="00924482" w:rsidRPr="00DF1D7F" w:rsidRDefault="00924482" w:rsidP="00F54B65">
      <w:pPr>
        <w:pStyle w:val="LegalSubheading"/>
        <w:spacing w:before="3120"/>
      </w:pPr>
      <w:r w:rsidRPr="00DF1D7F">
        <w:t>Copyright</w:t>
      </w:r>
    </w:p>
    <w:p w14:paraId="201CAD03" w14:textId="4AAECCA2" w:rsidR="00924482" w:rsidRDefault="00924482" w:rsidP="00924482">
      <w:pPr>
        <w:pStyle w:val="LegalCopy"/>
      </w:pPr>
      <w:r w:rsidRPr="00191B3B">
        <w:rPr>
          <w:rFonts w:cs="Arial"/>
          <w:lang w:val="en-GB"/>
        </w:rPr>
        <w:t>© Comm</w:t>
      </w:r>
      <w:r>
        <w:rPr>
          <w:rFonts w:cs="Arial"/>
          <w:lang w:val="en-GB"/>
        </w:rPr>
        <w:t>onwealth of Australia 201</w:t>
      </w:r>
      <w:r w:rsidR="00236FC3">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008E65BA">
        <w:rPr>
          <w:rFonts w:cs="Arial"/>
        </w:rPr>
        <w:t>&gt;</w:t>
      </w:r>
      <w:r w:rsidRPr="00191B3B">
        <w:rPr>
          <w:rFonts w:cs="Arial"/>
        </w:rPr>
        <w:t>.</w:t>
      </w:r>
    </w:p>
    <w:p w14:paraId="072619CB"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BB84215" w14:textId="77777777" w:rsidR="0089635C" w:rsidRPr="0089635C" w:rsidRDefault="0089635C" w:rsidP="0010788A">
          <w:pPr>
            <w:pStyle w:val="Contents"/>
          </w:pPr>
          <w:r w:rsidRPr="0010788A">
            <w:t>Contents</w:t>
          </w:r>
        </w:p>
        <w:p w14:paraId="48B532A8" w14:textId="77777777" w:rsidR="00833076"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5732528" w:history="1">
            <w:r w:rsidR="00833076" w:rsidRPr="007461CA">
              <w:rPr>
                <w:rStyle w:val="Hyperlink"/>
                <w:noProof/>
              </w:rPr>
              <w:t>Common abbreviations</w:t>
            </w:r>
            <w:r w:rsidR="00833076">
              <w:rPr>
                <w:noProof/>
                <w:webHidden/>
              </w:rPr>
              <w:tab/>
            </w:r>
            <w:r w:rsidR="00833076">
              <w:rPr>
                <w:noProof/>
                <w:webHidden/>
              </w:rPr>
              <w:fldChar w:fldCharType="begin"/>
            </w:r>
            <w:r w:rsidR="00833076">
              <w:rPr>
                <w:noProof/>
                <w:webHidden/>
              </w:rPr>
              <w:instrText xml:space="preserve"> PAGEREF _Toc525732528 \h </w:instrText>
            </w:r>
            <w:r w:rsidR="00833076">
              <w:rPr>
                <w:noProof/>
                <w:webHidden/>
              </w:rPr>
            </w:r>
            <w:r w:rsidR="00833076">
              <w:rPr>
                <w:noProof/>
                <w:webHidden/>
              </w:rPr>
              <w:fldChar w:fldCharType="separate"/>
            </w:r>
            <w:r w:rsidR="00833076">
              <w:rPr>
                <w:noProof/>
                <w:webHidden/>
              </w:rPr>
              <w:t>4</w:t>
            </w:r>
            <w:r w:rsidR="00833076">
              <w:rPr>
                <w:noProof/>
                <w:webHidden/>
              </w:rPr>
              <w:fldChar w:fldCharType="end"/>
            </w:r>
          </w:hyperlink>
        </w:p>
        <w:p w14:paraId="6A652E2C" w14:textId="77777777" w:rsidR="00833076" w:rsidRDefault="00FC6220">
          <w:pPr>
            <w:pStyle w:val="TOC2"/>
            <w:rPr>
              <w:rFonts w:asciiTheme="minorHAnsi" w:eastAsiaTheme="minorEastAsia" w:hAnsiTheme="minorHAnsi" w:cstheme="minorBidi"/>
              <w:b w:val="0"/>
              <w:noProof/>
              <w:sz w:val="22"/>
              <w:lang w:eastAsia="en-AU"/>
            </w:rPr>
          </w:pPr>
          <w:hyperlink w:anchor="_Toc525732529" w:history="1">
            <w:r w:rsidR="00833076" w:rsidRPr="007461CA">
              <w:rPr>
                <w:rStyle w:val="Hyperlink"/>
                <w:noProof/>
              </w:rPr>
              <w:t>I. Introduction to product submission</w:t>
            </w:r>
            <w:r w:rsidR="00833076">
              <w:rPr>
                <w:noProof/>
                <w:webHidden/>
              </w:rPr>
              <w:tab/>
            </w:r>
            <w:r w:rsidR="00833076">
              <w:rPr>
                <w:noProof/>
                <w:webHidden/>
              </w:rPr>
              <w:fldChar w:fldCharType="begin"/>
            </w:r>
            <w:r w:rsidR="00833076">
              <w:rPr>
                <w:noProof/>
                <w:webHidden/>
              </w:rPr>
              <w:instrText xml:space="preserve"> PAGEREF _Toc525732529 \h </w:instrText>
            </w:r>
            <w:r w:rsidR="00833076">
              <w:rPr>
                <w:noProof/>
                <w:webHidden/>
              </w:rPr>
            </w:r>
            <w:r w:rsidR="00833076">
              <w:rPr>
                <w:noProof/>
                <w:webHidden/>
              </w:rPr>
              <w:fldChar w:fldCharType="separate"/>
            </w:r>
            <w:r w:rsidR="00833076">
              <w:rPr>
                <w:noProof/>
                <w:webHidden/>
              </w:rPr>
              <w:t>6</w:t>
            </w:r>
            <w:r w:rsidR="00833076">
              <w:rPr>
                <w:noProof/>
                <w:webHidden/>
              </w:rPr>
              <w:fldChar w:fldCharType="end"/>
            </w:r>
          </w:hyperlink>
        </w:p>
        <w:p w14:paraId="46A93157" w14:textId="77777777" w:rsidR="00833076" w:rsidRDefault="00FC6220">
          <w:pPr>
            <w:pStyle w:val="TOC3"/>
            <w:rPr>
              <w:rFonts w:asciiTheme="minorHAnsi" w:eastAsiaTheme="minorEastAsia" w:hAnsiTheme="minorHAnsi" w:cstheme="minorBidi"/>
              <w:noProof/>
              <w:lang w:eastAsia="en-AU"/>
            </w:rPr>
          </w:pPr>
          <w:hyperlink w:anchor="_Toc525732530" w:history="1">
            <w:r w:rsidR="00833076" w:rsidRPr="007461CA">
              <w:rPr>
                <w:rStyle w:val="Hyperlink"/>
                <w:noProof/>
                <w:lang w:eastAsia="en-AU"/>
              </w:rPr>
              <w:t>Submission details</w:t>
            </w:r>
            <w:r w:rsidR="00833076">
              <w:rPr>
                <w:noProof/>
                <w:webHidden/>
              </w:rPr>
              <w:tab/>
            </w:r>
            <w:r w:rsidR="00833076">
              <w:rPr>
                <w:noProof/>
                <w:webHidden/>
              </w:rPr>
              <w:fldChar w:fldCharType="begin"/>
            </w:r>
            <w:r w:rsidR="00833076">
              <w:rPr>
                <w:noProof/>
                <w:webHidden/>
              </w:rPr>
              <w:instrText xml:space="preserve"> PAGEREF _Toc525732530 \h </w:instrText>
            </w:r>
            <w:r w:rsidR="00833076">
              <w:rPr>
                <w:noProof/>
                <w:webHidden/>
              </w:rPr>
            </w:r>
            <w:r w:rsidR="00833076">
              <w:rPr>
                <w:noProof/>
                <w:webHidden/>
              </w:rPr>
              <w:fldChar w:fldCharType="separate"/>
            </w:r>
            <w:r w:rsidR="00833076">
              <w:rPr>
                <w:noProof/>
                <w:webHidden/>
              </w:rPr>
              <w:t>6</w:t>
            </w:r>
            <w:r w:rsidR="00833076">
              <w:rPr>
                <w:noProof/>
                <w:webHidden/>
              </w:rPr>
              <w:fldChar w:fldCharType="end"/>
            </w:r>
          </w:hyperlink>
        </w:p>
        <w:p w14:paraId="63D6AAE6" w14:textId="77777777" w:rsidR="00833076" w:rsidRDefault="00FC6220">
          <w:pPr>
            <w:pStyle w:val="TOC3"/>
            <w:rPr>
              <w:rFonts w:asciiTheme="minorHAnsi" w:eastAsiaTheme="minorEastAsia" w:hAnsiTheme="minorHAnsi" w:cstheme="minorBidi"/>
              <w:noProof/>
              <w:lang w:eastAsia="en-AU"/>
            </w:rPr>
          </w:pPr>
          <w:hyperlink w:anchor="_Toc525732531" w:history="1">
            <w:r w:rsidR="00833076" w:rsidRPr="007461CA">
              <w:rPr>
                <w:rStyle w:val="Hyperlink"/>
                <w:noProof/>
              </w:rPr>
              <w:t>Product background</w:t>
            </w:r>
            <w:r w:rsidR="00833076">
              <w:rPr>
                <w:noProof/>
                <w:webHidden/>
              </w:rPr>
              <w:tab/>
            </w:r>
            <w:r w:rsidR="00833076">
              <w:rPr>
                <w:noProof/>
                <w:webHidden/>
              </w:rPr>
              <w:fldChar w:fldCharType="begin"/>
            </w:r>
            <w:r w:rsidR="00833076">
              <w:rPr>
                <w:noProof/>
                <w:webHidden/>
              </w:rPr>
              <w:instrText xml:space="preserve"> PAGEREF _Toc525732531 \h </w:instrText>
            </w:r>
            <w:r w:rsidR="00833076">
              <w:rPr>
                <w:noProof/>
                <w:webHidden/>
              </w:rPr>
            </w:r>
            <w:r w:rsidR="00833076">
              <w:rPr>
                <w:noProof/>
                <w:webHidden/>
              </w:rPr>
              <w:fldChar w:fldCharType="separate"/>
            </w:r>
            <w:r w:rsidR="00833076">
              <w:rPr>
                <w:noProof/>
                <w:webHidden/>
              </w:rPr>
              <w:t>6</w:t>
            </w:r>
            <w:r w:rsidR="00833076">
              <w:rPr>
                <w:noProof/>
                <w:webHidden/>
              </w:rPr>
              <w:fldChar w:fldCharType="end"/>
            </w:r>
          </w:hyperlink>
        </w:p>
        <w:p w14:paraId="3D6720A8" w14:textId="77777777" w:rsidR="00833076" w:rsidRDefault="00FC6220">
          <w:pPr>
            <w:pStyle w:val="TOC3"/>
            <w:rPr>
              <w:rFonts w:asciiTheme="minorHAnsi" w:eastAsiaTheme="minorEastAsia" w:hAnsiTheme="minorHAnsi" w:cstheme="minorBidi"/>
              <w:noProof/>
              <w:lang w:eastAsia="en-AU"/>
            </w:rPr>
          </w:pPr>
          <w:hyperlink w:anchor="_Toc525732532" w:history="1">
            <w:r w:rsidR="00833076" w:rsidRPr="007461CA">
              <w:rPr>
                <w:rStyle w:val="Hyperlink"/>
                <w:noProof/>
              </w:rPr>
              <w:t>Regulatory status</w:t>
            </w:r>
            <w:r w:rsidR="00833076">
              <w:rPr>
                <w:noProof/>
                <w:webHidden/>
              </w:rPr>
              <w:tab/>
            </w:r>
            <w:r w:rsidR="00833076">
              <w:rPr>
                <w:noProof/>
                <w:webHidden/>
              </w:rPr>
              <w:fldChar w:fldCharType="begin"/>
            </w:r>
            <w:r w:rsidR="00833076">
              <w:rPr>
                <w:noProof/>
                <w:webHidden/>
              </w:rPr>
              <w:instrText xml:space="preserve"> PAGEREF _Toc525732532 \h </w:instrText>
            </w:r>
            <w:r w:rsidR="00833076">
              <w:rPr>
                <w:noProof/>
                <w:webHidden/>
              </w:rPr>
            </w:r>
            <w:r w:rsidR="00833076">
              <w:rPr>
                <w:noProof/>
                <w:webHidden/>
              </w:rPr>
              <w:fldChar w:fldCharType="separate"/>
            </w:r>
            <w:r w:rsidR="00833076">
              <w:rPr>
                <w:noProof/>
                <w:webHidden/>
              </w:rPr>
              <w:t>8</w:t>
            </w:r>
            <w:r w:rsidR="00833076">
              <w:rPr>
                <w:noProof/>
                <w:webHidden/>
              </w:rPr>
              <w:fldChar w:fldCharType="end"/>
            </w:r>
          </w:hyperlink>
        </w:p>
        <w:p w14:paraId="385CA479" w14:textId="77777777" w:rsidR="00833076" w:rsidRDefault="00FC6220">
          <w:pPr>
            <w:pStyle w:val="TOC3"/>
            <w:rPr>
              <w:rFonts w:asciiTheme="minorHAnsi" w:eastAsiaTheme="minorEastAsia" w:hAnsiTheme="minorHAnsi" w:cstheme="minorBidi"/>
              <w:noProof/>
              <w:lang w:eastAsia="en-AU"/>
            </w:rPr>
          </w:pPr>
          <w:hyperlink w:anchor="_Toc525732533" w:history="1">
            <w:r w:rsidR="00833076" w:rsidRPr="007461CA">
              <w:rPr>
                <w:rStyle w:val="Hyperlink"/>
                <w:noProof/>
              </w:rPr>
              <w:t>Product Information</w:t>
            </w:r>
            <w:r w:rsidR="00833076">
              <w:rPr>
                <w:noProof/>
                <w:webHidden/>
              </w:rPr>
              <w:tab/>
            </w:r>
            <w:r w:rsidR="00833076">
              <w:rPr>
                <w:noProof/>
                <w:webHidden/>
              </w:rPr>
              <w:fldChar w:fldCharType="begin"/>
            </w:r>
            <w:r w:rsidR="00833076">
              <w:rPr>
                <w:noProof/>
                <w:webHidden/>
              </w:rPr>
              <w:instrText xml:space="preserve"> PAGEREF _Toc525732533 \h </w:instrText>
            </w:r>
            <w:r w:rsidR="00833076">
              <w:rPr>
                <w:noProof/>
                <w:webHidden/>
              </w:rPr>
            </w:r>
            <w:r w:rsidR="00833076">
              <w:rPr>
                <w:noProof/>
                <w:webHidden/>
              </w:rPr>
              <w:fldChar w:fldCharType="separate"/>
            </w:r>
            <w:r w:rsidR="00833076">
              <w:rPr>
                <w:noProof/>
                <w:webHidden/>
              </w:rPr>
              <w:t>9</w:t>
            </w:r>
            <w:r w:rsidR="00833076">
              <w:rPr>
                <w:noProof/>
                <w:webHidden/>
              </w:rPr>
              <w:fldChar w:fldCharType="end"/>
            </w:r>
          </w:hyperlink>
        </w:p>
        <w:p w14:paraId="551E8ED2" w14:textId="77777777" w:rsidR="00833076" w:rsidRDefault="00FC6220">
          <w:pPr>
            <w:pStyle w:val="TOC2"/>
            <w:rPr>
              <w:rFonts w:asciiTheme="minorHAnsi" w:eastAsiaTheme="minorEastAsia" w:hAnsiTheme="minorHAnsi" w:cstheme="minorBidi"/>
              <w:b w:val="0"/>
              <w:noProof/>
              <w:sz w:val="22"/>
              <w:lang w:eastAsia="en-AU"/>
            </w:rPr>
          </w:pPr>
          <w:hyperlink w:anchor="_Toc525732534" w:history="1">
            <w:r w:rsidR="00833076" w:rsidRPr="007461CA">
              <w:rPr>
                <w:rStyle w:val="Hyperlink"/>
                <w:noProof/>
              </w:rPr>
              <w:t>II. Registration time line</w:t>
            </w:r>
            <w:r w:rsidR="00833076">
              <w:rPr>
                <w:noProof/>
                <w:webHidden/>
              </w:rPr>
              <w:tab/>
            </w:r>
            <w:r w:rsidR="00833076">
              <w:rPr>
                <w:noProof/>
                <w:webHidden/>
              </w:rPr>
              <w:fldChar w:fldCharType="begin"/>
            </w:r>
            <w:r w:rsidR="00833076">
              <w:rPr>
                <w:noProof/>
                <w:webHidden/>
              </w:rPr>
              <w:instrText xml:space="preserve"> PAGEREF _Toc525732534 \h </w:instrText>
            </w:r>
            <w:r w:rsidR="00833076">
              <w:rPr>
                <w:noProof/>
                <w:webHidden/>
              </w:rPr>
            </w:r>
            <w:r w:rsidR="00833076">
              <w:rPr>
                <w:noProof/>
                <w:webHidden/>
              </w:rPr>
              <w:fldChar w:fldCharType="separate"/>
            </w:r>
            <w:r w:rsidR="00833076">
              <w:rPr>
                <w:noProof/>
                <w:webHidden/>
              </w:rPr>
              <w:t>9</w:t>
            </w:r>
            <w:r w:rsidR="00833076">
              <w:rPr>
                <w:noProof/>
                <w:webHidden/>
              </w:rPr>
              <w:fldChar w:fldCharType="end"/>
            </w:r>
          </w:hyperlink>
        </w:p>
        <w:p w14:paraId="1059F877" w14:textId="77777777" w:rsidR="00833076" w:rsidRDefault="00FC6220">
          <w:pPr>
            <w:pStyle w:val="TOC2"/>
            <w:rPr>
              <w:rFonts w:asciiTheme="minorHAnsi" w:eastAsiaTheme="minorEastAsia" w:hAnsiTheme="minorHAnsi" w:cstheme="minorBidi"/>
              <w:b w:val="0"/>
              <w:noProof/>
              <w:sz w:val="22"/>
              <w:lang w:eastAsia="en-AU"/>
            </w:rPr>
          </w:pPr>
          <w:hyperlink w:anchor="_Toc525732535" w:history="1">
            <w:r w:rsidR="00833076" w:rsidRPr="007461CA">
              <w:rPr>
                <w:rStyle w:val="Hyperlink"/>
                <w:noProof/>
              </w:rPr>
              <w:t>III. Quality findings</w:t>
            </w:r>
            <w:r w:rsidR="00833076">
              <w:rPr>
                <w:noProof/>
                <w:webHidden/>
              </w:rPr>
              <w:tab/>
            </w:r>
            <w:r w:rsidR="00833076">
              <w:rPr>
                <w:noProof/>
                <w:webHidden/>
              </w:rPr>
              <w:fldChar w:fldCharType="begin"/>
            </w:r>
            <w:r w:rsidR="00833076">
              <w:rPr>
                <w:noProof/>
                <w:webHidden/>
              </w:rPr>
              <w:instrText xml:space="preserve"> PAGEREF _Toc525732535 \h </w:instrText>
            </w:r>
            <w:r w:rsidR="00833076">
              <w:rPr>
                <w:noProof/>
                <w:webHidden/>
              </w:rPr>
            </w:r>
            <w:r w:rsidR="00833076">
              <w:rPr>
                <w:noProof/>
                <w:webHidden/>
              </w:rPr>
              <w:fldChar w:fldCharType="separate"/>
            </w:r>
            <w:r w:rsidR="00833076">
              <w:rPr>
                <w:noProof/>
                <w:webHidden/>
              </w:rPr>
              <w:t>9</w:t>
            </w:r>
            <w:r w:rsidR="00833076">
              <w:rPr>
                <w:noProof/>
                <w:webHidden/>
              </w:rPr>
              <w:fldChar w:fldCharType="end"/>
            </w:r>
          </w:hyperlink>
        </w:p>
        <w:p w14:paraId="669DAF77" w14:textId="77777777" w:rsidR="00833076" w:rsidRDefault="00FC6220">
          <w:pPr>
            <w:pStyle w:val="TOC2"/>
            <w:rPr>
              <w:rFonts w:asciiTheme="minorHAnsi" w:eastAsiaTheme="minorEastAsia" w:hAnsiTheme="minorHAnsi" w:cstheme="minorBidi"/>
              <w:b w:val="0"/>
              <w:noProof/>
              <w:sz w:val="22"/>
              <w:lang w:eastAsia="en-AU"/>
            </w:rPr>
          </w:pPr>
          <w:hyperlink w:anchor="_Toc525732536" w:history="1">
            <w:r w:rsidR="00833076" w:rsidRPr="007461CA">
              <w:rPr>
                <w:rStyle w:val="Hyperlink"/>
                <w:noProof/>
              </w:rPr>
              <w:t>IV. Nonclinical findings</w:t>
            </w:r>
            <w:r w:rsidR="00833076">
              <w:rPr>
                <w:noProof/>
                <w:webHidden/>
              </w:rPr>
              <w:tab/>
            </w:r>
            <w:r w:rsidR="00833076">
              <w:rPr>
                <w:noProof/>
                <w:webHidden/>
              </w:rPr>
              <w:fldChar w:fldCharType="begin"/>
            </w:r>
            <w:r w:rsidR="00833076">
              <w:rPr>
                <w:noProof/>
                <w:webHidden/>
              </w:rPr>
              <w:instrText xml:space="preserve"> PAGEREF _Toc525732536 \h </w:instrText>
            </w:r>
            <w:r w:rsidR="00833076">
              <w:rPr>
                <w:noProof/>
                <w:webHidden/>
              </w:rPr>
            </w:r>
            <w:r w:rsidR="00833076">
              <w:rPr>
                <w:noProof/>
                <w:webHidden/>
              </w:rPr>
              <w:fldChar w:fldCharType="separate"/>
            </w:r>
            <w:r w:rsidR="00833076">
              <w:rPr>
                <w:noProof/>
                <w:webHidden/>
              </w:rPr>
              <w:t>10</w:t>
            </w:r>
            <w:r w:rsidR="00833076">
              <w:rPr>
                <w:noProof/>
                <w:webHidden/>
              </w:rPr>
              <w:fldChar w:fldCharType="end"/>
            </w:r>
          </w:hyperlink>
        </w:p>
        <w:p w14:paraId="4A6157F3" w14:textId="77777777" w:rsidR="00833076" w:rsidRDefault="00FC6220">
          <w:pPr>
            <w:pStyle w:val="TOC2"/>
            <w:rPr>
              <w:rFonts w:asciiTheme="minorHAnsi" w:eastAsiaTheme="minorEastAsia" w:hAnsiTheme="minorHAnsi" w:cstheme="minorBidi"/>
              <w:b w:val="0"/>
              <w:noProof/>
              <w:sz w:val="22"/>
              <w:lang w:eastAsia="en-AU"/>
            </w:rPr>
          </w:pPr>
          <w:hyperlink w:anchor="_Toc525732537" w:history="1">
            <w:r w:rsidR="00833076" w:rsidRPr="007461CA">
              <w:rPr>
                <w:rStyle w:val="Hyperlink"/>
                <w:noProof/>
              </w:rPr>
              <w:t>V. Clinical findings</w:t>
            </w:r>
            <w:r w:rsidR="00833076">
              <w:rPr>
                <w:noProof/>
                <w:webHidden/>
              </w:rPr>
              <w:tab/>
            </w:r>
            <w:r w:rsidR="00833076">
              <w:rPr>
                <w:noProof/>
                <w:webHidden/>
              </w:rPr>
              <w:fldChar w:fldCharType="begin"/>
            </w:r>
            <w:r w:rsidR="00833076">
              <w:rPr>
                <w:noProof/>
                <w:webHidden/>
              </w:rPr>
              <w:instrText xml:space="preserve"> PAGEREF _Toc525732537 \h </w:instrText>
            </w:r>
            <w:r w:rsidR="00833076">
              <w:rPr>
                <w:noProof/>
                <w:webHidden/>
              </w:rPr>
            </w:r>
            <w:r w:rsidR="00833076">
              <w:rPr>
                <w:noProof/>
                <w:webHidden/>
              </w:rPr>
              <w:fldChar w:fldCharType="separate"/>
            </w:r>
            <w:r w:rsidR="00833076">
              <w:rPr>
                <w:noProof/>
                <w:webHidden/>
              </w:rPr>
              <w:t>10</w:t>
            </w:r>
            <w:r w:rsidR="00833076">
              <w:rPr>
                <w:noProof/>
                <w:webHidden/>
              </w:rPr>
              <w:fldChar w:fldCharType="end"/>
            </w:r>
          </w:hyperlink>
        </w:p>
        <w:p w14:paraId="1377D873" w14:textId="77777777" w:rsidR="00833076" w:rsidRDefault="00FC6220">
          <w:pPr>
            <w:pStyle w:val="TOC3"/>
            <w:rPr>
              <w:rFonts w:asciiTheme="minorHAnsi" w:eastAsiaTheme="minorEastAsia" w:hAnsiTheme="minorHAnsi" w:cstheme="minorBidi"/>
              <w:noProof/>
              <w:lang w:eastAsia="en-AU"/>
            </w:rPr>
          </w:pPr>
          <w:hyperlink w:anchor="_Toc525732538" w:history="1">
            <w:r w:rsidR="00833076" w:rsidRPr="007461CA">
              <w:rPr>
                <w:rStyle w:val="Hyperlink"/>
                <w:noProof/>
              </w:rPr>
              <w:t>Introduction</w:t>
            </w:r>
            <w:r w:rsidR="00833076">
              <w:rPr>
                <w:noProof/>
                <w:webHidden/>
              </w:rPr>
              <w:tab/>
            </w:r>
            <w:r w:rsidR="00833076">
              <w:rPr>
                <w:noProof/>
                <w:webHidden/>
              </w:rPr>
              <w:fldChar w:fldCharType="begin"/>
            </w:r>
            <w:r w:rsidR="00833076">
              <w:rPr>
                <w:noProof/>
                <w:webHidden/>
              </w:rPr>
              <w:instrText xml:space="preserve"> PAGEREF _Toc525732538 \h </w:instrText>
            </w:r>
            <w:r w:rsidR="00833076">
              <w:rPr>
                <w:noProof/>
                <w:webHidden/>
              </w:rPr>
            </w:r>
            <w:r w:rsidR="00833076">
              <w:rPr>
                <w:noProof/>
                <w:webHidden/>
              </w:rPr>
              <w:fldChar w:fldCharType="separate"/>
            </w:r>
            <w:r w:rsidR="00833076">
              <w:rPr>
                <w:noProof/>
                <w:webHidden/>
              </w:rPr>
              <w:t>10</w:t>
            </w:r>
            <w:r w:rsidR="00833076">
              <w:rPr>
                <w:noProof/>
                <w:webHidden/>
              </w:rPr>
              <w:fldChar w:fldCharType="end"/>
            </w:r>
          </w:hyperlink>
        </w:p>
        <w:p w14:paraId="77B77F14" w14:textId="77777777" w:rsidR="00833076" w:rsidRDefault="00FC6220">
          <w:pPr>
            <w:pStyle w:val="TOC3"/>
            <w:rPr>
              <w:rFonts w:asciiTheme="minorHAnsi" w:eastAsiaTheme="minorEastAsia" w:hAnsiTheme="minorHAnsi" w:cstheme="minorBidi"/>
              <w:noProof/>
              <w:lang w:eastAsia="en-AU"/>
            </w:rPr>
          </w:pPr>
          <w:hyperlink w:anchor="_Toc525732539" w:history="1">
            <w:r w:rsidR="00833076" w:rsidRPr="007461CA">
              <w:rPr>
                <w:rStyle w:val="Hyperlink"/>
                <w:noProof/>
              </w:rPr>
              <w:t>Pharmacokinetics</w:t>
            </w:r>
            <w:r w:rsidR="00833076">
              <w:rPr>
                <w:noProof/>
                <w:webHidden/>
              </w:rPr>
              <w:tab/>
            </w:r>
            <w:r w:rsidR="00833076">
              <w:rPr>
                <w:noProof/>
                <w:webHidden/>
              </w:rPr>
              <w:fldChar w:fldCharType="begin"/>
            </w:r>
            <w:r w:rsidR="00833076">
              <w:rPr>
                <w:noProof/>
                <w:webHidden/>
              </w:rPr>
              <w:instrText xml:space="preserve"> PAGEREF _Toc525732539 \h </w:instrText>
            </w:r>
            <w:r w:rsidR="00833076">
              <w:rPr>
                <w:noProof/>
                <w:webHidden/>
              </w:rPr>
            </w:r>
            <w:r w:rsidR="00833076">
              <w:rPr>
                <w:noProof/>
                <w:webHidden/>
              </w:rPr>
              <w:fldChar w:fldCharType="separate"/>
            </w:r>
            <w:r w:rsidR="00833076">
              <w:rPr>
                <w:noProof/>
                <w:webHidden/>
              </w:rPr>
              <w:t>10</w:t>
            </w:r>
            <w:r w:rsidR="00833076">
              <w:rPr>
                <w:noProof/>
                <w:webHidden/>
              </w:rPr>
              <w:fldChar w:fldCharType="end"/>
            </w:r>
          </w:hyperlink>
        </w:p>
        <w:p w14:paraId="55931129" w14:textId="77777777" w:rsidR="00833076" w:rsidRDefault="00FC6220">
          <w:pPr>
            <w:pStyle w:val="TOC3"/>
            <w:rPr>
              <w:rFonts w:asciiTheme="minorHAnsi" w:eastAsiaTheme="minorEastAsia" w:hAnsiTheme="minorHAnsi" w:cstheme="minorBidi"/>
              <w:noProof/>
              <w:lang w:eastAsia="en-AU"/>
            </w:rPr>
          </w:pPr>
          <w:hyperlink w:anchor="_Toc525732540" w:history="1">
            <w:r w:rsidR="00833076" w:rsidRPr="007461CA">
              <w:rPr>
                <w:rStyle w:val="Hyperlink"/>
                <w:noProof/>
              </w:rPr>
              <w:t>Pharmacodynamics</w:t>
            </w:r>
            <w:r w:rsidR="00833076">
              <w:rPr>
                <w:noProof/>
                <w:webHidden/>
              </w:rPr>
              <w:tab/>
            </w:r>
            <w:r w:rsidR="00833076">
              <w:rPr>
                <w:noProof/>
                <w:webHidden/>
              </w:rPr>
              <w:fldChar w:fldCharType="begin"/>
            </w:r>
            <w:r w:rsidR="00833076">
              <w:rPr>
                <w:noProof/>
                <w:webHidden/>
              </w:rPr>
              <w:instrText xml:space="preserve"> PAGEREF _Toc525732540 \h </w:instrText>
            </w:r>
            <w:r w:rsidR="00833076">
              <w:rPr>
                <w:noProof/>
                <w:webHidden/>
              </w:rPr>
            </w:r>
            <w:r w:rsidR="00833076">
              <w:rPr>
                <w:noProof/>
                <w:webHidden/>
              </w:rPr>
              <w:fldChar w:fldCharType="separate"/>
            </w:r>
            <w:r w:rsidR="00833076">
              <w:rPr>
                <w:noProof/>
                <w:webHidden/>
              </w:rPr>
              <w:t>10</w:t>
            </w:r>
            <w:r w:rsidR="00833076">
              <w:rPr>
                <w:noProof/>
                <w:webHidden/>
              </w:rPr>
              <w:fldChar w:fldCharType="end"/>
            </w:r>
          </w:hyperlink>
        </w:p>
        <w:p w14:paraId="06062525" w14:textId="77777777" w:rsidR="00833076" w:rsidRDefault="00FC6220">
          <w:pPr>
            <w:pStyle w:val="TOC3"/>
            <w:rPr>
              <w:rFonts w:asciiTheme="minorHAnsi" w:eastAsiaTheme="minorEastAsia" w:hAnsiTheme="minorHAnsi" w:cstheme="minorBidi"/>
              <w:noProof/>
              <w:lang w:eastAsia="en-AU"/>
            </w:rPr>
          </w:pPr>
          <w:hyperlink w:anchor="_Toc525732541" w:history="1">
            <w:r w:rsidR="00833076" w:rsidRPr="007461CA">
              <w:rPr>
                <w:rStyle w:val="Hyperlink"/>
                <w:noProof/>
              </w:rPr>
              <w:t>Dosage selection for the pivotal studies</w:t>
            </w:r>
            <w:r w:rsidR="00833076">
              <w:rPr>
                <w:noProof/>
                <w:webHidden/>
              </w:rPr>
              <w:tab/>
            </w:r>
            <w:r w:rsidR="00833076">
              <w:rPr>
                <w:noProof/>
                <w:webHidden/>
              </w:rPr>
              <w:fldChar w:fldCharType="begin"/>
            </w:r>
            <w:r w:rsidR="00833076">
              <w:rPr>
                <w:noProof/>
                <w:webHidden/>
              </w:rPr>
              <w:instrText xml:space="preserve"> PAGEREF _Toc525732541 \h </w:instrText>
            </w:r>
            <w:r w:rsidR="00833076">
              <w:rPr>
                <w:noProof/>
                <w:webHidden/>
              </w:rPr>
            </w:r>
            <w:r w:rsidR="00833076">
              <w:rPr>
                <w:noProof/>
                <w:webHidden/>
              </w:rPr>
              <w:fldChar w:fldCharType="separate"/>
            </w:r>
            <w:r w:rsidR="00833076">
              <w:rPr>
                <w:noProof/>
                <w:webHidden/>
              </w:rPr>
              <w:t>10</w:t>
            </w:r>
            <w:r w:rsidR="00833076">
              <w:rPr>
                <w:noProof/>
                <w:webHidden/>
              </w:rPr>
              <w:fldChar w:fldCharType="end"/>
            </w:r>
          </w:hyperlink>
        </w:p>
        <w:p w14:paraId="34CBA85A" w14:textId="77777777" w:rsidR="00833076" w:rsidRDefault="00FC6220">
          <w:pPr>
            <w:pStyle w:val="TOC3"/>
            <w:rPr>
              <w:rFonts w:asciiTheme="minorHAnsi" w:eastAsiaTheme="minorEastAsia" w:hAnsiTheme="minorHAnsi" w:cstheme="minorBidi"/>
              <w:noProof/>
              <w:lang w:eastAsia="en-AU"/>
            </w:rPr>
          </w:pPr>
          <w:hyperlink w:anchor="_Toc525732542" w:history="1">
            <w:r w:rsidR="00833076" w:rsidRPr="007461CA">
              <w:rPr>
                <w:rStyle w:val="Hyperlink"/>
                <w:noProof/>
              </w:rPr>
              <w:t>Efficacy</w:t>
            </w:r>
            <w:r w:rsidR="00833076">
              <w:rPr>
                <w:noProof/>
                <w:webHidden/>
              </w:rPr>
              <w:tab/>
            </w:r>
            <w:r w:rsidR="00833076">
              <w:rPr>
                <w:noProof/>
                <w:webHidden/>
              </w:rPr>
              <w:fldChar w:fldCharType="begin"/>
            </w:r>
            <w:r w:rsidR="00833076">
              <w:rPr>
                <w:noProof/>
                <w:webHidden/>
              </w:rPr>
              <w:instrText xml:space="preserve"> PAGEREF _Toc525732542 \h </w:instrText>
            </w:r>
            <w:r w:rsidR="00833076">
              <w:rPr>
                <w:noProof/>
                <w:webHidden/>
              </w:rPr>
            </w:r>
            <w:r w:rsidR="00833076">
              <w:rPr>
                <w:noProof/>
                <w:webHidden/>
              </w:rPr>
              <w:fldChar w:fldCharType="separate"/>
            </w:r>
            <w:r w:rsidR="00833076">
              <w:rPr>
                <w:noProof/>
                <w:webHidden/>
              </w:rPr>
              <w:t>10</w:t>
            </w:r>
            <w:r w:rsidR="00833076">
              <w:rPr>
                <w:noProof/>
                <w:webHidden/>
              </w:rPr>
              <w:fldChar w:fldCharType="end"/>
            </w:r>
          </w:hyperlink>
        </w:p>
        <w:p w14:paraId="0406491C" w14:textId="77777777" w:rsidR="00833076" w:rsidRDefault="00FC6220">
          <w:pPr>
            <w:pStyle w:val="TOC3"/>
            <w:rPr>
              <w:rFonts w:asciiTheme="minorHAnsi" w:eastAsiaTheme="minorEastAsia" w:hAnsiTheme="minorHAnsi" w:cstheme="minorBidi"/>
              <w:noProof/>
              <w:lang w:eastAsia="en-AU"/>
            </w:rPr>
          </w:pPr>
          <w:hyperlink w:anchor="_Toc525732543" w:history="1">
            <w:r w:rsidR="00833076" w:rsidRPr="007461CA">
              <w:rPr>
                <w:rStyle w:val="Hyperlink"/>
                <w:noProof/>
              </w:rPr>
              <w:t>Safety</w:t>
            </w:r>
            <w:r w:rsidR="00833076">
              <w:rPr>
                <w:noProof/>
                <w:webHidden/>
              </w:rPr>
              <w:tab/>
            </w:r>
            <w:r w:rsidR="00833076">
              <w:rPr>
                <w:noProof/>
                <w:webHidden/>
              </w:rPr>
              <w:fldChar w:fldCharType="begin"/>
            </w:r>
            <w:r w:rsidR="00833076">
              <w:rPr>
                <w:noProof/>
                <w:webHidden/>
              </w:rPr>
              <w:instrText xml:space="preserve"> PAGEREF _Toc525732543 \h </w:instrText>
            </w:r>
            <w:r w:rsidR="00833076">
              <w:rPr>
                <w:noProof/>
                <w:webHidden/>
              </w:rPr>
            </w:r>
            <w:r w:rsidR="00833076">
              <w:rPr>
                <w:noProof/>
                <w:webHidden/>
              </w:rPr>
              <w:fldChar w:fldCharType="separate"/>
            </w:r>
            <w:r w:rsidR="00833076">
              <w:rPr>
                <w:noProof/>
                <w:webHidden/>
              </w:rPr>
              <w:t>13</w:t>
            </w:r>
            <w:r w:rsidR="00833076">
              <w:rPr>
                <w:noProof/>
                <w:webHidden/>
              </w:rPr>
              <w:fldChar w:fldCharType="end"/>
            </w:r>
          </w:hyperlink>
        </w:p>
        <w:p w14:paraId="002F646F" w14:textId="77777777" w:rsidR="00833076" w:rsidRDefault="00FC6220">
          <w:pPr>
            <w:pStyle w:val="TOC3"/>
            <w:rPr>
              <w:rFonts w:asciiTheme="minorHAnsi" w:eastAsiaTheme="minorEastAsia" w:hAnsiTheme="minorHAnsi" w:cstheme="minorBidi"/>
              <w:noProof/>
              <w:lang w:eastAsia="en-AU"/>
            </w:rPr>
          </w:pPr>
          <w:hyperlink w:anchor="_Toc525732544" w:history="1">
            <w:r w:rsidR="00833076" w:rsidRPr="007461CA">
              <w:rPr>
                <w:rStyle w:val="Hyperlink"/>
                <w:noProof/>
              </w:rPr>
              <w:t>First Round Benefit-Risk Assessment</w:t>
            </w:r>
            <w:r w:rsidR="00833076">
              <w:rPr>
                <w:noProof/>
                <w:webHidden/>
              </w:rPr>
              <w:tab/>
            </w:r>
            <w:r w:rsidR="00833076">
              <w:rPr>
                <w:noProof/>
                <w:webHidden/>
              </w:rPr>
              <w:fldChar w:fldCharType="begin"/>
            </w:r>
            <w:r w:rsidR="00833076">
              <w:rPr>
                <w:noProof/>
                <w:webHidden/>
              </w:rPr>
              <w:instrText xml:space="preserve"> PAGEREF _Toc525732544 \h </w:instrText>
            </w:r>
            <w:r w:rsidR="00833076">
              <w:rPr>
                <w:noProof/>
                <w:webHidden/>
              </w:rPr>
            </w:r>
            <w:r w:rsidR="00833076">
              <w:rPr>
                <w:noProof/>
                <w:webHidden/>
              </w:rPr>
              <w:fldChar w:fldCharType="separate"/>
            </w:r>
            <w:r w:rsidR="00833076">
              <w:rPr>
                <w:noProof/>
                <w:webHidden/>
              </w:rPr>
              <w:t>13</w:t>
            </w:r>
            <w:r w:rsidR="00833076">
              <w:rPr>
                <w:noProof/>
                <w:webHidden/>
              </w:rPr>
              <w:fldChar w:fldCharType="end"/>
            </w:r>
          </w:hyperlink>
        </w:p>
        <w:p w14:paraId="352C9EB6" w14:textId="77777777" w:rsidR="00833076" w:rsidRDefault="00FC6220">
          <w:pPr>
            <w:pStyle w:val="TOC3"/>
            <w:rPr>
              <w:rFonts w:asciiTheme="minorHAnsi" w:eastAsiaTheme="minorEastAsia" w:hAnsiTheme="minorHAnsi" w:cstheme="minorBidi"/>
              <w:noProof/>
              <w:lang w:eastAsia="en-AU"/>
            </w:rPr>
          </w:pPr>
          <w:hyperlink w:anchor="_Toc525732545" w:history="1">
            <w:r w:rsidR="00833076" w:rsidRPr="007461CA">
              <w:rPr>
                <w:rStyle w:val="Hyperlink"/>
                <w:noProof/>
              </w:rPr>
              <w:t>First round recommendation regarding authorisation</w:t>
            </w:r>
            <w:r w:rsidR="00833076">
              <w:rPr>
                <w:noProof/>
                <w:webHidden/>
              </w:rPr>
              <w:tab/>
            </w:r>
            <w:r w:rsidR="00833076">
              <w:rPr>
                <w:noProof/>
                <w:webHidden/>
              </w:rPr>
              <w:fldChar w:fldCharType="begin"/>
            </w:r>
            <w:r w:rsidR="00833076">
              <w:rPr>
                <w:noProof/>
                <w:webHidden/>
              </w:rPr>
              <w:instrText xml:space="preserve"> PAGEREF _Toc525732545 \h </w:instrText>
            </w:r>
            <w:r w:rsidR="00833076">
              <w:rPr>
                <w:noProof/>
                <w:webHidden/>
              </w:rPr>
            </w:r>
            <w:r w:rsidR="00833076">
              <w:rPr>
                <w:noProof/>
                <w:webHidden/>
              </w:rPr>
              <w:fldChar w:fldCharType="separate"/>
            </w:r>
            <w:r w:rsidR="00833076">
              <w:rPr>
                <w:noProof/>
                <w:webHidden/>
              </w:rPr>
              <w:t>14</w:t>
            </w:r>
            <w:r w:rsidR="00833076">
              <w:rPr>
                <w:noProof/>
                <w:webHidden/>
              </w:rPr>
              <w:fldChar w:fldCharType="end"/>
            </w:r>
          </w:hyperlink>
        </w:p>
        <w:p w14:paraId="0BD1824A" w14:textId="77777777" w:rsidR="00833076" w:rsidRDefault="00FC6220">
          <w:pPr>
            <w:pStyle w:val="TOC3"/>
            <w:rPr>
              <w:rFonts w:asciiTheme="minorHAnsi" w:eastAsiaTheme="minorEastAsia" w:hAnsiTheme="minorHAnsi" w:cstheme="minorBidi"/>
              <w:noProof/>
              <w:lang w:eastAsia="en-AU"/>
            </w:rPr>
          </w:pPr>
          <w:hyperlink w:anchor="_Toc525732546" w:history="1">
            <w:r w:rsidR="00833076" w:rsidRPr="007461CA">
              <w:rPr>
                <w:rStyle w:val="Hyperlink"/>
                <w:noProof/>
              </w:rPr>
              <w:t>Second round evaluation</w:t>
            </w:r>
            <w:r w:rsidR="00833076">
              <w:rPr>
                <w:noProof/>
                <w:webHidden/>
              </w:rPr>
              <w:tab/>
            </w:r>
            <w:r w:rsidR="00833076">
              <w:rPr>
                <w:noProof/>
                <w:webHidden/>
              </w:rPr>
              <w:fldChar w:fldCharType="begin"/>
            </w:r>
            <w:r w:rsidR="00833076">
              <w:rPr>
                <w:noProof/>
                <w:webHidden/>
              </w:rPr>
              <w:instrText xml:space="preserve"> PAGEREF _Toc525732546 \h </w:instrText>
            </w:r>
            <w:r w:rsidR="00833076">
              <w:rPr>
                <w:noProof/>
                <w:webHidden/>
              </w:rPr>
            </w:r>
            <w:r w:rsidR="00833076">
              <w:rPr>
                <w:noProof/>
                <w:webHidden/>
              </w:rPr>
              <w:fldChar w:fldCharType="separate"/>
            </w:r>
            <w:r w:rsidR="00833076">
              <w:rPr>
                <w:noProof/>
                <w:webHidden/>
              </w:rPr>
              <w:t>14</w:t>
            </w:r>
            <w:r w:rsidR="00833076">
              <w:rPr>
                <w:noProof/>
                <w:webHidden/>
              </w:rPr>
              <w:fldChar w:fldCharType="end"/>
            </w:r>
          </w:hyperlink>
        </w:p>
        <w:p w14:paraId="7F800E65" w14:textId="77777777" w:rsidR="00833076" w:rsidRDefault="00FC6220">
          <w:pPr>
            <w:pStyle w:val="TOC3"/>
            <w:rPr>
              <w:rFonts w:asciiTheme="minorHAnsi" w:eastAsiaTheme="minorEastAsia" w:hAnsiTheme="minorHAnsi" w:cstheme="minorBidi"/>
              <w:noProof/>
              <w:lang w:eastAsia="en-AU"/>
            </w:rPr>
          </w:pPr>
          <w:hyperlink w:anchor="_Toc525732547" w:history="1">
            <w:r w:rsidR="00833076" w:rsidRPr="007461CA">
              <w:rPr>
                <w:rStyle w:val="Hyperlink"/>
                <w:noProof/>
              </w:rPr>
              <w:t>Second round benefit-risk assessment</w:t>
            </w:r>
            <w:r w:rsidR="00833076">
              <w:rPr>
                <w:noProof/>
                <w:webHidden/>
              </w:rPr>
              <w:tab/>
            </w:r>
            <w:r w:rsidR="00833076">
              <w:rPr>
                <w:noProof/>
                <w:webHidden/>
              </w:rPr>
              <w:fldChar w:fldCharType="begin"/>
            </w:r>
            <w:r w:rsidR="00833076">
              <w:rPr>
                <w:noProof/>
                <w:webHidden/>
              </w:rPr>
              <w:instrText xml:space="preserve"> PAGEREF _Toc525732547 \h </w:instrText>
            </w:r>
            <w:r w:rsidR="00833076">
              <w:rPr>
                <w:noProof/>
                <w:webHidden/>
              </w:rPr>
            </w:r>
            <w:r w:rsidR="00833076">
              <w:rPr>
                <w:noProof/>
                <w:webHidden/>
              </w:rPr>
              <w:fldChar w:fldCharType="separate"/>
            </w:r>
            <w:r w:rsidR="00833076">
              <w:rPr>
                <w:noProof/>
                <w:webHidden/>
              </w:rPr>
              <w:t>14</w:t>
            </w:r>
            <w:r w:rsidR="00833076">
              <w:rPr>
                <w:noProof/>
                <w:webHidden/>
              </w:rPr>
              <w:fldChar w:fldCharType="end"/>
            </w:r>
          </w:hyperlink>
        </w:p>
        <w:p w14:paraId="6EB53DC3" w14:textId="77777777" w:rsidR="00833076" w:rsidRDefault="00FC6220">
          <w:pPr>
            <w:pStyle w:val="TOC2"/>
            <w:rPr>
              <w:rFonts w:asciiTheme="minorHAnsi" w:eastAsiaTheme="minorEastAsia" w:hAnsiTheme="minorHAnsi" w:cstheme="minorBidi"/>
              <w:b w:val="0"/>
              <w:noProof/>
              <w:sz w:val="22"/>
              <w:lang w:eastAsia="en-AU"/>
            </w:rPr>
          </w:pPr>
          <w:hyperlink w:anchor="_Toc525732548" w:history="1">
            <w:r w:rsidR="00833076" w:rsidRPr="007461CA">
              <w:rPr>
                <w:rStyle w:val="Hyperlink"/>
                <w:noProof/>
              </w:rPr>
              <w:t>VI. Pharmacovigilance findings</w:t>
            </w:r>
            <w:r w:rsidR="00833076">
              <w:rPr>
                <w:noProof/>
                <w:webHidden/>
              </w:rPr>
              <w:tab/>
            </w:r>
            <w:r w:rsidR="00833076">
              <w:rPr>
                <w:noProof/>
                <w:webHidden/>
              </w:rPr>
              <w:fldChar w:fldCharType="begin"/>
            </w:r>
            <w:r w:rsidR="00833076">
              <w:rPr>
                <w:noProof/>
                <w:webHidden/>
              </w:rPr>
              <w:instrText xml:space="preserve"> PAGEREF _Toc525732548 \h </w:instrText>
            </w:r>
            <w:r w:rsidR="00833076">
              <w:rPr>
                <w:noProof/>
                <w:webHidden/>
              </w:rPr>
            </w:r>
            <w:r w:rsidR="00833076">
              <w:rPr>
                <w:noProof/>
                <w:webHidden/>
              </w:rPr>
              <w:fldChar w:fldCharType="separate"/>
            </w:r>
            <w:r w:rsidR="00833076">
              <w:rPr>
                <w:noProof/>
                <w:webHidden/>
              </w:rPr>
              <w:t>15</w:t>
            </w:r>
            <w:r w:rsidR="00833076">
              <w:rPr>
                <w:noProof/>
                <w:webHidden/>
              </w:rPr>
              <w:fldChar w:fldCharType="end"/>
            </w:r>
          </w:hyperlink>
        </w:p>
        <w:p w14:paraId="3A0F5275" w14:textId="77777777" w:rsidR="00833076" w:rsidRDefault="00FC6220">
          <w:pPr>
            <w:pStyle w:val="TOC2"/>
            <w:rPr>
              <w:rFonts w:asciiTheme="minorHAnsi" w:eastAsiaTheme="minorEastAsia" w:hAnsiTheme="minorHAnsi" w:cstheme="minorBidi"/>
              <w:b w:val="0"/>
              <w:noProof/>
              <w:sz w:val="22"/>
              <w:lang w:eastAsia="en-AU"/>
            </w:rPr>
          </w:pPr>
          <w:hyperlink w:anchor="_Toc525732549" w:history="1">
            <w:r w:rsidR="00833076" w:rsidRPr="007461CA">
              <w:rPr>
                <w:rStyle w:val="Hyperlink"/>
                <w:noProof/>
              </w:rPr>
              <w:t>VII. Overall conclusion and risk/benefit assessment</w:t>
            </w:r>
            <w:r w:rsidR="00833076">
              <w:rPr>
                <w:noProof/>
                <w:webHidden/>
              </w:rPr>
              <w:tab/>
            </w:r>
            <w:r w:rsidR="00833076">
              <w:rPr>
                <w:noProof/>
                <w:webHidden/>
              </w:rPr>
              <w:fldChar w:fldCharType="begin"/>
            </w:r>
            <w:r w:rsidR="00833076">
              <w:rPr>
                <w:noProof/>
                <w:webHidden/>
              </w:rPr>
              <w:instrText xml:space="preserve"> PAGEREF _Toc525732549 \h </w:instrText>
            </w:r>
            <w:r w:rsidR="00833076">
              <w:rPr>
                <w:noProof/>
                <w:webHidden/>
              </w:rPr>
            </w:r>
            <w:r w:rsidR="00833076">
              <w:rPr>
                <w:noProof/>
                <w:webHidden/>
              </w:rPr>
              <w:fldChar w:fldCharType="separate"/>
            </w:r>
            <w:r w:rsidR="00833076">
              <w:rPr>
                <w:noProof/>
                <w:webHidden/>
              </w:rPr>
              <w:t>15</w:t>
            </w:r>
            <w:r w:rsidR="00833076">
              <w:rPr>
                <w:noProof/>
                <w:webHidden/>
              </w:rPr>
              <w:fldChar w:fldCharType="end"/>
            </w:r>
          </w:hyperlink>
        </w:p>
        <w:p w14:paraId="78DB2CA4" w14:textId="77777777" w:rsidR="00833076" w:rsidRDefault="00FC6220">
          <w:pPr>
            <w:pStyle w:val="TOC3"/>
            <w:rPr>
              <w:rFonts w:asciiTheme="minorHAnsi" w:eastAsiaTheme="minorEastAsia" w:hAnsiTheme="minorHAnsi" w:cstheme="minorBidi"/>
              <w:noProof/>
              <w:lang w:eastAsia="en-AU"/>
            </w:rPr>
          </w:pPr>
          <w:hyperlink w:anchor="_Toc525732550" w:history="1">
            <w:r w:rsidR="00833076" w:rsidRPr="007461CA">
              <w:rPr>
                <w:rStyle w:val="Hyperlink"/>
                <w:noProof/>
              </w:rPr>
              <w:t>Introduction</w:t>
            </w:r>
            <w:r w:rsidR="00833076">
              <w:rPr>
                <w:noProof/>
                <w:webHidden/>
              </w:rPr>
              <w:tab/>
            </w:r>
            <w:r w:rsidR="00833076">
              <w:rPr>
                <w:noProof/>
                <w:webHidden/>
              </w:rPr>
              <w:fldChar w:fldCharType="begin"/>
            </w:r>
            <w:r w:rsidR="00833076">
              <w:rPr>
                <w:noProof/>
                <w:webHidden/>
              </w:rPr>
              <w:instrText xml:space="preserve"> PAGEREF _Toc525732550 \h </w:instrText>
            </w:r>
            <w:r w:rsidR="00833076">
              <w:rPr>
                <w:noProof/>
                <w:webHidden/>
              </w:rPr>
            </w:r>
            <w:r w:rsidR="00833076">
              <w:rPr>
                <w:noProof/>
                <w:webHidden/>
              </w:rPr>
              <w:fldChar w:fldCharType="separate"/>
            </w:r>
            <w:r w:rsidR="00833076">
              <w:rPr>
                <w:noProof/>
                <w:webHidden/>
              </w:rPr>
              <w:t>15</w:t>
            </w:r>
            <w:r w:rsidR="00833076">
              <w:rPr>
                <w:noProof/>
                <w:webHidden/>
              </w:rPr>
              <w:fldChar w:fldCharType="end"/>
            </w:r>
          </w:hyperlink>
        </w:p>
        <w:p w14:paraId="0B4C7D20" w14:textId="77777777" w:rsidR="00833076" w:rsidRDefault="00FC6220">
          <w:pPr>
            <w:pStyle w:val="TOC3"/>
            <w:rPr>
              <w:rFonts w:asciiTheme="minorHAnsi" w:eastAsiaTheme="minorEastAsia" w:hAnsiTheme="minorHAnsi" w:cstheme="minorBidi"/>
              <w:noProof/>
              <w:lang w:eastAsia="en-AU"/>
            </w:rPr>
          </w:pPr>
          <w:hyperlink w:anchor="_Toc525732551" w:history="1">
            <w:r w:rsidR="00833076" w:rsidRPr="007461CA">
              <w:rPr>
                <w:rStyle w:val="Hyperlink"/>
                <w:noProof/>
              </w:rPr>
              <w:t>Quality</w:t>
            </w:r>
            <w:r w:rsidR="00833076">
              <w:rPr>
                <w:noProof/>
                <w:webHidden/>
              </w:rPr>
              <w:tab/>
            </w:r>
            <w:r w:rsidR="00833076">
              <w:rPr>
                <w:noProof/>
                <w:webHidden/>
              </w:rPr>
              <w:fldChar w:fldCharType="begin"/>
            </w:r>
            <w:r w:rsidR="00833076">
              <w:rPr>
                <w:noProof/>
                <w:webHidden/>
              </w:rPr>
              <w:instrText xml:space="preserve"> PAGEREF _Toc525732551 \h </w:instrText>
            </w:r>
            <w:r w:rsidR="00833076">
              <w:rPr>
                <w:noProof/>
                <w:webHidden/>
              </w:rPr>
            </w:r>
            <w:r w:rsidR="00833076">
              <w:rPr>
                <w:noProof/>
                <w:webHidden/>
              </w:rPr>
              <w:fldChar w:fldCharType="separate"/>
            </w:r>
            <w:r w:rsidR="00833076">
              <w:rPr>
                <w:noProof/>
                <w:webHidden/>
              </w:rPr>
              <w:t>18</w:t>
            </w:r>
            <w:r w:rsidR="00833076">
              <w:rPr>
                <w:noProof/>
                <w:webHidden/>
              </w:rPr>
              <w:fldChar w:fldCharType="end"/>
            </w:r>
          </w:hyperlink>
        </w:p>
        <w:p w14:paraId="1068FD89" w14:textId="77777777" w:rsidR="00833076" w:rsidRDefault="00FC6220">
          <w:pPr>
            <w:pStyle w:val="TOC3"/>
            <w:rPr>
              <w:rFonts w:asciiTheme="minorHAnsi" w:eastAsiaTheme="minorEastAsia" w:hAnsiTheme="minorHAnsi" w:cstheme="minorBidi"/>
              <w:noProof/>
              <w:lang w:eastAsia="en-AU"/>
            </w:rPr>
          </w:pPr>
          <w:hyperlink w:anchor="_Toc525732552" w:history="1">
            <w:r w:rsidR="00833076" w:rsidRPr="007461CA">
              <w:rPr>
                <w:rStyle w:val="Hyperlink"/>
                <w:noProof/>
              </w:rPr>
              <w:t>Nonclinical</w:t>
            </w:r>
            <w:r w:rsidR="00833076">
              <w:rPr>
                <w:noProof/>
                <w:webHidden/>
              </w:rPr>
              <w:tab/>
            </w:r>
            <w:r w:rsidR="00833076">
              <w:rPr>
                <w:noProof/>
                <w:webHidden/>
              </w:rPr>
              <w:fldChar w:fldCharType="begin"/>
            </w:r>
            <w:r w:rsidR="00833076">
              <w:rPr>
                <w:noProof/>
                <w:webHidden/>
              </w:rPr>
              <w:instrText xml:space="preserve"> PAGEREF _Toc525732552 \h </w:instrText>
            </w:r>
            <w:r w:rsidR="00833076">
              <w:rPr>
                <w:noProof/>
                <w:webHidden/>
              </w:rPr>
            </w:r>
            <w:r w:rsidR="00833076">
              <w:rPr>
                <w:noProof/>
                <w:webHidden/>
              </w:rPr>
              <w:fldChar w:fldCharType="separate"/>
            </w:r>
            <w:r w:rsidR="00833076">
              <w:rPr>
                <w:noProof/>
                <w:webHidden/>
              </w:rPr>
              <w:t>18</w:t>
            </w:r>
            <w:r w:rsidR="00833076">
              <w:rPr>
                <w:noProof/>
                <w:webHidden/>
              </w:rPr>
              <w:fldChar w:fldCharType="end"/>
            </w:r>
          </w:hyperlink>
        </w:p>
        <w:p w14:paraId="26D31A22" w14:textId="77777777" w:rsidR="00833076" w:rsidRDefault="00FC6220">
          <w:pPr>
            <w:pStyle w:val="TOC3"/>
            <w:rPr>
              <w:rFonts w:asciiTheme="minorHAnsi" w:eastAsiaTheme="minorEastAsia" w:hAnsiTheme="minorHAnsi" w:cstheme="minorBidi"/>
              <w:noProof/>
              <w:lang w:eastAsia="en-AU"/>
            </w:rPr>
          </w:pPr>
          <w:hyperlink w:anchor="_Toc525732553" w:history="1">
            <w:r w:rsidR="00833076" w:rsidRPr="007461CA">
              <w:rPr>
                <w:rStyle w:val="Hyperlink"/>
                <w:noProof/>
              </w:rPr>
              <w:t>Clinical</w:t>
            </w:r>
            <w:r w:rsidR="00833076">
              <w:rPr>
                <w:noProof/>
                <w:webHidden/>
              </w:rPr>
              <w:tab/>
            </w:r>
            <w:r w:rsidR="00833076">
              <w:rPr>
                <w:noProof/>
                <w:webHidden/>
              </w:rPr>
              <w:fldChar w:fldCharType="begin"/>
            </w:r>
            <w:r w:rsidR="00833076">
              <w:rPr>
                <w:noProof/>
                <w:webHidden/>
              </w:rPr>
              <w:instrText xml:space="preserve"> PAGEREF _Toc525732553 \h </w:instrText>
            </w:r>
            <w:r w:rsidR="00833076">
              <w:rPr>
                <w:noProof/>
                <w:webHidden/>
              </w:rPr>
            </w:r>
            <w:r w:rsidR="00833076">
              <w:rPr>
                <w:noProof/>
                <w:webHidden/>
              </w:rPr>
              <w:fldChar w:fldCharType="separate"/>
            </w:r>
            <w:r w:rsidR="00833076">
              <w:rPr>
                <w:noProof/>
                <w:webHidden/>
              </w:rPr>
              <w:t>18</w:t>
            </w:r>
            <w:r w:rsidR="00833076">
              <w:rPr>
                <w:noProof/>
                <w:webHidden/>
              </w:rPr>
              <w:fldChar w:fldCharType="end"/>
            </w:r>
          </w:hyperlink>
        </w:p>
        <w:p w14:paraId="0B9E4805" w14:textId="77777777" w:rsidR="00833076" w:rsidRDefault="00FC6220">
          <w:pPr>
            <w:pStyle w:val="TOC3"/>
            <w:rPr>
              <w:rFonts w:asciiTheme="minorHAnsi" w:eastAsiaTheme="minorEastAsia" w:hAnsiTheme="minorHAnsi" w:cstheme="minorBidi"/>
              <w:noProof/>
              <w:lang w:eastAsia="en-AU"/>
            </w:rPr>
          </w:pPr>
          <w:hyperlink w:anchor="_Toc525732554" w:history="1">
            <w:r w:rsidR="00833076" w:rsidRPr="007461CA">
              <w:rPr>
                <w:rStyle w:val="Hyperlink"/>
                <w:noProof/>
              </w:rPr>
              <w:t>Previous clinical data</w:t>
            </w:r>
            <w:r w:rsidR="00833076">
              <w:rPr>
                <w:noProof/>
                <w:webHidden/>
              </w:rPr>
              <w:tab/>
            </w:r>
            <w:r w:rsidR="00833076">
              <w:rPr>
                <w:noProof/>
                <w:webHidden/>
              </w:rPr>
              <w:fldChar w:fldCharType="begin"/>
            </w:r>
            <w:r w:rsidR="00833076">
              <w:rPr>
                <w:noProof/>
                <w:webHidden/>
              </w:rPr>
              <w:instrText xml:space="preserve"> PAGEREF _Toc525732554 \h </w:instrText>
            </w:r>
            <w:r w:rsidR="00833076">
              <w:rPr>
                <w:noProof/>
                <w:webHidden/>
              </w:rPr>
            </w:r>
            <w:r w:rsidR="00833076">
              <w:rPr>
                <w:noProof/>
                <w:webHidden/>
              </w:rPr>
              <w:fldChar w:fldCharType="separate"/>
            </w:r>
            <w:r w:rsidR="00833076">
              <w:rPr>
                <w:noProof/>
                <w:webHidden/>
              </w:rPr>
              <w:t>21</w:t>
            </w:r>
            <w:r w:rsidR="00833076">
              <w:rPr>
                <w:noProof/>
                <w:webHidden/>
              </w:rPr>
              <w:fldChar w:fldCharType="end"/>
            </w:r>
          </w:hyperlink>
        </w:p>
        <w:p w14:paraId="523DAE19" w14:textId="77777777" w:rsidR="00833076" w:rsidRDefault="00FC6220">
          <w:pPr>
            <w:pStyle w:val="TOC3"/>
            <w:rPr>
              <w:rFonts w:asciiTheme="minorHAnsi" w:eastAsiaTheme="minorEastAsia" w:hAnsiTheme="minorHAnsi" w:cstheme="minorBidi"/>
              <w:noProof/>
              <w:lang w:eastAsia="en-AU"/>
            </w:rPr>
          </w:pPr>
          <w:hyperlink w:anchor="_Toc525732555" w:history="1">
            <w:r w:rsidR="00833076" w:rsidRPr="007461CA">
              <w:rPr>
                <w:rStyle w:val="Hyperlink"/>
                <w:noProof/>
                <w:lang w:eastAsia="en-AU"/>
              </w:rPr>
              <w:t>Risk management plan</w:t>
            </w:r>
            <w:r w:rsidR="00833076">
              <w:rPr>
                <w:noProof/>
                <w:webHidden/>
              </w:rPr>
              <w:tab/>
            </w:r>
            <w:r w:rsidR="00833076">
              <w:rPr>
                <w:noProof/>
                <w:webHidden/>
              </w:rPr>
              <w:fldChar w:fldCharType="begin"/>
            </w:r>
            <w:r w:rsidR="00833076">
              <w:rPr>
                <w:noProof/>
                <w:webHidden/>
              </w:rPr>
              <w:instrText xml:space="preserve"> PAGEREF _Toc525732555 \h </w:instrText>
            </w:r>
            <w:r w:rsidR="00833076">
              <w:rPr>
                <w:noProof/>
                <w:webHidden/>
              </w:rPr>
            </w:r>
            <w:r w:rsidR="00833076">
              <w:rPr>
                <w:noProof/>
                <w:webHidden/>
              </w:rPr>
              <w:fldChar w:fldCharType="separate"/>
            </w:r>
            <w:r w:rsidR="00833076">
              <w:rPr>
                <w:noProof/>
                <w:webHidden/>
              </w:rPr>
              <w:t>24</w:t>
            </w:r>
            <w:r w:rsidR="00833076">
              <w:rPr>
                <w:noProof/>
                <w:webHidden/>
              </w:rPr>
              <w:fldChar w:fldCharType="end"/>
            </w:r>
          </w:hyperlink>
        </w:p>
        <w:p w14:paraId="234CDD76" w14:textId="77777777" w:rsidR="00833076" w:rsidRDefault="00FC6220">
          <w:pPr>
            <w:pStyle w:val="TOC3"/>
            <w:rPr>
              <w:rFonts w:asciiTheme="minorHAnsi" w:eastAsiaTheme="minorEastAsia" w:hAnsiTheme="minorHAnsi" w:cstheme="minorBidi"/>
              <w:noProof/>
              <w:lang w:eastAsia="en-AU"/>
            </w:rPr>
          </w:pPr>
          <w:hyperlink w:anchor="_Toc525732556" w:history="1">
            <w:r w:rsidR="00833076" w:rsidRPr="007461CA">
              <w:rPr>
                <w:rStyle w:val="Hyperlink"/>
                <w:noProof/>
              </w:rPr>
              <w:t>Risk-benefit analysis</w:t>
            </w:r>
            <w:r w:rsidR="00833076">
              <w:rPr>
                <w:noProof/>
                <w:webHidden/>
              </w:rPr>
              <w:tab/>
            </w:r>
            <w:r w:rsidR="00833076">
              <w:rPr>
                <w:noProof/>
                <w:webHidden/>
              </w:rPr>
              <w:fldChar w:fldCharType="begin"/>
            </w:r>
            <w:r w:rsidR="00833076">
              <w:rPr>
                <w:noProof/>
                <w:webHidden/>
              </w:rPr>
              <w:instrText xml:space="preserve"> PAGEREF _Toc525732556 \h </w:instrText>
            </w:r>
            <w:r w:rsidR="00833076">
              <w:rPr>
                <w:noProof/>
                <w:webHidden/>
              </w:rPr>
            </w:r>
            <w:r w:rsidR="00833076">
              <w:rPr>
                <w:noProof/>
                <w:webHidden/>
              </w:rPr>
              <w:fldChar w:fldCharType="separate"/>
            </w:r>
            <w:r w:rsidR="00833076">
              <w:rPr>
                <w:noProof/>
                <w:webHidden/>
              </w:rPr>
              <w:t>25</w:t>
            </w:r>
            <w:r w:rsidR="00833076">
              <w:rPr>
                <w:noProof/>
                <w:webHidden/>
              </w:rPr>
              <w:fldChar w:fldCharType="end"/>
            </w:r>
          </w:hyperlink>
        </w:p>
        <w:p w14:paraId="56D8AC51" w14:textId="77777777" w:rsidR="00833076" w:rsidRDefault="00FC6220">
          <w:pPr>
            <w:pStyle w:val="TOC3"/>
            <w:rPr>
              <w:rFonts w:asciiTheme="minorHAnsi" w:eastAsiaTheme="minorEastAsia" w:hAnsiTheme="minorHAnsi" w:cstheme="minorBidi"/>
              <w:noProof/>
              <w:lang w:eastAsia="en-AU"/>
            </w:rPr>
          </w:pPr>
          <w:hyperlink w:anchor="_Toc525732557" w:history="1">
            <w:r w:rsidR="00833076" w:rsidRPr="007461CA">
              <w:rPr>
                <w:rStyle w:val="Hyperlink"/>
                <w:noProof/>
              </w:rPr>
              <w:t>Outcome</w:t>
            </w:r>
            <w:r w:rsidR="00833076">
              <w:rPr>
                <w:noProof/>
                <w:webHidden/>
              </w:rPr>
              <w:tab/>
            </w:r>
            <w:r w:rsidR="00833076">
              <w:rPr>
                <w:noProof/>
                <w:webHidden/>
              </w:rPr>
              <w:fldChar w:fldCharType="begin"/>
            </w:r>
            <w:r w:rsidR="00833076">
              <w:rPr>
                <w:noProof/>
                <w:webHidden/>
              </w:rPr>
              <w:instrText xml:space="preserve"> PAGEREF _Toc525732557 \h </w:instrText>
            </w:r>
            <w:r w:rsidR="00833076">
              <w:rPr>
                <w:noProof/>
                <w:webHidden/>
              </w:rPr>
            </w:r>
            <w:r w:rsidR="00833076">
              <w:rPr>
                <w:noProof/>
                <w:webHidden/>
              </w:rPr>
              <w:fldChar w:fldCharType="separate"/>
            </w:r>
            <w:r w:rsidR="00833076">
              <w:rPr>
                <w:noProof/>
                <w:webHidden/>
              </w:rPr>
              <w:t>35</w:t>
            </w:r>
            <w:r w:rsidR="00833076">
              <w:rPr>
                <w:noProof/>
                <w:webHidden/>
              </w:rPr>
              <w:fldChar w:fldCharType="end"/>
            </w:r>
          </w:hyperlink>
        </w:p>
        <w:p w14:paraId="51577EF5" w14:textId="77777777" w:rsidR="00833076" w:rsidRDefault="00FC6220">
          <w:pPr>
            <w:pStyle w:val="TOC2"/>
            <w:rPr>
              <w:rFonts w:asciiTheme="minorHAnsi" w:eastAsiaTheme="minorEastAsia" w:hAnsiTheme="minorHAnsi" w:cstheme="minorBidi"/>
              <w:b w:val="0"/>
              <w:noProof/>
              <w:sz w:val="22"/>
              <w:lang w:eastAsia="en-AU"/>
            </w:rPr>
          </w:pPr>
          <w:hyperlink w:anchor="_Toc525732558" w:history="1">
            <w:r w:rsidR="00833076" w:rsidRPr="007461CA">
              <w:rPr>
                <w:rStyle w:val="Hyperlink"/>
                <w:noProof/>
              </w:rPr>
              <w:t>Attachment 1. Product Information</w:t>
            </w:r>
            <w:r w:rsidR="00833076">
              <w:rPr>
                <w:noProof/>
                <w:webHidden/>
              </w:rPr>
              <w:tab/>
            </w:r>
            <w:r w:rsidR="00833076">
              <w:rPr>
                <w:noProof/>
                <w:webHidden/>
              </w:rPr>
              <w:fldChar w:fldCharType="begin"/>
            </w:r>
            <w:r w:rsidR="00833076">
              <w:rPr>
                <w:noProof/>
                <w:webHidden/>
              </w:rPr>
              <w:instrText xml:space="preserve"> PAGEREF _Toc525732558 \h </w:instrText>
            </w:r>
            <w:r w:rsidR="00833076">
              <w:rPr>
                <w:noProof/>
                <w:webHidden/>
              </w:rPr>
            </w:r>
            <w:r w:rsidR="00833076">
              <w:rPr>
                <w:noProof/>
                <w:webHidden/>
              </w:rPr>
              <w:fldChar w:fldCharType="separate"/>
            </w:r>
            <w:r w:rsidR="00833076">
              <w:rPr>
                <w:noProof/>
                <w:webHidden/>
              </w:rPr>
              <w:t>35</w:t>
            </w:r>
            <w:r w:rsidR="00833076">
              <w:rPr>
                <w:noProof/>
                <w:webHidden/>
              </w:rPr>
              <w:fldChar w:fldCharType="end"/>
            </w:r>
          </w:hyperlink>
        </w:p>
        <w:p w14:paraId="24AE6D8C" w14:textId="77777777" w:rsidR="00833076" w:rsidRDefault="00FC6220">
          <w:pPr>
            <w:pStyle w:val="TOC2"/>
            <w:rPr>
              <w:rFonts w:asciiTheme="minorHAnsi" w:eastAsiaTheme="minorEastAsia" w:hAnsiTheme="minorHAnsi" w:cstheme="minorBidi"/>
              <w:b w:val="0"/>
              <w:noProof/>
              <w:sz w:val="22"/>
              <w:lang w:eastAsia="en-AU"/>
            </w:rPr>
          </w:pPr>
          <w:hyperlink w:anchor="_Toc525732559" w:history="1">
            <w:r w:rsidR="00833076" w:rsidRPr="007461CA">
              <w:rPr>
                <w:rStyle w:val="Hyperlink"/>
                <w:noProof/>
                <w:lang w:eastAsia="en-AU"/>
              </w:rPr>
              <w:t>Attachment 2. Extract from the Clinical Evaluation Report</w:t>
            </w:r>
            <w:r w:rsidR="00833076">
              <w:rPr>
                <w:noProof/>
                <w:webHidden/>
              </w:rPr>
              <w:tab/>
            </w:r>
            <w:r w:rsidR="00833076">
              <w:rPr>
                <w:noProof/>
                <w:webHidden/>
              </w:rPr>
              <w:fldChar w:fldCharType="begin"/>
            </w:r>
            <w:r w:rsidR="00833076">
              <w:rPr>
                <w:noProof/>
                <w:webHidden/>
              </w:rPr>
              <w:instrText xml:space="preserve"> PAGEREF _Toc525732559 \h </w:instrText>
            </w:r>
            <w:r w:rsidR="00833076">
              <w:rPr>
                <w:noProof/>
                <w:webHidden/>
              </w:rPr>
            </w:r>
            <w:r w:rsidR="00833076">
              <w:rPr>
                <w:noProof/>
                <w:webHidden/>
              </w:rPr>
              <w:fldChar w:fldCharType="separate"/>
            </w:r>
            <w:r w:rsidR="00833076">
              <w:rPr>
                <w:noProof/>
                <w:webHidden/>
              </w:rPr>
              <w:t>35</w:t>
            </w:r>
            <w:r w:rsidR="00833076">
              <w:rPr>
                <w:noProof/>
                <w:webHidden/>
              </w:rPr>
              <w:fldChar w:fldCharType="end"/>
            </w:r>
          </w:hyperlink>
        </w:p>
        <w:p w14:paraId="249D9087" w14:textId="77777777" w:rsidR="003A7F6C" w:rsidRPr="00B811C6" w:rsidRDefault="00DB6124" w:rsidP="00B811C6">
          <w:pPr>
            <w:pStyle w:val="TOC2"/>
          </w:pPr>
          <w:r>
            <w:fldChar w:fldCharType="end"/>
          </w:r>
        </w:p>
      </w:sdtContent>
    </w:sdt>
    <w:bookmarkStart w:id="3" w:name="_Toc314842482" w:displacedByCustomXml="prev"/>
    <w:p w14:paraId="4BBE402B" w14:textId="77777777" w:rsidR="00FD119B" w:rsidRDefault="00FD119B">
      <w:pPr>
        <w:spacing w:before="0" w:after="200" w:line="0" w:lineRule="auto"/>
      </w:pPr>
      <w:r>
        <w:br w:type="page"/>
      </w:r>
    </w:p>
    <w:p w14:paraId="5CB08324"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25732528"/>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1EBF5E8D"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7AA3EDE4"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7DEA40A8" w14:textId="77777777" w:rsidR="00FD119B" w:rsidRPr="00FD119B" w:rsidRDefault="00FD119B" w:rsidP="00FD119B">
            <w:pPr>
              <w:keepNext w:val="0"/>
              <w:ind w:left="0" w:right="0"/>
              <w:rPr>
                <w:szCs w:val="22"/>
                <w:lang w:eastAsia="en-US"/>
              </w:rPr>
            </w:pPr>
            <w:r w:rsidRPr="00FD119B">
              <w:rPr>
                <w:szCs w:val="22"/>
                <w:lang w:eastAsia="en-US"/>
              </w:rPr>
              <w:t>Meaning</w:t>
            </w:r>
          </w:p>
        </w:tc>
      </w:tr>
      <w:tr w:rsidR="00236FC3" w:rsidRPr="00FD119B" w14:paraId="3D8E3FEC" w14:textId="77777777" w:rsidTr="00FD119B">
        <w:tc>
          <w:tcPr>
            <w:tcW w:w="1809" w:type="dxa"/>
          </w:tcPr>
          <w:p w14:paraId="2E9B01E5" w14:textId="77777777" w:rsidR="00236FC3" w:rsidRPr="00AA4E90" w:rsidRDefault="00236FC3" w:rsidP="00236FC3">
            <w:r w:rsidRPr="00AA4E90">
              <w:t>AEs</w:t>
            </w:r>
          </w:p>
        </w:tc>
        <w:tc>
          <w:tcPr>
            <w:tcW w:w="6911" w:type="dxa"/>
          </w:tcPr>
          <w:p w14:paraId="0BA46A4A" w14:textId="77777777" w:rsidR="00236FC3" w:rsidRPr="00AA4E90" w:rsidRDefault="00236FC3" w:rsidP="00236FC3">
            <w:r w:rsidRPr="00AA4E90">
              <w:t>Adverse events</w:t>
            </w:r>
          </w:p>
        </w:tc>
      </w:tr>
      <w:tr w:rsidR="00BF580B" w:rsidRPr="00FD119B" w14:paraId="51F497BD" w14:textId="77777777" w:rsidTr="00FD119B">
        <w:tc>
          <w:tcPr>
            <w:tcW w:w="1809" w:type="dxa"/>
          </w:tcPr>
          <w:p w14:paraId="15370C91" w14:textId="77777777" w:rsidR="00BF580B" w:rsidRPr="00AA4E90" w:rsidRDefault="00BF580B" w:rsidP="00236FC3">
            <w:r>
              <w:t>ARTG</w:t>
            </w:r>
          </w:p>
        </w:tc>
        <w:tc>
          <w:tcPr>
            <w:tcW w:w="6911" w:type="dxa"/>
          </w:tcPr>
          <w:p w14:paraId="7BE9C341" w14:textId="77777777" w:rsidR="00BF580B" w:rsidRPr="00AA4E90" w:rsidRDefault="00BF580B" w:rsidP="00236FC3">
            <w:r w:rsidRPr="00615D59">
              <w:t>Australian</w:t>
            </w:r>
            <w:r>
              <w:t xml:space="preserve"> Register of Therapeutic Goods</w:t>
            </w:r>
          </w:p>
        </w:tc>
      </w:tr>
      <w:tr w:rsidR="00342545" w:rsidRPr="00FD119B" w14:paraId="55A7775F" w14:textId="77777777" w:rsidTr="00FD119B">
        <w:tc>
          <w:tcPr>
            <w:tcW w:w="1809" w:type="dxa"/>
          </w:tcPr>
          <w:p w14:paraId="2F6E02B5" w14:textId="77777777" w:rsidR="00342545" w:rsidRPr="00AA4E90" w:rsidRDefault="00342545" w:rsidP="00236FC3">
            <w:r>
              <w:t>BD</w:t>
            </w:r>
          </w:p>
        </w:tc>
        <w:tc>
          <w:tcPr>
            <w:tcW w:w="6911" w:type="dxa"/>
          </w:tcPr>
          <w:p w14:paraId="2A6A9373" w14:textId="77777777" w:rsidR="00342545" w:rsidRPr="00AA4E90" w:rsidRDefault="00342545" w:rsidP="00236FC3">
            <w:r>
              <w:t>Twice daily</w:t>
            </w:r>
          </w:p>
        </w:tc>
      </w:tr>
      <w:tr w:rsidR="00236FC3" w:rsidRPr="00FD119B" w14:paraId="132A2C7F" w14:textId="77777777" w:rsidTr="00FD119B">
        <w:tc>
          <w:tcPr>
            <w:tcW w:w="1809" w:type="dxa"/>
          </w:tcPr>
          <w:p w14:paraId="149B5420" w14:textId="77777777" w:rsidR="00236FC3" w:rsidRPr="00AA4E90" w:rsidRDefault="008D4D5F" w:rsidP="00236FC3">
            <w:r>
              <w:t>CER</w:t>
            </w:r>
          </w:p>
        </w:tc>
        <w:tc>
          <w:tcPr>
            <w:tcW w:w="6911" w:type="dxa"/>
          </w:tcPr>
          <w:p w14:paraId="25F71696" w14:textId="77777777" w:rsidR="00236FC3" w:rsidRPr="00AA4E90" w:rsidRDefault="00236FC3" w:rsidP="00236FC3">
            <w:r w:rsidRPr="00AA4E90">
              <w:t>Clinical evaluation report</w:t>
            </w:r>
          </w:p>
        </w:tc>
      </w:tr>
      <w:tr w:rsidR="00236FC3" w:rsidRPr="00FD119B" w14:paraId="1CD808DE" w14:textId="77777777" w:rsidTr="00FD119B">
        <w:tc>
          <w:tcPr>
            <w:tcW w:w="1809" w:type="dxa"/>
          </w:tcPr>
          <w:p w14:paraId="53F9B9DC" w14:textId="77777777" w:rsidR="00236FC3" w:rsidRPr="00AA4E90" w:rsidRDefault="008D4D5F" w:rsidP="00236FC3">
            <w:r>
              <w:t>CI</w:t>
            </w:r>
          </w:p>
        </w:tc>
        <w:tc>
          <w:tcPr>
            <w:tcW w:w="6911" w:type="dxa"/>
          </w:tcPr>
          <w:p w14:paraId="2E5C0FD4" w14:textId="77777777" w:rsidR="00236FC3" w:rsidRPr="00AA4E90" w:rsidRDefault="00236FC3" w:rsidP="00236FC3">
            <w:r w:rsidRPr="00AA4E90">
              <w:t>Confidence Interval</w:t>
            </w:r>
          </w:p>
        </w:tc>
      </w:tr>
      <w:tr w:rsidR="000009D9" w:rsidRPr="00FD119B" w14:paraId="2414148C" w14:textId="77777777" w:rsidTr="00FD119B">
        <w:tc>
          <w:tcPr>
            <w:tcW w:w="1809" w:type="dxa"/>
          </w:tcPr>
          <w:p w14:paraId="26D8DFC0" w14:textId="77777777" w:rsidR="000009D9" w:rsidRPr="00AA4E90" w:rsidRDefault="000009D9" w:rsidP="00236FC3">
            <w:r w:rsidRPr="00374BCE">
              <w:t>COPD</w:t>
            </w:r>
          </w:p>
        </w:tc>
        <w:tc>
          <w:tcPr>
            <w:tcW w:w="6911" w:type="dxa"/>
          </w:tcPr>
          <w:p w14:paraId="690C9DF1" w14:textId="77777777" w:rsidR="000009D9" w:rsidRPr="00AA4E90" w:rsidRDefault="000009D9" w:rsidP="000009D9">
            <w:r w:rsidRPr="00374BCE">
              <w:t>Chronic</w:t>
            </w:r>
            <w:r>
              <w:t xml:space="preserve"> Obstructive Pulmonary Disease</w:t>
            </w:r>
          </w:p>
        </w:tc>
      </w:tr>
      <w:tr w:rsidR="008635E7" w:rsidRPr="00FD119B" w14:paraId="247BA419" w14:textId="77777777" w:rsidTr="00FD119B">
        <w:tc>
          <w:tcPr>
            <w:tcW w:w="1809" w:type="dxa"/>
          </w:tcPr>
          <w:p w14:paraId="31650B36" w14:textId="77777777" w:rsidR="008635E7" w:rsidRPr="00374BCE" w:rsidRDefault="008635E7" w:rsidP="00236FC3">
            <w:r>
              <w:t>DPI</w:t>
            </w:r>
          </w:p>
        </w:tc>
        <w:tc>
          <w:tcPr>
            <w:tcW w:w="6911" w:type="dxa"/>
          </w:tcPr>
          <w:p w14:paraId="0C6BF3FB" w14:textId="77777777" w:rsidR="008635E7" w:rsidRPr="00374BCE" w:rsidRDefault="00342545" w:rsidP="000009D9">
            <w:r>
              <w:t>Dry powder inhaler</w:t>
            </w:r>
          </w:p>
        </w:tc>
      </w:tr>
      <w:tr w:rsidR="00236FC3" w:rsidRPr="00FD119B" w14:paraId="2ADA3B90" w14:textId="77777777" w:rsidTr="00FD119B">
        <w:tc>
          <w:tcPr>
            <w:tcW w:w="1809" w:type="dxa"/>
          </w:tcPr>
          <w:p w14:paraId="36532A99" w14:textId="77777777" w:rsidR="00236FC3" w:rsidRPr="00AA4E90" w:rsidRDefault="00236FC3" w:rsidP="00236FC3">
            <w:r w:rsidRPr="00AA4E90">
              <w:t>EU</w:t>
            </w:r>
          </w:p>
        </w:tc>
        <w:tc>
          <w:tcPr>
            <w:tcW w:w="6911" w:type="dxa"/>
          </w:tcPr>
          <w:p w14:paraId="2F960F6B" w14:textId="77777777" w:rsidR="00236FC3" w:rsidRPr="00AA4E90" w:rsidRDefault="00236FC3" w:rsidP="00236FC3">
            <w:r w:rsidRPr="00AA4E90">
              <w:t>European Union</w:t>
            </w:r>
          </w:p>
        </w:tc>
      </w:tr>
      <w:tr w:rsidR="00236FC3" w:rsidRPr="00FD119B" w14:paraId="6D5FC163" w14:textId="77777777" w:rsidTr="00FD119B">
        <w:tc>
          <w:tcPr>
            <w:tcW w:w="1809" w:type="dxa"/>
          </w:tcPr>
          <w:p w14:paraId="112BC5ED" w14:textId="77777777" w:rsidR="00236FC3" w:rsidRPr="00AA4E90" w:rsidRDefault="00236FC3" w:rsidP="00236FC3">
            <w:r w:rsidRPr="00AA4E90">
              <w:t>FEV1</w:t>
            </w:r>
          </w:p>
        </w:tc>
        <w:tc>
          <w:tcPr>
            <w:tcW w:w="6911" w:type="dxa"/>
          </w:tcPr>
          <w:p w14:paraId="5754DAEE" w14:textId="77777777" w:rsidR="00236FC3" w:rsidRPr="00AA4E90" w:rsidRDefault="00236FC3" w:rsidP="00236FC3">
            <w:r w:rsidRPr="00AA4E90">
              <w:t>Forced expiratory volume in 1 second</w:t>
            </w:r>
          </w:p>
        </w:tc>
      </w:tr>
      <w:tr w:rsidR="00236FC3" w:rsidRPr="00FD119B" w14:paraId="051310DC" w14:textId="77777777" w:rsidTr="00FD119B">
        <w:tc>
          <w:tcPr>
            <w:tcW w:w="1809" w:type="dxa"/>
          </w:tcPr>
          <w:p w14:paraId="0D8AE682" w14:textId="77777777" w:rsidR="00236FC3" w:rsidRPr="00AA4E90" w:rsidRDefault="00236FC3" w:rsidP="00236FC3">
            <w:r w:rsidRPr="00AA4E90">
              <w:t>FDC</w:t>
            </w:r>
          </w:p>
        </w:tc>
        <w:tc>
          <w:tcPr>
            <w:tcW w:w="6911" w:type="dxa"/>
          </w:tcPr>
          <w:p w14:paraId="24B9C04D" w14:textId="77777777" w:rsidR="00236FC3" w:rsidRPr="00AA4E90" w:rsidRDefault="00236FC3" w:rsidP="00236FC3">
            <w:r w:rsidRPr="00AA4E90">
              <w:t>Fixed dose combination</w:t>
            </w:r>
          </w:p>
        </w:tc>
      </w:tr>
      <w:tr w:rsidR="00236FC3" w:rsidRPr="00FD119B" w14:paraId="658C2B5C" w14:textId="77777777" w:rsidTr="00FD119B">
        <w:tc>
          <w:tcPr>
            <w:tcW w:w="1809" w:type="dxa"/>
          </w:tcPr>
          <w:p w14:paraId="477A74F4" w14:textId="77777777" w:rsidR="00236FC3" w:rsidRPr="00AA4E90" w:rsidRDefault="00236FC3" w:rsidP="00236FC3">
            <w:r w:rsidRPr="00AA4E90">
              <w:t>FVC</w:t>
            </w:r>
          </w:p>
        </w:tc>
        <w:tc>
          <w:tcPr>
            <w:tcW w:w="6911" w:type="dxa"/>
          </w:tcPr>
          <w:p w14:paraId="3FE594D9" w14:textId="77777777" w:rsidR="00236FC3" w:rsidRPr="00AA4E90" w:rsidRDefault="00236FC3" w:rsidP="00236FC3">
            <w:r w:rsidRPr="00AA4E90">
              <w:t>Forced vital capacity</w:t>
            </w:r>
          </w:p>
        </w:tc>
      </w:tr>
      <w:tr w:rsidR="005629DE" w:rsidRPr="00FD119B" w14:paraId="6F58A07A" w14:textId="77777777" w:rsidTr="00FD119B">
        <w:tc>
          <w:tcPr>
            <w:tcW w:w="1809" w:type="dxa"/>
          </w:tcPr>
          <w:p w14:paraId="4D686327" w14:textId="77777777" w:rsidR="005629DE" w:rsidRPr="00AA4E90" w:rsidRDefault="005629DE" w:rsidP="00236FC3">
            <w:r>
              <w:t>GPs</w:t>
            </w:r>
          </w:p>
        </w:tc>
        <w:tc>
          <w:tcPr>
            <w:tcW w:w="6911" w:type="dxa"/>
          </w:tcPr>
          <w:p w14:paraId="38B0BD3D" w14:textId="77777777" w:rsidR="005629DE" w:rsidRPr="00AA4E90" w:rsidRDefault="005629DE" w:rsidP="005629DE">
            <w:r>
              <w:t>General practitioners</w:t>
            </w:r>
          </w:p>
        </w:tc>
      </w:tr>
      <w:tr w:rsidR="00236FC3" w:rsidRPr="00FD119B" w14:paraId="4B741CD4" w14:textId="77777777" w:rsidTr="00FD119B">
        <w:tc>
          <w:tcPr>
            <w:tcW w:w="1809" w:type="dxa"/>
          </w:tcPr>
          <w:p w14:paraId="361167ED" w14:textId="77777777" w:rsidR="00236FC3" w:rsidRPr="00AA4E90" w:rsidRDefault="00236FC3" w:rsidP="00236FC3">
            <w:r w:rsidRPr="00AA4E90">
              <w:t>GOLD</w:t>
            </w:r>
          </w:p>
        </w:tc>
        <w:tc>
          <w:tcPr>
            <w:tcW w:w="6911" w:type="dxa"/>
          </w:tcPr>
          <w:p w14:paraId="54CCAF76" w14:textId="77777777" w:rsidR="00236FC3" w:rsidRPr="00AA4E90" w:rsidRDefault="00236FC3" w:rsidP="00236FC3">
            <w:r w:rsidRPr="00AA4E90">
              <w:t>Global Initiative for Chronic Obstructive Lung Disease</w:t>
            </w:r>
          </w:p>
        </w:tc>
      </w:tr>
      <w:tr w:rsidR="00FE4E85" w:rsidRPr="00FD119B" w14:paraId="08BEE12E" w14:textId="77777777" w:rsidTr="00FD119B">
        <w:tc>
          <w:tcPr>
            <w:tcW w:w="1809" w:type="dxa"/>
          </w:tcPr>
          <w:p w14:paraId="4082DE7C" w14:textId="77777777" w:rsidR="00FE4E85" w:rsidRPr="00AA4E90" w:rsidRDefault="00FE4E85" w:rsidP="00236FC3">
            <w:r w:rsidRPr="000E3AEF">
              <w:t>HR</w:t>
            </w:r>
          </w:p>
        </w:tc>
        <w:tc>
          <w:tcPr>
            <w:tcW w:w="6911" w:type="dxa"/>
          </w:tcPr>
          <w:p w14:paraId="779E2358" w14:textId="77777777" w:rsidR="00FE4E85" w:rsidRPr="00AA4E90" w:rsidRDefault="00FE4E85" w:rsidP="00236FC3">
            <w:r>
              <w:t>Hazard ratio</w:t>
            </w:r>
          </w:p>
        </w:tc>
      </w:tr>
      <w:tr w:rsidR="000009D9" w:rsidRPr="00FD119B" w14:paraId="26337921" w14:textId="77777777" w:rsidTr="00FD119B">
        <w:tc>
          <w:tcPr>
            <w:tcW w:w="1809" w:type="dxa"/>
          </w:tcPr>
          <w:p w14:paraId="1DD15F14" w14:textId="77777777" w:rsidR="000009D9" w:rsidRPr="00C96CA0" w:rsidRDefault="000009D9" w:rsidP="000009D9">
            <w:r w:rsidRPr="00C96CA0">
              <w:t>ICS</w:t>
            </w:r>
          </w:p>
        </w:tc>
        <w:tc>
          <w:tcPr>
            <w:tcW w:w="6911" w:type="dxa"/>
          </w:tcPr>
          <w:p w14:paraId="0439530B" w14:textId="77777777" w:rsidR="000009D9" w:rsidRPr="00C96CA0" w:rsidRDefault="000009D9" w:rsidP="000009D9">
            <w:r w:rsidRPr="00C96CA0">
              <w:t>Inhaled corticosteroids</w:t>
            </w:r>
          </w:p>
        </w:tc>
      </w:tr>
      <w:tr w:rsidR="000009D9" w:rsidRPr="00FD119B" w14:paraId="1E119218" w14:textId="77777777" w:rsidTr="00FD119B">
        <w:tc>
          <w:tcPr>
            <w:tcW w:w="1809" w:type="dxa"/>
          </w:tcPr>
          <w:p w14:paraId="1FBAC04E" w14:textId="77777777" w:rsidR="000009D9" w:rsidRPr="00C96CA0" w:rsidRDefault="000009D9" w:rsidP="000009D9">
            <w:r w:rsidRPr="00C96CA0">
              <w:t>LABA</w:t>
            </w:r>
          </w:p>
        </w:tc>
        <w:tc>
          <w:tcPr>
            <w:tcW w:w="6911" w:type="dxa"/>
          </w:tcPr>
          <w:p w14:paraId="5A703797" w14:textId="77777777" w:rsidR="000009D9" w:rsidRPr="00C96CA0" w:rsidRDefault="000009D9" w:rsidP="000009D9">
            <w:r w:rsidRPr="00C96CA0">
              <w:t>Long acting β2 adrenoceptor agonist</w:t>
            </w:r>
          </w:p>
        </w:tc>
      </w:tr>
      <w:tr w:rsidR="000009D9" w:rsidRPr="00FD119B" w14:paraId="4C2854ED" w14:textId="77777777" w:rsidTr="00FD119B">
        <w:tc>
          <w:tcPr>
            <w:tcW w:w="1809" w:type="dxa"/>
          </w:tcPr>
          <w:p w14:paraId="231E6E53" w14:textId="77777777" w:rsidR="000009D9" w:rsidRPr="00C96CA0" w:rsidRDefault="000009D9" w:rsidP="000009D9">
            <w:r w:rsidRPr="00F15301">
              <w:t>LAMA</w:t>
            </w:r>
          </w:p>
        </w:tc>
        <w:tc>
          <w:tcPr>
            <w:tcW w:w="6911" w:type="dxa"/>
          </w:tcPr>
          <w:p w14:paraId="617B2431" w14:textId="77777777" w:rsidR="000009D9" w:rsidRPr="00C96CA0" w:rsidRDefault="000009D9" w:rsidP="000009D9">
            <w:r w:rsidRPr="00F15301">
              <w:t>long</w:t>
            </w:r>
            <w:r>
              <w:t xml:space="preserve"> </w:t>
            </w:r>
            <w:r w:rsidRPr="00F15301">
              <w:t xml:space="preserve">acting </w:t>
            </w:r>
            <w:r>
              <w:t>muscarinic antagonist</w:t>
            </w:r>
          </w:p>
        </w:tc>
      </w:tr>
      <w:tr w:rsidR="0084652C" w:rsidRPr="00FD119B" w14:paraId="005AA12C" w14:textId="77777777" w:rsidTr="00FD119B">
        <w:tc>
          <w:tcPr>
            <w:tcW w:w="1809" w:type="dxa"/>
          </w:tcPr>
          <w:p w14:paraId="424EDBDE" w14:textId="77777777" w:rsidR="0084652C" w:rsidRPr="00F15301" w:rsidRDefault="0084652C" w:rsidP="000009D9">
            <w:r>
              <w:t>MAA</w:t>
            </w:r>
          </w:p>
        </w:tc>
        <w:tc>
          <w:tcPr>
            <w:tcW w:w="6911" w:type="dxa"/>
          </w:tcPr>
          <w:p w14:paraId="6655B055" w14:textId="77777777" w:rsidR="0084652C" w:rsidRPr="00F15301" w:rsidRDefault="0084652C" w:rsidP="000009D9">
            <w:r>
              <w:t>Marketing Authorisation Application</w:t>
            </w:r>
          </w:p>
        </w:tc>
      </w:tr>
      <w:tr w:rsidR="002E7937" w:rsidRPr="00FD119B" w14:paraId="47144328" w14:textId="77777777" w:rsidTr="00FD119B">
        <w:tc>
          <w:tcPr>
            <w:tcW w:w="1809" w:type="dxa"/>
          </w:tcPr>
          <w:p w14:paraId="2FE5C4DD" w14:textId="77777777" w:rsidR="002E7937" w:rsidRPr="00AA4E90" w:rsidRDefault="002E7937" w:rsidP="00236FC3">
            <w:r>
              <w:t>MD</w:t>
            </w:r>
          </w:p>
        </w:tc>
        <w:tc>
          <w:tcPr>
            <w:tcW w:w="6911" w:type="dxa"/>
          </w:tcPr>
          <w:p w14:paraId="1CBE2EC0" w14:textId="77777777" w:rsidR="002E7937" w:rsidRPr="00AA4E90" w:rsidRDefault="002E7937" w:rsidP="00236FC3">
            <w:r>
              <w:t>Mean difference in FEV1</w:t>
            </w:r>
          </w:p>
        </w:tc>
      </w:tr>
      <w:tr w:rsidR="008635E7" w:rsidRPr="00FD119B" w14:paraId="1090CDBF" w14:textId="77777777" w:rsidTr="00FD119B">
        <w:tc>
          <w:tcPr>
            <w:tcW w:w="1809" w:type="dxa"/>
          </w:tcPr>
          <w:p w14:paraId="6F613357" w14:textId="77777777" w:rsidR="008635E7" w:rsidRDefault="008635E7" w:rsidP="00236FC3">
            <w:proofErr w:type="spellStart"/>
            <w:r>
              <w:t>mMRC</w:t>
            </w:r>
            <w:proofErr w:type="spellEnd"/>
          </w:p>
        </w:tc>
        <w:tc>
          <w:tcPr>
            <w:tcW w:w="6911" w:type="dxa"/>
          </w:tcPr>
          <w:p w14:paraId="7EFB7A53" w14:textId="77777777" w:rsidR="008635E7" w:rsidRPr="008635E7" w:rsidRDefault="008635E7" w:rsidP="008635E7">
            <w:r w:rsidRPr="008635E7">
              <w:t>Modified Medical Research Council Dyspnoea Scale</w:t>
            </w:r>
          </w:p>
        </w:tc>
      </w:tr>
      <w:tr w:rsidR="00E03771" w:rsidRPr="00FD119B" w14:paraId="196F2817" w14:textId="77777777" w:rsidTr="00FD119B">
        <w:tc>
          <w:tcPr>
            <w:tcW w:w="1809" w:type="dxa"/>
          </w:tcPr>
          <w:p w14:paraId="1E31DB26" w14:textId="77777777" w:rsidR="00E03771" w:rsidRPr="00AA4E90" w:rsidRDefault="00E03771" w:rsidP="00236FC3">
            <w:r>
              <w:t>NNT</w:t>
            </w:r>
          </w:p>
        </w:tc>
        <w:tc>
          <w:tcPr>
            <w:tcW w:w="6911" w:type="dxa"/>
          </w:tcPr>
          <w:p w14:paraId="79B11492" w14:textId="77777777" w:rsidR="00E03771" w:rsidRPr="00AA4E90" w:rsidRDefault="00195E33" w:rsidP="00236FC3">
            <w:r>
              <w:t>Number needed to treat</w:t>
            </w:r>
          </w:p>
        </w:tc>
      </w:tr>
      <w:tr w:rsidR="00FE4E85" w:rsidRPr="00FD119B" w14:paraId="3025B768" w14:textId="77777777" w:rsidTr="00FD119B">
        <w:tc>
          <w:tcPr>
            <w:tcW w:w="1809" w:type="dxa"/>
          </w:tcPr>
          <w:p w14:paraId="5861C85B" w14:textId="77777777" w:rsidR="00FE4E85" w:rsidRPr="00C96CA0" w:rsidRDefault="00FE4E85" w:rsidP="000009D9">
            <w:r w:rsidRPr="003B2552">
              <w:t>OD</w:t>
            </w:r>
          </w:p>
        </w:tc>
        <w:tc>
          <w:tcPr>
            <w:tcW w:w="6911" w:type="dxa"/>
          </w:tcPr>
          <w:p w14:paraId="3A502845" w14:textId="77777777" w:rsidR="00FE4E85" w:rsidRPr="00C96CA0" w:rsidRDefault="002E7937" w:rsidP="00FE4E85">
            <w:r>
              <w:t>O</w:t>
            </w:r>
            <w:r w:rsidR="00FE4E85">
              <w:t>nce daily</w:t>
            </w:r>
          </w:p>
        </w:tc>
      </w:tr>
      <w:tr w:rsidR="002E7937" w:rsidRPr="00FD119B" w14:paraId="44A0D413" w14:textId="77777777" w:rsidTr="00FD119B">
        <w:tc>
          <w:tcPr>
            <w:tcW w:w="1809" w:type="dxa"/>
          </w:tcPr>
          <w:p w14:paraId="31F9F08A" w14:textId="77777777" w:rsidR="002E7937" w:rsidRPr="003B2552" w:rsidRDefault="002E7937" w:rsidP="000009D9">
            <w:r>
              <w:t>OR</w:t>
            </w:r>
          </w:p>
        </w:tc>
        <w:tc>
          <w:tcPr>
            <w:tcW w:w="6911" w:type="dxa"/>
          </w:tcPr>
          <w:p w14:paraId="5C8DBD37" w14:textId="77777777" w:rsidR="002E7937" w:rsidRDefault="002E7937" w:rsidP="00FE4E85">
            <w:r>
              <w:t>Odds ratio</w:t>
            </w:r>
          </w:p>
        </w:tc>
      </w:tr>
      <w:tr w:rsidR="00B57093" w:rsidRPr="00FD119B" w14:paraId="58A793D0" w14:textId="77777777" w:rsidTr="00FD119B">
        <w:tc>
          <w:tcPr>
            <w:tcW w:w="1809" w:type="dxa"/>
          </w:tcPr>
          <w:p w14:paraId="68F4C8B9" w14:textId="77777777" w:rsidR="00B57093" w:rsidRDefault="00B57093" w:rsidP="000009D9">
            <w:r>
              <w:t>PBAC</w:t>
            </w:r>
          </w:p>
        </w:tc>
        <w:tc>
          <w:tcPr>
            <w:tcW w:w="6911" w:type="dxa"/>
          </w:tcPr>
          <w:p w14:paraId="11C549A9" w14:textId="77777777" w:rsidR="00B57093" w:rsidRDefault="00B57093" w:rsidP="00FE4E85">
            <w:r>
              <w:t>Pharmaceutical Benefits Advisory Committee</w:t>
            </w:r>
          </w:p>
        </w:tc>
      </w:tr>
      <w:tr w:rsidR="00B57093" w:rsidRPr="00FD119B" w14:paraId="111F6474" w14:textId="77777777" w:rsidTr="00FD119B">
        <w:tc>
          <w:tcPr>
            <w:tcW w:w="1809" w:type="dxa"/>
          </w:tcPr>
          <w:p w14:paraId="2FDE6DFA" w14:textId="77777777" w:rsidR="00B57093" w:rsidRDefault="00B57093" w:rsidP="000009D9">
            <w:r>
              <w:t>QUM</w:t>
            </w:r>
          </w:p>
        </w:tc>
        <w:tc>
          <w:tcPr>
            <w:tcW w:w="6911" w:type="dxa"/>
          </w:tcPr>
          <w:p w14:paraId="032DDA61" w14:textId="77777777" w:rsidR="00B57093" w:rsidRDefault="00B57093" w:rsidP="00B57093">
            <w:r>
              <w:t>Quality use of medicines</w:t>
            </w:r>
          </w:p>
        </w:tc>
      </w:tr>
      <w:tr w:rsidR="005629DE" w:rsidRPr="00FD119B" w14:paraId="4EB9E9C4" w14:textId="77777777" w:rsidTr="00FD119B">
        <w:tc>
          <w:tcPr>
            <w:tcW w:w="1809" w:type="dxa"/>
          </w:tcPr>
          <w:p w14:paraId="7C5D65DE" w14:textId="77777777" w:rsidR="005629DE" w:rsidRPr="00C96CA0" w:rsidRDefault="005629DE" w:rsidP="000009D9">
            <w:r w:rsidRPr="00AC620B">
              <w:lastRenderedPageBreak/>
              <w:t>QVA149</w:t>
            </w:r>
          </w:p>
        </w:tc>
        <w:tc>
          <w:tcPr>
            <w:tcW w:w="6911" w:type="dxa"/>
          </w:tcPr>
          <w:p w14:paraId="261A018B" w14:textId="73872679" w:rsidR="005629DE" w:rsidRPr="00C96CA0" w:rsidRDefault="002959FB" w:rsidP="000009D9">
            <w:r>
              <w:t>I</w:t>
            </w:r>
            <w:r w:rsidR="005629DE" w:rsidRPr="003B44F6">
              <w:t>ndacaterol maleate /glycopyrronium bromide</w:t>
            </w:r>
          </w:p>
        </w:tc>
      </w:tr>
      <w:tr w:rsidR="008051BC" w:rsidRPr="00FD119B" w14:paraId="53004971" w14:textId="77777777" w:rsidTr="00FD119B">
        <w:tc>
          <w:tcPr>
            <w:tcW w:w="1809" w:type="dxa"/>
          </w:tcPr>
          <w:p w14:paraId="4D49EDDA" w14:textId="77777777" w:rsidR="008051BC" w:rsidRPr="00AC620B" w:rsidRDefault="008051BC" w:rsidP="000009D9">
            <w:r w:rsidRPr="003342AD">
              <w:t>RACGP</w:t>
            </w:r>
          </w:p>
        </w:tc>
        <w:tc>
          <w:tcPr>
            <w:tcW w:w="6911" w:type="dxa"/>
          </w:tcPr>
          <w:p w14:paraId="2836A262" w14:textId="77777777" w:rsidR="008051BC" w:rsidRPr="003B44F6" w:rsidRDefault="008051BC" w:rsidP="000009D9">
            <w:r>
              <w:t>Royal Australian College of General Practitioners</w:t>
            </w:r>
          </w:p>
        </w:tc>
      </w:tr>
      <w:tr w:rsidR="002E7937" w:rsidRPr="00FD119B" w14:paraId="0C91BE73" w14:textId="77777777" w:rsidTr="00FD119B">
        <w:tc>
          <w:tcPr>
            <w:tcW w:w="1809" w:type="dxa"/>
          </w:tcPr>
          <w:p w14:paraId="4D0E4499" w14:textId="77777777" w:rsidR="002E7937" w:rsidRPr="003342AD" w:rsidRDefault="002E7937" w:rsidP="000009D9">
            <w:r>
              <w:t>RR</w:t>
            </w:r>
          </w:p>
        </w:tc>
        <w:tc>
          <w:tcPr>
            <w:tcW w:w="6911" w:type="dxa"/>
          </w:tcPr>
          <w:p w14:paraId="376A858A" w14:textId="77777777" w:rsidR="002E7937" w:rsidRDefault="002E7937" w:rsidP="000009D9">
            <w:r>
              <w:t>Relative risk</w:t>
            </w:r>
          </w:p>
        </w:tc>
      </w:tr>
      <w:tr w:rsidR="000009D9" w:rsidRPr="00FD119B" w14:paraId="783D18AE" w14:textId="77777777" w:rsidTr="00FD119B">
        <w:tc>
          <w:tcPr>
            <w:tcW w:w="1809" w:type="dxa"/>
          </w:tcPr>
          <w:p w14:paraId="4E4407E9" w14:textId="77777777" w:rsidR="000009D9" w:rsidRPr="00AA4E90" w:rsidRDefault="000009D9" w:rsidP="00236FC3">
            <w:r w:rsidRPr="00AA4E90">
              <w:t>SAEs</w:t>
            </w:r>
          </w:p>
        </w:tc>
        <w:tc>
          <w:tcPr>
            <w:tcW w:w="6911" w:type="dxa"/>
          </w:tcPr>
          <w:p w14:paraId="22F05016" w14:textId="77777777" w:rsidR="000009D9" w:rsidRPr="00AA4E90" w:rsidRDefault="000009D9" w:rsidP="00236FC3">
            <w:r w:rsidRPr="00AA4E90">
              <w:t>Serious adverse event</w:t>
            </w:r>
          </w:p>
        </w:tc>
      </w:tr>
      <w:tr w:rsidR="000009D9" w:rsidRPr="00FD119B" w14:paraId="5909B1C1" w14:textId="77777777" w:rsidTr="00FD119B">
        <w:tc>
          <w:tcPr>
            <w:tcW w:w="1809" w:type="dxa"/>
          </w:tcPr>
          <w:p w14:paraId="5AE8D05B" w14:textId="77777777" w:rsidR="000009D9" w:rsidRPr="0058359C" w:rsidRDefault="000009D9" w:rsidP="000009D9">
            <w:pPr>
              <w:rPr>
                <w:color w:val="auto"/>
                <w:szCs w:val="22"/>
                <w:lang w:eastAsia="en-US"/>
              </w:rPr>
            </w:pPr>
            <w:r>
              <w:t>SABA</w:t>
            </w:r>
          </w:p>
        </w:tc>
        <w:tc>
          <w:tcPr>
            <w:tcW w:w="6911" w:type="dxa"/>
          </w:tcPr>
          <w:p w14:paraId="308E2AB8" w14:textId="77777777" w:rsidR="000009D9" w:rsidRPr="0058359C" w:rsidRDefault="000009D9" w:rsidP="000009D9">
            <w:pPr>
              <w:rPr>
                <w:color w:val="auto"/>
                <w:szCs w:val="22"/>
                <w:lang w:eastAsia="en-US"/>
              </w:rPr>
            </w:pPr>
            <w:r w:rsidRPr="0058359C">
              <w:t>Short</w:t>
            </w:r>
            <w:r>
              <w:t xml:space="preserve"> </w:t>
            </w:r>
            <w:r w:rsidRPr="0058359C">
              <w:t>acting β2</w:t>
            </w:r>
            <w:r>
              <w:t xml:space="preserve"> </w:t>
            </w:r>
            <w:r w:rsidRPr="0058359C">
              <w:t>adrenergic agonist</w:t>
            </w:r>
          </w:p>
        </w:tc>
      </w:tr>
      <w:tr w:rsidR="000009D9" w:rsidRPr="00FD119B" w14:paraId="594C3555" w14:textId="77777777" w:rsidTr="00FD119B">
        <w:tc>
          <w:tcPr>
            <w:tcW w:w="1809" w:type="dxa"/>
          </w:tcPr>
          <w:p w14:paraId="63F51BF1" w14:textId="77777777" w:rsidR="000009D9" w:rsidRDefault="000009D9" w:rsidP="000009D9">
            <w:r>
              <w:t>SAMA</w:t>
            </w:r>
          </w:p>
        </w:tc>
        <w:tc>
          <w:tcPr>
            <w:tcW w:w="6911" w:type="dxa"/>
          </w:tcPr>
          <w:p w14:paraId="4D3DDCCB" w14:textId="77777777" w:rsidR="000009D9" w:rsidRPr="0058359C" w:rsidRDefault="000009D9" w:rsidP="000009D9">
            <w:r w:rsidRPr="0058359C">
              <w:t>Short</w:t>
            </w:r>
            <w:r>
              <w:t xml:space="preserve"> </w:t>
            </w:r>
            <w:r w:rsidRPr="0058359C">
              <w:t>acting</w:t>
            </w:r>
            <w:r>
              <w:t xml:space="preserve"> muscarinic antagonist</w:t>
            </w:r>
          </w:p>
        </w:tc>
      </w:tr>
      <w:tr w:rsidR="000009D9" w:rsidRPr="00FD119B" w14:paraId="26F10DAC" w14:textId="77777777" w:rsidTr="00FD119B">
        <w:tc>
          <w:tcPr>
            <w:tcW w:w="1809" w:type="dxa"/>
          </w:tcPr>
          <w:p w14:paraId="5BA6D2B2" w14:textId="77777777" w:rsidR="000009D9" w:rsidRPr="00AA4E90" w:rsidRDefault="000009D9" w:rsidP="00236FC3">
            <w:r w:rsidRPr="00AA4E90">
              <w:t>SGRG-C</w:t>
            </w:r>
          </w:p>
        </w:tc>
        <w:tc>
          <w:tcPr>
            <w:tcW w:w="6911" w:type="dxa"/>
          </w:tcPr>
          <w:p w14:paraId="29EDE82F" w14:textId="77777777" w:rsidR="000009D9" w:rsidRPr="00AA4E90" w:rsidRDefault="000009D9" w:rsidP="00236FC3">
            <w:r w:rsidRPr="00AA4E90">
              <w:t>St George’s respiratory questionnaire</w:t>
            </w:r>
          </w:p>
        </w:tc>
      </w:tr>
      <w:tr w:rsidR="002E7937" w:rsidRPr="00FD119B" w14:paraId="2189479E" w14:textId="77777777" w:rsidTr="00FD119B">
        <w:tc>
          <w:tcPr>
            <w:tcW w:w="1809" w:type="dxa"/>
          </w:tcPr>
          <w:p w14:paraId="08A6349D" w14:textId="77777777" w:rsidR="002E7937" w:rsidRPr="00AA4E90" w:rsidRDefault="002E7937" w:rsidP="00236FC3">
            <w:r>
              <w:t>TDI</w:t>
            </w:r>
          </w:p>
        </w:tc>
        <w:tc>
          <w:tcPr>
            <w:tcW w:w="6911" w:type="dxa"/>
          </w:tcPr>
          <w:p w14:paraId="6B3D1631" w14:textId="77777777" w:rsidR="002E7937" w:rsidRPr="002E7937" w:rsidRDefault="002E7937" w:rsidP="002E7937">
            <w:r>
              <w:t>Transitional Dyspnoea I</w:t>
            </w:r>
            <w:r w:rsidRPr="002E7937">
              <w:t>ndex</w:t>
            </w:r>
          </w:p>
        </w:tc>
      </w:tr>
    </w:tbl>
    <w:p w14:paraId="0A1A4587" w14:textId="77777777" w:rsidR="00FD119B" w:rsidRPr="00FD119B" w:rsidRDefault="00FD119B" w:rsidP="00FD119B">
      <w:pPr>
        <w:spacing w:before="0" w:after="200" w:line="0" w:lineRule="auto"/>
        <w:rPr>
          <w:b/>
          <w:i/>
          <w:sz w:val="24"/>
          <w:szCs w:val="24"/>
        </w:rPr>
      </w:pPr>
      <w:r w:rsidRPr="00FD119B">
        <w:rPr>
          <w:b/>
          <w:i/>
          <w:sz w:val="24"/>
          <w:szCs w:val="24"/>
        </w:rPr>
        <w:br w:type="page"/>
      </w:r>
    </w:p>
    <w:p w14:paraId="2CE9F495" w14:textId="77777777" w:rsidR="008E7846" w:rsidRDefault="00F53C07" w:rsidP="008E7846">
      <w:pPr>
        <w:pStyle w:val="Heading2"/>
      </w:pPr>
      <w:bookmarkStart w:id="9" w:name="_Toc525732529"/>
      <w:r>
        <w:lastRenderedPageBreak/>
        <w:t>I.</w:t>
      </w:r>
      <w:r w:rsidR="008E7846">
        <w:t xml:space="preserve"> Introduction to product submission</w:t>
      </w:r>
      <w:bookmarkEnd w:id="9"/>
      <w:bookmarkEnd w:id="1"/>
      <w:bookmarkEnd w:id="3"/>
    </w:p>
    <w:p w14:paraId="2658B5DF" w14:textId="77777777" w:rsidR="008E7846" w:rsidRDefault="008E7846" w:rsidP="008E7846">
      <w:pPr>
        <w:pStyle w:val="Heading3"/>
        <w:rPr>
          <w:lang w:eastAsia="en-AU"/>
        </w:rPr>
      </w:pPr>
      <w:bookmarkStart w:id="10" w:name="_Toc247691502"/>
      <w:bookmarkStart w:id="11" w:name="_Toc314842483"/>
      <w:bookmarkStart w:id="12" w:name="_Toc525732530"/>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54919968" w14:textId="77777777" w:rsidTr="00500337">
        <w:trPr>
          <w:trHeight w:hRule="exact" w:val="454"/>
        </w:trPr>
        <w:tc>
          <w:tcPr>
            <w:tcW w:w="2907" w:type="dxa"/>
          </w:tcPr>
          <w:p w14:paraId="3445F944"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7B786397" w14:textId="77777777" w:rsidR="008E7846" w:rsidRPr="003D1E62" w:rsidRDefault="00236FC3" w:rsidP="00236FC3">
            <w:r>
              <w:t>M</w:t>
            </w:r>
            <w:r w:rsidR="008E7846" w:rsidRPr="003D1E62">
              <w:t xml:space="preserve">ajor </w:t>
            </w:r>
            <w:r w:rsidR="001B5C90">
              <w:t>v</w:t>
            </w:r>
            <w:r w:rsidR="008E7846" w:rsidRPr="003D1E62">
              <w:t xml:space="preserve">ariation </w:t>
            </w:r>
            <w:r>
              <w:t>extension of indications</w:t>
            </w:r>
          </w:p>
        </w:tc>
      </w:tr>
      <w:tr w:rsidR="008E7846" w:rsidRPr="003D1E62" w14:paraId="6DD1F96E" w14:textId="77777777" w:rsidTr="00500337">
        <w:trPr>
          <w:trHeight w:hRule="exact" w:val="454"/>
        </w:trPr>
        <w:tc>
          <w:tcPr>
            <w:tcW w:w="2907" w:type="dxa"/>
          </w:tcPr>
          <w:p w14:paraId="70B706DE" w14:textId="77777777" w:rsidR="008E7846" w:rsidRPr="003D1E62" w:rsidRDefault="008E7846" w:rsidP="003D1E62">
            <w:r w:rsidRPr="003D1E62">
              <w:rPr>
                <w:i/>
              </w:rPr>
              <w:t>Decision</w:t>
            </w:r>
            <w:r w:rsidRPr="003D1E62">
              <w:t>:</w:t>
            </w:r>
          </w:p>
        </w:tc>
        <w:tc>
          <w:tcPr>
            <w:tcW w:w="6307" w:type="dxa"/>
          </w:tcPr>
          <w:p w14:paraId="388F558E" w14:textId="77777777" w:rsidR="008E7846" w:rsidRPr="003D1E62" w:rsidRDefault="00236FC3" w:rsidP="00236FC3">
            <w:r>
              <w:t>Approved</w:t>
            </w:r>
          </w:p>
        </w:tc>
      </w:tr>
      <w:tr w:rsidR="008E7846" w:rsidRPr="003D1E62" w14:paraId="1D439724" w14:textId="77777777" w:rsidTr="00500337">
        <w:trPr>
          <w:trHeight w:hRule="exact" w:val="454"/>
        </w:trPr>
        <w:tc>
          <w:tcPr>
            <w:tcW w:w="2907" w:type="dxa"/>
          </w:tcPr>
          <w:p w14:paraId="2B5AF0CA"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5AD44ABA" w14:textId="77777777" w:rsidR="008E7846" w:rsidRPr="003D1E62" w:rsidRDefault="007264BB" w:rsidP="001B5C90">
            <w:r>
              <w:t>4 September 2017</w:t>
            </w:r>
          </w:p>
        </w:tc>
      </w:tr>
      <w:tr w:rsidR="00ED2922" w:rsidRPr="003D1E62" w14:paraId="01767119" w14:textId="77777777" w:rsidTr="00500337">
        <w:trPr>
          <w:trHeight w:hRule="exact" w:val="454"/>
        </w:trPr>
        <w:tc>
          <w:tcPr>
            <w:tcW w:w="2907" w:type="dxa"/>
          </w:tcPr>
          <w:p w14:paraId="450A0430" w14:textId="77777777" w:rsidR="00ED2922" w:rsidRPr="00441C3F" w:rsidRDefault="00ED2922" w:rsidP="001B5C90">
            <w:pPr>
              <w:rPr>
                <w:i/>
              </w:rPr>
            </w:pPr>
            <w:r w:rsidRPr="00441C3F">
              <w:rPr>
                <w:i/>
              </w:rPr>
              <w:t>Date of entry onto ARTG</w:t>
            </w:r>
            <w:r w:rsidR="00500337">
              <w:rPr>
                <w:i/>
              </w:rPr>
              <w:t>:</w:t>
            </w:r>
          </w:p>
        </w:tc>
        <w:tc>
          <w:tcPr>
            <w:tcW w:w="6307" w:type="dxa"/>
          </w:tcPr>
          <w:p w14:paraId="2C4F838D" w14:textId="77777777" w:rsidR="00ED2922" w:rsidRPr="00441C3F" w:rsidRDefault="00441C3F" w:rsidP="00EC463D">
            <w:pPr>
              <w:rPr>
                <w:i/>
              </w:rPr>
            </w:pPr>
            <w:r w:rsidRPr="00441C3F">
              <w:t>D</w:t>
            </w:r>
            <w:r w:rsidR="00EC463D" w:rsidRPr="00441C3F">
              <w:t>ate of entry onto ARTG</w:t>
            </w:r>
          </w:p>
        </w:tc>
      </w:tr>
      <w:tr w:rsidR="00500337" w:rsidRPr="003D1E62" w14:paraId="77A0C828" w14:textId="77777777" w:rsidTr="00500337">
        <w:trPr>
          <w:trHeight w:hRule="exact" w:val="454"/>
        </w:trPr>
        <w:tc>
          <w:tcPr>
            <w:tcW w:w="2907" w:type="dxa"/>
          </w:tcPr>
          <w:p w14:paraId="37DD7A63" w14:textId="77777777" w:rsidR="00500337" w:rsidRPr="00441C3F" w:rsidRDefault="00236FC3" w:rsidP="001B5C90">
            <w:pPr>
              <w:rPr>
                <w:i/>
              </w:rPr>
            </w:pPr>
            <w:r>
              <w:rPr>
                <w:i/>
              </w:rPr>
              <w:t>ARTG number</w:t>
            </w:r>
            <w:r w:rsidR="00500337">
              <w:rPr>
                <w:i/>
              </w:rPr>
              <w:t>:</w:t>
            </w:r>
          </w:p>
        </w:tc>
        <w:tc>
          <w:tcPr>
            <w:tcW w:w="6307" w:type="dxa"/>
          </w:tcPr>
          <w:p w14:paraId="46AD0B8C" w14:textId="77777777" w:rsidR="00500337" w:rsidRPr="00441C3F" w:rsidRDefault="007264BB" w:rsidP="00EC463D">
            <w:r>
              <w:t>206449</w:t>
            </w:r>
          </w:p>
        </w:tc>
      </w:tr>
      <w:tr w:rsidR="008E7846" w:rsidRPr="00487162" w14:paraId="1AEF79E2" w14:textId="77777777" w:rsidTr="00BF1190">
        <w:tc>
          <w:tcPr>
            <w:tcW w:w="2907" w:type="dxa"/>
          </w:tcPr>
          <w:p w14:paraId="1A973842" w14:textId="77777777" w:rsidR="008E7846" w:rsidRPr="00487162" w:rsidRDefault="007264BB" w:rsidP="00E45619">
            <w:pPr>
              <w:rPr>
                <w:i/>
              </w:rPr>
            </w:pPr>
            <w:r>
              <w:rPr>
                <w:i/>
              </w:rPr>
              <w:t>Active ingredients</w:t>
            </w:r>
            <w:r w:rsidR="001B5C90">
              <w:rPr>
                <w:i/>
              </w:rPr>
              <w:t>:</w:t>
            </w:r>
          </w:p>
        </w:tc>
        <w:tc>
          <w:tcPr>
            <w:tcW w:w="6307" w:type="dxa"/>
          </w:tcPr>
          <w:p w14:paraId="3655F6F2" w14:textId="77777777" w:rsidR="008E7846" w:rsidRPr="007264BB" w:rsidRDefault="007264BB" w:rsidP="007264BB">
            <w:r w:rsidRPr="007264BB">
              <w:t>Indacaterol maleate/ glycopyrronium</w:t>
            </w:r>
            <w:r>
              <w:t xml:space="preserve"> </w:t>
            </w:r>
            <w:r w:rsidR="005629DE">
              <w:t>bromide</w:t>
            </w:r>
          </w:p>
        </w:tc>
      </w:tr>
      <w:tr w:rsidR="008E7846" w:rsidRPr="00487162" w14:paraId="2F28994D" w14:textId="77777777" w:rsidTr="00BF1190">
        <w:tc>
          <w:tcPr>
            <w:tcW w:w="2907" w:type="dxa"/>
          </w:tcPr>
          <w:p w14:paraId="70239004" w14:textId="77777777" w:rsidR="008E7846" w:rsidRPr="00487162" w:rsidRDefault="008E7846" w:rsidP="001B5C90">
            <w:pPr>
              <w:rPr>
                <w:i/>
              </w:rPr>
            </w:pPr>
            <w:r w:rsidRPr="00487162">
              <w:rPr>
                <w:i/>
              </w:rPr>
              <w:t>Product</w:t>
            </w:r>
            <w:r w:rsidR="00B227B5">
              <w:rPr>
                <w:i/>
              </w:rPr>
              <w:t xml:space="preserve"> name</w:t>
            </w:r>
            <w:r w:rsidR="001B5C90">
              <w:rPr>
                <w:i/>
              </w:rPr>
              <w:t>:</w:t>
            </w:r>
          </w:p>
        </w:tc>
        <w:tc>
          <w:tcPr>
            <w:tcW w:w="6307" w:type="dxa"/>
          </w:tcPr>
          <w:p w14:paraId="1F58DD25" w14:textId="77777777" w:rsidR="008E7846" w:rsidRPr="00487162" w:rsidRDefault="00B227B5" w:rsidP="00E45619">
            <w:r>
              <w:t>Ultibro Breezhaler</w:t>
            </w:r>
            <w:r w:rsidR="00F43626">
              <w:rPr>
                <w:rStyle w:val="FootnoteReference"/>
              </w:rPr>
              <w:footnoteReference w:id="1"/>
            </w:r>
          </w:p>
        </w:tc>
      </w:tr>
      <w:tr w:rsidR="008E7846" w:rsidRPr="00487162" w14:paraId="7318FFEE" w14:textId="77777777" w:rsidTr="00BF1190">
        <w:tc>
          <w:tcPr>
            <w:tcW w:w="2907" w:type="dxa"/>
          </w:tcPr>
          <w:p w14:paraId="438DF60A"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3824BA05" w14:textId="77777777" w:rsidR="008E7846" w:rsidRPr="0064122F" w:rsidRDefault="00B227B5" w:rsidP="00E45619">
            <w:pPr>
              <w:rPr>
                <w:lang w:val="it-IT"/>
              </w:rPr>
            </w:pPr>
            <w:r w:rsidRPr="0064122F">
              <w:rPr>
                <w:lang w:val="it-IT"/>
              </w:rPr>
              <w:t>Novartis Pharmaceuticals Australia Pty Ltd</w:t>
            </w:r>
          </w:p>
          <w:p w14:paraId="74012A3B" w14:textId="77777777" w:rsidR="00B227B5" w:rsidRPr="0064122F" w:rsidRDefault="00B227B5" w:rsidP="00E45619">
            <w:pPr>
              <w:rPr>
                <w:lang w:val="it-IT"/>
              </w:rPr>
            </w:pPr>
            <w:r w:rsidRPr="0064122F">
              <w:rPr>
                <w:lang w:val="it-IT"/>
              </w:rPr>
              <w:t>PO Box 101</w:t>
            </w:r>
          </w:p>
          <w:p w14:paraId="6BBE0028" w14:textId="77777777" w:rsidR="00B227B5" w:rsidRPr="00487162" w:rsidRDefault="00B227B5" w:rsidP="00E45619">
            <w:r>
              <w:t>North Ryde NSW 1670</w:t>
            </w:r>
          </w:p>
        </w:tc>
      </w:tr>
      <w:tr w:rsidR="008E7846" w:rsidRPr="00487162" w14:paraId="04AF6248" w14:textId="77777777" w:rsidTr="00BF1190">
        <w:tc>
          <w:tcPr>
            <w:tcW w:w="2907" w:type="dxa"/>
          </w:tcPr>
          <w:p w14:paraId="211F41FA" w14:textId="77777777" w:rsidR="008E7846" w:rsidRPr="00487162" w:rsidRDefault="00B227B5" w:rsidP="00E45619">
            <w:pPr>
              <w:rPr>
                <w:i/>
              </w:rPr>
            </w:pPr>
            <w:r>
              <w:rPr>
                <w:i/>
              </w:rPr>
              <w:t>Dose form</w:t>
            </w:r>
            <w:r w:rsidR="001B5C90">
              <w:rPr>
                <w:i/>
              </w:rPr>
              <w:t>:</w:t>
            </w:r>
          </w:p>
        </w:tc>
        <w:tc>
          <w:tcPr>
            <w:tcW w:w="6307" w:type="dxa"/>
          </w:tcPr>
          <w:p w14:paraId="4732D8AE" w14:textId="77777777" w:rsidR="008E7846" w:rsidRPr="00487162" w:rsidRDefault="00B227B5" w:rsidP="00E45619">
            <w:r>
              <w:t>Powder for inhalation</w:t>
            </w:r>
          </w:p>
        </w:tc>
      </w:tr>
      <w:tr w:rsidR="008E7846" w:rsidRPr="00487162" w14:paraId="603BC55A" w14:textId="77777777" w:rsidTr="00BF1190">
        <w:tc>
          <w:tcPr>
            <w:tcW w:w="2907" w:type="dxa"/>
          </w:tcPr>
          <w:p w14:paraId="575A1A2E" w14:textId="77777777" w:rsidR="008E7846" w:rsidRPr="00487162" w:rsidRDefault="00B227B5" w:rsidP="00E45619">
            <w:pPr>
              <w:rPr>
                <w:i/>
              </w:rPr>
            </w:pPr>
            <w:r>
              <w:rPr>
                <w:i/>
              </w:rPr>
              <w:t>Strength</w:t>
            </w:r>
            <w:r w:rsidR="005629DE">
              <w:rPr>
                <w:i/>
              </w:rPr>
              <w:t>:</w:t>
            </w:r>
          </w:p>
        </w:tc>
        <w:tc>
          <w:tcPr>
            <w:tcW w:w="6307" w:type="dxa"/>
          </w:tcPr>
          <w:p w14:paraId="36AB2F21" w14:textId="77777777" w:rsidR="008E7846" w:rsidRPr="00487162" w:rsidRDefault="00B227B5" w:rsidP="00E45619">
            <w:r>
              <w:t>110 μg indacaterol (equivalent) /50 μg glycopyrronium (equivalent)</w:t>
            </w:r>
          </w:p>
        </w:tc>
      </w:tr>
      <w:tr w:rsidR="008E7846" w:rsidRPr="00487162" w14:paraId="34CFB0E0" w14:textId="77777777" w:rsidTr="00BF1190">
        <w:tc>
          <w:tcPr>
            <w:tcW w:w="2907" w:type="dxa"/>
          </w:tcPr>
          <w:p w14:paraId="700EE8A8" w14:textId="77777777" w:rsidR="008E7846" w:rsidRPr="00487162" w:rsidRDefault="008E7846" w:rsidP="00E45619">
            <w:pPr>
              <w:rPr>
                <w:i/>
              </w:rPr>
            </w:pPr>
            <w:r w:rsidRPr="00487162">
              <w:rPr>
                <w:i/>
              </w:rPr>
              <w:t>C</w:t>
            </w:r>
            <w:r w:rsidR="00B227B5">
              <w:rPr>
                <w:i/>
              </w:rPr>
              <w:t>ontainer</w:t>
            </w:r>
            <w:r w:rsidRPr="00487162">
              <w:rPr>
                <w:i/>
              </w:rPr>
              <w:t>:</w:t>
            </w:r>
          </w:p>
        </w:tc>
        <w:tc>
          <w:tcPr>
            <w:tcW w:w="6307" w:type="dxa"/>
          </w:tcPr>
          <w:p w14:paraId="07006281" w14:textId="77777777" w:rsidR="008E7846" w:rsidRPr="00487162" w:rsidRDefault="00B227B5" w:rsidP="00E45619">
            <w:r>
              <w:t>Capsule blister pack</w:t>
            </w:r>
          </w:p>
        </w:tc>
      </w:tr>
      <w:tr w:rsidR="008E7846" w:rsidRPr="0064122F" w14:paraId="769926A2" w14:textId="77777777" w:rsidTr="00BF1190">
        <w:tc>
          <w:tcPr>
            <w:tcW w:w="2907" w:type="dxa"/>
          </w:tcPr>
          <w:p w14:paraId="1EC15C31" w14:textId="77777777" w:rsidR="008E7846" w:rsidRPr="00487162" w:rsidRDefault="00B227B5" w:rsidP="00E45619">
            <w:pPr>
              <w:rPr>
                <w:i/>
              </w:rPr>
            </w:pPr>
            <w:r>
              <w:rPr>
                <w:i/>
              </w:rPr>
              <w:t>Pack sizes</w:t>
            </w:r>
            <w:r w:rsidR="008E7846" w:rsidRPr="00487162">
              <w:rPr>
                <w:i/>
              </w:rPr>
              <w:t>:</w:t>
            </w:r>
          </w:p>
        </w:tc>
        <w:tc>
          <w:tcPr>
            <w:tcW w:w="6307" w:type="dxa"/>
          </w:tcPr>
          <w:p w14:paraId="7AFA7CF8" w14:textId="77777777" w:rsidR="008E7846" w:rsidRPr="000A6315" w:rsidRDefault="00B227B5" w:rsidP="00E45619">
            <w:r w:rsidRPr="000A6315">
              <w:t>6 capsules + 1 device (sample pack), 10 capsules + 1 device; 30 capsules + 1 device</w:t>
            </w:r>
          </w:p>
        </w:tc>
      </w:tr>
      <w:tr w:rsidR="008E7846" w:rsidRPr="00487162" w14:paraId="557CE46F" w14:textId="77777777" w:rsidTr="00BF1190">
        <w:tc>
          <w:tcPr>
            <w:tcW w:w="2907" w:type="dxa"/>
          </w:tcPr>
          <w:p w14:paraId="6C6C0E75"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8739738" w14:textId="77777777" w:rsidR="008E7846" w:rsidRPr="00F43626" w:rsidRDefault="00F43626" w:rsidP="00F43626">
            <w:pPr>
              <w:rPr>
                <w:i/>
              </w:rPr>
            </w:pPr>
            <w:r w:rsidRPr="00F43626">
              <w:rPr>
                <w:i/>
              </w:rPr>
              <w:t>Ultibro Breezhaler 110/50 is indicated as a once-daily maintenance bronchodilator treatment to relieve symptoms in patients with chronic obstructive pulmonary disease (COPD), and for the reduction of exacerbations of COPD in patients with a history of exacerbations.</w:t>
            </w:r>
          </w:p>
        </w:tc>
      </w:tr>
      <w:tr w:rsidR="008E7846" w:rsidRPr="00487162" w14:paraId="212BE2C6" w14:textId="77777777" w:rsidTr="00BF1190">
        <w:tc>
          <w:tcPr>
            <w:tcW w:w="2907" w:type="dxa"/>
          </w:tcPr>
          <w:p w14:paraId="33544CCB" w14:textId="77777777" w:rsidR="008E7846" w:rsidRPr="00487162" w:rsidRDefault="00B227B5" w:rsidP="00E45619">
            <w:pPr>
              <w:rPr>
                <w:i/>
              </w:rPr>
            </w:pPr>
            <w:r>
              <w:rPr>
                <w:i/>
              </w:rPr>
              <w:t>Route</w:t>
            </w:r>
            <w:r w:rsidR="008E7846" w:rsidRPr="00487162">
              <w:rPr>
                <w:i/>
              </w:rPr>
              <w:t xml:space="preserve"> of administration:</w:t>
            </w:r>
          </w:p>
        </w:tc>
        <w:tc>
          <w:tcPr>
            <w:tcW w:w="6307" w:type="dxa"/>
          </w:tcPr>
          <w:p w14:paraId="4412D2C0" w14:textId="77777777" w:rsidR="008E7846" w:rsidRPr="00487162" w:rsidRDefault="00B227B5" w:rsidP="00E45619">
            <w:r>
              <w:t>Inhalation</w:t>
            </w:r>
          </w:p>
        </w:tc>
      </w:tr>
      <w:tr w:rsidR="008E7846" w:rsidRPr="00487162" w14:paraId="39DB4119" w14:textId="77777777" w:rsidTr="00BF1190">
        <w:tc>
          <w:tcPr>
            <w:tcW w:w="2907" w:type="dxa"/>
          </w:tcPr>
          <w:p w14:paraId="2BA7834C" w14:textId="77777777" w:rsidR="008E7846" w:rsidRPr="00487162" w:rsidRDefault="008E7846" w:rsidP="00E45619">
            <w:pPr>
              <w:rPr>
                <w:i/>
              </w:rPr>
            </w:pPr>
            <w:r w:rsidRPr="00487162">
              <w:rPr>
                <w:i/>
              </w:rPr>
              <w:t>Dosage:</w:t>
            </w:r>
          </w:p>
        </w:tc>
        <w:tc>
          <w:tcPr>
            <w:tcW w:w="6307" w:type="dxa"/>
          </w:tcPr>
          <w:p w14:paraId="5464CB62" w14:textId="77777777" w:rsidR="008E7846" w:rsidRPr="00487162" w:rsidRDefault="000E3AEF" w:rsidP="00E45619">
            <w:r>
              <w:rPr>
                <w:rFonts w:asciiTheme="minorHAnsi" w:hAnsiTheme="minorHAnsi"/>
              </w:rPr>
              <w:t xml:space="preserve">110/50 </w:t>
            </w:r>
            <w:r>
              <w:t>µ</w:t>
            </w:r>
            <w:r>
              <w:rPr>
                <w:rFonts w:asciiTheme="minorHAnsi" w:hAnsiTheme="minorHAnsi"/>
              </w:rPr>
              <w:t>g is taken as an inhalation once daily</w:t>
            </w:r>
          </w:p>
        </w:tc>
      </w:tr>
    </w:tbl>
    <w:p w14:paraId="2B5D3566" w14:textId="77777777" w:rsidR="008E7846" w:rsidRDefault="008E7846" w:rsidP="008E7846">
      <w:pPr>
        <w:pStyle w:val="Heading3"/>
      </w:pPr>
      <w:bookmarkStart w:id="13" w:name="_Toc247691503"/>
      <w:bookmarkStart w:id="14" w:name="_Toc314842484"/>
      <w:bookmarkStart w:id="15" w:name="_Toc525732531"/>
      <w:r>
        <w:t>Product background</w:t>
      </w:r>
      <w:bookmarkEnd w:id="13"/>
      <w:bookmarkEnd w:id="14"/>
      <w:bookmarkEnd w:id="15"/>
    </w:p>
    <w:p w14:paraId="31D65150" w14:textId="61DAC5DE" w:rsidR="00374BCE" w:rsidRDefault="00940A89" w:rsidP="00940A89">
      <w:r w:rsidRPr="00940A89">
        <w:t>This AusPAR describes the application by</w:t>
      </w:r>
      <w:r w:rsidR="00F23367">
        <w:t xml:space="preserve"> Novartis Pharmaceuticals Australia Pty Ltd</w:t>
      </w:r>
      <w:r w:rsidRPr="00940A89">
        <w:t xml:space="preserve"> </w:t>
      </w:r>
      <w:r w:rsidR="00F23367">
        <w:t>(</w:t>
      </w:r>
      <w:r w:rsidRPr="00940A89">
        <w:t>the sponsor</w:t>
      </w:r>
      <w:r w:rsidR="00F23367">
        <w:t>)</w:t>
      </w:r>
      <w:r w:rsidRPr="00940A89">
        <w:t xml:space="preserve"> to register </w:t>
      </w:r>
      <w:r w:rsidR="00F23367">
        <w:t>Ultibro Breezhaler</w:t>
      </w:r>
      <w:r w:rsidRPr="00940A89">
        <w:t xml:space="preserve"> </w:t>
      </w:r>
      <w:r w:rsidR="00374BCE">
        <w:t>for the following indication (change is indicated in bold):</w:t>
      </w:r>
    </w:p>
    <w:p w14:paraId="05FA39F1" w14:textId="77777777" w:rsidR="008E7846" w:rsidRPr="00374BCE" w:rsidRDefault="0084652C" w:rsidP="00374BCE">
      <w:pPr>
        <w:ind w:left="720"/>
        <w:rPr>
          <w:i/>
        </w:rPr>
      </w:pPr>
      <w:r>
        <w:rPr>
          <w:i/>
        </w:rPr>
        <w:lastRenderedPageBreak/>
        <w:t>Ultibro Breezhaler</w:t>
      </w:r>
      <w:r w:rsidR="00374BCE" w:rsidRPr="00374BCE">
        <w:rPr>
          <w:i/>
        </w:rPr>
        <w:t xml:space="preserve">110/50 is indicated as a once-daily maintenance bronchodilator treatment to relieve symptoms </w:t>
      </w:r>
      <w:r w:rsidR="00374BCE" w:rsidRPr="00374BCE">
        <w:rPr>
          <w:b/>
          <w:i/>
        </w:rPr>
        <w:t>and prevent exacerbations</w:t>
      </w:r>
      <w:r w:rsidR="00374BCE" w:rsidRPr="00374BCE">
        <w:rPr>
          <w:i/>
        </w:rPr>
        <w:t xml:space="preserve"> in patients with chronic obstructive pulmonary disease (COPD).</w:t>
      </w:r>
    </w:p>
    <w:p w14:paraId="6B8D77CA" w14:textId="6EBDFCCD" w:rsidR="00374BCE" w:rsidRPr="00351D2E" w:rsidRDefault="00374BCE" w:rsidP="00374BCE">
      <w:r w:rsidRPr="00374BCE">
        <w:t xml:space="preserve">Chronic </w:t>
      </w:r>
      <w:r w:rsidR="002959FB">
        <w:t>o</w:t>
      </w:r>
      <w:r w:rsidRPr="00374BCE">
        <w:t xml:space="preserve">bstructive </w:t>
      </w:r>
      <w:r w:rsidR="002959FB">
        <w:t>p</w:t>
      </w:r>
      <w:r w:rsidRPr="00374BCE">
        <w:t xml:space="preserve">ulmonary </w:t>
      </w:r>
      <w:r w:rsidR="002959FB">
        <w:t>d</w:t>
      </w:r>
      <w:r w:rsidRPr="00374BCE">
        <w:t>isease (COPD) is the second leading cause of preventable</w:t>
      </w:r>
      <w:r>
        <w:t xml:space="preserve"> </w:t>
      </w:r>
      <w:r w:rsidRPr="00374BCE">
        <w:t>hospital admissions in Australia with significant healthcare</w:t>
      </w:r>
      <w:r>
        <w:t xml:space="preserve"> resource burden and costs. The </w:t>
      </w:r>
      <w:r w:rsidRPr="00374BCE">
        <w:t>prevention of exacerbations is therefore one of the pr</w:t>
      </w:r>
      <w:r>
        <w:t xml:space="preserve">imary goals in COPD management. </w:t>
      </w:r>
      <w:r w:rsidRPr="00374BCE">
        <w:t xml:space="preserve">A </w:t>
      </w:r>
      <w:r w:rsidR="000009D9" w:rsidRPr="00C96CA0">
        <w:t xml:space="preserve">Long acting β2 adrenoceptor </w:t>
      </w:r>
      <w:r w:rsidR="000009D9" w:rsidRPr="000009D9">
        <w:t>agonist/inhaled</w:t>
      </w:r>
      <w:r w:rsidR="000009D9" w:rsidRPr="00C96CA0">
        <w:t xml:space="preserve"> </w:t>
      </w:r>
      <w:r w:rsidR="000009D9" w:rsidRPr="000009D9">
        <w:t>corticosteroids (L</w:t>
      </w:r>
      <w:r w:rsidRPr="000009D9">
        <w:t>ABA/ICS</w:t>
      </w:r>
      <w:r w:rsidR="000009D9" w:rsidRPr="000009D9">
        <w:t>)</w:t>
      </w:r>
      <w:r w:rsidRPr="000009D9">
        <w:t xml:space="preserve"> fixed dose combination is current standard of care to reduce the frequency of</w:t>
      </w:r>
      <w:r w:rsidR="00351D2E" w:rsidRPr="000009D9">
        <w:t xml:space="preserve"> COPD</w:t>
      </w:r>
      <w:r w:rsidR="00351D2E" w:rsidRPr="00351D2E">
        <w:t xml:space="preserve"> exacerbation</w:t>
      </w:r>
      <w:r w:rsidR="00351D2E">
        <w:t>.</w:t>
      </w:r>
    </w:p>
    <w:p w14:paraId="2D3964CA" w14:textId="77777777" w:rsidR="003342AD" w:rsidRDefault="003342AD" w:rsidP="003342AD">
      <w:r w:rsidRPr="000009D9">
        <w:t xml:space="preserve">Other </w:t>
      </w:r>
      <w:r w:rsidR="008D4D5F">
        <w:t>long acting β2 adrenoceptor agonist</w:t>
      </w:r>
      <w:r w:rsidR="008D4D5F" w:rsidRPr="000009D9">
        <w:t xml:space="preserve"> </w:t>
      </w:r>
      <w:r w:rsidR="008D4D5F">
        <w:t>(</w:t>
      </w:r>
      <w:r w:rsidRPr="000009D9">
        <w:t>LABA</w:t>
      </w:r>
      <w:r w:rsidR="008D4D5F">
        <w:t>)</w:t>
      </w:r>
      <w:r w:rsidRPr="000009D9">
        <w:t xml:space="preserve"> and </w:t>
      </w:r>
      <w:r w:rsidR="000009D9" w:rsidRPr="000009D9">
        <w:t xml:space="preserve">long acting </w:t>
      </w:r>
      <w:r w:rsidR="00BF580B">
        <w:t>muscarinic antagonists</w:t>
      </w:r>
      <w:r w:rsidR="000009D9" w:rsidRPr="000009D9">
        <w:t xml:space="preserve"> (</w:t>
      </w:r>
      <w:r w:rsidR="00BF580B">
        <w:t>LAMAs</w:t>
      </w:r>
      <w:r w:rsidR="000009D9" w:rsidRPr="000009D9">
        <w:t>)</w:t>
      </w:r>
      <w:r w:rsidR="00BF580B">
        <w:t xml:space="preserve"> </w:t>
      </w:r>
      <w:r w:rsidRPr="000009D9">
        <w:t>available</w:t>
      </w:r>
      <w:r w:rsidRPr="003342AD">
        <w:t xml:space="preserve"> on </w:t>
      </w:r>
      <w:r w:rsidR="008D4D5F">
        <w:t>the Australian Register of Therapeutic Goods</w:t>
      </w:r>
      <w:r w:rsidR="008D4D5F" w:rsidRPr="003342AD">
        <w:t xml:space="preserve"> </w:t>
      </w:r>
      <w:r w:rsidR="008D4D5F">
        <w:t>(</w:t>
      </w:r>
      <w:r w:rsidRPr="003342AD">
        <w:t>ARTG</w:t>
      </w:r>
      <w:r w:rsidR="008D4D5F">
        <w:t>)</w:t>
      </w:r>
      <w:r w:rsidRPr="003342AD">
        <w:t xml:space="preserve"> and their indications are described</w:t>
      </w:r>
      <w:r w:rsidR="00351D2E">
        <w:t xml:space="preserve"> in Table </w:t>
      </w:r>
      <w:r w:rsidR="008E65BA">
        <w:t>1</w:t>
      </w:r>
      <w:r w:rsidRPr="003342AD">
        <w:t xml:space="preserve"> </w:t>
      </w:r>
      <w:r w:rsidR="00351D2E">
        <w:t>below</w:t>
      </w:r>
      <w:r w:rsidRPr="003342AD">
        <w:t>. The only other agent with an</w:t>
      </w:r>
      <w:r w:rsidR="00374BCE">
        <w:t xml:space="preserve"> indication for exacerbations is</w:t>
      </w:r>
      <w:r w:rsidRPr="003342AD">
        <w:t xml:space="preserve"> </w:t>
      </w:r>
      <w:r w:rsidR="008E65BA" w:rsidRPr="003342AD">
        <w:t>tiotropium</w:t>
      </w:r>
      <w:r w:rsidRPr="003342AD">
        <w:t>. Interesting, prevention of exacerbation is not statement as an indication for fluticasone/salmeterol despite the clinical trial data and place i</w:t>
      </w:r>
      <w:r w:rsidR="00374BCE">
        <w:t>n clinical practice guidelines.</w:t>
      </w:r>
    </w:p>
    <w:p w14:paraId="0DDC5C26" w14:textId="77777777" w:rsidR="008E65BA" w:rsidRDefault="008E65BA" w:rsidP="008E65BA">
      <w:pPr>
        <w:pStyle w:val="Tabletitle0"/>
      </w:pPr>
      <w:r>
        <w:t>Table 1: LABA and LAMA products on the ARTG</w:t>
      </w:r>
    </w:p>
    <w:tbl>
      <w:tblPr>
        <w:tblStyle w:val="TableTGAblue"/>
        <w:tblW w:w="8755" w:type="dxa"/>
        <w:tblLook w:val="04A0" w:firstRow="1" w:lastRow="0" w:firstColumn="1" w:lastColumn="0" w:noHBand="0" w:noVBand="1"/>
      </w:tblPr>
      <w:tblGrid>
        <w:gridCol w:w="3025"/>
        <w:gridCol w:w="5730"/>
      </w:tblGrid>
      <w:tr w:rsidR="00661CFC" w:rsidRPr="00EB1385" w14:paraId="01AA8544" w14:textId="77777777" w:rsidTr="00661CFC">
        <w:trPr>
          <w:cnfStyle w:val="100000000000" w:firstRow="1" w:lastRow="0" w:firstColumn="0" w:lastColumn="0" w:oddVBand="0" w:evenVBand="0" w:oddHBand="0" w:evenHBand="0" w:firstRowFirstColumn="0" w:firstRowLastColumn="0" w:lastRowFirstColumn="0" w:lastRowLastColumn="0"/>
        </w:trPr>
        <w:tc>
          <w:tcPr>
            <w:tcW w:w="3025" w:type="dxa"/>
          </w:tcPr>
          <w:p w14:paraId="59C7CB36" w14:textId="77777777" w:rsidR="00661CFC" w:rsidRPr="00EB1385" w:rsidRDefault="00661CFC" w:rsidP="00EB1385">
            <w:pPr>
              <w:ind w:left="0" w:right="0"/>
              <w:rPr>
                <w:sz w:val="20"/>
                <w:szCs w:val="20"/>
              </w:rPr>
            </w:pPr>
            <w:r w:rsidRPr="00EB1385">
              <w:rPr>
                <w:sz w:val="20"/>
                <w:szCs w:val="20"/>
              </w:rPr>
              <w:t>Product</w:t>
            </w:r>
          </w:p>
        </w:tc>
        <w:tc>
          <w:tcPr>
            <w:tcW w:w="5730" w:type="dxa"/>
          </w:tcPr>
          <w:p w14:paraId="60CBB34D" w14:textId="77777777" w:rsidR="00661CFC" w:rsidRPr="00EB1385" w:rsidRDefault="00661CFC" w:rsidP="00EB1385">
            <w:pPr>
              <w:ind w:left="0" w:right="0"/>
              <w:rPr>
                <w:sz w:val="20"/>
                <w:szCs w:val="20"/>
              </w:rPr>
            </w:pPr>
            <w:r w:rsidRPr="00EB1385">
              <w:rPr>
                <w:sz w:val="20"/>
                <w:szCs w:val="20"/>
              </w:rPr>
              <w:t>Indication</w:t>
            </w:r>
          </w:p>
        </w:tc>
      </w:tr>
      <w:tr w:rsidR="00661CFC" w:rsidRPr="00EB1385" w14:paraId="45C5FD98" w14:textId="77777777" w:rsidTr="000009D9">
        <w:tc>
          <w:tcPr>
            <w:tcW w:w="8755" w:type="dxa"/>
            <w:gridSpan w:val="2"/>
          </w:tcPr>
          <w:p w14:paraId="05C73196" w14:textId="77777777" w:rsidR="00661CFC" w:rsidRPr="00BF580B" w:rsidRDefault="00661CFC" w:rsidP="00EB1385">
            <w:pPr>
              <w:ind w:left="0" w:right="0"/>
              <w:rPr>
                <w:b/>
                <w:sz w:val="20"/>
                <w:szCs w:val="20"/>
              </w:rPr>
            </w:pPr>
            <w:r w:rsidRPr="00BF580B">
              <w:rPr>
                <w:b/>
                <w:sz w:val="20"/>
                <w:szCs w:val="20"/>
              </w:rPr>
              <w:t>SAMA</w:t>
            </w:r>
            <w:r w:rsidR="00BF580B">
              <w:rPr>
                <w:b/>
                <w:sz w:val="20"/>
                <w:szCs w:val="20"/>
              </w:rPr>
              <w:t xml:space="preserve"> (</w:t>
            </w:r>
            <w:r w:rsidR="00BF580B" w:rsidRPr="00BF580B">
              <w:rPr>
                <w:b/>
              </w:rPr>
              <w:t>Short acting muscarinic antagonist</w:t>
            </w:r>
            <w:r w:rsidR="00BF580B">
              <w:rPr>
                <w:b/>
              </w:rPr>
              <w:t>)</w:t>
            </w:r>
          </w:p>
        </w:tc>
      </w:tr>
      <w:tr w:rsidR="00661CFC" w:rsidRPr="00EB1385" w14:paraId="7D9AF4C8" w14:textId="77777777" w:rsidTr="00661CFC">
        <w:tc>
          <w:tcPr>
            <w:tcW w:w="3025" w:type="dxa"/>
          </w:tcPr>
          <w:p w14:paraId="579E803B" w14:textId="77777777" w:rsidR="00661CFC" w:rsidRPr="00EB1385" w:rsidRDefault="00661CFC" w:rsidP="00EB1385">
            <w:pPr>
              <w:ind w:left="0" w:right="0"/>
              <w:rPr>
                <w:sz w:val="20"/>
                <w:szCs w:val="20"/>
              </w:rPr>
            </w:pPr>
            <w:r w:rsidRPr="00EB1385">
              <w:rPr>
                <w:sz w:val="20"/>
                <w:szCs w:val="20"/>
              </w:rPr>
              <w:t>A</w:t>
            </w:r>
            <w:r w:rsidR="00EB1385" w:rsidRPr="00EB1385">
              <w:rPr>
                <w:sz w:val="20"/>
                <w:szCs w:val="20"/>
              </w:rPr>
              <w:t>trovent</w:t>
            </w:r>
            <w:r w:rsidRPr="00EB1385">
              <w:rPr>
                <w:sz w:val="20"/>
                <w:szCs w:val="20"/>
              </w:rPr>
              <w:t xml:space="preserve"> ipratropium bromide</w:t>
            </w:r>
          </w:p>
        </w:tc>
        <w:tc>
          <w:tcPr>
            <w:tcW w:w="5730" w:type="dxa"/>
          </w:tcPr>
          <w:p w14:paraId="76AA480C" w14:textId="77777777" w:rsidR="00661CFC" w:rsidRPr="00EB1385" w:rsidRDefault="00661CFC" w:rsidP="00EB1385">
            <w:pPr>
              <w:ind w:left="0" w:right="0"/>
              <w:rPr>
                <w:sz w:val="20"/>
                <w:szCs w:val="20"/>
              </w:rPr>
            </w:pPr>
            <w:r w:rsidRPr="00EB1385">
              <w:rPr>
                <w:sz w:val="20"/>
                <w:szCs w:val="20"/>
              </w:rPr>
              <w:t>A</w:t>
            </w:r>
            <w:r w:rsidR="00EB1385" w:rsidRPr="00EB1385">
              <w:rPr>
                <w:sz w:val="20"/>
                <w:szCs w:val="20"/>
              </w:rPr>
              <w:t>trovent</w:t>
            </w:r>
            <w:r w:rsidRPr="00EB1385">
              <w:rPr>
                <w:sz w:val="20"/>
                <w:szCs w:val="20"/>
              </w:rPr>
              <w:t xml:space="preserve"> metered aerosol is indicated as a bronchodilator for maintenance treatment of bronchospasm associated with asthma and chronic obstructive pulmonary disease (COPD).</w:t>
            </w:r>
          </w:p>
        </w:tc>
      </w:tr>
      <w:tr w:rsidR="00661CFC" w:rsidRPr="00EB1385" w14:paraId="6D55DF6C" w14:textId="77777777" w:rsidTr="000009D9">
        <w:tc>
          <w:tcPr>
            <w:tcW w:w="8755" w:type="dxa"/>
            <w:gridSpan w:val="2"/>
          </w:tcPr>
          <w:p w14:paraId="3CADA9BF" w14:textId="77777777" w:rsidR="00661CFC" w:rsidRPr="00EB1385" w:rsidRDefault="00661CFC" w:rsidP="00EB1385">
            <w:pPr>
              <w:ind w:left="0" w:right="0"/>
              <w:rPr>
                <w:b/>
                <w:sz w:val="20"/>
                <w:szCs w:val="20"/>
              </w:rPr>
            </w:pPr>
            <w:r w:rsidRPr="00EB1385">
              <w:rPr>
                <w:b/>
                <w:sz w:val="20"/>
                <w:szCs w:val="20"/>
              </w:rPr>
              <w:t>LABA</w:t>
            </w:r>
            <w:r w:rsidR="00BF580B">
              <w:rPr>
                <w:b/>
                <w:sz w:val="20"/>
                <w:szCs w:val="20"/>
              </w:rPr>
              <w:t xml:space="preserve"> (</w:t>
            </w:r>
            <w:r w:rsidR="00BF580B" w:rsidRPr="00BF580B">
              <w:rPr>
                <w:b/>
              </w:rPr>
              <w:t>Long acting β2 adrenoceptor agonist)</w:t>
            </w:r>
          </w:p>
        </w:tc>
      </w:tr>
      <w:tr w:rsidR="00661CFC" w:rsidRPr="00EB1385" w14:paraId="2510A5B8" w14:textId="77777777" w:rsidTr="00661CFC">
        <w:tc>
          <w:tcPr>
            <w:tcW w:w="3025" w:type="dxa"/>
          </w:tcPr>
          <w:p w14:paraId="126926AD" w14:textId="77777777" w:rsidR="00661CFC" w:rsidRPr="00EB1385" w:rsidRDefault="00661CFC" w:rsidP="00EB1385">
            <w:pPr>
              <w:ind w:left="0" w:right="0"/>
              <w:rPr>
                <w:sz w:val="20"/>
                <w:szCs w:val="20"/>
              </w:rPr>
            </w:pPr>
            <w:r w:rsidRPr="00EB1385">
              <w:rPr>
                <w:sz w:val="20"/>
                <w:szCs w:val="20"/>
              </w:rPr>
              <w:t>S</w:t>
            </w:r>
            <w:r w:rsidR="00EB1385" w:rsidRPr="00EB1385">
              <w:rPr>
                <w:sz w:val="20"/>
                <w:szCs w:val="20"/>
              </w:rPr>
              <w:t>erevent</w:t>
            </w:r>
            <w:r w:rsidRPr="00EB1385">
              <w:rPr>
                <w:sz w:val="20"/>
                <w:szCs w:val="20"/>
              </w:rPr>
              <w:t xml:space="preserve"> salmeterol xinafoate</w:t>
            </w:r>
          </w:p>
        </w:tc>
        <w:tc>
          <w:tcPr>
            <w:tcW w:w="5730" w:type="dxa"/>
          </w:tcPr>
          <w:p w14:paraId="66FD78D0" w14:textId="77777777" w:rsidR="00661CFC" w:rsidRPr="00EB1385" w:rsidRDefault="00661CFC" w:rsidP="00EB1385">
            <w:pPr>
              <w:ind w:left="0" w:right="0"/>
              <w:rPr>
                <w:sz w:val="20"/>
                <w:szCs w:val="20"/>
              </w:rPr>
            </w:pPr>
            <w:r w:rsidRPr="00EB1385">
              <w:rPr>
                <w:sz w:val="20"/>
                <w:szCs w:val="20"/>
              </w:rPr>
              <w:t>Salmeterol also provides long-lasting (12 hour) bronchodilation for the reversible component of airways obstruction due to chronic obstructive pulmonary disease (COPD).</w:t>
            </w:r>
          </w:p>
        </w:tc>
      </w:tr>
      <w:tr w:rsidR="00661CFC" w:rsidRPr="00EB1385" w14:paraId="08748D1F" w14:textId="77777777" w:rsidTr="00661CFC">
        <w:tc>
          <w:tcPr>
            <w:tcW w:w="3025" w:type="dxa"/>
          </w:tcPr>
          <w:p w14:paraId="0AB25BBD" w14:textId="77777777" w:rsidR="00661CFC" w:rsidRPr="00EB1385" w:rsidRDefault="00661CFC" w:rsidP="00EB1385">
            <w:pPr>
              <w:ind w:left="0" w:right="0"/>
              <w:rPr>
                <w:sz w:val="20"/>
                <w:szCs w:val="20"/>
              </w:rPr>
            </w:pPr>
            <w:r w:rsidRPr="00EB1385">
              <w:rPr>
                <w:sz w:val="20"/>
                <w:szCs w:val="20"/>
              </w:rPr>
              <w:t>O</w:t>
            </w:r>
            <w:r w:rsidR="00EB1385" w:rsidRPr="00EB1385">
              <w:rPr>
                <w:sz w:val="20"/>
                <w:szCs w:val="20"/>
              </w:rPr>
              <w:t>nbrez</w:t>
            </w:r>
            <w:r w:rsidRPr="00EB1385">
              <w:rPr>
                <w:sz w:val="20"/>
                <w:szCs w:val="20"/>
              </w:rPr>
              <w:t xml:space="preserve"> B</w:t>
            </w:r>
            <w:r w:rsidR="00EB1385" w:rsidRPr="00EB1385">
              <w:rPr>
                <w:sz w:val="20"/>
                <w:szCs w:val="20"/>
              </w:rPr>
              <w:t>reezhaler</w:t>
            </w:r>
            <w:r w:rsidRPr="00EB1385">
              <w:rPr>
                <w:sz w:val="20"/>
                <w:szCs w:val="20"/>
              </w:rPr>
              <w:t xml:space="preserve"> indacaterol</w:t>
            </w:r>
          </w:p>
        </w:tc>
        <w:tc>
          <w:tcPr>
            <w:tcW w:w="5730" w:type="dxa"/>
          </w:tcPr>
          <w:p w14:paraId="7776179B" w14:textId="77777777" w:rsidR="00661CFC" w:rsidRPr="00EB1385" w:rsidRDefault="00EB1385" w:rsidP="00EB1385">
            <w:pPr>
              <w:ind w:left="0" w:right="0"/>
              <w:rPr>
                <w:sz w:val="20"/>
                <w:szCs w:val="20"/>
              </w:rPr>
            </w:pPr>
            <w:r w:rsidRPr="00EB1385">
              <w:rPr>
                <w:sz w:val="20"/>
                <w:szCs w:val="20"/>
              </w:rPr>
              <w:t xml:space="preserve">Onbrez Breezhaler </w:t>
            </w:r>
            <w:r w:rsidR="00661CFC" w:rsidRPr="00EB1385">
              <w:rPr>
                <w:sz w:val="20"/>
                <w:szCs w:val="20"/>
              </w:rPr>
              <w:t xml:space="preserve">is a long-acting </w:t>
            </w:r>
            <w:r>
              <w:rPr>
                <w:sz w:val="20"/>
                <w:szCs w:val="20"/>
              </w:rPr>
              <w:t>β</w:t>
            </w:r>
            <w:r w:rsidR="00661CFC" w:rsidRPr="00EB1385">
              <w:rPr>
                <w:sz w:val="20"/>
                <w:szCs w:val="20"/>
              </w:rPr>
              <w:t>2-agonist indicated for long-term, once-daily, maintenance bronchodilator treatment of airflow limitation in patients with chronic obstructive pulmonary disease. (See "Clinical Trials")</w:t>
            </w:r>
          </w:p>
        </w:tc>
      </w:tr>
      <w:tr w:rsidR="00661CFC" w:rsidRPr="00EB1385" w14:paraId="68B133D8" w14:textId="77777777" w:rsidTr="000009D9">
        <w:tc>
          <w:tcPr>
            <w:tcW w:w="8755" w:type="dxa"/>
            <w:gridSpan w:val="2"/>
          </w:tcPr>
          <w:p w14:paraId="7A56A2D1" w14:textId="77777777" w:rsidR="00661CFC" w:rsidRPr="00BF580B" w:rsidRDefault="00661CFC" w:rsidP="00EB1385">
            <w:pPr>
              <w:ind w:left="0" w:right="0"/>
              <w:rPr>
                <w:b/>
                <w:sz w:val="20"/>
                <w:szCs w:val="20"/>
              </w:rPr>
            </w:pPr>
            <w:r w:rsidRPr="00BF580B">
              <w:rPr>
                <w:b/>
                <w:sz w:val="20"/>
                <w:szCs w:val="20"/>
              </w:rPr>
              <w:t>LAMA</w:t>
            </w:r>
            <w:r w:rsidR="00BF580B" w:rsidRPr="00BF580B">
              <w:rPr>
                <w:b/>
                <w:sz w:val="20"/>
                <w:szCs w:val="20"/>
              </w:rPr>
              <w:t xml:space="preserve"> (</w:t>
            </w:r>
            <w:r w:rsidR="00BF580B" w:rsidRPr="00BF580B">
              <w:rPr>
                <w:b/>
              </w:rPr>
              <w:t>long acting muscarinic antagonist)</w:t>
            </w:r>
          </w:p>
        </w:tc>
      </w:tr>
      <w:tr w:rsidR="00661CFC" w:rsidRPr="00EB1385" w14:paraId="6790F90F" w14:textId="77777777" w:rsidTr="00661CFC">
        <w:tc>
          <w:tcPr>
            <w:tcW w:w="3025" w:type="dxa"/>
          </w:tcPr>
          <w:p w14:paraId="711ED27D" w14:textId="77777777" w:rsidR="00661CFC" w:rsidRPr="00EB1385" w:rsidRDefault="00661CFC" w:rsidP="00EB1385">
            <w:pPr>
              <w:ind w:left="0" w:right="0"/>
              <w:rPr>
                <w:sz w:val="20"/>
                <w:szCs w:val="20"/>
              </w:rPr>
            </w:pPr>
            <w:r w:rsidRPr="00EB1385">
              <w:rPr>
                <w:sz w:val="20"/>
                <w:szCs w:val="20"/>
              </w:rPr>
              <w:t>B</w:t>
            </w:r>
            <w:r w:rsidR="00EB1385" w:rsidRPr="00EB1385">
              <w:rPr>
                <w:sz w:val="20"/>
                <w:szCs w:val="20"/>
              </w:rPr>
              <w:t>retaris</w:t>
            </w:r>
            <w:r w:rsidRPr="00EB1385">
              <w:rPr>
                <w:sz w:val="20"/>
                <w:szCs w:val="20"/>
              </w:rPr>
              <w:t xml:space="preserve"> G</w:t>
            </w:r>
            <w:r w:rsidR="00EB1385" w:rsidRPr="00EB1385">
              <w:rPr>
                <w:sz w:val="20"/>
                <w:szCs w:val="20"/>
              </w:rPr>
              <w:t>enuair</w:t>
            </w:r>
            <w:r w:rsidRPr="00EB1385">
              <w:rPr>
                <w:sz w:val="20"/>
                <w:szCs w:val="20"/>
              </w:rPr>
              <w:t xml:space="preserve"> aclidinium bromide</w:t>
            </w:r>
          </w:p>
        </w:tc>
        <w:tc>
          <w:tcPr>
            <w:tcW w:w="5730" w:type="dxa"/>
          </w:tcPr>
          <w:p w14:paraId="467DEA43" w14:textId="77777777" w:rsidR="00661CFC" w:rsidRPr="00EB1385" w:rsidRDefault="00EB1385" w:rsidP="00EB1385">
            <w:pPr>
              <w:ind w:left="0" w:right="0"/>
              <w:rPr>
                <w:sz w:val="20"/>
                <w:szCs w:val="20"/>
              </w:rPr>
            </w:pPr>
            <w:r w:rsidRPr="00EB1385">
              <w:rPr>
                <w:sz w:val="20"/>
                <w:szCs w:val="20"/>
              </w:rPr>
              <w:t xml:space="preserve">Bretaris Genuair </w:t>
            </w:r>
            <w:r w:rsidR="00661CFC" w:rsidRPr="00EB1385">
              <w:rPr>
                <w:sz w:val="20"/>
                <w:szCs w:val="20"/>
              </w:rPr>
              <w:t>is indicated as a long-term maintenance bronchodilator treatment to relieve symptoms in adult patients with chronic obstructive pulmonary disease (COPD).</w:t>
            </w:r>
          </w:p>
        </w:tc>
      </w:tr>
      <w:tr w:rsidR="00661CFC" w:rsidRPr="00EB1385" w14:paraId="2EDE9D99" w14:textId="77777777" w:rsidTr="00661CFC">
        <w:tc>
          <w:tcPr>
            <w:tcW w:w="3025" w:type="dxa"/>
          </w:tcPr>
          <w:p w14:paraId="3FAFA3CB" w14:textId="77777777" w:rsidR="00661CFC" w:rsidRPr="00EB1385" w:rsidRDefault="00661CFC" w:rsidP="00EB1385">
            <w:pPr>
              <w:ind w:left="0" w:right="0"/>
              <w:rPr>
                <w:sz w:val="20"/>
                <w:szCs w:val="20"/>
              </w:rPr>
            </w:pPr>
            <w:r w:rsidRPr="00EB1385">
              <w:rPr>
                <w:sz w:val="20"/>
                <w:szCs w:val="20"/>
              </w:rPr>
              <w:t>S</w:t>
            </w:r>
            <w:r w:rsidR="00EB1385" w:rsidRPr="00EB1385">
              <w:rPr>
                <w:sz w:val="20"/>
                <w:szCs w:val="20"/>
              </w:rPr>
              <w:t>piriva</w:t>
            </w:r>
            <w:r w:rsidRPr="00EB1385">
              <w:rPr>
                <w:sz w:val="20"/>
                <w:szCs w:val="20"/>
              </w:rPr>
              <w:t xml:space="preserve"> tiotropium</w:t>
            </w:r>
          </w:p>
        </w:tc>
        <w:tc>
          <w:tcPr>
            <w:tcW w:w="5730" w:type="dxa"/>
          </w:tcPr>
          <w:p w14:paraId="502B7970" w14:textId="77777777" w:rsidR="00661CFC" w:rsidRPr="00EB1385" w:rsidRDefault="00661CFC" w:rsidP="00EB1385">
            <w:pPr>
              <w:ind w:left="0" w:right="0"/>
              <w:rPr>
                <w:sz w:val="20"/>
                <w:szCs w:val="20"/>
              </w:rPr>
            </w:pPr>
            <w:r w:rsidRPr="00EB1385">
              <w:rPr>
                <w:sz w:val="20"/>
                <w:szCs w:val="20"/>
              </w:rPr>
              <w:t>S</w:t>
            </w:r>
            <w:r w:rsidR="00EB1385" w:rsidRPr="00EB1385">
              <w:rPr>
                <w:sz w:val="20"/>
                <w:szCs w:val="20"/>
              </w:rPr>
              <w:t>piriva</w:t>
            </w:r>
            <w:r w:rsidRPr="00EB1385">
              <w:rPr>
                <w:sz w:val="20"/>
                <w:szCs w:val="20"/>
              </w:rPr>
              <w:t xml:space="preserve"> is indicated for the long term maintenance treatment of bronchospasm and dyspnoea associated with chronic obstructive pulmonary disease (COPD).</w:t>
            </w:r>
            <w:r w:rsidR="00FE4E85">
              <w:rPr>
                <w:sz w:val="20"/>
                <w:szCs w:val="20"/>
              </w:rPr>
              <w:t xml:space="preserve"> </w:t>
            </w:r>
            <w:r w:rsidRPr="00EB1385">
              <w:rPr>
                <w:sz w:val="20"/>
                <w:szCs w:val="20"/>
              </w:rPr>
              <w:t>SPIRIVA is indicated for the prevention of COPD exacerbations</w:t>
            </w:r>
          </w:p>
        </w:tc>
      </w:tr>
      <w:tr w:rsidR="00661CFC" w:rsidRPr="00EB1385" w14:paraId="6A5209A9" w14:textId="77777777" w:rsidTr="00661CFC">
        <w:tc>
          <w:tcPr>
            <w:tcW w:w="3025" w:type="dxa"/>
          </w:tcPr>
          <w:p w14:paraId="2D50BD3E" w14:textId="77777777" w:rsidR="00661CFC" w:rsidRPr="00EB1385" w:rsidRDefault="00661CFC" w:rsidP="00EB1385">
            <w:pPr>
              <w:ind w:left="0" w:right="0"/>
              <w:rPr>
                <w:sz w:val="20"/>
                <w:szCs w:val="20"/>
              </w:rPr>
            </w:pPr>
            <w:r w:rsidRPr="00EB1385">
              <w:rPr>
                <w:sz w:val="20"/>
                <w:szCs w:val="20"/>
              </w:rPr>
              <w:t>S</w:t>
            </w:r>
            <w:r w:rsidR="00EB1385" w:rsidRPr="00EB1385">
              <w:rPr>
                <w:sz w:val="20"/>
                <w:szCs w:val="20"/>
              </w:rPr>
              <w:t>eebri</w:t>
            </w:r>
            <w:r w:rsidRPr="00EB1385">
              <w:rPr>
                <w:sz w:val="20"/>
                <w:szCs w:val="20"/>
              </w:rPr>
              <w:t xml:space="preserve"> B</w:t>
            </w:r>
            <w:r w:rsidR="00EB1385" w:rsidRPr="00EB1385">
              <w:rPr>
                <w:sz w:val="20"/>
                <w:szCs w:val="20"/>
              </w:rPr>
              <w:t>reezhaler</w:t>
            </w:r>
            <w:r w:rsidRPr="00EB1385">
              <w:rPr>
                <w:sz w:val="20"/>
                <w:szCs w:val="20"/>
              </w:rPr>
              <w:t xml:space="preserve"> glycopyrronium bromide</w:t>
            </w:r>
          </w:p>
        </w:tc>
        <w:tc>
          <w:tcPr>
            <w:tcW w:w="5730" w:type="dxa"/>
          </w:tcPr>
          <w:p w14:paraId="0D78B204" w14:textId="77777777" w:rsidR="00661CFC" w:rsidRPr="00EB1385" w:rsidRDefault="00EB1385" w:rsidP="00EB1385">
            <w:pPr>
              <w:ind w:left="0" w:right="0"/>
              <w:rPr>
                <w:sz w:val="20"/>
                <w:szCs w:val="20"/>
              </w:rPr>
            </w:pPr>
            <w:r w:rsidRPr="00EB1385">
              <w:rPr>
                <w:sz w:val="20"/>
                <w:szCs w:val="20"/>
              </w:rPr>
              <w:t xml:space="preserve">Seebri Breezhaler </w:t>
            </w:r>
            <w:r w:rsidR="00661CFC" w:rsidRPr="00EB1385">
              <w:rPr>
                <w:sz w:val="20"/>
                <w:szCs w:val="20"/>
              </w:rPr>
              <w:t>is indicated as a once-daily maintenance bronchodilator treatment to relieve symptoms of patients with chronic obstructive pulmonary disease (COPD).</w:t>
            </w:r>
          </w:p>
        </w:tc>
      </w:tr>
      <w:tr w:rsidR="00661CFC" w:rsidRPr="00EB1385" w14:paraId="596150F0" w14:textId="77777777" w:rsidTr="00661CFC">
        <w:tc>
          <w:tcPr>
            <w:tcW w:w="3025" w:type="dxa"/>
          </w:tcPr>
          <w:p w14:paraId="684979CD" w14:textId="77777777" w:rsidR="00661CFC" w:rsidRPr="00EB1385" w:rsidRDefault="00661CFC" w:rsidP="00EB1385">
            <w:pPr>
              <w:ind w:left="0" w:right="0"/>
              <w:rPr>
                <w:sz w:val="20"/>
                <w:szCs w:val="20"/>
              </w:rPr>
            </w:pPr>
            <w:r w:rsidRPr="00EB1385">
              <w:rPr>
                <w:sz w:val="20"/>
                <w:szCs w:val="20"/>
              </w:rPr>
              <w:t>I</w:t>
            </w:r>
            <w:r w:rsidR="00EB1385" w:rsidRPr="00EB1385">
              <w:rPr>
                <w:sz w:val="20"/>
                <w:szCs w:val="20"/>
              </w:rPr>
              <w:t>ncruse</w:t>
            </w:r>
            <w:r w:rsidRPr="00EB1385">
              <w:rPr>
                <w:sz w:val="20"/>
                <w:szCs w:val="20"/>
              </w:rPr>
              <w:t xml:space="preserve"> E</w:t>
            </w:r>
            <w:r w:rsidR="00EB1385" w:rsidRPr="00EB1385">
              <w:rPr>
                <w:sz w:val="20"/>
                <w:szCs w:val="20"/>
              </w:rPr>
              <w:t>llipta</w:t>
            </w:r>
            <w:r w:rsidRPr="00EB1385">
              <w:rPr>
                <w:sz w:val="20"/>
                <w:szCs w:val="20"/>
              </w:rPr>
              <w:t xml:space="preserve"> umeclidinium bromide</w:t>
            </w:r>
          </w:p>
        </w:tc>
        <w:tc>
          <w:tcPr>
            <w:tcW w:w="5730" w:type="dxa"/>
          </w:tcPr>
          <w:p w14:paraId="65D28C68" w14:textId="77777777" w:rsidR="00661CFC" w:rsidRPr="00EB1385" w:rsidRDefault="00EB1385" w:rsidP="00EB1385">
            <w:pPr>
              <w:ind w:left="0" w:right="0"/>
              <w:rPr>
                <w:sz w:val="20"/>
                <w:szCs w:val="20"/>
              </w:rPr>
            </w:pPr>
            <w:r w:rsidRPr="00EB1385">
              <w:rPr>
                <w:sz w:val="20"/>
                <w:szCs w:val="20"/>
              </w:rPr>
              <w:t xml:space="preserve">Incruse Ellipta </w:t>
            </w:r>
            <w:r w:rsidR="00661CFC" w:rsidRPr="00EB1385">
              <w:rPr>
                <w:sz w:val="20"/>
                <w:szCs w:val="20"/>
              </w:rPr>
              <w:t xml:space="preserve">is indicated as a long-term once daily maintenance bronchodilator treatment to relieve symptoms in adult patients with chronic obstructive pulmonary disease </w:t>
            </w:r>
            <w:r w:rsidR="00661CFC" w:rsidRPr="00EB1385">
              <w:rPr>
                <w:sz w:val="20"/>
                <w:szCs w:val="20"/>
              </w:rPr>
              <w:lastRenderedPageBreak/>
              <w:t>(COPD).</w:t>
            </w:r>
          </w:p>
        </w:tc>
      </w:tr>
      <w:tr w:rsidR="00661CFC" w:rsidRPr="00EB1385" w14:paraId="7435ADF3" w14:textId="77777777" w:rsidTr="000009D9">
        <w:tc>
          <w:tcPr>
            <w:tcW w:w="8755" w:type="dxa"/>
            <w:gridSpan w:val="2"/>
          </w:tcPr>
          <w:p w14:paraId="056AFB41" w14:textId="77777777" w:rsidR="00661CFC" w:rsidRPr="00EB1385" w:rsidRDefault="00661CFC" w:rsidP="00EB1385">
            <w:pPr>
              <w:ind w:left="0" w:right="0"/>
              <w:rPr>
                <w:b/>
                <w:sz w:val="20"/>
                <w:szCs w:val="20"/>
              </w:rPr>
            </w:pPr>
            <w:r w:rsidRPr="00EB1385">
              <w:rPr>
                <w:b/>
                <w:sz w:val="20"/>
                <w:szCs w:val="20"/>
              </w:rPr>
              <w:lastRenderedPageBreak/>
              <w:t>LAMA/LABA</w:t>
            </w:r>
          </w:p>
        </w:tc>
      </w:tr>
      <w:tr w:rsidR="00661CFC" w:rsidRPr="00EB1385" w14:paraId="6969296E" w14:textId="77777777" w:rsidTr="00661CFC">
        <w:tc>
          <w:tcPr>
            <w:tcW w:w="3025" w:type="dxa"/>
          </w:tcPr>
          <w:p w14:paraId="4A5F2C1A" w14:textId="77777777" w:rsidR="00661CFC" w:rsidRPr="00EB1385" w:rsidRDefault="00661CFC" w:rsidP="00EB1385">
            <w:pPr>
              <w:ind w:left="0" w:right="0"/>
              <w:rPr>
                <w:sz w:val="20"/>
                <w:szCs w:val="20"/>
              </w:rPr>
            </w:pPr>
            <w:proofErr w:type="spellStart"/>
            <w:r w:rsidRPr="00EB1385">
              <w:rPr>
                <w:sz w:val="20"/>
                <w:szCs w:val="20"/>
              </w:rPr>
              <w:t>B</w:t>
            </w:r>
            <w:r w:rsidR="00EB1385" w:rsidRPr="00EB1385">
              <w:rPr>
                <w:sz w:val="20"/>
                <w:szCs w:val="20"/>
              </w:rPr>
              <w:t>rimica</w:t>
            </w:r>
            <w:proofErr w:type="spellEnd"/>
            <w:r w:rsidRPr="00EB1385">
              <w:rPr>
                <w:sz w:val="20"/>
                <w:szCs w:val="20"/>
              </w:rPr>
              <w:t xml:space="preserve"> </w:t>
            </w:r>
            <w:proofErr w:type="spellStart"/>
            <w:r w:rsidRPr="00EB1385">
              <w:rPr>
                <w:sz w:val="20"/>
                <w:szCs w:val="20"/>
              </w:rPr>
              <w:t>G</w:t>
            </w:r>
            <w:r w:rsidR="00EB1385" w:rsidRPr="00EB1385">
              <w:rPr>
                <w:sz w:val="20"/>
                <w:szCs w:val="20"/>
              </w:rPr>
              <w:t>enuair</w:t>
            </w:r>
            <w:proofErr w:type="spellEnd"/>
            <w:r w:rsidRPr="00EB1385">
              <w:rPr>
                <w:sz w:val="20"/>
                <w:szCs w:val="20"/>
              </w:rPr>
              <w:t xml:space="preserve"> </w:t>
            </w:r>
            <w:proofErr w:type="spellStart"/>
            <w:r w:rsidRPr="00EB1385">
              <w:rPr>
                <w:sz w:val="20"/>
                <w:szCs w:val="20"/>
              </w:rPr>
              <w:t>eformoterol</w:t>
            </w:r>
            <w:proofErr w:type="spellEnd"/>
            <w:r w:rsidRPr="00EB1385">
              <w:rPr>
                <w:sz w:val="20"/>
                <w:szCs w:val="20"/>
              </w:rPr>
              <w:t xml:space="preserve"> fumarate dehydrate/aclidinium bromide</w:t>
            </w:r>
          </w:p>
        </w:tc>
        <w:tc>
          <w:tcPr>
            <w:tcW w:w="5730" w:type="dxa"/>
          </w:tcPr>
          <w:p w14:paraId="402BBFC8" w14:textId="77777777" w:rsidR="00661CFC" w:rsidRPr="00EB1385" w:rsidRDefault="00EB1385" w:rsidP="00EB1385">
            <w:pPr>
              <w:ind w:left="0" w:right="0"/>
              <w:rPr>
                <w:sz w:val="20"/>
                <w:szCs w:val="20"/>
              </w:rPr>
            </w:pPr>
            <w:proofErr w:type="spellStart"/>
            <w:r w:rsidRPr="00EB1385">
              <w:rPr>
                <w:sz w:val="20"/>
                <w:szCs w:val="20"/>
              </w:rPr>
              <w:t>Brimica</w:t>
            </w:r>
            <w:proofErr w:type="spellEnd"/>
            <w:r w:rsidRPr="00EB1385">
              <w:rPr>
                <w:sz w:val="20"/>
                <w:szCs w:val="20"/>
              </w:rPr>
              <w:t xml:space="preserve"> </w:t>
            </w:r>
            <w:proofErr w:type="spellStart"/>
            <w:r w:rsidRPr="00EB1385">
              <w:rPr>
                <w:sz w:val="20"/>
                <w:szCs w:val="20"/>
              </w:rPr>
              <w:t>Genuair</w:t>
            </w:r>
            <w:proofErr w:type="spellEnd"/>
            <w:r w:rsidRPr="00EB1385">
              <w:rPr>
                <w:sz w:val="20"/>
                <w:szCs w:val="20"/>
              </w:rPr>
              <w:t xml:space="preserve"> </w:t>
            </w:r>
            <w:r w:rsidR="00661CFC" w:rsidRPr="00EB1385">
              <w:rPr>
                <w:sz w:val="20"/>
                <w:szCs w:val="20"/>
              </w:rPr>
              <w:t>340/12 is indicated as a long-term twice daily maintenance bronchodilator treatment to relieve symptoms in adult patients with chronic obstructive pulmonary disease (COPD).</w:t>
            </w:r>
          </w:p>
        </w:tc>
      </w:tr>
      <w:tr w:rsidR="00661CFC" w:rsidRPr="00EB1385" w14:paraId="0FB50E71" w14:textId="77777777" w:rsidTr="00661CFC">
        <w:tc>
          <w:tcPr>
            <w:tcW w:w="3025" w:type="dxa"/>
          </w:tcPr>
          <w:p w14:paraId="02674FA2" w14:textId="77777777" w:rsidR="00661CFC" w:rsidRPr="0064122F" w:rsidRDefault="00661CFC" w:rsidP="00EB1385">
            <w:pPr>
              <w:ind w:left="0" w:right="0"/>
              <w:rPr>
                <w:sz w:val="20"/>
                <w:szCs w:val="20"/>
                <w:lang w:val="it-IT"/>
              </w:rPr>
            </w:pPr>
            <w:r w:rsidRPr="0064122F">
              <w:rPr>
                <w:sz w:val="20"/>
                <w:szCs w:val="20"/>
                <w:lang w:val="it-IT"/>
              </w:rPr>
              <w:t>U</w:t>
            </w:r>
            <w:r w:rsidR="00EB1385" w:rsidRPr="0064122F">
              <w:rPr>
                <w:sz w:val="20"/>
                <w:szCs w:val="20"/>
                <w:lang w:val="it-IT"/>
              </w:rPr>
              <w:t>ltibro</w:t>
            </w:r>
            <w:r w:rsidRPr="0064122F">
              <w:rPr>
                <w:sz w:val="20"/>
                <w:szCs w:val="20"/>
                <w:lang w:val="it-IT"/>
              </w:rPr>
              <w:t xml:space="preserve"> B</w:t>
            </w:r>
            <w:r w:rsidR="00EB1385" w:rsidRPr="0064122F">
              <w:rPr>
                <w:sz w:val="20"/>
                <w:szCs w:val="20"/>
                <w:lang w:val="it-IT"/>
              </w:rPr>
              <w:t>reezhaler</w:t>
            </w:r>
            <w:r w:rsidRPr="0064122F">
              <w:rPr>
                <w:sz w:val="20"/>
                <w:szCs w:val="20"/>
                <w:lang w:val="it-IT"/>
              </w:rPr>
              <w:t xml:space="preserve"> 110/50 indacaterol maleate/glycopyrronium bromide</w:t>
            </w:r>
          </w:p>
        </w:tc>
        <w:tc>
          <w:tcPr>
            <w:tcW w:w="5730" w:type="dxa"/>
          </w:tcPr>
          <w:p w14:paraId="5066B831" w14:textId="77777777" w:rsidR="00661CFC" w:rsidRPr="00EB1385" w:rsidRDefault="00EB1385" w:rsidP="00EB1385">
            <w:pPr>
              <w:ind w:left="0" w:right="0"/>
              <w:rPr>
                <w:sz w:val="20"/>
                <w:szCs w:val="20"/>
              </w:rPr>
            </w:pPr>
            <w:r w:rsidRPr="00EB1385">
              <w:rPr>
                <w:sz w:val="20"/>
                <w:szCs w:val="20"/>
              </w:rPr>
              <w:t xml:space="preserve">Ultibro Breezhaler </w:t>
            </w:r>
            <w:r w:rsidR="00661CFC" w:rsidRPr="00EB1385">
              <w:rPr>
                <w:sz w:val="20"/>
                <w:szCs w:val="20"/>
              </w:rPr>
              <w:t>110/50 is indicated as a once-daily maintenance bronchodilator treatment to relieve symptoms in patients with chronic obstructive pulmonary disease (COPD).</w:t>
            </w:r>
          </w:p>
        </w:tc>
      </w:tr>
      <w:tr w:rsidR="00661CFC" w:rsidRPr="00EB1385" w14:paraId="47EF9537" w14:textId="77777777" w:rsidTr="00661CFC">
        <w:tc>
          <w:tcPr>
            <w:tcW w:w="3025" w:type="dxa"/>
          </w:tcPr>
          <w:p w14:paraId="2FF7B8FA" w14:textId="77777777" w:rsidR="00661CFC" w:rsidRPr="00EB1385" w:rsidRDefault="00661CFC" w:rsidP="00EB1385">
            <w:pPr>
              <w:ind w:left="0" w:right="0"/>
              <w:rPr>
                <w:sz w:val="20"/>
                <w:szCs w:val="20"/>
              </w:rPr>
            </w:pPr>
            <w:r w:rsidRPr="00EB1385">
              <w:rPr>
                <w:sz w:val="20"/>
                <w:szCs w:val="20"/>
              </w:rPr>
              <w:t>S</w:t>
            </w:r>
            <w:r w:rsidR="00EB1385" w:rsidRPr="00EB1385">
              <w:rPr>
                <w:sz w:val="20"/>
                <w:szCs w:val="20"/>
              </w:rPr>
              <w:t>piolto</w:t>
            </w:r>
            <w:r w:rsidRPr="00EB1385">
              <w:rPr>
                <w:sz w:val="20"/>
                <w:szCs w:val="20"/>
              </w:rPr>
              <w:t xml:space="preserve"> R</w:t>
            </w:r>
            <w:r w:rsidR="00EB1385" w:rsidRPr="00EB1385">
              <w:rPr>
                <w:sz w:val="20"/>
                <w:szCs w:val="20"/>
              </w:rPr>
              <w:t>espimat</w:t>
            </w:r>
            <w:r w:rsidRPr="00EB1385">
              <w:rPr>
                <w:sz w:val="20"/>
                <w:szCs w:val="20"/>
              </w:rPr>
              <w:t xml:space="preserve"> olodaterol hydrochloride/tiotropium bromide monohydrate</w:t>
            </w:r>
          </w:p>
        </w:tc>
        <w:tc>
          <w:tcPr>
            <w:tcW w:w="5730" w:type="dxa"/>
          </w:tcPr>
          <w:p w14:paraId="4D8023F0" w14:textId="77777777" w:rsidR="00661CFC" w:rsidRPr="00EB1385" w:rsidRDefault="00EB1385" w:rsidP="00EB1385">
            <w:pPr>
              <w:ind w:left="0" w:right="0"/>
              <w:rPr>
                <w:sz w:val="20"/>
                <w:szCs w:val="20"/>
              </w:rPr>
            </w:pPr>
            <w:r w:rsidRPr="00EB1385">
              <w:rPr>
                <w:sz w:val="20"/>
                <w:szCs w:val="20"/>
              </w:rPr>
              <w:t xml:space="preserve">Spiolto Respimat </w:t>
            </w:r>
            <w:r w:rsidR="00661CFC" w:rsidRPr="00EB1385">
              <w:rPr>
                <w:sz w:val="20"/>
                <w:szCs w:val="20"/>
              </w:rPr>
              <w:t>is indicated as a once-daily maintenance bronchodilator treatment to relieve symptoms in adult patients with chronic obstructive pulmonary disease (COPD).</w:t>
            </w:r>
          </w:p>
        </w:tc>
      </w:tr>
      <w:tr w:rsidR="00661CFC" w:rsidRPr="00EB1385" w14:paraId="165C7F6D" w14:textId="77777777" w:rsidTr="00661CFC">
        <w:tc>
          <w:tcPr>
            <w:tcW w:w="3025" w:type="dxa"/>
          </w:tcPr>
          <w:p w14:paraId="4D3C2F74" w14:textId="77777777" w:rsidR="00661CFC" w:rsidRPr="0064122F" w:rsidRDefault="00661CFC" w:rsidP="00EB1385">
            <w:pPr>
              <w:ind w:left="0" w:right="0"/>
              <w:rPr>
                <w:sz w:val="20"/>
                <w:szCs w:val="20"/>
                <w:lang w:val="it-IT"/>
              </w:rPr>
            </w:pPr>
            <w:r w:rsidRPr="0064122F">
              <w:rPr>
                <w:sz w:val="20"/>
                <w:szCs w:val="20"/>
                <w:lang w:val="it-IT"/>
              </w:rPr>
              <w:t>A</w:t>
            </w:r>
            <w:r w:rsidR="00EB1385" w:rsidRPr="0064122F">
              <w:rPr>
                <w:sz w:val="20"/>
                <w:szCs w:val="20"/>
                <w:lang w:val="it-IT"/>
              </w:rPr>
              <w:t>noro</w:t>
            </w:r>
            <w:r w:rsidRPr="0064122F">
              <w:rPr>
                <w:sz w:val="20"/>
                <w:szCs w:val="20"/>
                <w:lang w:val="it-IT"/>
              </w:rPr>
              <w:t xml:space="preserve"> E</w:t>
            </w:r>
            <w:r w:rsidR="00EB1385" w:rsidRPr="0064122F">
              <w:rPr>
                <w:sz w:val="20"/>
                <w:szCs w:val="20"/>
                <w:lang w:val="it-IT"/>
              </w:rPr>
              <w:t>llipta</w:t>
            </w:r>
            <w:r w:rsidRPr="0064122F">
              <w:rPr>
                <w:sz w:val="20"/>
                <w:szCs w:val="20"/>
                <w:lang w:val="it-IT"/>
              </w:rPr>
              <w:t xml:space="preserve"> vilanterol trifenatate/umeclidinium bromide:</w:t>
            </w:r>
          </w:p>
        </w:tc>
        <w:tc>
          <w:tcPr>
            <w:tcW w:w="5730" w:type="dxa"/>
          </w:tcPr>
          <w:p w14:paraId="18F55221" w14:textId="77777777" w:rsidR="00661CFC" w:rsidRPr="00EB1385" w:rsidRDefault="00EB1385" w:rsidP="00EB1385">
            <w:pPr>
              <w:ind w:left="0" w:right="0"/>
              <w:rPr>
                <w:sz w:val="20"/>
                <w:szCs w:val="20"/>
              </w:rPr>
            </w:pPr>
            <w:r w:rsidRPr="00EB1385">
              <w:rPr>
                <w:sz w:val="20"/>
                <w:szCs w:val="20"/>
              </w:rPr>
              <w:t xml:space="preserve">Anoro Ellipta </w:t>
            </w:r>
            <w:r w:rsidR="00661CFC" w:rsidRPr="00EB1385">
              <w:rPr>
                <w:sz w:val="20"/>
                <w:szCs w:val="20"/>
              </w:rPr>
              <w:t>is indicated as a long-term once daily maintenance bronchodilator treatment to relieve symptoms in adult patients with chronic obstructive pulmonary disease (COPD).</w:t>
            </w:r>
          </w:p>
        </w:tc>
      </w:tr>
      <w:tr w:rsidR="00661CFC" w:rsidRPr="00EB1385" w14:paraId="60120704" w14:textId="77777777" w:rsidTr="000009D9">
        <w:tc>
          <w:tcPr>
            <w:tcW w:w="8755" w:type="dxa"/>
            <w:gridSpan w:val="2"/>
          </w:tcPr>
          <w:p w14:paraId="75913E5A" w14:textId="77777777" w:rsidR="00661CFC" w:rsidRPr="00EB1385" w:rsidRDefault="00661CFC" w:rsidP="00EB1385">
            <w:pPr>
              <w:ind w:left="0" w:right="0"/>
              <w:rPr>
                <w:b/>
                <w:sz w:val="20"/>
                <w:szCs w:val="20"/>
              </w:rPr>
            </w:pPr>
            <w:r w:rsidRPr="00EB1385">
              <w:rPr>
                <w:b/>
                <w:sz w:val="20"/>
                <w:szCs w:val="20"/>
              </w:rPr>
              <w:t>ICS/LABA</w:t>
            </w:r>
          </w:p>
        </w:tc>
      </w:tr>
      <w:tr w:rsidR="00661CFC" w:rsidRPr="00EB1385" w14:paraId="064F0908" w14:textId="77777777" w:rsidTr="00661CFC">
        <w:tc>
          <w:tcPr>
            <w:tcW w:w="3025" w:type="dxa"/>
          </w:tcPr>
          <w:p w14:paraId="2EA41C44" w14:textId="77777777" w:rsidR="00661CFC" w:rsidRPr="00EB1385" w:rsidRDefault="00661CFC" w:rsidP="00EB1385">
            <w:pPr>
              <w:ind w:left="0" w:right="0"/>
              <w:rPr>
                <w:sz w:val="20"/>
                <w:szCs w:val="20"/>
              </w:rPr>
            </w:pPr>
            <w:r w:rsidRPr="00EB1385">
              <w:rPr>
                <w:sz w:val="20"/>
                <w:szCs w:val="20"/>
              </w:rPr>
              <w:t>S</w:t>
            </w:r>
            <w:r w:rsidR="00EB1385" w:rsidRPr="00EB1385">
              <w:rPr>
                <w:sz w:val="20"/>
                <w:szCs w:val="20"/>
              </w:rPr>
              <w:t>eretide</w:t>
            </w:r>
            <w:r w:rsidRPr="00EB1385">
              <w:rPr>
                <w:sz w:val="20"/>
                <w:szCs w:val="20"/>
              </w:rPr>
              <w:t xml:space="preserve"> fluticasone propionate/salmeterol xinafoate</w:t>
            </w:r>
          </w:p>
        </w:tc>
        <w:tc>
          <w:tcPr>
            <w:tcW w:w="5730" w:type="dxa"/>
          </w:tcPr>
          <w:p w14:paraId="68DD212F" w14:textId="639ACF7E" w:rsidR="00661CFC" w:rsidRPr="00EB1385" w:rsidRDefault="00661CFC" w:rsidP="00EB1385">
            <w:pPr>
              <w:ind w:left="0" w:right="0"/>
              <w:rPr>
                <w:sz w:val="20"/>
                <w:szCs w:val="20"/>
              </w:rPr>
            </w:pPr>
            <w:r w:rsidRPr="00EB1385">
              <w:rPr>
                <w:sz w:val="20"/>
                <w:szCs w:val="20"/>
              </w:rPr>
              <w:t>For the symptomatic treatment of patients with severe COPD (FEV1</w:t>
            </w:r>
            <w:r w:rsidR="002959FB">
              <w:rPr>
                <w:sz w:val="20"/>
                <w:szCs w:val="20"/>
              </w:rPr>
              <w:t xml:space="preserve"> </w:t>
            </w:r>
            <w:r w:rsidRPr="00EB1385">
              <w:rPr>
                <w:sz w:val="20"/>
                <w:szCs w:val="20"/>
              </w:rPr>
              <w:t>&lt;</w:t>
            </w:r>
            <w:r w:rsidR="00EB1385">
              <w:rPr>
                <w:sz w:val="20"/>
                <w:szCs w:val="20"/>
              </w:rPr>
              <w:t xml:space="preserve"> </w:t>
            </w:r>
            <w:r w:rsidRPr="00EB1385">
              <w:rPr>
                <w:sz w:val="20"/>
                <w:szCs w:val="20"/>
              </w:rPr>
              <w:t>50% predicted normal) and a history of repeated exacerbations who have significant symptoms despite regular beta-2 agonist bronchodilator therapy. Seretide is not indicated for the initiation of bronchodilator therapy in COPD.</w:t>
            </w:r>
          </w:p>
        </w:tc>
      </w:tr>
      <w:tr w:rsidR="00661CFC" w:rsidRPr="00EB1385" w14:paraId="7BAFFF03" w14:textId="77777777" w:rsidTr="00661CFC">
        <w:tc>
          <w:tcPr>
            <w:tcW w:w="3025" w:type="dxa"/>
          </w:tcPr>
          <w:p w14:paraId="211A1C2C" w14:textId="77777777" w:rsidR="00661CFC" w:rsidRPr="0064122F" w:rsidRDefault="00661CFC" w:rsidP="00EB1385">
            <w:pPr>
              <w:ind w:left="0" w:right="0"/>
              <w:rPr>
                <w:sz w:val="20"/>
                <w:szCs w:val="20"/>
                <w:lang w:val="it-IT"/>
              </w:rPr>
            </w:pPr>
            <w:r w:rsidRPr="0064122F">
              <w:rPr>
                <w:sz w:val="20"/>
                <w:szCs w:val="20"/>
                <w:lang w:val="it-IT"/>
              </w:rPr>
              <w:t>B</w:t>
            </w:r>
            <w:r w:rsidR="00EB1385" w:rsidRPr="0064122F">
              <w:rPr>
                <w:sz w:val="20"/>
                <w:szCs w:val="20"/>
                <w:lang w:val="it-IT"/>
              </w:rPr>
              <w:t>reo</w:t>
            </w:r>
            <w:r w:rsidRPr="0064122F">
              <w:rPr>
                <w:sz w:val="20"/>
                <w:szCs w:val="20"/>
                <w:lang w:val="it-IT"/>
              </w:rPr>
              <w:t xml:space="preserve"> E</w:t>
            </w:r>
            <w:r w:rsidR="00EB1385" w:rsidRPr="0064122F">
              <w:rPr>
                <w:sz w:val="20"/>
                <w:szCs w:val="20"/>
                <w:lang w:val="it-IT"/>
              </w:rPr>
              <w:t>llipta</w:t>
            </w:r>
            <w:r w:rsidRPr="0064122F">
              <w:rPr>
                <w:sz w:val="20"/>
                <w:szCs w:val="20"/>
                <w:lang w:val="it-IT"/>
              </w:rPr>
              <w:t xml:space="preserve"> fluticasone furoate/vilanterol trifenatate</w:t>
            </w:r>
          </w:p>
        </w:tc>
        <w:tc>
          <w:tcPr>
            <w:tcW w:w="5730" w:type="dxa"/>
          </w:tcPr>
          <w:p w14:paraId="01B79A88" w14:textId="77777777" w:rsidR="00661CFC" w:rsidRPr="00EB1385" w:rsidRDefault="00EB1385" w:rsidP="00EB1385">
            <w:pPr>
              <w:ind w:left="0" w:right="0"/>
              <w:rPr>
                <w:sz w:val="20"/>
                <w:szCs w:val="20"/>
              </w:rPr>
            </w:pPr>
            <w:proofErr w:type="spellStart"/>
            <w:r w:rsidRPr="00EB1385">
              <w:rPr>
                <w:sz w:val="20"/>
                <w:szCs w:val="20"/>
              </w:rPr>
              <w:t>Breo</w:t>
            </w:r>
            <w:proofErr w:type="spellEnd"/>
            <w:r w:rsidRPr="00EB1385">
              <w:rPr>
                <w:sz w:val="20"/>
                <w:szCs w:val="20"/>
              </w:rPr>
              <w:t xml:space="preserve"> </w:t>
            </w:r>
            <w:proofErr w:type="spellStart"/>
            <w:r w:rsidRPr="00EB1385">
              <w:rPr>
                <w:sz w:val="20"/>
                <w:szCs w:val="20"/>
              </w:rPr>
              <w:t>Ellipta</w:t>
            </w:r>
            <w:proofErr w:type="spellEnd"/>
            <w:r w:rsidRPr="00EB1385">
              <w:rPr>
                <w:sz w:val="20"/>
                <w:szCs w:val="20"/>
              </w:rPr>
              <w:t xml:space="preserve"> </w:t>
            </w:r>
            <w:r w:rsidR="00661CFC" w:rsidRPr="00EB1385">
              <w:rPr>
                <w:sz w:val="20"/>
                <w:szCs w:val="20"/>
              </w:rPr>
              <w:t>is indicated for symptomatic treatment of patients with COPD with a FEV1 &lt;</w:t>
            </w:r>
            <w:r>
              <w:rPr>
                <w:sz w:val="20"/>
                <w:szCs w:val="20"/>
              </w:rPr>
              <w:t xml:space="preserve"> </w:t>
            </w:r>
            <w:r w:rsidR="00661CFC" w:rsidRPr="00EB1385">
              <w:rPr>
                <w:sz w:val="20"/>
                <w:szCs w:val="20"/>
              </w:rPr>
              <w:t xml:space="preserve">70% predicted normal (post-bronchodilator) in patients with an exacerbation history despite regular bronchodilator therapy. </w:t>
            </w:r>
          </w:p>
        </w:tc>
      </w:tr>
      <w:tr w:rsidR="00661CFC" w:rsidRPr="00EB1385" w14:paraId="33698106" w14:textId="77777777" w:rsidTr="00661CFC">
        <w:tc>
          <w:tcPr>
            <w:tcW w:w="3025" w:type="dxa"/>
          </w:tcPr>
          <w:p w14:paraId="29D70B5B" w14:textId="77777777" w:rsidR="00661CFC" w:rsidRPr="00EB1385" w:rsidRDefault="00EB1385" w:rsidP="00EB1385">
            <w:pPr>
              <w:ind w:left="0" w:right="0"/>
              <w:rPr>
                <w:sz w:val="20"/>
                <w:szCs w:val="20"/>
              </w:rPr>
            </w:pPr>
            <w:r w:rsidRPr="00EB1385">
              <w:rPr>
                <w:sz w:val="20"/>
                <w:szCs w:val="20"/>
              </w:rPr>
              <w:t>Symbicort eformoterol/budesonide</w:t>
            </w:r>
          </w:p>
        </w:tc>
        <w:tc>
          <w:tcPr>
            <w:tcW w:w="5730" w:type="dxa"/>
          </w:tcPr>
          <w:p w14:paraId="39DB76CE" w14:textId="77777777" w:rsidR="00661CFC" w:rsidRPr="00EB1385" w:rsidRDefault="00EB1385" w:rsidP="00EB1385">
            <w:pPr>
              <w:ind w:left="0" w:right="0"/>
              <w:rPr>
                <w:sz w:val="20"/>
                <w:szCs w:val="20"/>
              </w:rPr>
            </w:pPr>
            <w:r w:rsidRPr="00EB1385">
              <w:rPr>
                <w:sz w:val="20"/>
                <w:szCs w:val="20"/>
              </w:rPr>
              <w:t xml:space="preserve">Symbicort 200/6 is indicated for the symptomatic treatment of moderate to severe COPD (FEV1 </w:t>
            </w:r>
            <w:r w:rsidR="00FE4E85">
              <w:rPr>
                <w:sz w:val="20"/>
                <w:szCs w:val="20"/>
              </w:rPr>
              <w:t>≤</w:t>
            </w:r>
            <w:r w:rsidR="008E65BA">
              <w:rPr>
                <w:sz w:val="20"/>
                <w:szCs w:val="20"/>
              </w:rPr>
              <w:t xml:space="preserve"> </w:t>
            </w:r>
            <w:r w:rsidRPr="00EB1385">
              <w:rPr>
                <w:sz w:val="20"/>
                <w:szCs w:val="20"/>
              </w:rPr>
              <w:t>50% predicted normal) in adults with frequent symptoms despite long-acting bronchodilator use, and/or a history of recurrent exacerbations.</w:t>
            </w:r>
            <w:r w:rsidR="00FE4E85">
              <w:rPr>
                <w:sz w:val="20"/>
                <w:szCs w:val="20"/>
              </w:rPr>
              <w:t xml:space="preserve"> </w:t>
            </w:r>
            <w:r w:rsidRPr="00EB1385">
              <w:rPr>
                <w:sz w:val="20"/>
                <w:szCs w:val="20"/>
              </w:rPr>
              <w:t>Symbicort is not indicated for the initiation of bronchodilator therapy in COPD.</w:t>
            </w:r>
          </w:p>
        </w:tc>
      </w:tr>
    </w:tbl>
    <w:p w14:paraId="768F094D" w14:textId="77777777" w:rsidR="008E7846" w:rsidRPr="003F31A2" w:rsidRDefault="00386150" w:rsidP="008E7846">
      <w:pPr>
        <w:pStyle w:val="Heading3"/>
      </w:pPr>
      <w:bookmarkStart w:id="16" w:name="_Toc314842485"/>
      <w:bookmarkStart w:id="17" w:name="_Toc247691504"/>
      <w:bookmarkStart w:id="18" w:name="_Toc525732532"/>
      <w:r>
        <w:t>Regulatory s</w:t>
      </w:r>
      <w:r w:rsidR="008E7846">
        <w:t>tatus</w:t>
      </w:r>
      <w:bookmarkEnd w:id="16"/>
      <w:bookmarkEnd w:id="17"/>
      <w:bookmarkEnd w:id="18"/>
    </w:p>
    <w:p w14:paraId="6864CA61" w14:textId="77777777" w:rsidR="00940A89" w:rsidRDefault="00940A89" w:rsidP="00940A89">
      <w:bookmarkStart w:id="19" w:name="_Toc247691505"/>
      <w:bookmarkStart w:id="20" w:name="_Toc314842486"/>
      <w:r w:rsidRPr="00940A89">
        <w:t>The product received initial registration on the Australian Register of Therapeutic Goods (ARTG)</w:t>
      </w:r>
      <w:r w:rsidR="00374BCE">
        <w:t xml:space="preserve"> (Submission PM-2012-04395-1-5)</w:t>
      </w:r>
      <w:r w:rsidRPr="00940A89">
        <w:t xml:space="preserve"> on</w:t>
      </w:r>
      <w:r w:rsidR="003A54EF">
        <w:t xml:space="preserve"> 21 March 2014 for the indication:</w:t>
      </w:r>
    </w:p>
    <w:p w14:paraId="7DB4CB5E" w14:textId="77777777" w:rsidR="003A54EF" w:rsidRPr="003A54EF" w:rsidRDefault="003A54EF" w:rsidP="003A54EF">
      <w:pPr>
        <w:ind w:left="720"/>
        <w:rPr>
          <w:i/>
        </w:rPr>
      </w:pPr>
      <w:r w:rsidRPr="003A54EF">
        <w:rPr>
          <w:i/>
        </w:rPr>
        <w:t>U</w:t>
      </w:r>
      <w:r w:rsidR="008E65BA" w:rsidRPr="003A54EF">
        <w:rPr>
          <w:i/>
        </w:rPr>
        <w:t>ltibro</w:t>
      </w:r>
      <w:r w:rsidRPr="003A54EF">
        <w:rPr>
          <w:i/>
        </w:rPr>
        <w:t xml:space="preserve"> B</w:t>
      </w:r>
      <w:r w:rsidR="008E65BA" w:rsidRPr="003A54EF">
        <w:rPr>
          <w:i/>
        </w:rPr>
        <w:t>reezhaler</w:t>
      </w:r>
      <w:r w:rsidRPr="003A54EF">
        <w:rPr>
          <w:i/>
        </w:rPr>
        <w:t xml:space="preserve"> 110/50 is indicated as a once daily maintenance bronchodilator treatment to relieve symptoms in patients with chronic obstructive pulmonary disease (COPD)</w:t>
      </w:r>
      <w:r w:rsidR="00BF580B">
        <w:rPr>
          <w:i/>
        </w:rPr>
        <w:t>.</w:t>
      </w:r>
    </w:p>
    <w:p w14:paraId="1BEAD714" w14:textId="77777777" w:rsidR="00374BCE" w:rsidRDefault="00940A89" w:rsidP="00940A89">
      <w:r w:rsidRPr="00940A89">
        <w:t>At the time the TGA considered this application, a similar application was under co</w:t>
      </w:r>
      <w:r>
        <w:t xml:space="preserve">nsideration in </w:t>
      </w:r>
      <w:r w:rsidR="00CA69D2">
        <w:t>Canada (submitted September 2016)</w:t>
      </w:r>
      <w:r>
        <w:t>.</w:t>
      </w:r>
    </w:p>
    <w:p w14:paraId="3D19AA4F" w14:textId="77777777" w:rsidR="00833076" w:rsidRDefault="00CA69D2" w:rsidP="00940A89">
      <w:r>
        <w:lastRenderedPageBreak/>
        <w:t>No submissions for of change of indication were under consideration in any other country at the time this application was reviewed.</w:t>
      </w:r>
      <w:r w:rsidR="00374BCE">
        <w:t xml:space="preserve"> However a</w:t>
      </w:r>
      <w:r w:rsidR="00374BCE" w:rsidRPr="003342AD">
        <w:t xml:space="preserve">n application was made to the </w:t>
      </w:r>
      <w:r w:rsidR="002959FB">
        <w:t>European Medicines Agency (</w:t>
      </w:r>
      <w:r w:rsidR="00374BCE" w:rsidRPr="003342AD">
        <w:t>EMA</w:t>
      </w:r>
      <w:r w:rsidR="002959FB">
        <w:t>)</w:t>
      </w:r>
      <w:r w:rsidR="00374BCE" w:rsidRPr="003342AD">
        <w:t xml:space="preserve"> to include information about the FLAME study in the clinical trials section</w:t>
      </w:r>
      <w:r w:rsidR="00374BCE">
        <w:t xml:space="preserve"> of the </w:t>
      </w:r>
      <w:r w:rsidR="002959FB">
        <w:t>Summary of Product Characteristics (</w:t>
      </w:r>
      <w:proofErr w:type="spellStart"/>
      <w:r w:rsidR="00374BCE">
        <w:t>SmPC</w:t>
      </w:r>
      <w:proofErr w:type="spellEnd"/>
      <w:r w:rsidR="002959FB">
        <w:t>)</w:t>
      </w:r>
      <w:r w:rsidR="00833076">
        <w:t>.</w:t>
      </w:r>
    </w:p>
    <w:p w14:paraId="7938C5C3" w14:textId="680FB182" w:rsidR="008E7846" w:rsidRDefault="008E7846" w:rsidP="00940A89">
      <w:pPr>
        <w:pStyle w:val="Heading3"/>
      </w:pPr>
      <w:bookmarkStart w:id="21" w:name="_Toc525732533"/>
      <w:r>
        <w:t>Product Information</w:t>
      </w:r>
      <w:bookmarkEnd w:id="19"/>
      <w:bookmarkEnd w:id="20"/>
      <w:bookmarkEnd w:id="21"/>
    </w:p>
    <w:p w14:paraId="1207BECE" w14:textId="5CEAF33B"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8E65BA">
        <w:t>&gt;</w:t>
      </w:r>
      <w:r w:rsidR="00940A89" w:rsidRPr="00940A89">
        <w:t>.</w:t>
      </w:r>
    </w:p>
    <w:p w14:paraId="4E2FAD24" w14:textId="77777777" w:rsidR="00500337" w:rsidRDefault="00500337" w:rsidP="00500337">
      <w:pPr>
        <w:pStyle w:val="Heading2"/>
      </w:pPr>
      <w:bookmarkStart w:id="24" w:name="_Toc504480011"/>
      <w:bookmarkStart w:id="25" w:name="_Toc525732534"/>
      <w:r>
        <w:t>II. Registration time line</w:t>
      </w:r>
      <w:bookmarkEnd w:id="24"/>
      <w:bookmarkEnd w:id="25"/>
    </w:p>
    <w:p w14:paraId="161222C9" w14:textId="77777777" w:rsidR="00500337" w:rsidRDefault="00500337" w:rsidP="00500337">
      <w:r>
        <w:t>The following table captures the key steps and dates for this application and which are detailed and discussed in this AusPAR and Attachment 2.</w:t>
      </w:r>
    </w:p>
    <w:p w14:paraId="50CD314A" w14:textId="77777777" w:rsidR="00500337" w:rsidRPr="00BF580B" w:rsidRDefault="008E65BA" w:rsidP="00BF580B">
      <w:pPr>
        <w:pStyle w:val="Tabletitle0"/>
      </w:pPr>
      <w:r>
        <w:t xml:space="preserve">Table 2: </w:t>
      </w:r>
      <w:r w:rsidR="00BF580B">
        <w:t>Registration timeline for Submission PM-2016-02734-1-5</w:t>
      </w:r>
    </w:p>
    <w:tbl>
      <w:tblPr>
        <w:tblStyle w:val="TableTGAblue"/>
        <w:tblW w:w="0" w:type="auto"/>
        <w:tblLook w:val="04A0" w:firstRow="1" w:lastRow="0" w:firstColumn="1" w:lastColumn="0" w:noHBand="0" w:noVBand="1"/>
      </w:tblPr>
      <w:tblGrid>
        <w:gridCol w:w="4360"/>
        <w:gridCol w:w="4360"/>
      </w:tblGrid>
      <w:tr w:rsidR="00500337" w14:paraId="28B35F22"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6AE8CD88" w14:textId="77777777" w:rsidR="00500337" w:rsidRDefault="00500337" w:rsidP="00500337">
            <w:pPr>
              <w:ind w:left="0" w:right="0"/>
            </w:pPr>
            <w:r>
              <w:t>Description</w:t>
            </w:r>
          </w:p>
        </w:tc>
        <w:tc>
          <w:tcPr>
            <w:tcW w:w="4360" w:type="dxa"/>
          </w:tcPr>
          <w:p w14:paraId="0021B898" w14:textId="77777777" w:rsidR="00500337" w:rsidRDefault="00500337" w:rsidP="00500337">
            <w:pPr>
              <w:ind w:left="0" w:right="0"/>
            </w:pPr>
            <w:r>
              <w:t>Date</w:t>
            </w:r>
          </w:p>
        </w:tc>
      </w:tr>
      <w:tr w:rsidR="00500337" w14:paraId="60A2D1E7" w14:textId="77777777" w:rsidTr="00500337">
        <w:tc>
          <w:tcPr>
            <w:tcW w:w="4360" w:type="dxa"/>
          </w:tcPr>
          <w:p w14:paraId="045572E0" w14:textId="77777777" w:rsidR="00500337" w:rsidRDefault="00500337" w:rsidP="00500337">
            <w:pPr>
              <w:ind w:left="0" w:right="0"/>
            </w:pPr>
            <w:r>
              <w:t>Submission dossier accepted and first round evaluation commenced</w:t>
            </w:r>
          </w:p>
        </w:tc>
        <w:tc>
          <w:tcPr>
            <w:tcW w:w="4360" w:type="dxa"/>
          </w:tcPr>
          <w:p w14:paraId="5D249CDE" w14:textId="77777777" w:rsidR="00500337" w:rsidRDefault="002D4183" w:rsidP="00500337">
            <w:pPr>
              <w:ind w:left="0" w:right="0"/>
            </w:pPr>
            <w:r>
              <w:t>31 October 2016</w:t>
            </w:r>
          </w:p>
        </w:tc>
      </w:tr>
      <w:tr w:rsidR="00500337" w14:paraId="6F16DC1D" w14:textId="77777777" w:rsidTr="00500337">
        <w:tc>
          <w:tcPr>
            <w:tcW w:w="4360" w:type="dxa"/>
          </w:tcPr>
          <w:p w14:paraId="615B8247" w14:textId="77777777" w:rsidR="00500337" w:rsidRDefault="00500337" w:rsidP="00500337">
            <w:pPr>
              <w:ind w:left="0" w:right="0"/>
            </w:pPr>
            <w:r>
              <w:t>First round evaluation completed</w:t>
            </w:r>
          </w:p>
        </w:tc>
        <w:tc>
          <w:tcPr>
            <w:tcW w:w="4360" w:type="dxa"/>
          </w:tcPr>
          <w:p w14:paraId="0EA1C533" w14:textId="77777777" w:rsidR="00500337" w:rsidRDefault="002D4183" w:rsidP="00500337">
            <w:pPr>
              <w:ind w:left="0" w:right="0"/>
            </w:pPr>
            <w:r>
              <w:t>9 March 2017</w:t>
            </w:r>
          </w:p>
        </w:tc>
      </w:tr>
      <w:tr w:rsidR="00500337" w14:paraId="483B6D7C" w14:textId="77777777" w:rsidTr="00500337">
        <w:tc>
          <w:tcPr>
            <w:tcW w:w="4360" w:type="dxa"/>
          </w:tcPr>
          <w:p w14:paraId="5B073347" w14:textId="77777777" w:rsidR="00500337" w:rsidRDefault="00500337" w:rsidP="00500337">
            <w:pPr>
              <w:ind w:left="0" w:right="0"/>
            </w:pPr>
            <w:r>
              <w:t>Sponsor provides responses on questions raised in first round evaluation</w:t>
            </w:r>
          </w:p>
        </w:tc>
        <w:tc>
          <w:tcPr>
            <w:tcW w:w="4360" w:type="dxa"/>
          </w:tcPr>
          <w:p w14:paraId="3E47169D" w14:textId="77777777" w:rsidR="00500337" w:rsidRDefault="002D4183" w:rsidP="00500337">
            <w:pPr>
              <w:ind w:left="0" w:right="0"/>
            </w:pPr>
            <w:r>
              <w:t>5 April 2017</w:t>
            </w:r>
          </w:p>
        </w:tc>
      </w:tr>
      <w:tr w:rsidR="00500337" w14:paraId="57362D83" w14:textId="77777777" w:rsidTr="00500337">
        <w:tc>
          <w:tcPr>
            <w:tcW w:w="4360" w:type="dxa"/>
          </w:tcPr>
          <w:p w14:paraId="2AE40FD4" w14:textId="77777777" w:rsidR="00500337" w:rsidRDefault="00500337" w:rsidP="00500337">
            <w:pPr>
              <w:ind w:left="0" w:right="0"/>
            </w:pPr>
            <w:r>
              <w:t>Second round evaluation completed</w:t>
            </w:r>
          </w:p>
        </w:tc>
        <w:tc>
          <w:tcPr>
            <w:tcW w:w="4360" w:type="dxa"/>
          </w:tcPr>
          <w:p w14:paraId="0A40136F" w14:textId="77777777" w:rsidR="00500337" w:rsidRDefault="00232513" w:rsidP="00500337">
            <w:pPr>
              <w:ind w:left="0" w:right="0"/>
            </w:pPr>
            <w:r>
              <w:t>25</w:t>
            </w:r>
            <w:r w:rsidR="002D4183">
              <w:t xml:space="preserve"> May 2017</w:t>
            </w:r>
          </w:p>
        </w:tc>
      </w:tr>
      <w:tr w:rsidR="00500337" w14:paraId="01E3AA3E" w14:textId="77777777" w:rsidTr="00500337">
        <w:tc>
          <w:tcPr>
            <w:tcW w:w="4360" w:type="dxa"/>
          </w:tcPr>
          <w:p w14:paraId="547CF087" w14:textId="77777777" w:rsidR="00500337" w:rsidRDefault="00500337" w:rsidP="00500337">
            <w:pPr>
              <w:ind w:left="0" w:right="0"/>
            </w:pPr>
            <w:r>
              <w:t>Delegate’s Overall benefit-risk assessment and request for Advisory Committee advice</w:t>
            </w:r>
          </w:p>
        </w:tc>
        <w:tc>
          <w:tcPr>
            <w:tcW w:w="4360" w:type="dxa"/>
          </w:tcPr>
          <w:p w14:paraId="58244122" w14:textId="77777777" w:rsidR="00500337" w:rsidRDefault="00232513" w:rsidP="00500337">
            <w:pPr>
              <w:ind w:left="0" w:right="0"/>
            </w:pPr>
            <w:r>
              <w:t>25 May 2017</w:t>
            </w:r>
          </w:p>
        </w:tc>
      </w:tr>
      <w:tr w:rsidR="00500337" w14:paraId="1F7D7FC3" w14:textId="77777777" w:rsidTr="00500337">
        <w:tc>
          <w:tcPr>
            <w:tcW w:w="4360" w:type="dxa"/>
          </w:tcPr>
          <w:p w14:paraId="1606CDCA" w14:textId="77777777" w:rsidR="00500337" w:rsidRDefault="00500337" w:rsidP="00500337">
            <w:pPr>
              <w:ind w:left="0" w:right="0"/>
            </w:pPr>
            <w:r>
              <w:t>Sponsor’s pre-Advisory Committee response</w:t>
            </w:r>
          </w:p>
        </w:tc>
        <w:tc>
          <w:tcPr>
            <w:tcW w:w="4360" w:type="dxa"/>
          </w:tcPr>
          <w:p w14:paraId="1E1179E1" w14:textId="77777777" w:rsidR="00500337" w:rsidRDefault="002D4183" w:rsidP="00500337">
            <w:pPr>
              <w:ind w:left="0" w:right="0"/>
            </w:pPr>
            <w:r>
              <w:t>17 July 2017</w:t>
            </w:r>
          </w:p>
        </w:tc>
      </w:tr>
      <w:tr w:rsidR="00500337" w14:paraId="349FFA0A" w14:textId="77777777" w:rsidTr="00500337">
        <w:tc>
          <w:tcPr>
            <w:tcW w:w="4360" w:type="dxa"/>
          </w:tcPr>
          <w:p w14:paraId="2C9B1935" w14:textId="77777777" w:rsidR="00500337" w:rsidRDefault="00500337" w:rsidP="00500337">
            <w:pPr>
              <w:ind w:left="0" w:right="0"/>
            </w:pPr>
            <w:r>
              <w:t>Advisory Committee meeting</w:t>
            </w:r>
          </w:p>
        </w:tc>
        <w:tc>
          <w:tcPr>
            <w:tcW w:w="4360" w:type="dxa"/>
          </w:tcPr>
          <w:p w14:paraId="5522D707" w14:textId="77777777" w:rsidR="00500337" w:rsidRDefault="002D4183" w:rsidP="00500337">
            <w:pPr>
              <w:ind w:left="0" w:right="0"/>
            </w:pPr>
            <w:r>
              <w:t>August 2017</w:t>
            </w:r>
          </w:p>
        </w:tc>
      </w:tr>
      <w:tr w:rsidR="00500337" w14:paraId="56F11EB8" w14:textId="77777777" w:rsidTr="00500337">
        <w:tc>
          <w:tcPr>
            <w:tcW w:w="4360" w:type="dxa"/>
          </w:tcPr>
          <w:p w14:paraId="78482AF2" w14:textId="77777777" w:rsidR="00500337" w:rsidRDefault="00500337" w:rsidP="00500337">
            <w:pPr>
              <w:ind w:left="0" w:right="0"/>
            </w:pPr>
            <w:r>
              <w:t>Registration decision (Outcome)</w:t>
            </w:r>
          </w:p>
        </w:tc>
        <w:tc>
          <w:tcPr>
            <w:tcW w:w="4360" w:type="dxa"/>
          </w:tcPr>
          <w:p w14:paraId="03A4738A" w14:textId="77777777" w:rsidR="00500337" w:rsidRDefault="002D4183" w:rsidP="00500337">
            <w:pPr>
              <w:ind w:left="0" w:right="0"/>
            </w:pPr>
            <w:r>
              <w:t>4 September 2017</w:t>
            </w:r>
          </w:p>
        </w:tc>
      </w:tr>
      <w:tr w:rsidR="00500337" w14:paraId="05D78BF6" w14:textId="77777777" w:rsidTr="00500337">
        <w:tc>
          <w:tcPr>
            <w:tcW w:w="4360" w:type="dxa"/>
          </w:tcPr>
          <w:p w14:paraId="7B344B69" w14:textId="77777777" w:rsidR="00500337" w:rsidRDefault="00500337" w:rsidP="00500337">
            <w:pPr>
              <w:ind w:left="0" w:right="0"/>
            </w:pPr>
            <w:r>
              <w:t>Completion of administrative activities and registration on ARTG</w:t>
            </w:r>
          </w:p>
        </w:tc>
        <w:tc>
          <w:tcPr>
            <w:tcW w:w="4360" w:type="dxa"/>
          </w:tcPr>
          <w:p w14:paraId="203E01CB" w14:textId="77777777" w:rsidR="00500337" w:rsidRDefault="002D4183" w:rsidP="00500337">
            <w:pPr>
              <w:ind w:left="0" w:right="0"/>
            </w:pPr>
            <w:r>
              <w:t>6 September 2017</w:t>
            </w:r>
          </w:p>
        </w:tc>
      </w:tr>
      <w:tr w:rsidR="00500337" w14:paraId="1003FB4C" w14:textId="77777777" w:rsidTr="00500337">
        <w:tc>
          <w:tcPr>
            <w:tcW w:w="4360" w:type="dxa"/>
          </w:tcPr>
          <w:p w14:paraId="39210D39" w14:textId="77777777" w:rsidR="00500337" w:rsidRDefault="00500337" w:rsidP="00500337">
            <w:pPr>
              <w:ind w:left="0" w:right="0"/>
            </w:pPr>
            <w:r>
              <w:t>Number of working days from submission dossier acceptance to registration decision*</w:t>
            </w:r>
          </w:p>
        </w:tc>
        <w:tc>
          <w:tcPr>
            <w:tcW w:w="4360" w:type="dxa"/>
          </w:tcPr>
          <w:p w14:paraId="440507AB" w14:textId="77777777" w:rsidR="00500337" w:rsidRDefault="002D4183" w:rsidP="00500337">
            <w:pPr>
              <w:ind w:left="0" w:right="0"/>
            </w:pPr>
            <w:r>
              <w:t>193</w:t>
            </w:r>
          </w:p>
        </w:tc>
      </w:tr>
    </w:tbl>
    <w:p w14:paraId="03CC53BA" w14:textId="77777777" w:rsidR="00500337" w:rsidRDefault="00500337" w:rsidP="00500337">
      <w:pPr>
        <w:pStyle w:val="TableDescription"/>
      </w:pPr>
      <w:r>
        <w:t>*</w:t>
      </w:r>
      <w:r w:rsidR="002D4183">
        <w:t xml:space="preserve">Statutory timeframe </w:t>
      </w:r>
      <w:r w:rsidR="003A54EF">
        <w:t>255 working days.</w:t>
      </w:r>
    </w:p>
    <w:p w14:paraId="50B4B420" w14:textId="77777777" w:rsidR="008E7846" w:rsidRPr="003602A9" w:rsidRDefault="00500337" w:rsidP="008E7846">
      <w:pPr>
        <w:pStyle w:val="Heading2"/>
        <w:ind w:left="-11"/>
      </w:pPr>
      <w:bookmarkStart w:id="26" w:name="_Toc525732535"/>
      <w:r>
        <w:t>I</w:t>
      </w:r>
      <w:r w:rsidR="008E7846">
        <w:t>II. Quality</w:t>
      </w:r>
      <w:bookmarkEnd w:id="2"/>
      <w:r w:rsidR="008E7846">
        <w:t xml:space="preserve"> findings</w:t>
      </w:r>
      <w:bookmarkEnd w:id="22"/>
      <w:bookmarkEnd w:id="23"/>
      <w:bookmarkEnd w:id="26"/>
    </w:p>
    <w:p w14:paraId="3F6F1A40" w14:textId="77777777" w:rsidR="008E7846" w:rsidRDefault="00940A89" w:rsidP="008E7846">
      <w:bookmarkStart w:id="27" w:name="_Toc247691507"/>
      <w:bookmarkStart w:id="28" w:name="_Toc314842488"/>
      <w:r w:rsidRPr="00940A89">
        <w:t>There was no requirement for a quality evaluation in a submission of this type.</w:t>
      </w:r>
      <w:bookmarkEnd w:id="27"/>
      <w:bookmarkEnd w:id="28"/>
    </w:p>
    <w:p w14:paraId="244ECEEF" w14:textId="77777777" w:rsidR="008E7846" w:rsidRDefault="008E7846" w:rsidP="008E7846">
      <w:pPr>
        <w:pStyle w:val="Heading2"/>
      </w:pPr>
      <w:bookmarkStart w:id="29" w:name="_Toc196046439"/>
      <w:bookmarkStart w:id="30" w:name="_Toc247691510"/>
      <w:bookmarkStart w:id="31" w:name="_Toc314842494"/>
      <w:bookmarkStart w:id="32" w:name="_Toc525732536"/>
      <w:r>
        <w:lastRenderedPageBreak/>
        <w:t>I</w:t>
      </w:r>
      <w:r w:rsidR="00500337">
        <w:t>V</w:t>
      </w:r>
      <w:r>
        <w:t>. Nonclinical</w:t>
      </w:r>
      <w:bookmarkEnd w:id="29"/>
      <w:r>
        <w:t xml:space="preserve"> findings</w:t>
      </w:r>
      <w:bookmarkEnd w:id="30"/>
      <w:bookmarkEnd w:id="31"/>
      <w:bookmarkEnd w:id="32"/>
    </w:p>
    <w:p w14:paraId="7E657DD0" w14:textId="77777777" w:rsidR="004334C7" w:rsidRPr="004334C7" w:rsidRDefault="00940A89" w:rsidP="004334C7">
      <w:bookmarkStart w:id="33" w:name="_Toc247691511"/>
      <w:bookmarkStart w:id="34" w:name="_Toc314842495"/>
      <w:r>
        <w:t>There was no requirement for a nonclinical evaluation in a submission of this type.</w:t>
      </w:r>
      <w:bookmarkEnd w:id="33"/>
      <w:bookmarkEnd w:id="34"/>
    </w:p>
    <w:p w14:paraId="16989059" w14:textId="77777777" w:rsidR="008E7846" w:rsidRPr="00254787" w:rsidRDefault="008E7846" w:rsidP="008E7846">
      <w:pPr>
        <w:pStyle w:val="Heading2"/>
      </w:pPr>
      <w:bookmarkStart w:id="35" w:name="_Toc196046462"/>
      <w:bookmarkStart w:id="36" w:name="_Toc247691516"/>
      <w:bookmarkStart w:id="37" w:name="_Toc314842500"/>
      <w:bookmarkStart w:id="38" w:name="_Toc525732537"/>
      <w:bookmarkStart w:id="39" w:name="_Toc163441353"/>
      <w:bookmarkStart w:id="40" w:name="_Toc163441348"/>
      <w:r>
        <w:t xml:space="preserve">V. </w:t>
      </w:r>
      <w:r w:rsidRPr="00254787">
        <w:t>Clinical</w:t>
      </w:r>
      <w:bookmarkEnd w:id="35"/>
      <w:r>
        <w:t xml:space="preserve"> </w:t>
      </w:r>
      <w:r w:rsidR="003A7F6C">
        <w:t>f</w:t>
      </w:r>
      <w:r>
        <w:t>indings</w:t>
      </w:r>
      <w:bookmarkEnd w:id="36"/>
      <w:bookmarkEnd w:id="37"/>
      <w:bookmarkEnd w:id="38"/>
    </w:p>
    <w:p w14:paraId="75E65C81" w14:textId="77777777" w:rsidR="00C80137" w:rsidRDefault="00C80137" w:rsidP="00D425BB">
      <w:bookmarkStart w:id="41"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2177A738" w14:textId="77777777" w:rsidR="008E7846" w:rsidRDefault="008E7846" w:rsidP="008E7846">
      <w:pPr>
        <w:pStyle w:val="Heading3"/>
      </w:pPr>
      <w:bookmarkStart w:id="42" w:name="_Toc247691517"/>
      <w:bookmarkStart w:id="43" w:name="_Toc314842501"/>
      <w:bookmarkStart w:id="44" w:name="_Toc525732538"/>
      <w:r w:rsidRPr="00254787">
        <w:t>Introduction</w:t>
      </w:r>
      <w:bookmarkEnd w:id="41"/>
      <w:bookmarkEnd w:id="42"/>
      <w:bookmarkEnd w:id="43"/>
      <w:bookmarkEnd w:id="44"/>
    </w:p>
    <w:p w14:paraId="0656C79E" w14:textId="77777777" w:rsidR="00605AD4" w:rsidRDefault="00605AD4" w:rsidP="00605AD4">
      <w:pPr>
        <w:pStyle w:val="Heading4"/>
      </w:pPr>
      <w:bookmarkStart w:id="45" w:name="_Toc196046464"/>
      <w:bookmarkStart w:id="46" w:name="_Toc247691518"/>
      <w:bookmarkStart w:id="47" w:name="_Toc314842502"/>
      <w:r w:rsidRPr="00605AD4">
        <w:t xml:space="preserve">Clinical </w:t>
      </w:r>
      <w:r w:rsidR="00EF59DC">
        <w:t>r</w:t>
      </w:r>
      <w:r w:rsidRPr="00605AD4">
        <w:t>ationale</w:t>
      </w:r>
    </w:p>
    <w:p w14:paraId="4A34BBAF" w14:textId="77777777" w:rsidR="00500337" w:rsidRPr="00500337" w:rsidRDefault="00750EC2" w:rsidP="00500337">
      <w:r w:rsidRPr="00051905">
        <w:t>Refer</w:t>
      </w:r>
      <w:r>
        <w:t>ence is made to the clinical evaluation report for Submission PM-2012-4395-1-</w:t>
      </w:r>
      <w:r w:rsidRPr="00051905">
        <w:t>5</w:t>
      </w:r>
      <w:bookmarkStart w:id="48" w:name="_Ref518646685"/>
      <w:r w:rsidR="00BF580B">
        <w:rPr>
          <w:rStyle w:val="FootnoteReference"/>
        </w:rPr>
        <w:footnoteReference w:id="2"/>
      </w:r>
      <w:bookmarkEnd w:id="48"/>
      <w:r w:rsidRPr="00051905">
        <w:t>.</w:t>
      </w:r>
    </w:p>
    <w:p w14:paraId="641106C2" w14:textId="77777777" w:rsidR="00605AD4" w:rsidRDefault="00605AD4" w:rsidP="00605AD4">
      <w:pPr>
        <w:pStyle w:val="Heading4"/>
      </w:pPr>
      <w:r w:rsidRPr="00605AD4">
        <w:t>Paediatric data</w:t>
      </w:r>
    </w:p>
    <w:p w14:paraId="7C3D26AD" w14:textId="77777777" w:rsidR="00500337" w:rsidRPr="00500337" w:rsidRDefault="00750EC2" w:rsidP="00500337">
      <w:pPr>
        <w:rPr>
          <w:lang w:eastAsia="ja-JP"/>
        </w:rPr>
      </w:pPr>
      <w:r>
        <w:rPr>
          <w:lang w:eastAsia="ja-JP"/>
        </w:rPr>
        <w:t>Not applicable.</w:t>
      </w:r>
    </w:p>
    <w:p w14:paraId="5101B1C2" w14:textId="77777777" w:rsidR="00605AD4" w:rsidRDefault="00605AD4" w:rsidP="00605AD4">
      <w:pPr>
        <w:pStyle w:val="Heading4"/>
      </w:pPr>
      <w:r w:rsidRPr="00605AD4">
        <w:t>Good clinical practice</w:t>
      </w:r>
    </w:p>
    <w:p w14:paraId="490D4381" w14:textId="71326B20" w:rsidR="00500337" w:rsidRPr="00500337" w:rsidRDefault="00750EC2" w:rsidP="00500337">
      <w:r w:rsidRPr="00AA4E90">
        <w:t xml:space="preserve">The study has been conducted in full compliance with </w:t>
      </w:r>
      <w:r w:rsidR="002959FB">
        <w:t>Good Clinical Practice (GCP).</w:t>
      </w:r>
    </w:p>
    <w:p w14:paraId="1CE39883" w14:textId="77777777" w:rsidR="008E7846" w:rsidRDefault="008E7846" w:rsidP="00605AD4">
      <w:pPr>
        <w:pStyle w:val="Heading3"/>
      </w:pPr>
      <w:bookmarkStart w:id="49" w:name="_Toc525732539"/>
      <w:r w:rsidRPr="00254787">
        <w:t>Pharmacokinetics</w:t>
      </w:r>
      <w:bookmarkEnd w:id="39"/>
      <w:bookmarkEnd w:id="45"/>
      <w:bookmarkEnd w:id="46"/>
      <w:bookmarkEnd w:id="47"/>
      <w:bookmarkEnd w:id="49"/>
    </w:p>
    <w:p w14:paraId="625E9B9A" w14:textId="69F4E2F8" w:rsidR="00500337" w:rsidRPr="00500337" w:rsidRDefault="00750EC2" w:rsidP="00500337">
      <w:r w:rsidRPr="00AA4E90">
        <w:t>Not submitted</w:t>
      </w:r>
      <w:r w:rsidR="002959FB">
        <w:t>.</w:t>
      </w:r>
    </w:p>
    <w:p w14:paraId="62843DC2" w14:textId="77777777" w:rsidR="008E7846" w:rsidRDefault="008E7846" w:rsidP="008E7846">
      <w:pPr>
        <w:pStyle w:val="Heading3"/>
      </w:pPr>
      <w:bookmarkStart w:id="50" w:name="_Toc196046481"/>
      <w:bookmarkStart w:id="51" w:name="_Toc247691520"/>
      <w:bookmarkStart w:id="52" w:name="_Toc314842503"/>
      <w:bookmarkStart w:id="53" w:name="_Toc525732540"/>
      <w:r w:rsidRPr="00254787">
        <w:t>Pharmacodynamics</w:t>
      </w:r>
      <w:bookmarkEnd w:id="40"/>
      <w:bookmarkEnd w:id="50"/>
      <w:bookmarkEnd w:id="51"/>
      <w:bookmarkEnd w:id="52"/>
      <w:bookmarkEnd w:id="53"/>
    </w:p>
    <w:p w14:paraId="06421B04" w14:textId="72B42DBE" w:rsidR="00750EC2" w:rsidRPr="00750EC2" w:rsidRDefault="00750EC2" w:rsidP="00750EC2">
      <w:r w:rsidRPr="00AA4E90">
        <w:t>Not submitted</w:t>
      </w:r>
      <w:r w:rsidR="002959FB">
        <w:t>.</w:t>
      </w:r>
    </w:p>
    <w:p w14:paraId="31130C45" w14:textId="77777777" w:rsidR="008E7846" w:rsidRDefault="00605AD4" w:rsidP="00605AD4">
      <w:pPr>
        <w:pStyle w:val="Heading3"/>
      </w:pPr>
      <w:bookmarkStart w:id="54" w:name="_Toc525732541"/>
      <w:r>
        <w:t>Dosage selection for the pivotal studies</w:t>
      </w:r>
      <w:bookmarkEnd w:id="54"/>
    </w:p>
    <w:p w14:paraId="42CA8629" w14:textId="054BBBAD" w:rsidR="00750EC2" w:rsidRPr="00750EC2" w:rsidRDefault="00750EC2" w:rsidP="00750EC2">
      <w:r>
        <w:t>Not submitted</w:t>
      </w:r>
      <w:r w:rsidR="002959FB">
        <w:t>.</w:t>
      </w:r>
    </w:p>
    <w:p w14:paraId="6E89BD97" w14:textId="77777777" w:rsidR="008E7846" w:rsidRPr="00254787" w:rsidRDefault="008E7846" w:rsidP="008E7846">
      <w:pPr>
        <w:pStyle w:val="Heading3"/>
      </w:pPr>
      <w:bookmarkStart w:id="55" w:name="_Toc163441372"/>
      <w:bookmarkStart w:id="56" w:name="_Toc196046485"/>
      <w:bookmarkStart w:id="57" w:name="_Toc247691521"/>
      <w:bookmarkStart w:id="58" w:name="_Toc314842504"/>
      <w:bookmarkStart w:id="59" w:name="_Toc525732542"/>
      <w:r w:rsidRPr="00254787">
        <w:t>Efficacy</w:t>
      </w:r>
      <w:bookmarkEnd w:id="55"/>
      <w:bookmarkEnd w:id="56"/>
      <w:bookmarkEnd w:id="57"/>
      <w:bookmarkEnd w:id="58"/>
      <w:bookmarkEnd w:id="59"/>
    </w:p>
    <w:p w14:paraId="353B3CDF" w14:textId="77777777" w:rsidR="00605AD4" w:rsidRDefault="00605AD4" w:rsidP="00605AD4">
      <w:pPr>
        <w:pStyle w:val="Heading4"/>
      </w:pPr>
      <w:bookmarkStart w:id="60" w:name="_Toc184439992"/>
      <w:bookmarkStart w:id="61" w:name="_Toc184440279"/>
      <w:bookmarkStart w:id="62" w:name="_Toc184444657"/>
      <w:bookmarkStart w:id="63" w:name="_Toc196046487"/>
      <w:r>
        <w:t>Studies providing efficacy data</w:t>
      </w:r>
    </w:p>
    <w:p w14:paraId="3C9B09F5" w14:textId="77777777" w:rsidR="00500337" w:rsidRDefault="00750EC2" w:rsidP="00500337">
      <w:r w:rsidRPr="003B44F6">
        <w:t>One study</w:t>
      </w:r>
      <w:r>
        <w:t xml:space="preserve">, </w:t>
      </w:r>
      <w:r w:rsidRPr="00750EC2">
        <w:t>Study QVA149A2318</w:t>
      </w:r>
      <w:r>
        <w:t>,</w:t>
      </w:r>
      <w:r w:rsidRPr="003B44F6">
        <w:t xml:space="preserve"> has been submitted to support the extension of indication and the inclusion of the trial </w:t>
      </w:r>
      <w:r>
        <w:t>in the clinical trials section of the PI.</w:t>
      </w:r>
    </w:p>
    <w:p w14:paraId="22D9D8C4" w14:textId="364492A0" w:rsidR="00750EC2" w:rsidRPr="00500337" w:rsidRDefault="00750EC2" w:rsidP="00500337">
      <w:r w:rsidRPr="003B44F6">
        <w:t>Study</w:t>
      </w:r>
      <w:r>
        <w:t xml:space="preserve"> </w:t>
      </w:r>
      <w:r w:rsidRPr="003B44F6">
        <w:t>QVA149A2318</w:t>
      </w:r>
      <w:r w:rsidR="002959FB">
        <w:t xml:space="preserve"> was  a</w:t>
      </w:r>
      <w:r w:rsidRPr="003B44F6">
        <w:t xml:space="preserve"> </w:t>
      </w:r>
      <w:r>
        <w:t xml:space="preserve">52 week </w:t>
      </w:r>
      <w:r w:rsidRPr="003B44F6">
        <w:t xml:space="preserve">treatment, multi-centre, randomised, </w:t>
      </w:r>
      <w:r>
        <w:t>double blind</w:t>
      </w:r>
      <w:r w:rsidRPr="003B44F6">
        <w:t>, double dummy, parallel-group, active controlled study to compare the effect of QVA149 (indacaterol maleate /glycopyrronium bromide) with salmeterol/fluticasone on the rate of exacerbations in subjects with moderate to very severe COPD.</w:t>
      </w:r>
    </w:p>
    <w:p w14:paraId="1A5DAC19" w14:textId="77777777" w:rsidR="008E7846" w:rsidRDefault="00605AD4" w:rsidP="00605AD4">
      <w:pPr>
        <w:pStyle w:val="Heading4"/>
      </w:pPr>
      <w:r>
        <w:lastRenderedPageBreak/>
        <w:t>Evaluator’s conclusions on efficacy</w:t>
      </w:r>
    </w:p>
    <w:p w14:paraId="16A00D35" w14:textId="77777777" w:rsidR="00750EC2" w:rsidRPr="00DC41F7" w:rsidRDefault="00750EC2" w:rsidP="00750EC2">
      <w:r>
        <w:t>The sponsor’s clinical summary</w:t>
      </w:r>
      <w:r w:rsidRPr="00DC41F7">
        <w:t xml:space="preserve"> states that, in relation to COPD, </w:t>
      </w:r>
      <w:r>
        <w:t>‘</w:t>
      </w:r>
      <w:r w:rsidRPr="00DC41F7">
        <w:t xml:space="preserve">approximately 50% of patients, including those with only moderate airflow obstruction, have at least one exacerbation per year. Furthermore, 22% of COPD patients with moderate airflow obstruction and 33% of patients with severe obstruction have at least 2 exacerbations per </w:t>
      </w:r>
      <w:r w:rsidRPr="00F16C14">
        <w:t>year (Hurst et al 2010)</w:t>
      </w:r>
      <w:r w:rsidRPr="00F16C14">
        <w:rPr>
          <w:rStyle w:val="FootnoteReference"/>
        </w:rPr>
        <w:footnoteReference w:id="3"/>
      </w:r>
      <w:r w:rsidRPr="00F16C14">
        <w:t>.</w:t>
      </w:r>
      <w:r w:rsidRPr="00DC41F7">
        <w:t xml:space="preserve"> Exacerbations impact patients of varying COPD severities. The prevention of only one COPD exacerbation of any severity may have a significant effect on patient outcomes </w:t>
      </w:r>
      <w:r w:rsidRPr="00F16C14">
        <w:t>(</w:t>
      </w:r>
      <w:proofErr w:type="spellStart"/>
      <w:r w:rsidRPr="00F16C14">
        <w:t>Wedzicha</w:t>
      </w:r>
      <w:proofErr w:type="spellEnd"/>
      <w:r w:rsidRPr="00F16C14">
        <w:t xml:space="preserve"> and Wilkinson 2006)</w:t>
      </w:r>
      <w:r w:rsidRPr="00F16C14">
        <w:rPr>
          <w:rStyle w:val="FootnoteReference"/>
        </w:rPr>
        <w:footnoteReference w:id="4"/>
      </w:r>
      <w:r w:rsidRPr="00F16C14">
        <w:t>.</w:t>
      </w:r>
      <w:r w:rsidRPr="00DC41F7">
        <w:t xml:space="preserve"> There is also evidence that exacerbations, particularly more frequent exacerbations, are responsible for accelerating the progression of the disease, leading to earlier development of disability, respiratory failure, and death. Thus, an important goal of COPD management is to prev</w:t>
      </w:r>
      <w:r>
        <w:t>ent exacerbations (</w:t>
      </w:r>
      <w:r w:rsidR="008D4D5F">
        <w:t>Global Initiative for Chronic Obstructive Lung Disease (</w:t>
      </w:r>
      <w:r>
        <w:t>GOLD</w:t>
      </w:r>
      <w:r w:rsidR="008D4D5F">
        <w:t>)</w:t>
      </w:r>
      <w:r>
        <w:t xml:space="preserve"> 2016)’.</w:t>
      </w:r>
    </w:p>
    <w:p w14:paraId="152760BB" w14:textId="1111126F" w:rsidR="00750EC2" w:rsidRDefault="00750EC2" w:rsidP="00750EC2">
      <w:r w:rsidRPr="00DC41F7">
        <w:t>This study showed that QVA149</w:t>
      </w:r>
      <w:r>
        <w:t xml:space="preserve"> </w:t>
      </w:r>
      <w:r w:rsidRPr="00DC41F7">
        <w:t xml:space="preserve">was statistically superior to salmeterol/fluticasone in relation to the primary efficacy endpoint </w:t>
      </w:r>
      <w:r>
        <w:t xml:space="preserve">that is </w:t>
      </w:r>
      <w:r w:rsidRPr="00DC41F7">
        <w:t xml:space="preserve">rate of all COPD exacerbations. This is the basis for the proposed extension of indications, </w:t>
      </w:r>
      <w:r>
        <w:t>‘</w:t>
      </w:r>
      <w:r w:rsidRPr="00DC41F7">
        <w:t>prevention of</w:t>
      </w:r>
      <w:r>
        <w:t xml:space="preserve"> </w:t>
      </w:r>
      <w:r w:rsidRPr="00DC41F7">
        <w:t>exacerbations</w:t>
      </w:r>
      <w:r>
        <w:t>’</w:t>
      </w:r>
      <w:r w:rsidRPr="00DC41F7">
        <w:t>. This is based on the mean (SD) exacerbations of 3.0 (3.30) in QV</w:t>
      </w:r>
      <w:r w:rsidR="0064122F">
        <w:t>A</w:t>
      </w:r>
      <w:r w:rsidRPr="00DC41F7">
        <w:t xml:space="preserve">149 group </w:t>
      </w:r>
      <w:r>
        <w:t>versus 3.2 (3</w:t>
      </w:r>
      <w:r w:rsidRPr="00DC41F7">
        <w:t xml:space="preserve">.27) in the salmeterol/fluticasone group. This finding relates to all severities of exacerbations (mild, moderate and severe). Thus, the evaluator questions the clinical relevance of this margin of difference to support the indication of </w:t>
      </w:r>
      <w:r>
        <w:t>‘</w:t>
      </w:r>
      <w:r w:rsidRPr="00DC41F7">
        <w:t>prevention of exacerbation</w:t>
      </w:r>
      <w:r>
        <w:t>’</w:t>
      </w:r>
      <w:r w:rsidRPr="00DC41F7">
        <w:t xml:space="preserve">. It is noted that moderate to severe categories of exacerbation were 0.8 (1.12) and 0.9 (1.14) </w:t>
      </w:r>
      <w:r w:rsidRPr="008E65BA">
        <w:t xml:space="preserve">respectively, </w:t>
      </w:r>
      <w:r w:rsidR="008E65BA" w:rsidRPr="008E65BA">
        <w:t>see Table 3</w:t>
      </w:r>
      <w:r w:rsidRPr="008E65BA">
        <w:t>. It would seem that a significant proportion was mild exacerbation. The sponsor should provide, in the</w:t>
      </w:r>
      <w:r w:rsidR="002959FB">
        <w:t xml:space="preserve"> post-first round </w:t>
      </w:r>
      <w:r w:rsidRPr="008E65BA">
        <w:t xml:space="preserve">response, the number of mild exacerbations: mean (SD), number of COPD exacerbations categorised, annualised rate and rate ratio as expressed in </w:t>
      </w:r>
      <w:r w:rsidR="008E65BA" w:rsidRPr="008E65BA">
        <w:t>Table 3</w:t>
      </w:r>
      <w:r w:rsidRPr="008E65BA">
        <w:t xml:space="preserve"> for moderate</w:t>
      </w:r>
      <w:r w:rsidRPr="00DC41F7">
        <w:t xml:space="preserve"> to severe exacerbations. If this analysis is already included in the dossier, the sponsor</w:t>
      </w:r>
      <w:r>
        <w:t xml:space="preserve"> should provide its location.</w:t>
      </w:r>
    </w:p>
    <w:p w14:paraId="22B69B6F" w14:textId="77777777" w:rsidR="00885CD3" w:rsidRDefault="008E65BA" w:rsidP="00885CD3">
      <w:pPr>
        <w:pStyle w:val="Tabletitle0"/>
      </w:pPr>
      <w:r>
        <w:lastRenderedPageBreak/>
        <w:t>Table 3</w:t>
      </w:r>
      <w:r w:rsidR="00885CD3">
        <w:t xml:space="preserve">: </w:t>
      </w:r>
      <w:r w:rsidR="00885CD3" w:rsidRPr="00004284">
        <w:rPr>
          <w:lang w:eastAsia="ja-JP"/>
        </w:rPr>
        <w:t>Summary and generalised linear model for the rate of moderate or severe COPD exacerbation</w:t>
      </w:r>
    </w:p>
    <w:p w14:paraId="5275BF53" w14:textId="77777777" w:rsidR="00885CD3" w:rsidRPr="00885CD3" w:rsidRDefault="00885CD3" w:rsidP="00885CD3">
      <w:r>
        <w:rPr>
          <w:noProof/>
          <w:lang w:eastAsia="en-AU"/>
        </w:rPr>
        <w:drawing>
          <wp:inline distT="0" distB="0" distL="0" distR="0" wp14:anchorId="459D6039" wp14:editId="41815209">
            <wp:extent cx="5400040" cy="4017210"/>
            <wp:effectExtent l="0" t="0" r="0" b="2540"/>
            <wp:docPr id="7" name="Picture 7" descr="Table 3: Summary and generalised linear model for the rate of moderate or severe COPD exacerb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4017210"/>
                    </a:xfrm>
                    <a:prstGeom prst="rect">
                      <a:avLst/>
                    </a:prstGeom>
                  </pic:spPr>
                </pic:pic>
              </a:graphicData>
            </a:graphic>
          </wp:inline>
        </w:drawing>
      </w:r>
    </w:p>
    <w:p w14:paraId="0A39B05E" w14:textId="51C6E1C3" w:rsidR="00750EC2" w:rsidRPr="00DC41F7" w:rsidRDefault="00750EC2" w:rsidP="00750EC2">
      <w:r w:rsidRPr="00DC41F7">
        <w:t xml:space="preserve">The secondary efficacy endpoints are presented </w:t>
      </w:r>
      <w:r>
        <w:t xml:space="preserve">in </w:t>
      </w:r>
      <w:r w:rsidR="00885CD3">
        <w:t>Attachment 2</w:t>
      </w:r>
      <w:r w:rsidR="002959FB">
        <w:t>,</w:t>
      </w:r>
      <w:r w:rsidR="00885CD3">
        <w:t xml:space="preserve"> </w:t>
      </w:r>
      <w:r>
        <w:t>Section 7.2.11</w:t>
      </w:r>
      <w:r w:rsidR="000A6315">
        <w:t>.</w:t>
      </w:r>
      <w:r>
        <w:t xml:space="preserve"> </w:t>
      </w:r>
      <w:r w:rsidRPr="00DC41F7">
        <w:t xml:space="preserve">Some endpoints showed statistical superiority </w:t>
      </w:r>
      <w:r w:rsidRPr="002959FB">
        <w:t>favouring QVA149 over the comparator. However, the evaluator questions the clinical relevance of the magnitude of these findings: for example, time to first COPD exacerbation is expressed in median time and is a crude index. The rate ratio of exacerbation rate of moderate or s</w:t>
      </w:r>
      <w:r w:rsidRPr="00B0299B">
        <w:t xml:space="preserve">evere exacerbation of 0.83, 95% </w:t>
      </w:r>
      <w:r w:rsidR="008D4D5F" w:rsidRPr="00B0299B">
        <w:t>confidence interval (</w:t>
      </w:r>
      <w:r w:rsidRPr="00B0299B">
        <w:t>CI</w:t>
      </w:r>
      <w:r w:rsidR="008D4D5F" w:rsidRPr="00B0299B">
        <w:t>)</w:t>
      </w:r>
      <w:r w:rsidRPr="00B0299B">
        <w:t xml:space="preserve"> 0.75, 0.91, p &lt; 0.001 is of limited clinical relevance. Similarly, pre</w:t>
      </w:r>
      <w:r w:rsidR="002959FB">
        <w:noBreakHyphen/>
      </w:r>
      <w:r w:rsidRPr="00B0299B">
        <w:t xml:space="preserve">dose </w:t>
      </w:r>
      <w:r w:rsidR="008D4D5F" w:rsidRPr="00B0299B">
        <w:t>forced expiratory volume in 1 second (</w:t>
      </w:r>
      <w:r w:rsidRPr="00B0299B">
        <w:t>FEV1</w:t>
      </w:r>
      <w:r w:rsidR="008D4D5F" w:rsidRPr="00B0299B">
        <w:t>)</w:t>
      </w:r>
      <w:r w:rsidRPr="00B0299B">
        <w:t xml:space="preserve"> over time (62 to 86 mL) is also of limited clinical relevance indicating that the rate of</w:t>
      </w:r>
      <w:r w:rsidRPr="00DC41F7">
        <w:t xml:space="preserve"> progression of disease was not significa</w:t>
      </w:r>
      <w:r>
        <w:t>ntly different between groups.</w:t>
      </w:r>
    </w:p>
    <w:p w14:paraId="622FB820" w14:textId="77777777" w:rsidR="00750EC2" w:rsidRPr="00DC41F7" w:rsidRDefault="00750EC2" w:rsidP="00750EC2">
      <w:r w:rsidRPr="00DC41F7">
        <w:t>In addition, there are multiple secondary endpoints; the study report states that no multiplicity adjustments were performed on any secondary endpoints giving rise to concerns about the statistical validity of these</w:t>
      </w:r>
      <w:r>
        <w:t xml:space="preserve"> results</w:t>
      </w:r>
      <w:r w:rsidR="00885CD3">
        <w:t>.</w:t>
      </w:r>
    </w:p>
    <w:p w14:paraId="5BB78362" w14:textId="4831E6D8" w:rsidR="00750EC2" w:rsidRPr="00DC41F7" w:rsidRDefault="00750EC2" w:rsidP="00750EC2">
      <w:r w:rsidRPr="00DC41F7">
        <w:t xml:space="preserve">Whilst this study provides some evidence of efficacy, the magnitude of efficacy is inadequate to support the extension of indications to include </w:t>
      </w:r>
      <w:r>
        <w:t>‘</w:t>
      </w:r>
      <w:r w:rsidRPr="00DC41F7">
        <w:t>prevention of exacerbation</w:t>
      </w:r>
      <w:r>
        <w:t>’</w:t>
      </w:r>
      <w:r w:rsidRPr="00DC41F7">
        <w:t>. In addition, prevention also correlates to reduced progression of disease. This would mean that prevention of exacerbation would indirectly alter the course of COPD. Altering the course</w:t>
      </w:r>
      <w:r>
        <w:t xml:space="preserve"> </w:t>
      </w:r>
      <w:r w:rsidRPr="00DC41F7">
        <w:t xml:space="preserve">needs to be confirmed with studies earlier in the course of the illness, see </w:t>
      </w:r>
      <w:r w:rsidR="00B0299B">
        <w:t xml:space="preserve">the </w:t>
      </w:r>
      <w:r w:rsidR="008D4D5F">
        <w:t>European Union</w:t>
      </w:r>
      <w:r w:rsidR="008D4D5F" w:rsidRPr="00DC41F7">
        <w:t xml:space="preserve"> </w:t>
      </w:r>
      <w:r w:rsidR="008D4D5F">
        <w:t>(</w:t>
      </w:r>
      <w:r w:rsidRPr="00DC41F7">
        <w:t>EU</w:t>
      </w:r>
      <w:r w:rsidR="008D4D5F">
        <w:t>)</w:t>
      </w:r>
      <w:r w:rsidRPr="00DC41F7">
        <w:t xml:space="preserve"> Guideline</w:t>
      </w:r>
      <w:r w:rsidR="005629DE">
        <w:t>.</w:t>
      </w:r>
      <w:r w:rsidR="005629DE">
        <w:rPr>
          <w:rStyle w:val="FootnoteReference"/>
        </w:rPr>
        <w:footnoteReference w:id="5"/>
      </w:r>
    </w:p>
    <w:p w14:paraId="2A3825B0" w14:textId="552E70AC" w:rsidR="00500337" w:rsidRPr="00500337" w:rsidRDefault="00750EC2" w:rsidP="00500337">
      <w:r w:rsidRPr="00DC41F7">
        <w:t>The original report (</w:t>
      </w:r>
      <w:r>
        <w:t>PM-</w:t>
      </w:r>
      <w:r w:rsidRPr="00DC41F7">
        <w:t>2012-4395-5)</w:t>
      </w:r>
      <w:r w:rsidR="005629DE" w:rsidRPr="005629DE">
        <w:rPr>
          <w:vertAlign w:val="superscript"/>
        </w:rPr>
        <w:fldChar w:fldCharType="begin"/>
      </w:r>
      <w:r w:rsidR="005629DE" w:rsidRPr="005629DE">
        <w:rPr>
          <w:vertAlign w:val="superscript"/>
        </w:rPr>
        <w:instrText xml:space="preserve"> NOTEREF _Ref518646685 \h </w:instrText>
      </w:r>
      <w:r w:rsidR="005629DE">
        <w:rPr>
          <w:vertAlign w:val="superscript"/>
        </w:rPr>
        <w:instrText xml:space="preserve"> \* MERGEFORMAT </w:instrText>
      </w:r>
      <w:r w:rsidR="005629DE" w:rsidRPr="005629DE">
        <w:rPr>
          <w:vertAlign w:val="superscript"/>
        </w:rPr>
      </w:r>
      <w:r w:rsidR="005629DE" w:rsidRPr="005629DE">
        <w:rPr>
          <w:vertAlign w:val="superscript"/>
        </w:rPr>
        <w:fldChar w:fldCharType="separate"/>
      </w:r>
      <w:r w:rsidR="005629DE" w:rsidRPr="005629DE">
        <w:rPr>
          <w:vertAlign w:val="superscript"/>
        </w:rPr>
        <w:t>2</w:t>
      </w:r>
      <w:r w:rsidR="005629DE" w:rsidRPr="005629DE">
        <w:rPr>
          <w:vertAlign w:val="superscript"/>
        </w:rPr>
        <w:fldChar w:fldCharType="end"/>
      </w:r>
      <w:r>
        <w:t xml:space="preserve"> </w:t>
      </w:r>
      <w:r w:rsidRPr="00DC41F7">
        <w:t xml:space="preserve">discussed a study where the primary efficacy endpoint was the exacerbation rate (moderate to severe as per the GOLD definition). This study was </w:t>
      </w:r>
      <w:r w:rsidR="00B0299B">
        <w:t xml:space="preserve">Study </w:t>
      </w:r>
      <w:r w:rsidRPr="00DC41F7">
        <w:t xml:space="preserve">A2304 where the inclusion criterion </w:t>
      </w:r>
      <w:r w:rsidR="005629DE">
        <w:t>was severe and very severe COPD;</w:t>
      </w:r>
      <w:r w:rsidRPr="00DC41F7">
        <w:t xml:space="preserve"> see that report where one of the treatment arms was QVA149.</w:t>
      </w:r>
      <w:r>
        <w:t xml:space="preserve"> </w:t>
      </w:r>
      <w:r w:rsidRPr="00DC41F7">
        <w:t xml:space="preserve">The study duration was </w:t>
      </w:r>
      <w:r w:rsidRPr="00DC41F7">
        <w:lastRenderedPageBreak/>
        <w:t>64</w:t>
      </w:r>
      <w:r w:rsidR="00B0299B">
        <w:t> </w:t>
      </w:r>
      <w:r w:rsidRPr="00DC41F7">
        <w:t>weeks where it is reported that the mean (</w:t>
      </w:r>
      <w:r>
        <w:t>SD</w:t>
      </w:r>
      <w:r w:rsidRPr="00DC41F7">
        <w:t>) number of moderate to severe exacerbations in the QVA149 group was 1.11 (1.3).</w:t>
      </w:r>
      <w:r>
        <w:t xml:space="preserve"> Whilst cross study comparison</w:t>
      </w:r>
      <w:r w:rsidRPr="00DC41F7">
        <w:t xml:space="preserve"> has its limitations, especially as the inclusion criterion was a more severe COPD, the results are in line with that reported in the current study. That study was considered (by the evaluator of the original submission)</w:t>
      </w:r>
      <w:proofErr w:type="gramStart"/>
      <w:r w:rsidR="005629DE">
        <w:t>,</w:t>
      </w:r>
      <w:proofErr w:type="gramEnd"/>
      <w:r w:rsidRPr="00DC41F7">
        <w:t xml:space="preserve"> insufficient to support the proposed indication that </w:t>
      </w:r>
      <w:r>
        <w:t>QVA149 reduces exacerbations.</w:t>
      </w:r>
    </w:p>
    <w:p w14:paraId="470A97AB" w14:textId="77777777" w:rsidR="008E7846" w:rsidRPr="002E238E" w:rsidRDefault="008E7846" w:rsidP="008E7846">
      <w:pPr>
        <w:pStyle w:val="Heading3"/>
      </w:pPr>
      <w:bookmarkStart w:id="64" w:name="_Toc163441378"/>
      <w:bookmarkStart w:id="65" w:name="_Toc196046495"/>
      <w:bookmarkStart w:id="66" w:name="_Toc247691522"/>
      <w:bookmarkStart w:id="67" w:name="_Toc314842505"/>
      <w:bookmarkStart w:id="68" w:name="_Toc525732543"/>
      <w:bookmarkEnd w:id="60"/>
      <w:bookmarkEnd w:id="61"/>
      <w:bookmarkEnd w:id="62"/>
      <w:bookmarkEnd w:id="63"/>
      <w:r w:rsidRPr="002E238E">
        <w:t>Safety</w:t>
      </w:r>
      <w:bookmarkEnd w:id="64"/>
      <w:bookmarkEnd w:id="65"/>
      <w:bookmarkEnd w:id="66"/>
      <w:bookmarkEnd w:id="67"/>
      <w:bookmarkEnd w:id="68"/>
    </w:p>
    <w:p w14:paraId="7C6966F1" w14:textId="77777777" w:rsidR="00605AD4" w:rsidRDefault="00605AD4" w:rsidP="00605AD4">
      <w:pPr>
        <w:pStyle w:val="Heading4"/>
      </w:pPr>
      <w:bookmarkStart w:id="69" w:name="_Toc247691524"/>
      <w:bookmarkStart w:id="70" w:name="_Toc314842508"/>
      <w:bookmarkStart w:id="71" w:name="_Toc196046504"/>
      <w:bookmarkStart w:id="72" w:name="_Toc163441390"/>
      <w:r w:rsidRPr="00605AD4">
        <w:t>Studies providing safety data</w:t>
      </w:r>
    </w:p>
    <w:p w14:paraId="729F1400" w14:textId="71A56500" w:rsidR="00500337" w:rsidRPr="00500337" w:rsidRDefault="00750EC2" w:rsidP="00500337">
      <w:bookmarkStart w:id="73" w:name="_Toc421005277"/>
      <w:bookmarkStart w:id="74" w:name="_Toc432079159"/>
      <w:bookmarkStart w:id="75" w:name="_Toc432080732"/>
      <w:r w:rsidRPr="00DC41F7">
        <w:t xml:space="preserve">The pivotal study provided safety data on QVA149. The details of safety monitoring are similar to those of previously submitted data, </w:t>
      </w:r>
      <w:r>
        <w:t>(</w:t>
      </w:r>
      <w:r w:rsidRPr="00DC41F7">
        <w:t xml:space="preserve">see </w:t>
      </w:r>
      <w:r>
        <w:t>PM-2012-4395-1-</w:t>
      </w:r>
      <w:r w:rsidRPr="00DC41F7">
        <w:t>5</w:t>
      </w:r>
      <w:r>
        <w:t>)</w:t>
      </w:r>
      <w:r w:rsidR="00B0299B">
        <w:t>.</w:t>
      </w:r>
      <w:r w:rsidR="005629DE" w:rsidRPr="005629DE">
        <w:rPr>
          <w:vertAlign w:val="superscript"/>
        </w:rPr>
        <w:fldChar w:fldCharType="begin"/>
      </w:r>
      <w:r w:rsidR="005629DE" w:rsidRPr="005629DE">
        <w:rPr>
          <w:vertAlign w:val="superscript"/>
        </w:rPr>
        <w:instrText xml:space="preserve"> NOTEREF _Ref518646685 \h </w:instrText>
      </w:r>
      <w:r w:rsidR="005629DE">
        <w:rPr>
          <w:vertAlign w:val="superscript"/>
        </w:rPr>
        <w:instrText xml:space="preserve"> \* MERGEFORMAT </w:instrText>
      </w:r>
      <w:r w:rsidR="005629DE" w:rsidRPr="005629DE">
        <w:rPr>
          <w:vertAlign w:val="superscript"/>
        </w:rPr>
      </w:r>
      <w:r w:rsidR="005629DE" w:rsidRPr="005629DE">
        <w:rPr>
          <w:vertAlign w:val="superscript"/>
        </w:rPr>
        <w:fldChar w:fldCharType="separate"/>
      </w:r>
      <w:r w:rsidR="005629DE" w:rsidRPr="005629DE">
        <w:rPr>
          <w:vertAlign w:val="superscript"/>
        </w:rPr>
        <w:t>2</w:t>
      </w:r>
      <w:r w:rsidR="005629DE" w:rsidRPr="005629DE">
        <w:rPr>
          <w:vertAlign w:val="superscript"/>
        </w:rPr>
        <w:fldChar w:fldCharType="end"/>
      </w:r>
      <w:bookmarkEnd w:id="73"/>
      <w:bookmarkEnd w:id="74"/>
      <w:bookmarkEnd w:id="75"/>
    </w:p>
    <w:p w14:paraId="5BCF25EE" w14:textId="77777777" w:rsidR="00605AD4" w:rsidRDefault="00605AD4" w:rsidP="00605AD4">
      <w:pPr>
        <w:pStyle w:val="Heading4"/>
      </w:pPr>
      <w:r w:rsidRPr="00605AD4">
        <w:t>Patient exposure</w:t>
      </w:r>
    </w:p>
    <w:p w14:paraId="7A72F277" w14:textId="26CCB1A6" w:rsidR="00B0299B" w:rsidRPr="00B0299B" w:rsidRDefault="00B0299B" w:rsidP="000A6315">
      <w:r>
        <w:t>Table, shown below, gives data related to patient exposure.</w:t>
      </w:r>
    </w:p>
    <w:p w14:paraId="34EF04E3" w14:textId="77777777" w:rsidR="00750EC2" w:rsidRDefault="00750EC2" w:rsidP="00750EC2">
      <w:pPr>
        <w:pStyle w:val="Tabletitle0"/>
        <w:rPr>
          <w:lang w:eastAsia="ja-JP"/>
        </w:rPr>
      </w:pPr>
      <w:r>
        <w:rPr>
          <w:lang w:eastAsia="ja-JP"/>
        </w:rPr>
        <w:t xml:space="preserve">Table </w:t>
      </w:r>
      <w:r w:rsidR="008E65BA">
        <w:rPr>
          <w:lang w:eastAsia="ja-JP"/>
        </w:rPr>
        <w:t>4</w:t>
      </w:r>
      <w:r>
        <w:rPr>
          <w:lang w:eastAsia="ja-JP"/>
        </w:rPr>
        <w:t>: Patient exposure</w:t>
      </w:r>
    </w:p>
    <w:p w14:paraId="509B41BE" w14:textId="77777777" w:rsidR="00500337" w:rsidRDefault="00750EC2" w:rsidP="00500337">
      <w:r>
        <w:rPr>
          <w:noProof/>
          <w:lang w:eastAsia="en-AU"/>
        </w:rPr>
        <w:drawing>
          <wp:inline distT="0" distB="0" distL="0" distR="0" wp14:anchorId="1934E941" wp14:editId="1DE52F1E">
            <wp:extent cx="5400040" cy="1221355"/>
            <wp:effectExtent l="0" t="0" r="0" b="0"/>
            <wp:docPr id="6" name="Picture 6" descr="Table 4: Patient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1221355"/>
                    </a:xfrm>
                    <a:prstGeom prst="rect">
                      <a:avLst/>
                    </a:prstGeom>
                  </pic:spPr>
                </pic:pic>
              </a:graphicData>
            </a:graphic>
          </wp:inline>
        </w:drawing>
      </w:r>
    </w:p>
    <w:p w14:paraId="6F360896" w14:textId="77777777" w:rsidR="00750EC2" w:rsidRPr="00500337" w:rsidRDefault="00750EC2" w:rsidP="00500337">
      <w:r w:rsidRPr="00870C90">
        <w:t>Compliance was high in both treatment arms, with a mean of approximately 99% of days where drug was taken as per protocol over the treatment period.</w:t>
      </w:r>
    </w:p>
    <w:p w14:paraId="06F45849" w14:textId="77777777" w:rsidR="00AC620B" w:rsidRPr="00AC620B" w:rsidRDefault="00AC620B" w:rsidP="00AC620B">
      <w:pPr>
        <w:pStyle w:val="Heading4"/>
      </w:pPr>
      <w:bookmarkStart w:id="76" w:name="_Toc241374319"/>
      <w:bookmarkStart w:id="77" w:name="_Ref271044764"/>
      <w:bookmarkStart w:id="78" w:name="_Toc272414663"/>
      <w:bookmarkStart w:id="79" w:name="_Toc290888527"/>
      <w:bookmarkStart w:id="80" w:name="_Toc416353743"/>
      <w:bookmarkStart w:id="81" w:name="_Toc421005286"/>
      <w:bookmarkStart w:id="82" w:name="_Toc432079163"/>
      <w:bookmarkStart w:id="83" w:name="_Toc432080736"/>
      <w:bookmarkStart w:id="84" w:name="_Toc471289234"/>
      <w:r w:rsidRPr="00AC620B">
        <w:t>Adverse events</w:t>
      </w:r>
      <w:bookmarkEnd w:id="76"/>
      <w:bookmarkEnd w:id="77"/>
      <w:bookmarkEnd w:id="78"/>
      <w:bookmarkEnd w:id="79"/>
      <w:bookmarkEnd w:id="80"/>
      <w:bookmarkEnd w:id="81"/>
      <w:bookmarkEnd w:id="82"/>
      <w:bookmarkEnd w:id="83"/>
      <w:bookmarkEnd w:id="84"/>
    </w:p>
    <w:p w14:paraId="66EB8A4F" w14:textId="77777777" w:rsidR="00AC620B" w:rsidRPr="00AC620B" w:rsidRDefault="00AC620B" w:rsidP="00AC620B">
      <w:pPr>
        <w:pStyle w:val="Heading5"/>
      </w:pPr>
      <w:bookmarkStart w:id="85" w:name="_Ref272317284"/>
      <w:bookmarkStart w:id="86" w:name="_Ref272333565"/>
      <w:bookmarkStart w:id="87" w:name="_Toc272414664"/>
      <w:bookmarkStart w:id="88" w:name="_Toc290888528"/>
      <w:bookmarkStart w:id="89" w:name="_Toc416353744"/>
      <w:bookmarkStart w:id="90" w:name="_Toc421005287"/>
      <w:bookmarkStart w:id="91" w:name="_Toc432079164"/>
      <w:bookmarkStart w:id="92" w:name="_Toc432080737"/>
      <w:r w:rsidRPr="00AC620B">
        <w:t>All adverse events (irrespective of relationship to study treatment)</w:t>
      </w:r>
      <w:bookmarkEnd w:id="85"/>
      <w:bookmarkEnd w:id="86"/>
      <w:bookmarkEnd w:id="87"/>
      <w:bookmarkEnd w:id="88"/>
      <w:bookmarkEnd w:id="89"/>
      <w:bookmarkEnd w:id="90"/>
      <w:bookmarkEnd w:id="91"/>
      <w:bookmarkEnd w:id="92"/>
    </w:p>
    <w:p w14:paraId="7525F5D4" w14:textId="0DC50EDE" w:rsidR="00AC620B" w:rsidRDefault="00AC620B" w:rsidP="00AC620B">
      <w:r w:rsidRPr="00AC620B">
        <w:t xml:space="preserve">The overall incidence of </w:t>
      </w:r>
      <w:r w:rsidR="00B0299B">
        <w:t xml:space="preserve">adverse </w:t>
      </w:r>
      <w:r w:rsidR="008D4D5F">
        <w:t>events</w:t>
      </w:r>
      <w:r w:rsidR="008D4D5F" w:rsidRPr="00AC620B">
        <w:t xml:space="preserve"> </w:t>
      </w:r>
      <w:r w:rsidR="008D4D5F">
        <w:t>(</w:t>
      </w:r>
      <w:r w:rsidRPr="00AC620B">
        <w:t>AE</w:t>
      </w:r>
      <w:r w:rsidR="008D4D5F">
        <w:t>)</w:t>
      </w:r>
      <w:r w:rsidRPr="00AC620B">
        <w:t xml:space="preserve"> was similar across the treatment arms. The most commonly (approximately 80%) affected primary </w:t>
      </w:r>
      <w:r w:rsidR="00B0299B">
        <w:t>System Organ Class (</w:t>
      </w:r>
      <w:r w:rsidRPr="00AC620B">
        <w:t>SOC</w:t>
      </w:r>
      <w:r w:rsidR="00B0299B">
        <w:t>)</w:t>
      </w:r>
      <w:r w:rsidRPr="00AC620B">
        <w:t xml:space="preserve"> was respiratory, thoracic and mediastinal disorders, followed by infections and infestations. The incidence of infection and infestation AEs was 42.3% in the QVA149 arm versus 48% in the salmeterol/fluticasone </w:t>
      </w:r>
      <w:r>
        <w:t>arm.</w:t>
      </w:r>
    </w:p>
    <w:p w14:paraId="4C54ACE4" w14:textId="77777777" w:rsidR="00AC620B" w:rsidRPr="00AC620B" w:rsidRDefault="00AC620B" w:rsidP="00AC620B">
      <w:r>
        <w:t>For the full evaluation of safety please see Attachment 2.</w:t>
      </w:r>
    </w:p>
    <w:p w14:paraId="67798FCD" w14:textId="77777777" w:rsidR="00605AD4" w:rsidRPr="00605AD4" w:rsidRDefault="00605AD4" w:rsidP="00605AD4">
      <w:pPr>
        <w:pStyle w:val="Heading4"/>
      </w:pPr>
      <w:r w:rsidRPr="00605AD4">
        <w:t>Evaluator’s conclusions on safety</w:t>
      </w:r>
    </w:p>
    <w:p w14:paraId="3D8E97AB" w14:textId="77777777" w:rsidR="00605AD4" w:rsidRPr="00605AD4" w:rsidRDefault="00AC620B" w:rsidP="00605AD4">
      <w:r w:rsidRPr="00870C90">
        <w:t>This 52 week study provides adequate evidence of safety and supports the safety findings obtained in the original submission. No undue s</w:t>
      </w:r>
      <w:r>
        <w:t>afety concerns were identified.</w:t>
      </w:r>
    </w:p>
    <w:p w14:paraId="225D600D" w14:textId="77777777" w:rsidR="00605AD4" w:rsidRPr="00605AD4" w:rsidRDefault="00605AD4" w:rsidP="00605AD4">
      <w:pPr>
        <w:pStyle w:val="Heading3"/>
        <w:rPr>
          <w:rFonts w:eastAsia="Cambria"/>
        </w:rPr>
      </w:pPr>
      <w:bookmarkStart w:id="93" w:name="_Toc525732544"/>
      <w:r w:rsidRPr="00605AD4">
        <w:rPr>
          <w:rFonts w:eastAsia="Cambria"/>
        </w:rPr>
        <w:t>First Round Benefit-Risk Assessment</w:t>
      </w:r>
      <w:bookmarkEnd w:id="93"/>
    </w:p>
    <w:p w14:paraId="733A9FE5" w14:textId="77777777" w:rsidR="00605AD4" w:rsidRDefault="00605AD4" w:rsidP="00605AD4">
      <w:pPr>
        <w:pStyle w:val="Heading4"/>
      </w:pPr>
      <w:r w:rsidRPr="00605AD4">
        <w:t>First round assessment of benefits</w:t>
      </w:r>
    </w:p>
    <w:p w14:paraId="2B1517D8" w14:textId="77777777" w:rsidR="00AC620B" w:rsidRPr="00AC620B" w:rsidRDefault="00AC620B" w:rsidP="00AC620B">
      <w:pPr>
        <w:pStyle w:val="ListBullet"/>
      </w:pPr>
      <w:r w:rsidRPr="00AC620B">
        <w:t>This study was designed as a non-inferiority study and then if non-inferiority was shown, as a superiority study in relation to the primary efficacy endpoint which was the rate of exacerbation. This study met these expectations.</w:t>
      </w:r>
    </w:p>
    <w:p w14:paraId="6340727D" w14:textId="77777777" w:rsidR="00AC620B" w:rsidRPr="00AC620B" w:rsidRDefault="00AC620B" w:rsidP="00AC620B">
      <w:pPr>
        <w:pStyle w:val="ListBullet"/>
      </w:pPr>
      <w:r w:rsidRPr="00AC620B">
        <w:lastRenderedPageBreak/>
        <w:t>Exacerbations were well defined; the COPD inclusion was moderate to severe.</w:t>
      </w:r>
    </w:p>
    <w:p w14:paraId="3A750804" w14:textId="5BD81D42" w:rsidR="00AC620B" w:rsidRPr="00AC620B" w:rsidRDefault="00AC620B" w:rsidP="00AC620B">
      <w:pPr>
        <w:pStyle w:val="ListBullet"/>
      </w:pPr>
      <w:r w:rsidRPr="00AC620B">
        <w:t>The study was well designed and the duration was adequate.</w:t>
      </w:r>
    </w:p>
    <w:p w14:paraId="36C15CCB" w14:textId="77777777" w:rsidR="00AC620B" w:rsidRPr="00AC620B" w:rsidRDefault="00AC620B" w:rsidP="00AC620B">
      <w:pPr>
        <w:pStyle w:val="ListBullet"/>
      </w:pPr>
      <w:r w:rsidRPr="00AC620B">
        <w:t>Safety results were in line with those described in the original submission.</w:t>
      </w:r>
    </w:p>
    <w:p w14:paraId="33119B55" w14:textId="2B05CB30" w:rsidR="00500337" w:rsidRPr="00500337" w:rsidRDefault="00AC620B" w:rsidP="00500337">
      <w:pPr>
        <w:pStyle w:val="ListBullet"/>
      </w:pPr>
      <w:r w:rsidRPr="00AC620B">
        <w:t xml:space="preserve">The </w:t>
      </w:r>
      <w:r w:rsidR="00B0299B">
        <w:t>c</w:t>
      </w:r>
      <w:r w:rsidRPr="00AC620B">
        <w:t xml:space="preserve">linical study has adequate efficacy and safety data to include in the Clinical </w:t>
      </w:r>
      <w:r w:rsidR="00B0299B">
        <w:t>T</w:t>
      </w:r>
      <w:r w:rsidRPr="00AC620B">
        <w:t>rials section</w:t>
      </w:r>
      <w:r w:rsidR="000A6315">
        <w:t xml:space="preserve"> (of the PI)</w:t>
      </w:r>
      <w:r w:rsidR="00B0299B">
        <w:t>.</w:t>
      </w:r>
    </w:p>
    <w:p w14:paraId="4580DF93" w14:textId="77777777" w:rsidR="00605AD4" w:rsidRDefault="00605AD4" w:rsidP="00605AD4">
      <w:pPr>
        <w:pStyle w:val="Heading4"/>
      </w:pPr>
      <w:r w:rsidRPr="00605AD4">
        <w:t>First round assessment of risks</w:t>
      </w:r>
    </w:p>
    <w:p w14:paraId="7C0DE01E" w14:textId="77777777" w:rsidR="00AC620B" w:rsidRPr="00AC620B" w:rsidRDefault="00AC620B" w:rsidP="00AC620B">
      <w:pPr>
        <w:pStyle w:val="ListBullet"/>
      </w:pPr>
      <w:r w:rsidRPr="00AC620B">
        <w:t>Though statistical superiority has been shown in this study, the clinical significance of this margin is considered inadequate (and of small magnitude) to support the extension of indication.</w:t>
      </w:r>
    </w:p>
    <w:p w14:paraId="3B5BD74F" w14:textId="77777777" w:rsidR="00AC620B" w:rsidRPr="00AC620B" w:rsidRDefault="00AC620B" w:rsidP="00AC620B">
      <w:pPr>
        <w:pStyle w:val="ListBullet"/>
      </w:pPr>
      <w:r w:rsidRPr="00AC620B">
        <w:t>The margin of difference also includes mild exacerbations, the rate of which could not be verified by the evaluator.</w:t>
      </w:r>
    </w:p>
    <w:p w14:paraId="4D5FC7A4" w14:textId="77777777" w:rsidR="00AC620B" w:rsidRPr="00AC620B" w:rsidRDefault="00AC620B" w:rsidP="00AC620B">
      <w:pPr>
        <w:pStyle w:val="ListBullet"/>
      </w:pPr>
      <w:r w:rsidRPr="00AC620B">
        <w:t>There are multiple secondary endpoints and issues of multiplicity have not been factored into the statistical considerations.</w:t>
      </w:r>
    </w:p>
    <w:p w14:paraId="6E7AC587" w14:textId="77777777" w:rsidR="00AC620B" w:rsidRPr="00AC620B" w:rsidRDefault="00AC620B" w:rsidP="00AC620B">
      <w:pPr>
        <w:pStyle w:val="ListBullet"/>
      </w:pPr>
      <w:r w:rsidRPr="00AC620B">
        <w:t>The incidence of pneumonia (as confirmed by radiographic imaging that is chest x-ray or CT scan) was numerically higher in the salmeterol/fluticasone arm (4.8%) compared to QVA149 arm (3.2%). This also suggests that the difference in exacerbations may be due to increased infections that are biologically plausible in the comparator group.</w:t>
      </w:r>
    </w:p>
    <w:p w14:paraId="76F8BBE8" w14:textId="77777777" w:rsidR="00605AD4" w:rsidRPr="00605AD4" w:rsidRDefault="00605AD4" w:rsidP="00605AD4">
      <w:pPr>
        <w:pStyle w:val="Heading4"/>
      </w:pPr>
      <w:r w:rsidRPr="00605AD4">
        <w:t>First round assessment of benefit-risk balance</w:t>
      </w:r>
    </w:p>
    <w:p w14:paraId="3F4DBAD4" w14:textId="015B3995" w:rsidR="00605AD4" w:rsidRPr="00605AD4" w:rsidRDefault="00AC620B" w:rsidP="00605AD4">
      <w:r w:rsidRPr="00E8450D">
        <w:t xml:space="preserve">The first round assessment is unfavourable to include the extension of indication, prevention of exacerbation. However the inclusion of FLAME study is acceptable in the </w:t>
      </w:r>
      <w:r w:rsidR="00FA2D96">
        <w:t xml:space="preserve">PI </w:t>
      </w:r>
      <w:r w:rsidRPr="00E8450D">
        <w:t xml:space="preserve">Clinical Trials </w:t>
      </w:r>
      <w:proofErr w:type="gramStart"/>
      <w:r w:rsidRPr="00E8450D">
        <w:t>section,</w:t>
      </w:r>
      <w:proofErr w:type="gramEnd"/>
      <w:r w:rsidRPr="00E8450D">
        <w:t xml:space="preserve"> provided the amendments recomme</w:t>
      </w:r>
      <w:r>
        <w:t>nded by the evaluator are made.</w:t>
      </w:r>
    </w:p>
    <w:p w14:paraId="2405211F" w14:textId="5968169E" w:rsidR="00605AD4" w:rsidRPr="00605AD4" w:rsidRDefault="00605AD4" w:rsidP="00605AD4">
      <w:pPr>
        <w:pStyle w:val="Heading3"/>
        <w:rPr>
          <w:rFonts w:eastAsia="Cambria"/>
        </w:rPr>
      </w:pPr>
      <w:bookmarkStart w:id="94" w:name="_Toc525732545"/>
      <w:r w:rsidRPr="00605AD4">
        <w:rPr>
          <w:rFonts w:eastAsia="Cambria"/>
        </w:rPr>
        <w:t xml:space="preserve">First </w:t>
      </w:r>
      <w:r w:rsidR="00833076" w:rsidRPr="00605AD4">
        <w:rPr>
          <w:rFonts w:eastAsia="Cambria"/>
        </w:rPr>
        <w:t>round recommendation regarding authorisation</w:t>
      </w:r>
      <w:bookmarkEnd w:id="94"/>
    </w:p>
    <w:p w14:paraId="73D46E63" w14:textId="6AA94D64" w:rsidR="00605AD4" w:rsidRPr="00605AD4" w:rsidRDefault="00AC620B" w:rsidP="00605AD4">
      <w:r w:rsidRPr="00E8450D">
        <w:t xml:space="preserve">The first round assessment is unfavourable to include the extension of indication, prevention of exacerbation. However the inclusion of FLAME study is acceptable in the </w:t>
      </w:r>
      <w:r w:rsidR="00FA2D96">
        <w:t xml:space="preserve">PI </w:t>
      </w:r>
      <w:r w:rsidRPr="00E8450D">
        <w:t xml:space="preserve">Clinical Trials </w:t>
      </w:r>
      <w:r w:rsidR="00FA2D96" w:rsidRPr="00E8450D">
        <w:t>section</w:t>
      </w:r>
      <w:r w:rsidRPr="00E8450D">
        <w:t xml:space="preserve"> provided the amendments recomme</w:t>
      </w:r>
      <w:r>
        <w:t>nded by the evaluator are made.</w:t>
      </w:r>
    </w:p>
    <w:p w14:paraId="379BBAC9" w14:textId="40E1FE78" w:rsidR="00605AD4" w:rsidRPr="00605AD4" w:rsidRDefault="00605AD4" w:rsidP="00605AD4">
      <w:pPr>
        <w:pStyle w:val="Heading3"/>
        <w:rPr>
          <w:rFonts w:eastAsia="Cambria"/>
        </w:rPr>
      </w:pPr>
      <w:bookmarkStart w:id="95" w:name="_Toc525732546"/>
      <w:r w:rsidRPr="00605AD4">
        <w:rPr>
          <w:rFonts w:eastAsia="Cambria"/>
        </w:rPr>
        <w:t xml:space="preserve">Second </w:t>
      </w:r>
      <w:r w:rsidR="00833076" w:rsidRPr="00605AD4">
        <w:rPr>
          <w:rFonts w:eastAsia="Cambria"/>
        </w:rPr>
        <w:t>round evaluation</w:t>
      </w:r>
      <w:bookmarkEnd w:id="95"/>
    </w:p>
    <w:p w14:paraId="6C597D5E" w14:textId="77777777" w:rsidR="006136D7" w:rsidRPr="00605AD4" w:rsidRDefault="00500337" w:rsidP="006136D7">
      <w:r w:rsidRPr="00500337">
        <w:t>For details of the second round evaluation including the i</w:t>
      </w:r>
      <w:r w:rsidR="005629DE">
        <w:t>ssues raised by the evaluator (c</w:t>
      </w:r>
      <w:r w:rsidRPr="00500337">
        <w:t>linical questions), the sponsor’s responses and the evaluation of these responses please see Attachment 2.</w:t>
      </w:r>
    </w:p>
    <w:p w14:paraId="402B82DF" w14:textId="2FD07144" w:rsidR="00605AD4" w:rsidRPr="00605AD4" w:rsidRDefault="00605AD4" w:rsidP="00546154">
      <w:pPr>
        <w:pStyle w:val="Heading3"/>
        <w:rPr>
          <w:rFonts w:eastAsia="Cambria"/>
        </w:rPr>
      </w:pPr>
      <w:bookmarkStart w:id="96" w:name="_Toc525732547"/>
      <w:r w:rsidRPr="00605AD4">
        <w:rPr>
          <w:rFonts w:eastAsia="Cambria"/>
        </w:rPr>
        <w:t xml:space="preserve">Second </w:t>
      </w:r>
      <w:r w:rsidR="00833076" w:rsidRPr="00605AD4">
        <w:rPr>
          <w:rFonts w:eastAsia="Cambria"/>
        </w:rPr>
        <w:t>round benefit-risk assessment</w:t>
      </w:r>
      <w:bookmarkEnd w:id="96"/>
    </w:p>
    <w:p w14:paraId="60488B70" w14:textId="77777777" w:rsidR="00AC620B" w:rsidRPr="00AC620B" w:rsidRDefault="00AC620B" w:rsidP="00AC620B">
      <w:pPr>
        <w:pStyle w:val="Heading4"/>
      </w:pPr>
      <w:bookmarkStart w:id="97" w:name="_Toc272414709"/>
      <w:bookmarkStart w:id="98" w:name="_Toc290888575"/>
      <w:bookmarkStart w:id="99" w:name="_Toc416353792"/>
      <w:bookmarkStart w:id="100" w:name="_Toc421005334"/>
      <w:bookmarkStart w:id="101" w:name="_Toc432079207"/>
      <w:bookmarkStart w:id="102" w:name="_Toc432080780"/>
      <w:bookmarkStart w:id="103" w:name="_Toc471289254"/>
      <w:r w:rsidRPr="00AC620B">
        <w:t>Second round assessment of benefits</w:t>
      </w:r>
      <w:bookmarkEnd w:id="97"/>
      <w:bookmarkEnd w:id="98"/>
      <w:bookmarkEnd w:id="99"/>
      <w:bookmarkEnd w:id="100"/>
      <w:bookmarkEnd w:id="101"/>
      <w:bookmarkEnd w:id="102"/>
      <w:bookmarkEnd w:id="103"/>
    </w:p>
    <w:p w14:paraId="5A1A2D24" w14:textId="26AFFCCB" w:rsidR="00AC620B" w:rsidRPr="00FF17BF" w:rsidRDefault="00AC620B" w:rsidP="00AC620B">
      <w:r w:rsidRPr="00FF17BF">
        <w:t>The benefits remain the same as the fir</w:t>
      </w:r>
      <w:r>
        <w:t xml:space="preserve">st round benefits, see </w:t>
      </w:r>
      <w:r w:rsidR="00B0299B">
        <w:t>above.</w:t>
      </w:r>
    </w:p>
    <w:p w14:paraId="394295AC" w14:textId="77777777" w:rsidR="00AC620B" w:rsidRPr="00AC620B" w:rsidRDefault="00AC620B" w:rsidP="00AC620B">
      <w:pPr>
        <w:pStyle w:val="Heading4"/>
      </w:pPr>
      <w:bookmarkStart w:id="104" w:name="_Toc272414710"/>
      <w:bookmarkStart w:id="105" w:name="_Toc290888576"/>
      <w:bookmarkStart w:id="106" w:name="_Toc416353793"/>
      <w:bookmarkStart w:id="107" w:name="_Toc421005335"/>
      <w:bookmarkStart w:id="108" w:name="_Toc432079208"/>
      <w:bookmarkStart w:id="109" w:name="_Toc432080781"/>
      <w:bookmarkStart w:id="110" w:name="_Toc471289255"/>
      <w:r w:rsidRPr="00AC620B">
        <w:t>Second round assessment of risks</w:t>
      </w:r>
      <w:bookmarkEnd w:id="104"/>
      <w:bookmarkEnd w:id="105"/>
      <w:bookmarkEnd w:id="106"/>
      <w:bookmarkEnd w:id="107"/>
      <w:bookmarkEnd w:id="108"/>
      <w:bookmarkEnd w:id="109"/>
      <w:bookmarkEnd w:id="110"/>
    </w:p>
    <w:p w14:paraId="4A74A7EC" w14:textId="4881BEA1" w:rsidR="00AC620B" w:rsidRPr="00FF17BF" w:rsidRDefault="00AC620B" w:rsidP="00AC620B">
      <w:r w:rsidRPr="00FF17BF">
        <w:t xml:space="preserve">The sponsor’s response to the </w:t>
      </w:r>
      <w:r w:rsidR="00B0299B">
        <w:t>first round</w:t>
      </w:r>
      <w:r w:rsidRPr="00FF17BF">
        <w:t xml:space="preserve"> </w:t>
      </w:r>
      <w:r>
        <w:t>clinical evaluation report</w:t>
      </w:r>
      <w:r w:rsidRPr="00FF17BF">
        <w:t xml:space="preserve"> attempts to address the concerns of the evalua</w:t>
      </w:r>
      <w:r>
        <w:t xml:space="preserve">tor identified in </w:t>
      </w:r>
      <w:r w:rsidR="005629DE">
        <w:t>the f</w:t>
      </w:r>
      <w:r w:rsidR="005629DE" w:rsidRPr="00605AD4">
        <w:t>irst round assessment of risks</w:t>
      </w:r>
      <w:r>
        <w:t>.</w:t>
      </w:r>
    </w:p>
    <w:p w14:paraId="785AEAAA" w14:textId="77777777" w:rsidR="00AC620B" w:rsidRPr="00FF17BF" w:rsidRDefault="00AC620B" w:rsidP="00AC620B">
      <w:r w:rsidRPr="00FF17BF">
        <w:lastRenderedPageBreak/>
        <w:t>The response discusses the concern that the margin of difference in relation to the primary efficacy endpoint (</w:t>
      </w:r>
      <w:r>
        <w:t xml:space="preserve">that is </w:t>
      </w:r>
      <w:r w:rsidRPr="00FF17BF">
        <w:t xml:space="preserve">rate of all COPD exacerbations observed between the two groups) lacks clinical significance to approve the indication of </w:t>
      </w:r>
      <w:r>
        <w:t>‘</w:t>
      </w:r>
      <w:r w:rsidRPr="00FF17BF">
        <w:t>prevention of exacerbations.</w:t>
      </w:r>
      <w:r>
        <w:t>’</w:t>
      </w:r>
    </w:p>
    <w:p w14:paraId="52E9651B" w14:textId="77777777" w:rsidR="00AC620B" w:rsidRPr="00FF17BF" w:rsidRDefault="00AC620B" w:rsidP="00AC620B">
      <w:r w:rsidRPr="00FF17BF">
        <w:t>The evaluator maintains that the difference of the rate of exacerbations, especially in relation to moderate and severe exacerbations is not of significant magnitude to warrant the extension. The sp</w:t>
      </w:r>
      <w:r>
        <w:t>onsor cites several management g</w:t>
      </w:r>
      <w:r w:rsidRPr="00FF17BF">
        <w:t>uidelines to support the extension. However, the evaluator’s conclusion is that the PI document reflects the evaluated data; the prescriber has adequate information in the clinical trials section to info</w:t>
      </w:r>
      <w:r>
        <w:t>rm regarding treatment options.</w:t>
      </w:r>
    </w:p>
    <w:p w14:paraId="5ED8A5A2" w14:textId="77777777" w:rsidR="00AC620B" w:rsidRPr="00FF17BF" w:rsidRDefault="00AC620B" w:rsidP="00AC620B">
      <w:r w:rsidRPr="00FF17BF">
        <w:t>T</w:t>
      </w:r>
      <w:r>
        <w:t xml:space="preserve">he risks identified in </w:t>
      </w:r>
      <w:r w:rsidR="005629DE">
        <w:t>the f</w:t>
      </w:r>
      <w:r w:rsidR="005629DE" w:rsidRPr="00605AD4">
        <w:t>irst round assessment of risks</w:t>
      </w:r>
      <w:r w:rsidR="005629DE">
        <w:t xml:space="preserve"> </w:t>
      </w:r>
      <w:r>
        <w:t>are still the same.</w:t>
      </w:r>
    </w:p>
    <w:p w14:paraId="3857161D" w14:textId="77777777" w:rsidR="00AC620B" w:rsidRPr="00AC620B" w:rsidRDefault="00AC620B" w:rsidP="00AC620B">
      <w:pPr>
        <w:pStyle w:val="Heading4"/>
      </w:pPr>
      <w:bookmarkStart w:id="111" w:name="_Toc272414711"/>
      <w:bookmarkStart w:id="112" w:name="_Toc290888577"/>
      <w:bookmarkStart w:id="113" w:name="_Toc416353794"/>
      <w:bookmarkStart w:id="114" w:name="_Toc421005336"/>
      <w:bookmarkStart w:id="115" w:name="_Toc432079209"/>
      <w:bookmarkStart w:id="116" w:name="_Toc432080782"/>
      <w:bookmarkStart w:id="117" w:name="_Toc471289256"/>
      <w:r w:rsidRPr="00AC620B">
        <w:t xml:space="preserve">Second round assessment of benefit-risk </w:t>
      </w:r>
      <w:bookmarkEnd w:id="111"/>
      <w:bookmarkEnd w:id="112"/>
      <w:bookmarkEnd w:id="113"/>
      <w:bookmarkEnd w:id="114"/>
      <w:r w:rsidRPr="00AC620B">
        <w:t>balance</w:t>
      </w:r>
      <w:bookmarkEnd w:id="115"/>
      <w:bookmarkEnd w:id="116"/>
      <w:bookmarkEnd w:id="117"/>
    </w:p>
    <w:p w14:paraId="7FF81D57" w14:textId="347AF9E2" w:rsidR="00AC620B" w:rsidRPr="00FF17BF" w:rsidRDefault="00AC620B" w:rsidP="00AC620B">
      <w:r w:rsidRPr="00FF17BF">
        <w:t xml:space="preserve">The second round assessment is unfavourable to include the extension of indication, prevention of exacerbation. However the inclusion of FLAME study is acceptable </w:t>
      </w:r>
      <w:r>
        <w:t xml:space="preserve">in the </w:t>
      </w:r>
      <w:r w:rsidR="009837A5">
        <w:t xml:space="preserve">PI </w:t>
      </w:r>
      <w:r>
        <w:t>clinical trials section.</w:t>
      </w:r>
    </w:p>
    <w:p w14:paraId="6C8A8565" w14:textId="77777777" w:rsidR="00605AD4" w:rsidRPr="00605AD4" w:rsidRDefault="00AC620B" w:rsidP="00546154">
      <w:r w:rsidRPr="00FF17BF">
        <w:t xml:space="preserve">It is noted in the EU where FLAME is included in the clinical trials section, the registered indication is, </w:t>
      </w:r>
      <w:r>
        <w:t>‘</w:t>
      </w:r>
      <w:r w:rsidRPr="00D462C8">
        <w:rPr>
          <w:i/>
        </w:rPr>
        <w:t>Ultibro Breezhaler is indicated as a maintenance bronchodilator treatment to relieve symptoms in adult patients with chronic obstructive pulmonary disease (COPD)’</w:t>
      </w:r>
      <w:r>
        <w:t>.</w:t>
      </w:r>
    </w:p>
    <w:p w14:paraId="192C5806" w14:textId="77777777" w:rsidR="008E7846" w:rsidRPr="00E41208" w:rsidRDefault="008E7846" w:rsidP="00546154">
      <w:pPr>
        <w:pStyle w:val="Heading2"/>
      </w:pPr>
      <w:bookmarkStart w:id="118" w:name="_Toc525732548"/>
      <w:r w:rsidRPr="00E41208">
        <w:t>V</w:t>
      </w:r>
      <w:r w:rsidR="00500337">
        <w:t>I</w:t>
      </w:r>
      <w:r w:rsidRPr="00E41208">
        <w:t xml:space="preserve">. Pharmacovigilance </w:t>
      </w:r>
      <w:r>
        <w:t>f</w:t>
      </w:r>
      <w:r w:rsidRPr="00E41208">
        <w:t>indings</w:t>
      </w:r>
      <w:bookmarkEnd w:id="69"/>
      <w:bookmarkEnd w:id="70"/>
      <w:bookmarkEnd w:id="118"/>
    </w:p>
    <w:p w14:paraId="55399A0C" w14:textId="77777777" w:rsidR="00546154" w:rsidRDefault="00546154" w:rsidP="00546154">
      <w:bookmarkStart w:id="119" w:name="_Toc247691526"/>
      <w:bookmarkStart w:id="120" w:name="_Toc314842509"/>
      <w:r w:rsidRPr="00443686">
        <w:t>The TGA granted a waiver</w:t>
      </w:r>
      <w:r w:rsidRPr="00215262">
        <w:t xml:space="preserve"> from the </w:t>
      </w:r>
      <w:r w:rsidRPr="00443686">
        <w:t>requirement for a Risk Management Plan for this application.</w:t>
      </w:r>
    </w:p>
    <w:p w14:paraId="1DD79D39" w14:textId="77777777" w:rsidR="008E7846" w:rsidRPr="00792A32" w:rsidRDefault="008E7846" w:rsidP="008E7846">
      <w:pPr>
        <w:pStyle w:val="Heading2"/>
      </w:pPr>
      <w:bookmarkStart w:id="121" w:name="_Toc247691527"/>
      <w:bookmarkStart w:id="122" w:name="_Toc314842510"/>
      <w:bookmarkStart w:id="123" w:name="_Toc525732549"/>
      <w:bookmarkEnd w:id="119"/>
      <w:bookmarkEnd w:id="120"/>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1"/>
      <w:bookmarkEnd w:id="121"/>
      <w:bookmarkEnd w:id="122"/>
      <w:bookmarkEnd w:id="123"/>
    </w:p>
    <w:p w14:paraId="73B74588" w14:textId="77777777" w:rsidR="008E7846" w:rsidRDefault="008E7846" w:rsidP="008E7846">
      <w:bookmarkStart w:id="124" w:name="_Toc247691528"/>
      <w:r>
        <w:t xml:space="preserve">The submission was summarised in the following </w:t>
      </w:r>
      <w:r w:rsidRPr="00EF5C48">
        <w:t xml:space="preserve">Delegate’s </w:t>
      </w:r>
      <w:r>
        <w:t>overview</w:t>
      </w:r>
      <w:r w:rsidRPr="00EF5C48">
        <w:t xml:space="preserve"> and recommendation</w:t>
      </w:r>
      <w:r>
        <w:t>s:</w:t>
      </w:r>
    </w:p>
    <w:p w14:paraId="58F36A97" w14:textId="77777777" w:rsidR="003342AD" w:rsidRDefault="003342AD" w:rsidP="003342AD">
      <w:pPr>
        <w:pStyle w:val="Heading3"/>
      </w:pPr>
      <w:bookmarkStart w:id="125" w:name="_Toc525732550"/>
      <w:r>
        <w:t>Introduction</w:t>
      </w:r>
      <w:bookmarkEnd w:id="125"/>
    </w:p>
    <w:p w14:paraId="0D4D0A2F" w14:textId="77777777" w:rsidR="003342AD" w:rsidRPr="003342AD" w:rsidRDefault="008E65BA" w:rsidP="003342AD">
      <w:r w:rsidRPr="003342AD">
        <w:t>Indacaterol</w:t>
      </w:r>
      <w:r w:rsidR="003342AD" w:rsidRPr="003342AD">
        <w:t xml:space="preserve"> is a long acting β agonist. Glycopyrronium is an anticholinergic, long acting M1-5</w:t>
      </w:r>
      <w:r w:rsidR="008051BC">
        <w:t xml:space="preserve"> muscarinic receptor antagonist. </w:t>
      </w:r>
      <w:r w:rsidR="003342AD" w:rsidRPr="003342AD">
        <w:t>Both agents are used for symptomatic treatment of COPD by opening up the airways. It is important to note that the benefits observed in symptom control and improvements in FEV1 are only observed while patients are taking these medications.</w:t>
      </w:r>
    </w:p>
    <w:p w14:paraId="5F8C730E" w14:textId="77777777" w:rsidR="003342AD" w:rsidRPr="003342AD" w:rsidRDefault="003342AD" w:rsidP="003342AD">
      <w:r w:rsidRPr="003342AD">
        <w:t>The classification</w:t>
      </w:r>
      <w:r w:rsidR="005629DE">
        <w:t xml:space="preserve"> of COPD has changed over time;</w:t>
      </w:r>
      <w:r w:rsidRPr="003342AD">
        <w:t xml:space="preserve"> now based on symptoms score and risk of exacerbations.</w:t>
      </w:r>
    </w:p>
    <w:p w14:paraId="2A26D2F4" w14:textId="77777777" w:rsidR="003342AD" w:rsidRDefault="003342AD" w:rsidP="003342AD">
      <w:r w:rsidRPr="003342AD">
        <w:t xml:space="preserve">COPD is a chronic and progressive disorder. In clinical practice, main challenges are diagnosis (differentiating COPD from asthma and encouraging </w:t>
      </w:r>
      <w:r w:rsidR="005629DE">
        <w:t xml:space="preserve">general practitioners (GPs) </w:t>
      </w:r>
      <w:r w:rsidRPr="003342AD">
        <w:t>to perform spirometry), optimising therapy. Most patients with COPD are managed by GPs. The aim of management of COPD is to prevent disease progression, relieve symptoms, improve exercise tolerance, improve health status, prevent and treat complications, prevent and treat exace</w:t>
      </w:r>
      <w:r w:rsidR="008051BC">
        <w:t>rbations, reduce mortality</w:t>
      </w:r>
      <w:r w:rsidRPr="003342AD">
        <w:t xml:space="preserve">. A LABA or LAMA is indicated as first line therapy for COPD. Combination therapy is now increasingly being used for patients with symptoms despite use of either LAMA or LABA. The Lung foundation of </w:t>
      </w:r>
      <w:r w:rsidRPr="003342AD">
        <w:lastRenderedPageBreak/>
        <w:t>Australia/Thoracic Society of Australia and New Zealand / and RACGP</w:t>
      </w:r>
      <w:r w:rsidR="008051BC">
        <w:rPr>
          <w:rStyle w:val="FootnoteReference"/>
        </w:rPr>
        <w:footnoteReference w:id="6"/>
      </w:r>
      <w:r w:rsidRPr="003342AD">
        <w:t xml:space="preserve"> have developed COPD-X guidelines to assist practitioners diagnosing and managing COPD</w:t>
      </w:r>
      <w:r w:rsidR="008051BC">
        <w:t>.</w:t>
      </w:r>
      <w:r w:rsidR="008051BC">
        <w:rPr>
          <w:rStyle w:val="FootnoteReference"/>
        </w:rPr>
        <w:footnoteReference w:id="7"/>
      </w:r>
      <w:r w:rsidRPr="003342AD">
        <w:t xml:space="preserve"> </w:t>
      </w:r>
      <w:r w:rsidR="008051BC">
        <w:t>Figure</w:t>
      </w:r>
      <w:r w:rsidRPr="003342AD">
        <w:t xml:space="preserve"> </w:t>
      </w:r>
      <w:r w:rsidR="008E65BA">
        <w:t>1</w:t>
      </w:r>
      <w:r w:rsidRPr="003342AD">
        <w:t xml:space="preserve"> illustrates the current treatment algorithm.</w:t>
      </w:r>
    </w:p>
    <w:p w14:paraId="2E779F93" w14:textId="77777777" w:rsidR="008051BC" w:rsidRDefault="008051BC" w:rsidP="008051BC">
      <w:pPr>
        <w:pStyle w:val="FigureTitle"/>
      </w:pPr>
      <w:r>
        <w:lastRenderedPageBreak/>
        <w:t xml:space="preserve">Figure </w:t>
      </w:r>
      <w:r w:rsidR="008E65BA">
        <w:t>1:</w:t>
      </w:r>
      <w:r>
        <w:t xml:space="preserve"> Current Algorithm for COPD treatment</w:t>
      </w:r>
    </w:p>
    <w:p w14:paraId="3E31A870" w14:textId="77777777" w:rsidR="008051BC" w:rsidRPr="008051BC" w:rsidRDefault="008051BC" w:rsidP="008051BC">
      <w:r>
        <w:rPr>
          <w:noProof/>
          <w:lang w:eastAsia="en-AU"/>
        </w:rPr>
        <w:drawing>
          <wp:inline distT="0" distB="0" distL="0" distR="0" wp14:anchorId="7C4D56D4" wp14:editId="3C8211C0">
            <wp:extent cx="5400040" cy="7722004"/>
            <wp:effectExtent l="0" t="0" r="0" b="0"/>
            <wp:docPr id="8" name="Picture 8" descr="Figure 1: Current Algorithm for COP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10800000">
                      <a:off x="0" y="0"/>
                      <a:ext cx="5400040" cy="7722004"/>
                    </a:xfrm>
                    <a:prstGeom prst="rect">
                      <a:avLst/>
                    </a:prstGeom>
                  </pic:spPr>
                </pic:pic>
              </a:graphicData>
            </a:graphic>
          </wp:inline>
        </w:drawing>
      </w:r>
    </w:p>
    <w:p w14:paraId="1217A8F5" w14:textId="77777777" w:rsidR="003342AD" w:rsidRPr="003342AD" w:rsidRDefault="003342AD" w:rsidP="003342AD">
      <w:r w:rsidRPr="003342AD">
        <w:t xml:space="preserve">The </w:t>
      </w:r>
      <w:r w:rsidR="008051BC">
        <w:t>‘</w:t>
      </w:r>
      <w:r w:rsidRPr="003342AD">
        <w:t xml:space="preserve">Form for providing </w:t>
      </w:r>
      <w:r w:rsidR="008051BC">
        <w:t>PI</w:t>
      </w:r>
      <w:r w:rsidRPr="003342AD">
        <w:t xml:space="preserve"> for a restricted medicine or other medicine in relation to which the secretary requires </w:t>
      </w:r>
      <w:r w:rsidR="008051BC">
        <w:t>PI</w:t>
      </w:r>
      <w:r w:rsidRPr="003342AD">
        <w:t xml:space="preserve"> to be provided</w:t>
      </w:r>
      <w:r w:rsidR="008051BC">
        <w:t>’</w:t>
      </w:r>
      <w:r w:rsidRPr="003342AD">
        <w:t xml:space="preserve"> states for I</w:t>
      </w:r>
      <w:r w:rsidR="008051BC" w:rsidRPr="003342AD">
        <w:t>ndications</w:t>
      </w:r>
      <w:r w:rsidRPr="003342AD">
        <w:t xml:space="preserve"> </w:t>
      </w:r>
      <w:r w:rsidR="008051BC">
        <w:t>‘</w:t>
      </w:r>
      <w:r w:rsidRPr="003342AD">
        <w:t>the therapeutic applications should be stated clearly and concisely, and should define the target disease or condition, distinguishing between treatment (symptomatic, curative, or modifying the evolution or progressions of the disease), prevent</w:t>
      </w:r>
      <w:r w:rsidR="008051BC">
        <w:t>ion and diagnostic indications.’</w:t>
      </w:r>
    </w:p>
    <w:p w14:paraId="30B9716F" w14:textId="77777777" w:rsidR="008E7846" w:rsidRDefault="008E7846" w:rsidP="008E7846">
      <w:pPr>
        <w:pStyle w:val="Heading3"/>
      </w:pPr>
      <w:bookmarkStart w:id="126" w:name="_Toc314842511"/>
      <w:bookmarkStart w:id="127" w:name="_Toc525732551"/>
      <w:r>
        <w:lastRenderedPageBreak/>
        <w:t>Quality</w:t>
      </w:r>
      <w:bookmarkEnd w:id="124"/>
      <w:bookmarkEnd w:id="126"/>
      <w:bookmarkEnd w:id="127"/>
    </w:p>
    <w:p w14:paraId="55416C2A" w14:textId="77777777" w:rsidR="00E45619" w:rsidRDefault="008E7846" w:rsidP="003A7F6C">
      <w:r>
        <w:t>There was no requirement for a quality evaluation in a submission of this type.</w:t>
      </w:r>
    </w:p>
    <w:p w14:paraId="49DF73FA" w14:textId="77777777" w:rsidR="008E7846" w:rsidRDefault="008E7846" w:rsidP="008E7846">
      <w:pPr>
        <w:pStyle w:val="Heading3"/>
      </w:pPr>
      <w:bookmarkStart w:id="128" w:name="_Toc314842512"/>
      <w:bookmarkStart w:id="129" w:name="_Toc525732552"/>
      <w:r>
        <w:t>Nonclinical</w:t>
      </w:r>
      <w:bookmarkEnd w:id="128"/>
      <w:bookmarkEnd w:id="129"/>
    </w:p>
    <w:p w14:paraId="1C712D2B" w14:textId="77777777" w:rsidR="008E7846" w:rsidRDefault="008E7846" w:rsidP="008E7846">
      <w:r>
        <w:t>There was no requirement for a nonclinical evaluation in a submission of this type.</w:t>
      </w:r>
    </w:p>
    <w:p w14:paraId="3CDE7AF3" w14:textId="77777777" w:rsidR="008E7846" w:rsidRDefault="008E7846" w:rsidP="008E7846">
      <w:pPr>
        <w:pStyle w:val="Heading3"/>
      </w:pPr>
      <w:bookmarkStart w:id="130" w:name="_Toc247691530"/>
      <w:bookmarkStart w:id="131" w:name="_Toc314842513"/>
      <w:bookmarkStart w:id="132" w:name="_Toc525732553"/>
      <w:r>
        <w:t>Clinical</w:t>
      </w:r>
      <w:bookmarkEnd w:id="130"/>
      <w:bookmarkEnd w:id="131"/>
      <w:bookmarkEnd w:id="132"/>
    </w:p>
    <w:p w14:paraId="3E1F9C30" w14:textId="77777777" w:rsidR="008051BC" w:rsidRDefault="008051BC" w:rsidP="008051BC">
      <w:pPr>
        <w:pStyle w:val="Heading4"/>
      </w:pPr>
      <w:bookmarkStart w:id="133" w:name="_Toc314842514"/>
      <w:r>
        <w:t>Clinical trials</w:t>
      </w:r>
    </w:p>
    <w:p w14:paraId="5DB7A418" w14:textId="3B3F5C8A" w:rsidR="008051BC" w:rsidRPr="008051BC" w:rsidRDefault="008051BC" w:rsidP="008051BC">
      <w:pPr>
        <w:pStyle w:val="Heading5"/>
      </w:pPr>
      <w:r w:rsidRPr="003342AD">
        <w:t>FLAME</w:t>
      </w:r>
      <w:r w:rsidR="00B0299B">
        <w:t>;</w:t>
      </w:r>
      <w:r w:rsidRPr="003342AD">
        <w:t xml:space="preserve"> </w:t>
      </w:r>
      <w:r w:rsidR="008635E7">
        <w:t>S</w:t>
      </w:r>
      <w:r w:rsidRPr="003342AD">
        <w:t>tudy QVA 149A2318</w:t>
      </w:r>
    </w:p>
    <w:p w14:paraId="691F1192" w14:textId="76438437" w:rsidR="003342AD" w:rsidRDefault="003342AD" w:rsidP="003342AD">
      <w:r w:rsidRPr="003342AD">
        <w:t>A sing</w:t>
      </w:r>
      <w:r w:rsidR="008051BC">
        <w:t>le clinical trial was submitted</w:t>
      </w:r>
      <w:r w:rsidR="00B0299B">
        <w:t>, the</w:t>
      </w:r>
      <w:r w:rsidR="008051BC">
        <w:t xml:space="preserve"> </w:t>
      </w:r>
      <w:r w:rsidR="008635E7">
        <w:t>FLAME</w:t>
      </w:r>
      <w:r w:rsidR="00B0299B">
        <w:t xml:space="preserve"> study</w:t>
      </w:r>
      <w:r w:rsidR="008635E7">
        <w:t xml:space="preserve"> </w:t>
      </w:r>
      <w:r w:rsidR="00B0299B">
        <w:t>(</w:t>
      </w:r>
      <w:r w:rsidR="008635E7">
        <w:t>S</w:t>
      </w:r>
      <w:r w:rsidRPr="003342AD">
        <w:t>tudy QVA 149A2318</w:t>
      </w:r>
      <w:r w:rsidR="00B0299B">
        <w:t>)</w:t>
      </w:r>
      <w:r w:rsidRPr="003342AD">
        <w:t xml:space="preserve">. </w:t>
      </w:r>
      <w:r w:rsidR="008E65BA">
        <w:t>This study has also been</w:t>
      </w:r>
      <w:r w:rsidRPr="003342AD">
        <w:t xml:space="preserve"> published</w:t>
      </w:r>
      <w:r w:rsidR="008051BC">
        <w:t>.</w:t>
      </w:r>
      <w:r w:rsidR="008051BC">
        <w:rPr>
          <w:rStyle w:val="FootnoteReference"/>
        </w:rPr>
        <w:footnoteReference w:id="8"/>
      </w:r>
    </w:p>
    <w:p w14:paraId="67F1FA9C" w14:textId="77777777" w:rsidR="008051BC" w:rsidRDefault="008051BC" w:rsidP="008051BC">
      <w:pPr>
        <w:pStyle w:val="Heading6"/>
      </w:pPr>
      <w:r w:rsidRPr="00616377">
        <w:t>Design</w:t>
      </w:r>
    </w:p>
    <w:p w14:paraId="49281414" w14:textId="77777777" w:rsidR="008051BC" w:rsidRDefault="008051BC" w:rsidP="003342AD">
      <w:pPr>
        <w:rPr>
          <w:rFonts w:asciiTheme="minorHAnsi" w:hAnsiTheme="minorHAnsi"/>
        </w:rPr>
      </w:pPr>
      <w:r w:rsidRPr="00616377">
        <w:rPr>
          <w:rFonts w:asciiTheme="minorHAnsi" w:hAnsiTheme="minorHAnsi"/>
        </w:rPr>
        <w:t>A 52 week, multicentre, randomised, double blind, double dummy, parallel group, active controlled study to compare the effect of ind</w:t>
      </w:r>
      <w:r>
        <w:rPr>
          <w:rFonts w:asciiTheme="minorHAnsi" w:hAnsiTheme="minorHAnsi"/>
        </w:rPr>
        <w:t>acaterol</w:t>
      </w:r>
      <w:r w:rsidRPr="00616377">
        <w:rPr>
          <w:rFonts w:asciiTheme="minorHAnsi" w:hAnsiTheme="minorHAnsi"/>
        </w:rPr>
        <w:t>/gly</w:t>
      </w:r>
      <w:r>
        <w:rPr>
          <w:rFonts w:asciiTheme="minorHAnsi" w:hAnsiTheme="minorHAnsi"/>
        </w:rPr>
        <w:t>copyrronium</w:t>
      </w:r>
      <w:r w:rsidRPr="00616377">
        <w:rPr>
          <w:rFonts w:asciiTheme="minorHAnsi" w:hAnsiTheme="minorHAnsi"/>
        </w:rPr>
        <w:t xml:space="preserve"> with salmeterol/fluticasone on the rate of severe exacerbations in COPD</w:t>
      </w:r>
      <w:r w:rsidR="008E65BA">
        <w:rPr>
          <w:rFonts w:asciiTheme="minorHAnsi" w:hAnsiTheme="minorHAnsi"/>
        </w:rPr>
        <w:t>.</w:t>
      </w:r>
    </w:p>
    <w:p w14:paraId="21972234" w14:textId="77777777" w:rsidR="008051BC" w:rsidRDefault="008051BC" w:rsidP="008051BC">
      <w:pPr>
        <w:pStyle w:val="Heading6"/>
      </w:pPr>
      <w:r w:rsidRPr="00616377">
        <w:t>Inclusion criteria</w:t>
      </w:r>
    </w:p>
    <w:p w14:paraId="3E07DDB0" w14:textId="77777777" w:rsidR="008051BC" w:rsidRPr="008051BC" w:rsidRDefault="008051BC" w:rsidP="008051BC">
      <w:pPr>
        <w:pStyle w:val="ListBullet"/>
      </w:pPr>
      <w:r w:rsidRPr="008051BC">
        <w:t>age</w:t>
      </w:r>
      <w:r w:rsidR="008E65BA">
        <w:t xml:space="preserve"> &gt; </w:t>
      </w:r>
      <w:r w:rsidRPr="008051BC">
        <w:t>40 years</w:t>
      </w:r>
    </w:p>
    <w:p w14:paraId="4ED076A3" w14:textId="77777777" w:rsidR="008051BC" w:rsidRPr="008051BC" w:rsidRDefault="008051BC" w:rsidP="008051BC">
      <w:pPr>
        <w:pStyle w:val="ListBullet"/>
      </w:pPr>
      <w:r w:rsidRPr="008051BC">
        <w:t>COPD diagnosis according to GOLD criteria 2011</w:t>
      </w:r>
      <w:r w:rsidR="008635E7">
        <w:rPr>
          <w:rStyle w:val="FootnoteReference"/>
        </w:rPr>
        <w:footnoteReference w:id="9"/>
      </w:r>
    </w:p>
    <w:p w14:paraId="2E6432EB" w14:textId="77777777" w:rsidR="008051BC" w:rsidRPr="008051BC" w:rsidRDefault="008051BC" w:rsidP="008051BC">
      <w:pPr>
        <w:pStyle w:val="ListBullet"/>
      </w:pPr>
      <w:r w:rsidRPr="008051BC">
        <w:t>smoking history of 10 pack years</w:t>
      </w:r>
    </w:p>
    <w:p w14:paraId="550223D5" w14:textId="77777777" w:rsidR="008051BC" w:rsidRPr="008051BC" w:rsidRDefault="008051BC" w:rsidP="008051BC">
      <w:pPr>
        <w:pStyle w:val="ListBullet"/>
      </w:pPr>
      <w:r w:rsidRPr="008051BC">
        <w:t>at least one exacerbation requiring systemic corticosteroids and/or antibiotics in the previous 12 months</w:t>
      </w:r>
    </w:p>
    <w:p w14:paraId="4E2580A3" w14:textId="77777777" w:rsidR="008051BC" w:rsidRPr="008051BC" w:rsidRDefault="008E65BA" w:rsidP="008051BC">
      <w:pPr>
        <w:pStyle w:val="ListBullet"/>
      </w:pPr>
      <w:r>
        <w:t xml:space="preserve">post bronchodilator FEV1 25 to </w:t>
      </w:r>
      <w:r w:rsidR="008051BC" w:rsidRPr="008051BC">
        <w:t>60% predicted</w:t>
      </w:r>
    </w:p>
    <w:p w14:paraId="0FC4DA63" w14:textId="77777777" w:rsidR="008051BC" w:rsidRPr="008051BC" w:rsidRDefault="008051BC" w:rsidP="008051BC">
      <w:pPr>
        <w:pStyle w:val="ListBullet"/>
      </w:pPr>
      <w:r w:rsidRPr="008051BC">
        <w:t>post bronchodilator FEV1/</w:t>
      </w:r>
      <w:r w:rsidR="008D4D5F" w:rsidRPr="008D4D5F">
        <w:t xml:space="preserve"> </w:t>
      </w:r>
      <w:r w:rsidR="008D4D5F">
        <w:t>forced vital capacity</w:t>
      </w:r>
      <w:r w:rsidR="008D4D5F" w:rsidRPr="008051BC">
        <w:t xml:space="preserve"> </w:t>
      </w:r>
      <w:r w:rsidR="008D4D5F">
        <w:t>(</w:t>
      </w:r>
      <w:r w:rsidRPr="008051BC">
        <w:t>FVC</w:t>
      </w:r>
      <w:r w:rsidR="008D4D5F">
        <w:t>)</w:t>
      </w:r>
      <w:r w:rsidRPr="008051BC">
        <w:t xml:space="preserve"> &lt; 0.7</w:t>
      </w:r>
    </w:p>
    <w:p w14:paraId="0DFAD465" w14:textId="77777777" w:rsidR="008051BC" w:rsidRDefault="008D4D5F" w:rsidP="008051BC">
      <w:pPr>
        <w:pStyle w:val="ListBullet"/>
      </w:pPr>
      <w:r>
        <w:t>Modified Medical Research Council Dyspnoea Scale (</w:t>
      </w:r>
      <w:proofErr w:type="spellStart"/>
      <w:r w:rsidR="008E65BA">
        <w:t>mMRC</w:t>
      </w:r>
      <w:proofErr w:type="spellEnd"/>
      <w:r>
        <w:t>)</w:t>
      </w:r>
      <w:r w:rsidR="008E65BA">
        <w:t xml:space="preserve"> G</w:t>
      </w:r>
      <w:r w:rsidR="008051BC" w:rsidRPr="008051BC">
        <w:t>rade of at least 2</w:t>
      </w:r>
      <w:r w:rsidR="008E65BA">
        <w:t>.</w:t>
      </w:r>
    </w:p>
    <w:p w14:paraId="6AB2E4A8" w14:textId="77777777" w:rsidR="008051BC" w:rsidRDefault="008051BC" w:rsidP="008051BC">
      <w:pPr>
        <w:pStyle w:val="Heading6"/>
      </w:pPr>
      <w:r w:rsidRPr="00616377">
        <w:t>Treatments</w:t>
      </w:r>
    </w:p>
    <w:p w14:paraId="6BFAE32F" w14:textId="77777777" w:rsidR="008051BC" w:rsidRDefault="00C32CE5" w:rsidP="008051BC">
      <w:r>
        <w:t>Indacaterol/glycopyrronium</w:t>
      </w:r>
      <w:r w:rsidR="008051BC" w:rsidRPr="008051BC">
        <w:t xml:space="preserve"> 110/50µg DPI daily or placebo</w:t>
      </w:r>
      <w:r w:rsidR="00342545">
        <w:t xml:space="preserve"> v</w:t>
      </w:r>
      <w:r w:rsidR="00342545" w:rsidRPr="008051BC">
        <w:t>ersus</w:t>
      </w:r>
      <w:r w:rsidR="00342545">
        <w:t xml:space="preserve"> s</w:t>
      </w:r>
      <w:r w:rsidR="008051BC" w:rsidRPr="008051BC">
        <w:t xml:space="preserve">almeterol/fluticasone 50/500µg </w:t>
      </w:r>
      <w:r w:rsidR="008D4D5F">
        <w:t>twice daily (</w:t>
      </w:r>
      <w:r w:rsidR="008E65BA">
        <w:t>BD</w:t>
      </w:r>
      <w:r w:rsidR="008D4D5F">
        <w:t>)</w:t>
      </w:r>
      <w:r w:rsidR="008051BC" w:rsidRPr="008051BC">
        <w:t xml:space="preserve"> or placebo</w:t>
      </w:r>
    </w:p>
    <w:p w14:paraId="12EA8055" w14:textId="77777777" w:rsidR="008051BC" w:rsidRDefault="008051BC" w:rsidP="008051BC">
      <w:pPr>
        <w:pStyle w:val="Heading6"/>
      </w:pPr>
      <w:r w:rsidRPr="00616377">
        <w:t>Efficacy endpoints</w:t>
      </w:r>
    </w:p>
    <w:p w14:paraId="4949F2E7" w14:textId="77777777" w:rsidR="008051BC" w:rsidRDefault="00BF275F" w:rsidP="008051BC">
      <w:pPr>
        <w:spacing w:before="0" w:after="0" w:line="240" w:lineRule="auto"/>
        <w:rPr>
          <w:rFonts w:asciiTheme="minorHAnsi" w:hAnsiTheme="minorHAnsi"/>
        </w:rPr>
      </w:pPr>
      <w:r>
        <w:rPr>
          <w:rFonts w:asciiTheme="minorHAnsi" w:hAnsiTheme="minorHAnsi"/>
        </w:rPr>
        <w:t>Primary</w:t>
      </w:r>
    </w:p>
    <w:p w14:paraId="34F86056" w14:textId="6CD1334F" w:rsidR="008051BC" w:rsidRPr="00BF275F" w:rsidRDefault="00B0299B" w:rsidP="00BF275F">
      <w:pPr>
        <w:pStyle w:val="ListBullet"/>
      </w:pPr>
      <w:r>
        <w:t xml:space="preserve">rate </w:t>
      </w:r>
      <w:r w:rsidR="00FE4E85">
        <w:t>of COPD exacerbations (see explanation below)</w:t>
      </w:r>
    </w:p>
    <w:p w14:paraId="3794839B" w14:textId="77777777" w:rsidR="008051BC" w:rsidRDefault="008E65BA" w:rsidP="008051BC">
      <w:pPr>
        <w:spacing w:before="0" w:after="0" w:line="240" w:lineRule="auto"/>
        <w:rPr>
          <w:rFonts w:asciiTheme="minorHAnsi" w:hAnsiTheme="minorHAnsi"/>
        </w:rPr>
      </w:pPr>
      <w:r>
        <w:rPr>
          <w:rFonts w:asciiTheme="minorHAnsi" w:hAnsiTheme="minorHAnsi"/>
        </w:rPr>
        <w:t>Secondary</w:t>
      </w:r>
    </w:p>
    <w:p w14:paraId="5789AC45" w14:textId="77777777" w:rsidR="008051BC" w:rsidRPr="00BF275F" w:rsidRDefault="008051BC" w:rsidP="00BF275F">
      <w:pPr>
        <w:pStyle w:val="ListBullet"/>
      </w:pPr>
      <w:r w:rsidRPr="00BF275F">
        <w:t>time to first COPD exacerbation</w:t>
      </w:r>
    </w:p>
    <w:p w14:paraId="57A2C089" w14:textId="77777777" w:rsidR="008051BC" w:rsidRPr="00BF275F" w:rsidRDefault="008051BC" w:rsidP="00BF275F">
      <w:pPr>
        <w:pStyle w:val="ListBullet"/>
      </w:pPr>
      <w:r w:rsidRPr="00BF275F">
        <w:t>rate and time of moderate/severe exacerbation</w:t>
      </w:r>
    </w:p>
    <w:p w14:paraId="19C13013" w14:textId="77777777" w:rsidR="008051BC" w:rsidRPr="00BF275F" w:rsidRDefault="008051BC" w:rsidP="00BF275F">
      <w:pPr>
        <w:pStyle w:val="ListBullet"/>
      </w:pPr>
      <w:r w:rsidRPr="00BF275F">
        <w:t>change from baseline in pre-dose FEV1 and FVC</w:t>
      </w:r>
    </w:p>
    <w:p w14:paraId="235DF663" w14:textId="77777777" w:rsidR="008051BC" w:rsidRPr="00BF275F" w:rsidRDefault="008051BC" w:rsidP="00BF275F">
      <w:pPr>
        <w:pStyle w:val="ListBullet"/>
      </w:pPr>
      <w:r w:rsidRPr="00BF275F">
        <w:lastRenderedPageBreak/>
        <w:t>FEV1 AUC</w:t>
      </w:r>
    </w:p>
    <w:p w14:paraId="66C1F141" w14:textId="77777777" w:rsidR="008051BC" w:rsidRPr="00BF275F" w:rsidRDefault="008051BC" w:rsidP="00BF275F">
      <w:pPr>
        <w:pStyle w:val="ListBullet"/>
      </w:pPr>
      <w:r w:rsidRPr="00BF275F">
        <w:t>symptoms and rescue medication use</w:t>
      </w:r>
    </w:p>
    <w:p w14:paraId="39513AC8" w14:textId="77777777" w:rsidR="008051BC" w:rsidRDefault="008051BC" w:rsidP="00BF275F">
      <w:pPr>
        <w:pStyle w:val="ListBullet"/>
      </w:pPr>
      <w:r>
        <w:t>SGRQ-C</w:t>
      </w:r>
    </w:p>
    <w:p w14:paraId="7C48E145" w14:textId="77777777" w:rsidR="00BF275F" w:rsidRDefault="00BF275F" w:rsidP="00BF275F">
      <w:pPr>
        <w:pStyle w:val="Heading6"/>
      </w:pPr>
      <w:r>
        <w:t>Statistics</w:t>
      </w:r>
    </w:p>
    <w:p w14:paraId="12F7135F" w14:textId="77777777" w:rsidR="00BF275F" w:rsidRDefault="00BF275F" w:rsidP="00BF275F">
      <w:pPr>
        <w:rPr>
          <w:rFonts w:asciiTheme="minorHAnsi" w:hAnsiTheme="minorHAnsi"/>
        </w:rPr>
      </w:pPr>
      <w:r>
        <w:rPr>
          <w:rFonts w:asciiTheme="minorHAnsi" w:hAnsiTheme="minorHAnsi"/>
        </w:rPr>
        <w:t>The study was designed as a non-inferiority study with a limit of rate ratio of 1.15. If non inferiority was con</w:t>
      </w:r>
      <w:r w:rsidR="008E65BA">
        <w:rPr>
          <w:rFonts w:asciiTheme="minorHAnsi" w:hAnsiTheme="minorHAnsi"/>
        </w:rPr>
        <w:t>firmed, superiority was tested.</w:t>
      </w:r>
    </w:p>
    <w:p w14:paraId="2BAEEE5E" w14:textId="77777777" w:rsidR="00BF275F" w:rsidRDefault="00BF275F" w:rsidP="00BF275F">
      <w:pPr>
        <w:pStyle w:val="Heading6"/>
      </w:pPr>
      <w:r>
        <w:t>Baseline data</w:t>
      </w:r>
    </w:p>
    <w:p w14:paraId="70FB513B" w14:textId="77777777" w:rsidR="00BF275F" w:rsidRDefault="00BF275F" w:rsidP="00BF275F">
      <w:pPr>
        <w:spacing w:before="0" w:after="0" w:line="240" w:lineRule="auto"/>
        <w:rPr>
          <w:rFonts w:asciiTheme="minorHAnsi" w:hAnsiTheme="minorHAnsi"/>
        </w:rPr>
      </w:pPr>
      <w:r>
        <w:rPr>
          <w:rFonts w:asciiTheme="minorHAnsi" w:hAnsiTheme="minorHAnsi"/>
        </w:rPr>
        <w:t xml:space="preserve">Most patients had moderate or </w:t>
      </w:r>
      <w:r w:rsidRPr="00342545">
        <w:rPr>
          <w:rFonts w:asciiTheme="minorHAnsi" w:hAnsiTheme="minorHAnsi"/>
        </w:rPr>
        <w:t xml:space="preserve">severe COPD </w:t>
      </w:r>
      <w:r w:rsidR="00342545">
        <w:rPr>
          <w:rFonts w:asciiTheme="minorHAnsi" w:hAnsiTheme="minorHAnsi"/>
        </w:rPr>
        <w:t xml:space="preserve">(see </w:t>
      </w:r>
      <w:r w:rsidR="00342545" w:rsidRPr="00342545">
        <w:rPr>
          <w:rFonts w:asciiTheme="minorHAnsi" w:hAnsiTheme="minorHAnsi"/>
        </w:rPr>
        <w:t>T</w:t>
      </w:r>
      <w:r w:rsidRPr="00342545">
        <w:rPr>
          <w:rFonts w:asciiTheme="minorHAnsi" w:hAnsiTheme="minorHAnsi"/>
        </w:rPr>
        <w:t xml:space="preserve">ables </w:t>
      </w:r>
      <w:r w:rsidR="00342545" w:rsidRPr="00342545">
        <w:rPr>
          <w:rFonts w:asciiTheme="minorHAnsi" w:hAnsiTheme="minorHAnsi"/>
        </w:rPr>
        <w:t>3 and 4</w:t>
      </w:r>
      <w:r>
        <w:rPr>
          <w:rFonts w:asciiTheme="minorHAnsi" w:hAnsiTheme="minorHAnsi"/>
        </w:rPr>
        <w:t xml:space="preserve"> in </w:t>
      </w:r>
      <w:r w:rsidR="00342545">
        <w:rPr>
          <w:rFonts w:asciiTheme="minorHAnsi" w:hAnsiTheme="minorHAnsi"/>
        </w:rPr>
        <w:t>Attachment 2)</w:t>
      </w:r>
      <w:r>
        <w:rPr>
          <w:rFonts w:asciiTheme="minorHAnsi" w:hAnsiTheme="minorHAnsi"/>
        </w:rPr>
        <w:t>. A total of 3</w:t>
      </w:r>
      <w:r w:rsidR="008E65BA">
        <w:rPr>
          <w:rFonts w:asciiTheme="minorHAnsi" w:hAnsiTheme="minorHAnsi"/>
        </w:rPr>
        <w:t>,</w:t>
      </w:r>
      <w:r>
        <w:rPr>
          <w:rFonts w:asciiTheme="minorHAnsi" w:hAnsiTheme="minorHAnsi"/>
        </w:rPr>
        <w:t>362 patients were randomised.</w:t>
      </w:r>
    </w:p>
    <w:p w14:paraId="74683067" w14:textId="30AA403B" w:rsidR="00BF275F" w:rsidRDefault="00342545" w:rsidP="00BF275F">
      <w:pPr>
        <w:spacing w:before="0" w:after="0" w:line="240" w:lineRule="auto"/>
        <w:rPr>
          <w:rFonts w:asciiTheme="minorHAnsi" w:hAnsiTheme="minorHAnsi"/>
        </w:rPr>
      </w:pPr>
      <w:r>
        <w:rPr>
          <w:rFonts w:asciiTheme="minorHAnsi" w:hAnsiTheme="minorHAnsi"/>
        </w:rPr>
        <w:t xml:space="preserve">56.3% were using </w:t>
      </w:r>
      <w:r w:rsidR="008D4D5F">
        <w:t>inhaled corticosteroids</w:t>
      </w:r>
      <w:r w:rsidR="008D4D5F">
        <w:rPr>
          <w:rFonts w:asciiTheme="minorHAnsi" w:hAnsiTheme="minorHAnsi"/>
        </w:rPr>
        <w:t xml:space="preserve"> (</w:t>
      </w:r>
      <w:r>
        <w:rPr>
          <w:rFonts w:asciiTheme="minorHAnsi" w:hAnsiTheme="minorHAnsi"/>
        </w:rPr>
        <w:t>ICS</w:t>
      </w:r>
      <w:r w:rsidR="008D4D5F">
        <w:rPr>
          <w:rFonts w:asciiTheme="minorHAnsi" w:hAnsiTheme="minorHAnsi"/>
        </w:rPr>
        <w:t>)</w:t>
      </w:r>
      <w:r>
        <w:rPr>
          <w:rFonts w:asciiTheme="minorHAnsi" w:hAnsiTheme="minorHAnsi"/>
        </w:rPr>
        <w:t xml:space="preserve"> at S</w:t>
      </w:r>
      <w:r w:rsidR="00BF275F">
        <w:rPr>
          <w:rFonts w:asciiTheme="minorHAnsi" w:hAnsiTheme="minorHAnsi"/>
        </w:rPr>
        <w:t>creening, 67.1%</w:t>
      </w:r>
      <w:r w:rsidR="00B0299B">
        <w:rPr>
          <w:rFonts w:asciiTheme="minorHAnsi" w:hAnsiTheme="minorHAnsi"/>
        </w:rPr>
        <w:t xml:space="preserve"> </w:t>
      </w:r>
      <w:r w:rsidR="00BF275F">
        <w:rPr>
          <w:rFonts w:asciiTheme="minorHAnsi" w:hAnsiTheme="minorHAnsi"/>
        </w:rPr>
        <w:t>were using LABA, 46.5% ICS/LABA, 60.6% were using LAMA</w:t>
      </w:r>
      <w:r w:rsidR="008E65BA">
        <w:rPr>
          <w:rFonts w:asciiTheme="minorHAnsi" w:hAnsiTheme="minorHAnsi"/>
        </w:rPr>
        <w:t>.</w:t>
      </w:r>
    </w:p>
    <w:p w14:paraId="5C15D5E1" w14:textId="0E6EEBE2" w:rsidR="00BF275F" w:rsidRPr="008E65BA" w:rsidRDefault="00B57093" w:rsidP="008E65BA">
      <w:pPr>
        <w:pStyle w:val="Tabletitle0"/>
        <w:rPr>
          <w:u w:val="single"/>
          <w:lang w:eastAsia="ja-JP"/>
        </w:rPr>
      </w:pPr>
      <w:r>
        <w:t>Table 5</w:t>
      </w:r>
      <w:r w:rsidR="008E65BA">
        <w:t xml:space="preserve">: </w:t>
      </w:r>
      <w:r w:rsidR="008E65BA" w:rsidRPr="00004284">
        <w:rPr>
          <w:lang w:eastAsia="ja-JP"/>
        </w:rPr>
        <w:t xml:space="preserve">Severity of COPD at </w:t>
      </w:r>
      <w:r w:rsidR="00B0299B">
        <w:rPr>
          <w:lang w:eastAsia="ja-JP"/>
        </w:rPr>
        <w:t>B</w:t>
      </w:r>
      <w:r w:rsidR="00B0299B" w:rsidRPr="00004284">
        <w:rPr>
          <w:lang w:eastAsia="ja-JP"/>
        </w:rPr>
        <w:t>aseline</w:t>
      </w:r>
    </w:p>
    <w:p w14:paraId="4CBAF952" w14:textId="77777777" w:rsidR="00976856" w:rsidRDefault="00976856" w:rsidP="00BF275F">
      <w:r>
        <w:rPr>
          <w:noProof/>
          <w:lang w:eastAsia="en-AU"/>
        </w:rPr>
        <w:drawing>
          <wp:inline distT="0" distB="0" distL="0" distR="0" wp14:anchorId="7B6E45D8" wp14:editId="507A7597">
            <wp:extent cx="5400040" cy="5878304"/>
            <wp:effectExtent l="0" t="0" r="0" b="8255"/>
            <wp:docPr id="11" name="Picture 11" descr="Table 5: Severity of COPD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5878304"/>
                    </a:xfrm>
                    <a:prstGeom prst="rect">
                      <a:avLst/>
                    </a:prstGeom>
                  </pic:spPr>
                </pic:pic>
              </a:graphicData>
            </a:graphic>
          </wp:inline>
        </w:drawing>
      </w:r>
    </w:p>
    <w:p w14:paraId="3BFB9DCC" w14:textId="77777777" w:rsidR="00976856" w:rsidRDefault="00976856" w:rsidP="00976856">
      <w:pPr>
        <w:pStyle w:val="Heading6"/>
      </w:pPr>
      <w:r>
        <w:lastRenderedPageBreak/>
        <w:t>Primary efficacy</w:t>
      </w:r>
    </w:p>
    <w:p w14:paraId="3EE1813D" w14:textId="5A86C3AA" w:rsidR="00976856" w:rsidRDefault="00976856" w:rsidP="00976856">
      <w:pPr>
        <w:spacing w:before="0" w:after="0" w:line="240" w:lineRule="auto"/>
        <w:rPr>
          <w:rFonts w:asciiTheme="minorHAnsi" w:hAnsiTheme="minorHAnsi"/>
        </w:rPr>
      </w:pPr>
      <w:r>
        <w:rPr>
          <w:rFonts w:asciiTheme="minorHAnsi" w:hAnsiTheme="minorHAnsi"/>
        </w:rPr>
        <w:t>Annualised rate of all COPD exacerbations</w:t>
      </w:r>
      <w:r w:rsidR="00E91CA7">
        <w:rPr>
          <w:rFonts w:asciiTheme="minorHAnsi" w:hAnsiTheme="minorHAnsi"/>
        </w:rPr>
        <w:t xml:space="preserve"> were</w:t>
      </w:r>
      <w:r w:rsidR="008E65BA">
        <w:rPr>
          <w:rFonts w:asciiTheme="minorHAnsi" w:hAnsiTheme="minorHAnsi"/>
        </w:rPr>
        <w:t>;</w:t>
      </w:r>
      <w:r>
        <w:rPr>
          <w:rFonts w:asciiTheme="minorHAnsi" w:hAnsiTheme="minorHAnsi"/>
        </w:rPr>
        <w:t xml:space="preserve"> </w:t>
      </w:r>
      <w:r w:rsidR="00C32CE5">
        <w:t>indacaterol/glycopyrronium</w:t>
      </w:r>
      <w:r w:rsidR="008E65BA">
        <w:rPr>
          <w:rFonts w:asciiTheme="minorHAnsi" w:hAnsiTheme="minorHAnsi"/>
        </w:rPr>
        <w:t xml:space="preserve"> 3.59 (3.28 to </w:t>
      </w:r>
      <w:r>
        <w:rPr>
          <w:rFonts w:asciiTheme="minorHAnsi" w:hAnsiTheme="minorHAnsi"/>
        </w:rPr>
        <w:t xml:space="preserve">3.94) </w:t>
      </w:r>
      <w:r w:rsidR="00C32CE5">
        <w:rPr>
          <w:rFonts w:asciiTheme="minorHAnsi" w:hAnsiTheme="minorHAnsi"/>
        </w:rPr>
        <w:t>versus</w:t>
      </w:r>
      <w:r>
        <w:rPr>
          <w:rFonts w:asciiTheme="minorHAnsi" w:hAnsiTheme="minorHAnsi"/>
        </w:rPr>
        <w:t xml:space="preserve"> </w:t>
      </w:r>
      <w:r w:rsidR="008E65BA">
        <w:t>s</w:t>
      </w:r>
      <w:r w:rsidR="008E65BA" w:rsidRPr="008051BC">
        <w:t>almeterol/fluticasone</w:t>
      </w:r>
      <w:r w:rsidR="008E65BA">
        <w:rPr>
          <w:rFonts w:asciiTheme="minorHAnsi" w:hAnsiTheme="minorHAnsi"/>
        </w:rPr>
        <w:t xml:space="preserve"> </w:t>
      </w:r>
      <w:r>
        <w:rPr>
          <w:rFonts w:asciiTheme="minorHAnsi" w:hAnsiTheme="minorHAnsi"/>
        </w:rPr>
        <w:t xml:space="preserve">4.03 (3.68-4.41). </w:t>
      </w:r>
      <w:proofErr w:type="gramStart"/>
      <w:r>
        <w:rPr>
          <w:rFonts w:asciiTheme="minorHAnsi" w:hAnsiTheme="minorHAnsi"/>
        </w:rPr>
        <w:t>Rate ratio 0.89 (0.83-0.96).</w:t>
      </w:r>
      <w:proofErr w:type="gramEnd"/>
      <w:r>
        <w:rPr>
          <w:rFonts w:asciiTheme="minorHAnsi" w:hAnsiTheme="minorHAnsi"/>
        </w:rPr>
        <w:t xml:space="preserve"> </w:t>
      </w:r>
      <w:proofErr w:type="gramStart"/>
      <w:r>
        <w:rPr>
          <w:rFonts w:asciiTheme="minorHAnsi" w:hAnsiTheme="minorHAnsi"/>
        </w:rPr>
        <w:t>Absolute risk reduction 0.44 exacerbations per year.</w:t>
      </w:r>
      <w:proofErr w:type="gramEnd"/>
      <w:r w:rsidR="008E65BA">
        <w:rPr>
          <w:rFonts w:asciiTheme="minorHAnsi" w:hAnsiTheme="minorHAnsi"/>
        </w:rPr>
        <w:t xml:space="preserve"> </w:t>
      </w:r>
      <w:r>
        <w:rPr>
          <w:rFonts w:asciiTheme="minorHAnsi" w:hAnsiTheme="minorHAnsi"/>
        </w:rPr>
        <w:t>Most exacerbations were mild</w:t>
      </w:r>
    </w:p>
    <w:p w14:paraId="6C27CABD" w14:textId="77777777" w:rsidR="00976856" w:rsidRDefault="00976856" w:rsidP="00976856">
      <w:pPr>
        <w:pStyle w:val="Tabletitle0"/>
      </w:pPr>
      <w:r>
        <w:t xml:space="preserve">Table </w:t>
      </w:r>
      <w:r w:rsidR="00B57093">
        <w:t>6:</w:t>
      </w:r>
      <w:r>
        <w:t xml:space="preserve"> Summary and generalized linear model for the rate of COPD exacerbations (mild, moderate or severe) during double blind treatment (per protocol set)</w:t>
      </w:r>
    </w:p>
    <w:p w14:paraId="4D999CBC" w14:textId="77777777" w:rsidR="00976856" w:rsidRDefault="00976856" w:rsidP="00976856">
      <w:r>
        <w:rPr>
          <w:noProof/>
          <w:lang w:eastAsia="en-AU"/>
        </w:rPr>
        <w:drawing>
          <wp:inline distT="0" distB="0" distL="0" distR="0" wp14:anchorId="04FE0118" wp14:editId="1F7CA407">
            <wp:extent cx="5372100" cy="4581525"/>
            <wp:effectExtent l="0" t="0" r="0" b="9525"/>
            <wp:docPr id="12" name="Picture 12" descr="Table 6: Summary and generalized linear model for the rate of COPD exacerbations (mild, moderate or severe) during double blind treatment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72100" cy="4581525"/>
                    </a:xfrm>
                    <a:prstGeom prst="rect">
                      <a:avLst/>
                    </a:prstGeom>
                  </pic:spPr>
                </pic:pic>
              </a:graphicData>
            </a:graphic>
          </wp:inline>
        </w:drawing>
      </w:r>
    </w:p>
    <w:p w14:paraId="191EBDAD" w14:textId="77777777" w:rsidR="00976856" w:rsidRDefault="00976856" w:rsidP="00976856">
      <w:pPr>
        <w:pStyle w:val="Heading6"/>
      </w:pPr>
      <w:r>
        <w:t>Secondary efficacy endpoints</w:t>
      </w:r>
    </w:p>
    <w:p w14:paraId="4B5F6678" w14:textId="77777777" w:rsidR="00976856" w:rsidRDefault="002A765B" w:rsidP="00976856">
      <w:pPr>
        <w:spacing w:before="0" w:after="0" w:line="240" w:lineRule="auto"/>
        <w:rPr>
          <w:rFonts w:asciiTheme="minorHAnsi" w:hAnsiTheme="minorHAnsi"/>
        </w:rPr>
      </w:pPr>
      <w:r>
        <w:rPr>
          <w:rFonts w:asciiTheme="minorHAnsi" w:hAnsiTheme="minorHAnsi"/>
        </w:rPr>
        <w:t>(Please see Attachment 2 Section 7.2.1.1)</w:t>
      </w:r>
    </w:p>
    <w:p w14:paraId="25EAF485" w14:textId="77777777" w:rsidR="00976856" w:rsidRPr="00FE4E85" w:rsidRDefault="00976856" w:rsidP="00FE4E85">
      <w:pPr>
        <w:pStyle w:val="ListBullet"/>
      </w:pPr>
      <w:r w:rsidRPr="00FE4E85">
        <w:t>prolonged time to first exacerbation</w:t>
      </w:r>
    </w:p>
    <w:p w14:paraId="41B34D83" w14:textId="77777777" w:rsidR="00976856" w:rsidRPr="00FE4E85" w:rsidRDefault="00976856" w:rsidP="00FE4E85">
      <w:pPr>
        <w:pStyle w:val="ListBullet"/>
      </w:pPr>
      <w:r w:rsidRPr="00FE4E85">
        <w:t>reduced rate of moderate to severe exacerbations</w:t>
      </w:r>
    </w:p>
    <w:p w14:paraId="16B1611A" w14:textId="77777777" w:rsidR="00976856" w:rsidRPr="00FE4E85" w:rsidRDefault="00976856" w:rsidP="00FE4E85">
      <w:pPr>
        <w:pStyle w:val="ListBullet"/>
      </w:pPr>
      <w:r w:rsidRPr="00FE4E85">
        <w:t xml:space="preserve">greater improvement in SGRQ with </w:t>
      </w:r>
      <w:r w:rsidR="00C32CE5">
        <w:t>indacaterol/glycopyrronium</w:t>
      </w:r>
    </w:p>
    <w:p w14:paraId="2DE6D300" w14:textId="77777777" w:rsidR="00976856" w:rsidRDefault="00976856" w:rsidP="00FE4E85">
      <w:pPr>
        <w:pStyle w:val="ListBullet"/>
      </w:pPr>
      <w:r w:rsidRPr="00FE4E85">
        <w:t>less use of rescue medication</w:t>
      </w:r>
    </w:p>
    <w:p w14:paraId="0B397574" w14:textId="77777777" w:rsidR="00FE4E85" w:rsidRDefault="00FE4E85" w:rsidP="00FE4E85">
      <w:pPr>
        <w:pStyle w:val="Heading6"/>
      </w:pPr>
      <w:r>
        <w:t>Safety</w:t>
      </w:r>
    </w:p>
    <w:p w14:paraId="365B9D70" w14:textId="77777777" w:rsidR="00FE4E85" w:rsidRDefault="00FE4E85" w:rsidP="00FE4E85">
      <w:pPr>
        <w:spacing w:before="0" w:after="0" w:line="240" w:lineRule="auto"/>
        <w:rPr>
          <w:rFonts w:asciiTheme="minorHAnsi" w:hAnsiTheme="minorHAnsi"/>
        </w:rPr>
      </w:pPr>
      <w:r>
        <w:rPr>
          <w:rFonts w:asciiTheme="minorHAnsi" w:hAnsiTheme="minorHAnsi"/>
        </w:rPr>
        <w:t xml:space="preserve">AE were similar in the two groups. The incidence of infection and infestation was 42.3% in </w:t>
      </w:r>
      <w:r w:rsidR="00C32CE5">
        <w:t>indacaterol/glycopyrronium</w:t>
      </w:r>
      <w:r w:rsidR="00C32CE5">
        <w:rPr>
          <w:rFonts w:asciiTheme="minorHAnsi" w:hAnsiTheme="minorHAnsi"/>
        </w:rPr>
        <w:t xml:space="preserve"> </w:t>
      </w:r>
      <w:r>
        <w:rPr>
          <w:rFonts w:asciiTheme="minorHAnsi" w:hAnsiTheme="minorHAnsi"/>
        </w:rPr>
        <w:t xml:space="preserve">and 48% in </w:t>
      </w:r>
      <w:r w:rsidR="00C32CE5">
        <w:t>salmeterol/fluticasone</w:t>
      </w:r>
      <w:r>
        <w:rPr>
          <w:rFonts w:asciiTheme="minorHAnsi" w:hAnsiTheme="minorHAnsi"/>
        </w:rPr>
        <w:t xml:space="preserve">. Moderate and severe AE were slightly more common with </w:t>
      </w:r>
      <w:r w:rsidR="00C32CE5">
        <w:rPr>
          <w:rFonts w:asciiTheme="minorHAnsi" w:hAnsiTheme="minorHAnsi"/>
        </w:rPr>
        <w:t>salmeterol/fluticasone</w:t>
      </w:r>
      <w:r>
        <w:rPr>
          <w:rFonts w:asciiTheme="minorHAnsi" w:hAnsiTheme="minorHAnsi"/>
        </w:rPr>
        <w:t xml:space="preserve"> than </w:t>
      </w:r>
      <w:r w:rsidR="00C32CE5">
        <w:rPr>
          <w:rFonts w:asciiTheme="minorHAnsi" w:hAnsiTheme="minorHAnsi"/>
        </w:rPr>
        <w:t>indacaterol/glycopyrronium</w:t>
      </w:r>
      <w:r>
        <w:rPr>
          <w:rFonts w:asciiTheme="minorHAnsi" w:hAnsiTheme="minorHAnsi"/>
        </w:rPr>
        <w:t>.</w:t>
      </w:r>
    </w:p>
    <w:p w14:paraId="73B3914C" w14:textId="77777777" w:rsidR="00FE4E85" w:rsidRDefault="00FE4E85" w:rsidP="00FE4E85">
      <w:pPr>
        <w:spacing w:before="0" w:after="0" w:line="240" w:lineRule="auto"/>
        <w:rPr>
          <w:rFonts w:asciiTheme="minorHAnsi" w:hAnsiTheme="minorHAnsi"/>
        </w:rPr>
      </w:pPr>
      <w:proofErr w:type="gramStart"/>
      <w:r>
        <w:rPr>
          <w:rFonts w:asciiTheme="minorHAnsi" w:hAnsiTheme="minorHAnsi"/>
        </w:rPr>
        <w:t xml:space="preserve">More pneumonia with </w:t>
      </w:r>
      <w:r w:rsidR="00C32CE5">
        <w:rPr>
          <w:rFonts w:asciiTheme="minorHAnsi" w:hAnsiTheme="minorHAnsi"/>
        </w:rPr>
        <w:t>salmeterol/fluticasone</w:t>
      </w:r>
      <w:r>
        <w:rPr>
          <w:rFonts w:asciiTheme="minorHAnsi" w:hAnsiTheme="minorHAnsi"/>
        </w:rPr>
        <w:t xml:space="preserve"> than </w:t>
      </w:r>
      <w:r w:rsidR="00C32CE5">
        <w:rPr>
          <w:rFonts w:asciiTheme="minorHAnsi" w:hAnsiTheme="minorHAnsi"/>
        </w:rPr>
        <w:t>indacaterol/glycopyrronium</w:t>
      </w:r>
      <w:r w:rsidR="008E65BA">
        <w:rPr>
          <w:rFonts w:asciiTheme="minorHAnsi" w:hAnsiTheme="minorHAnsi"/>
        </w:rPr>
        <w:t>.</w:t>
      </w:r>
      <w:proofErr w:type="gramEnd"/>
    </w:p>
    <w:p w14:paraId="4ADA18FB" w14:textId="77777777" w:rsidR="00FE4E85" w:rsidRPr="00FE4E85" w:rsidRDefault="00FE4E85" w:rsidP="00FE4E85">
      <w:r>
        <w:rPr>
          <w:rFonts w:asciiTheme="minorHAnsi" w:hAnsiTheme="minorHAnsi"/>
        </w:rPr>
        <w:t>SAE and deaths were similar between treatment groups</w:t>
      </w:r>
      <w:r w:rsidR="008E65BA">
        <w:rPr>
          <w:rFonts w:asciiTheme="minorHAnsi" w:hAnsiTheme="minorHAnsi"/>
        </w:rPr>
        <w:t>.</w:t>
      </w:r>
    </w:p>
    <w:p w14:paraId="2BFD1F24" w14:textId="77777777" w:rsidR="003342AD" w:rsidRDefault="00FE4E85" w:rsidP="00FE4E85">
      <w:pPr>
        <w:pStyle w:val="Heading6"/>
      </w:pPr>
      <w:r w:rsidRPr="003342AD">
        <w:lastRenderedPageBreak/>
        <w:t>COPD exacerbation</w:t>
      </w:r>
    </w:p>
    <w:p w14:paraId="28A06645" w14:textId="77777777" w:rsidR="003342AD" w:rsidRPr="003342AD" w:rsidRDefault="003342AD" w:rsidP="003342AD">
      <w:r w:rsidRPr="003342AD">
        <w:t>COPD exacerbation is defined as: a worsening of the following two or more major symptoms for at least 2 consecutive days:</w:t>
      </w:r>
    </w:p>
    <w:p w14:paraId="2C8035C4" w14:textId="77777777" w:rsidR="003342AD" w:rsidRPr="003342AD" w:rsidRDefault="002A765B" w:rsidP="003342AD">
      <w:pPr>
        <w:pStyle w:val="ListBullet"/>
      </w:pPr>
      <w:r w:rsidRPr="003342AD">
        <w:t>dyspnoea</w:t>
      </w:r>
    </w:p>
    <w:p w14:paraId="4D9B6BBB" w14:textId="77777777" w:rsidR="003342AD" w:rsidRPr="003342AD" w:rsidRDefault="003342AD" w:rsidP="003342AD">
      <w:pPr>
        <w:pStyle w:val="ListBullet"/>
      </w:pPr>
      <w:r w:rsidRPr="003342AD">
        <w:t>sputum volume</w:t>
      </w:r>
    </w:p>
    <w:p w14:paraId="5E80C25E" w14:textId="77777777" w:rsidR="003342AD" w:rsidRPr="003342AD" w:rsidRDefault="003342AD" w:rsidP="003342AD">
      <w:pPr>
        <w:pStyle w:val="ListBullet"/>
      </w:pPr>
      <w:r w:rsidRPr="003342AD">
        <w:t>sputum purulence</w:t>
      </w:r>
    </w:p>
    <w:p w14:paraId="76B05F15" w14:textId="64EFBB21" w:rsidR="003342AD" w:rsidRPr="003342AD" w:rsidRDefault="008E65BA" w:rsidP="003342AD">
      <w:proofErr w:type="gramStart"/>
      <w:r w:rsidRPr="003342AD">
        <w:t>or</w:t>
      </w:r>
      <w:proofErr w:type="gramEnd"/>
      <w:r w:rsidR="00513B3F">
        <w:t>; a</w:t>
      </w:r>
      <w:r w:rsidR="00A14942">
        <w:t xml:space="preserve"> </w:t>
      </w:r>
      <w:r w:rsidR="003342AD" w:rsidRPr="003342AD">
        <w:t>worsening of any 1 major symptom together with an incre</w:t>
      </w:r>
      <w:r w:rsidR="00FE4E85">
        <w:t xml:space="preserve">ase in any one of the following </w:t>
      </w:r>
      <w:r w:rsidR="003342AD" w:rsidRPr="003342AD">
        <w:t>minor symptoms for at least 2 consecutive days:</w:t>
      </w:r>
    </w:p>
    <w:p w14:paraId="673CAF33" w14:textId="77777777" w:rsidR="003342AD" w:rsidRPr="003342AD" w:rsidRDefault="003342AD" w:rsidP="003342AD">
      <w:pPr>
        <w:pStyle w:val="ListBullet"/>
      </w:pPr>
      <w:r w:rsidRPr="003342AD">
        <w:t>sore throat</w:t>
      </w:r>
    </w:p>
    <w:p w14:paraId="1E1A1A0F" w14:textId="77777777" w:rsidR="003342AD" w:rsidRPr="003342AD" w:rsidRDefault="003342AD" w:rsidP="003342AD">
      <w:pPr>
        <w:pStyle w:val="ListBullet"/>
      </w:pPr>
      <w:r w:rsidRPr="003342AD">
        <w:t>colds (nasal discharge and/or nasal congestion)</w:t>
      </w:r>
    </w:p>
    <w:p w14:paraId="6A6685D1" w14:textId="77777777" w:rsidR="003342AD" w:rsidRPr="003342AD" w:rsidRDefault="003342AD" w:rsidP="003342AD">
      <w:pPr>
        <w:pStyle w:val="ListBullet"/>
      </w:pPr>
      <w:r w:rsidRPr="003342AD">
        <w:t>fever without other cause</w:t>
      </w:r>
    </w:p>
    <w:p w14:paraId="7A2890FE" w14:textId="77777777" w:rsidR="003342AD" w:rsidRPr="003342AD" w:rsidRDefault="003342AD" w:rsidP="003342AD">
      <w:pPr>
        <w:pStyle w:val="ListBullet"/>
      </w:pPr>
      <w:r w:rsidRPr="003342AD">
        <w:t>cough</w:t>
      </w:r>
    </w:p>
    <w:p w14:paraId="014F59F6" w14:textId="77777777" w:rsidR="003342AD" w:rsidRDefault="00FE4E85" w:rsidP="003342AD">
      <w:pPr>
        <w:pStyle w:val="ListBullet"/>
      </w:pPr>
      <w:proofErr w:type="gramStart"/>
      <w:r>
        <w:t>wheeze</w:t>
      </w:r>
      <w:proofErr w:type="gramEnd"/>
      <w:r w:rsidR="008E65BA">
        <w:t>.</w:t>
      </w:r>
    </w:p>
    <w:p w14:paraId="5C3AE53E" w14:textId="77777777" w:rsidR="003342AD" w:rsidRPr="003342AD" w:rsidRDefault="00FE4E85" w:rsidP="003342AD">
      <w:r>
        <w:t>‘F</w:t>
      </w:r>
      <w:r w:rsidR="003342AD" w:rsidRPr="003342AD">
        <w:t>or the purposes of this study, the type of treatment provided for a COPD exacerbation determined the severity of the exacerbation. A worsening of symptoms that met the above symptom definition that was not treated with systemic corticosteroids and/or antibiotics was considered a mild COPD exacerbation. A COPD exacerbation was considered of moderate severity if treatment with systemic corticosteroids or antibiotics or both was required and severe, if hospitalisation was required (in addition to treatment with systemic corticosteroids and/or antibiotics). An emergency room visit of longer than 24 hours was considered a hospitalisation. A COPD exacerbation that required an emergency room visit for less than 24 hours was of moderate severity, providing the exacerbation was treated with systemic corticosteroids or antibiotics or both</w:t>
      </w:r>
      <w:r w:rsidR="008051BC">
        <w:t>’</w:t>
      </w:r>
      <w:r w:rsidR="003342AD" w:rsidRPr="003342AD">
        <w:t>.</w:t>
      </w:r>
    </w:p>
    <w:p w14:paraId="5A79622D" w14:textId="77777777" w:rsidR="007B6132" w:rsidRDefault="007B6132" w:rsidP="00555280">
      <w:pPr>
        <w:pStyle w:val="Heading4"/>
      </w:pPr>
      <w:r w:rsidRPr="007B6132">
        <w:t>Clinical evaluator’</w:t>
      </w:r>
      <w:r w:rsidR="00FE4E85">
        <w:t>s recommendation</w:t>
      </w:r>
    </w:p>
    <w:p w14:paraId="7DB837CE" w14:textId="77777777" w:rsidR="003342AD" w:rsidRPr="003342AD" w:rsidRDefault="003342AD" w:rsidP="003342AD">
      <w:r w:rsidRPr="003342AD">
        <w:t xml:space="preserve">The second round assessment is unfavourable to include the extension of indication, prevention of exacerbation. However the inclusion of FLAME study is acceptable in the </w:t>
      </w:r>
      <w:r w:rsidR="00FE4E85" w:rsidRPr="003342AD">
        <w:t xml:space="preserve">clinical trials </w:t>
      </w:r>
      <w:r w:rsidRPr="003342AD">
        <w:t>section</w:t>
      </w:r>
      <w:r w:rsidR="00FE4E85">
        <w:t xml:space="preserve"> (of the PI).</w:t>
      </w:r>
    </w:p>
    <w:p w14:paraId="1F41C36A" w14:textId="77777777" w:rsidR="00456765" w:rsidRDefault="003342AD" w:rsidP="008E65BA">
      <w:pPr>
        <w:pStyle w:val="Heading3"/>
      </w:pPr>
      <w:bookmarkStart w:id="134" w:name="_Toc525732554"/>
      <w:r>
        <w:t>Previous clinical data</w:t>
      </w:r>
      <w:bookmarkEnd w:id="134"/>
    </w:p>
    <w:p w14:paraId="38F26A70" w14:textId="77777777" w:rsidR="003342AD" w:rsidRPr="003342AD" w:rsidRDefault="00FE4E85" w:rsidP="008E65BA">
      <w:pPr>
        <w:pStyle w:val="Heading4"/>
      </w:pPr>
      <w:r>
        <w:t>Submission PM-</w:t>
      </w:r>
      <w:r w:rsidR="003342AD" w:rsidRPr="003342AD">
        <w:t xml:space="preserve">2012-04395-1-05 initial application for the </w:t>
      </w:r>
      <w:r w:rsidR="008E65BA">
        <w:t>fixed dose combination (</w:t>
      </w:r>
      <w:r w:rsidR="003342AD" w:rsidRPr="003342AD">
        <w:t>FDC</w:t>
      </w:r>
      <w:r w:rsidR="008E65BA">
        <w:t>)</w:t>
      </w:r>
      <w:r w:rsidR="003342AD" w:rsidRPr="003342AD">
        <w:t xml:space="preserve"> </w:t>
      </w:r>
      <w:r w:rsidRPr="003342AD">
        <w:t>indacaterol</w:t>
      </w:r>
      <w:r w:rsidR="003342AD" w:rsidRPr="003342AD">
        <w:t>/</w:t>
      </w:r>
      <w:r w:rsidRPr="003342AD">
        <w:t>glycopyrronium</w:t>
      </w:r>
    </w:p>
    <w:p w14:paraId="46EA159E" w14:textId="77777777" w:rsidR="003342AD" w:rsidRPr="003342AD" w:rsidRDefault="003342AD" w:rsidP="003342AD">
      <w:r w:rsidRPr="003342AD">
        <w:t>The sponsor proposed reductions in exacerbations in the indication for this submission, however this was rej</w:t>
      </w:r>
      <w:r w:rsidR="00FE4E85">
        <w:t xml:space="preserve">ected by the Delegate and ACPM </w:t>
      </w:r>
      <w:r w:rsidRPr="003342AD">
        <w:t>as they considered that the efficacy was not adequately demonstrated.</w:t>
      </w:r>
    </w:p>
    <w:p w14:paraId="1D4C1A74" w14:textId="77777777" w:rsidR="003342AD" w:rsidRPr="003342AD" w:rsidRDefault="00FE4E85" w:rsidP="003342AD">
      <w:pPr>
        <w:pStyle w:val="Heading5"/>
      </w:pPr>
      <w:r>
        <w:t>Study A2303</w:t>
      </w:r>
    </w:p>
    <w:p w14:paraId="0B9F95A2" w14:textId="77777777" w:rsidR="003342AD" w:rsidRPr="003342AD" w:rsidRDefault="003342AD" w:rsidP="003342AD">
      <w:r w:rsidRPr="003342AD">
        <w:t xml:space="preserve">This was 26 week, multinational, randomised, double blind, parallel group, placebo and active controlled study to assess the efficacy and safety of </w:t>
      </w:r>
      <w:r w:rsidR="00FE4E85" w:rsidRPr="003342AD">
        <w:t>indacaterol</w:t>
      </w:r>
      <w:r w:rsidRPr="003342AD">
        <w:t>/</w:t>
      </w:r>
      <w:r w:rsidR="00FE4E85" w:rsidRPr="003342AD">
        <w:t>glycopyrronium</w:t>
      </w:r>
      <w:r w:rsidRPr="003342AD">
        <w:t xml:space="preserve"> in moderate to severe COPD. The primary efficacy outcomes were trough FEV1 and symptom control. </w:t>
      </w:r>
      <w:r w:rsidR="00FE4E85">
        <w:t xml:space="preserve">A total of </w:t>
      </w:r>
      <w:r w:rsidRPr="003342AD">
        <w:t>2</w:t>
      </w:r>
      <w:r w:rsidR="00FE4E85">
        <w:t>,</w:t>
      </w:r>
      <w:r w:rsidRPr="003342AD">
        <w:t>144 patients were randomised.</w:t>
      </w:r>
      <w:r w:rsidR="00FE4E85">
        <w:t xml:space="preserve"> </w:t>
      </w:r>
      <w:r w:rsidRPr="003342AD">
        <w:t xml:space="preserve">There were significant improvements in mean trough FEV 1 in the </w:t>
      </w:r>
      <w:r w:rsidR="00FE4E85" w:rsidRPr="003342AD">
        <w:t>indacaterol /</w:t>
      </w:r>
      <w:r w:rsidR="00FE4E85" w:rsidRPr="00FE4E85">
        <w:t xml:space="preserve"> </w:t>
      </w:r>
      <w:r w:rsidR="00FE4E85" w:rsidRPr="003342AD">
        <w:t xml:space="preserve">glycopyrronium </w:t>
      </w:r>
      <w:r w:rsidRPr="003342AD">
        <w:t xml:space="preserve">arm compared with </w:t>
      </w:r>
      <w:r w:rsidR="00FE4E85">
        <w:t>glycopyrronium</w:t>
      </w:r>
      <w:r w:rsidRPr="003342AD">
        <w:t xml:space="preserve"> (70 mL) and </w:t>
      </w:r>
      <w:r w:rsidR="00FE4E85" w:rsidRPr="003342AD">
        <w:t>indacaterol</w:t>
      </w:r>
      <w:r w:rsidR="00FE4E85">
        <w:t xml:space="preserve"> </w:t>
      </w:r>
      <w:r w:rsidRPr="003342AD">
        <w:t>(90 mL) (</w:t>
      </w:r>
      <w:r w:rsidR="00FE4E85">
        <w:t>p &lt; 0</w:t>
      </w:r>
      <w:r w:rsidRPr="003342AD">
        <w:t xml:space="preserve">.001).In the </w:t>
      </w:r>
      <w:r w:rsidR="00FE4E85" w:rsidRPr="003342AD">
        <w:t xml:space="preserve">indacaterol/glycopyrronium </w:t>
      </w:r>
      <w:r w:rsidRPr="003342AD">
        <w:t>group there was a statistically significant improvement in symptom</w:t>
      </w:r>
      <w:r w:rsidR="00FE4E85">
        <w:t xml:space="preserve"> </w:t>
      </w:r>
      <w:r w:rsidRPr="003342AD">
        <w:t xml:space="preserve">score compared with placebo at 26 weeks. There were less moderate or </w:t>
      </w:r>
      <w:r w:rsidRPr="003342AD">
        <w:lastRenderedPageBreak/>
        <w:t xml:space="preserve">exacerbations in the </w:t>
      </w:r>
      <w:r w:rsidR="00FE4E85" w:rsidRPr="003342AD">
        <w:t xml:space="preserve">indacaterol/glycopyrronium </w:t>
      </w:r>
      <w:r w:rsidRPr="003342AD">
        <w:t xml:space="preserve">treatment arm compared to placebo, but similar rates to that observed with tiotropium and monotherapy with </w:t>
      </w:r>
      <w:r w:rsidR="00FE4E85" w:rsidRPr="003342AD">
        <w:t>indacaterol</w:t>
      </w:r>
      <w:r w:rsidRPr="003342AD">
        <w:t xml:space="preserve"> or glycopyrronium.</w:t>
      </w:r>
    </w:p>
    <w:p w14:paraId="043C11E4" w14:textId="0A7DE048" w:rsidR="003342AD" w:rsidRDefault="00B57093" w:rsidP="003B2552">
      <w:pPr>
        <w:pStyle w:val="TableTitle"/>
      </w:pPr>
      <w:r>
        <w:t>Table 7</w:t>
      </w:r>
      <w:r w:rsidR="003B2552">
        <w:t xml:space="preserve">: Summary </w:t>
      </w:r>
      <w:r w:rsidR="00FE4E85">
        <w:t>statistics</w:t>
      </w:r>
      <w:r w:rsidR="003B2552">
        <w:t xml:space="preserve"> of the number of moderate or severe COPD exacerbations over 26 weeks of treatment Full Analysis Set</w:t>
      </w:r>
    </w:p>
    <w:p w14:paraId="0F87077C" w14:textId="77777777" w:rsidR="003B2552" w:rsidRDefault="003B2552" w:rsidP="003342AD">
      <w:r>
        <w:rPr>
          <w:noProof/>
          <w:lang w:eastAsia="en-AU"/>
        </w:rPr>
        <w:drawing>
          <wp:inline distT="0" distB="0" distL="0" distR="0" wp14:anchorId="0BAD5DC3" wp14:editId="14F2C4AE">
            <wp:extent cx="5400040" cy="2930214"/>
            <wp:effectExtent l="0" t="0" r="0" b="3810"/>
            <wp:docPr id="1" name="Picture 1" descr="Table 7: Summary statistics of the number of moderate or severe COPD exacerbations over 26 weeks of treat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Lst>
                    </a:blip>
                    <a:stretch>
                      <a:fillRect/>
                    </a:stretch>
                  </pic:blipFill>
                  <pic:spPr>
                    <a:xfrm>
                      <a:off x="0" y="0"/>
                      <a:ext cx="5400040" cy="2930214"/>
                    </a:xfrm>
                    <a:prstGeom prst="rect">
                      <a:avLst/>
                    </a:prstGeom>
                  </pic:spPr>
                </pic:pic>
              </a:graphicData>
            </a:graphic>
          </wp:inline>
        </w:drawing>
      </w:r>
    </w:p>
    <w:p w14:paraId="4A36E79A" w14:textId="77777777" w:rsidR="003B2552" w:rsidRPr="003B2552" w:rsidRDefault="003B2552" w:rsidP="003B2552">
      <w:pPr>
        <w:pStyle w:val="TableDescription"/>
      </w:pPr>
      <w:r w:rsidRPr="003B2552">
        <w:t>QAB</w:t>
      </w:r>
      <w:r>
        <w:t xml:space="preserve">; 150μg </w:t>
      </w:r>
      <w:r w:rsidR="00FE4E85" w:rsidRPr="003B2552">
        <w:t>indacaterol</w:t>
      </w:r>
      <w:r>
        <w:t xml:space="preserve"> NVA; 50</w:t>
      </w:r>
      <w:r w:rsidR="00FE4E85">
        <w:t xml:space="preserve"> </w:t>
      </w:r>
      <w:r>
        <w:t xml:space="preserve">μg </w:t>
      </w:r>
      <w:r w:rsidRPr="003B2552">
        <w:t>glycopyrronium</w:t>
      </w:r>
      <w:r>
        <w:t xml:space="preserve"> Tio18</w:t>
      </w:r>
      <w:r w:rsidR="00FE4E85">
        <w:t xml:space="preserve"> </w:t>
      </w:r>
      <w:r>
        <w:t>μg tiotropium</w:t>
      </w:r>
    </w:p>
    <w:p w14:paraId="375FEAB1" w14:textId="77777777" w:rsidR="003B2552" w:rsidRPr="003B2552" w:rsidRDefault="003B2552" w:rsidP="003B2552">
      <w:pPr>
        <w:pStyle w:val="Heading5"/>
      </w:pPr>
      <w:r w:rsidRPr="003B2552">
        <w:t>Study A2304</w:t>
      </w:r>
    </w:p>
    <w:p w14:paraId="75BB69C8" w14:textId="77777777" w:rsidR="003B2552" w:rsidRPr="003B2552" w:rsidRDefault="003B2552" w:rsidP="003B2552">
      <w:r w:rsidRPr="003B2552">
        <w:t>This was a m</w:t>
      </w:r>
      <w:r w:rsidR="00FE4E85">
        <w:t xml:space="preserve">ulti-centre, randomised, double blind, parallel </w:t>
      </w:r>
      <w:r w:rsidRPr="003B2552">
        <w:t xml:space="preserve">group, active controlled study to compare the effects of </w:t>
      </w:r>
      <w:r w:rsidR="00FE4E85">
        <w:t>indacaterol/glycopyrronium</w:t>
      </w:r>
      <w:r w:rsidR="00FE4E85" w:rsidRPr="003B2552">
        <w:t xml:space="preserve"> </w:t>
      </w:r>
      <w:r w:rsidRPr="003B2552">
        <w:t>to glycopyrroniu</w:t>
      </w:r>
      <w:r w:rsidR="00FE4E85">
        <w:t xml:space="preserve">m and open </w:t>
      </w:r>
      <w:r w:rsidRPr="003B2552">
        <w:t xml:space="preserve">label tiotropium on COPD exacerbations in patients with severe to very severe COPD. The primary objective was to demonstrate superiority of </w:t>
      </w:r>
      <w:r w:rsidR="00FE4E85">
        <w:t>indacaterol/glycopyrronium</w:t>
      </w:r>
      <w:r w:rsidR="00FE4E85" w:rsidRPr="003B2552">
        <w:t xml:space="preserve"> </w:t>
      </w:r>
      <w:r w:rsidR="00C32CE5">
        <w:t>(110/50 </w:t>
      </w:r>
      <w:r w:rsidR="00FE4E85">
        <w:t>μ</w:t>
      </w:r>
      <w:r w:rsidRPr="003B2552">
        <w:t xml:space="preserve">g </w:t>
      </w:r>
      <w:r w:rsidR="00FE4E85">
        <w:t>once daily (</w:t>
      </w:r>
      <w:r w:rsidRPr="003B2552">
        <w:t>OD</w:t>
      </w:r>
      <w:r w:rsidR="00FE4E85">
        <w:t>)</w:t>
      </w:r>
      <w:r w:rsidRPr="003B2552">
        <w:t xml:space="preserve">) to glycopyrronium (50 </w:t>
      </w:r>
      <w:r w:rsidR="00FE4E85">
        <w:t>μ</w:t>
      </w:r>
      <w:r w:rsidR="00FE4E85" w:rsidRPr="003B2552">
        <w:t>g</w:t>
      </w:r>
      <w:r w:rsidRPr="003B2552">
        <w:t xml:space="preserve"> OD) measured by the rate of moderate to severe COPD exacerbations over a 64 week treatment period. The main secondary objective was to demonstrate superiority of </w:t>
      </w:r>
      <w:r w:rsidR="00FE4E85">
        <w:t>indacaterol/glycopyrronium</w:t>
      </w:r>
      <w:r w:rsidR="00FE4E85" w:rsidRPr="003B2552">
        <w:t xml:space="preserve"> </w:t>
      </w:r>
      <w:r w:rsidRPr="003B2552">
        <w:t xml:space="preserve">(110/50 </w:t>
      </w:r>
      <w:r w:rsidR="00FE4E85">
        <w:t>μ</w:t>
      </w:r>
      <w:r w:rsidR="00FE4E85" w:rsidRPr="003B2552">
        <w:t>g</w:t>
      </w:r>
      <w:r w:rsidRPr="003B2552">
        <w:t xml:space="preserve"> OD) to </w:t>
      </w:r>
      <w:r w:rsidR="00FE4E85">
        <w:t>open label</w:t>
      </w:r>
      <w:r w:rsidRPr="003B2552">
        <w:t xml:space="preserve"> tiotropium (18 </w:t>
      </w:r>
      <w:r w:rsidR="00FE4E85">
        <w:t>μ</w:t>
      </w:r>
      <w:r w:rsidR="00FE4E85" w:rsidRPr="003B2552">
        <w:t>g</w:t>
      </w:r>
      <w:r w:rsidRPr="003B2552">
        <w:t xml:space="preserve"> OD) for the same endpoint.</w:t>
      </w:r>
    </w:p>
    <w:p w14:paraId="31D6038F" w14:textId="77777777" w:rsidR="003B2552" w:rsidRPr="003B2552" w:rsidRDefault="003B2552" w:rsidP="003B2552">
      <w:r w:rsidRPr="003B2552">
        <w:t xml:space="preserve">In the modified full analysis data set, there were 812 exacerbations in the </w:t>
      </w:r>
      <w:r w:rsidR="00FE4E85">
        <w:t>indacaterol/glycopyrronium</w:t>
      </w:r>
      <w:r w:rsidR="00FE4E85" w:rsidRPr="003B2552">
        <w:t xml:space="preserve"> </w:t>
      </w:r>
      <w:r w:rsidRPr="003B2552">
        <w:t>group compared with 900 in the glycopyrronium group ,</w:t>
      </w:r>
      <w:r w:rsidR="00FE4E85">
        <w:t xml:space="preserve"> </w:t>
      </w:r>
      <w:r w:rsidRPr="003B2552">
        <w:t>comparative rate reduction of 12% (</w:t>
      </w:r>
      <w:r w:rsidR="002E7937">
        <w:t>relative risk (</w:t>
      </w:r>
      <w:r w:rsidRPr="003B2552">
        <w:t>RR</w:t>
      </w:r>
      <w:r w:rsidR="002E7937">
        <w:t>)</w:t>
      </w:r>
      <w:r w:rsidRPr="003B2552">
        <w:t xml:space="preserve"> 0.88, 95% CI: 0.77, 0.99, p</w:t>
      </w:r>
      <w:r w:rsidR="00FE4E85">
        <w:t xml:space="preserve"> </w:t>
      </w:r>
      <w:r w:rsidRPr="003B2552">
        <w:t>=</w:t>
      </w:r>
      <w:r w:rsidR="00FE4E85">
        <w:t xml:space="preserve"> </w:t>
      </w:r>
      <w:r w:rsidRPr="003B2552">
        <w:t>0.038).</w:t>
      </w:r>
      <w:r w:rsidR="00FE4E85">
        <w:t xml:space="preserve"> </w:t>
      </w:r>
      <w:r w:rsidRPr="003B2552">
        <w:t xml:space="preserve">In the per protocol set there were 760 exacerbations in the </w:t>
      </w:r>
      <w:r w:rsidR="00FE4E85">
        <w:t>indacaterol/glycopyrronium</w:t>
      </w:r>
      <w:r w:rsidR="00FE4E85" w:rsidRPr="003B2552">
        <w:t xml:space="preserve"> </w:t>
      </w:r>
      <w:r w:rsidRPr="003B2552">
        <w:t xml:space="preserve">group compared with 838 in the glycopyrronium group with a comparative rate reduction of 10% (RR 0.89, 95% CI: 0.79, 1.01, </w:t>
      </w:r>
      <w:r w:rsidR="00FE4E85">
        <w:t xml:space="preserve">p = </w:t>
      </w:r>
      <w:r w:rsidRPr="003B2552">
        <w:t xml:space="preserve">0.08). The rate of exacerbations per year was 0.94 in the </w:t>
      </w:r>
      <w:r w:rsidR="00FE4E85">
        <w:t xml:space="preserve">indacaterol/glycopyrronium </w:t>
      </w:r>
      <w:r w:rsidRPr="003B2552">
        <w:t>group compared with 1.07 in the glycopyrronium group.</w:t>
      </w:r>
      <w:r w:rsidR="00FE4E85">
        <w:t xml:space="preserve"> </w:t>
      </w:r>
      <w:r w:rsidRPr="003B2552">
        <w:t xml:space="preserve">In patients with baseline FEV1 reversibility </w:t>
      </w:r>
      <w:r w:rsidR="00FE4E85">
        <w:t xml:space="preserve">≤ </w:t>
      </w:r>
      <w:r w:rsidRPr="003B2552">
        <w:t xml:space="preserve">12%, there was no rate reduction in the </w:t>
      </w:r>
      <w:r w:rsidR="00FE4E85">
        <w:t>indacaterol/glycopyrronium</w:t>
      </w:r>
      <w:r w:rsidRPr="003B2552">
        <w:t xml:space="preserve"> group compared with the glycopyrronium group. In patients with baseline FEV1 reversibility</w:t>
      </w:r>
      <w:r w:rsidR="008E65BA">
        <w:t xml:space="preserve"> &gt;</w:t>
      </w:r>
      <w:r w:rsidR="00FE4E85">
        <w:t xml:space="preserve"> </w:t>
      </w:r>
      <w:r w:rsidRPr="003B2552">
        <w:t xml:space="preserve">12%, the rate reduction in the </w:t>
      </w:r>
      <w:r w:rsidR="00FE4E85">
        <w:t xml:space="preserve">indacaterol/glycopyrronium </w:t>
      </w:r>
      <w:r w:rsidRPr="003B2552">
        <w:t>group (n</w:t>
      </w:r>
      <w:r w:rsidR="00FE4E85">
        <w:t xml:space="preserve"> </w:t>
      </w:r>
      <w:r w:rsidRPr="003B2552">
        <w:t>=</w:t>
      </w:r>
      <w:r w:rsidR="00FE4E85">
        <w:t xml:space="preserve"> </w:t>
      </w:r>
      <w:r w:rsidRPr="003B2552">
        <w:t>399) compared with the glycopyrronium group (n</w:t>
      </w:r>
      <w:r w:rsidR="00FE4E85">
        <w:t> </w:t>
      </w:r>
      <w:r w:rsidRPr="003B2552">
        <w:t>=</w:t>
      </w:r>
      <w:r w:rsidR="00FE4E85">
        <w:t xml:space="preserve"> </w:t>
      </w:r>
      <w:r w:rsidRPr="003B2552">
        <w:t xml:space="preserve">438) was statistically significant (RR 0.80, 95% CI: 0.68, 0.93, </w:t>
      </w:r>
      <w:r w:rsidR="00FE4E85">
        <w:t>p &lt; 0.05).</w:t>
      </w:r>
    </w:p>
    <w:p w14:paraId="7A535FFC" w14:textId="77777777" w:rsidR="003B2552" w:rsidRPr="003B2552" w:rsidRDefault="003B2552" w:rsidP="003B2552">
      <w:pPr>
        <w:pStyle w:val="Heading5"/>
      </w:pPr>
      <w:r w:rsidRPr="003B2552">
        <w:t>Study 2307</w:t>
      </w:r>
    </w:p>
    <w:p w14:paraId="6B963AFC" w14:textId="77777777" w:rsidR="003B2552" w:rsidRPr="003B2552" w:rsidRDefault="003B2552" w:rsidP="003B2552">
      <w:r w:rsidRPr="003B2552">
        <w:t xml:space="preserve">It was a multi-centre, randomised, </w:t>
      </w:r>
      <w:r w:rsidR="00FE4E85">
        <w:t>double blind</w:t>
      </w:r>
      <w:r w:rsidRPr="003B2552">
        <w:t xml:space="preserve">, </w:t>
      </w:r>
      <w:r w:rsidR="00FE4E85">
        <w:t>placebo controlled</w:t>
      </w:r>
      <w:r w:rsidR="00E03771">
        <w:t xml:space="preserve"> assessment of the long </w:t>
      </w:r>
      <w:r w:rsidRPr="003B2552">
        <w:t xml:space="preserve">term safety of 52 weeks treatment with </w:t>
      </w:r>
      <w:r w:rsidR="00FE4E85">
        <w:t>indacaterol/glycopyrronium</w:t>
      </w:r>
      <w:r w:rsidRPr="003B2552">
        <w:t xml:space="preserve"> (110/50) in patients with moderate to severe COPD. The main objective was to assess the safety and tolerability of </w:t>
      </w:r>
      <w:r w:rsidR="00FE4E85">
        <w:t>indacaterol/glycopyrronium</w:t>
      </w:r>
      <w:r w:rsidRPr="003B2552">
        <w:t xml:space="preserve"> OD on the AE reporting rate. There was no reduction in </w:t>
      </w:r>
      <w:r w:rsidR="00FE4E85" w:rsidRPr="003B2552">
        <w:t>exacerbation</w:t>
      </w:r>
      <w:r w:rsidRPr="003B2552">
        <w:t xml:space="preserve"> rate in this study.</w:t>
      </w:r>
    </w:p>
    <w:p w14:paraId="7D61B9DF" w14:textId="3C3983F4" w:rsidR="003B2552" w:rsidRDefault="00B57093" w:rsidP="003B2552">
      <w:pPr>
        <w:pStyle w:val="TableTitle"/>
      </w:pPr>
      <w:r>
        <w:lastRenderedPageBreak/>
        <w:t>Table 8:</w:t>
      </w:r>
      <w:r w:rsidR="003B2552">
        <w:t xml:space="preserve"> Most frequent AEs (including COPD exacerbations) (at least 1.0% in the QVA149 treatment group) by </w:t>
      </w:r>
      <w:r w:rsidR="00513B3F">
        <w:t>Preferred Term</w:t>
      </w:r>
      <w:proofErr w:type="gramStart"/>
      <w:r w:rsidR="00513B3F">
        <w:t xml:space="preserve">; </w:t>
      </w:r>
      <w:r w:rsidR="003B2552">
        <w:t xml:space="preserve"> n</w:t>
      </w:r>
      <w:proofErr w:type="gramEnd"/>
      <w:r w:rsidR="003B2552">
        <w:t>(%) of patients (safety set)</w:t>
      </w:r>
    </w:p>
    <w:p w14:paraId="2924A89C" w14:textId="77777777" w:rsidR="003B2552" w:rsidRDefault="003B2552" w:rsidP="003342AD">
      <w:r>
        <w:rPr>
          <w:noProof/>
          <w:lang w:eastAsia="en-AU"/>
        </w:rPr>
        <w:drawing>
          <wp:inline distT="0" distB="0" distL="0" distR="0" wp14:anchorId="406FFB96" wp14:editId="2313820F">
            <wp:extent cx="4438650" cy="4724400"/>
            <wp:effectExtent l="0" t="0" r="0" b="0"/>
            <wp:docPr id="2" name="Picture 2" descr="Table 8: Most frequent AEs (including COPD exacerbations) (at least 1.0% in the QVA149 treatment group) by preferred term n(%) of pati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38650" cy="4724400"/>
                    </a:xfrm>
                    <a:prstGeom prst="rect">
                      <a:avLst/>
                    </a:prstGeom>
                  </pic:spPr>
                </pic:pic>
              </a:graphicData>
            </a:graphic>
          </wp:inline>
        </w:drawing>
      </w:r>
    </w:p>
    <w:p w14:paraId="7E65213D" w14:textId="77777777" w:rsidR="003B2552" w:rsidRDefault="00B57093" w:rsidP="003B2552">
      <w:pPr>
        <w:pStyle w:val="TableTitle"/>
      </w:pPr>
      <w:r>
        <w:t>Table 9:</w:t>
      </w:r>
      <w:r w:rsidR="003B2552">
        <w:t xml:space="preserve"> Adjudicated cause of deaths adjusted for exposure by category (safety set)</w:t>
      </w:r>
    </w:p>
    <w:p w14:paraId="08B926B0" w14:textId="77777777" w:rsidR="003B2552" w:rsidRPr="003342AD" w:rsidRDefault="003B2552" w:rsidP="003342AD">
      <w:r>
        <w:rPr>
          <w:noProof/>
          <w:lang w:eastAsia="en-AU"/>
        </w:rPr>
        <w:drawing>
          <wp:inline distT="0" distB="0" distL="0" distR="0" wp14:anchorId="3E7147C0" wp14:editId="32F82FA6">
            <wp:extent cx="4791075" cy="2899253"/>
            <wp:effectExtent l="0" t="0" r="0" b="0"/>
            <wp:docPr id="3" name="Picture 3" descr="Table 9: Adjudicated cause of deaths adjusted for exposure by category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455"/>
                    <a:stretch/>
                  </pic:blipFill>
                  <pic:spPr bwMode="auto">
                    <a:xfrm>
                      <a:off x="0" y="0"/>
                      <a:ext cx="4800834" cy="2905158"/>
                    </a:xfrm>
                    <a:prstGeom prst="rect">
                      <a:avLst/>
                    </a:prstGeom>
                    <a:ln>
                      <a:noFill/>
                    </a:ln>
                    <a:extLst>
                      <a:ext uri="{53640926-AAD7-44D8-BBD7-CCE9431645EC}">
                        <a14:shadowObscured xmlns:a14="http://schemas.microsoft.com/office/drawing/2010/main"/>
                      </a:ext>
                    </a:extLst>
                  </pic:spPr>
                </pic:pic>
              </a:graphicData>
            </a:graphic>
          </wp:inline>
        </w:drawing>
      </w:r>
    </w:p>
    <w:p w14:paraId="420DD56D" w14:textId="77777777" w:rsidR="008E7846" w:rsidRDefault="00386150" w:rsidP="007B6132">
      <w:pPr>
        <w:pStyle w:val="Heading3"/>
        <w:rPr>
          <w:lang w:eastAsia="en-AU"/>
        </w:rPr>
      </w:pPr>
      <w:bookmarkStart w:id="135" w:name="_Toc525732555"/>
      <w:r>
        <w:rPr>
          <w:lang w:eastAsia="en-AU"/>
        </w:rPr>
        <w:lastRenderedPageBreak/>
        <w:t>Risk m</w:t>
      </w:r>
      <w:r w:rsidR="008E7846">
        <w:rPr>
          <w:lang w:eastAsia="en-AU"/>
        </w:rPr>
        <w:t xml:space="preserve">anagement </w:t>
      </w:r>
      <w:r>
        <w:rPr>
          <w:lang w:eastAsia="en-AU"/>
        </w:rPr>
        <w:t>p</w:t>
      </w:r>
      <w:r w:rsidR="008E7846">
        <w:rPr>
          <w:lang w:eastAsia="en-AU"/>
        </w:rPr>
        <w:t>lan</w:t>
      </w:r>
      <w:bookmarkEnd w:id="133"/>
      <w:bookmarkEnd w:id="135"/>
    </w:p>
    <w:p w14:paraId="27C185E0" w14:textId="05880C03" w:rsidR="008E7846" w:rsidRDefault="003B2552" w:rsidP="003B2552">
      <w:r w:rsidRPr="003B2552">
        <w:t xml:space="preserve">There was no </w:t>
      </w:r>
      <w:r w:rsidR="00513B3F">
        <w:t>risk management plan (</w:t>
      </w:r>
      <w:r w:rsidRPr="003B2552">
        <w:t>RMP</w:t>
      </w:r>
      <w:r w:rsidR="00513B3F">
        <w:t>)</w:t>
      </w:r>
      <w:r w:rsidRPr="003B2552">
        <w:t xml:space="preserve"> as part of this </w:t>
      </w:r>
      <w:r w:rsidR="00FE4E85" w:rsidRPr="003B2552">
        <w:t>submission;</w:t>
      </w:r>
      <w:r w:rsidRPr="003B2552">
        <w:t xml:space="preserve"> however the sponsor submitted an updated RMP and </w:t>
      </w:r>
      <w:r w:rsidR="00513B3F">
        <w:t>Australian-Specific Annex (</w:t>
      </w:r>
      <w:r w:rsidRPr="003B2552">
        <w:t>ASA</w:t>
      </w:r>
      <w:r w:rsidR="00513B3F">
        <w:t>)</w:t>
      </w:r>
      <w:r w:rsidRPr="003B2552">
        <w:t xml:space="preserve"> (version 4 to EU</w:t>
      </w:r>
      <w:r w:rsidR="00513B3F">
        <w:t> </w:t>
      </w:r>
      <w:r w:rsidRPr="003B2552">
        <w:t>RMP version 2.1). This is acceptable.</w:t>
      </w:r>
    </w:p>
    <w:p w14:paraId="46399C98" w14:textId="77777777" w:rsidR="003B2552" w:rsidRDefault="00B57093" w:rsidP="003B2552">
      <w:pPr>
        <w:pStyle w:val="TableTitle"/>
      </w:pPr>
      <w:r>
        <w:t>Table 10:</w:t>
      </w:r>
      <w:r w:rsidR="003B2552">
        <w:t xml:space="preserve"> Summary of safety concerns</w:t>
      </w:r>
    </w:p>
    <w:tbl>
      <w:tblPr>
        <w:tblStyle w:val="TableTGAblue"/>
        <w:tblW w:w="0" w:type="auto"/>
        <w:tblLook w:val="04A0" w:firstRow="1" w:lastRow="0" w:firstColumn="1" w:lastColumn="0" w:noHBand="0" w:noVBand="1"/>
      </w:tblPr>
      <w:tblGrid>
        <w:gridCol w:w="2943"/>
        <w:gridCol w:w="5777"/>
      </w:tblGrid>
      <w:tr w:rsidR="003B2552" w:rsidRPr="00E03771" w14:paraId="51146132" w14:textId="77777777" w:rsidTr="00953E58">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2B39523B" w14:textId="77777777" w:rsidR="003B2552" w:rsidRPr="00E03771" w:rsidRDefault="003B2552" w:rsidP="003B2552">
            <w:pPr>
              <w:rPr>
                <w:sz w:val="20"/>
                <w:szCs w:val="20"/>
              </w:rPr>
            </w:pPr>
            <w:r w:rsidRPr="00E03771">
              <w:rPr>
                <w:sz w:val="20"/>
                <w:szCs w:val="20"/>
              </w:rPr>
              <w:t>Summary of Safety Concerns:</w:t>
            </w:r>
          </w:p>
        </w:tc>
      </w:tr>
      <w:tr w:rsidR="003B2552" w:rsidRPr="00E03771" w14:paraId="5E2601E2" w14:textId="77777777" w:rsidTr="00953E58">
        <w:tc>
          <w:tcPr>
            <w:tcW w:w="2943" w:type="dxa"/>
          </w:tcPr>
          <w:p w14:paraId="15E1AB1C" w14:textId="77777777" w:rsidR="003B2552" w:rsidRPr="00E03771" w:rsidRDefault="003B2552" w:rsidP="003B2552">
            <w:pPr>
              <w:rPr>
                <w:sz w:val="20"/>
                <w:szCs w:val="20"/>
              </w:rPr>
            </w:pPr>
            <w:r w:rsidRPr="00E03771">
              <w:rPr>
                <w:sz w:val="20"/>
                <w:szCs w:val="20"/>
              </w:rPr>
              <w:t>Important identified risks</w:t>
            </w:r>
          </w:p>
        </w:tc>
        <w:tc>
          <w:tcPr>
            <w:tcW w:w="5777" w:type="dxa"/>
          </w:tcPr>
          <w:p w14:paraId="0D6E12E3" w14:textId="77777777" w:rsidR="003B2552" w:rsidRPr="00E03771" w:rsidRDefault="003B2552" w:rsidP="003B2552">
            <w:pPr>
              <w:rPr>
                <w:sz w:val="20"/>
                <w:szCs w:val="20"/>
              </w:rPr>
            </w:pPr>
            <w:r w:rsidRPr="00E03771">
              <w:rPr>
                <w:sz w:val="20"/>
                <w:szCs w:val="20"/>
              </w:rPr>
              <w:t>QTc prolongation</w:t>
            </w:r>
          </w:p>
          <w:p w14:paraId="52D74D67" w14:textId="77777777" w:rsidR="003B2552" w:rsidRPr="00E03771" w:rsidRDefault="003B2552" w:rsidP="003B2552">
            <w:pPr>
              <w:rPr>
                <w:sz w:val="20"/>
                <w:szCs w:val="20"/>
              </w:rPr>
            </w:pPr>
            <w:r w:rsidRPr="00E03771">
              <w:rPr>
                <w:sz w:val="20"/>
                <w:szCs w:val="20"/>
              </w:rPr>
              <w:t>Ischemic heart disease</w:t>
            </w:r>
          </w:p>
          <w:p w14:paraId="28C15870" w14:textId="77777777" w:rsidR="003B2552" w:rsidRPr="00E03771" w:rsidRDefault="003B2552" w:rsidP="003B2552">
            <w:pPr>
              <w:rPr>
                <w:sz w:val="20"/>
                <w:szCs w:val="20"/>
              </w:rPr>
            </w:pPr>
            <w:r w:rsidRPr="00E03771">
              <w:rPr>
                <w:sz w:val="20"/>
                <w:szCs w:val="20"/>
              </w:rPr>
              <w:t>Myocardial infarction</w:t>
            </w:r>
          </w:p>
          <w:p w14:paraId="1C6A895F" w14:textId="4F417B39" w:rsidR="003B2552" w:rsidRPr="00E03771" w:rsidRDefault="003B2552" w:rsidP="003B2552">
            <w:pPr>
              <w:rPr>
                <w:sz w:val="20"/>
                <w:szCs w:val="20"/>
              </w:rPr>
            </w:pPr>
            <w:r w:rsidRPr="00E03771">
              <w:rPr>
                <w:sz w:val="20"/>
                <w:szCs w:val="20"/>
              </w:rPr>
              <w:t xml:space="preserve">Cardiac </w:t>
            </w:r>
            <w:r w:rsidR="00513B3F" w:rsidRPr="00E03771">
              <w:rPr>
                <w:sz w:val="20"/>
                <w:szCs w:val="20"/>
              </w:rPr>
              <w:t>Arrhythmias</w:t>
            </w:r>
          </w:p>
          <w:p w14:paraId="3E24BC55" w14:textId="77777777" w:rsidR="003B2552" w:rsidRPr="00E03771" w:rsidRDefault="003B2552" w:rsidP="003B2552">
            <w:pPr>
              <w:rPr>
                <w:sz w:val="20"/>
                <w:szCs w:val="20"/>
              </w:rPr>
            </w:pPr>
            <w:r w:rsidRPr="00E03771">
              <w:rPr>
                <w:sz w:val="20"/>
                <w:szCs w:val="20"/>
              </w:rPr>
              <w:t>Cardiac failure</w:t>
            </w:r>
          </w:p>
          <w:p w14:paraId="2259D2E9" w14:textId="77777777" w:rsidR="003B2552" w:rsidRPr="00E03771" w:rsidRDefault="003B2552" w:rsidP="003B2552">
            <w:pPr>
              <w:rPr>
                <w:sz w:val="20"/>
                <w:szCs w:val="20"/>
              </w:rPr>
            </w:pPr>
            <w:r w:rsidRPr="00E03771">
              <w:rPr>
                <w:sz w:val="20"/>
                <w:szCs w:val="20"/>
              </w:rPr>
              <w:t>Cerebrovascular Events</w:t>
            </w:r>
          </w:p>
          <w:p w14:paraId="6AFCF9CD" w14:textId="77777777" w:rsidR="003B2552" w:rsidRPr="00E03771" w:rsidRDefault="003B2552" w:rsidP="003B2552">
            <w:pPr>
              <w:rPr>
                <w:sz w:val="20"/>
                <w:szCs w:val="20"/>
              </w:rPr>
            </w:pPr>
            <w:r w:rsidRPr="00E03771">
              <w:rPr>
                <w:sz w:val="20"/>
                <w:szCs w:val="20"/>
              </w:rPr>
              <w:t>Hyperglycaemia</w:t>
            </w:r>
          </w:p>
          <w:p w14:paraId="0608206B" w14:textId="1E211306" w:rsidR="003B2552" w:rsidRPr="00E03771" w:rsidRDefault="0064122F" w:rsidP="003B2552">
            <w:pPr>
              <w:rPr>
                <w:sz w:val="20"/>
                <w:szCs w:val="20"/>
              </w:rPr>
            </w:pPr>
            <w:r>
              <w:rPr>
                <w:sz w:val="20"/>
                <w:szCs w:val="20"/>
              </w:rPr>
              <w:t>Hypokalaemia</w:t>
            </w:r>
          </w:p>
          <w:p w14:paraId="00D04E90" w14:textId="77777777" w:rsidR="003B2552" w:rsidRPr="00E03771" w:rsidRDefault="003B2552" w:rsidP="003B2552">
            <w:pPr>
              <w:rPr>
                <w:sz w:val="20"/>
                <w:szCs w:val="20"/>
              </w:rPr>
            </w:pPr>
            <w:r w:rsidRPr="00E03771">
              <w:rPr>
                <w:sz w:val="20"/>
                <w:szCs w:val="20"/>
              </w:rPr>
              <w:t>Narrow angle glaucoma</w:t>
            </w:r>
          </w:p>
          <w:p w14:paraId="5262ABCD" w14:textId="77777777" w:rsidR="003B2552" w:rsidRPr="00E03771" w:rsidRDefault="003B2552" w:rsidP="003B2552">
            <w:pPr>
              <w:rPr>
                <w:sz w:val="20"/>
                <w:szCs w:val="20"/>
              </w:rPr>
            </w:pPr>
            <w:r w:rsidRPr="00E03771">
              <w:rPr>
                <w:sz w:val="20"/>
                <w:szCs w:val="20"/>
              </w:rPr>
              <w:t>Bladder obstruction/urinary retention</w:t>
            </w:r>
          </w:p>
          <w:p w14:paraId="2E65A7E0" w14:textId="77777777" w:rsidR="003B2552" w:rsidRPr="00E03771" w:rsidRDefault="003B2552" w:rsidP="003B2552">
            <w:pPr>
              <w:rPr>
                <w:sz w:val="20"/>
                <w:szCs w:val="20"/>
              </w:rPr>
            </w:pPr>
            <w:r w:rsidRPr="00E03771">
              <w:rPr>
                <w:sz w:val="20"/>
                <w:szCs w:val="20"/>
              </w:rPr>
              <w:t>Use in patients with severe renal impairment and ESRD</w:t>
            </w:r>
          </w:p>
          <w:p w14:paraId="0CE5F77F" w14:textId="77777777" w:rsidR="003B2552" w:rsidRPr="00E03771" w:rsidRDefault="003B2552" w:rsidP="003B2552">
            <w:pPr>
              <w:rPr>
                <w:sz w:val="20"/>
                <w:szCs w:val="20"/>
              </w:rPr>
            </w:pPr>
            <w:r w:rsidRPr="00E03771">
              <w:rPr>
                <w:sz w:val="20"/>
                <w:szCs w:val="20"/>
              </w:rPr>
              <w:t>Paradoxical bronchospasm</w:t>
            </w:r>
          </w:p>
          <w:p w14:paraId="6D5482AC" w14:textId="77777777" w:rsidR="003B2552" w:rsidRPr="00E03771" w:rsidRDefault="003B2552" w:rsidP="000E3AEF">
            <w:pPr>
              <w:rPr>
                <w:sz w:val="20"/>
                <w:szCs w:val="20"/>
              </w:rPr>
            </w:pPr>
            <w:r w:rsidRPr="00E03771">
              <w:rPr>
                <w:sz w:val="20"/>
                <w:szCs w:val="20"/>
              </w:rPr>
              <w:t>Atrial fibrillation</w:t>
            </w:r>
          </w:p>
        </w:tc>
      </w:tr>
      <w:tr w:rsidR="003B2552" w:rsidRPr="00E03771" w14:paraId="003DB19A" w14:textId="77777777" w:rsidTr="00953E58">
        <w:tc>
          <w:tcPr>
            <w:tcW w:w="2943" w:type="dxa"/>
          </w:tcPr>
          <w:p w14:paraId="73232F9D" w14:textId="77777777" w:rsidR="003B2552" w:rsidRPr="00E03771" w:rsidRDefault="003B2552" w:rsidP="003B2552">
            <w:pPr>
              <w:rPr>
                <w:sz w:val="20"/>
                <w:szCs w:val="20"/>
              </w:rPr>
            </w:pPr>
            <w:r w:rsidRPr="00E03771">
              <w:rPr>
                <w:sz w:val="20"/>
                <w:szCs w:val="20"/>
              </w:rPr>
              <w:t>Important potential risks</w:t>
            </w:r>
          </w:p>
        </w:tc>
        <w:tc>
          <w:tcPr>
            <w:tcW w:w="5777" w:type="dxa"/>
          </w:tcPr>
          <w:p w14:paraId="27E6852F" w14:textId="77777777" w:rsidR="003B2552" w:rsidRPr="00E03771" w:rsidRDefault="003B2552" w:rsidP="003B2552">
            <w:pPr>
              <w:rPr>
                <w:sz w:val="20"/>
                <w:szCs w:val="20"/>
              </w:rPr>
            </w:pPr>
            <w:r w:rsidRPr="00E03771">
              <w:rPr>
                <w:sz w:val="20"/>
                <w:szCs w:val="20"/>
              </w:rPr>
              <w:t>Intubation, hospitalization and death due to asthma related events in asthma</w:t>
            </w:r>
          </w:p>
          <w:p w14:paraId="51902C52" w14:textId="77777777" w:rsidR="003B2552" w:rsidRPr="00E03771" w:rsidRDefault="003B2552" w:rsidP="003B2552">
            <w:pPr>
              <w:rPr>
                <w:sz w:val="20"/>
                <w:szCs w:val="20"/>
              </w:rPr>
            </w:pPr>
            <w:r w:rsidRPr="00E03771">
              <w:rPr>
                <w:sz w:val="20"/>
                <w:szCs w:val="20"/>
              </w:rPr>
              <w:t>Medication errors</w:t>
            </w:r>
          </w:p>
          <w:p w14:paraId="2301343C" w14:textId="77777777" w:rsidR="003B2552" w:rsidRPr="00E03771" w:rsidRDefault="003B2552" w:rsidP="000E3AEF">
            <w:pPr>
              <w:rPr>
                <w:sz w:val="20"/>
                <w:szCs w:val="20"/>
              </w:rPr>
            </w:pPr>
            <w:r w:rsidRPr="00E03771">
              <w:rPr>
                <w:sz w:val="20"/>
                <w:szCs w:val="20"/>
              </w:rPr>
              <w:t>Interactions with- drugs known to prolong the PI interval, sympathomimetic agents, beta adrenergic blockers</w:t>
            </w:r>
          </w:p>
        </w:tc>
      </w:tr>
      <w:tr w:rsidR="003B2552" w:rsidRPr="00E03771" w14:paraId="54A22394" w14:textId="77777777" w:rsidTr="00953E58">
        <w:tc>
          <w:tcPr>
            <w:tcW w:w="2943" w:type="dxa"/>
          </w:tcPr>
          <w:p w14:paraId="59D2FF37" w14:textId="77777777" w:rsidR="003B2552" w:rsidRPr="00E03771" w:rsidRDefault="003B2552" w:rsidP="003B2552">
            <w:pPr>
              <w:rPr>
                <w:sz w:val="20"/>
                <w:szCs w:val="20"/>
              </w:rPr>
            </w:pPr>
            <w:r w:rsidRPr="00E03771">
              <w:rPr>
                <w:sz w:val="20"/>
                <w:szCs w:val="20"/>
              </w:rPr>
              <w:t>Missing Information</w:t>
            </w:r>
          </w:p>
        </w:tc>
        <w:tc>
          <w:tcPr>
            <w:tcW w:w="5777" w:type="dxa"/>
          </w:tcPr>
          <w:p w14:paraId="0E95C983" w14:textId="77777777" w:rsidR="003B2552" w:rsidRPr="00E03771" w:rsidRDefault="003B2552" w:rsidP="003B2552">
            <w:pPr>
              <w:rPr>
                <w:sz w:val="20"/>
                <w:szCs w:val="20"/>
              </w:rPr>
            </w:pPr>
            <w:r w:rsidRPr="00E03771">
              <w:rPr>
                <w:sz w:val="20"/>
                <w:szCs w:val="20"/>
              </w:rPr>
              <w:t>Use in unstable, clinically significant cardiovascular conditions</w:t>
            </w:r>
          </w:p>
          <w:p w14:paraId="23605100" w14:textId="77777777" w:rsidR="003B2552" w:rsidRPr="00E03771" w:rsidRDefault="003B2552" w:rsidP="003B2552">
            <w:pPr>
              <w:rPr>
                <w:sz w:val="20"/>
                <w:szCs w:val="20"/>
              </w:rPr>
            </w:pPr>
            <w:r w:rsidRPr="00E03771">
              <w:rPr>
                <w:sz w:val="20"/>
                <w:szCs w:val="20"/>
              </w:rPr>
              <w:t>Use in patients with prolonged QTc at baseline or long QTc syndrome</w:t>
            </w:r>
          </w:p>
          <w:p w14:paraId="41103F7F" w14:textId="77777777" w:rsidR="003B2552" w:rsidRPr="00E03771" w:rsidRDefault="003B2552" w:rsidP="003B2552">
            <w:pPr>
              <w:rPr>
                <w:sz w:val="20"/>
                <w:szCs w:val="20"/>
              </w:rPr>
            </w:pPr>
            <w:r w:rsidRPr="00E03771">
              <w:rPr>
                <w:sz w:val="20"/>
                <w:szCs w:val="20"/>
              </w:rPr>
              <w:t>Use in patients with T1DM or T2DM</w:t>
            </w:r>
          </w:p>
          <w:p w14:paraId="2760C474" w14:textId="77777777" w:rsidR="003B2552" w:rsidRPr="00E03771" w:rsidRDefault="003B2552" w:rsidP="003B2552">
            <w:pPr>
              <w:rPr>
                <w:sz w:val="20"/>
                <w:szCs w:val="20"/>
              </w:rPr>
            </w:pPr>
            <w:r w:rsidRPr="00E03771">
              <w:rPr>
                <w:sz w:val="20"/>
                <w:szCs w:val="20"/>
              </w:rPr>
              <w:t>Use in patients with severe liver impairment</w:t>
            </w:r>
          </w:p>
          <w:p w14:paraId="465D5D66" w14:textId="77777777" w:rsidR="003B2552" w:rsidRPr="00E03771" w:rsidRDefault="003B2552" w:rsidP="003B2552">
            <w:pPr>
              <w:rPr>
                <w:sz w:val="20"/>
                <w:szCs w:val="20"/>
              </w:rPr>
            </w:pPr>
            <w:r w:rsidRPr="00E03771">
              <w:rPr>
                <w:sz w:val="20"/>
                <w:szCs w:val="20"/>
              </w:rPr>
              <w:t>Use in patients with moderate-severe renal impairment</w:t>
            </w:r>
          </w:p>
          <w:p w14:paraId="06D4E1EF" w14:textId="77777777" w:rsidR="003B2552" w:rsidRPr="00E03771" w:rsidRDefault="003B2552" w:rsidP="003B2552">
            <w:pPr>
              <w:rPr>
                <w:sz w:val="20"/>
                <w:szCs w:val="20"/>
              </w:rPr>
            </w:pPr>
            <w:r w:rsidRPr="00E03771">
              <w:rPr>
                <w:sz w:val="20"/>
                <w:szCs w:val="20"/>
              </w:rPr>
              <w:t>Long term exposure to medication beyond 18 months</w:t>
            </w:r>
          </w:p>
          <w:p w14:paraId="2FEC3311" w14:textId="77777777" w:rsidR="003B2552" w:rsidRPr="00E03771" w:rsidRDefault="003B2552" w:rsidP="003B2552">
            <w:pPr>
              <w:rPr>
                <w:sz w:val="20"/>
                <w:szCs w:val="20"/>
              </w:rPr>
            </w:pPr>
            <w:r w:rsidRPr="00E03771">
              <w:rPr>
                <w:sz w:val="20"/>
                <w:szCs w:val="20"/>
              </w:rPr>
              <w:t>Use in COPD not related to smoking or smoking exposure less than 10 pack years</w:t>
            </w:r>
          </w:p>
          <w:p w14:paraId="136FD138" w14:textId="77777777" w:rsidR="003B2552" w:rsidRPr="00E03771" w:rsidRDefault="003B2552" w:rsidP="003B2552">
            <w:pPr>
              <w:rPr>
                <w:sz w:val="20"/>
                <w:szCs w:val="20"/>
              </w:rPr>
            </w:pPr>
            <w:r w:rsidRPr="00E03771">
              <w:rPr>
                <w:sz w:val="20"/>
                <w:szCs w:val="20"/>
              </w:rPr>
              <w:t>Use in pregnancy and lactation</w:t>
            </w:r>
          </w:p>
          <w:p w14:paraId="43BA141B" w14:textId="77777777" w:rsidR="003B2552" w:rsidRPr="00E03771" w:rsidRDefault="003B2552" w:rsidP="000E3AEF">
            <w:pPr>
              <w:rPr>
                <w:sz w:val="20"/>
                <w:szCs w:val="20"/>
              </w:rPr>
            </w:pPr>
            <w:r w:rsidRPr="00E03771">
              <w:rPr>
                <w:sz w:val="20"/>
                <w:szCs w:val="20"/>
              </w:rPr>
              <w:t>Use in patients with ethnic origin other than Caucasian or Asian</w:t>
            </w:r>
          </w:p>
        </w:tc>
      </w:tr>
    </w:tbl>
    <w:p w14:paraId="6B3BC173" w14:textId="77777777" w:rsidR="003B2552" w:rsidRPr="003B2552" w:rsidRDefault="003B2552" w:rsidP="003B2552"/>
    <w:p w14:paraId="6E794D10" w14:textId="77777777" w:rsidR="008E7846" w:rsidRDefault="00AA0ED0" w:rsidP="008E7846">
      <w:pPr>
        <w:pStyle w:val="Heading3"/>
      </w:pPr>
      <w:bookmarkStart w:id="136" w:name="_Toc247691531"/>
      <w:bookmarkStart w:id="137" w:name="_Toc314842515"/>
      <w:bookmarkStart w:id="138" w:name="_Toc525732556"/>
      <w:bookmarkStart w:id="139" w:name="_Toc196046505"/>
      <w:bookmarkStart w:id="140" w:name="_Toc196046949"/>
      <w:r>
        <w:lastRenderedPageBreak/>
        <w:t>Risk-benefit a</w:t>
      </w:r>
      <w:r w:rsidR="008E7846">
        <w:t>nalysis</w:t>
      </w:r>
      <w:bookmarkEnd w:id="136"/>
      <w:bookmarkEnd w:id="137"/>
      <w:bookmarkEnd w:id="138"/>
    </w:p>
    <w:p w14:paraId="3E8E5B6B" w14:textId="77777777" w:rsidR="00D23139" w:rsidRDefault="00FE4E85" w:rsidP="00D23139">
      <w:pPr>
        <w:pStyle w:val="Heading4"/>
      </w:pPr>
      <w:r>
        <w:t>Delegate’s considerations</w:t>
      </w:r>
    </w:p>
    <w:p w14:paraId="7655F468" w14:textId="77777777" w:rsidR="000E3AEF" w:rsidRPr="000E3AEF" w:rsidRDefault="000E3AEF" w:rsidP="000E3AEF">
      <w:r w:rsidRPr="000E3AEF">
        <w:t>The evaluator’s main concern was in relation to the suboptimal efficacy that this medicine had on treatment efficacy.</w:t>
      </w:r>
    </w:p>
    <w:p w14:paraId="5A8E2022" w14:textId="77777777" w:rsidR="000E3AEF" w:rsidRPr="000E3AEF" w:rsidRDefault="00FE4E85" w:rsidP="000E3AEF">
      <w:pPr>
        <w:pStyle w:val="Heading5"/>
      </w:pPr>
      <w:r>
        <w:t>Evidence of efficacy</w:t>
      </w:r>
    </w:p>
    <w:p w14:paraId="197396FD" w14:textId="77777777" w:rsidR="000E3AEF" w:rsidRPr="000E3AEF" w:rsidRDefault="000E3AEF" w:rsidP="000E3AEF">
      <w:r w:rsidRPr="000E3AEF">
        <w:t xml:space="preserve">Although </w:t>
      </w:r>
      <w:r w:rsidR="00FE4E85">
        <w:t>the Delegate</w:t>
      </w:r>
      <w:r w:rsidRPr="000E3AEF">
        <w:t xml:space="preserve"> agree</w:t>
      </w:r>
      <w:r w:rsidR="00FE4E85">
        <w:t>d</w:t>
      </w:r>
      <w:r w:rsidRPr="000E3AEF">
        <w:t xml:space="preserve"> the treatment effect was small, it is similar to what has been observed in other studies to prevent exacerbation in this patient subgroup. For example, tiotropium was given this indicatio</w:t>
      </w:r>
      <w:r w:rsidR="00FE4E85">
        <w:t xml:space="preserve">n with a </w:t>
      </w:r>
      <w:r w:rsidR="008D4D5F">
        <w:t>hazard ratio (</w:t>
      </w:r>
      <w:r w:rsidR="00FE4E85">
        <w:t>HR</w:t>
      </w:r>
      <w:r w:rsidR="008D4D5F">
        <w:t>)</w:t>
      </w:r>
      <w:r w:rsidR="00FE4E85">
        <w:t xml:space="preserve"> of 0.86 95% CI 0.91 to </w:t>
      </w:r>
      <w:r w:rsidRPr="000E3AEF">
        <w:t>0.91 for exacerbations, even though this was</w:t>
      </w:r>
      <w:r w:rsidR="00FE4E85">
        <w:t xml:space="preserve"> </w:t>
      </w:r>
      <w:r w:rsidRPr="000E3AEF">
        <w:t>not a primary endpoint for the study</w:t>
      </w:r>
      <w:r w:rsidR="00FE4E85">
        <w:t>.</w:t>
      </w:r>
      <w:r w:rsidR="00FE4E85">
        <w:rPr>
          <w:rStyle w:val="FootnoteReference"/>
        </w:rPr>
        <w:footnoteReference w:id="10"/>
      </w:r>
    </w:p>
    <w:p w14:paraId="02742B33" w14:textId="77777777" w:rsidR="000E3AEF" w:rsidRPr="000E3AEF" w:rsidRDefault="00FE4E85" w:rsidP="000E3AEF">
      <w:r w:rsidRPr="000E3AEF">
        <w:t>Fluticasone</w:t>
      </w:r>
      <w:r w:rsidR="000E3AEF" w:rsidRPr="000E3AEF">
        <w:t>/salmeterol combinations are used by clinicians in patients at risk of exacerbations based on the reduced risk of exacerbations in the TORCH study (rate ratio 0.75 (95%CI 0.69 to 0.81) compared t</w:t>
      </w:r>
      <w:r>
        <w:t xml:space="preserve">o placebo, or 0.88 (95% CI 0.81 to </w:t>
      </w:r>
      <w:r w:rsidR="000E3AEF" w:rsidRPr="000E3AEF">
        <w:t>0.95) compared to salmeterol), however this was also a secondary endpoint</w:t>
      </w:r>
      <w:r>
        <w:t>.</w:t>
      </w:r>
      <w:r>
        <w:rPr>
          <w:rStyle w:val="FootnoteReference"/>
        </w:rPr>
        <w:footnoteReference w:id="11"/>
      </w:r>
      <w:r w:rsidR="000E3AEF" w:rsidRPr="000E3AEF">
        <w:t xml:space="preserve"> In the FLAME study </w:t>
      </w:r>
      <w:r>
        <w:t>f</w:t>
      </w:r>
      <w:r w:rsidRPr="000E3AEF">
        <w:t>luticasone/salmeterol</w:t>
      </w:r>
      <w:r w:rsidR="000E3AEF" w:rsidRPr="000E3AEF">
        <w:t xml:space="preserve"> was used as the comparator, so the risk reduction relative to place</w:t>
      </w:r>
      <w:r>
        <w:t>bo may be even greater.</w:t>
      </w:r>
    </w:p>
    <w:p w14:paraId="3DA9FB59" w14:textId="77777777" w:rsidR="000E3AEF" w:rsidRPr="000E3AEF" w:rsidRDefault="000E3AEF" w:rsidP="000E3AEF">
      <w:r w:rsidRPr="000E3AEF">
        <w:t>There are a number of limitations with the clinical trial. The use of</w:t>
      </w:r>
      <w:r w:rsidR="00FE4E85">
        <w:t xml:space="preserve"> </w:t>
      </w:r>
      <w:r w:rsidRPr="000E3AEF">
        <w:t>ICS/LABA comparator could be questioned as these are not equally placed in the treatment algorithm. The definition of exacerbations, particularly mild exacerbations, is somewhat subjective and may be prone to error.</w:t>
      </w:r>
      <w:r w:rsidR="00FE4E85">
        <w:t xml:space="preserve"> </w:t>
      </w:r>
      <w:r w:rsidRPr="000E3AEF">
        <w:t>An exacerbation of COPD may be confused with asthma, infection, heart failure or a viral illness. There were large patient numbers</w:t>
      </w:r>
      <w:r w:rsidR="00FE4E85">
        <w:t xml:space="preserve"> </w:t>
      </w:r>
      <w:r w:rsidRPr="000E3AEF">
        <w:t>but a low event rate. The low rate of events has been a problem with other studies that have used risk of exacerbations as an endpoint as any small change in exacerbations or patient population can lead to significant changes in the results. The subjective nature of mild exacerbations is also problematic.</w:t>
      </w:r>
    </w:p>
    <w:p w14:paraId="3D1C6B89" w14:textId="66B20944" w:rsidR="000E3AEF" w:rsidRPr="000E3AEF" w:rsidRDefault="000E3AEF" w:rsidP="000E3AEF">
      <w:r w:rsidRPr="000E3AEF">
        <w:t xml:space="preserve">When a single pivotal trial is used to support a new indication, the evidence needs to be robust. Although this may not be the case with this study, there </w:t>
      </w:r>
      <w:proofErr w:type="gramStart"/>
      <w:r w:rsidRPr="000E3AEF">
        <w:t>are</w:t>
      </w:r>
      <w:proofErr w:type="gramEnd"/>
      <w:r w:rsidRPr="000E3AEF">
        <w:t xml:space="preserve"> a number of other meta-analysis that support the use of LABA/LAMA combinations to prevent exacerbations. In a Cochrane review</w:t>
      </w:r>
      <w:r w:rsidR="00513B3F">
        <w:t>;</w:t>
      </w:r>
      <w:r w:rsidR="00FE4E85">
        <w:rPr>
          <w:rStyle w:val="FootnoteReference"/>
        </w:rPr>
        <w:footnoteReference w:id="12"/>
      </w:r>
      <w:r w:rsidR="00FE4E85">
        <w:t xml:space="preserve"> </w:t>
      </w:r>
      <w:r w:rsidRPr="000E3AEF">
        <w:t>compared to the LABA</w:t>
      </w:r>
      <w:r w:rsidR="00FE4E85">
        <w:t xml:space="preserve"> </w:t>
      </w:r>
      <w:r w:rsidRPr="000E3AEF">
        <w:t>+</w:t>
      </w:r>
      <w:r w:rsidR="00FE4E85">
        <w:t xml:space="preserve"> </w:t>
      </w:r>
      <w:r w:rsidRPr="000E3AEF">
        <w:t>ICS arm,</w:t>
      </w:r>
      <w:r w:rsidR="00FE4E85">
        <w:t xml:space="preserve"> </w:t>
      </w:r>
      <w:r w:rsidRPr="000E3AEF">
        <w:t>LAMA</w:t>
      </w:r>
      <w:r w:rsidR="00FE4E85">
        <w:t xml:space="preserve"> </w:t>
      </w:r>
      <w:r w:rsidRPr="000E3AEF">
        <w:t>+</w:t>
      </w:r>
      <w:r w:rsidR="00FE4E85">
        <w:t xml:space="preserve"> </w:t>
      </w:r>
      <w:r w:rsidRPr="000E3AEF">
        <w:t>LABA arm reduced</w:t>
      </w:r>
      <w:r w:rsidR="00FE4E85">
        <w:t xml:space="preserve"> exacerbations (</w:t>
      </w:r>
      <w:r w:rsidR="008D4D5F" w:rsidRPr="008D4D5F">
        <w:t>odds ratio (</w:t>
      </w:r>
      <w:r w:rsidRPr="008D4D5F">
        <w:t>OR</w:t>
      </w:r>
      <w:r w:rsidR="008D4D5F" w:rsidRPr="008D4D5F">
        <w:t>)</w:t>
      </w:r>
      <w:r w:rsidRPr="008D4D5F">
        <w:t xml:space="preserve"> 0.82 (95</w:t>
      </w:r>
      <w:r w:rsidRPr="000E3AEF">
        <w:t xml:space="preserve">% CI 0.70 to 0.96); serious adverse events (SAE), OR 0.91 (95% CI 0.79 to 1.05); and trough FEV1 change from the baseline, </w:t>
      </w:r>
      <w:r w:rsidR="008D4D5F">
        <w:t>mean difference in FEV1 (</w:t>
      </w:r>
      <w:r w:rsidRPr="008D4D5F">
        <w:t>MD</w:t>
      </w:r>
      <w:r w:rsidR="008D4D5F" w:rsidRPr="008D4D5F">
        <w:t>)</w:t>
      </w:r>
      <w:r w:rsidRPr="000E3AEF">
        <w:t xml:space="preserve"> 0.08 L (95% CI 0.06 to 0.09)</w:t>
      </w:r>
      <w:r w:rsidR="00FE4E85">
        <w:t xml:space="preserve"> </w:t>
      </w:r>
      <w:r w:rsidRPr="000E3AEF">
        <w:t xml:space="preserve">pneumonia, OR 0.57 (95% CI 0.42 to 0.79); all-cause death, OR 1.01 (95% CI 0.61 to 1.67); </w:t>
      </w:r>
      <w:r w:rsidRPr="00737FF4">
        <w:t xml:space="preserve">and </w:t>
      </w:r>
      <w:r w:rsidRPr="009837A5">
        <w:t>SGRQ</w:t>
      </w:r>
      <w:r w:rsidRPr="000E3AEF">
        <w:t xml:space="preserve"> total score change from the baseline of 4 points or greater OR 1.25 (95% CI 1.09 to 1.44). A pooled analysis in patients with GOLD B and D also demonstrated benefits in lung function, symptoms, and exacerbations</w:t>
      </w:r>
      <w:r w:rsidR="00FE4E85">
        <w:t>.</w:t>
      </w:r>
      <w:r w:rsidR="00FE4E85">
        <w:rPr>
          <w:rStyle w:val="FootnoteReference"/>
        </w:rPr>
        <w:footnoteReference w:id="13"/>
      </w:r>
      <w:r w:rsidR="00FE4E85">
        <w:t xml:space="preserve"> </w:t>
      </w:r>
      <w:r w:rsidRPr="000E3AEF">
        <w:t xml:space="preserve">A network meta-analysis showed LABA/LAMA combinations were associated with a significantly greater </w:t>
      </w:r>
      <w:r w:rsidRPr="008D4D5F">
        <w:t xml:space="preserve">proportion of </w:t>
      </w:r>
      <w:r w:rsidR="008D4D5F" w:rsidRPr="008D4D5F">
        <w:t>St George’s respiratory questionnaire (</w:t>
      </w:r>
      <w:r w:rsidRPr="008D4D5F">
        <w:t>SGRQ</w:t>
      </w:r>
      <w:r w:rsidR="008D4D5F" w:rsidRPr="008D4D5F">
        <w:t>)</w:t>
      </w:r>
      <w:r w:rsidRPr="008D4D5F">
        <w:t xml:space="preserve"> and </w:t>
      </w:r>
      <w:r w:rsidR="008D4D5F" w:rsidRPr="008D4D5F">
        <w:t>Transitional Dyspnoea Index (</w:t>
      </w:r>
      <w:r w:rsidRPr="008D4D5F">
        <w:t>TDI</w:t>
      </w:r>
      <w:r w:rsidR="008D4D5F" w:rsidRPr="008D4D5F">
        <w:t>)</w:t>
      </w:r>
      <w:r w:rsidRPr="000E3AEF">
        <w:t xml:space="preserve"> responders than monotherapies and fewer moderate-to-severe exacerbations compared with LABAs b</w:t>
      </w:r>
      <w:r w:rsidR="00FE4E85">
        <w:t>ut not when compared with LAMAs</w:t>
      </w:r>
      <w:r w:rsidRPr="000E3AEF">
        <w:t xml:space="preserve">. However, there were no statistically significant differences associated with </w:t>
      </w:r>
      <w:r w:rsidRPr="000E3AEF">
        <w:lastRenderedPageBreak/>
        <w:t>LABA/LAMA combinations compared with monotherapies in safety outcomes as well as in severe exacerbations</w:t>
      </w:r>
      <w:r w:rsidR="00FE4E85">
        <w:t>.</w:t>
      </w:r>
      <w:r w:rsidR="00FE4E85">
        <w:rPr>
          <w:rStyle w:val="FootnoteReference"/>
        </w:rPr>
        <w:footnoteReference w:id="14"/>
      </w:r>
    </w:p>
    <w:p w14:paraId="06564E53" w14:textId="77777777" w:rsidR="000E3AEF" w:rsidRPr="000E3AEF" w:rsidRDefault="000E3AEF" w:rsidP="000E3AEF">
      <w:r w:rsidRPr="000E3AEF">
        <w:t xml:space="preserve">Treatment with </w:t>
      </w:r>
      <w:r w:rsidR="00FE4E85">
        <w:t>indacaterol/glycopyrronium</w:t>
      </w:r>
      <w:r w:rsidR="00C32CE5">
        <w:t xml:space="preserve"> </w:t>
      </w:r>
      <w:r w:rsidRPr="000E3AEF">
        <w:t xml:space="preserve">is associated with </w:t>
      </w:r>
      <w:proofErr w:type="gramStart"/>
      <w:r w:rsidRPr="000E3AEF">
        <w:t>less</w:t>
      </w:r>
      <w:proofErr w:type="gramEnd"/>
      <w:r w:rsidRPr="000E3AEF">
        <w:t xml:space="preserve"> side effects than </w:t>
      </w:r>
      <w:r w:rsidR="00FE4E85">
        <w:t>fluticasone/salmeterol</w:t>
      </w:r>
      <w:r w:rsidRPr="000E3AEF">
        <w:t>. The TGA has been involved with a COPD working group with the PBS and other stakeholders. There is concern about the overuse of ICS/LABA in the community.</w:t>
      </w:r>
    </w:p>
    <w:p w14:paraId="38077AAE" w14:textId="77777777" w:rsidR="000E3AEF" w:rsidRPr="000E3AEF" w:rsidRDefault="000E3AEF" w:rsidP="000E3AEF">
      <w:pPr>
        <w:pStyle w:val="Heading5"/>
      </w:pPr>
      <w:r w:rsidRPr="000E3AEF">
        <w:t>Is a new indication warranted?</w:t>
      </w:r>
    </w:p>
    <w:p w14:paraId="11FA255A" w14:textId="77777777" w:rsidR="000E3AEF" w:rsidRPr="000E3AEF" w:rsidRDefault="000E3AEF" w:rsidP="000E3AEF">
      <w:r w:rsidRPr="000E3AEF">
        <w:t>The current indication defines the treatment population: COPD. It also describes the treatment as for symptomatic relief. The new indication of prevent exacerbation is a different treatment paradigm in that it proposes an alteration in the evolu</w:t>
      </w:r>
      <w:r w:rsidR="00C32CE5">
        <w:t>tion or progression of disease.</w:t>
      </w:r>
    </w:p>
    <w:p w14:paraId="4477B3C1" w14:textId="77777777" w:rsidR="000E3AEF" w:rsidRPr="000E3AEF" w:rsidRDefault="000E3AEF" w:rsidP="000E3AEF">
      <w:r w:rsidRPr="000E3AEF">
        <w:t xml:space="preserve">To approve this new indication would place this medicine above others in this class for </w:t>
      </w:r>
      <w:r w:rsidR="00C32CE5" w:rsidRPr="000E3AEF">
        <w:t>its</w:t>
      </w:r>
      <w:r w:rsidRPr="000E3AEF">
        <w:t xml:space="preserve"> range of therapeutic effect.</w:t>
      </w:r>
    </w:p>
    <w:p w14:paraId="3F37C695" w14:textId="77777777" w:rsidR="000E3AEF" w:rsidRPr="000E3AEF" w:rsidRDefault="000E3AEF" w:rsidP="000E3AEF">
      <w:r w:rsidRPr="000E3AEF">
        <w:t>However not to approve this indication would not restrict the use of this medicine as patients at risk of exacerbations are</w:t>
      </w:r>
      <w:r w:rsidR="00C32CE5">
        <w:t xml:space="preserve"> generally symptomatic of COPD.</w:t>
      </w:r>
    </w:p>
    <w:p w14:paraId="59CA294E" w14:textId="77777777" w:rsidR="000E3AEF" w:rsidRPr="000E3AEF" w:rsidRDefault="000E3AEF" w:rsidP="000E3AEF">
      <w:r w:rsidRPr="000E3AEF">
        <w:t>In the response</w:t>
      </w:r>
      <w:r w:rsidR="00C32CE5">
        <w:t xml:space="preserve"> to questions</w:t>
      </w:r>
      <w:r w:rsidRPr="000E3AEF">
        <w:t>, the sponsor gave a number of reasons for including this indication:</w:t>
      </w:r>
    </w:p>
    <w:p w14:paraId="3B9F73BF" w14:textId="571A6FD6" w:rsidR="000E3AEF" w:rsidRPr="000E3AEF" w:rsidRDefault="000E3AEF" w:rsidP="000E3AEF">
      <w:pPr>
        <w:pStyle w:val="ListBullet"/>
      </w:pPr>
      <w:r w:rsidRPr="000E3AEF">
        <w:t>the CHMP guidelines (as well as the GOLD guidelines</w:t>
      </w:r>
      <w:r w:rsidR="00513B3F">
        <w:t>;</w:t>
      </w:r>
      <w:r w:rsidR="00C32CE5">
        <w:rPr>
          <w:rStyle w:val="FootnoteReference"/>
        </w:rPr>
        <w:footnoteReference w:id="15"/>
      </w:r>
      <w:r w:rsidRPr="000E3AEF">
        <w:t xml:space="preserve"> COPD-X guidelines</w:t>
      </w:r>
      <w:r w:rsidR="00513B3F">
        <w:t>;</w:t>
      </w:r>
      <w:r w:rsidR="00C32CE5">
        <w:rPr>
          <w:rStyle w:val="FootnoteReference"/>
        </w:rPr>
        <w:footnoteReference w:id="16"/>
      </w:r>
      <w:r w:rsidRPr="000E3AEF">
        <w:t xml:space="preserve"> and WHO</w:t>
      </w:r>
      <w:r w:rsidR="00C32CE5">
        <w:rPr>
          <w:rStyle w:val="FootnoteReference"/>
        </w:rPr>
        <w:footnoteReference w:id="17"/>
      </w:r>
      <w:r w:rsidRPr="000E3AEF">
        <w:t>) all consider prevention of exacerbations as an important outcome</w:t>
      </w:r>
    </w:p>
    <w:p w14:paraId="6F283B21" w14:textId="77777777" w:rsidR="000E3AEF" w:rsidRPr="000E3AEF" w:rsidRDefault="000E3AEF" w:rsidP="000E3AEF">
      <w:pPr>
        <w:pStyle w:val="ListBullet"/>
      </w:pPr>
      <w:r w:rsidRPr="000E3AEF">
        <w:t>the reduction in exacerbations was supported by the FLAME study, and the reduction in this study was superior to that seen in the studies submitted with the original submission</w:t>
      </w:r>
    </w:p>
    <w:p w14:paraId="75714B89" w14:textId="77777777" w:rsidR="000E3AEF" w:rsidRPr="000E3AEF" w:rsidRDefault="000E3AEF" w:rsidP="000E3AEF">
      <w:pPr>
        <w:pStyle w:val="ListBullet"/>
      </w:pPr>
      <w:r w:rsidRPr="000E3AEF">
        <w:t xml:space="preserve">the results of the FLAME study show </w:t>
      </w:r>
      <w:r w:rsidR="00C32CE5">
        <w:t>indacaterol/glycopyrronium</w:t>
      </w:r>
      <w:r w:rsidR="00C32CE5" w:rsidRPr="000E3AEF">
        <w:t xml:space="preserve"> </w:t>
      </w:r>
      <w:r w:rsidRPr="000E3AEF">
        <w:t xml:space="preserve">was at least non inferior to </w:t>
      </w:r>
      <w:r w:rsidR="00C32CE5">
        <w:t>salmeterol/fluticasone</w:t>
      </w:r>
      <w:r w:rsidRPr="000E3AEF">
        <w:t xml:space="preserve"> which is already used to prevent exacerbations with efficacy demonstrated in the TORCH study</w:t>
      </w:r>
    </w:p>
    <w:p w14:paraId="166BAC00" w14:textId="77777777" w:rsidR="000E3AEF" w:rsidRPr="000E3AEF" w:rsidRDefault="000E3AEF" w:rsidP="000E3AEF">
      <w:pPr>
        <w:pStyle w:val="ListBullet"/>
      </w:pPr>
      <w:proofErr w:type="gramStart"/>
      <w:r w:rsidRPr="000E3AEF">
        <w:t>current</w:t>
      </w:r>
      <w:proofErr w:type="gramEnd"/>
      <w:r w:rsidRPr="000E3AEF">
        <w:t xml:space="preserve"> prescribing patterns in Australia suggest over prescribing of ICS/LABA and under prescribing of LAMA/LABA which is not consistent with guidelines. The sponsor has proposed that by adding the prevention of exacerbations to the </w:t>
      </w:r>
      <w:r w:rsidR="00C32CE5">
        <w:t>indacaterol/glycopyrronium</w:t>
      </w:r>
      <w:r w:rsidRPr="000E3AEF">
        <w:t xml:space="preserve"> indications this may reverse this trend</w:t>
      </w:r>
    </w:p>
    <w:p w14:paraId="3BB23EC3" w14:textId="77777777" w:rsidR="000E3AEF" w:rsidRPr="000E3AEF" w:rsidRDefault="000E3AEF" w:rsidP="000E3AEF">
      <w:pPr>
        <w:pStyle w:val="ListBullet"/>
      </w:pPr>
      <w:r w:rsidRPr="000E3AEF">
        <w:t>use of ICS to prevent exacerbations increases the risk of pneumonia</w:t>
      </w:r>
    </w:p>
    <w:p w14:paraId="401E929C" w14:textId="77777777" w:rsidR="000E3AEF" w:rsidRDefault="000E3AEF" w:rsidP="000E3AEF">
      <w:pPr>
        <w:pStyle w:val="ListBullet"/>
      </w:pPr>
      <w:r>
        <w:t xml:space="preserve">There are limitations in the </w:t>
      </w:r>
      <w:r w:rsidR="00C32CE5">
        <w:t>data;</w:t>
      </w:r>
      <w:r>
        <w:t xml:space="preserve"> however the available evidence does suggest a small reduction in exacerbations. </w:t>
      </w:r>
      <w:r w:rsidR="00C32CE5">
        <w:t>The Delegate</w:t>
      </w:r>
      <w:r>
        <w:t xml:space="preserve"> accept</w:t>
      </w:r>
      <w:r w:rsidR="00C32CE5">
        <w:t>ed</w:t>
      </w:r>
      <w:r>
        <w:t xml:space="preserve"> there are problems in conducting clinical trials looking at exacerbations due to the infrequency of such events and the difficul</w:t>
      </w:r>
      <w:r w:rsidR="00C32CE5">
        <w:t>ties in clearly defining these.</w:t>
      </w:r>
    </w:p>
    <w:p w14:paraId="6FEB475B" w14:textId="77777777" w:rsidR="00C32CE5" w:rsidRDefault="00C32CE5" w:rsidP="00C32CE5">
      <w:pPr>
        <w:pStyle w:val="Heading6"/>
      </w:pPr>
      <w:r>
        <w:t>Conclusion</w:t>
      </w:r>
    </w:p>
    <w:p w14:paraId="301D6259" w14:textId="77777777" w:rsidR="000E3AEF" w:rsidRPr="000E3AEF" w:rsidRDefault="000E3AEF" w:rsidP="000E3AEF">
      <w:r w:rsidRPr="000E3AEF">
        <w:t>Most of the clinical trials have been in moderate/severe COPD whereas the current indication does not specify this. Long term studies have indicated that the use of LAMA/LABA increases FEV1 over placebo, but subsequent</w:t>
      </w:r>
      <w:r w:rsidR="00FE4E85">
        <w:t xml:space="preserve"> </w:t>
      </w:r>
      <w:r w:rsidRPr="000E3AEF">
        <w:t>rate of subsequent decline is parallel to placebo. Thus, there is no evidence that early therapy in mild would be of benefit over moderate/severe disease.</w:t>
      </w:r>
    </w:p>
    <w:p w14:paraId="7252C692" w14:textId="77777777" w:rsidR="00456765" w:rsidRDefault="00C32CE5" w:rsidP="000E3AEF">
      <w:r>
        <w:lastRenderedPageBreak/>
        <w:t>The Delegate</w:t>
      </w:r>
      <w:r w:rsidR="000E3AEF" w:rsidRPr="000E3AEF">
        <w:t xml:space="preserve"> recommended some changes to the PI to avoid over reporting of outcomes</w:t>
      </w:r>
      <w:r>
        <w:t xml:space="preserve"> however presentation of this is beyond the scope of the AusPAR.</w:t>
      </w:r>
    </w:p>
    <w:p w14:paraId="6C98D1DD" w14:textId="77777777" w:rsidR="000E3AEF" w:rsidRPr="000E3AEF" w:rsidRDefault="00C32CE5" w:rsidP="000E3AEF">
      <w:pPr>
        <w:pStyle w:val="Heading5"/>
      </w:pPr>
      <w:r>
        <w:t>Questions for sponsor</w:t>
      </w:r>
    </w:p>
    <w:p w14:paraId="3DB7EAD2" w14:textId="77777777" w:rsidR="000E3AEF" w:rsidRPr="000E3AEF" w:rsidRDefault="000E3AEF" w:rsidP="000E3AEF">
      <w:pPr>
        <w:pStyle w:val="Numberbullet0"/>
      </w:pPr>
      <w:r w:rsidRPr="000E3AEF">
        <w:t xml:space="preserve">Please calculate </w:t>
      </w:r>
      <w:r w:rsidR="00195E33">
        <w:t xml:space="preserve">the number needed to </w:t>
      </w:r>
      <w:r w:rsidR="00195E33" w:rsidRPr="00195E33">
        <w:t>treat (</w:t>
      </w:r>
      <w:r w:rsidRPr="00195E33">
        <w:t>NNT</w:t>
      </w:r>
      <w:r w:rsidR="00195E33" w:rsidRPr="00195E33">
        <w:t>)</w:t>
      </w:r>
      <w:r w:rsidRPr="00195E33">
        <w:t xml:space="preserve"> to </w:t>
      </w:r>
      <w:r w:rsidR="00C32CE5" w:rsidRPr="00195E33">
        <w:t>prevent</w:t>
      </w:r>
      <w:r w:rsidR="00C32CE5">
        <w:t xml:space="preserve"> 1 exacerbation per year;</w:t>
      </w:r>
      <w:r w:rsidRPr="000E3AEF">
        <w:t xml:space="preserve"> taking into account duration of therapy, and compare this to tiotropium and </w:t>
      </w:r>
      <w:r w:rsidR="00C32CE5">
        <w:t>salmeterol/fluticasone</w:t>
      </w:r>
      <w:r w:rsidRPr="000E3AEF">
        <w:t>.</w:t>
      </w:r>
    </w:p>
    <w:p w14:paraId="53B8448B" w14:textId="77777777" w:rsidR="000E3AEF" w:rsidRDefault="000E3AEF" w:rsidP="000E3AEF">
      <w:pPr>
        <w:pStyle w:val="Numberbullet0"/>
      </w:pPr>
      <w:r w:rsidRPr="000E3AEF">
        <w:t>What was the reason for not suggesting the additional indication for prevention of exacerbation in Europe and the USA?</w:t>
      </w:r>
    </w:p>
    <w:p w14:paraId="5F2A628F" w14:textId="77777777" w:rsidR="000E3AEF" w:rsidRDefault="000E3AEF" w:rsidP="000E3AEF">
      <w:pPr>
        <w:pStyle w:val="Heading5"/>
      </w:pPr>
      <w:r w:rsidRPr="000E3AEF">
        <w:t>Summary of Issues</w:t>
      </w:r>
    </w:p>
    <w:p w14:paraId="7813EE86" w14:textId="77777777" w:rsidR="000E3AEF" w:rsidRPr="000E3AEF" w:rsidRDefault="000E3AEF" w:rsidP="000E3AEF">
      <w:pPr>
        <w:pStyle w:val="ListBullet"/>
      </w:pPr>
      <w:proofErr w:type="gramStart"/>
      <w:r w:rsidRPr="000E3AEF">
        <w:t>there</w:t>
      </w:r>
      <w:proofErr w:type="gramEnd"/>
      <w:r w:rsidRPr="000E3AEF">
        <w:t xml:space="preserve"> was one</w:t>
      </w:r>
      <w:r w:rsidR="00FE4E85">
        <w:t xml:space="preserve"> </w:t>
      </w:r>
      <w:r w:rsidRPr="000E3AEF">
        <w:t>single clinical study to support this indication.</w:t>
      </w:r>
    </w:p>
    <w:p w14:paraId="2FB27E12" w14:textId="77777777" w:rsidR="000E3AEF" w:rsidRPr="000E3AEF" w:rsidRDefault="000E3AEF" w:rsidP="000E3AEF">
      <w:pPr>
        <w:pStyle w:val="ListBullet"/>
      </w:pPr>
      <w:r w:rsidRPr="000E3AEF">
        <w:t>the evaluator did not believe the magnitude of the increase in exacerbations was significant enough to warrant a new indication</w:t>
      </w:r>
    </w:p>
    <w:p w14:paraId="6D9B47E3" w14:textId="77777777" w:rsidR="000E3AEF" w:rsidRPr="000E3AEF" w:rsidRDefault="000E3AEF" w:rsidP="000E3AEF">
      <w:pPr>
        <w:pStyle w:val="ListBullet"/>
      </w:pPr>
      <w:r w:rsidRPr="000E3AEF">
        <w:t>the new wording of the indications would not change the patient population in whic</w:t>
      </w:r>
      <w:r w:rsidR="00C32CE5">
        <w:t>h the medicine is indicated for</w:t>
      </w:r>
    </w:p>
    <w:p w14:paraId="7921B703" w14:textId="77777777" w:rsidR="000E3AEF" w:rsidRPr="000E3AEF" w:rsidRDefault="000E3AEF" w:rsidP="000E3AEF">
      <w:pPr>
        <w:pStyle w:val="ListBullet"/>
      </w:pPr>
      <w:r w:rsidRPr="000E3AEF">
        <w:t>however early use of LAMA/LABA is proposed in the COPD guidelines and has advantages over current ICS/LABA in terms of safety</w:t>
      </w:r>
    </w:p>
    <w:p w14:paraId="1D76EF7E" w14:textId="77777777" w:rsidR="000E3AEF" w:rsidRPr="000E3AEF" w:rsidRDefault="000E3AEF" w:rsidP="000E3AEF">
      <w:pPr>
        <w:pStyle w:val="ListBullet"/>
      </w:pPr>
      <w:proofErr w:type="gramStart"/>
      <w:r w:rsidRPr="000E3AEF">
        <w:t>the</w:t>
      </w:r>
      <w:proofErr w:type="gramEnd"/>
      <w:r w:rsidRPr="000E3AEF">
        <w:t xml:space="preserve"> evidence presented is mainly for moderate/severe COPD however the current</w:t>
      </w:r>
      <w:r>
        <w:t xml:space="preserve"> </w:t>
      </w:r>
      <w:r>
        <w:rPr>
          <w:rFonts w:asciiTheme="minorHAnsi" w:hAnsiTheme="minorHAnsi"/>
        </w:rPr>
        <w:t>indications do not specify severity</w:t>
      </w:r>
      <w:r w:rsidR="00C32CE5">
        <w:rPr>
          <w:rFonts w:asciiTheme="minorHAnsi" w:hAnsiTheme="minorHAnsi"/>
        </w:rPr>
        <w:t>.</w:t>
      </w:r>
    </w:p>
    <w:p w14:paraId="76CE82EC" w14:textId="77777777" w:rsidR="00C32CE5" w:rsidRDefault="00D23139" w:rsidP="00C32CE5">
      <w:pPr>
        <w:pStyle w:val="Heading4"/>
      </w:pPr>
      <w:r w:rsidRPr="00D23139">
        <w:t>Proposed action</w:t>
      </w:r>
    </w:p>
    <w:p w14:paraId="6B8182E1" w14:textId="77777777" w:rsidR="00C32CE5" w:rsidRPr="000E3AEF" w:rsidRDefault="00C32CE5" w:rsidP="00C32CE5">
      <w:r>
        <w:t>The Delegate</w:t>
      </w:r>
      <w:r w:rsidRPr="000E3AEF">
        <w:t xml:space="preserve"> recommendation would be to approve the indication:</w:t>
      </w:r>
    </w:p>
    <w:p w14:paraId="6286E859" w14:textId="77777777" w:rsidR="00C32CE5" w:rsidRPr="00C32CE5" w:rsidRDefault="0084652C" w:rsidP="00C32CE5">
      <w:pPr>
        <w:ind w:left="720"/>
        <w:rPr>
          <w:i/>
        </w:rPr>
      </w:pPr>
      <w:r>
        <w:rPr>
          <w:i/>
        </w:rPr>
        <w:t>Ultibro Breezhaler</w:t>
      </w:r>
      <w:r w:rsidR="00C32CE5" w:rsidRPr="00C32CE5">
        <w:rPr>
          <w:i/>
        </w:rPr>
        <w:t>110/50 is indicated as a once-daily maintenance bronchodilator treatment to relieve symptoms and prevent exacerbations in patients with chronic obstructive pulmonary disease (COPD).</w:t>
      </w:r>
    </w:p>
    <w:p w14:paraId="6C8C8CD9" w14:textId="77777777" w:rsidR="00456765" w:rsidRPr="000E3AEF" w:rsidRDefault="00C32CE5" w:rsidP="000E3AEF">
      <w:r>
        <w:t xml:space="preserve">And </w:t>
      </w:r>
      <w:r w:rsidR="000E3AEF" w:rsidRPr="000E3AEF">
        <w:t xml:space="preserve">that the application for the extension of indication (to include prevention of exacerbations) for </w:t>
      </w:r>
      <w:r w:rsidRPr="000E3AEF">
        <w:t>indacaterol</w:t>
      </w:r>
      <w:r>
        <w:t xml:space="preserve"> maleate/</w:t>
      </w:r>
      <w:r w:rsidR="000E3AEF" w:rsidRPr="000E3AEF">
        <w:t>glycopyrronium bromide</w:t>
      </w:r>
      <w:r w:rsidR="00FE4E85">
        <w:t xml:space="preserve"> </w:t>
      </w:r>
      <w:r w:rsidR="000E3AEF" w:rsidRPr="000E3AEF">
        <w:t>should be approved for registration.</w:t>
      </w:r>
    </w:p>
    <w:p w14:paraId="67045DF6" w14:textId="77777777" w:rsidR="00D23139" w:rsidRDefault="00D23139" w:rsidP="00D23139">
      <w:pPr>
        <w:pStyle w:val="Heading4"/>
      </w:pPr>
      <w:r w:rsidRPr="00D23139">
        <w:t>Request for ACPM advice</w:t>
      </w:r>
    </w:p>
    <w:p w14:paraId="2D958D65" w14:textId="77777777" w:rsidR="000E3AEF" w:rsidRPr="000E3AEF" w:rsidRDefault="000E3AEF" w:rsidP="000E3AEF">
      <w:pPr>
        <w:pStyle w:val="Numberbullet0"/>
        <w:numPr>
          <w:ilvl w:val="0"/>
          <w:numId w:val="35"/>
        </w:numPr>
      </w:pPr>
      <w:r w:rsidRPr="000E3AEF">
        <w:t>Is the reduction in exacerbations seen in the FLAME study clinically meaningful?</w:t>
      </w:r>
    </w:p>
    <w:p w14:paraId="5D5E2C2A" w14:textId="77777777" w:rsidR="000E3AEF" w:rsidRPr="000E3AEF" w:rsidRDefault="000E3AEF" w:rsidP="000E3AEF">
      <w:pPr>
        <w:pStyle w:val="Numberbullet0"/>
        <w:numPr>
          <w:ilvl w:val="0"/>
          <w:numId w:val="35"/>
        </w:numPr>
      </w:pPr>
      <w:r w:rsidRPr="000E3AEF">
        <w:t>Is a new indication to prevent exacerbations acceptable</w:t>
      </w:r>
    </w:p>
    <w:p w14:paraId="00D1243F" w14:textId="77777777" w:rsidR="000E3AEF" w:rsidRPr="000E3AEF" w:rsidRDefault="000E3AEF" w:rsidP="000E3AEF">
      <w:pPr>
        <w:pStyle w:val="Numberbullet0"/>
        <w:numPr>
          <w:ilvl w:val="0"/>
          <w:numId w:val="35"/>
        </w:numPr>
      </w:pPr>
      <w:r>
        <w:t>I</w:t>
      </w:r>
      <w:r w:rsidRPr="000E3AEF">
        <w:t>s there a need to specify severity in the indications?</w:t>
      </w:r>
    </w:p>
    <w:p w14:paraId="72684852" w14:textId="77777777" w:rsidR="00456765" w:rsidRPr="000E3AEF" w:rsidRDefault="000E3AEF" w:rsidP="000E3AEF">
      <w:r w:rsidRPr="000E3AEF">
        <w:t>The committee is (also) requested to provide advice on any other issues that it thinks may be relevant to a decision on whether or not to approve this application.</w:t>
      </w:r>
    </w:p>
    <w:p w14:paraId="25AB5DEA" w14:textId="2C41416E" w:rsidR="00D23139" w:rsidRDefault="00456765" w:rsidP="00D23139">
      <w:pPr>
        <w:pStyle w:val="Heading4"/>
      </w:pPr>
      <w:r>
        <w:t xml:space="preserve">Response from </w:t>
      </w:r>
      <w:r w:rsidR="00E91CA7">
        <w:t>s</w:t>
      </w:r>
      <w:r>
        <w:t>ponsor</w:t>
      </w:r>
    </w:p>
    <w:p w14:paraId="3A3E9D38" w14:textId="3A7AC437" w:rsidR="002748F6" w:rsidRPr="002748F6" w:rsidRDefault="002748F6" w:rsidP="002748F6">
      <w:r w:rsidRPr="002748F6">
        <w:t xml:space="preserve">Presented here is the </w:t>
      </w:r>
      <w:r w:rsidR="00513B3F">
        <w:t>sponsor’s</w:t>
      </w:r>
      <w:r w:rsidR="00513B3F" w:rsidRPr="002748F6">
        <w:t xml:space="preserve"> </w:t>
      </w:r>
      <w:r w:rsidRPr="002748F6">
        <w:t>pre-ACM response to the Delegate’s overview (DO) pertaining to our</w:t>
      </w:r>
      <w:r>
        <w:t xml:space="preserve"> </w:t>
      </w:r>
      <w:r w:rsidRPr="002748F6">
        <w:t>application to vary the indication of U</w:t>
      </w:r>
      <w:r w:rsidR="0084652C" w:rsidRPr="002748F6">
        <w:t>ltibro</w:t>
      </w:r>
      <w:r w:rsidRPr="002748F6">
        <w:t xml:space="preserve"> B</w:t>
      </w:r>
      <w:r w:rsidR="0084652C" w:rsidRPr="002748F6">
        <w:t>reezhaler</w:t>
      </w:r>
      <w:r w:rsidRPr="002748F6">
        <w:t xml:space="preserve"> </w:t>
      </w:r>
      <w:r>
        <w:t xml:space="preserve">(indacaterol/glycopyrronium) to </w:t>
      </w:r>
      <w:r w:rsidRPr="002748F6">
        <w:t>include a statement referring to the reduction of exacerbation</w:t>
      </w:r>
      <w:r>
        <w:t xml:space="preserve">s in patients with a history of </w:t>
      </w:r>
      <w:r w:rsidRPr="002748F6">
        <w:t xml:space="preserve">exacerbations. Ultibro contains </w:t>
      </w:r>
      <w:r w:rsidR="00513B3F">
        <w:t>i</w:t>
      </w:r>
      <w:r w:rsidRPr="002748F6">
        <w:t xml:space="preserve">ndacaterol, a long acting </w:t>
      </w:r>
      <w:r w:rsidR="0084652C">
        <w:t xml:space="preserve">β </w:t>
      </w:r>
      <w:r w:rsidRPr="002748F6">
        <w:t>agonist (LABA)</w:t>
      </w:r>
      <w:r>
        <w:t xml:space="preserve">, and </w:t>
      </w:r>
      <w:r w:rsidR="00513B3F">
        <w:t>glycopyrronium</w:t>
      </w:r>
      <w:r>
        <w:t xml:space="preserve">, an </w:t>
      </w:r>
      <w:r w:rsidRPr="002748F6">
        <w:t>anticholinergic long acting M1-5 muscarinic receptor antagonist (LAMA).</w:t>
      </w:r>
    </w:p>
    <w:p w14:paraId="0F224490" w14:textId="6EE49B2E" w:rsidR="002748F6" w:rsidRPr="002748F6" w:rsidRDefault="00513B3F" w:rsidP="002748F6">
      <w:r>
        <w:t>The sponsor</w:t>
      </w:r>
      <w:r w:rsidRPr="002748F6">
        <w:t xml:space="preserve"> </w:t>
      </w:r>
      <w:r w:rsidR="002748F6" w:rsidRPr="002748F6">
        <w:t>welcomes the Delegate</w:t>
      </w:r>
      <w:r>
        <w:t>’</w:t>
      </w:r>
      <w:r w:rsidR="002748F6" w:rsidRPr="002748F6">
        <w:t>s preliminary assessment to app</w:t>
      </w:r>
      <w:r w:rsidR="002748F6">
        <w:t xml:space="preserve">rove our application to include </w:t>
      </w:r>
      <w:r w:rsidR="002748F6" w:rsidRPr="002748F6">
        <w:t xml:space="preserve">prevention of exacerbations in the </w:t>
      </w:r>
      <w:r w:rsidR="0084652C">
        <w:t>Ultibro</w:t>
      </w:r>
      <w:r w:rsidR="002748F6" w:rsidRPr="002748F6">
        <w:t xml:space="preserve"> indication as well as to i</w:t>
      </w:r>
      <w:r w:rsidR="002748F6">
        <w:t xml:space="preserve">nclude the </w:t>
      </w:r>
      <w:r w:rsidR="002748F6">
        <w:lastRenderedPageBreak/>
        <w:t xml:space="preserve">exacerbation data in </w:t>
      </w:r>
      <w:r w:rsidR="002748F6" w:rsidRPr="002748F6">
        <w:t xml:space="preserve">the </w:t>
      </w:r>
      <w:r w:rsidR="008051BC">
        <w:t>‘</w:t>
      </w:r>
      <w:r w:rsidR="0084652C" w:rsidRPr="002748F6">
        <w:t>clinical trials</w:t>
      </w:r>
      <w:r w:rsidR="008051BC">
        <w:t>’</w:t>
      </w:r>
      <w:r w:rsidR="002748F6" w:rsidRPr="002748F6">
        <w:t xml:space="preserve"> section of the </w:t>
      </w:r>
      <w:r w:rsidR="0084652C">
        <w:t>PI</w:t>
      </w:r>
      <w:r w:rsidR="002748F6" w:rsidRPr="002748F6">
        <w:t xml:space="preserve">. </w:t>
      </w:r>
      <w:r w:rsidR="0084652C">
        <w:t>The sponsor respectfully took</w:t>
      </w:r>
      <w:r w:rsidR="002748F6">
        <w:t xml:space="preserve"> </w:t>
      </w:r>
      <w:r w:rsidR="002748F6" w:rsidRPr="002748F6">
        <w:t>the opportunity to comment on the specific advice sought by the Deleg</w:t>
      </w:r>
      <w:r w:rsidR="002748F6">
        <w:t>ate from the ACM</w:t>
      </w:r>
      <w:r w:rsidR="002748F6" w:rsidRPr="002748F6">
        <w:t>, to address the central questi</w:t>
      </w:r>
      <w:r w:rsidR="002748F6">
        <w:t xml:space="preserve">on raised by the Delegate as to </w:t>
      </w:r>
      <w:r w:rsidR="002748F6" w:rsidRPr="002748F6">
        <w:t xml:space="preserve">why we believe a change to the indication is warranted. </w:t>
      </w:r>
      <w:r w:rsidR="0084652C">
        <w:t>The sponsor also</w:t>
      </w:r>
      <w:r w:rsidR="002748F6">
        <w:t xml:space="preserve"> respond</w:t>
      </w:r>
      <w:r w:rsidR="0084652C">
        <w:t>ed</w:t>
      </w:r>
      <w:r w:rsidR="002748F6">
        <w:t xml:space="preserve"> to </w:t>
      </w:r>
      <w:r w:rsidR="002748F6" w:rsidRPr="002748F6">
        <w:t xml:space="preserve">the Delegate’s </w:t>
      </w:r>
      <w:r w:rsidR="008051BC">
        <w:t>‘</w:t>
      </w:r>
      <w:r w:rsidR="002748F6" w:rsidRPr="002748F6">
        <w:t xml:space="preserve">Questions for the </w:t>
      </w:r>
      <w:r w:rsidR="009837A5">
        <w:t>s</w:t>
      </w:r>
      <w:r w:rsidR="002748F6" w:rsidRPr="002748F6">
        <w:t>ponsor</w:t>
      </w:r>
      <w:r w:rsidR="008051BC">
        <w:t>’</w:t>
      </w:r>
      <w:r w:rsidR="002748F6" w:rsidRPr="002748F6">
        <w:t>. Where appr</w:t>
      </w:r>
      <w:r w:rsidR="002748F6">
        <w:t xml:space="preserve">opriate, our comments have been </w:t>
      </w:r>
      <w:r w:rsidR="002748F6" w:rsidRPr="002748F6">
        <w:t>cross</w:t>
      </w:r>
      <w:r w:rsidR="002748F6">
        <w:t xml:space="preserve"> referenced </w:t>
      </w:r>
      <w:r w:rsidR="002748F6" w:rsidRPr="002748F6">
        <w:t>to the original marketing authorisation application (MAA),</w:t>
      </w:r>
      <w:r w:rsidR="002748F6">
        <w:t xml:space="preserve"> the clinical </w:t>
      </w:r>
      <w:proofErr w:type="gramStart"/>
      <w:r w:rsidR="002748F6">
        <w:t>evaluation report</w:t>
      </w:r>
      <w:proofErr w:type="gramEnd"/>
      <w:r w:rsidR="002748F6">
        <w:t xml:space="preserve"> </w:t>
      </w:r>
      <w:r w:rsidR="002748F6" w:rsidRPr="002748F6">
        <w:t xml:space="preserve">(CER), </w:t>
      </w:r>
      <w:r>
        <w:t>the sponsor</w:t>
      </w:r>
      <w:r w:rsidRPr="002748F6">
        <w:t>’</w:t>
      </w:r>
      <w:r>
        <w:t>s</w:t>
      </w:r>
      <w:r w:rsidRPr="002748F6">
        <w:t xml:space="preserve"> </w:t>
      </w:r>
      <w:r w:rsidR="002748F6" w:rsidRPr="002748F6">
        <w:t xml:space="preserve">response to the CER dated 7 April 2017, or the </w:t>
      </w:r>
      <w:r>
        <w:t>Delegate’s overview</w:t>
      </w:r>
      <w:r w:rsidR="002748F6" w:rsidRPr="002748F6">
        <w:t>. P</w:t>
      </w:r>
      <w:r w:rsidR="002748F6">
        <w:t xml:space="preserve">lease note that in our response </w:t>
      </w:r>
      <w:r w:rsidR="002748F6" w:rsidRPr="002748F6">
        <w:t>below, the Delegate’s comments have been italicised for ease of reference.</w:t>
      </w:r>
    </w:p>
    <w:p w14:paraId="30AD0C46" w14:textId="61961088" w:rsidR="002748F6" w:rsidRPr="002748F6" w:rsidRDefault="00513B3F" w:rsidP="002748F6">
      <w:r>
        <w:t>The sponsor</w:t>
      </w:r>
      <w:r w:rsidRPr="002748F6">
        <w:t xml:space="preserve"> </w:t>
      </w:r>
      <w:r w:rsidR="002748F6" w:rsidRPr="002748F6">
        <w:t>brings to the attention of the Committee that an alternativ</w:t>
      </w:r>
      <w:r w:rsidR="002748F6">
        <w:t xml:space="preserve">e wording of the indication was </w:t>
      </w:r>
      <w:r w:rsidR="002748F6" w:rsidRPr="002748F6">
        <w:t xml:space="preserve">proposed with our response to the CER on 26 June 2017. The amended </w:t>
      </w:r>
      <w:r w:rsidR="002748F6">
        <w:t xml:space="preserve">proposed indication is as </w:t>
      </w:r>
      <w:r w:rsidR="002748F6" w:rsidRPr="002748F6">
        <w:t>shown</w:t>
      </w:r>
      <w:r w:rsidR="002748F6">
        <w:t xml:space="preserve"> </w:t>
      </w:r>
      <w:r w:rsidR="002748F6" w:rsidRPr="002748F6">
        <w:t xml:space="preserve">below (additions </w:t>
      </w:r>
      <w:r w:rsidR="0084652C">
        <w:t>in bold</w:t>
      </w:r>
      <w:r w:rsidR="002748F6" w:rsidRPr="002748F6">
        <w:t>, deletions struck though):</w:t>
      </w:r>
    </w:p>
    <w:p w14:paraId="79BCA99A" w14:textId="77777777" w:rsidR="002748F6" w:rsidRPr="002748F6" w:rsidRDefault="0084652C" w:rsidP="002748F6">
      <w:pPr>
        <w:ind w:left="720"/>
        <w:rPr>
          <w:i/>
        </w:rPr>
      </w:pPr>
      <w:r>
        <w:rPr>
          <w:i/>
        </w:rPr>
        <w:t>Ultibro Breezhaler</w:t>
      </w:r>
      <w:r w:rsidR="002748F6" w:rsidRPr="002748F6">
        <w:rPr>
          <w:i/>
        </w:rPr>
        <w:t xml:space="preserve">110/50 is indicated as a once-daily maintenance bronchodilator treatment to relieve symptoms </w:t>
      </w:r>
      <w:r w:rsidR="002748F6" w:rsidRPr="002748F6">
        <w:rPr>
          <w:i/>
          <w:strike/>
        </w:rPr>
        <w:t>and prevent exacerbations</w:t>
      </w:r>
      <w:r w:rsidR="002748F6" w:rsidRPr="002748F6">
        <w:rPr>
          <w:i/>
        </w:rPr>
        <w:t xml:space="preserve"> in patients with chronic obstructive pulmonary disease (COPD), </w:t>
      </w:r>
      <w:r w:rsidR="002748F6" w:rsidRPr="0084652C">
        <w:rPr>
          <w:b/>
          <w:i/>
        </w:rPr>
        <w:t>and for the reduction of exacerbations of COPD in patients with a history of exacerbations</w:t>
      </w:r>
      <w:r w:rsidR="002748F6" w:rsidRPr="002748F6">
        <w:rPr>
          <w:i/>
        </w:rPr>
        <w:t>.</w:t>
      </w:r>
    </w:p>
    <w:p w14:paraId="55C3606C" w14:textId="4178746D" w:rsidR="002748F6" w:rsidRPr="002748F6" w:rsidRDefault="002748F6" w:rsidP="002748F6">
      <w:r w:rsidRPr="002748F6">
        <w:t xml:space="preserve">Novartis believes this change is warranted and will help address key </w:t>
      </w:r>
      <w:r w:rsidR="0084652C">
        <w:t>concerns raised by the Delegate</w:t>
      </w:r>
      <w:r w:rsidRPr="002748F6">
        <w:t>:</w:t>
      </w:r>
    </w:p>
    <w:p w14:paraId="4356E33B" w14:textId="77777777" w:rsidR="002748F6" w:rsidRPr="002748F6" w:rsidRDefault="002748F6" w:rsidP="002748F6">
      <w:pPr>
        <w:pStyle w:val="ListBullet"/>
      </w:pPr>
      <w:r>
        <w:t>t</w:t>
      </w:r>
      <w:r w:rsidRPr="002748F6">
        <w:t>hat current prescribing patterns in Australia suggest over prescribing of ICS/LABA and under</w:t>
      </w:r>
      <w:r>
        <w:t xml:space="preserve"> </w:t>
      </w:r>
      <w:r w:rsidRPr="002748F6">
        <w:t>prescribing of LAMA/LABA which is not consistent with guidelines;</w:t>
      </w:r>
    </w:p>
    <w:p w14:paraId="775819A9" w14:textId="77777777" w:rsidR="002748F6" w:rsidRDefault="002748F6" w:rsidP="002748F6">
      <w:pPr>
        <w:pStyle w:val="ListBullet"/>
      </w:pPr>
      <w:r w:rsidRPr="002748F6">
        <w:t xml:space="preserve">concerns over the overuse of ICS/LABA in the </w:t>
      </w:r>
      <w:r>
        <w:t xml:space="preserve">community, while treatment with </w:t>
      </w:r>
      <w:r w:rsidRPr="002748F6">
        <w:t xml:space="preserve">LAMA/LABA is associated with less </w:t>
      </w:r>
      <w:r>
        <w:t>side effects than ICS/LABA, and</w:t>
      </w:r>
    </w:p>
    <w:p w14:paraId="09DD5053" w14:textId="77777777" w:rsidR="002748F6" w:rsidRPr="002748F6" w:rsidRDefault="002748F6" w:rsidP="002748F6">
      <w:pPr>
        <w:pStyle w:val="ListBullet"/>
      </w:pPr>
      <w:proofErr w:type="gramStart"/>
      <w:r w:rsidRPr="002748F6">
        <w:t>the</w:t>
      </w:r>
      <w:proofErr w:type="gramEnd"/>
      <w:r w:rsidRPr="002748F6">
        <w:t xml:space="preserve"> use of ICS to prevent exacerbations increases the risk of pneumonia.</w:t>
      </w:r>
    </w:p>
    <w:p w14:paraId="0A5F313C" w14:textId="77777777" w:rsidR="002748F6" w:rsidRDefault="002748F6" w:rsidP="002748F6">
      <w:r w:rsidRPr="002748F6">
        <w:t>In addition, the proposed indication aligns with the revised wording suggested by Health Canada as</w:t>
      </w:r>
      <w:r>
        <w:t xml:space="preserve"> </w:t>
      </w:r>
      <w:r w:rsidRPr="002748F6">
        <w:t>part o</w:t>
      </w:r>
      <w:r w:rsidR="0084652C">
        <w:t xml:space="preserve">f the ongoing regulatory review, </w:t>
      </w:r>
      <w:r>
        <w:t xml:space="preserve">and is consistent </w:t>
      </w:r>
      <w:r w:rsidRPr="002748F6">
        <w:t>with the study population enrolled in the pivotal clinical trial</w:t>
      </w:r>
      <w:r>
        <w:t xml:space="preserve"> which included patients with a </w:t>
      </w:r>
      <w:r w:rsidRPr="002748F6">
        <w:t>documented history of at least one COPD exacerbation requiring syste</w:t>
      </w:r>
      <w:r>
        <w:t xml:space="preserve">mic </w:t>
      </w:r>
      <w:proofErr w:type="spellStart"/>
      <w:r>
        <w:t>glucocorticosteroids</w:t>
      </w:r>
      <w:proofErr w:type="spellEnd"/>
      <w:r>
        <w:t xml:space="preserve"> and/or </w:t>
      </w:r>
      <w:r w:rsidRPr="002748F6">
        <w:t>antibio</w:t>
      </w:r>
      <w:r w:rsidR="0084652C">
        <w:t>tics in the previous 12 months.</w:t>
      </w:r>
    </w:p>
    <w:p w14:paraId="00F07D4D" w14:textId="77777777" w:rsidR="002748F6" w:rsidRPr="002748F6" w:rsidRDefault="002748F6" w:rsidP="002748F6">
      <w:pPr>
        <w:rPr>
          <w:b/>
          <w:i/>
        </w:rPr>
      </w:pPr>
      <w:r w:rsidRPr="002748F6">
        <w:rPr>
          <w:b/>
          <w:i/>
        </w:rPr>
        <w:t>A change to the indication is w</w:t>
      </w:r>
      <w:r w:rsidR="0084652C">
        <w:rPr>
          <w:b/>
          <w:i/>
        </w:rPr>
        <w:t>arranted</w:t>
      </w:r>
    </w:p>
    <w:p w14:paraId="2503B6C9" w14:textId="28060299" w:rsidR="002748F6" w:rsidRPr="002748F6" w:rsidRDefault="002748F6" w:rsidP="002748F6">
      <w:r w:rsidRPr="002748F6">
        <w:t>LABA/LAMA combinations in Australia are currently registered f</w:t>
      </w:r>
      <w:r>
        <w:t xml:space="preserve">or the symptomatic treatment of </w:t>
      </w:r>
      <w:r w:rsidRPr="002748F6">
        <w:t xml:space="preserve">COPD. Novartis maintains the firm view that a change to the indication to include </w:t>
      </w:r>
      <w:r>
        <w:t xml:space="preserve">reduction of COPD </w:t>
      </w:r>
      <w:r w:rsidRPr="002748F6">
        <w:t>exacerbations in patients with a history of exacerbations is warrant</w:t>
      </w:r>
      <w:r>
        <w:t xml:space="preserve">ed. Even though the current </w:t>
      </w:r>
      <w:r w:rsidRPr="002748F6">
        <w:t>indication does not prevent patients from accessing LAB</w:t>
      </w:r>
      <w:r>
        <w:t xml:space="preserve">A/LAMA combinations, Australian </w:t>
      </w:r>
      <w:r w:rsidRPr="002748F6">
        <w:t>respiratory physicians highlighted that risk of exacerbations is a legi</w:t>
      </w:r>
      <w:r>
        <w:t xml:space="preserve">timate and important target for </w:t>
      </w:r>
      <w:r w:rsidRPr="002748F6">
        <w:t>therapy, and this should therefore be reflected in the indication where dat</w:t>
      </w:r>
      <w:r>
        <w:t xml:space="preserve">a are available. Ultibro is the </w:t>
      </w:r>
      <w:r w:rsidRPr="002748F6">
        <w:t>only registered LABA/LAMA product with proven efficacy in</w:t>
      </w:r>
      <w:r>
        <w:t xml:space="preserve"> reducing exacerbation rates in </w:t>
      </w:r>
      <w:r w:rsidRPr="002748F6">
        <w:t>randomised controlled clinical trial. The proposed changes to the PI will better define the optima</w:t>
      </w:r>
      <w:r>
        <w:t xml:space="preserve">l </w:t>
      </w:r>
      <w:r w:rsidRPr="002748F6">
        <w:t>therapeutic application on the medicine and reinforce current treatment guidelines.</w:t>
      </w:r>
    </w:p>
    <w:p w14:paraId="1A87FF43" w14:textId="6979474D" w:rsidR="002748F6" w:rsidRPr="002748F6" w:rsidRDefault="002748F6" w:rsidP="002748F6">
      <w:r w:rsidRPr="002748F6">
        <w:t>Exacerbations are important events in the disease cycle and their effec</w:t>
      </w:r>
      <w:r>
        <w:t xml:space="preserve">t should not be underestimated. </w:t>
      </w:r>
      <w:r w:rsidRPr="002748F6">
        <w:t>It often leads to a poor quality of life and more rapid decline in lung</w:t>
      </w:r>
      <w:r>
        <w:t xml:space="preserve"> function compared to those who </w:t>
      </w:r>
      <w:r w:rsidRPr="002748F6">
        <w:t>do not have exacerbations. Our application is supported by the ev</w:t>
      </w:r>
      <w:r>
        <w:t xml:space="preserve">idence accumulated to date. The </w:t>
      </w:r>
      <w:r w:rsidRPr="002748F6">
        <w:t>proposal for an amended indication is primarily based on the totality an</w:t>
      </w:r>
      <w:r>
        <w:t xml:space="preserve">d consistency of the results of </w:t>
      </w:r>
      <w:r w:rsidRPr="002748F6">
        <w:t>the FLAME s</w:t>
      </w:r>
      <w:r w:rsidR="0084652C">
        <w:t xml:space="preserve">tudy, a large multinational, 52 </w:t>
      </w:r>
      <w:r w:rsidRPr="002748F6">
        <w:t>week, controlled, ran</w:t>
      </w:r>
      <w:r>
        <w:t xml:space="preserve">domised, dedicated exacerbation </w:t>
      </w:r>
      <w:r w:rsidRPr="002748F6">
        <w:t>study, enrolling 3,362 patients, which demonstrated statistically s</w:t>
      </w:r>
      <w:r>
        <w:t xml:space="preserve">ignificant superiority versus a </w:t>
      </w:r>
      <w:r w:rsidRPr="002748F6">
        <w:t>relevant active comparator commonly used in Australian clinical practice (salmet</w:t>
      </w:r>
      <w:r>
        <w:t xml:space="preserve">erol/fluticasone) to </w:t>
      </w:r>
      <w:r w:rsidRPr="002748F6">
        <w:t xml:space="preserve">reduce COPD exacerbations of all severity (mild, moderate and </w:t>
      </w:r>
      <w:r>
        <w:t xml:space="preserve">severe) by 11% in patients with </w:t>
      </w:r>
      <w:r w:rsidRPr="002748F6">
        <w:t>moderate to very severe COPD (primary endpoint). In current loca</w:t>
      </w:r>
      <w:r>
        <w:t xml:space="preserve">l clinical </w:t>
      </w:r>
      <w:r>
        <w:lastRenderedPageBreak/>
        <w:t xml:space="preserve">practice, it is well </w:t>
      </w:r>
      <w:r w:rsidRPr="002748F6">
        <w:t>established that exacerbation reduction is the most important effect o</w:t>
      </w:r>
      <w:r>
        <w:t xml:space="preserve">f inhaled corticosteroids (ICS) </w:t>
      </w:r>
      <w:r w:rsidRPr="002748F6">
        <w:t xml:space="preserve">combinations. A feature of this randomised, </w:t>
      </w:r>
      <w:r w:rsidR="00FE4E85">
        <w:t>double blind</w:t>
      </w:r>
      <w:r w:rsidRPr="002748F6">
        <w:t xml:space="preserve"> study w</w:t>
      </w:r>
      <w:r>
        <w:t xml:space="preserve">as that COPD exacerbations were </w:t>
      </w:r>
      <w:r w:rsidRPr="002748F6">
        <w:t>carefully monitored with daily symptom recordings and captured b</w:t>
      </w:r>
      <w:r>
        <w:t xml:space="preserve">y an electronic diary using the </w:t>
      </w:r>
      <w:r w:rsidRPr="002748F6">
        <w:t xml:space="preserve">commonly accepted and standardised </w:t>
      </w:r>
      <w:proofErr w:type="spellStart"/>
      <w:r w:rsidRPr="002748F6">
        <w:t>Anthonisen</w:t>
      </w:r>
      <w:proofErr w:type="spellEnd"/>
      <w:r w:rsidRPr="002748F6">
        <w:t xml:space="preserve"> definition</w:t>
      </w:r>
      <w:r w:rsidR="00513B3F">
        <w:t>;</w:t>
      </w:r>
      <w:r w:rsidR="00E50427" w:rsidRPr="00513B3F">
        <w:rPr>
          <w:rStyle w:val="FootnoteReference"/>
        </w:rPr>
        <w:footnoteReference w:id="18"/>
      </w:r>
      <w:r w:rsidR="00513B3F" w:rsidRPr="009837A5">
        <w:rPr>
          <w:vertAlign w:val="superscript"/>
        </w:rPr>
        <w:t>,</w:t>
      </w:r>
      <w:r w:rsidR="00E50427">
        <w:rPr>
          <w:rStyle w:val="FootnoteReference"/>
        </w:rPr>
        <w:footnoteReference w:id="19"/>
      </w:r>
      <w:r w:rsidRPr="002748F6">
        <w:t xml:space="preserve"> mak</w:t>
      </w:r>
      <w:r>
        <w:t xml:space="preserve">ing it possible to document all </w:t>
      </w:r>
      <w:r w:rsidRPr="002748F6">
        <w:t>exacerbations (mild, moderate and severe) including of note, mo</w:t>
      </w:r>
      <w:r>
        <w:t xml:space="preserve">derate and severe exacerbations </w:t>
      </w:r>
      <w:r w:rsidRPr="002748F6">
        <w:t>requiring healthcare utilisation (defined as those requiring oral st</w:t>
      </w:r>
      <w:r>
        <w:t xml:space="preserve">eroids, antibiotics or hospital </w:t>
      </w:r>
      <w:r w:rsidRPr="002748F6">
        <w:t>admission)</w:t>
      </w:r>
      <w:r w:rsidR="00513B3F">
        <w:t>;</w:t>
      </w:r>
      <w:r w:rsidR="00E50427">
        <w:rPr>
          <w:rStyle w:val="FootnoteReference"/>
        </w:rPr>
        <w:footnoteReference w:id="20"/>
      </w:r>
      <w:r w:rsidR="00195E33">
        <w:t xml:space="preserve"> </w:t>
      </w:r>
      <w:r w:rsidRPr="002748F6">
        <w:t>therefore allowing for robust data generated in support o</w:t>
      </w:r>
      <w:r>
        <w:t xml:space="preserve">f the current indication change </w:t>
      </w:r>
      <w:r w:rsidRPr="002748F6">
        <w:t>application.</w:t>
      </w:r>
    </w:p>
    <w:p w14:paraId="6E585BD5" w14:textId="6CB148BC" w:rsidR="002748F6" w:rsidRPr="002748F6" w:rsidRDefault="002748F6" w:rsidP="002748F6">
      <w:r w:rsidRPr="002748F6">
        <w:t>In addition to the FLAME study, the results of a previous ex</w:t>
      </w:r>
      <w:r>
        <w:t xml:space="preserve">acerbation study conducted with </w:t>
      </w:r>
      <w:r w:rsidR="0084652C">
        <w:t xml:space="preserve">Ultibro, </w:t>
      </w:r>
      <w:r w:rsidR="00513B3F">
        <w:t xml:space="preserve">the </w:t>
      </w:r>
      <w:r w:rsidR="0084652C">
        <w:t xml:space="preserve">SPARK </w:t>
      </w:r>
      <w:r w:rsidR="00513B3F">
        <w:t>s</w:t>
      </w:r>
      <w:r w:rsidRPr="002748F6">
        <w:t>tudy (</w:t>
      </w:r>
      <w:r w:rsidR="00513B3F">
        <w:t xml:space="preserve">Study </w:t>
      </w:r>
      <w:r w:rsidRPr="002748F6">
        <w:t>A2304; n</w:t>
      </w:r>
      <w:r w:rsidR="0084652C">
        <w:t xml:space="preserve"> </w:t>
      </w:r>
      <w:r w:rsidRPr="002748F6">
        <w:t>=</w:t>
      </w:r>
      <w:r w:rsidR="0084652C">
        <w:t xml:space="preserve"> </w:t>
      </w:r>
      <w:r w:rsidRPr="002748F6">
        <w:t>2</w:t>
      </w:r>
      <w:r w:rsidR="0084652C">
        <w:t>,</w:t>
      </w:r>
      <w:r w:rsidRPr="002748F6">
        <w:t xml:space="preserve">224), shows that </w:t>
      </w:r>
      <w:r w:rsidR="0084652C">
        <w:t>Ultibro</w:t>
      </w:r>
      <w:r>
        <w:t xml:space="preserve"> has an effect on reducing COPD </w:t>
      </w:r>
      <w:r w:rsidRPr="002748F6">
        <w:t>exacerbations in patients with moderate to severe COPD. In this 64</w:t>
      </w:r>
      <w:r w:rsidR="0084652C">
        <w:t xml:space="preserve"> </w:t>
      </w:r>
      <w:r>
        <w:t xml:space="preserve">week study the overall rate of </w:t>
      </w:r>
      <w:r w:rsidRPr="002748F6">
        <w:t>moderate to severe COPD exacerbations per year was 0.94 for the LABA/LAMA combinatio</w:t>
      </w:r>
      <w:r>
        <w:t xml:space="preserve">n and </w:t>
      </w:r>
      <w:r w:rsidRPr="002748F6">
        <w:t xml:space="preserve">1.07 for the LAMA </w:t>
      </w:r>
      <w:proofErr w:type="gramStart"/>
      <w:r w:rsidRPr="002748F6">
        <w:t>monotherapy</w:t>
      </w:r>
      <w:proofErr w:type="gramEnd"/>
      <w:r w:rsidRPr="002748F6">
        <w:t xml:space="preserve"> component. The 12% reductio</w:t>
      </w:r>
      <w:r>
        <w:t xml:space="preserve">n in the rate was statistically </w:t>
      </w:r>
      <w:r w:rsidRPr="002748F6">
        <w:t>significant and clinically meaningful. The absolute difference in the</w:t>
      </w:r>
      <w:r>
        <w:t xml:space="preserve"> rate of exacerbations per year </w:t>
      </w:r>
      <w:r w:rsidRPr="002748F6">
        <w:t xml:space="preserve">between the LABA/LAMA and LAMA </w:t>
      </w:r>
      <w:proofErr w:type="gramStart"/>
      <w:r w:rsidRPr="002748F6">
        <w:t>monotherapy</w:t>
      </w:r>
      <w:proofErr w:type="gramEnd"/>
      <w:r w:rsidRPr="002748F6">
        <w:t xml:space="preserve"> was 0.13. These d</w:t>
      </w:r>
      <w:r>
        <w:t xml:space="preserve">ata were presented in our </w:t>
      </w:r>
      <w:r w:rsidRPr="002748F6">
        <w:t>original MAA, however alone, were not deemed sufficient to suppo</w:t>
      </w:r>
      <w:r>
        <w:t xml:space="preserve">rt an exacerbation claim in the </w:t>
      </w:r>
      <w:r w:rsidRPr="002748F6">
        <w:t>indication.</w:t>
      </w:r>
    </w:p>
    <w:p w14:paraId="4EC7DC32" w14:textId="77777777" w:rsidR="002748F6" w:rsidRPr="0033095D" w:rsidRDefault="002748F6" w:rsidP="0033095D">
      <w:r w:rsidRPr="002748F6">
        <w:t>Importantly, the reduction rates for moderate or severe COPD exacerbations (regardless of disease</w:t>
      </w:r>
      <w:r>
        <w:t xml:space="preserve"> </w:t>
      </w:r>
      <w:r w:rsidRPr="002748F6">
        <w:t xml:space="preserve">severity) observed in FLAME were similar to that observed </w:t>
      </w:r>
      <w:r w:rsidR="0084652C">
        <w:t>and reported in the literature.</w:t>
      </w:r>
    </w:p>
    <w:p w14:paraId="64575C47" w14:textId="77777777" w:rsidR="002748F6" w:rsidRPr="0033095D" w:rsidRDefault="0033095D" w:rsidP="0033095D">
      <w:pPr>
        <w:pStyle w:val="TableTitle"/>
      </w:pPr>
      <w:r w:rsidRPr="0033095D">
        <w:t>Table 1</w:t>
      </w:r>
      <w:r w:rsidR="00B57093">
        <w:t>1:</w:t>
      </w:r>
      <w:r w:rsidRPr="0033095D">
        <w:t xml:space="preserve"> Comparison of moderate to severe COPD exacerbation rate reductions amongst</w:t>
      </w:r>
      <w:r>
        <w:t xml:space="preserve"> </w:t>
      </w:r>
      <w:r w:rsidRPr="0033095D">
        <w:t>products registered in Australia fo</w:t>
      </w:r>
      <w:r w:rsidR="0084652C">
        <w:t>r the treatment of exacerbation</w:t>
      </w:r>
    </w:p>
    <w:p w14:paraId="067C0223" w14:textId="77777777" w:rsidR="002748F6" w:rsidRDefault="0033095D" w:rsidP="002748F6">
      <w:r>
        <w:rPr>
          <w:noProof/>
          <w:lang w:eastAsia="en-AU"/>
        </w:rPr>
        <w:drawing>
          <wp:inline distT="0" distB="0" distL="0" distR="0" wp14:anchorId="4726E0D0" wp14:editId="398B6CD2">
            <wp:extent cx="5400040" cy="3265409"/>
            <wp:effectExtent l="0" t="0" r="0" b="0"/>
            <wp:docPr id="4" name="Picture 4" descr="Table 11: Comparison of moderate to severe COPD exacerbation rate reductions amongst products registered in Australia for the treatment of exacerb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265409"/>
                    </a:xfrm>
                    <a:prstGeom prst="rect">
                      <a:avLst/>
                    </a:prstGeom>
                  </pic:spPr>
                </pic:pic>
              </a:graphicData>
            </a:graphic>
          </wp:inline>
        </w:drawing>
      </w:r>
    </w:p>
    <w:p w14:paraId="5E6AB33B" w14:textId="4721BED8" w:rsidR="00E50427" w:rsidRDefault="00513B3F" w:rsidP="002748F6">
      <w:r>
        <w:lastRenderedPageBreak/>
        <w:t xml:space="preserve">For the following studies, see the relevant footnotes: </w:t>
      </w:r>
      <w:r w:rsidR="00E50427">
        <w:t>FLAME</w:t>
      </w:r>
      <w:r w:rsidR="00E50427" w:rsidRPr="00E50427">
        <w:rPr>
          <w:vertAlign w:val="superscript"/>
        </w:rPr>
        <w:t>4</w:t>
      </w:r>
      <w:r w:rsidR="00E50427">
        <w:rPr>
          <w:vertAlign w:val="superscript"/>
        </w:rPr>
        <w:t xml:space="preserve"> </w:t>
      </w:r>
      <w:r w:rsidR="00E50427" w:rsidRPr="00E50427">
        <w:t>see</w:t>
      </w:r>
      <w:r w:rsidR="00E50427">
        <w:rPr>
          <w:rStyle w:val="FootnoteReference"/>
        </w:rPr>
        <w:footnoteReference w:id="21"/>
      </w:r>
      <w:r w:rsidR="00E50427">
        <w:t>; SPARK5 see</w:t>
      </w:r>
      <w:r w:rsidR="00E50427">
        <w:rPr>
          <w:rStyle w:val="FootnoteReference"/>
        </w:rPr>
        <w:footnoteReference w:id="22"/>
      </w:r>
      <w:r w:rsidR="00E50427">
        <w:t>; POET6 see</w:t>
      </w:r>
      <w:r w:rsidR="00E50427">
        <w:rPr>
          <w:rStyle w:val="FootnoteReference"/>
        </w:rPr>
        <w:footnoteReference w:id="23"/>
      </w:r>
      <w:r w:rsidR="00E50427">
        <w:t>; UPLIFT7 see</w:t>
      </w:r>
      <w:r w:rsidR="00E50427">
        <w:rPr>
          <w:rStyle w:val="FootnoteReference"/>
        </w:rPr>
        <w:footnoteReference w:id="24"/>
      </w:r>
      <w:r w:rsidR="00E50427">
        <w:t>; TORCH8 see</w:t>
      </w:r>
      <w:r w:rsidR="00E50427">
        <w:rPr>
          <w:rStyle w:val="FootnoteReference"/>
        </w:rPr>
        <w:footnoteReference w:id="25"/>
      </w:r>
    </w:p>
    <w:p w14:paraId="3E6AD951" w14:textId="5E344C2E" w:rsidR="0033095D" w:rsidRPr="0033095D" w:rsidRDefault="0033095D" w:rsidP="0033095D">
      <w:r w:rsidRPr="0033095D">
        <w:t xml:space="preserve">On the basis of the FLAME and SPARK studies, </w:t>
      </w:r>
      <w:r w:rsidR="0064122F">
        <w:t>the</w:t>
      </w:r>
      <w:r w:rsidR="0064122F" w:rsidRPr="0033095D">
        <w:t xml:space="preserve"> </w:t>
      </w:r>
      <w:r w:rsidRPr="0033095D">
        <w:t xml:space="preserve">Canada </w:t>
      </w:r>
      <w:r w:rsidR="0064122F">
        <w:t>label was approved with</w:t>
      </w:r>
      <w:r w:rsidRPr="0033095D">
        <w:t xml:space="preserve"> the following (additions </w:t>
      </w:r>
      <w:r>
        <w:t>in bold</w:t>
      </w:r>
      <w:r w:rsidRPr="0033095D">
        <w:t>):</w:t>
      </w:r>
    </w:p>
    <w:p w14:paraId="241FCE12" w14:textId="77777777" w:rsidR="0033095D" w:rsidRPr="0033095D" w:rsidRDefault="0084652C" w:rsidP="0033095D">
      <w:pPr>
        <w:ind w:left="720"/>
        <w:rPr>
          <w:i/>
        </w:rPr>
      </w:pPr>
      <w:r>
        <w:rPr>
          <w:i/>
        </w:rPr>
        <w:t>Ultibro Breezhaler</w:t>
      </w:r>
      <w:r w:rsidR="0033095D" w:rsidRPr="0033095D">
        <w:rPr>
          <w:i/>
        </w:rPr>
        <w:t>(indacaterol maleate and glycopyrronium bromide) is a combination of a long-acting beta2-agonist (LABA) and a long-acting muscarinic antagonist (LAMA), indicated for the long-term once-daily maintenance bronchodilator treatment of airflow obstruction in patients with chronic obstructive pulmonary disease (COPD), including chronic bronchitis and emphysema</w:t>
      </w:r>
      <w:r w:rsidR="0033095D" w:rsidRPr="0033095D">
        <w:rPr>
          <w:b/>
          <w:i/>
        </w:rPr>
        <w:t>, and for the reduction of exacerbations of COPD in patients with a history of exacerbations.</w:t>
      </w:r>
    </w:p>
    <w:p w14:paraId="7331539D" w14:textId="77777777" w:rsidR="0033095D" w:rsidRPr="0033095D" w:rsidRDefault="0033095D" w:rsidP="0033095D">
      <w:r w:rsidRPr="0033095D">
        <w:t>The clinical evaluator ac</w:t>
      </w:r>
      <w:r w:rsidR="0084652C">
        <w:t>knowledged that FLAME is a well-</w:t>
      </w:r>
      <w:r w:rsidR="0084652C" w:rsidRPr="0033095D">
        <w:t>designe</w:t>
      </w:r>
      <w:r w:rsidR="0084652C">
        <w:t>d</w:t>
      </w:r>
      <w:r>
        <w:t xml:space="preserve"> study which showed consistent </w:t>
      </w:r>
      <w:r w:rsidRPr="0033095D">
        <w:t>superiority on all exacerbation outcomes, thereby validating the robust</w:t>
      </w:r>
      <w:r>
        <w:t xml:space="preserve">ness of the findings to support </w:t>
      </w:r>
      <w:r w:rsidRPr="0033095D">
        <w:t>the indication change. Even though the evaluator di</w:t>
      </w:r>
      <w:r>
        <w:t xml:space="preserve">d not consider the magnitude of </w:t>
      </w:r>
      <w:r w:rsidRPr="0033095D">
        <w:t>exacerbation reduction was significant enough to warrant a new indication, they felt it could be</w:t>
      </w:r>
      <w:r>
        <w:t xml:space="preserve"> </w:t>
      </w:r>
      <w:r w:rsidRPr="0033095D">
        <w:t xml:space="preserve">included in </w:t>
      </w:r>
      <w:r w:rsidR="0084652C" w:rsidRPr="0033095D">
        <w:t xml:space="preserve">the clinical trial </w:t>
      </w:r>
      <w:r w:rsidRPr="0033095D">
        <w:t>section of the PI. Novartis disagrees with the clinical evaluator’s</w:t>
      </w:r>
      <w:r>
        <w:t xml:space="preserve"> </w:t>
      </w:r>
      <w:r w:rsidRPr="0033095D">
        <w:t>assessment which is at odds with the Delegate’s recommendation to approve an amended indication</w:t>
      </w:r>
      <w:r>
        <w:t xml:space="preserve"> </w:t>
      </w:r>
      <w:r w:rsidRPr="0033095D">
        <w:t>that better defines the target population that b</w:t>
      </w:r>
      <w:r w:rsidR="00E50427">
        <w:t>enefits in the clinical trials</w:t>
      </w:r>
      <w:r w:rsidRPr="0033095D">
        <w:t xml:space="preserve">. Including </w:t>
      </w:r>
      <w:r w:rsidR="008051BC">
        <w:t>‘</w:t>
      </w:r>
      <w:r w:rsidRPr="0033095D">
        <w:t>reduction of exacerbations</w:t>
      </w:r>
      <w:r w:rsidR="008051BC">
        <w:t>’</w:t>
      </w:r>
      <w:r w:rsidRPr="0033095D">
        <w:t xml:space="preserve"> to the indication is consistent with the approved indication salmeterol/fluticasone, a widely recognised standard of care for the reduction of exacerbations, which is indicated in patients with a history of repeated exacerbations who have significant symptoms despite regular </w:t>
      </w:r>
      <w:r w:rsidR="0084652C">
        <w:t>β</w:t>
      </w:r>
      <w:r w:rsidRPr="0033095D">
        <w:t>2 agonist bronchodilator therapy. The demonstrated</w:t>
      </w:r>
      <w:r>
        <w:t xml:space="preserve"> </w:t>
      </w:r>
      <w:r w:rsidRPr="0033095D">
        <w:t xml:space="preserve">superiority of </w:t>
      </w:r>
      <w:r w:rsidR="0084652C">
        <w:t>Ultibro</w:t>
      </w:r>
      <w:r w:rsidRPr="0033095D">
        <w:t xml:space="preserve"> over salmeterol/fluticasone is further justificat</w:t>
      </w:r>
      <w:r>
        <w:t xml:space="preserve">ion that the therapeutic effect </w:t>
      </w:r>
      <w:r w:rsidRPr="0033095D">
        <w:t>is clinically significant. An amendment to the indication would reinforce prescribing of LA</w:t>
      </w:r>
      <w:r>
        <w:t xml:space="preserve">MA/LABA </w:t>
      </w:r>
      <w:r w:rsidRPr="0033095D">
        <w:t>over ICS/LABA to prevent exacerbations in accord with current treatment guidelines.</w:t>
      </w:r>
    </w:p>
    <w:p w14:paraId="4661AE63" w14:textId="5763BCFC" w:rsidR="0033095D" w:rsidRPr="0033095D" w:rsidRDefault="0033095D" w:rsidP="0033095D">
      <w:r w:rsidRPr="0033095D">
        <w:t xml:space="preserve">In FLAME, </w:t>
      </w:r>
      <w:r w:rsidR="0084652C">
        <w:t>Ultibro</w:t>
      </w:r>
      <w:r w:rsidRPr="0033095D">
        <w:t xml:space="preserve"> reduced the rate of all exacerbations by 11%</w:t>
      </w:r>
      <w:r>
        <w:t xml:space="preserve"> against the active comparator, </w:t>
      </w:r>
      <w:r w:rsidRPr="0033095D">
        <w:t>salmeterol/fluticasone, one of the most commonly prescribed drugs in A</w:t>
      </w:r>
      <w:r>
        <w:t xml:space="preserve">ustralia for COPD patients </w:t>
      </w:r>
      <w:r w:rsidRPr="0033095D">
        <w:t xml:space="preserve">who are at risk of repeated exacerbations. It is important to note that </w:t>
      </w:r>
      <w:r>
        <w:t xml:space="preserve">in </w:t>
      </w:r>
      <w:r w:rsidR="00513B3F">
        <w:t xml:space="preserve">the </w:t>
      </w:r>
      <w:r>
        <w:t>TORCH</w:t>
      </w:r>
      <w:r w:rsidR="00513B3F">
        <w:t xml:space="preserve"> study</w:t>
      </w:r>
      <w:r>
        <w:t xml:space="preserve"> (considered a landmark </w:t>
      </w:r>
      <w:r w:rsidRPr="0033095D">
        <w:t>trial)</w:t>
      </w:r>
      <w:proofErr w:type="gramStart"/>
      <w:r w:rsidRPr="0033095D">
        <w:t>,</w:t>
      </w:r>
      <w:proofErr w:type="gramEnd"/>
      <w:r w:rsidRPr="0033095D">
        <w:t xml:space="preserve"> efficacy for salmeterol/fluticasone was compared against p</w:t>
      </w:r>
      <w:r>
        <w:t xml:space="preserve">lacebo. When compared to FLAME, </w:t>
      </w:r>
      <w:r w:rsidRPr="0033095D">
        <w:t>Ultibro clearly sets a new clinical benchmark as it demonstrated what</w:t>
      </w:r>
      <w:r>
        <w:t xml:space="preserve"> would be a 25% annualised rate </w:t>
      </w:r>
      <w:r w:rsidRPr="0033095D">
        <w:t>of exacerbation reduction if compared to placebo. Symptoms and exace</w:t>
      </w:r>
      <w:r>
        <w:t xml:space="preserve">rbations are major factors that </w:t>
      </w:r>
      <w:r w:rsidRPr="0033095D">
        <w:t>drive treatment decisions and current guidelines recognise the step by</w:t>
      </w:r>
      <w:r>
        <w:t xml:space="preserve"> step pharmacotherapy approach. </w:t>
      </w:r>
      <w:r w:rsidRPr="0033095D">
        <w:t>It should be noted that there is no minimal clinically important diff</w:t>
      </w:r>
      <w:r>
        <w:t xml:space="preserve">erence in terms of reduction of </w:t>
      </w:r>
      <w:r w:rsidRPr="0033095D">
        <w:t xml:space="preserve">COPD exacerbations defined in regulatory guidelines to support an indication of </w:t>
      </w:r>
      <w:r w:rsidR="008051BC">
        <w:t>‘</w:t>
      </w:r>
      <w:r>
        <w:t xml:space="preserve">reduction of </w:t>
      </w:r>
      <w:r w:rsidRPr="0033095D">
        <w:t>exacerbations</w:t>
      </w:r>
      <w:r w:rsidR="008051BC">
        <w:t>’</w:t>
      </w:r>
      <w:r w:rsidRPr="0033095D">
        <w:t xml:space="preserve">. However, a 17% incremental benefit with </w:t>
      </w:r>
      <w:r w:rsidR="0084652C">
        <w:t>Ultibro</w:t>
      </w:r>
      <w:r w:rsidRPr="0033095D">
        <w:t xml:space="preserve"> o</w:t>
      </w:r>
      <w:r>
        <w:t xml:space="preserve">n top of salmeterol/fluticasone </w:t>
      </w:r>
      <w:r w:rsidRPr="0033095D">
        <w:t xml:space="preserve">and 12% improvement with </w:t>
      </w:r>
      <w:r w:rsidR="0084652C">
        <w:t>Ultibro</w:t>
      </w:r>
      <w:r w:rsidRPr="0033095D">
        <w:t xml:space="preserve"> compared to glycopyrronium </w:t>
      </w:r>
      <w:r>
        <w:t>(</w:t>
      </w:r>
      <w:r w:rsidR="00513B3F">
        <w:t xml:space="preserve">the </w:t>
      </w:r>
      <w:r>
        <w:t>SPARK</w:t>
      </w:r>
      <w:r w:rsidR="00513B3F">
        <w:t xml:space="preserve"> study</w:t>
      </w:r>
      <w:r>
        <w:t xml:space="preserve">) in the rate of moderate </w:t>
      </w:r>
      <w:r w:rsidRPr="0033095D">
        <w:t xml:space="preserve">or severe COPD exacerbations </w:t>
      </w:r>
      <w:proofErr w:type="gramStart"/>
      <w:r w:rsidRPr="0033095D">
        <w:t>is</w:t>
      </w:r>
      <w:proofErr w:type="gramEnd"/>
      <w:r w:rsidRPr="0033095D">
        <w:t xml:space="preserve"> remarkable and clinically meaningful.</w:t>
      </w:r>
    </w:p>
    <w:p w14:paraId="2C6BEBA6" w14:textId="0617A7E9" w:rsidR="0033095D" w:rsidRPr="0033095D" w:rsidRDefault="0033095D" w:rsidP="0033095D">
      <w:r w:rsidRPr="0033095D">
        <w:lastRenderedPageBreak/>
        <w:t>Moreover, the 22% risk reduction of a moderate or severe COPD e</w:t>
      </w:r>
      <w:r>
        <w:t xml:space="preserve">xacerbation with </w:t>
      </w:r>
      <w:r w:rsidR="0084652C">
        <w:t>Ultibro</w:t>
      </w:r>
      <w:r>
        <w:t xml:space="preserve"> on top </w:t>
      </w:r>
      <w:r w:rsidRPr="0033095D">
        <w:t>of salmeterol/fluticasone (FLAME) is clinically significant. This ris</w:t>
      </w:r>
      <w:r>
        <w:t xml:space="preserve">k reduction is larger than that </w:t>
      </w:r>
      <w:r w:rsidRPr="0033095D">
        <w:t xml:space="preserve">observed in </w:t>
      </w:r>
      <w:r w:rsidR="00513B3F">
        <w:t xml:space="preserve">the </w:t>
      </w:r>
      <w:r w:rsidRPr="0033095D">
        <w:t>POET and UPLIFT</w:t>
      </w:r>
      <w:r w:rsidR="00513B3F">
        <w:t xml:space="preserve"> studies</w:t>
      </w:r>
      <w:r w:rsidRPr="0033095D">
        <w:t>, which only compared a monotherapy to anoth</w:t>
      </w:r>
      <w:r>
        <w:t xml:space="preserve">er monotherapy or to </w:t>
      </w:r>
      <w:r w:rsidRPr="0033095D">
        <w:t>placebo. None of these studies compared a dual bronchodilator co</w:t>
      </w:r>
      <w:r>
        <w:t xml:space="preserve">mbination therapy to an </w:t>
      </w:r>
      <w:r w:rsidR="0084652C">
        <w:t>ICS</w:t>
      </w:r>
      <w:r w:rsidRPr="0033095D">
        <w:t>/LABA combination therapy, as in the FLAM</w:t>
      </w:r>
      <w:r>
        <w:t xml:space="preserve">E study. Thus in context of the </w:t>
      </w:r>
      <w:r w:rsidRPr="0033095D">
        <w:t>relevance of the effect size, the results from FLAME, a study designe</w:t>
      </w:r>
      <w:r>
        <w:t xml:space="preserve">d to challenge the current COPD </w:t>
      </w:r>
      <w:r w:rsidRPr="0033095D">
        <w:t>treatment algorithm, have wider implications to the treatment of COPD exacerbations.</w:t>
      </w:r>
    </w:p>
    <w:p w14:paraId="433C176C" w14:textId="77777777" w:rsidR="002748F6" w:rsidRPr="0033095D" w:rsidRDefault="0033095D" w:rsidP="0033095D">
      <w:pPr>
        <w:pStyle w:val="TableTitle"/>
      </w:pPr>
      <w:r w:rsidRPr="0033095D">
        <w:t xml:space="preserve">Table </w:t>
      </w:r>
      <w:r w:rsidR="00B57093">
        <w:t>1</w:t>
      </w:r>
      <w:r w:rsidRPr="0033095D">
        <w:t>2</w:t>
      </w:r>
      <w:r w:rsidR="00B57093">
        <w:t>:</w:t>
      </w:r>
      <w:r w:rsidRPr="0033095D">
        <w:t xml:space="preserve"> Comparison of exacerbation risk reduction for products approved in Australia</w:t>
      </w:r>
      <w:r>
        <w:t xml:space="preserve"> </w:t>
      </w:r>
      <w:r w:rsidRPr="0033095D">
        <w:t>for the prevention of COPD exacerbations</w:t>
      </w:r>
    </w:p>
    <w:p w14:paraId="735B5516" w14:textId="77777777" w:rsidR="002748F6" w:rsidRDefault="0033095D" w:rsidP="002748F6">
      <w:r>
        <w:rPr>
          <w:noProof/>
          <w:lang w:eastAsia="en-AU"/>
        </w:rPr>
        <w:drawing>
          <wp:inline distT="0" distB="0" distL="0" distR="0" wp14:anchorId="34DA854A" wp14:editId="3E3828EC">
            <wp:extent cx="5400040" cy="1763667"/>
            <wp:effectExtent l="0" t="0" r="0" b="8255"/>
            <wp:docPr id="5" name="Picture 5" descr="Table 12: Comparison of exacerbation risk reduction for products approved in Australia for the prevention of COPD exacerb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1763667"/>
                    </a:xfrm>
                    <a:prstGeom prst="rect">
                      <a:avLst/>
                    </a:prstGeom>
                  </pic:spPr>
                </pic:pic>
              </a:graphicData>
            </a:graphic>
          </wp:inline>
        </w:drawing>
      </w:r>
    </w:p>
    <w:p w14:paraId="11DC1871" w14:textId="77777777" w:rsidR="002748F6" w:rsidRPr="0033095D" w:rsidRDefault="0033095D" w:rsidP="0033095D">
      <w:r w:rsidRPr="0033095D">
        <w:t>In addition and importantly, the number needed to treat (NNT) in the FLAME study was in favour of</w:t>
      </w:r>
      <w:r>
        <w:t xml:space="preserve"> </w:t>
      </w:r>
      <w:r w:rsidR="0084652C">
        <w:t>Ultibro</w:t>
      </w:r>
      <w:r w:rsidRPr="0033095D">
        <w:t>. It is quite common for clinicians to examine the NNT as</w:t>
      </w:r>
      <w:r>
        <w:t xml:space="preserve"> an expression of what effect a </w:t>
      </w:r>
      <w:r w:rsidRPr="0033095D">
        <w:t>drug may have. NNT is a direct measure of effectiveness of an intervent</w:t>
      </w:r>
      <w:r>
        <w:t xml:space="preserve">ion which is treatment specific </w:t>
      </w:r>
      <w:r w:rsidRPr="0033095D">
        <w:t xml:space="preserve">and describes the differences between a treatment and a control </w:t>
      </w:r>
      <w:r>
        <w:t xml:space="preserve">group in achieving a particular </w:t>
      </w:r>
      <w:r w:rsidRPr="0033095D">
        <w:t>outcome. It can be used to describe any outcome where event rates are a</w:t>
      </w:r>
      <w:r>
        <w:t xml:space="preserve">vailable for both treatment and </w:t>
      </w:r>
      <w:r w:rsidRPr="0033095D">
        <w:t xml:space="preserve">control. For </w:t>
      </w:r>
      <w:r w:rsidR="0084652C">
        <w:t>Ultibro</w:t>
      </w:r>
      <w:r w:rsidRPr="0033095D">
        <w:t xml:space="preserve"> </w:t>
      </w:r>
      <w:r w:rsidR="00B57093">
        <w:t>versus</w:t>
      </w:r>
      <w:r w:rsidRPr="0033095D">
        <w:t xml:space="preserve"> salmeterol/fluticasone, the NNT was 22.7 for</w:t>
      </w:r>
      <w:r>
        <w:t xml:space="preserve"> all exacerbations and 14.9 for </w:t>
      </w:r>
      <w:r w:rsidRPr="0033095D">
        <w:t xml:space="preserve">moderate or severe exacerbations, calculated from the Week 52 </w:t>
      </w:r>
      <w:r>
        <w:t>Kaplan-Meier event rates</w:t>
      </w:r>
      <w:r w:rsidRPr="0033095D">
        <w:t>. This means that 15 patients would req</w:t>
      </w:r>
      <w:r>
        <w:t xml:space="preserve">uire treatment with </w:t>
      </w:r>
      <w:r w:rsidR="0084652C">
        <w:t>Ultibro</w:t>
      </w:r>
      <w:r>
        <w:t xml:space="preserve"> </w:t>
      </w:r>
      <w:r w:rsidRPr="0033095D">
        <w:t xml:space="preserve">for 52 weeks, </w:t>
      </w:r>
      <w:r w:rsidR="00B57093">
        <w:t>versus</w:t>
      </w:r>
      <w:r w:rsidRPr="0033095D">
        <w:t xml:space="preserve"> salmeterol/fluticasone, to prevent 1 patient fro</w:t>
      </w:r>
      <w:r>
        <w:t xml:space="preserve">m having any </w:t>
      </w:r>
      <w:r w:rsidRPr="0033095D">
        <w:t xml:space="preserve">moderate or severe exacerbation. Thus, </w:t>
      </w:r>
      <w:r w:rsidR="0084652C">
        <w:t>Ultibro</w:t>
      </w:r>
      <w:r w:rsidRPr="0033095D">
        <w:t xml:space="preserve"> can provide additional clinically meaningful benefits to exacerbating COPD patients over standard of care.</w:t>
      </w:r>
    </w:p>
    <w:p w14:paraId="43A26CCF" w14:textId="175B7933" w:rsidR="0033095D" w:rsidRPr="0033095D" w:rsidRDefault="0033095D" w:rsidP="0033095D">
      <w:r w:rsidRPr="0033095D">
        <w:t>These remarkable findings support the revised COPD guidelines (</w:t>
      </w:r>
      <w:r w:rsidR="00B57093">
        <w:t>that is COPD-X</w:t>
      </w:r>
      <w:r>
        <w:t xml:space="preserve"> and GOLD) which now </w:t>
      </w:r>
      <w:r w:rsidRPr="0033095D">
        <w:t>advocate for the early use of LABA/LAMA in clinical practice. In Aus</w:t>
      </w:r>
      <w:r>
        <w:t xml:space="preserve">tralia, it is strongly believed </w:t>
      </w:r>
      <w:r w:rsidRPr="0033095D">
        <w:t xml:space="preserve">that a specific indication statement highlighting the reduction of </w:t>
      </w:r>
      <w:r>
        <w:t xml:space="preserve">COPD exacerbations with </w:t>
      </w:r>
      <w:r w:rsidR="0084652C">
        <w:t>Ultibro</w:t>
      </w:r>
      <w:r>
        <w:t xml:space="preserve"> </w:t>
      </w:r>
      <w:r w:rsidRPr="0033095D">
        <w:t>is warranted to help shift the treatment paradigm in Australia towa</w:t>
      </w:r>
      <w:r>
        <w:t>rds curr</w:t>
      </w:r>
      <w:r w:rsidR="00B57093">
        <w:t xml:space="preserve">ent evidence </w:t>
      </w:r>
      <w:r>
        <w:t xml:space="preserve">based COPD </w:t>
      </w:r>
      <w:r w:rsidRPr="0033095D">
        <w:t>guidelines. The latest GOLD strategy recognises clinical events, suc</w:t>
      </w:r>
      <w:r>
        <w:t xml:space="preserve">h as exacerbations, when making </w:t>
      </w:r>
      <w:r w:rsidRPr="0033095D">
        <w:t>decisions on initial therapy and recommends LABA/LAMA as the</w:t>
      </w:r>
      <w:r>
        <w:t xml:space="preserve"> preferred treatment option for </w:t>
      </w:r>
      <w:r w:rsidRPr="0033095D">
        <w:t xml:space="preserve">patients with persistent exacerbations. </w:t>
      </w:r>
      <w:r w:rsidR="00B57093">
        <w:t xml:space="preserve">It also recognises that ICS </w:t>
      </w:r>
      <w:r w:rsidRPr="0033095D">
        <w:t>contain</w:t>
      </w:r>
      <w:r>
        <w:t xml:space="preserve">ing therapies increase the risk </w:t>
      </w:r>
      <w:r w:rsidRPr="0033095D">
        <w:t>of developing pneumonia and adrenal insufficiency in some patients,</w:t>
      </w:r>
      <w:r>
        <w:t xml:space="preserve"> as well as other systemic side </w:t>
      </w:r>
      <w:r w:rsidRPr="0033095D">
        <w:t>effects</w:t>
      </w:r>
      <w:r w:rsidR="00B93AB6">
        <w:t>.</w:t>
      </w:r>
      <w:r w:rsidR="00B93AB6">
        <w:rPr>
          <w:rStyle w:val="FootnoteReference"/>
        </w:rPr>
        <w:footnoteReference w:id="26"/>
      </w:r>
      <w:r w:rsidRPr="0033095D">
        <w:t xml:space="preserve"> In patients with</w:t>
      </w:r>
      <w:r w:rsidR="00B93AB6">
        <w:t xml:space="preserve"> COPD and comorbid </w:t>
      </w:r>
      <w:r w:rsidR="00320735">
        <w:t>t</w:t>
      </w:r>
      <w:r w:rsidRPr="0033095D">
        <w:t xml:space="preserve">ype </w:t>
      </w:r>
      <w:proofErr w:type="gramStart"/>
      <w:r w:rsidRPr="0033095D">
        <w:t>2 diabetes,</w:t>
      </w:r>
      <w:proofErr w:type="gramEnd"/>
      <w:r w:rsidRPr="0033095D">
        <w:t xml:space="preserve"> ICS t</w:t>
      </w:r>
      <w:r>
        <w:t xml:space="preserve">herapy has a negative impact on </w:t>
      </w:r>
      <w:r w:rsidRPr="0033095D">
        <w:t>diabetes control</w:t>
      </w:r>
      <w:r w:rsidR="00B93AB6">
        <w:t>.</w:t>
      </w:r>
      <w:r w:rsidR="00B93AB6">
        <w:rPr>
          <w:rStyle w:val="FootnoteReference"/>
        </w:rPr>
        <w:footnoteReference w:id="27"/>
      </w:r>
      <w:r w:rsidRPr="0033095D">
        <w:t xml:space="preserve"> Furthermore, patients prescribed higher cumulative do</w:t>
      </w:r>
      <w:r>
        <w:t xml:space="preserve">ses of ICS are at greater risks </w:t>
      </w:r>
      <w:r w:rsidRPr="0033095D">
        <w:t>of diabetes progression. Another im</w:t>
      </w:r>
      <w:r w:rsidR="00B57093">
        <w:t>portant increased systemic risk</w:t>
      </w:r>
      <w:r w:rsidRPr="0033095D">
        <w:t xml:space="preserve"> </w:t>
      </w:r>
      <w:r w:rsidR="0075773E">
        <w:t xml:space="preserve">includes osteoporosis fracture. </w:t>
      </w:r>
      <w:r w:rsidRPr="0033095D">
        <w:t>Among patients with COPD, long-term exposure to fluticasone</w:t>
      </w:r>
      <w:r w:rsidR="0075773E">
        <w:t xml:space="preserve"> and budesonide is consistently </w:t>
      </w:r>
      <w:r w:rsidRPr="0033095D">
        <w:t xml:space="preserve">associated with a </w:t>
      </w:r>
      <w:r w:rsidRPr="0033095D">
        <w:lastRenderedPageBreak/>
        <w:t>statistically significant increased likelihood of fractures</w:t>
      </w:r>
      <w:r w:rsidR="00B93AB6">
        <w:t>.</w:t>
      </w:r>
      <w:r w:rsidR="00B93AB6">
        <w:rPr>
          <w:rStyle w:val="FootnoteReference"/>
        </w:rPr>
        <w:footnoteReference w:id="28"/>
      </w:r>
      <w:r w:rsidR="0075773E">
        <w:t xml:space="preserve"> It has been shown that </w:t>
      </w:r>
      <w:r w:rsidRPr="0033095D">
        <w:t>many patients with COPD are taking ICS unnecessarily and risking ad</w:t>
      </w:r>
      <w:r w:rsidR="0075773E">
        <w:t xml:space="preserve">verse effects. A concerning 60% </w:t>
      </w:r>
      <w:r w:rsidRPr="0033095D">
        <w:t>of newly diagnosed COPD patients are being initiated on ICS/LABA combination in Austra</w:t>
      </w:r>
      <w:r w:rsidR="0075773E">
        <w:t xml:space="preserve">lia </w:t>
      </w:r>
      <w:r w:rsidRPr="0033095D">
        <w:t xml:space="preserve">(extracted from 2017 </w:t>
      </w:r>
      <w:r w:rsidR="008D4D5F">
        <w:t>Pharmaceutical Benefits Advisory Committee</w:t>
      </w:r>
      <w:r w:rsidR="008D4D5F" w:rsidRPr="0033095D">
        <w:t xml:space="preserve"> </w:t>
      </w:r>
      <w:r w:rsidR="008D4D5F">
        <w:t>(</w:t>
      </w:r>
      <w:r w:rsidRPr="0033095D">
        <w:t>PBAC</w:t>
      </w:r>
      <w:r w:rsidR="008D4D5F">
        <w:t>)</w:t>
      </w:r>
      <w:r w:rsidRPr="0033095D">
        <w:t xml:space="preserve"> data) and some reports suggest and that up to 40% can stop taking them</w:t>
      </w:r>
      <w:r w:rsidR="00B93AB6">
        <w:t>.</w:t>
      </w:r>
      <w:r w:rsidR="00B93AB6">
        <w:rPr>
          <w:rStyle w:val="FootnoteReference"/>
        </w:rPr>
        <w:footnoteReference w:id="29"/>
      </w:r>
      <w:r w:rsidR="0075773E">
        <w:t xml:space="preserve"> </w:t>
      </w:r>
      <w:r w:rsidR="0084652C">
        <w:t>Ultibro</w:t>
      </w:r>
      <w:r w:rsidR="00B57093">
        <w:t xml:space="preserve"> therefore represents an ICS </w:t>
      </w:r>
      <w:r w:rsidRPr="0033095D">
        <w:t>free alternative treatment op</w:t>
      </w:r>
      <w:r w:rsidR="0075773E">
        <w:t xml:space="preserve">tion for COPD patients who have </w:t>
      </w:r>
      <w:r w:rsidRPr="0033095D">
        <w:t>exacerbations.</w:t>
      </w:r>
    </w:p>
    <w:p w14:paraId="49351F29" w14:textId="77777777" w:rsidR="0033095D" w:rsidRPr="0075773E" w:rsidRDefault="0075773E" w:rsidP="0075773E">
      <w:r w:rsidRPr="0075773E">
        <w:t>There is evidence to suggest that prescribing patterns for COPD are often not in accordance with</w:t>
      </w:r>
      <w:r>
        <w:t xml:space="preserve"> </w:t>
      </w:r>
      <w:r w:rsidRPr="0075773E">
        <w:t xml:space="preserve">guidelines and suggest a higher use of ICS combination therapy where not </w:t>
      </w:r>
      <w:r>
        <w:t>warranted and under</w:t>
      </w:r>
      <w:r w:rsidR="00B57093">
        <w:t>-</w:t>
      </w:r>
      <w:r>
        <w:t xml:space="preserve">prescription </w:t>
      </w:r>
      <w:r w:rsidRPr="00B57093">
        <w:t>of bronchodilators</w:t>
      </w:r>
      <w:r w:rsidR="00B57093" w:rsidRPr="00B57093">
        <w:t xml:space="preserve">, </w:t>
      </w:r>
      <w:r w:rsidR="00B93AB6" w:rsidRPr="00B57093">
        <w:rPr>
          <w:rStyle w:val="FootnoteReference"/>
        </w:rPr>
        <w:footnoteReference w:id="30"/>
      </w:r>
      <w:r w:rsidR="00B93AB6" w:rsidRPr="00B57093">
        <w:t>,</w:t>
      </w:r>
      <w:r w:rsidR="00B93AB6" w:rsidRPr="00B57093">
        <w:rPr>
          <w:rStyle w:val="FootnoteReference"/>
        </w:rPr>
        <w:footnoteReference w:id="31"/>
      </w:r>
      <w:r w:rsidRPr="00B57093">
        <w:t xml:space="preserve"> therefore</w:t>
      </w:r>
      <w:r w:rsidRPr="0075773E">
        <w:t xml:space="preserve"> denying patients the m</w:t>
      </w:r>
      <w:r>
        <w:t xml:space="preserve">ost suitable therapy. Most COPD </w:t>
      </w:r>
      <w:r w:rsidRPr="0075773E">
        <w:t>care is provided in primary care where awareness to evolving guidelines is less than optimal</w:t>
      </w:r>
      <w:r w:rsidR="00B93AB6">
        <w:t>.</w:t>
      </w:r>
      <w:r w:rsidR="00B93AB6">
        <w:rPr>
          <w:rStyle w:val="FootnoteReference"/>
        </w:rPr>
        <w:footnoteReference w:id="32"/>
      </w:r>
      <w:r>
        <w:t xml:space="preserve"> In the </w:t>
      </w:r>
      <w:r w:rsidRPr="0075773E">
        <w:t>SAND 179C report</w:t>
      </w:r>
      <w:r w:rsidR="00B93AB6">
        <w:t>,</w:t>
      </w:r>
      <w:r w:rsidR="00B93AB6">
        <w:rPr>
          <w:rStyle w:val="FootnoteReference"/>
        </w:rPr>
        <w:footnoteReference w:id="33"/>
      </w:r>
      <w:r w:rsidRPr="0075773E">
        <w:t xml:space="preserve"> almost half (45.6%) of the COPD only population were taking a LABA/ICS and</w:t>
      </w:r>
      <w:r>
        <w:t xml:space="preserve"> </w:t>
      </w:r>
      <w:r w:rsidRPr="0075773E">
        <w:t>27.8% of these patients had not experienced an exacerbation. Thus it is critical that physicians</w:t>
      </w:r>
      <w:r>
        <w:t xml:space="preserve"> </w:t>
      </w:r>
      <w:r w:rsidRPr="0075773E">
        <w:t xml:space="preserve">understand and adhere to COPD guidelines. The FLAME study showed that </w:t>
      </w:r>
      <w:r w:rsidR="0084652C">
        <w:t>Ultibro</w:t>
      </w:r>
      <w:r w:rsidRPr="0075773E">
        <w:t xml:space="preserve"> was superior</w:t>
      </w:r>
      <w:r>
        <w:t xml:space="preserve"> </w:t>
      </w:r>
      <w:r w:rsidRPr="0075773E">
        <w:t xml:space="preserve">to salmeterol/fluticasone, which is registered and commonly used in </w:t>
      </w:r>
      <w:r>
        <w:t xml:space="preserve">Australia for treatment of COPD </w:t>
      </w:r>
      <w:r w:rsidRPr="0075773E">
        <w:t>patients with a history of repeated exacerbations. More importantl</w:t>
      </w:r>
      <w:r>
        <w:t xml:space="preserve">y, in a similar population, the </w:t>
      </w:r>
      <w:r w:rsidRPr="0075773E">
        <w:t>FLAME study revealed that it was superior to the existing standar</w:t>
      </w:r>
      <w:r>
        <w:t xml:space="preserve">d of care. Thus a change to the </w:t>
      </w:r>
      <w:r w:rsidRPr="0075773E">
        <w:t xml:space="preserve">indication for </w:t>
      </w:r>
      <w:r w:rsidR="0084652C">
        <w:t>Ultibro</w:t>
      </w:r>
      <w:r w:rsidRPr="0075773E">
        <w:t xml:space="preserve"> would be justified and consistent with quality use of medicines </w:t>
      </w:r>
      <w:r>
        <w:t xml:space="preserve">(QUM) goals, </w:t>
      </w:r>
      <w:r w:rsidRPr="0075773E">
        <w:t>which encourage an evidence-based approach to the therapeutic appl</w:t>
      </w:r>
      <w:r>
        <w:t xml:space="preserve">ication of medicines as well as </w:t>
      </w:r>
      <w:r w:rsidRPr="0075773E">
        <w:t>adherence to the therapeutic guidelines. As noted above, it will positi</w:t>
      </w:r>
      <w:r>
        <w:t xml:space="preserve">vely help general practitioners </w:t>
      </w:r>
      <w:r w:rsidRPr="0075773E">
        <w:t>and non-specialists with their prescribing habits and will help them un</w:t>
      </w:r>
      <w:r>
        <w:t xml:space="preserve">derstand that adherence to COPD </w:t>
      </w:r>
      <w:r w:rsidRPr="0075773E">
        <w:t>guidelines has the potential to improve treatment outcomes for pat</w:t>
      </w:r>
      <w:r>
        <w:t xml:space="preserve">ients by reducing inappropriate </w:t>
      </w:r>
      <w:r w:rsidRPr="0075773E">
        <w:t>exposure to ICS and its associated risks (</w:t>
      </w:r>
      <w:r w:rsidR="00B57093">
        <w:t>that is</w:t>
      </w:r>
      <w:r w:rsidRPr="0075773E">
        <w:t xml:space="preserve"> pneumonia </w:t>
      </w:r>
      <w:r w:rsidR="00B57093">
        <w:t>etcetera</w:t>
      </w:r>
      <w:r w:rsidRPr="0075773E">
        <w:t>), and r</w:t>
      </w:r>
      <w:r>
        <w:t xml:space="preserve">educe the overall burden of the </w:t>
      </w:r>
      <w:r w:rsidRPr="0075773E">
        <w:t>disease on the community.</w:t>
      </w:r>
    </w:p>
    <w:p w14:paraId="15F93932" w14:textId="77777777" w:rsidR="0033095D" w:rsidRPr="0075773E" w:rsidRDefault="0075773E" w:rsidP="0075773E">
      <w:r w:rsidRPr="0075773E">
        <w:t>The Department of Health recently conducted a COPD Post-Market review to assess the utilisation,</w:t>
      </w:r>
      <w:r>
        <w:t xml:space="preserve"> </w:t>
      </w:r>
      <w:r w:rsidRPr="0075773E">
        <w:t>safety, efficacy and cost-effective</w:t>
      </w:r>
      <w:r w:rsidR="00B57093">
        <w:t xml:space="preserve">ness of PBS </w:t>
      </w:r>
      <w:r w:rsidRPr="0075773E">
        <w:t>listed COPD medicines, and to address QUM</w:t>
      </w:r>
      <w:r>
        <w:t xml:space="preserve"> concerns </w:t>
      </w:r>
      <w:r w:rsidRPr="0075773E">
        <w:t>associated with the apparent use of multiple products. The PBA</w:t>
      </w:r>
      <w:r>
        <w:t xml:space="preserve">C proposed a range of potential </w:t>
      </w:r>
      <w:r w:rsidRPr="0075773E">
        <w:t>measures including an increased restriction level for ICS/LABA on the PBS to Authority Required.</w:t>
      </w:r>
    </w:p>
    <w:p w14:paraId="1513E9B7" w14:textId="77777777" w:rsidR="0075773E" w:rsidRPr="0075773E" w:rsidRDefault="0075773E" w:rsidP="0075773E">
      <w:r w:rsidRPr="0075773E">
        <w:t>This highlights the importance of concerted efforts from all stakeholde</w:t>
      </w:r>
      <w:r>
        <w:t xml:space="preserve">rs to implement a multi-faceted </w:t>
      </w:r>
      <w:r w:rsidRPr="0075773E">
        <w:t>solution to improve the COPD treatment paradigm.</w:t>
      </w:r>
    </w:p>
    <w:p w14:paraId="37F9CDF3" w14:textId="77777777" w:rsidR="0075773E" w:rsidRPr="0075773E" w:rsidRDefault="0075773E" w:rsidP="0075773E">
      <w:r w:rsidRPr="0075773E">
        <w:t>Given the arguments presented above, Novartis and the Delegate agree that the change to the indication</w:t>
      </w:r>
      <w:r>
        <w:t xml:space="preserve"> </w:t>
      </w:r>
      <w:r w:rsidRPr="0075773E">
        <w:t>is warranted based on the evidence presented for moderate to severe COPD. However, Novartis does</w:t>
      </w:r>
      <w:r>
        <w:t xml:space="preserve"> </w:t>
      </w:r>
      <w:r w:rsidRPr="0075773E">
        <w:t>not believe that it is necessary to specify further the disease severity in the proposed reduction of</w:t>
      </w:r>
      <w:r>
        <w:t xml:space="preserve"> </w:t>
      </w:r>
      <w:r w:rsidRPr="0075773E">
        <w:t>exacerbation indication. The revised wording (</w:t>
      </w:r>
      <w:r w:rsidR="008051BC">
        <w:t>‘</w:t>
      </w:r>
      <w:r w:rsidRPr="0075773E">
        <w:t>patients with a history of exacerbations</w:t>
      </w:r>
      <w:r w:rsidR="008051BC">
        <w:t>’</w:t>
      </w:r>
      <w:r w:rsidRPr="0075773E">
        <w:t xml:space="preserve">) </w:t>
      </w:r>
      <w:r>
        <w:t xml:space="preserve">already </w:t>
      </w:r>
      <w:r w:rsidRPr="0075773E">
        <w:t>implicitly specify the severity of the patient population who would b</w:t>
      </w:r>
      <w:r>
        <w:t xml:space="preserve">enefit the most from treatment. </w:t>
      </w:r>
      <w:r w:rsidRPr="0075773E">
        <w:t xml:space="preserve">The inclusion of </w:t>
      </w:r>
      <w:r w:rsidRPr="0075773E">
        <w:lastRenderedPageBreak/>
        <w:t>additional COPD severity wording would only be redun</w:t>
      </w:r>
      <w:r>
        <w:t xml:space="preserve">dant. In clinical practice when </w:t>
      </w:r>
      <w:r w:rsidRPr="0075773E">
        <w:t>assessing COPD severity several factors are taken into account includi</w:t>
      </w:r>
      <w:r>
        <w:t xml:space="preserve">ng clinical symptoms and impact </w:t>
      </w:r>
      <w:r w:rsidRPr="0075773E">
        <w:t>on quality of life, lung function, history of exacerbations, a</w:t>
      </w:r>
      <w:r>
        <w:t xml:space="preserve">nd often patients with repeated </w:t>
      </w:r>
      <w:r w:rsidRPr="0075773E">
        <w:t>exacerbations fall withi</w:t>
      </w:r>
      <w:r w:rsidR="00B57093">
        <w:t>n the severe category. In COPD-X</w:t>
      </w:r>
      <w:r w:rsidRPr="0075773E">
        <w:t xml:space="preserve"> guideline, </w:t>
      </w:r>
      <w:r>
        <w:t xml:space="preserve">moderate to severe patients are </w:t>
      </w:r>
      <w:r w:rsidRPr="0075773E">
        <w:t>defined by their typical symptoms which includes exacerbations re</w:t>
      </w:r>
      <w:r>
        <w:t xml:space="preserve">quiring oral corticosteroids or </w:t>
      </w:r>
      <w:r w:rsidRPr="0075773E">
        <w:t>antibiotics (moderate); and exacerbations of increasing severity and fr</w:t>
      </w:r>
      <w:r>
        <w:t xml:space="preserve">equency (severe). Mild patients </w:t>
      </w:r>
      <w:r w:rsidRPr="0075773E">
        <w:t>do not have a documented history of exacerbations.</w:t>
      </w:r>
    </w:p>
    <w:p w14:paraId="055EAD29" w14:textId="77777777" w:rsidR="0075773E" w:rsidRPr="0075773E" w:rsidRDefault="0075773E" w:rsidP="0075773E">
      <w:pPr>
        <w:pStyle w:val="Heading5"/>
        <w:rPr>
          <w:rFonts w:eastAsiaTheme="minorHAnsi"/>
        </w:rPr>
      </w:pPr>
      <w:r w:rsidRPr="0075773E">
        <w:rPr>
          <w:rFonts w:eastAsiaTheme="minorHAnsi"/>
        </w:rPr>
        <w:t xml:space="preserve">Response to the Delegate’s </w:t>
      </w:r>
      <w:r w:rsidR="00B57093" w:rsidRPr="0075773E">
        <w:rPr>
          <w:rFonts w:eastAsiaTheme="minorHAnsi"/>
        </w:rPr>
        <w:t>question for sponsor</w:t>
      </w:r>
    </w:p>
    <w:p w14:paraId="1C25B51F" w14:textId="77777777" w:rsidR="0075773E" w:rsidRPr="0075773E" w:rsidRDefault="0075773E" w:rsidP="0075773E">
      <w:pPr>
        <w:rPr>
          <w:i/>
        </w:rPr>
      </w:pPr>
      <w:r w:rsidRPr="0075773E">
        <w:rPr>
          <w:i/>
        </w:rPr>
        <w:t>What was the reason for not suggesting the additional indication for prevention of exac</w:t>
      </w:r>
      <w:r w:rsidR="00B57093">
        <w:rPr>
          <w:i/>
        </w:rPr>
        <w:t>erbation in Europe and the USA?</w:t>
      </w:r>
    </w:p>
    <w:p w14:paraId="6DA214B7" w14:textId="2B455000" w:rsidR="0075773E" w:rsidRPr="0075773E" w:rsidRDefault="00320735" w:rsidP="0075773E">
      <w:r>
        <w:t xml:space="preserve">The sponsor </w:t>
      </w:r>
      <w:r w:rsidR="0075773E" w:rsidRPr="0075773E">
        <w:t>would like to clarify that no application was submitted in the U.S. given that the FLAME</w:t>
      </w:r>
      <w:r w:rsidR="0075773E">
        <w:t xml:space="preserve"> </w:t>
      </w:r>
      <w:r w:rsidR="0075773E" w:rsidRPr="0075773E">
        <w:t>study used a different dose and dosing regimen other than that approved by the FDA. The approved</w:t>
      </w:r>
      <w:r w:rsidR="0075773E">
        <w:t xml:space="preserve"> </w:t>
      </w:r>
      <w:r w:rsidR="0075773E" w:rsidRPr="0075773E">
        <w:t xml:space="preserve">dose in the US is 27.5 </w:t>
      </w:r>
      <w:proofErr w:type="spellStart"/>
      <w:r w:rsidR="00FE4E85">
        <w:t>μ</w:t>
      </w:r>
      <w:r w:rsidR="00FE4E85" w:rsidRPr="003B2552">
        <w:t>g</w:t>
      </w:r>
      <w:proofErr w:type="spellEnd"/>
      <w:r w:rsidR="0075773E" w:rsidRPr="0075773E">
        <w:t xml:space="preserve"> </w:t>
      </w:r>
      <w:proofErr w:type="spellStart"/>
      <w:r w:rsidR="0075773E" w:rsidRPr="0075773E">
        <w:t>indacaterol</w:t>
      </w:r>
      <w:proofErr w:type="spellEnd"/>
      <w:r w:rsidR="0075773E" w:rsidRPr="0075773E">
        <w:t xml:space="preserve">/ 15.6 </w:t>
      </w:r>
      <w:proofErr w:type="spellStart"/>
      <w:r w:rsidR="00FE4E85">
        <w:t>μ</w:t>
      </w:r>
      <w:r w:rsidR="00FE4E85" w:rsidRPr="003B2552">
        <w:t>g</w:t>
      </w:r>
      <w:proofErr w:type="spellEnd"/>
      <w:r w:rsidR="0075773E" w:rsidRPr="0075773E">
        <w:t xml:space="preserve"> </w:t>
      </w:r>
      <w:proofErr w:type="spellStart"/>
      <w:r w:rsidR="0075773E" w:rsidRPr="0075773E">
        <w:t>glycopyrrolate</w:t>
      </w:r>
      <w:proofErr w:type="spellEnd"/>
      <w:r w:rsidR="0075773E">
        <w:t xml:space="preserve"> </w:t>
      </w:r>
      <w:r w:rsidR="00B57093">
        <w:t>BD</w:t>
      </w:r>
      <w:r w:rsidR="0075773E">
        <w:t xml:space="preserve"> whereas the FLAME study </w:t>
      </w:r>
      <w:r w:rsidR="0075773E" w:rsidRPr="0075773E">
        <w:t xml:space="preserve">assessed efficacy, safety and tolerability of indacaterol 110 </w:t>
      </w:r>
      <w:r w:rsidR="00FE4E85">
        <w:t>μ</w:t>
      </w:r>
      <w:r w:rsidR="00FE4E85" w:rsidRPr="003B2552">
        <w:t>g</w:t>
      </w:r>
      <w:r w:rsidR="0075773E" w:rsidRPr="0075773E">
        <w:t>/ g</w:t>
      </w:r>
      <w:r w:rsidR="0075773E">
        <w:t xml:space="preserve">lycopyrronium 50 </w:t>
      </w:r>
      <w:r w:rsidR="00FE4E85">
        <w:t>μ</w:t>
      </w:r>
      <w:r w:rsidR="00FE4E85" w:rsidRPr="003B2552">
        <w:t>g</w:t>
      </w:r>
      <w:r w:rsidR="0075773E">
        <w:t xml:space="preserve"> once daily </w:t>
      </w:r>
      <w:r w:rsidR="0075773E" w:rsidRPr="0075773E">
        <w:t>(</w:t>
      </w:r>
      <w:r w:rsidR="00B57093">
        <w:t>that is</w:t>
      </w:r>
      <w:r w:rsidR="0075773E" w:rsidRPr="0075773E">
        <w:t xml:space="preserve"> which is the product strength and dosage regimen approved in all other countries).</w:t>
      </w:r>
    </w:p>
    <w:p w14:paraId="7E01A1FE" w14:textId="1D1AEBDD" w:rsidR="0075773E" w:rsidRPr="0075773E" w:rsidRDefault="0075773E" w:rsidP="0075773E">
      <w:r w:rsidRPr="0075773E">
        <w:t>In Europe, as disclosed in our pre-submission meeting and in our doss</w:t>
      </w:r>
      <w:r>
        <w:t xml:space="preserve">ier, Novartis received positive </w:t>
      </w:r>
      <w:r w:rsidRPr="0075773E">
        <w:t>feedback during a pre-submission meeting with the CHMP Rapp</w:t>
      </w:r>
      <w:r>
        <w:t xml:space="preserve">orteur and Co-Rapporteur on the </w:t>
      </w:r>
      <w:r w:rsidRPr="0075773E">
        <w:t>FLAME data; both Rapporteurs were supportive of Novartis submitting</w:t>
      </w:r>
      <w:r>
        <w:t xml:space="preserve"> an application for a potential </w:t>
      </w:r>
      <w:r w:rsidRPr="0075773E">
        <w:t>indication change based on their preliminary pre-submission review of</w:t>
      </w:r>
      <w:r>
        <w:t xml:space="preserve"> the results. However, Novartis </w:t>
      </w:r>
      <w:r w:rsidRPr="0075773E">
        <w:t>subsequently decided not to apply for an indication change</w:t>
      </w:r>
      <w:r>
        <w:t xml:space="preserve"> due to non-regulatory business </w:t>
      </w:r>
      <w:r w:rsidRPr="0075773E">
        <w:t>considerations in certain EU markets unrelated to any asp</w:t>
      </w:r>
      <w:r w:rsidR="00B57093">
        <w:t>ect of safety and efficacy</w:t>
      </w:r>
      <w:r w:rsidRPr="0075773E">
        <w:t xml:space="preserve">. The FLAME results, however, were submitted in an application </w:t>
      </w:r>
      <w:r>
        <w:t xml:space="preserve">to revise Section 5.1 (Clinical </w:t>
      </w:r>
      <w:r w:rsidRPr="0075773E">
        <w:t xml:space="preserve">efficacy and safety) of the </w:t>
      </w:r>
      <w:proofErr w:type="spellStart"/>
      <w:r w:rsidRPr="0075773E">
        <w:t>SmPC</w:t>
      </w:r>
      <w:proofErr w:type="spellEnd"/>
      <w:r w:rsidRPr="0075773E">
        <w:t xml:space="preserve"> via the centralised procedure, w</w:t>
      </w:r>
      <w:r>
        <w:t xml:space="preserve">hich was approved by CHMP on 27 </w:t>
      </w:r>
      <w:r w:rsidRPr="0075773E">
        <w:t xml:space="preserve">October 2016. The approved </w:t>
      </w:r>
      <w:proofErr w:type="spellStart"/>
      <w:r w:rsidRPr="0075773E">
        <w:t>SmPC</w:t>
      </w:r>
      <w:proofErr w:type="spellEnd"/>
      <w:r w:rsidRPr="0075773E">
        <w:t xml:space="preserve"> </w:t>
      </w:r>
      <w:r w:rsidR="00B57093">
        <w:t>was provided in the response</w:t>
      </w:r>
      <w:r w:rsidRPr="0075773E">
        <w:t>.</w:t>
      </w:r>
    </w:p>
    <w:p w14:paraId="1FB094AC" w14:textId="77777777" w:rsidR="0075773E" w:rsidRPr="0075773E" w:rsidRDefault="00B57093" w:rsidP="0075773E">
      <w:pPr>
        <w:pStyle w:val="Heading5"/>
        <w:rPr>
          <w:rFonts w:eastAsiaTheme="minorHAnsi"/>
        </w:rPr>
      </w:pPr>
      <w:r>
        <w:rPr>
          <w:rFonts w:eastAsiaTheme="minorHAnsi"/>
        </w:rPr>
        <w:t>Concluding remarks</w:t>
      </w:r>
    </w:p>
    <w:p w14:paraId="544446A7" w14:textId="17A53A47" w:rsidR="0075773E" w:rsidRPr="0075773E" w:rsidRDefault="0075773E" w:rsidP="0075773E">
      <w:r w:rsidRPr="0075773E">
        <w:t xml:space="preserve">Novartis welcomes the Delegate’s recommendation to approve </w:t>
      </w:r>
      <w:r>
        <w:t xml:space="preserve">our amended indication based on </w:t>
      </w:r>
      <w:proofErr w:type="spellStart"/>
      <w:r w:rsidR="0084652C">
        <w:t>Ultibro</w:t>
      </w:r>
      <w:r w:rsidRPr="0075773E">
        <w:t>’s</w:t>
      </w:r>
      <w:proofErr w:type="spellEnd"/>
      <w:r w:rsidRPr="0075773E">
        <w:t xml:space="preserve"> clinical impact on the reduction of exacerbations across clin</w:t>
      </w:r>
      <w:r>
        <w:t xml:space="preserve">ical studies. Novartis believes </w:t>
      </w:r>
      <w:r w:rsidRPr="0075773E">
        <w:t>that the proposed wording is adequate and already further defines t</w:t>
      </w:r>
      <w:r>
        <w:t xml:space="preserve">he patient population that will </w:t>
      </w:r>
      <w:r w:rsidRPr="0075773E">
        <w:t xml:space="preserve">benefit from using </w:t>
      </w:r>
      <w:r w:rsidR="0084652C">
        <w:t>Ultibro</w:t>
      </w:r>
      <w:r w:rsidRPr="0075773E">
        <w:t xml:space="preserve"> in clinical practice (</w:t>
      </w:r>
      <w:r w:rsidR="00B57093">
        <w:t>that is</w:t>
      </w:r>
      <w:r w:rsidRPr="0075773E">
        <w:t xml:space="preserve"> in patients with</w:t>
      </w:r>
      <w:r>
        <w:t xml:space="preserve"> a history of exacerbations) to </w:t>
      </w:r>
      <w:r w:rsidRPr="0075773E">
        <w:t>help implement the updated evidence-based guidelines and pro</w:t>
      </w:r>
      <w:r>
        <w:t xml:space="preserve">mote quality use of medicine by </w:t>
      </w:r>
      <w:r w:rsidRPr="0075773E">
        <w:t xml:space="preserve">influencing prescribing habits. The ultimate goal is to lead to improved </w:t>
      </w:r>
      <w:r>
        <w:t xml:space="preserve">treatment outcomes for patients </w:t>
      </w:r>
      <w:r w:rsidRPr="0075773E">
        <w:t xml:space="preserve">by reducing rates of COPD exacerbations and address inappropriate </w:t>
      </w:r>
      <w:r>
        <w:t xml:space="preserve">use of ICS given its associated </w:t>
      </w:r>
      <w:r w:rsidRPr="0075773E">
        <w:t>safety risks.</w:t>
      </w:r>
    </w:p>
    <w:p w14:paraId="74A4798E" w14:textId="77777777" w:rsidR="00833076" w:rsidRDefault="008E7846" w:rsidP="00953E58">
      <w:pPr>
        <w:pStyle w:val="Heading4"/>
        <w:rPr>
          <w:vertAlign w:val="superscript"/>
        </w:rPr>
      </w:pPr>
      <w:r w:rsidRPr="00953E58">
        <w:t>Advisory Committee Considerations</w:t>
      </w:r>
      <w:r w:rsidR="00456765" w:rsidRPr="00953E58">
        <w:rPr>
          <w:vertAlign w:val="superscript"/>
        </w:rPr>
        <w:footnoteReference w:id="34"/>
      </w:r>
    </w:p>
    <w:p w14:paraId="6440F8ED" w14:textId="44D68476" w:rsidR="002B2363" w:rsidRPr="002B2363" w:rsidRDefault="002B2363" w:rsidP="002B2363">
      <w:r w:rsidRPr="002B2363">
        <w:t xml:space="preserve">The </w:t>
      </w:r>
      <w:r w:rsidR="00320735">
        <w:t>Advisory Committee on Medicines (</w:t>
      </w:r>
      <w:r w:rsidRPr="002B2363">
        <w:t>ACM</w:t>
      </w:r>
      <w:r w:rsidR="00320735">
        <w:t>)</w:t>
      </w:r>
      <w:r w:rsidRPr="002B2363">
        <w:t xml:space="preserve"> taking into account the submitted evidence of efficacy, safety and quality, agreed with the delegate and considered </w:t>
      </w:r>
      <w:r w:rsidR="0084652C">
        <w:t>Ultibro</w:t>
      </w:r>
      <w:r w:rsidR="00B57093">
        <w:t xml:space="preserve"> Breez</w:t>
      </w:r>
      <w:r w:rsidR="00B57093" w:rsidRPr="002B2363">
        <w:t>haler</w:t>
      </w:r>
      <w:r w:rsidRPr="002B2363">
        <w:t xml:space="preserve"> </w:t>
      </w:r>
      <w:r w:rsidRPr="002B2363">
        <w:lastRenderedPageBreak/>
        <w:t>dry powder i</w:t>
      </w:r>
      <w:r w:rsidR="00B57093">
        <w:t>nhaler containing 110/50 µg of i</w:t>
      </w:r>
      <w:r w:rsidRPr="002B2363">
        <w:t xml:space="preserve">ndacaterol maleate/ glycopyrronium bromide to have an overall positive benefit-risk profile for </w:t>
      </w:r>
      <w:r>
        <w:t>the amended indication.</w:t>
      </w:r>
    </w:p>
    <w:p w14:paraId="2B9A7557" w14:textId="03B6AC31" w:rsidR="002B2363" w:rsidRPr="002B2363" w:rsidRDefault="002B2363" w:rsidP="00B57093">
      <w:pPr>
        <w:keepNext/>
      </w:pPr>
      <w:r w:rsidRPr="002B2363">
        <w:t xml:space="preserve">Current </w:t>
      </w:r>
      <w:r w:rsidR="00320735">
        <w:t>i</w:t>
      </w:r>
      <w:r w:rsidRPr="002B2363">
        <w:t>ndication</w:t>
      </w:r>
      <w:r>
        <w:t>:</w:t>
      </w:r>
    </w:p>
    <w:p w14:paraId="5F944AE4" w14:textId="77777777" w:rsidR="002B2363" w:rsidRPr="002B2363" w:rsidRDefault="0084652C" w:rsidP="002B2363">
      <w:pPr>
        <w:ind w:left="720"/>
        <w:rPr>
          <w:i/>
        </w:rPr>
      </w:pPr>
      <w:r>
        <w:rPr>
          <w:i/>
        </w:rPr>
        <w:t>Ultibro Breezhaler</w:t>
      </w:r>
      <w:r w:rsidR="002B2363" w:rsidRPr="002B2363">
        <w:rPr>
          <w:i/>
        </w:rPr>
        <w:t>110/50 is indicated as a once-daily maintenance bronchodilator treatment to relieve symptoms in patients with chronic obstructive pulmonary disease (COPD).</w:t>
      </w:r>
    </w:p>
    <w:p w14:paraId="570A072F" w14:textId="11F877FF" w:rsidR="002B2363" w:rsidRPr="002B2363" w:rsidRDefault="002B2363" w:rsidP="00B57093">
      <w:pPr>
        <w:keepNext/>
      </w:pPr>
      <w:r w:rsidRPr="002B2363">
        <w:t xml:space="preserve">Proposed </w:t>
      </w:r>
      <w:r w:rsidR="00320735">
        <w:t>i</w:t>
      </w:r>
      <w:r w:rsidRPr="002B2363">
        <w:t>ndication</w:t>
      </w:r>
      <w:r>
        <w:t>:</w:t>
      </w:r>
    </w:p>
    <w:p w14:paraId="77D8985A" w14:textId="77777777" w:rsidR="00833076" w:rsidRDefault="0084652C" w:rsidP="002B2363">
      <w:pPr>
        <w:ind w:left="720"/>
        <w:rPr>
          <w:i/>
        </w:rPr>
      </w:pPr>
      <w:r>
        <w:rPr>
          <w:i/>
        </w:rPr>
        <w:t>Ultibro Breezhaler</w:t>
      </w:r>
      <w:r w:rsidR="002B2363" w:rsidRPr="002B2363">
        <w:rPr>
          <w:i/>
        </w:rPr>
        <w:t>110/50 is indicated as a once-daily maintenance bronchodilator treatment to relieve symptoms and in patients with chronic obstructive pulmonary disease (COPD), and for the reduction in exacerbations of COPD in patients with a history of exacerbations</w:t>
      </w:r>
      <w:r w:rsidR="00833076">
        <w:rPr>
          <w:i/>
        </w:rPr>
        <w:t>.</w:t>
      </w:r>
    </w:p>
    <w:p w14:paraId="5FDB6CAF" w14:textId="7472EC1A" w:rsidR="002B2363" w:rsidRPr="002B2363" w:rsidRDefault="002B2363" w:rsidP="002B2363">
      <w:r w:rsidRPr="002B2363">
        <w:t>In mak</w:t>
      </w:r>
      <w:r>
        <w:t>ing this recommendation the ACM:</w:t>
      </w:r>
    </w:p>
    <w:p w14:paraId="7FE54CF0" w14:textId="77777777" w:rsidR="002B2363" w:rsidRPr="002B2363" w:rsidRDefault="002B2363" w:rsidP="002B2363">
      <w:pPr>
        <w:pStyle w:val="ListBullet"/>
      </w:pPr>
      <w:r w:rsidRPr="002B2363">
        <w:t>noted there was only one single clinical study in the submission</w:t>
      </w:r>
    </w:p>
    <w:p w14:paraId="1AC58B73" w14:textId="77777777" w:rsidR="002B2363" w:rsidRPr="002B2363" w:rsidRDefault="002B2363" w:rsidP="002B2363">
      <w:pPr>
        <w:pStyle w:val="ListBullet"/>
      </w:pPr>
      <w:r w:rsidRPr="002B2363">
        <w:t>noted new advised wording of indication would not change the patient population for that indication</w:t>
      </w:r>
    </w:p>
    <w:p w14:paraId="278382C9" w14:textId="77777777" w:rsidR="002B2363" w:rsidRPr="002B2363" w:rsidRDefault="002B2363" w:rsidP="002B2363">
      <w:pPr>
        <w:pStyle w:val="ListBullet"/>
      </w:pPr>
      <w:r w:rsidRPr="002B2363">
        <w:t>noted the data presented is mainly for moderate to severe COPD</w:t>
      </w:r>
    </w:p>
    <w:p w14:paraId="7B3D21D9" w14:textId="77777777" w:rsidR="002B2363" w:rsidRPr="002B2363" w:rsidRDefault="002B2363" w:rsidP="002B2363">
      <w:pPr>
        <w:pStyle w:val="ListBullet"/>
      </w:pPr>
      <w:proofErr w:type="gramStart"/>
      <w:r w:rsidRPr="002B2363">
        <w:t>noted</w:t>
      </w:r>
      <w:proofErr w:type="gramEnd"/>
      <w:r w:rsidRPr="002B2363">
        <w:t xml:space="preserve"> that the magnitude of effect was small but consistent with the magnitude of effect of other goods registered for this indication.</w:t>
      </w:r>
    </w:p>
    <w:p w14:paraId="734870F3" w14:textId="77777777" w:rsidR="002B2363" w:rsidRPr="002B2363" w:rsidRDefault="002B2363" w:rsidP="002B2363">
      <w:pPr>
        <w:pStyle w:val="Heading5"/>
      </w:pPr>
      <w:r w:rsidRPr="002B2363">
        <w:t>Proposed conditions of registration</w:t>
      </w:r>
    </w:p>
    <w:p w14:paraId="3D220281" w14:textId="77777777" w:rsidR="002B2363" w:rsidRPr="002B2363" w:rsidRDefault="002B2363" w:rsidP="002B2363">
      <w:r w:rsidRPr="002B2363">
        <w:t>The ACM agreed with the delegate on the proposed conditions of registration and advised on the inclusion of the following:</w:t>
      </w:r>
    </w:p>
    <w:p w14:paraId="5CC6DBD0" w14:textId="77777777" w:rsidR="002B2363" w:rsidRPr="002B2363" w:rsidRDefault="002B2363" w:rsidP="002B2363">
      <w:pPr>
        <w:pStyle w:val="ListBullet"/>
      </w:pPr>
      <w:r w:rsidRPr="002B2363">
        <w:t xml:space="preserve">Subject to satisfactory implementation of the </w:t>
      </w:r>
      <w:r w:rsidR="00B57093">
        <w:t>RMP</w:t>
      </w:r>
      <w:r w:rsidRPr="002B2363">
        <w:t xml:space="preserve"> most rece</w:t>
      </w:r>
      <w:r w:rsidR="00E50427">
        <w:t>ntly negotiated by the TGA</w:t>
      </w:r>
    </w:p>
    <w:p w14:paraId="53EBA94E" w14:textId="77777777" w:rsidR="002B2363" w:rsidRPr="002B2363" w:rsidRDefault="002B2363" w:rsidP="002B2363">
      <w:pPr>
        <w:pStyle w:val="ListBullet"/>
      </w:pPr>
      <w:r w:rsidRPr="002B2363">
        <w:t xml:space="preserve">Negotiation of the </w:t>
      </w:r>
      <w:r w:rsidR="00B57093">
        <w:t>PI</w:t>
      </w:r>
      <w:r w:rsidRPr="002B2363">
        <w:t xml:space="preserve"> and Consumer Medicine Information to the satisfaction of the TGA.</w:t>
      </w:r>
    </w:p>
    <w:p w14:paraId="12CB0103" w14:textId="77777777" w:rsidR="00440980" w:rsidRPr="00440980" w:rsidRDefault="00440980" w:rsidP="00440980">
      <w:pPr>
        <w:pStyle w:val="Heading5"/>
      </w:pPr>
      <w:r w:rsidRPr="00440980">
        <w:t>Proposed Product Information (PI)/ Consumer Medicine Information (CMI) amendments</w:t>
      </w:r>
    </w:p>
    <w:p w14:paraId="10F2843E" w14:textId="77777777" w:rsidR="00440980" w:rsidRPr="00440980" w:rsidRDefault="00440980" w:rsidP="00440980">
      <w:r w:rsidRPr="00440980">
        <w:t>The ACM agreed with the delegate to the proposed amendments to the Product Information (PI) and Consumer Medicine information (CMI) and specifically advised on the inclusion of the following:</w:t>
      </w:r>
    </w:p>
    <w:p w14:paraId="42C8022F" w14:textId="04201ADA" w:rsidR="00440980" w:rsidRPr="00440980" w:rsidRDefault="00440980" w:rsidP="00440980">
      <w:r w:rsidRPr="00440980">
        <w:t>Amendment of the PI/CMI to reflect the wording advised by ACM</w:t>
      </w:r>
      <w:r w:rsidR="00320735">
        <w:t>:</w:t>
      </w:r>
    </w:p>
    <w:p w14:paraId="0E089FBE" w14:textId="77777777" w:rsidR="002B2363" w:rsidRPr="00440980" w:rsidRDefault="00440980" w:rsidP="00440980">
      <w:pPr>
        <w:ind w:left="720"/>
        <w:rPr>
          <w:i/>
        </w:rPr>
      </w:pPr>
      <w:r w:rsidRPr="00440980">
        <w:rPr>
          <w:i/>
        </w:rPr>
        <w:t>‘</w:t>
      </w:r>
      <w:r w:rsidR="0084652C">
        <w:rPr>
          <w:i/>
        </w:rPr>
        <w:t>Ultibro Breezhaler</w:t>
      </w:r>
      <w:r w:rsidRPr="00440980">
        <w:rPr>
          <w:i/>
        </w:rPr>
        <w:t>110/50 is indicated as a once-daily maintenance bronchodilator treatment to relieve symptoms in patients with chronic obstructive pulmonary disease (COPD), and for the reduction of exacerbations in patients with moderate or severe disease with a history of exacerbations’.</w:t>
      </w:r>
    </w:p>
    <w:p w14:paraId="7BE4E741" w14:textId="77777777" w:rsidR="00440980" w:rsidRDefault="00440980" w:rsidP="00440980">
      <w:pPr>
        <w:pStyle w:val="Heading5"/>
      </w:pPr>
      <w:r>
        <w:t>Specific Advice</w:t>
      </w:r>
    </w:p>
    <w:p w14:paraId="1788A167" w14:textId="77777777" w:rsidR="00456765" w:rsidRPr="00A322B3" w:rsidRDefault="00953E58" w:rsidP="00456765">
      <w:r>
        <w:t>The ACM advised the following in response to the Delegate’s specific questions on the submission:</w:t>
      </w:r>
    </w:p>
    <w:p w14:paraId="6FA49866" w14:textId="5EB2CCEC" w:rsidR="00953E58" w:rsidRPr="00953E58" w:rsidRDefault="00953E58" w:rsidP="00953E58">
      <w:pPr>
        <w:pStyle w:val="Numberbullet0"/>
        <w:numPr>
          <w:ilvl w:val="0"/>
          <w:numId w:val="36"/>
        </w:numPr>
        <w:rPr>
          <w:b/>
          <w:i/>
        </w:rPr>
      </w:pPr>
      <w:r w:rsidRPr="00953E58">
        <w:rPr>
          <w:b/>
          <w:i/>
        </w:rPr>
        <w:t>Is the reduction in exacerbations seen in the FLAME study clinically meaningful?</w:t>
      </w:r>
    </w:p>
    <w:p w14:paraId="187772CC" w14:textId="19124579" w:rsidR="00953E58" w:rsidRPr="00953E58" w:rsidRDefault="00320735" w:rsidP="00953E58">
      <w:r>
        <w:t xml:space="preserve">The </w:t>
      </w:r>
      <w:r w:rsidR="00953E58" w:rsidRPr="00953E58">
        <w:t xml:space="preserve">ACM agreed that the reduction in exacerbations in the FLAME </w:t>
      </w:r>
      <w:r w:rsidR="00953E58">
        <w:t>study is clinically acceptable.</w:t>
      </w:r>
    </w:p>
    <w:p w14:paraId="397BCBC2" w14:textId="6CFFE1DC" w:rsidR="00953E58" w:rsidRPr="00953E58" w:rsidRDefault="00320735" w:rsidP="00953E58">
      <w:r>
        <w:t xml:space="preserve">The </w:t>
      </w:r>
      <w:r w:rsidR="00953E58" w:rsidRPr="00953E58">
        <w:t xml:space="preserve">ACM noted that the demonstrated efficacy, the aims of treatment, comparative effect size to </w:t>
      </w:r>
      <w:r w:rsidR="00E50427" w:rsidRPr="00953E58">
        <w:t>tiotropium</w:t>
      </w:r>
      <w:r w:rsidR="00953E58" w:rsidRPr="00953E58">
        <w:t xml:space="preserve"> (only other product with an exacerbations indication), known issue of achieving sufficient power in such trials and other supporti</w:t>
      </w:r>
      <w:r w:rsidR="00953E58">
        <w:t>ve literature are all relevant.</w:t>
      </w:r>
    </w:p>
    <w:p w14:paraId="5D44AE89" w14:textId="2F88A9E3" w:rsidR="00953E58" w:rsidRPr="00953E58" w:rsidRDefault="00320735" w:rsidP="00953E58">
      <w:r>
        <w:lastRenderedPageBreak/>
        <w:t xml:space="preserve">The </w:t>
      </w:r>
      <w:r w:rsidR="00953E58" w:rsidRPr="00953E58">
        <w:t>ACM also notes the sponsor’s comments including supporting an evolving paradigm of treatment, the number needed to treat of 15 and lack of regulatory guideline on minimal important</w:t>
      </w:r>
      <w:r w:rsidR="00953E58">
        <w:t xml:space="preserve"> effect size are also relevant.</w:t>
      </w:r>
    </w:p>
    <w:p w14:paraId="2EE8AE8A" w14:textId="77777777" w:rsidR="00953E58" w:rsidRPr="00953E58" w:rsidRDefault="00953E58" w:rsidP="00953E58">
      <w:pPr>
        <w:pStyle w:val="Numberbullet0"/>
        <w:rPr>
          <w:b/>
          <w:i/>
        </w:rPr>
      </w:pPr>
      <w:r w:rsidRPr="00953E58">
        <w:rPr>
          <w:b/>
          <w:i/>
        </w:rPr>
        <w:t>Is a new indication to p</w:t>
      </w:r>
      <w:r>
        <w:rPr>
          <w:b/>
          <w:i/>
        </w:rPr>
        <w:t>revent exacerbations acceptable?</w:t>
      </w:r>
    </w:p>
    <w:p w14:paraId="2F7CA5C5" w14:textId="28EA31C6" w:rsidR="00953E58" w:rsidRPr="00953E58" w:rsidRDefault="00320735" w:rsidP="00953E58">
      <w:r>
        <w:t xml:space="preserve">The </w:t>
      </w:r>
      <w:r w:rsidR="00953E58" w:rsidRPr="00953E58">
        <w:t>ACM agreed that it was appropriate to address exacerbat</w:t>
      </w:r>
      <w:r w:rsidR="00953E58">
        <w:t>ions in the indication wording.</w:t>
      </w:r>
    </w:p>
    <w:p w14:paraId="5BF054E6" w14:textId="77777777" w:rsidR="00953E58" w:rsidRPr="00953E58" w:rsidRDefault="00953E58" w:rsidP="00953E58">
      <w:r w:rsidRPr="00953E58">
        <w:t>The</w:t>
      </w:r>
      <w:r>
        <w:t xml:space="preserve"> ACM agreed with the following:</w:t>
      </w:r>
    </w:p>
    <w:p w14:paraId="2DF5EFB2" w14:textId="77777777" w:rsidR="00953E58" w:rsidRPr="00953E58" w:rsidRDefault="00953E58" w:rsidP="00953E58">
      <w:pPr>
        <w:pStyle w:val="ListBullet"/>
      </w:pPr>
      <w:r w:rsidRPr="00953E58">
        <w:t>that the reduction in exacerbations is better terminology th</w:t>
      </w:r>
      <w:r w:rsidR="00B57093">
        <w:t>an prevention of exacerbations</w:t>
      </w:r>
    </w:p>
    <w:p w14:paraId="4EF947F8" w14:textId="77777777" w:rsidR="00953E58" w:rsidRPr="00953E58" w:rsidRDefault="00953E58" w:rsidP="00953E58">
      <w:pPr>
        <w:pStyle w:val="ListBullet"/>
      </w:pPr>
      <w:r w:rsidRPr="00953E58">
        <w:t>that the reduction of exacerbations is an important outcome in COPD and differ</w:t>
      </w:r>
      <w:r w:rsidR="00B57093">
        <w:t>ent to a reduction in symptoms</w:t>
      </w:r>
    </w:p>
    <w:p w14:paraId="4C4AD9CC" w14:textId="77777777" w:rsidR="00953E58" w:rsidRPr="00953E58" w:rsidRDefault="00953E58" w:rsidP="00953E58">
      <w:pPr>
        <w:pStyle w:val="ListBullet"/>
      </w:pPr>
      <w:proofErr w:type="gramStart"/>
      <w:r w:rsidRPr="00953E58">
        <w:t>the</w:t>
      </w:r>
      <w:proofErr w:type="gramEnd"/>
      <w:r w:rsidRPr="00953E58">
        <w:t xml:space="preserve"> use of LAMA/LABA combination to reduce exacerbations has advantages over an ICS/LABA in that it associated wit</w:t>
      </w:r>
      <w:r>
        <w:t>h a reduced rate of pneumonia.</w:t>
      </w:r>
    </w:p>
    <w:p w14:paraId="6E9245BE" w14:textId="77777777" w:rsidR="00953E58" w:rsidRPr="00953E58" w:rsidRDefault="00953E58" w:rsidP="00953E58">
      <w:pPr>
        <w:pStyle w:val="Numberbullet0"/>
        <w:rPr>
          <w:b/>
          <w:i/>
        </w:rPr>
      </w:pPr>
      <w:r w:rsidRPr="00953E58">
        <w:rPr>
          <w:b/>
          <w:i/>
        </w:rPr>
        <w:t>Is there a need to speci</w:t>
      </w:r>
      <w:r>
        <w:rPr>
          <w:b/>
          <w:i/>
        </w:rPr>
        <w:t>fy severity in the indications?</w:t>
      </w:r>
    </w:p>
    <w:p w14:paraId="7C8A73AB" w14:textId="36DCB163" w:rsidR="00953E58" w:rsidRPr="00953E58" w:rsidRDefault="00953E58" w:rsidP="00953E58">
      <w:r w:rsidRPr="00953E58">
        <w:t>ACM agreed that there was a need to specify status of the disease (moderate to severe) in the indications. ACM noted that this would reflect the pivotal study population (inclusion crite</w:t>
      </w:r>
      <w:r w:rsidR="00B57093">
        <w:t>ria moderate or worse disease).</w:t>
      </w:r>
    </w:p>
    <w:p w14:paraId="66846BD1" w14:textId="77777777" w:rsidR="00953E58" w:rsidRPr="00953E58" w:rsidRDefault="00953E58" w:rsidP="00953E58">
      <w:pPr>
        <w:rPr>
          <w:b/>
          <w:i/>
        </w:rPr>
      </w:pPr>
      <w:r w:rsidRPr="00953E58">
        <w:rPr>
          <w:b/>
          <w:i/>
        </w:rPr>
        <w:t xml:space="preserve">The committee </w:t>
      </w:r>
      <w:r>
        <w:rPr>
          <w:b/>
          <w:i/>
        </w:rPr>
        <w:t>was</w:t>
      </w:r>
      <w:r w:rsidRPr="00953E58">
        <w:rPr>
          <w:b/>
          <w:i/>
        </w:rPr>
        <w:t xml:space="preserve"> (also) requested to provide advice on any other issues that it thinks may be relevant to a decision on whether or not to approve </w:t>
      </w:r>
      <w:r>
        <w:rPr>
          <w:b/>
          <w:i/>
        </w:rPr>
        <w:t>this application.</w:t>
      </w:r>
    </w:p>
    <w:p w14:paraId="01292525" w14:textId="77777777" w:rsidR="00456765" w:rsidRPr="00A322B3" w:rsidRDefault="00953E58" w:rsidP="00953E58">
      <w:r>
        <w:t>The ACM noted that the data was consistent with and supportive of current clinical guidance on COPD management. The ACM advised that implementation by the sponsor of the recommendations outlined above to the satisfaction of the TGA, in addition to the evidence of efficacy and safety provided would support the safe and effective use of this product.</w:t>
      </w:r>
    </w:p>
    <w:p w14:paraId="2282A55B" w14:textId="77777777" w:rsidR="008E7846" w:rsidRPr="002E238E" w:rsidRDefault="008E7846" w:rsidP="008E7846">
      <w:pPr>
        <w:pStyle w:val="Heading3"/>
      </w:pPr>
      <w:bookmarkStart w:id="141" w:name="_Toc247691532"/>
      <w:bookmarkStart w:id="142" w:name="_Toc314842516"/>
      <w:bookmarkStart w:id="143" w:name="_Toc525732557"/>
      <w:bookmarkEnd w:id="72"/>
      <w:bookmarkEnd w:id="139"/>
      <w:bookmarkEnd w:id="140"/>
      <w:r>
        <w:t>Outcome</w:t>
      </w:r>
      <w:bookmarkEnd w:id="141"/>
      <w:bookmarkEnd w:id="142"/>
      <w:bookmarkEnd w:id="143"/>
    </w:p>
    <w:p w14:paraId="090E4E48" w14:textId="4B8E04D2" w:rsidR="00D23139" w:rsidRPr="00D23139" w:rsidRDefault="00D23139" w:rsidP="00D23139">
      <w:bookmarkStart w:id="144" w:name="_Toc247691533"/>
      <w:bookmarkStart w:id="145" w:name="_Toc314842517"/>
      <w:r w:rsidRPr="00D23139">
        <w:t xml:space="preserve">Based on a review of quality, safety and efficacy, TGA approved the registration of </w:t>
      </w:r>
      <w:r w:rsidR="00430D73">
        <w:t xml:space="preserve">Ultibro Breezhaler 110/50 indacaterol (as maleate)/ glycopyrronium (as bromide) 110 μg /50 μg powder for inhalation in hard capsule </w:t>
      </w:r>
      <w:r w:rsidRPr="00D23139">
        <w:t>indicated for:</w:t>
      </w:r>
    </w:p>
    <w:p w14:paraId="04DDE44F" w14:textId="77777777" w:rsidR="00D23139" w:rsidRPr="00D23139" w:rsidRDefault="00430D73" w:rsidP="00430D73">
      <w:pPr>
        <w:ind w:left="720"/>
      </w:pPr>
      <w:r w:rsidRPr="00F43626">
        <w:rPr>
          <w:i/>
        </w:rPr>
        <w:t>Ultibro Breezhaler 110/50 is indicated as a once-daily maintenance bronchodilator treatment to relieve symptoms in patients with chronic obstructive pulmonary disease (COPD), and for the reduction of exacerbations of COPD in patients with a history of exacerbations.</w:t>
      </w:r>
    </w:p>
    <w:p w14:paraId="4F8C52BF" w14:textId="77777777" w:rsidR="008E7846" w:rsidRDefault="00A80B5B" w:rsidP="00D23139">
      <w:pPr>
        <w:pStyle w:val="Heading2"/>
      </w:pPr>
      <w:bookmarkStart w:id="146" w:name="_Toc525732558"/>
      <w:proofErr w:type="gramStart"/>
      <w:r>
        <w:t>Attachment 1.</w:t>
      </w:r>
      <w:proofErr w:type="gramEnd"/>
      <w:r>
        <w:t xml:space="preserve"> </w:t>
      </w:r>
      <w:r w:rsidR="008E7846">
        <w:t xml:space="preserve">Product </w:t>
      </w:r>
      <w:r w:rsidR="00AA0ED0">
        <w:t>I</w:t>
      </w:r>
      <w:r w:rsidR="008E7846">
        <w:t>nformation</w:t>
      </w:r>
      <w:bookmarkEnd w:id="144"/>
      <w:bookmarkEnd w:id="145"/>
      <w:bookmarkEnd w:id="146"/>
    </w:p>
    <w:p w14:paraId="4D049BB6" w14:textId="77777777" w:rsidR="00833076" w:rsidRDefault="006136D7" w:rsidP="00C80137">
      <w:r w:rsidRPr="002B3624">
        <w:t xml:space="preserve">The </w:t>
      </w:r>
      <w:r>
        <w:t>PI</w:t>
      </w:r>
      <w:r w:rsidRPr="002B3624">
        <w:t xml:space="preserve"> for </w:t>
      </w:r>
      <w:r w:rsidR="00430D73">
        <w:t xml:space="preserve">Ultibro Breezhaler 110/50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6" w:history="1">
        <w:r w:rsidR="007C6B9B" w:rsidRPr="007C6B9B">
          <w:rPr>
            <w:rStyle w:val="Hyperlink"/>
          </w:rPr>
          <w:t>https://www.tga.gov.au/product-information-pi</w:t>
        </w:r>
      </w:hyperlink>
      <w:r w:rsidR="008E65BA">
        <w:t>&gt;</w:t>
      </w:r>
      <w:r w:rsidR="00833076">
        <w:t>.</w:t>
      </w:r>
    </w:p>
    <w:p w14:paraId="6032A2D7" w14:textId="4B59BF16" w:rsidR="00C80137" w:rsidRDefault="00C80137" w:rsidP="00C80137">
      <w:pPr>
        <w:pStyle w:val="Heading2"/>
        <w:rPr>
          <w:lang w:eastAsia="en-AU"/>
        </w:rPr>
      </w:pPr>
      <w:bookmarkStart w:id="147" w:name="_Toc525732559"/>
      <w:proofErr w:type="gramStart"/>
      <w:r>
        <w:rPr>
          <w:lang w:eastAsia="en-AU"/>
        </w:rPr>
        <w:t>Attachment 2.</w:t>
      </w:r>
      <w:proofErr w:type="gramEnd"/>
      <w:r w:rsidR="00A80B5B">
        <w:rPr>
          <w:lang w:eastAsia="en-AU"/>
        </w:rPr>
        <w:t xml:space="preserve"> </w:t>
      </w:r>
      <w:r>
        <w:rPr>
          <w:lang w:eastAsia="en-AU"/>
        </w:rPr>
        <w:t>Extract from the Clinical Evaluation Report</w:t>
      </w:r>
      <w:bookmarkEnd w:id="147"/>
    </w:p>
    <w:p w14:paraId="119E03A0" w14:textId="77777777" w:rsidR="00291957" w:rsidRDefault="00291957" w:rsidP="00291957">
      <w:pPr>
        <w:rPr>
          <w:lang w:eastAsia="ja-JP"/>
        </w:rPr>
      </w:pPr>
    </w:p>
    <w:p w14:paraId="75FDCBB7" w14:textId="77777777" w:rsidR="00C80137" w:rsidRPr="001D043B" w:rsidRDefault="00C80137" w:rsidP="003A7F6C">
      <w:pPr>
        <w:pStyle w:val="TableTitle"/>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140E779" w14:textId="77777777" w:rsidTr="00A05FA4">
        <w:trPr>
          <w:trHeight w:hRule="exact" w:val="704"/>
        </w:trPr>
        <w:tc>
          <w:tcPr>
            <w:tcW w:w="9175" w:type="dxa"/>
          </w:tcPr>
          <w:p w14:paraId="247D2D55" w14:textId="77777777" w:rsidR="001C32CD" w:rsidRPr="00487162" w:rsidRDefault="001C32CD" w:rsidP="00A05FA4">
            <w:pPr>
              <w:pStyle w:val="TGASignoff"/>
            </w:pPr>
            <w:r w:rsidRPr="00487162">
              <w:lastRenderedPageBreak/>
              <w:t>Therapeutic Goods Administration</w:t>
            </w:r>
          </w:p>
        </w:tc>
      </w:tr>
      <w:tr w:rsidR="001C32CD" w:rsidRPr="004C239D" w14:paraId="70AE8153" w14:textId="77777777" w:rsidTr="00A05FA4">
        <w:trPr>
          <w:trHeight w:val="1221"/>
        </w:trPr>
        <w:tc>
          <w:tcPr>
            <w:tcW w:w="9175" w:type="dxa"/>
            <w:tcMar>
              <w:top w:w="28" w:type="dxa"/>
            </w:tcMar>
          </w:tcPr>
          <w:p w14:paraId="61FD05BD" w14:textId="77777777" w:rsidR="001C32CD" w:rsidRPr="00487162" w:rsidRDefault="001C32CD" w:rsidP="00A05FA4">
            <w:pPr>
              <w:pStyle w:val="Address"/>
            </w:pPr>
            <w:r w:rsidRPr="00487162">
              <w:t>PO Box 100 Woden ACT 2606 Australia</w:t>
            </w:r>
          </w:p>
          <w:p w14:paraId="42D21C5F" w14:textId="77777777" w:rsidR="001C32CD" w:rsidRPr="00487162" w:rsidRDefault="001C32CD" w:rsidP="00A05FA4">
            <w:pPr>
              <w:pStyle w:val="Address"/>
            </w:pPr>
            <w:r w:rsidRPr="00487162">
              <w:t xml:space="preserve">Email: </w:t>
            </w:r>
            <w:hyperlink r:id="rId31" w:history="1">
              <w:r w:rsidRPr="004C239D">
                <w:rPr>
                  <w:rStyle w:val="Hyperlink"/>
                </w:rPr>
                <w:t>info@tga.gov.au</w:t>
              </w:r>
            </w:hyperlink>
            <w:r w:rsidR="00FE4E85">
              <w:t xml:space="preserve"> </w:t>
            </w:r>
            <w:r w:rsidRPr="00487162">
              <w:t>Phone: 1800 020 653</w:t>
            </w:r>
            <w:r w:rsidR="00FE4E85">
              <w:t xml:space="preserve"> </w:t>
            </w:r>
            <w:r w:rsidRPr="00487162">
              <w:t>Fax: 02 6232 8605</w:t>
            </w:r>
          </w:p>
          <w:p w14:paraId="119733E5" w14:textId="77777777" w:rsidR="001C32CD" w:rsidRPr="004C239D" w:rsidRDefault="00FC6220"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14:paraId="71A442A3" w14:textId="77777777"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81D251" w15:done="0"/>
  <w15:commentEx w15:paraId="146E591A" w15:done="0"/>
  <w15:commentEx w15:paraId="685CEE98" w15:done="0"/>
  <w15:commentEx w15:paraId="503A273E" w15:done="0"/>
  <w15:commentEx w15:paraId="620050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65F62" w14:textId="77777777" w:rsidR="000A6315" w:rsidRDefault="000A6315" w:rsidP="00C40A36">
      <w:pPr>
        <w:spacing w:after="0"/>
      </w:pPr>
      <w:r>
        <w:separator/>
      </w:r>
    </w:p>
  </w:endnote>
  <w:endnote w:type="continuationSeparator" w:id="0">
    <w:p w14:paraId="3EAF684E" w14:textId="77777777" w:rsidR="000A6315" w:rsidRDefault="000A631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A6315" w:rsidRPr="00487162" w14:paraId="440752E7" w14:textId="77777777" w:rsidTr="00DB750B">
      <w:trPr>
        <w:trHeight w:val="269"/>
      </w:trPr>
      <w:tc>
        <w:tcPr>
          <w:tcW w:w="7371" w:type="dxa"/>
          <w:tcMar>
            <w:top w:w="142" w:type="dxa"/>
            <w:bottom w:w="0" w:type="dxa"/>
          </w:tcMar>
        </w:tcPr>
        <w:p w14:paraId="746F28B6" w14:textId="12FD22F4" w:rsidR="000A6315" w:rsidRPr="00487162" w:rsidRDefault="000A6315" w:rsidP="000A6315">
          <w:pPr>
            <w:pStyle w:val="Footer"/>
          </w:pPr>
          <w:r>
            <w:t>AusPAR - ULTIBRO BREEZHALER - Indacaterol maleate/ G</w:t>
          </w:r>
          <w:r w:rsidRPr="0011299B">
            <w:t>lycopyrronium</w:t>
          </w:r>
          <w:r>
            <w:t xml:space="preserve"> </w:t>
          </w:r>
          <w:r w:rsidRPr="0011299B">
            <w:t>bromide</w:t>
          </w:r>
          <w:r>
            <w:t xml:space="preserve"> </w:t>
          </w:r>
          <w:r w:rsidRPr="0011299B">
            <w:t xml:space="preserve">- Novartis Pharmaceuticals Australia Pty Ltd - PM-2016-02734-1-5 </w:t>
          </w:r>
          <w:r>
            <w:t>Final 3 September  2018</w:t>
          </w:r>
        </w:p>
      </w:tc>
      <w:tc>
        <w:tcPr>
          <w:tcW w:w="1490" w:type="dxa"/>
          <w:tcMar>
            <w:top w:w="142" w:type="dxa"/>
            <w:bottom w:w="0" w:type="dxa"/>
          </w:tcMar>
        </w:tcPr>
        <w:p w14:paraId="6779BAFC" w14:textId="77777777" w:rsidR="000A6315" w:rsidRPr="00487162" w:rsidRDefault="000A6315" w:rsidP="00DB750B">
          <w:pPr>
            <w:pStyle w:val="Footer"/>
            <w:jc w:val="right"/>
          </w:pPr>
          <w:r w:rsidRPr="00487162">
            <w:t xml:space="preserve">Page </w:t>
          </w:r>
          <w:r>
            <w:fldChar w:fldCharType="begin"/>
          </w:r>
          <w:r>
            <w:instrText xml:space="preserve"> PAGE  \* Arabic </w:instrText>
          </w:r>
          <w:r>
            <w:fldChar w:fldCharType="separate"/>
          </w:r>
          <w:r w:rsidR="00FC6220">
            <w:rPr>
              <w:noProof/>
            </w:rPr>
            <w:t>35</w:t>
          </w:r>
          <w:r>
            <w:fldChar w:fldCharType="end"/>
          </w:r>
          <w:r w:rsidRPr="00487162">
            <w:t xml:space="preserve"> of </w:t>
          </w:r>
          <w:r w:rsidR="00FC6220">
            <w:fldChar w:fldCharType="begin"/>
          </w:r>
          <w:r w:rsidR="00FC6220">
            <w:instrText xml:space="preserve"> NUMPAGES  \* Arabic </w:instrText>
          </w:r>
          <w:r w:rsidR="00FC6220">
            <w:fldChar w:fldCharType="separate"/>
          </w:r>
          <w:r w:rsidR="00FC6220">
            <w:rPr>
              <w:noProof/>
            </w:rPr>
            <w:t>36</w:t>
          </w:r>
          <w:r w:rsidR="00FC6220">
            <w:rPr>
              <w:noProof/>
            </w:rPr>
            <w:fldChar w:fldCharType="end"/>
          </w:r>
        </w:p>
      </w:tc>
    </w:tr>
  </w:tbl>
  <w:p w14:paraId="68043D56" w14:textId="77777777" w:rsidR="000A6315" w:rsidRDefault="000A6315"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A6315" w:rsidRPr="00487162" w14:paraId="22D9B8EE" w14:textId="77777777" w:rsidTr="00E45619">
      <w:trPr>
        <w:trHeight w:val="269"/>
      </w:trPr>
      <w:tc>
        <w:tcPr>
          <w:tcW w:w="4519" w:type="dxa"/>
          <w:tcBorders>
            <w:top w:val="single" w:sz="4" w:space="0" w:color="auto"/>
          </w:tcBorders>
          <w:tcMar>
            <w:top w:w="142" w:type="dxa"/>
            <w:bottom w:w="0" w:type="dxa"/>
          </w:tcMar>
        </w:tcPr>
        <w:p w14:paraId="32B11CAC" w14:textId="77777777" w:rsidR="000A6315" w:rsidRPr="00487162" w:rsidRDefault="000A6315" w:rsidP="00FE1DEE">
          <w:pPr>
            <w:pStyle w:val="Footer"/>
          </w:pPr>
          <w:r w:rsidRPr="00487162">
            <w:t>Document title, Part #, Section # - Section title</w:t>
          </w:r>
        </w:p>
        <w:p w14:paraId="4FA5C2CF" w14:textId="77777777" w:rsidR="000A6315" w:rsidRPr="00487162" w:rsidRDefault="000A6315" w:rsidP="00FE1DEE">
          <w:pPr>
            <w:pStyle w:val="Footer"/>
          </w:pPr>
          <w:r w:rsidRPr="00487162">
            <w:t>V1.0 October 2010</w:t>
          </w:r>
        </w:p>
      </w:tc>
      <w:tc>
        <w:tcPr>
          <w:tcW w:w="4342" w:type="dxa"/>
          <w:tcBorders>
            <w:top w:val="single" w:sz="4" w:space="0" w:color="auto"/>
          </w:tcBorders>
          <w:tcMar>
            <w:top w:w="142" w:type="dxa"/>
            <w:bottom w:w="0" w:type="dxa"/>
          </w:tcMar>
        </w:tcPr>
        <w:p w14:paraId="252F4E40" w14:textId="77777777" w:rsidR="000A6315" w:rsidRPr="00487162" w:rsidRDefault="000A631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C6220">
            <w:fldChar w:fldCharType="begin"/>
          </w:r>
          <w:r w:rsidR="00FC6220">
            <w:instrText xml:space="preserve"> NUMPAGES  </w:instrText>
          </w:r>
          <w:r w:rsidR="00FC6220">
            <w:fldChar w:fldCharType="separate"/>
          </w:r>
          <w:r>
            <w:rPr>
              <w:noProof/>
            </w:rPr>
            <w:t>3</w:t>
          </w:r>
          <w:r w:rsidR="00FC6220">
            <w:rPr>
              <w:noProof/>
            </w:rPr>
            <w:fldChar w:fldCharType="end"/>
          </w:r>
        </w:p>
      </w:tc>
    </w:tr>
  </w:tbl>
  <w:p w14:paraId="15984779" w14:textId="77777777" w:rsidR="000A6315" w:rsidRDefault="000A63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AF0D4" w14:textId="77777777" w:rsidR="000A6315" w:rsidRPr="001C32CD" w:rsidRDefault="000A6315"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A6315" w14:paraId="471532E3" w14:textId="77777777" w:rsidTr="0010601F">
      <w:trPr>
        <w:trHeight w:val="108"/>
      </w:trPr>
      <w:tc>
        <w:tcPr>
          <w:tcW w:w="8875" w:type="dxa"/>
          <w:gridSpan w:val="2"/>
          <w:tcBorders>
            <w:bottom w:val="single" w:sz="4" w:space="0" w:color="auto"/>
          </w:tcBorders>
          <w:tcMar>
            <w:right w:w="284" w:type="dxa"/>
          </w:tcMar>
        </w:tcPr>
        <w:p w14:paraId="6A834347" w14:textId="77777777" w:rsidR="000A6315" w:rsidRDefault="000A6315" w:rsidP="006E08B3">
          <w:pPr>
            <w:pStyle w:val="Heading3"/>
          </w:pPr>
          <w:r>
            <w:t>Copyright</w:t>
          </w:r>
        </w:p>
        <w:p w14:paraId="48B8E4AB" w14:textId="77777777" w:rsidR="000A6315" w:rsidRDefault="000A6315" w:rsidP="006E08B3">
          <w:r>
            <w:rPr>
              <w:rFonts w:cs="Arial"/>
            </w:rPr>
            <w:t>©</w:t>
          </w:r>
          <w:r>
            <w:t xml:space="preserve"> Commonwealth of Australia [add year]</w:t>
          </w:r>
        </w:p>
        <w:p w14:paraId="782940D8" w14:textId="77777777" w:rsidR="000A6315" w:rsidRDefault="000A6315" w:rsidP="006E08B3"/>
        <w:p w14:paraId="61A99EAB" w14:textId="77777777" w:rsidR="000A6315" w:rsidRDefault="000A631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338FE3B" w14:textId="77777777" w:rsidR="000A6315" w:rsidRDefault="000A6315" w:rsidP="006E08B3"/>
        <w:p w14:paraId="7C7DFDCA" w14:textId="77777777" w:rsidR="000A6315" w:rsidRDefault="000A6315" w:rsidP="006E08B3">
          <w:pPr>
            <w:pStyle w:val="Heading3"/>
          </w:pPr>
          <w:r>
            <w:t>Confidentiality</w:t>
          </w:r>
        </w:p>
        <w:p w14:paraId="087E1EDB" w14:textId="77777777" w:rsidR="000A6315" w:rsidRDefault="000A631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9725D65" w14:textId="77777777" w:rsidR="000A6315" w:rsidRDefault="000A6315" w:rsidP="006E08B3"/>
        <w:p w14:paraId="6375E17A" w14:textId="77777777" w:rsidR="000A6315" w:rsidRDefault="000A6315" w:rsidP="006E08B3">
          <w:r>
            <w:t>For submission made by individuals, all personal details, other than your name, will be removed from your submission before it is published on the TGA’s Internet site.</w:t>
          </w:r>
        </w:p>
        <w:p w14:paraId="3C57F3D7" w14:textId="77777777" w:rsidR="000A6315" w:rsidRDefault="000A6315" w:rsidP="006E08B3"/>
        <w:p w14:paraId="153255E0" w14:textId="77777777" w:rsidR="000A6315" w:rsidRDefault="000A631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A6315" w14:paraId="44654DE1" w14:textId="77777777" w:rsidTr="0010601F">
      <w:trPr>
        <w:trHeight w:val="417"/>
      </w:trPr>
      <w:tc>
        <w:tcPr>
          <w:tcW w:w="4519" w:type="dxa"/>
          <w:tcBorders>
            <w:top w:val="single" w:sz="4" w:space="0" w:color="auto"/>
          </w:tcBorders>
          <w:tcMar>
            <w:top w:w="142" w:type="dxa"/>
            <w:bottom w:w="0" w:type="dxa"/>
          </w:tcMar>
        </w:tcPr>
        <w:p w14:paraId="134E175E" w14:textId="77777777" w:rsidR="000A6315" w:rsidRDefault="000A6315" w:rsidP="006E08B3">
          <w:r>
            <w:t>Document title, Part #, Section # - Section title</w:t>
          </w:r>
        </w:p>
        <w:p w14:paraId="35E33004" w14:textId="77777777" w:rsidR="000A6315" w:rsidRDefault="000A6315" w:rsidP="006E08B3">
          <w:r>
            <w:t>V1.0 October 2010</w:t>
          </w:r>
        </w:p>
      </w:tc>
      <w:tc>
        <w:tcPr>
          <w:tcW w:w="4356" w:type="dxa"/>
          <w:tcBorders>
            <w:top w:val="single" w:sz="4" w:space="0" w:color="auto"/>
          </w:tcBorders>
          <w:tcMar>
            <w:top w:w="142" w:type="dxa"/>
            <w:bottom w:w="0" w:type="dxa"/>
          </w:tcMar>
        </w:tcPr>
        <w:p w14:paraId="67B5CC23" w14:textId="77777777" w:rsidR="000A6315" w:rsidRDefault="000A631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C6220">
            <w:fldChar w:fldCharType="begin"/>
          </w:r>
          <w:r w:rsidR="00FC6220">
            <w:instrText xml:space="preserve"> NUMPAGES  \* Arabic </w:instrText>
          </w:r>
          <w:r w:rsidR="00FC6220">
            <w:fldChar w:fldCharType="separate"/>
          </w:r>
          <w:r>
            <w:rPr>
              <w:noProof/>
            </w:rPr>
            <w:t>3</w:t>
          </w:r>
          <w:r w:rsidR="00FC6220">
            <w:rPr>
              <w:noProof/>
            </w:rPr>
            <w:fldChar w:fldCharType="end"/>
          </w:r>
          <w:r>
            <w:t xml:space="preserve"> </w:t>
          </w:r>
        </w:p>
      </w:tc>
    </w:tr>
  </w:tbl>
  <w:p w14:paraId="7D69918B" w14:textId="77777777" w:rsidR="000A6315" w:rsidRDefault="000A63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C9464" w14:textId="77777777" w:rsidR="000A6315" w:rsidRDefault="000A6315" w:rsidP="00C40A36">
      <w:pPr>
        <w:spacing w:after="0"/>
      </w:pPr>
      <w:r>
        <w:separator/>
      </w:r>
    </w:p>
  </w:footnote>
  <w:footnote w:type="continuationSeparator" w:id="0">
    <w:p w14:paraId="0FE9C564" w14:textId="77777777" w:rsidR="000A6315" w:rsidRDefault="000A6315" w:rsidP="00C40A36">
      <w:pPr>
        <w:spacing w:after="0"/>
      </w:pPr>
      <w:r>
        <w:continuationSeparator/>
      </w:r>
    </w:p>
  </w:footnote>
  <w:footnote w:id="1">
    <w:p w14:paraId="40744C4D" w14:textId="77777777" w:rsidR="000A6315" w:rsidRPr="00F43626" w:rsidRDefault="000A6315">
      <w:pPr>
        <w:pStyle w:val="FootnoteText"/>
        <w:rPr>
          <w:lang w:val="en-US"/>
        </w:rPr>
      </w:pPr>
      <w:r>
        <w:rPr>
          <w:rStyle w:val="FootnoteReference"/>
        </w:rPr>
        <w:footnoteRef/>
      </w:r>
      <w:r>
        <w:t xml:space="preserve"> </w:t>
      </w:r>
      <w:r>
        <w:rPr>
          <w:lang w:val="en-US"/>
        </w:rPr>
        <w:t xml:space="preserve">The submission also included the product </w:t>
      </w:r>
      <w:proofErr w:type="spellStart"/>
      <w:r>
        <w:rPr>
          <w:lang w:val="en-US"/>
        </w:rPr>
        <w:t>Xoterna</w:t>
      </w:r>
      <w:proofErr w:type="spellEnd"/>
      <w:r>
        <w:rPr>
          <w:lang w:val="en-US"/>
        </w:rPr>
        <w:t xml:space="preserve"> </w:t>
      </w:r>
      <w:proofErr w:type="spellStart"/>
      <w:r>
        <w:rPr>
          <w:lang w:val="en-US"/>
        </w:rPr>
        <w:t>Breezhaler</w:t>
      </w:r>
      <w:proofErr w:type="spellEnd"/>
      <w:r>
        <w:rPr>
          <w:lang w:val="en-US"/>
        </w:rPr>
        <w:t xml:space="preserve"> 110/50 (ARTG 223389) however this was withdrawn during the process of the submission as a result of the cancellation (by the sponsor) of the ARTG entry for this product.</w:t>
      </w:r>
    </w:p>
  </w:footnote>
  <w:footnote w:id="2">
    <w:p w14:paraId="48A006DB" w14:textId="77777777" w:rsidR="000A6315" w:rsidRPr="00BF580B" w:rsidRDefault="000A6315">
      <w:pPr>
        <w:pStyle w:val="FootnoteText"/>
        <w:rPr>
          <w:lang w:val="en-US"/>
        </w:rPr>
      </w:pPr>
      <w:r>
        <w:rPr>
          <w:rStyle w:val="FootnoteReference"/>
        </w:rPr>
        <w:footnoteRef/>
      </w:r>
      <w:r>
        <w:t xml:space="preserve"> </w:t>
      </w:r>
      <w:hyperlink r:id="rId1" w:history="1">
        <w:r w:rsidRPr="002C322D">
          <w:rPr>
            <w:rStyle w:val="Hyperlink"/>
          </w:rPr>
          <w:t>https://www.tga.gov.au/auspar/auspar-indacaterol-maleate-glycopyrronium-bromide</w:t>
        </w:r>
      </w:hyperlink>
      <w:r>
        <w:t xml:space="preserve"> </w:t>
      </w:r>
    </w:p>
  </w:footnote>
  <w:footnote w:id="3">
    <w:p w14:paraId="3E33D414" w14:textId="77777777" w:rsidR="000A6315" w:rsidRPr="00F16C14" w:rsidRDefault="000A6315" w:rsidP="00750EC2">
      <w:pPr>
        <w:pStyle w:val="TableDescription"/>
        <w:spacing w:before="0"/>
        <w:rPr>
          <w:color w:val="000000"/>
        </w:rPr>
      </w:pPr>
      <w:r>
        <w:rPr>
          <w:rStyle w:val="FootnoteReference"/>
        </w:rPr>
        <w:footnoteRef/>
      </w:r>
      <w:r>
        <w:t xml:space="preserve"> Hurst JR, et al </w:t>
      </w:r>
      <w:r>
        <w:rPr>
          <w:color w:val="000000"/>
        </w:rPr>
        <w:t xml:space="preserve">Susceptibility to exacerbation in chronic obstructive pulmonary disease. </w:t>
      </w:r>
      <w:r w:rsidRPr="00F16C14">
        <w:rPr>
          <w:i/>
          <w:color w:val="000000"/>
        </w:rPr>
        <w:t xml:space="preserve">N </w:t>
      </w:r>
      <w:proofErr w:type="spellStart"/>
      <w:r w:rsidRPr="00F16C14">
        <w:rPr>
          <w:i/>
          <w:color w:val="000000"/>
        </w:rPr>
        <w:t>Engl</w:t>
      </w:r>
      <w:proofErr w:type="spellEnd"/>
      <w:r w:rsidRPr="00F16C14">
        <w:rPr>
          <w:i/>
          <w:color w:val="000000"/>
        </w:rPr>
        <w:t xml:space="preserve"> J Med</w:t>
      </w:r>
      <w:r>
        <w:rPr>
          <w:color w:val="000000"/>
        </w:rPr>
        <w:t>; 2010; 63: 1128-1138.</w:t>
      </w:r>
    </w:p>
  </w:footnote>
  <w:footnote w:id="4">
    <w:p w14:paraId="655BD8E8" w14:textId="77777777" w:rsidR="000A6315" w:rsidRPr="00F16C14" w:rsidRDefault="000A6315" w:rsidP="00750EC2">
      <w:pPr>
        <w:pStyle w:val="TableDescription"/>
        <w:spacing w:before="0"/>
      </w:pPr>
      <w:r>
        <w:rPr>
          <w:rStyle w:val="FootnoteReference"/>
        </w:rPr>
        <w:footnoteRef/>
      </w:r>
      <w:r>
        <w:t xml:space="preserve"> </w:t>
      </w:r>
      <w:proofErr w:type="spellStart"/>
      <w:proofErr w:type="gramStart"/>
      <w:r w:rsidRPr="00F16C14">
        <w:t>Wedzicha</w:t>
      </w:r>
      <w:proofErr w:type="spellEnd"/>
      <w:r w:rsidRPr="00F16C14">
        <w:t xml:space="preserve"> JA, Wilkinson T (2006) Impact </w:t>
      </w:r>
      <w:r>
        <w:t>of chronic obstructive pulmonary disease exacerbations on patients and payers.</w:t>
      </w:r>
      <w:proofErr w:type="gramEnd"/>
      <w:r>
        <w:t xml:space="preserve"> </w:t>
      </w:r>
      <w:r w:rsidRPr="00F16C14">
        <w:rPr>
          <w:i/>
        </w:rPr>
        <w:t xml:space="preserve">Proc </w:t>
      </w:r>
      <w:proofErr w:type="spellStart"/>
      <w:r w:rsidRPr="00F16C14">
        <w:rPr>
          <w:i/>
        </w:rPr>
        <w:t>Thorac</w:t>
      </w:r>
      <w:proofErr w:type="spellEnd"/>
      <w:r w:rsidRPr="00F16C14">
        <w:rPr>
          <w:i/>
        </w:rPr>
        <w:t xml:space="preserve"> </w:t>
      </w:r>
      <w:proofErr w:type="spellStart"/>
      <w:r w:rsidRPr="00F16C14">
        <w:rPr>
          <w:i/>
        </w:rPr>
        <w:t>Soc</w:t>
      </w:r>
      <w:proofErr w:type="spellEnd"/>
      <w:r>
        <w:t xml:space="preserve"> 2006; 3: 218-221.</w:t>
      </w:r>
    </w:p>
  </w:footnote>
  <w:footnote w:id="5">
    <w:p w14:paraId="0F9D2DBA" w14:textId="77777777" w:rsidR="000A6315" w:rsidRPr="005629DE" w:rsidRDefault="000A6315">
      <w:pPr>
        <w:pStyle w:val="FootnoteText"/>
        <w:rPr>
          <w:lang w:val="en-US"/>
        </w:rPr>
      </w:pPr>
      <w:r>
        <w:rPr>
          <w:rStyle w:val="FootnoteReference"/>
        </w:rPr>
        <w:footnoteRef/>
      </w:r>
      <w:r>
        <w:t xml:space="preserve"> </w:t>
      </w:r>
      <w:proofErr w:type="gramStart"/>
      <w:r>
        <w:t>EMA/CHMP/483572/2012</w:t>
      </w:r>
      <w:r w:rsidRPr="00DC41F7">
        <w:t xml:space="preserve"> </w:t>
      </w:r>
      <w:proofErr w:type="spellStart"/>
      <w:r w:rsidRPr="00DC41F7">
        <w:t>corr</w:t>
      </w:r>
      <w:proofErr w:type="spellEnd"/>
      <w:r w:rsidRPr="00DC41F7">
        <w:t xml:space="preserve"> 1 Guidelines on clinical investigation of medical produ</w:t>
      </w:r>
      <w:r>
        <w:t>cts for the treatment of COPD.</w:t>
      </w:r>
      <w:proofErr w:type="gramEnd"/>
    </w:p>
  </w:footnote>
  <w:footnote w:id="6">
    <w:p w14:paraId="1BEFEC33" w14:textId="77777777" w:rsidR="000A6315" w:rsidRPr="008051BC" w:rsidRDefault="000A6315">
      <w:pPr>
        <w:pStyle w:val="FootnoteText"/>
        <w:rPr>
          <w:lang w:val="en-US"/>
        </w:rPr>
      </w:pPr>
      <w:r>
        <w:rPr>
          <w:rStyle w:val="FootnoteReference"/>
        </w:rPr>
        <w:footnoteRef/>
      </w:r>
      <w:r>
        <w:t xml:space="preserve"> </w:t>
      </w:r>
      <w:r w:rsidRPr="003342AD">
        <w:t>RACGP</w:t>
      </w:r>
      <w:r>
        <w:t>; Royal Australian College of General Practitioners</w:t>
      </w:r>
    </w:p>
  </w:footnote>
  <w:footnote w:id="7">
    <w:p w14:paraId="5E4519C5" w14:textId="77777777" w:rsidR="000A6315" w:rsidRPr="008051BC" w:rsidRDefault="000A6315">
      <w:pPr>
        <w:pStyle w:val="FootnoteText"/>
        <w:rPr>
          <w:lang w:val="en-US"/>
        </w:rPr>
      </w:pPr>
      <w:r>
        <w:rPr>
          <w:rStyle w:val="FootnoteReference"/>
        </w:rPr>
        <w:footnoteRef/>
      </w:r>
      <w:r>
        <w:t xml:space="preserve"> See information at </w:t>
      </w:r>
      <w:r w:rsidRPr="008051BC">
        <w:t>www.copdx.org.au</w:t>
      </w:r>
    </w:p>
  </w:footnote>
  <w:footnote w:id="8">
    <w:p w14:paraId="1BFA9214" w14:textId="77777777" w:rsidR="000A6315" w:rsidRPr="008051BC" w:rsidRDefault="000A6315">
      <w:pPr>
        <w:pStyle w:val="FootnoteText"/>
        <w:rPr>
          <w:lang w:val="en-US"/>
        </w:rPr>
      </w:pPr>
      <w:r>
        <w:rPr>
          <w:rStyle w:val="FootnoteReference"/>
        </w:rPr>
        <w:footnoteRef/>
      </w:r>
      <w:r>
        <w:t xml:space="preserve"> </w:t>
      </w:r>
      <w:proofErr w:type="spellStart"/>
      <w:r>
        <w:rPr>
          <w:lang w:val="en"/>
        </w:rPr>
        <w:t>Wedzicha</w:t>
      </w:r>
      <w:proofErr w:type="spellEnd"/>
      <w:r>
        <w:rPr>
          <w:lang w:val="en"/>
        </w:rPr>
        <w:t xml:space="preserve">, JA et al 2016 </w:t>
      </w:r>
      <w:r>
        <w:rPr>
          <w:rStyle w:val="titledefault"/>
          <w:lang w:val="en"/>
        </w:rPr>
        <w:t xml:space="preserve">Indacaterol–Glycopyrronium versus Salmeterol–Fluticasone for COPD </w:t>
      </w:r>
      <w:r w:rsidRPr="00195E33">
        <w:rPr>
          <w:i/>
        </w:rPr>
        <w:t>NEJM</w:t>
      </w:r>
      <w:r>
        <w:t xml:space="preserve"> </w:t>
      </w:r>
      <w:r w:rsidRPr="003342AD">
        <w:t>2016; 374, 2222-2234</w:t>
      </w:r>
    </w:p>
  </w:footnote>
  <w:footnote w:id="9">
    <w:p w14:paraId="76C2D83D" w14:textId="77777777" w:rsidR="000A6315" w:rsidRPr="008635E7" w:rsidRDefault="000A6315" w:rsidP="008635E7">
      <w:pPr>
        <w:pStyle w:val="FootnoteText"/>
      </w:pPr>
      <w:r>
        <w:rPr>
          <w:rStyle w:val="FootnoteReference"/>
        </w:rPr>
        <w:footnoteRef/>
      </w:r>
      <w:r>
        <w:t xml:space="preserve"> </w:t>
      </w:r>
      <w:proofErr w:type="gramStart"/>
      <w:r>
        <w:t>Global Strategy for the Diagnosis, Management and Prevention of Chronic Obstructive Pulmonary Disease (COPD).</w:t>
      </w:r>
      <w:proofErr w:type="gramEnd"/>
      <w:r>
        <w:t xml:space="preserve"> </w:t>
      </w:r>
      <w:proofErr w:type="gramStart"/>
      <w:r>
        <w:t>Updated 2011.</w:t>
      </w:r>
      <w:proofErr w:type="gramEnd"/>
    </w:p>
  </w:footnote>
  <w:footnote w:id="10">
    <w:p w14:paraId="2BEE873C" w14:textId="77777777" w:rsidR="000A6315" w:rsidRPr="00EE31EA" w:rsidRDefault="000A6315" w:rsidP="00EE31EA">
      <w:pPr>
        <w:pStyle w:val="FootnoteText"/>
      </w:pPr>
      <w:r>
        <w:rPr>
          <w:rStyle w:val="FootnoteReference"/>
        </w:rPr>
        <w:footnoteRef/>
      </w:r>
      <w:r>
        <w:t xml:space="preserve"> </w:t>
      </w:r>
      <w:proofErr w:type="spellStart"/>
      <w:proofErr w:type="gramStart"/>
      <w:r w:rsidRPr="00EE31EA">
        <w:t>Tashkin</w:t>
      </w:r>
      <w:proofErr w:type="spellEnd"/>
      <w:r w:rsidRPr="00EE31EA">
        <w:t xml:space="preserve"> DP</w:t>
      </w:r>
      <w:r>
        <w:t xml:space="preserve"> et al (2008)</w:t>
      </w:r>
      <w:r w:rsidRPr="00EE31EA">
        <w:t xml:space="preserve"> A 4-year trial of tiotropium in chronic obstructive</w:t>
      </w:r>
      <w:r>
        <w:t xml:space="preserve"> </w:t>
      </w:r>
      <w:r w:rsidRPr="00EE31EA">
        <w:t>pulmonary disease.</w:t>
      </w:r>
      <w:proofErr w:type="gramEnd"/>
      <w:r w:rsidRPr="00EE31EA">
        <w:t xml:space="preserve"> </w:t>
      </w:r>
      <w:r w:rsidRPr="00EE31EA">
        <w:rPr>
          <w:i/>
        </w:rPr>
        <w:t xml:space="preserve">N </w:t>
      </w:r>
      <w:proofErr w:type="spellStart"/>
      <w:r w:rsidRPr="00EE31EA">
        <w:rPr>
          <w:i/>
        </w:rPr>
        <w:t>Engl</w:t>
      </w:r>
      <w:proofErr w:type="spellEnd"/>
      <w:r w:rsidRPr="00EE31EA">
        <w:rPr>
          <w:i/>
        </w:rPr>
        <w:t xml:space="preserve"> J Med</w:t>
      </w:r>
      <w:r>
        <w:t xml:space="preserve">; 2008; </w:t>
      </w:r>
      <w:r w:rsidRPr="00EE31EA">
        <w:t>359:</w:t>
      </w:r>
      <w:r>
        <w:t xml:space="preserve"> </w:t>
      </w:r>
      <w:r w:rsidRPr="00EE31EA">
        <w:t>1543-</w:t>
      </w:r>
      <w:r>
        <w:t>15</w:t>
      </w:r>
      <w:r w:rsidRPr="00EE31EA">
        <w:t>54.</w:t>
      </w:r>
    </w:p>
  </w:footnote>
  <w:footnote w:id="11">
    <w:p w14:paraId="78C6D200" w14:textId="77777777" w:rsidR="000A6315" w:rsidRPr="002E7937" w:rsidRDefault="000A6315" w:rsidP="002E7937">
      <w:pPr>
        <w:pStyle w:val="FootnoteText"/>
        <w:rPr>
          <w:color w:val="000000"/>
        </w:rPr>
      </w:pPr>
      <w:r>
        <w:rPr>
          <w:rStyle w:val="FootnoteReference"/>
        </w:rPr>
        <w:footnoteRef/>
      </w:r>
      <w:r>
        <w:t xml:space="preserve"> </w:t>
      </w:r>
      <w:proofErr w:type="gramStart"/>
      <w:r>
        <w:t xml:space="preserve">Calverley PM, et al (2007)] </w:t>
      </w:r>
      <w:r>
        <w:rPr>
          <w:color w:val="000000"/>
        </w:rPr>
        <w:t>Salmeterol and fluticasone propionate and survival in chronic obstructive pulmonary disease.</w:t>
      </w:r>
      <w:proofErr w:type="gramEnd"/>
      <w:r>
        <w:rPr>
          <w:color w:val="000000"/>
        </w:rPr>
        <w:t xml:space="preserve"> </w:t>
      </w:r>
      <w:r w:rsidRPr="002E7937">
        <w:rPr>
          <w:i/>
          <w:color w:val="000000"/>
        </w:rPr>
        <w:t xml:space="preserve">N </w:t>
      </w:r>
      <w:proofErr w:type="spellStart"/>
      <w:r w:rsidRPr="002E7937">
        <w:rPr>
          <w:i/>
          <w:color w:val="000000"/>
        </w:rPr>
        <w:t>Engl</w:t>
      </w:r>
      <w:proofErr w:type="spellEnd"/>
      <w:r w:rsidRPr="002E7937">
        <w:rPr>
          <w:i/>
          <w:color w:val="000000"/>
        </w:rPr>
        <w:t xml:space="preserve"> J Med</w:t>
      </w:r>
      <w:r>
        <w:rPr>
          <w:i/>
          <w:color w:val="000000"/>
        </w:rPr>
        <w:t xml:space="preserve"> </w:t>
      </w:r>
      <w:r>
        <w:rPr>
          <w:color w:val="000000"/>
        </w:rPr>
        <w:t>2007; 356: 775-789.</w:t>
      </w:r>
    </w:p>
  </w:footnote>
  <w:footnote w:id="12">
    <w:p w14:paraId="7E733598" w14:textId="77777777" w:rsidR="000A6315" w:rsidRPr="00FE4E85" w:rsidRDefault="000A6315">
      <w:pPr>
        <w:pStyle w:val="FootnoteText"/>
        <w:rPr>
          <w:lang w:val="en-US"/>
        </w:rPr>
      </w:pPr>
      <w:r>
        <w:rPr>
          <w:rStyle w:val="FootnoteReference"/>
        </w:rPr>
        <w:footnoteRef/>
      </w:r>
      <w:r>
        <w:t xml:space="preserve"> </w:t>
      </w:r>
      <w:proofErr w:type="spellStart"/>
      <w:proofErr w:type="gramStart"/>
      <w:r w:rsidRPr="000E3AEF">
        <w:t>Horita</w:t>
      </w:r>
      <w:proofErr w:type="spellEnd"/>
      <w:r w:rsidRPr="000E3AEF">
        <w:t xml:space="preserve"> in 2017</w:t>
      </w:r>
      <w:r w:rsidRPr="00EE31EA">
        <w:rPr>
          <w:rFonts w:asciiTheme="minorHAnsi" w:hAnsiTheme="minorHAnsi"/>
          <w:szCs w:val="22"/>
        </w:rPr>
        <w:t xml:space="preserve"> </w:t>
      </w:r>
      <w:proofErr w:type="spellStart"/>
      <w:r>
        <w:rPr>
          <w:rFonts w:asciiTheme="minorHAnsi" w:hAnsiTheme="minorHAnsi"/>
          <w:szCs w:val="22"/>
        </w:rPr>
        <w:t>Horita</w:t>
      </w:r>
      <w:proofErr w:type="spellEnd"/>
      <w:r>
        <w:rPr>
          <w:rFonts w:asciiTheme="minorHAnsi" w:hAnsiTheme="minorHAnsi"/>
          <w:szCs w:val="22"/>
        </w:rPr>
        <w:t xml:space="preserve"> N; </w:t>
      </w:r>
      <w:proofErr w:type="spellStart"/>
      <w:r>
        <w:rPr>
          <w:rFonts w:asciiTheme="minorHAnsi" w:hAnsiTheme="minorHAnsi"/>
          <w:szCs w:val="22"/>
        </w:rPr>
        <w:t>Goto</w:t>
      </w:r>
      <w:proofErr w:type="spellEnd"/>
      <w:r>
        <w:rPr>
          <w:rFonts w:asciiTheme="minorHAnsi" w:hAnsiTheme="minorHAnsi"/>
          <w:szCs w:val="22"/>
        </w:rPr>
        <w:t xml:space="preserve"> A; Shibata Y; Ota E; Nakashima K; Nagai K; Kaneko T. LAMA plus LABA versus LABA plus ICS for stable COPD</w:t>
      </w:r>
      <w:r w:rsidRPr="00EE31EA">
        <w:rPr>
          <w:rFonts w:asciiTheme="minorHAnsi" w:hAnsiTheme="minorHAnsi"/>
          <w:i/>
          <w:szCs w:val="22"/>
        </w:rPr>
        <w:t>.</w:t>
      </w:r>
      <w:proofErr w:type="gramEnd"/>
      <w:r w:rsidRPr="00EE31EA">
        <w:rPr>
          <w:rFonts w:asciiTheme="minorHAnsi" w:hAnsiTheme="minorHAnsi"/>
          <w:i/>
          <w:szCs w:val="22"/>
        </w:rPr>
        <w:t xml:space="preserve"> </w:t>
      </w:r>
      <w:proofErr w:type="gramStart"/>
      <w:r w:rsidRPr="00EE31EA">
        <w:rPr>
          <w:rFonts w:asciiTheme="minorHAnsi" w:hAnsiTheme="minorHAnsi"/>
          <w:i/>
          <w:szCs w:val="22"/>
        </w:rPr>
        <w:t>Cochrane Database of Systematic Reviews</w:t>
      </w:r>
      <w:r>
        <w:rPr>
          <w:rFonts w:asciiTheme="minorHAnsi" w:hAnsiTheme="minorHAnsi"/>
          <w:szCs w:val="22"/>
        </w:rPr>
        <w:t>.</w:t>
      </w:r>
      <w:proofErr w:type="gramEnd"/>
      <w:r>
        <w:rPr>
          <w:rFonts w:asciiTheme="minorHAnsi" w:hAnsiTheme="minorHAnsi"/>
          <w:szCs w:val="22"/>
        </w:rPr>
        <w:t xml:space="preserve"> 2017 Feb 10(2)</w:t>
      </w:r>
    </w:p>
  </w:footnote>
  <w:footnote w:id="13">
    <w:p w14:paraId="24DC0221" w14:textId="77777777" w:rsidR="000A6315" w:rsidRPr="00FE4E85" w:rsidRDefault="000A6315">
      <w:pPr>
        <w:pStyle w:val="FootnoteText"/>
        <w:rPr>
          <w:lang w:val="en-US"/>
        </w:rPr>
      </w:pPr>
      <w:r>
        <w:rPr>
          <w:rStyle w:val="FootnoteReference"/>
        </w:rPr>
        <w:footnoteRef/>
      </w:r>
      <w:r>
        <w:t xml:space="preserve"> </w:t>
      </w:r>
      <w:proofErr w:type="spellStart"/>
      <w:r w:rsidRPr="000E3AEF">
        <w:t>Vogelmeier</w:t>
      </w:r>
      <w:proofErr w:type="spellEnd"/>
      <w:r w:rsidRPr="000E3AEF">
        <w:t xml:space="preserve"> </w:t>
      </w:r>
      <w:r>
        <w:t xml:space="preserve">C et al </w:t>
      </w:r>
      <w:r w:rsidRPr="000E3AEF">
        <w:t>2016</w:t>
      </w:r>
      <w:r>
        <w:rPr>
          <w:rFonts w:asciiTheme="minorHAnsi" w:hAnsiTheme="minorHAnsi"/>
          <w:szCs w:val="22"/>
        </w:rPr>
        <w:t xml:space="preserve">. </w:t>
      </w:r>
      <w:proofErr w:type="spellStart"/>
      <w:r>
        <w:rPr>
          <w:rFonts w:asciiTheme="minorHAnsi" w:hAnsiTheme="minorHAnsi"/>
          <w:szCs w:val="22"/>
        </w:rPr>
        <w:t>Indacterol</w:t>
      </w:r>
      <w:proofErr w:type="spellEnd"/>
      <w:r>
        <w:rPr>
          <w:rFonts w:asciiTheme="minorHAnsi" w:hAnsiTheme="minorHAnsi"/>
          <w:szCs w:val="22"/>
        </w:rPr>
        <w:t>/</w:t>
      </w:r>
      <w:proofErr w:type="spellStart"/>
      <w:r>
        <w:rPr>
          <w:rFonts w:asciiTheme="minorHAnsi" w:hAnsiTheme="minorHAnsi"/>
          <w:szCs w:val="22"/>
        </w:rPr>
        <w:t>glycopyrronium</w:t>
      </w:r>
      <w:proofErr w:type="spellEnd"/>
      <w:r>
        <w:rPr>
          <w:rFonts w:asciiTheme="minorHAnsi" w:hAnsiTheme="minorHAnsi"/>
          <w:szCs w:val="22"/>
        </w:rPr>
        <w:t xml:space="preserve"> in </w:t>
      </w:r>
      <w:proofErr w:type="spellStart"/>
      <w:r>
        <w:rPr>
          <w:rFonts w:asciiTheme="minorHAnsi" w:hAnsiTheme="minorHAnsi"/>
          <w:szCs w:val="22"/>
        </w:rPr>
        <w:t>symtpomatic</w:t>
      </w:r>
      <w:proofErr w:type="spellEnd"/>
      <w:r>
        <w:rPr>
          <w:rFonts w:asciiTheme="minorHAnsi" w:hAnsiTheme="minorHAnsi"/>
          <w:szCs w:val="22"/>
        </w:rPr>
        <w:t xml:space="preserve"> patients with COPD (GOLD B and GOLD D) versus salmeterol/fluticasone: pooled analysis. </w:t>
      </w:r>
      <w:proofErr w:type="spellStart"/>
      <w:r w:rsidRPr="00EE31EA">
        <w:rPr>
          <w:rFonts w:asciiTheme="minorHAnsi" w:hAnsiTheme="minorHAnsi"/>
          <w:i/>
          <w:szCs w:val="22"/>
        </w:rPr>
        <w:t>Int</w:t>
      </w:r>
      <w:proofErr w:type="spellEnd"/>
      <w:r w:rsidRPr="00EE31EA">
        <w:rPr>
          <w:rFonts w:asciiTheme="minorHAnsi" w:hAnsiTheme="minorHAnsi"/>
          <w:i/>
          <w:szCs w:val="22"/>
        </w:rPr>
        <w:t xml:space="preserve"> J </w:t>
      </w:r>
      <w:proofErr w:type="spellStart"/>
      <w:r w:rsidRPr="00EE31EA">
        <w:rPr>
          <w:rFonts w:asciiTheme="minorHAnsi" w:hAnsiTheme="minorHAnsi"/>
          <w:i/>
          <w:szCs w:val="22"/>
        </w:rPr>
        <w:t>Chron</w:t>
      </w:r>
      <w:proofErr w:type="spellEnd"/>
      <w:r w:rsidRPr="00EE31EA">
        <w:rPr>
          <w:rFonts w:asciiTheme="minorHAnsi" w:hAnsiTheme="minorHAnsi"/>
          <w:i/>
          <w:szCs w:val="22"/>
        </w:rPr>
        <w:t xml:space="preserve"> Obstruct </w:t>
      </w:r>
      <w:proofErr w:type="spellStart"/>
      <w:r w:rsidRPr="00EE31EA">
        <w:rPr>
          <w:rFonts w:asciiTheme="minorHAnsi" w:hAnsiTheme="minorHAnsi"/>
          <w:i/>
          <w:szCs w:val="22"/>
        </w:rPr>
        <w:t>Pulmon</w:t>
      </w:r>
      <w:proofErr w:type="spellEnd"/>
      <w:r w:rsidRPr="00EE31EA">
        <w:rPr>
          <w:rFonts w:asciiTheme="minorHAnsi" w:hAnsiTheme="minorHAnsi"/>
          <w:i/>
          <w:szCs w:val="22"/>
        </w:rPr>
        <w:t xml:space="preserve"> Dis</w:t>
      </w:r>
      <w:r>
        <w:rPr>
          <w:rFonts w:asciiTheme="minorHAnsi" w:hAnsiTheme="minorHAnsi"/>
          <w:szCs w:val="22"/>
        </w:rPr>
        <w:t xml:space="preserve"> 2016; 11: 3189-3197</w:t>
      </w:r>
    </w:p>
  </w:footnote>
  <w:footnote w:id="14">
    <w:p w14:paraId="274A73D9" w14:textId="77777777" w:rsidR="000A6315" w:rsidRPr="00FE4E85" w:rsidRDefault="000A6315">
      <w:pPr>
        <w:pStyle w:val="FootnoteText"/>
        <w:rPr>
          <w:lang w:val="en-US"/>
        </w:rPr>
      </w:pPr>
      <w:r>
        <w:rPr>
          <w:rStyle w:val="FootnoteReference"/>
        </w:rPr>
        <w:footnoteRef/>
      </w:r>
      <w:r>
        <w:t xml:space="preserve"> </w:t>
      </w:r>
      <w:r>
        <w:rPr>
          <w:rFonts w:asciiTheme="minorHAnsi" w:hAnsiTheme="minorHAnsi"/>
          <w:szCs w:val="22"/>
        </w:rPr>
        <w:t xml:space="preserve">Oba Y, </w:t>
      </w:r>
      <w:proofErr w:type="spellStart"/>
      <w:r>
        <w:rPr>
          <w:rFonts w:asciiTheme="minorHAnsi" w:hAnsiTheme="minorHAnsi"/>
          <w:szCs w:val="22"/>
        </w:rPr>
        <w:t>Sarva</w:t>
      </w:r>
      <w:proofErr w:type="spellEnd"/>
      <w:r>
        <w:rPr>
          <w:rFonts w:asciiTheme="minorHAnsi" w:hAnsiTheme="minorHAnsi"/>
          <w:szCs w:val="22"/>
        </w:rPr>
        <w:t xml:space="preserve"> ST, Dias S. </w:t>
      </w:r>
      <w:r w:rsidRPr="000E3AEF">
        <w:t>2016</w:t>
      </w:r>
      <w:r>
        <w:rPr>
          <w:rFonts w:asciiTheme="minorHAnsi" w:hAnsiTheme="minorHAnsi"/>
          <w:szCs w:val="22"/>
        </w:rPr>
        <w:t xml:space="preserve">Efficacy and safety of LABA/LAMA in COPD: a network meta-analysis. </w:t>
      </w:r>
      <w:r w:rsidRPr="00EE31EA">
        <w:rPr>
          <w:rFonts w:asciiTheme="minorHAnsi" w:hAnsiTheme="minorHAnsi"/>
          <w:i/>
          <w:szCs w:val="22"/>
        </w:rPr>
        <w:t xml:space="preserve">Thorax </w:t>
      </w:r>
      <w:r>
        <w:rPr>
          <w:rFonts w:asciiTheme="minorHAnsi" w:hAnsiTheme="minorHAnsi"/>
          <w:szCs w:val="22"/>
        </w:rPr>
        <w:t>2016; 71: 15-25</w:t>
      </w:r>
    </w:p>
  </w:footnote>
  <w:footnote w:id="15">
    <w:p w14:paraId="6E4B06B9" w14:textId="77777777" w:rsidR="000A6315" w:rsidRPr="00C32CE5" w:rsidRDefault="000A6315">
      <w:pPr>
        <w:pStyle w:val="FootnoteText"/>
        <w:rPr>
          <w:lang w:val="en-US"/>
        </w:rPr>
      </w:pPr>
      <w:r>
        <w:rPr>
          <w:rStyle w:val="FootnoteReference"/>
        </w:rPr>
        <w:footnoteRef/>
      </w:r>
      <w:r>
        <w:t xml:space="preserve"> </w:t>
      </w:r>
      <w:r w:rsidRPr="000E3AEF">
        <w:t>GOLD guidelines</w:t>
      </w:r>
      <w:r>
        <w:t xml:space="preserve"> available at https://goldcopd.org/</w:t>
      </w:r>
    </w:p>
  </w:footnote>
  <w:footnote w:id="16">
    <w:p w14:paraId="4F4DDE91" w14:textId="77777777" w:rsidR="000A6315" w:rsidRPr="00C32CE5" w:rsidRDefault="000A6315">
      <w:pPr>
        <w:pStyle w:val="FootnoteText"/>
        <w:rPr>
          <w:lang w:val="en-US"/>
        </w:rPr>
      </w:pPr>
      <w:r>
        <w:rPr>
          <w:rStyle w:val="FootnoteReference"/>
        </w:rPr>
        <w:footnoteRef/>
      </w:r>
      <w:r>
        <w:t xml:space="preserve"> </w:t>
      </w:r>
      <w:r w:rsidRPr="000E3AEF">
        <w:t>COPD-X guidelines</w:t>
      </w:r>
      <w:r>
        <w:t xml:space="preserve"> The Australian and New Zealand Guidelines for the management of chronic obstructive pulmonary disease</w:t>
      </w:r>
    </w:p>
  </w:footnote>
  <w:footnote w:id="17">
    <w:p w14:paraId="79604826" w14:textId="77777777" w:rsidR="000A6315" w:rsidRPr="00C32CE5" w:rsidRDefault="000A6315">
      <w:pPr>
        <w:pStyle w:val="FootnoteText"/>
        <w:rPr>
          <w:lang w:val="en-US"/>
        </w:rPr>
      </w:pPr>
      <w:r>
        <w:rPr>
          <w:rStyle w:val="FootnoteReference"/>
        </w:rPr>
        <w:footnoteRef/>
      </w:r>
      <w:r>
        <w:t xml:space="preserve"> </w:t>
      </w:r>
      <w:r>
        <w:rPr>
          <w:lang w:val="en-US"/>
        </w:rPr>
        <w:t xml:space="preserve">WHO COPD Management </w:t>
      </w:r>
      <w:r w:rsidRPr="0084652C">
        <w:rPr>
          <w:lang w:val="en-US"/>
        </w:rPr>
        <w:t>http://www.who.int/respiratory/copd/management/en/</w:t>
      </w:r>
      <w:r>
        <w:rPr>
          <w:lang w:val="en-US"/>
        </w:rPr>
        <w:t xml:space="preserve"> (downloaded 2017)</w:t>
      </w:r>
    </w:p>
  </w:footnote>
  <w:footnote w:id="18">
    <w:p w14:paraId="7DBCD416" w14:textId="77777777" w:rsidR="000A6315" w:rsidRPr="00E50427" w:rsidRDefault="000A6315">
      <w:pPr>
        <w:pStyle w:val="FootnoteText"/>
      </w:pPr>
      <w:r>
        <w:rPr>
          <w:rStyle w:val="FootnoteReference"/>
        </w:rPr>
        <w:footnoteRef/>
      </w:r>
      <w:r>
        <w:t xml:space="preserve"> </w:t>
      </w:r>
      <w:proofErr w:type="spellStart"/>
      <w:proofErr w:type="gramStart"/>
      <w:r w:rsidRPr="0033095D">
        <w:t>Anthonisen</w:t>
      </w:r>
      <w:proofErr w:type="spellEnd"/>
      <w:r w:rsidRPr="0033095D">
        <w:t xml:space="preserve"> NR, </w:t>
      </w:r>
      <w:proofErr w:type="spellStart"/>
      <w:r w:rsidRPr="0033095D">
        <w:t>Manfreda</w:t>
      </w:r>
      <w:proofErr w:type="spellEnd"/>
      <w:r w:rsidRPr="0033095D">
        <w:t xml:space="preserve"> J, Warren CPW, et al (1987).</w:t>
      </w:r>
      <w:proofErr w:type="gramEnd"/>
      <w:r w:rsidRPr="0033095D">
        <w:t xml:space="preserve"> </w:t>
      </w:r>
      <w:proofErr w:type="gramStart"/>
      <w:r w:rsidRPr="0033095D">
        <w:t>Antibiotic therapy in exacerbations of chronic obstructive pulmonary disease.</w:t>
      </w:r>
      <w:proofErr w:type="gramEnd"/>
      <w:r>
        <w:t xml:space="preserve"> </w:t>
      </w:r>
      <w:r w:rsidRPr="0033095D">
        <w:t>Ann Intern Med; 106:196-204.</w:t>
      </w:r>
    </w:p>
  </w:footnote>
  <w:footnote w:id="19">
    <w:p w14:paraId="50213A9D" w14:textId="77777777" w:rsidR="000A6315" w:rsidRPr="00E50427" w:rsidRDefault="000A6315" w:rsidP="00E50427">
      <w:pPr>
        <w:pStyle w:val="FootnoteText"/>
      </w:pPr>
      <w:r>
        <w:rPr>
          <w:rStyle w:val="FootnoteReference"/>
        </w:rPr>
        <w:footnoteRef/>
      </w:r>
      <w:r w:rsidRPr="0033095D">
        <w:t xml:space="preserve"> </w:t>
      </w:r>
      <w:proofErr w:type="spellStart"/>
      <w:r w:rsidRPr="0033095D">
        <w:t>Seemungal</w:t>
      </w:r>
      <w:proofErr w:type="spellEnd"/>
      <w:r w:rsidRPr="0033095D">
        <w:t xml:space="preserve"> TAR, Donaldson GC, Paul EA, et al (1998). </w:t>
      </w:r>
      <w:proofErr w:type="gramStart"/>
      <w:r w:rsidRPr="0033095D">
        <w:t>Effect of exacerbation on quality of life in pa</w:t>
      </w:r>
      <w:r>
        <w:t xml:space="preserve">tients with chronic obstructive </w:t>
      </w:r>
      <w:r w:rsidRPr="0033095D">
        <w:t>pulmonary disease.</w:t>
      </w:r>
      <w:proofErr w:type="gramEnd"/>
      <w:r w:rsidRPr="0033095D">
        <w:t xml:space="preserve"> </w:t>
      </w:r>
      <w:proofErr w:type="gramStart"/>
      <w:r w:rsidRPr="0033095D">
        <w:t>Am</w:t>
      </w:r>
      <w:proofErr w:type="gramEnd"/>
      <w:r w:rsidRPr="0033095D">
        <w:t xml:space="preserve"> J </w:t>
      </w:r>
      <w:proofErr w:type="spellStart"/>
      <w:r w:rsidRPr="0033095D">
        <w:t>Res</w:t>
      </w:r>
      <w:r>
        <w:t>pir</w:t>
      </w:r>
      <w:proofErr w:type="spellEnd"/>
      <w:r>
        <w:t xml:space="preserve"> </w:t>
      </w:r>
      <w:proofErr w:type="spellStart"/>
      <w:r>
        <w:t>Crit</w:t>
      </w:r>
      <w:proofErr w:type="spellEnd"/>
      <w:r>
        <w:t xml:space="preserve"> Care Med; 157:1418-22.</w:t>
      </w:r>
    </w:p>
  </w:footnote>
  <w:footnote w:id="20">
    <w:p w14:paraId="25D28529" w14:textId="77777777" w:rsidR="000A6315" w:rsidRPr="00E50427" w:rsidRDefault="000A6315">
      <w:pPr>
        <w:pStyle w:val="FootnoteText"/>
        <w:rPr>
          <w:lang w:val="en-US"/>
        </w:rPr>
      </w:pPr>
      <w:r>
        <w:rPr>
          <w:rStyle w:val="FootnoteReference"/>
        </w:rPr>
        <w:footnoteRef/>
      </w:r>
      <w:r>
        <w:t xml:space="preserve"> </w:t>
      </w:r>
      <w:proofErr w:type="spellStart"/>
      <w:r w:rsidRPr="0033095D">
        <w:t>Wedzicha</w:t>
      </w:r>
      <w:proofErr w:type="spellEnd"/>
      <w:r w:rsidRPr="0033095D">
        <w:t xml:space="preserve"> JA, </w:t>
      </w:r>
      <w:proofErr w:type="spellStart"/>
      <w:r w:rsidRPr="0033095D">
        <w:t>Decramer</w:t>
      </w:r>
      <w:proofErr w:type="spellEnd"/>
      <w:r w:rsidRPr="0033095D">
        <w:t xml:space="preserve"> M, </w:t>
      </w:r>
      <w:proofErr w:type="spellStart"/>
      <w:r w:rsidRPr="0033095D">
        <w:t>Ficker</w:t>
      </w:r>
      <w:proofErr w:type="spellEnd"/>
      <w:r w:rsidRPr="0033095D">
        <w:t xml:space="preserve"> JH (2013). Analysis of chronic obstructive pulmonary disease</w:t>
      </w:r>
      <w:r>
        <w:t xml:space="preserve"> exacerbations with the dual </w:t>
      </w:r>
      <w:r w:rsidRPr="0033095D">
        <w:t>bronchodilator QVA149 compared with glycopyrronium and tiotropium (SPARK): a randomised, double-blin</w:t>
      </w:r>
      <w:r>
        <w:t xml:space="preserve">d, parallel-group study. Lancet </w:t>
      </w:r>
      <w:proofErr w:type="spellStart"/>
      <w:r w:rsidRPr="0033095D">
        <w:t>Respir</w:t>
      </w:r>
      <w:proofErr w:type="spellEnd"/>
      <w:r w:rsidRPr="0033095D">
        <w:t xml:space="preserve"> Med; 1: 199-209</w:t>
      </w:r>
    </w:p>
  </w:footnote>
  <w:footnote w:id="21">
    <w:p w14:paraId="184B2D7E" w14:textId="77777777" w:rsidR="000A6315" w:rsidRPr="00E50427" w:rsidRDefault="000A6315" w:rsidP="00E50427">
      <w:pPr>
        <w:pStyle w:val="FootnoteText"/>
      </w:pPr>
      <w:r>
        <w:rPr>
          <w:rStyle w:val="FootnoteReference"/>
        </w:rPr>
        <w:footnoteRef/>
      </w:r>
      <w:r>
        <w:t xml:space="preserve"> </w:t>
      </w:r>
      <w:proofErr w:type="spellStart"/>
      <w:r w:rsidRPr="0033095D">
        <w:t>Wedzicha</w:t>
      </w:r>
      <w:proofErr w:type="spellEnd"/>
      <w:r w:rsidRPr="0033095D">
        <w:t xml:space="preserve"> JA, et al (2016). </w:t>
      </w:r>
      <w:proofErr w:type="gramStart"/>
      <w:r w:rsidRPr="0033095D">
        <w:t>Indacaterol–glycopyrronium versus salmeterol–flut</w:t>
      </w:r>
      <w:r>
        <w:t>icasone for COPD.</w:t>
      </w:r>
      <w:proofErr w:type="gramEnd"/>
      <w:r>
        <w:t xml:space="preserve"> </w:t>
      </w:r>
      <w:r w:rsidRPr="00E50427">
        <w:rPr>
          <w:i/>
        </w:rPr>
        <w:t xml:space="preserve">N </w:t>
      </w:r>
      <w:proofErr w:type="spellStart"/>
      <w:r w:rsidRPr="00E50427">
        <w:rPr>
          <w:i/>
        </w:rPr>
        <w:t>Engl</w:t>
      </w:r>
      <w:proofErr w:type="spellEnd"/>
      <w:r w:rsidRPr="00E50427">
        <w:rPr>
          <w:i/>
        </w:rPr>
        <w:t xml:space="preserve"> J Med; </w:t>
      </w:r>
      <w:r>
        <w:t>DOI: 10.1056/NEJMoa1516385.</w:t>
      </w:r>
    </w:p>
  </w:footnote>
  <w:footnote w:id="22">
    <w:p w14:paraId="171D0C13" w14:textId="77777777" w:rsidR="000A6315" w:rsidRPr="00E50427" w:rsidRDefault="000A6315">
      <w:pPr>
        <w:pStyle w:val="FootnoteText"/>
      </w:pPr>
      <w:r>
        <w:rPr>
          <w:rStyle w:val="FootnoteReference"/>
        </w:rPr>
        <w:footnoteRef/>
      </w:r>
      <w:r w:rsidRPr="0033095D">
        <w:t xml:space="preserve"> </w:t>
      </w:r>
      <w:proofErr w:type="spellStart"/>
      <w:r w:rsidRPr="0033095D">
        <w:t>Wedzicha</w:t>
      </w:r>
      <w:proofErr w:type="spellEnd"/>
      <w:r w:rsidRPr="0033095D">
        <w:t xml:space="preserve"> JA, et al (2013)] Analysis of chronic obstructive pulmonary dise</w:t>
      </w:r>
      <w:r>
        <w:t xml:space="preserve">ase exacerbations with the dual </w:t>
      </w:r>
      <w:r w:rsidRPr="0033095D">
        <w:t>bronchodilator QVA149 compared with glycopyrronium and tiotropium (SPARK): a randomized, doub</w:t>
      </w:r>
      <w:r>
        <w:t xml:space="preserve">le-blind, parallel-group study. </w:t>
      </w:r>
      <w:r w:rsidRPr="00E50427">
        <w:rPr>
          <w:i/>
        </w:rPr>
        <w:t xml:space="preserve">Lancet </w:t>
      </w:r>
      <w:proofErr w:type="spellStart"/>
      <w:r w:rsidRPr="00E50427">
        <w:rPr>
          <w:i/>
        </w:rPr>
        <w:t>Respir</w:t>
      </w:r>
      <w:proofErr w:type="spellEnd"/>
      <w:r w:rsidRPr="00E50427">
        <w:rPr>
          <w:i/>
        </w:rPr>
        <w:t xml:space="preserve"> Med</w:t>
      </w:r>
      <w:r>
        <w:t>; 1:199-209.</w:t>
      </w:r>
    </w:p>
  </w:footnote>
  <w:footnote w:id="23">
    <w:p w14:paraId="5064EB73" w14:textId="77777777" w:rsidR="000A6315" w:rsidRPr="00E50427" w:rsidRDefault="000A6315" w:rsidP="00E50427">
      <w:pPr>
        <w:pStyle w:val="FootnoteText"/>
      </w:pPr>
      <w:r>
        <w:rPr>
          <w:rStyle w:val="FootnoteReference"/>
        </w:rPr>
        <w:footnoteRef/>
      </w:r>
      <w:r>
        <w:t xml:space="preserve"> </w:t>
      </w:r>
      <w:proofErr w:type="spellStart"/>
      <w:r w:rsidRPr="0033095D">
        <w:t>Vogelmeier</w:t>
      </w:r>
      <w:proofErr w:type="spellEnd"/>
      <w:r w:rsidRPr="0033095D">
        <w:t xml:space="preserve"> C, et al (2011). </w:t>
      </w:r>
      <w:proofErr w:type="gramStart"/>
      <w:r w:rsidRPr="0033095D">
        <w:t>POET-COPD Investigators.</w:t>
      </w:r>
      <w:proofErr w:type="gramEnd"/>
      <w:r w:rsidRPr="0033095D">
        <w:t xml:space="preserve"> </w:t>
      </w:r>
      <w:proofErr w:type="gramStart"/>
      <w:r w:rsidRPr="0033095D">
        <w:t>Tiotropium versus s</w:t>
      </w:r>
      <w:r>
        <w:t xml:space="preserve">almeterol for the prevention of </w:t>
      </w:r>
      <w:r w:rsidRPr="0033095D">
        <w:t>exacerbations of COPD.</w:t>
      </w:r>
      <w:proofErr w:type="gramEnd"/>
      <w:r w:rsidRPr="0033095D">
        <w:t xml:space="preserve"> </w:t>
      </w:r>
      <w:r w:rsidRPr="00E50427">
        <w:rPr>
          <w:i/>
        </w:rPr>
        <w:t xml:space="preserve">N </w:t>
      </w:r>
      <w:proofErr w:type="spellStart"/>
      <w:r w:rsidRPr="00E50427">
        <w:rPr>
          <w:i/>
        </w:rPr>
        <w:t>Engl</w:t>
      </w:r>
      <w:proofErr w:type="spellEnd"/>
      <w:r w:rsidRPr="00E50427">
        <w:rPr>
          <w:i/>
        </w:rPr>
        <w:t xml:space="preserve"> J Med</w:t>
      </w:r>
      <w:r w:rsidRPr="0033095D">
        <w:t>; 364: 1093-103.</w:t>
      </w:r>
    </w:p>
  </w:footnote>
  <w:footnote w:id="24">
    <w:p w14:paraId="4AA97D9C" w14:textId="77777777" w:rsidR="000A6315" w:rsidRPr="00E50427" w:rsidRDefault="000A6315" w:rsidP="00E50427">
      <w:pPr>
        <w:pStyle w:val="FootnoteText"/>
      </w:pPr>
      <w:r>
        <w:rPr>
          <w:rStyle w:val="FootnoteReference"/>
        </w:rPr>
        <w:footnoteRef/>
      </w:r>
      <w:r>
        <w:t xml:space="preserve"> </w:t>
      </w:r>
      <w:proofErr w:type="spellStart"/>
      <w:r w:rsidRPr="0033095D">
        <w:t>Tashkin</w:t>
      </w:r>
      <w:proofErr w:type="spellEnd"/>
      <w:r w:rsidRPr="0033095D">
        <w:t xml:space="preserve"> DP, et al (2008). </w:t>
      </w:r>
      <w:proofErr w:type="gramStart"/>
      <w:r w:rsidRPr="0033095D">
        <w:t>A 4-year trial of tiotropium in chronic obstructive pulmonary di</w:t>
      </w:r>
      <w:r>
        <w:t>sease.</w:t>
      </w:r>
      <w:proofErr w:type="gramEnd"/>
      <w:r>
        <w:t xml:space="preserve"> </w:t>
      </w:r>
      <w:proofErr w:type="gramStart"/>
      <w:r w:rsidRPr="00E50427">
        <w:rPr>
          <w:i/>
        </w:rPr>
        <w:t xml:space="preserve">N </w:t>
      </w:r>
      <w:proofErr w:type="spellStart"/>
      <w:r w:rsidRPr="00E50427">
        <w:rPr>
          <w:i/>
        </w:rPr>
        <w:t>Engl</w:t>
      </w:r>
      <w:proofErr w:type="spellEnd"/>
      <w:r w:rsidRPr="00E50427">
        <w:rPr>
          <w:i/>
        </w:rPr>
        <w:t xml:space="preserve"> J Med</w:t>
      </w:r>
      <w:r>
        <w:t>; 359: 1543- 54.</w:t>
      </w:r>
      <w:proofErr w:type="gramEnd"/>
    </w:p>
  </w:footnote>
  <w:footnote w:id="25">
    <w:p w14:paraId="6344938D" w14:textId="77777777" w:rsidR="000A6315" w:rsidRPr="00E50427" w:rsidRDefault="000A6315">
      <w:pPr>
        <w:pStyle w:val="FootnoteText"/>
      </w:pPr>
      <w:r>
        <w:rPr>
          <w:rStyle w:val="FootnoteReference"/>
        </w:rPr>
        <w:footnoteRef/>
      </w:r>
      <w:r>
        <w:t xml:space="preserve"> </w:t>
      </w:r>
      <w:proofErr w:type="gramStart"/>
      <w:r w:rsidRPr="0033095D">
        <w:t>Calverley PM, Anderson JA, Celli B (2007).</w:t>
      </w:r>
      <w:proofErr w:type="gramEnd"/>
      <w:r w:rsidRPr="0033095D">
        <w:t xml:space="preserve"> </w:t>
      </w:r>
      <w:proofErr w:type="gramStart"/>
      <w:r w:rsidRPr="0033095D">
        <w:t>Salmeterol and fluticasone propionate and survival in chronic</w:t>
      </w:r>
      <w:r>
        <w:t xml:space="preserve"> obstructive pulmonary disease.</w:t>
      </w:r>
      <w:proofErr w:type="gramEnd"/>
      <w:r>
        <w:t xml:space="preserve"> </w:t>
      </w:r>
      <w:r w:rsidRPr="00E50427">
        <w:rPr>
          <w:i/>
        </w:rPr>
        <w:t xml:space="preserve">N </w:t>
      </w:r>
      <w:proofErr w:type="spellStart"/>
      <w:r w:rsidRPr="00E50427">
        <w:rPr>
          <w:i/>
        </w:rPr>
        <w:t>Engl</w:t>
      </w:r>
      <w:proofErr w:type="spellEnd"/>
      <w:r w:rsidRPr="00E50427">
        <w:rPr>
          <w:i/>
        </w:rPr>
        <w:t xml:space="preserve"> J Med</w:t>
      </w:r>
      <w:r w:rsidRPr="0033095D">
        <w:t>; 356: 775-89.</w:t>
      </w:r>
    </w:p>
  </w:footnote>
  <w:footnote w:id="26">
    <w:p w14:paraId="58DD65CF" w14:textId="77777777" w:rsidR="000A6315" w:rsidRPr="00B93AB6" w:rsidRDefault="000A6315">
      <w:pPr>
        <w:pStyle w:val="FootnoteText"/>
        <w:rPr>
          <w:lang w:val="en-US"/>
        </w:rPr>
      </w:pPr>
      <w:r>
        <w:rPr>
          <w:rStyle w:val="FootnoteReference"/>
        </w:rPr>
        <w:footnoteRef/>
      </w:r>
      <w:r>
        <w:t xml:space="preserve"> </w:t>
      </w:r>
      <w:proofErr w:type="gramStart"/>
      <w:r w:rsidRPr="0075773E">
        <w:t>Global Initiative for Chronic Obstructive Lung Disease (GOLD) (2017).</w:t>
      </w:r>
      <w:proofErr w:type="gramEnd"/>
      <w:r w:rsidRPr="0075773E">
        <w:t xml:space="preserve"> </w:t>
      </w:r>
      <w:proofErr w:type="gramStart"/>
      <w:r w:rsidRPr="0075773E">
        <w:t>Global Strategy for the Diagnosis, Management and Prevention of</w:t>
      </w:r>
      <w:r>
        <w:t xml:space="preserve"> </w:t>
      </w:r>
      <w:r w:rsidRPr="0075773E">
        <w:t>Chronic Obstructive Pulmonary Disease (COPD).</w:t>
      </w:r>
      <w:proofErr w:type="gramEnd"/>
      <w:r w:rsidRPr="0075773E">
        <w:t xml:space="preserve"> Update 2017.</w:t>
      </w:r>
    </w:p>
  </w:footnote>
  <w:footnote w:id="27">
    <w:p w14:paraId="40978B05" w14:textId="143294E7" w:rsidR="000A6315" w:rsidRPr="00B93AB6" w:rsidRDefault="000A6315">
      <w:pPr>
        <w:pStyle w:val="FootnoteText"/>
        <w:rPr>
          <w:lang w:val="en-US"/>
        </w:rPr>
      </w:pPr>
      <w:r>
        <w:rPr>
          <w:rStyle w:val="FootnoteReference"/>
        </w:rPr>
        <w:footnoteRef/>
      </w:r>
      <w:r>
        <w:t xml:space="preserve"> </w:t>
      </w:r>
      <w:r w:rsidRPr="0075773E">
        <w:t>Price DB, et al (2016). Metabolic Effects Associated with ICS in Patients with COPD and Comorbi</w:t>
      </w:r>
      <w:r>
        <w:t xml:space="preserve">d Type </w:t>
      </w:r>
      <w:proofErr w:type="gramStart"/>
      <w:r>
        <w:t>2 Diabetes</w:t>
      </w:r>
      <w:proofErr w:type="gramEnd"/>
      <w:r>
        <w:t xml:space="preserve">: </w:t>
      </w:r>
      <w:r w:rsidRPr="0075773E">
        <w:t>A Historical Matched Cohort Study. PLOS ONE September 22, 2016</w:t>
      </w:r>
    </w:p>
  </w:footnote>
  <w:footnote w:id="28">
    <w:p w14:paraId="10BD09F9" w14:textId="77777777" w:rsidR="000A6315" w:rsidRPr="00B93AB6" w:rsidRDefault="000A6315">
      <w:pPr>
        <w:pStyle w:val="FootnoteText"/>
        <w:rPr>
          <w:lang w:val="en-US"/>
        </w:rPr>
      </w:pPr>
      <w:r>
        <w:rPr>
          <w:rStyle w:val="FootnoteReference"/>
        </w:rPr>
        <w:footnoteRef/>
      </w:r>
      <w:r>
        <w:t xml:space="preserve"> </w:t>
      </w:r>
      <w:proofErr w:type="spellStart"/>
      <w:proofErr w:type="gramStart"/>
      <w:r w:rsidRPr="0075773E">
        <w:t>Loke</w:t>
      </w:r>
      <w:proofErr w:type="spellEnd"/>
      <w:r w:rsidRPr="0075773E">
        <w:t xml:space="preserve"> YK, </w:t>
      </w:r>
      <w:proofErr w:type="spellStart"/>
      <w:r w:rsidRPr="0075773E">
        <w:t>Cavallazzi</w:t>
      </w:r>
      <w:proofErr w:type="spellEnd"/>
      <w:r w:rsidRPr="0075773E">
        <w:t xml:space="preserve"> R, Singh S (2011).</w:t>
      </w:r>
      <w:proofErr w:type="gramEnd"/>
      <w:r w:rsidRPr="0075773E">
        <w:t xml:space="preserve"> Risk of fractures with inhaled corticosteroids in COPD: systema</w:t>
      </w:r>
      <w:r>
        <w:t xml:space="preserve">tic review and meta-analysis of </w:t>
      </w:r>
      <w:r w:rsidRPr="0075773E">
        <w:t xml:space="preserve">randomised controlled trials and observational studies. </w:t>
      </w:r>
      <w:r w:rsidRPr="00B57093">
        <w:rPr>
          <w:i/>
        </w:rPr>
        <w:t>Thorax</w:t>
      </w:r>
      <w:r w:rsidRPr="0075773E">
        <w:t xml:space="preserve"> 2011; 66: 699-708.</w:t>
      </w:r>
    </w:p>
  </w:footnote>
  <w:footnote w:id="29">
    <w:p w14:paraId="3F34500D" w14:textId="77777777" w:rsidR="000A6315" w:rsidRPr="00B93AB6" w:rsidRDefault="000A6315">
      <w:pPr>
        <w:pStyle w:val="FootnoteText"/>
        <w:rPr>
          <w:lang w:val="en-US"/>
        </w:rPr>
      </w:pPr>
      <w:r>
        <w:rPr>
          <w:rStyle w:val="FootnoteReference"/>
        </w:rPr>
        <w:footnoteRef/>
      </w:r>
      <w:r>
        <w:t xml:space="preserve"> </w:t>
      </w:r>
      <w:r w:rsidRPr="0075773E">
        <w:t>Woodhead M (2017). Australian Doctor: Consider taking COPD patients off inhaled ste</w:t>
      </w:r>
      <w:r>
        <w:t xml:space="preserve">roids: experts. Available from: </w:t>
      </w:r>
      <w:r w:rsidRPr="0075773E">
        <w:t>&lt;http://www.australiandoctor.com.au/news/latestnews/consider-taking-copd-patients-off-inhaled-steroids</w:t>
      </w:r>
      <w:r>
        <w:t xml:space="preserve"> &gt;</w:t>
      </w:r>
    </w:p>
  </w:footnote>
  <w:footnote w:id="30">
    <w:p w14:paraId="54EFDE36" w14:textId="77777777" w:rsidR="000A6315" w:rsidRPr="00B93AB6" w:rsidRDefault="000A6315">
      <w:pPr>
        <w:pStyle w:val="FootnoteText"/>
        <w:rPr>
          <w:lang w:val="en-US"/>
        </w:rPr>
      </w:pPr>
      <w:r>
        <w:rPr>
          <w:rStyle w:val="FootnoteReference"/>
        </w:rPr>
        <w:footnoteRef/>
      </w:r>
      <w:r w:rsidRPr="0064122F">
        <w:rPr>
          <w:lang w:val="fr-FR"/>
        </w:rPr>
        <w:t xml:space="preserve"> </w:t>
      </w:r>
      <w:proofErr w:type="spellStart"/>
      <w:r w:rsidRPr="0064122F">
        <w:rPr>
          <w:lang w:val="fr-FR"/>
        </w:rPr>
        <w:t>Gruffydd</w:t>
      </w:r>
      <w:proofErr w:type="spellEnd"/>
      <w:r w:rsidRPr="0064122F">
        <w:rPr>
          <w:lang w:val="fr-FR"/>
        </w:rPr>
        <w:t xml:space="preserve">-Jones K, et al (2016). </w:t>
      </w:r>
      <w:r w:rsidRPr="0075773E">
        <w:t>Changes in initial COPD treatment choice ov</w:t>
      </w:r>
      <w:r>
        <w:t xml:space="preserve">er time and factors influencing </w:t>
      </w:r>
      <w:r w:rsidRPr="0075773E">
        <w:t xml:space="preserve">prescribing decisions in UK primary care: in UK primary care: a real-world, retrospective, observational. </w:t>
      </w:r>
      <w:r w:rsidRPr="00B57093">
        <w:rPr>
          <w:i/>
        </w:rPr>
        <w:t xml:space="preserve">NPJ Prim Care </w:t>
      </w:r>
      <w:proofErr w:type="spellStart"/>
      <w:r w:rsidRPr="00B57093">
        <w:rPr>
          <w:i/>
        </w:rPr>
        <w:t>Respir</w:t>
      </w:r>
      <w:proofErr w:type="spellEnd"/>
      <w:r w:rsidRPr="00B57093">
        <w:rPr>
          <w:i/>
        </w:rPr>
        <w:t xml:space="preserve"> Med</w:t>
      </w:r>
      <w:r>
        <w:t xml:space="preserve"> 2016; </w:t>
      </w:r>
      <w:r w:rsidRPr="0075773E">
        <w:t>26:16002.</w:t>
      </w:r>
    </w:p>
  </w:footnote>
  <w:footnote w:id="31">
    <w:p w14:paraId="112C8F24" w14:textId="77777777" w:rsidR="000A6315" w:rsidRPr="00B93AB6" w:rsidRDefault="000A6315">
      <w:pPr>
        <w:pStyle w:val="FootnoteText"/>
        <w:rPr>
          <w:lang w:val="en-US"/>
        </w:rPr>
      </w:pPr>
      <w:r>
        <w:rPr>
          <w:rStyle w:val="FootnoteReference"/>
        </w:rPr>
        <w:footnoteRef/>
      </w:r>
      <w:r w:rsidRPr="0075773E">
        <w:t xml:space="preserve"> AIHW: </w:t>
      </w:r>
      <w:proofErr w:type="spellStart"/>
      <w:r w:rsidRPr="0075773E">
        <w:t>Correll</w:t>
      </w:r>
      <w:proofErr w:type="spellEnd"/>
      <w:r w:rsidRPr="0075773E">
        <w:t xml:space="preserve"> PK, </w:t>
      </w:r>
      <w:r>
        <w:t>et al</w:t>
      </w:r>
      <w:r w:rsidRPr="0075773E">
        <w:t xml:space="preserve"> (2015). Respiratory medicat</w:t>
      </w:r>
      <w:r>
        <w:t xml:space="preserve">ion use in Australia 2003–2013: </w:t>
      </w:r>
      <w:r w:rsidRPr="0075773E">
        <w:t xml:space="preserve">treatment of asthma and COPD. Cat. </w:t>
      </w:r>
      <w:proofErr w:type="gramStart"/>
      <w:r w:rsidRPr="0075773E">
        <w:t>no</w:t>
      </w:r>
      <w:proofErr w:type="gramEnd"/>
      <w:r w:rsidRPr="0075773E">
        <w:t xml:space="preserve">. </w:t>
      </w:r>
      <w:proofErr w:type="gramStart"/>
      <w:r w:rsidRPr="0075773E">
        <w:t>ACM 31.</w:t>
      </w:r>
      <w:proofErr w:type="gramEnd"/>
      <w:r w:rsidRPr="0075773E">
        <w:t xml:space="preserve"> Canberra: AIHW</w:t>
      </w:r>
    </w:p>
  </w:footnote>
  <w:footnote w:id="32">
    <w:p w14:paraId="757C2387" w14:textId="77777777" w:rsidR="000A6315" w:rsidRPr="00B93AB6" w:rsidRDefault="000A6315">
      <w:pPr>
        <w:pStyle w:val="FootnoteText"/>
        <w:rPr>
          <w:lang w:val="en-US"/>
        </w:rPr>
      </w:pPr>
      <w:r>
        <w:rPr>
          <w:rStyle w:val="FootnoteReference"/>
        </w:rPr>
        <w:footnoteRef/>
      </w:r>
      <w:r>
        <w:t xml:space="preserve"> </w:t>
      </w:r>
      <w:proofErr w:type="spellStart"/>
      <w:r w:rsidRPr="0075773E">
        <w:t>Over</w:t>
      </w:r>
      <w:r>
        <w:t>ington</w:t>
      </w:r>
      <w:proofErr w:type="spellEnd"/>
      <w:r>
        <w:t xml:space="preserve"> JD</w:t>
      </w:r>
      <w:r w:rsidRPr="0075773E">
        <w:t xml:space="preserve">, et al (2014). </w:t>
      </w:r>
      <w:proofErr w:type="gramStart"/>
      <w:r w:rsidRPr="0075773E">
        <w:t>Implementing clinical guidelines for chronic</w:t>
      </w:r>
      <w:r>
        <w:t xml:space="preserve"> obstructive pulmonary disease: </w:t>
      </w:r>
      <w:r w:rsidRPr="0075773E">
        <w:t>barriers and solutions.</w:t>
      </w:r>
      <w:proofErr w:type="gramEnd"/>
      <w:r w:rsidRPr="0075773E">
        <w:t xml:space="preserve"> </w:t>
      </w:r>
      <w:r w:rsidRPr="00B57093">
        <w:rPr>
          <w:i/>
        </w:rPr>
        <w:t xml:space="preserve">J </w:t>
      </w:r>
      <w:proofErr w:type="spellStart"/>
      <w:r w:rsidRPr="00B57093">
        <w:rPr>
          <w:i/>
        </w:rPr>
        <w:t>Thorac</w:t>
      </w:r>
      <w:proofErr w:type="spellEnd"/>
      <w:r w:rsidRPr="00B57093">
        <w:rPr>
          <w:i/>
        </w:rPr>
        <w:t xml:space="preserve"> Dis</w:t>
      </w:r>
      <w:r>
        <w:t xml:space="preserve"> 2014; 6</w:t>
      </w:r>
      <w:r w:rsidRPr="0075773E">
        <w:t>:</w:t>
      </w:r>
      <w:r>
        <w:t xml:space="preserve"> </w:t>
      </w:r>
      <w:r w:rsidRPr="0075773E">
        <w:t>1586-1596.</w:t>
      </w:r>
    </w:p>
  </w:footnote>
  <w:footnote w:id="33">
    <w:p w14:paraId="366BEEE0" w14:textId="77777777" w:rsidR="000A6315" w:rsidRPr="00B93AB6" w:rsidRDefault="000A6315">
      <w:pPr>
        <w:pStyle w:val="FootnoteText"/>
        <w:rPr>
          <w:lang w:val="en-US"/>
        </w:rPr>
      </w:pPr>
      <w:r>
        <w:rPr>
          <w:rStyle w:val="FootnoteReference"/>
        </w:rPr>
        <w:footnoteRef/>
      </w:r>
      <w:r>
        <w:t xml:space="preserve"> </w:t>
      </w:r>
      <w:proofErr w:type="gramStart"/>
      <w:r w:rsidRPr="0075773E">
        <w:t>Bettering the Evaluation and Care of Health (2016).</w:t>
      </w:r>
      <w:proofErr w:type="gramEnd"/>
      <w:r w:rsidRPr="0075773E">
        <w:t xml:space="preserve"> SAND report: Block 179C. </w:t>
      </w:r>
      <w:proofErr w:type="gramStart"/>
      <w:r w:rsidRPr="0075773E">
        <w:t>COPD management among Au</w:t>
      </w:r>
      <w:r>
        <w:t xml:space="preserve">stralian general practice </w:t>
      </w:r>
      <w:r w:rsidRPr="0075773E">
        <w:t>patients.</w:t>
      </w:r>
      <w:proofErr w:type="gramEnd"/>
      <w:r w:rsidRPr="0075773E">
        <w:t xml:space="preserve"> Family Medicine Research Centre, Sydney School of Public Health</w:t>
      </w:r>
    </w:p>
  </w:footnote>
  <w:footnote w:id="34">
    <w:p w14:paraId="65B7D287" w14:textId="77777777" w:rsidR="000A6315" w:rsidRDefault="000A6315"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58146600" w14:textId="77777777" w:rsidR="000A6315" w:rsidRPr="00456765" w:rsidRDefault="000A6315"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5F20D" w14:textId="77777777" w:rsidR="000A6315" w:rsidRDefault="000A631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C00A6" w14:textId="77777777" w:rsidR="000A6315" w:rsidRDefault="000A6315">
    <w:pPr>
      <w:rPr>
        <w:noProof/>
        <w:lang w:eastAsia="en-AU"/>
      </w:rPr>
    </w:pPr>
    <w:r w:rsidRPr="00347824">
      <w:rPr>
        <w:noProof/>
        <w:lang w:eastAsia="en-AU"/>
      </w:rPr>
      <w:drawing>
        <wp:anchor distT="0" distB="0" distL="114300" distR="114300" simplePos="0" relativeHeight="251659264" behindDoc="1" locked="0" layoutInCell="1" allowOverlap="1" wp14:anchorId="18389339" wp14:editId="4D74A4BC">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9F1986D" w14:textId="77777777" w:rsidR="000A6315" w:rsidRDefault="000A6315" w:rsidP="00593AD1">
    <w:pPr>
      <w:pStyle w:val="HeaderNoLine"/>
    </w:pPr>
    <w:r>
      <w:rPr>
        <w:noProof/>
        <w:lang w:eastAsia="en-AU"/>
      </w:rPr>
      <w:drawing>
        <wp:inline distT="0" distB="0" distL="0" distR="0" wp14:anchorId="0EE08E86" wp14:editId="57C8766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1E221" w14:textId="77777777" w:rsidR="000A6315" w:rsidRDefault="000A631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795DB" w14:textId="77777777" w:rsidR="000A6315" w:rsidRDefault="000A631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B805B" w14:textId="77777777" w:rsidR="000A6315" w:rsidRDefault="000A631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5E0B9" w14:textId="77777777" w:rsidR="000A6315" w:rsidRDefault="000A631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0C3FB" w14:textId="77777777" w:rsidR="000A6315" w:rsidRDefault="000A6315"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13D0F" w14:textId="77777777" w:rsidR="000A6315" w:rsidRDefault="000A6315" w:rsidP="006E08B3">
    <w:r>
      <w:t>Therapeutic Goods Administration</w:t>
    </w:r>
  </w:p>
  <w:p w14:paraId="15B0121D" w14:textId="77777777" w:rsidR="000A6315" w:rsidRDefault="000A631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04F6308"/>
    <w:multiLevelType w:val="hybridMultilevel"/>
    <w:tmpl w:val="2CFE869E"/>
    <w:lvl w:ilvl="0" w:tplc="A54856B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3A80E2F"/>
    <w:multiLevelType w:val="hybridMultilevel"/>
    <w:tmpl w:val="1D129B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951245E"/>
    <w:multiLevelType w:val="hybridMultilevel"/>
    <w:tmpl w:val="B59CD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ACA28C7"/>
    <w:multiLevelType w:val="hybridMultilevel"/>
    <w:tmpl w:val="0BAE90A2"/>
    <w:lvl w:ilvl="0" w:tplc="5868EBD2">
      <w:numFmt w:val="bullet"/>
      <w:lvlText w:val="-"/>
      <w:lvlJc w:val="left"/>
      <w:pPr>
        <w:ind w:left="720" w:hanging="360"/>
      </w:pPr>
      <w:rPr>
        <w:rFonts w:ascii="Cambria" w:eastAsia="MS Mincho"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F49461F"/>
    <w:multiLevelType w:val="hybridMultilevel"/>
    <w:tmpl w:val="5B182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D0B1B75"/>
    <w:multiLevelType w:val="multilevel"/>
    <w:tmpl w:val="D3FAAF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3">
    <w:nsid w:val="6E173A1B"/>
    <w:multiLevelType w:val="hybridMultilevel"/>
    <w:tmpl w:val="D75EF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2DE6DE6"/>
    <w:multiLevelType w:val="hybridMultilevel"/>
    <w:tmpl w:val="E1FE5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4"/>
  </w:num>
  <w:num w:numId="17">
    <w:abstractNumId w:val="4"/>
  </w:num>
  <w:num w:numId="18">
    <w:abstractNumId w:val="4"/>
  </w:num>
  <w:num w:numId="19">
    <w:abstractNumId w:val="6"/>
  </w:num>
  <w:num w:numId="20">
    <w:abstractNumId w:val="6"/>
  </w:num>
  <w:num w:numId="21">
    <w:abstractNumId w:val="6"/>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5"/>
  </w:num>
  <w:num w:numId="29">
    <w:abstractNumId w:val="8"/>
  </w:num>
  <w:num w:numId="30">
    <w:abstractNumId w:val="9"/>
  </w:num>
  <w:num w:numId="31">
    <w:abstractNumId w:val="11"/>
  </w:num>
  <w:num w:numId="32">
    <w:abstractNumId w:val="7"/>
  </w:num>
  <w:num w:numId="33">
    <w:abstractNumId w:val="14"/>
  </w:num>
  <w:num w:numId="34">
    <w:abstractNumId w:val="13"/>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12"/>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911"/>
    <w:rsid w:val="000009D9"/>
    <w:rsid w:val="00002031"/>
    <w:rsid w:val="00004734"/>
    <w:rsid w:val="00006B22"/>
    <w:rsid w:val="0001276A"/>
    <w:rsid w:val="000246AE"/>
    <w:rsid w:val="00025C67"/>
    <w:rsid w:val="00044772"/>
    <w:rsid w:val="0005559E"/>
    <w:rsid w:val="000604D6"/>
    <w:rsid w:val="000734D8"/>
    <w:rsid w:val="00077775"/>
    <w:rsid w:val="00087176"/>
    <w:rsid w:val="00090471"/>
    <w:rsid w:val="00096AA7"/>
    <w:rsid w:val="000A3AED"/>
    <w:rsid w:val="000A6315"/>
    <w:rsid w:val="000B3532"/>
    <w:rsid w:val="000B3A75"/>
    <w:rsid w:val="000C00C2"/>
    <w:rsid w:val="000C690F"/>
    <w:rsid w:val="000D1295"/>
    <w:rsid w:val="000D391B"/>
    <w:rsid w:val="000D3D6D"/>
    <w:rsid w:val="000D4FC7"/>
    <w:rsid w:val="000E3AEF"/>
    <w:rsid w:val="000E6196"/>
    <w:rsid w:val="000F4869"/>
    <w:rsid w:val="000F5B42"/>
    <w:rsid w:val="000F6E6F"/>
    <w:rsid w:val="0010601F"/>
    <w:rsid w:val="0010788A"/>
    <w:rsid w:val="00107A31"/>
    <w:rsid w:val="00110EA5"/>
    <w:rsid w:val="0011299B"/>
    <w:rsid w:val="00112F56"/>
    <w:rsid w:val="00124ACD"/>
    <w:rsid w:val="00125318"/>
    <w:rsid w:val="001305A2"/>
    <w:rsid w:val="00133238"/>
    <w:rsid w:val="00133A1B"/>
    <w:rsid w:val="0014166A"/>
    <w:rsid w:val="0014197B"/>
    <w:rsid w:val="001447CD"/>
    <w:rsid w:val="001516B1"/>
    <w:rsid w:val="00154EBB"/>
    <w:rsid w:val="00156316"/>
    <w:rsid w:val="00161181"/>
    <w:rsid w:val="00162D14"/>
    <w:rsid w:val="00163780"/>
    <w:rsid w:val="00165389"/>
    <w:rsid w:val="0017693F"/>
    <w:rsid w:val="0018110E"/>
    <w:rsid w:val="00181684"/>
    <w:rsid w:val="001843C6"/>
    <w:rsid w:val="001850E0"/>
    <w:rsid w:val="00192683"/>
    <w:rsid w:val="00194704"/>
    <w:rsid w:val="00195E33"/>
    <w:rsid w:val="001A2158"/>
    <w:rsid w:val="001A525F"/>
    <w:rsid w:val="001B09F9"/>
    <w:rsid w:val="001B5C90"/>
    <w:rsid w:val="001B6448"/>
    <w:rsid w:val="001C32CD"/>
    <w:rsid w:val="001D2984"/>
    <w:rsid w:val="001E07CF"/>
    <w:rsid w:val="001E59F1"/>
    <w:rsid w:val="001F2CEE"/>
    <w:rsid w:val="001F49EB"/>
    <w:rsid w:val="001F6CBA"/>
    <w:rsid w:val="00201D4E"/>
    <w:rsid w:val="002076C9"/>
    <w:rsid w:val="00220B8A"/>
    <w:rsid w:val="002257F3"/>
    <w:rsid w:val="00232513"/>
    <w:rsid w:val="00233456"/>
    <w:rsid w:val="002339A5"/>
    <w:rsid w:val="00236FC3"/>
    <w:rsid w:val="00257848"/>
    <w:rsid w:val="0027084A"/>
    <w:rsid w:val="002748F6"/>
    <w:rsid w:val="00286434"/>
    <w:rsid w:val="00286C59"/>
    <w:rsid w:val="00291957"/>
    <w:rsid w:val="002942D1"/>
    <w:rsid w:val="0029501A"/>
    <w:rsid w:val="002959FB"/>
    <w:rsid w:val="002A3721"/>
    <w:rsid w:val="002A765B"/>
    <w:rsid w:val="002B1638"/>
    <w:rsid w:val="002B2363"/>
    <w:rsid w:val="002B3624"/>
    <w:rsid w:val="002D0952"/>
    <w:rsid w:val="002D4183"/>
    <w:rsid w:val="002E40B3"/>
    <w:rsid w:val="002E4C9A"/>
    <w:rsid w:val="002E7937"/>
    <w:rsid w:val="002F11F8"/>
    <w:rsid w:val="002F3F56"/>
    <w:rsid w:val="002F44B5"/>
    <w:rsid w:val="00311AC0"/>
    <w:rsid w:val="003176FC"/>
    <w:rsid w:val="00320735"/>
    <w:rsid w:val="0032583B"/>
    <w:rsid w:val="00327883"/>
    <w:rsid w:val="0033095D"/>
    <w:rsid w:val="003342AD"/>
    <w:rsid w:val="00335504"/>
    <w:rsid w:val="00340C18"/>
    <w:rsid w:val="00342545"/>
    <w:rsid w:val="003442FD"/>
    <w:rsid w:val="00347824"/>
    <w:rsid w:val="00350567"/>
    <w:rsid w:val="00351D2E"/>
    <w:rsid w:val="003521E8"/>
    <w:rsid w:val="00370CE3"/>
    <w:rsid w:val="003728F3"/>
    <w:rsid w:val="0037496E"/>
    <w:rsid w:val="00374BCE"/>
    <w:rsid w:val="00383221"/>
    <w:rsid w:val="00386150"/>
    <w:rsid w:val="003874CE"/>
    <w:rsid w:val="00390900"/>
    <w:rsid w:val="003A54EF"/>
    <w:rsid w:val="003A7F6C"/>
    <w:rsid w:val="003B2552"/>
    <w:rsid w:val="003B4D60"/>
    <w:rsid w:val="003B7E39"/>
    <w:rsid w:val="003C58DC"/>
    <w:rsid w:val="003D1E62"/>
    <w:rsid w:val="003E0B99"/>
    <w:rsid w:val="003E2486"/>
    <w:rsid w:val="003E3208"/>
    <w:rsid w:val="003F0B04"/>
    <w:rsid w:val="0040134E"/>
    <w:rsid w:val="00430D73"/>
    <w:rsid w:val="004334C7"/>
    <w:rsid w:val="00440980"/>
    <w:rsid w:val="00440A2D"/>
    <w:rsid w:val="00441C3F"/>
    <w:rsid w:val="004564A7"/>
    <w:rsid w:val="00456765"/>
    <w:rsid w:val="004617BF"/>
    <w:rsid w:val="00463658"/>
    <w:rsid w:val="004637A0"/>
    <w:rsid w:val="004722CC"/>
    <w:rsid w:val="004936E4"/>
    <w:rsid w:val="00494E60"/>
    <w:rsid w:val="00497487"/>
    <w:rsid w:val="004A6189"/>
    <w:rsid w:val="004A7390"/>
    <w:rsid w:val="004B7B76"/>
    <w:rsid w:val="004C239D"/>
    <w:rsid w:val="004C2DCA"/>
    <w:rsid w:val="004C61D2"/>
    <w:rsid w:val="004F0C4A"/>
    <w:rsid w:val="004F0F38"/>
    <w:rsid w:val="004F47D6"/>
    <w:rsid w:val="00500337"/>
    <w:rsid w:val="00501921"/>
    <w:rsid w:val="00513B3F"/>
    <w:rsid w:val="00530354"/>
    <w:rsid w:val="0053625B"/>
    <w:rsid w:val="005434C6"/>
    <w:rsid w:val="00543B39"/>
    <w:rsid w:val="00546154"/>
    <w:rsid w:val="00550096"/>
    <w:rsid w:val="00555280"/>
    <w:rsid w:val="00557FF9"/>
    <w:rsid w:val="00562327"/>
    <w:rsid w:val="005629DE"/>
    <w:rsid w:val="005711D5"/>
    <w:rsid w:val="00576378"/>
    <w:rsid w:val="00577130"/>
    <w:rsid w:val="00577945"/>
    <w:rsid w:val="00577E38"/>
    <w:rsid w:val="00585322"/>
    <w:rsid w:val="005857C6"/>
    <w:rsid w:val="00592F6E"/>
    <w:rsid w:val="00593AD1"/>
    <w:rsid w:val="005A68B6"/>
    <w:rsid w:val="005C3668"/>
    <w:rsid w:val="005C5570"/>
    <w:rsid w:val="005C79A4"/>
    <w:rsid w:val="005D5442"/>
    <w:rsid w:val="00603F32"/>
    <w:rsid w:val="00605AD4"/>
    <w:rsid w:val="006136D7"/>
    <w:rsid w:val="00625A6E"/>
    <w:rsid w:val="00632398"/>
    <w:rsid w:val="00640FC3"/>
    <w:rsid w:val="0064122F"/>
    <w:rsid w:val="00642020"/>
    <w:rsid w:val="0065337B"/>
    <w:rsid w:val="0065419D"/>
    <w:rsid w:val="006604D8"/>
    <w:rsid w:val="00661CFC"/>
    <w:rsid w:val="00664A5B"/>
    <w:rsid w:val="0066735C"/>
    <w:rsid w:val="006763D2"/>
    <w:rsid w:val="00680C08"/>
    <w:rsid w:val="006916A0"/>
    <w:rsid w:val="006931B1"/>
    <w:rsid w:val="006A15C0"/>
    <w:rsid w:val="006C3E2A"/>
    <w:rsid w:val="006C642F"/>
    <w:rsid w:val="006D03E5"/>
    <w:rsid w:val="006D5D3E"/>
    <w:rsid w:val="006E08B3"/>
    <w:rsid w:val="006F17AC"/>
    <w:rsid w:val="006F25B8"/>
    <w:rsid w:val="006F572E"/>
    <w:rsid w:val="007046D6"/>
    <w:rsid w:val="00705DB0"/>
    <w:rsid w:val="00722B57"/>
    <w:rsid w:val="007264BB"/>
    <w:rsid w:val="00730F8A"/>
    <w:rsid w:val="00735A8C"/>
    <w:rsid w:val="00737FF4"/>
    <w:rsid w:val="0074253D"/>
    <w:rsid w:val="0074429B"/>
    <w:rsid w:val="00750EC2"/>
    <w:rsid w:val="0075773E"/>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B6132"/>
    <w:rsid w:val="007B6E9F"/>
    <w:rsid w:val="007C1216"/>
    <w:rsid w:val="007C1AF7"/>
    <w:rsid w:val="007C6B9B"/>
    <w:rsid w:val="007E6564"/>
    <w:rsid w:val="008051BC"/>
    <w:rsid w:val="00805D27"/>
    <w:rsid w:val="00806DCB"/>
    <w:rsid w:val="00821776"/>
    <w:rsid w:val="008321F5"/>
    <w:rsid w:val="00832369"/>
    <w:rsid w:val="00833076"/>
    <w:rsid w:val="00834660"/>
    <w:rsid w:val="00836BC2"/>
    <w:rsid w:val="0084652C"/>
    <w:rsid w:val="0085156D"/>
    <w:rsid w:val="0085641B"/>
    <w:rsid w:val="00857136"/>
    <w:rsid w:val="008635E7"/>
    <w:rsid w:val="00875A6B"/>
    <w:rsid w:val="00885B11"/>
    <w:rsid w:val="00885CD3"/>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D4D5F"/>
    <w:rsid w:val="008E65BA"/>
    <w:rsid w:val="008E7846"/>
    <w:rsid w:val="008F02E5"/>
    <w:rsid w:val="008F1CCC"/>
    <w:rsid w:val="008F2967"/>
    <w:rsid w:val="008F6943"/>
    <w:rsid w:val="00902A21"/>
    <w:rsid w:val="00920330"/>
    <w:rsid w:val="009219D7"/>
    <w:rsid w:val="00922D53"/>
    <w:rsid w:val="00923B70"/>
    <w:rsid w:val="00924482"/>
    <w:rsid w:val="00930237"/>
    <w:rsid w:val="00937C17"/>
    <w:rsid w:val="00940A89"/>
    <w:rsid w:val="00946A5B"/>
    <w:rsid w:val="00946EA5"/>
    <w:rsid w:val="00953E58"/>
    <w:rsid w:val="00954DA7"/>
    <w:rsid w:val="00963C08"/>
    <w:rsid w:val="009752A5"/>
    <w:rsid w:val="00976856"/>
    <w:rsid w:val="009837A5"/>
    <w:rsid w:val="0098585A"/>
    <w:rsid w:val="009A4CED"/>
    <w:rsid w:val="009A690D"/>
    <w:rsid w:val="009B1D12"/>
    <w:rsid w:val="009B416B"/>
    <w:rsid w:val="009B67DA"/>
    <w:rsid w:val="009C4BD5"/>
    <w:rsid w:val="009D7B77"/>
    <w:rsid w:val="009E0BB0"/>
    <w:rsid w:val="009E3FBB"/>
    <w:rsid w:val="009F7353"/>
    <w:rsid w:val="00A04F85"/>
    <w:rsid w:val="00A05FA4"/>
    <w:rsid w:val="00A102E4"/>
    <w:rsid w:val="00A12C42"/>
    <w:rsid w:val="00A14942"/>
    <w:rsid w:val="00A14DF7"/>
    <w:rsid w:val="00A3246D"/>
    <w:rsid w:val="00A36FA7"/>
    <w:rsid w:val="00A44DDB"/>
    <w:rsid w:val="00A475B7"/>
    <w:rsid w:val="00A47AF7"/>
    <w:rsid w:val="00A47C3E"/>
    <w:rsid w:val="00A50226"/>
    <w:rsid w:val="00A60BAD"/>
    <w:rsid w:val="00A80B5B"/>
    <w:rsid w:val="00A84E36"/>
    <w:rsid w:val="00A964D1"/>
    <w:rsid w:val="00AA0ED0"/>
    <w:rsid w:val="00AC2B40"/>
    <w:rsid w:val="00AC2BB2"/>
    <w:rsid w:val="00AC2C3C"/>
    <w:rsid w:val="00AC512D"/>
    <w:rsid w:val="00AC620B"/>
    <w:rsid w:val="00AD0083"/>
    <w:rsid w:val="00AD3935"/>
    <w:rsid w:val="00AE65EB"/>
    <w:rsid w:val="00AE67A7"/>
    <w:rsid w:val="00AF1D94"/>
    <w:rsid w:val="00AF60C5"/>
    <w:rsid w:val="00B009C6"/>
    <w:rsid w:val="00B01548"/>
    <w:rsid w:val="00B0299B"/>
    <w:rsid w:val="00B13EBD"/>
    <w:rsid w:val="00B21D29"/>
    <w:rsid w:val="00B227B5"/>
    <w:rsid w:val="00B25034"/>
    <w:rsid w:val="00B33588"/>
    <w:rsid w:val="00B33863"/>
    <w:rsid w:val="00B37D17"/>
    <w:rsid w:val="00B4175E"/>
    <w:rsid w:val="00B41C85"/>
    <w:rsid w:val="00B452CE"/>
    <w:rsid w:val="00B54C25"/>
    <w:rsid w:val="00B57093"/>
    <w:rsid w:val="00B76B91"/>
    <w:rsid w:val="00B77EB1"/>
    <w:rsid w:val="00B811C6"/>
    <w:rsid w:val="00B855B0"/>
    <w:rsid w:val="00B92E08"/>
    <w:rsid w:val="00B93AB6"/>
    <w:rsid w:val="00BC3209"/>
    <w:rsid w:val="00BC622A"/>
    <w:rsid w:val="00BE0A78"/>
    <w:rsid w:val="00BE79F0"/>
    <w:rsid w:val="00BF046D"/>
    <w:rsid w:val="00BF1190"/>
    <w:rsid w:val="00BF275F"/>
    <w:rsid w:val="00BF580B"/>
    <w:rsid w:val="00BF5D04"/>
    <w:rsid w:val="00C009AA"/>
    <w:rsid w:val="00C1164D"/>
    <w:rsid w:val="00C16861"/>
    <w:rsid w:val="00C32CE5"/>
    <w:rsid w:val="00C346AB"/>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4CD4"/>
    <w:rsid w:val="00C9747E"/>
    <w:rsid w:val="00CA69D2"/>
    <w:rsid w:val="00CB6BC0"/>
    <w:rsid w:val="00CC1B7C"/>
    <w:rsid w:val="00CC727F"/>
    <w:rsid w:val="00CF15C3"/>
    <w:rsid w:val="00CF2B6F"/>
    <w:rsid w:val="00CF2F3E"/>
    <w:rsid w:val="00CF58B6"/>
    <w:rsid w:val="00D0062D"/>
    <w:rsid w:val="00D017ED"/>
    <w:rsid w:val="00D040D3"/>
    <w:rsid w:val="00D04C65"/>
    <w:rsid w:val="00D201D2"/>
    <w:rsid w:val="00D224FE"/>
    <w:rsid w:val="00D23139"/>
    <w:rsid w:val="00D425BB"/>
    <w:rsid w:val="00D6493E"/>
    <w:rsid w:val="00D7195D"/>
    <w:rsid w:val="00D7301E"/>
    <w:rsid w:val="00D83AE1"/>
    <w:rsid w:val="00D855D4"/>
    <w:rsid w:val="00D902C9"/>
    <w:rsid w:val="00D93466"/>
    <w:rsid w:val="00DA1124"/>
    <w:rsid w:val="00DB6124"/>
    <w:rsid w:val="00DB750B"/>
    <w:rsid w:val="00DB75B7"/>
    <w:rsid w:val="00DC6E02"/>
    <w:rsid w:val="00DD28CD"/>
    <w:rsid w:val="00DE02AE"/>
    <w:rsid w:val="00DF1D7F"/>
    <w:rsid w:val="00DF4BE4"/>
    <w:rsid w:val="00DF6FFB"/>
    <w:rsid w:val="00E02FB4"/>
    <w:rsid w:val="00E03771"/>
    <w:rsid w:val="00E13FC7"/>
    <w:rsid w:val="00E20571"/>
    <w:rsid w:val="00E235F7"/>
    <w:rsid w:val="00E23659"/>
    <w:rsid w:val="00E239D4"/>
    <w:rsid w:val="00E26130"/>
    <w:rsid w:val="00E40B22"/>
    <w:rsid w:val="00E44ED1"/>
    <w:rsid w:val="00E45619"/>
    <w:rsid w:val="00E4588F"/>
    <w:rsid w:val="00E46DA3"/>
    <w:rsid w:val="00E50427"/>
    <w:rsid w:val="00E51BB1"/>
    <w:rsid w:val="00E624A5"/>
    <w:rsid w:val="00E64BA4"/>
    <w:rsid w:val="00E7344E"/>
    <w:rsid w:val="00E82665"/>
    <w:rsid w:val="00E91CA7"/>
    <w:rsid w:val="00EB0798"/>
    <w:rsid w:val="00EB1385"/>
    <w:rsid w:val="00EB40AD"/>
    <w:rsid w:val="00EB586E"/>
    <w:rsid w:val="00EB5FC8"/>
    <w:rsid w:val="00EC463D"/>
    <w:rsid w:val="00EC7A85"/>
    <w:rsid w:val="00ED2922"/>
    <w:rsid w:val="00ED3CAD"/>
    <w:rsid w:val="00ED5A41"/>
    <w:rsid w:val="00EE1DE8"/>
    <w:rsid w:val="00EE27C2"/>
    <w:rsid w:val="00EE31EA"/>
    <w:rsid w:val="00EF4BAD"/>
    <w:rsid w:val="00EF59DC"/>
    <w:rsid w:val="00F033EC"/>
    <w:rsid w:val="00F04F68"/>
    <w:rsid w:val="00F12670"/>
    <w:rsid w:val="00F14B27"/>
    <w:rsid w:val="00F23367"/>
    <w:rsid w:val="00F3148D"/>
    <w:rsid w:val="00F325C5"/>
    <w:rsid w:val="00F32FE0"/>
    <w:rsid w:val="00F35298"/>
    <w:rsid w:val="00F43626"/>
    <w:rsid w:val="00F47333"/>
    <w:rsid w:val="00F47E37"/>
    <w:rsid w:val="00F53C07"/>
    <w:rsid w:val="00F54B65"/>
    <w:rsid w:val="00F640B6"/>
    <w:rsid w:val="00F66DF2"/>
    <w:rsid w:val="00F80E40"/>
    <w:rsid w:val="00F82911"/>
    <w:rsid w:val="00F848D9"/>
    <w:rsid w:val="00FA2D96"/>
    <w:rsid w:val="00FA5B82"/>
    <w:rsid w:val="00FA639E"/>
    <w:rsid w:val="00FB3713"/>
    <w:rsid w:val="00FC1FCA"/>
    <w:rsid w:val="00FC25E4"/>
    <w:rsid w:val="00FC4EF7"/>
    <w:rsid w:val="00FC6220"/>
    <w:rsid w:val="00FD0824"/>
    <w:rsid w:val="00FD119B"/>
    <w:rsid w:val="00FD1EDC"/>
    <w:rsid w:val="00FE1DEE"/>
    <w:rsid w:val="00FE4E85"/>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12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74BC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3342AD"/>
    <w:pPr>
      <w:adjustRightInd w:val="0"/>
      <w:snapToGrid w:val="0"/>
      <w:spacing w:before="180" w:after="180"/>
      <w:ind w:left="720"/>
      <w:contextualSpacing/>
    </w:pPr>
    <w:rPr>
      <w:rFonts w:eastAsia="MS Mincho"/>
      <w:szCs w:val="20"/>
      <w:lang w:eastAsia="ja-JP"/>
    </w:rPr>
  </w:style>
  <w:style w:type="paragraph" w:customStyle="1" w:styleId="Default">
    <w:name w:val="Default"/>
    <w:rsid w:val="00953E58"/>
    <w:pPr>
      <w:autoSpaceDE w:val="0"/>
      <w:autoSpaceDN w:val="0"/>
      <w:adjustRightInd w:val="0"/>
      <w:spacing w:after="0" w:line="240" w:lineRule="auto"/>
    </w:pPr>
    <w:rPr>
      <w:rFonts w:ascii="Cambria" w:hAnsi="Cambria" w:cs="Cambria"/>
      <w:color w:val="000000"/>
      <w:sz w:val="24"/>
      <w:szCs w:val="24"/>
    </w:rPr>
  </w:style>
  <w:style w:type="paragraph" w:customStyle="1" w:styleId="Tabletitle0">
    <w:name w:val="Table title"/>
    <w:basedOn w:val="Normal"/>
    <w:next w:val="Normal"/>
    <w:rsid w:val="00750EC2"/>
    <w:pPr>
      <w:keepNext/>
      <w:spacing w:after="180"/>
      <w:outlineLvl w:val="4"/>
    </w:pPr>
    <w:rPr>
      <w:rFonts w:cstheme="minorBidi"/>
      <w:b/>
    </w:rPr>
  </w:style>
  <w:style w:type="character" w:customStyle="1" w:styleId="titledefault">
    <w:name w:val="title_default"/>
    <w:basedOn w:val="DefaultParagraphFont"/>
    <w:rsid w:val="00195E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74BC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3342AD"/>
    <w:pPr>
      <w:adjustRightInd w:val="0"/>
      <w:snapToGrid w:val="0"/>
      <w:spacing w:before="180" w:after="180"/>
      <w:ind w:left="720"/>
      <w:contextualSpacing/>
    </w:pPr>
    <w:rPr>
      <w:rFonts w:eastAsia="MS Mincho"/>
      <w:szCs w:val="20"/>
      <w:lang w:eastAsia="ja-JP"/>
    </w:rPr>
  </w:style>
  <w:style w:type="paragraph" w:customStyle="1" w:styleId="Default">
    <w:name w:val="Default"/>
    <w:rsid w:val="00953E58"/>
    <w:pPr>
      <w:autoSpaceDE w:val="0"/>
      <w:autoSpaceDN w:val="0"/>
      <w:adjustRightInd w:val="0"/>
      <w:spacing w:after="0" w:line="240" w:lineRule="auto"/>
    </w:pPr>
    <w:rPr>
      <w:rFonts w:ascii="Cambria" w:hAnsi="Cambria" w:cs="Cambria"/>
      <w:color w:val="000000"/>
      <w:sz w:val="24"/>
      <w:szCs w:val="24"/>
    </w:rPr>
  </w:style>
  <w:style w:type="paragraph" w:customStyle="1" w:styleId="Tabletitle0">
    <w:name w:val="Table title"/>
    <w:basedOn w:val="Normal"/>
    <w:next w:val="Normal"/>
    <w:rsid w:val="00750EC2"/>
    <w:pPr>
      <w:keepNext/>
      <w:spacing w:after="180"/>
      <w:outlineLvl w:val="4"/>
    </w:pPr>
    <w:rPr>
      <w:rFonts w:cstheme="minorBidi"/>
      <w:b/>
    </w:rPr>
  </w:style>
  <w:style w:type="character" w:customStyle="1" w:styleId="titledefault">
    <w:name w:val="title_default"/>
    <w:basedOn w:val="DefaultParagraphFont"/>
    <w:rsid w:val="00195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header" Target="header7.xm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5.xml"/><Relationship Id="rId41" Type="http://schemas.microsoft.com/office/2011/relationships/people" Target="NUL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s://www.tga.gov.au"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auspar/auspar-indacaterol-maleate-glycopyrronium-bromi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17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AB314-1EB6-41D4-AE04-AD11306E3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8</TotalTime>
  <Pages>36</Pages>
  <Words>9895</Words>
  <Characters>59376</Characters>
  <Application>Microsoft Office Word</Application>
  <DocSecurity>0</DocSecurity>
  <Lines>1349</Lines>
  <Paragraphs>679</Paragraphs>
  <ScaleCrop>false</ScaleCrop>
  <HeadingPairs>
    <vt:vector size="2" baseType="variant">
      <vt:variant>
        <vt:lpstr>Title</vt:lpstr>
      </vt:variant>
      <vt:variant>
        <vt:i4>1</vt:i4>
      </vt:variant>
    </vt:vector>
  </HeadingPairs>
  <TitlesOfParts>
    <vt:vector size="1" baseType="lpstr">
      <vt:lpstr>Australian Public Assessment Report for Indacaterol maleate/ Glycopyrronium bromide</vt:lpstr>
    </vt:vector>
  </TitlesOfParts>
  <Company>Department of Health Therapeutic Goods Administration</Company>
  <LinksUpToDate>false</LinksUpToDate>
  <CharactersWithSpaces>68592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Indacaterol maleate/ Glycopyrronium bromide</dc:title>
  <dc:subject>prescription medicines</dc:subject>
  <dc:creator>Therapeutic Goods Administration</dc:creator>
  <cp:keywords>AusPARs</cp:keywords>
  <cp:lastModifiedBy>LACK, Janet</cp:lastModifiedBy>
  <cp:revision>2</cp:revision>
  <cp:lastPrinted>2015-09-22T23:39:00Z</cp:lastPrinted>
  <dcterms:created xsi:type="dcterms:W3CDTF">2018-09-26T02:36:00Z</dcterms:created>
  <dcterms:modified xsi:type="dcterms:W3CDTF">2018-10-02T04:08:00Z</dcterms:modified>
  <cp:category/>
</cp:coreProperties>
</file>