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1AC3CD3" w14:textId="77777777" w:rsidTr="00BF1190">
        <w:trPr>
          <w:trHeight w:val="1863"/>
        </w:trPr>
        <w:tc>
          <w:tcPr>
            <w:tcW w:w="3652" w:type="dxa"/>
            <w:tcBorders>
              <w:top w:val="nil"/>
              <w:left w:val="nil"/>
              <w:bottom w:val="nil"/>
              <w:right w:val="nil"/>
            </w:tcBorders>
          </w:tcPr>
          <w:p w14:paraId="2E51C2D5" w14:textId="7539E1F7" w:rsidR="004C4DB0" w:rsidRPr="00096AA7" w:rsidRDefault="00946021" w:rsidP="00096AA7">
            <w:pPr>
              <w:rPr>
                <w:rFonts w:ascii="Arial" w:hAnsi="Arial" w:cs="Arial"/>
                <w:b/>
                <w:color w:val="002C47"/>
                <w:sz w:val="36"/>
                <w:szCs w:val="36"/>
              </w:rPr>
            </w:pPr>
            <w:r>
              <w:rPr>
                <w:rFonts w:ascii="Arial" w:hAnsi="Arial" w:cs="Arial"/>
                <w:b/>
                <w:color w:val="002C47"/>
                <w:sz w:val="36"/>
                <w:szCs w:val="36"/>
              </w:rPr>
              <w:t xml:space="preserve">November </w:t>
            </w:r>
            <w:r w:rsidR="00331DEF">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AB94B57" w14:textId="77777777" w:rsidTr="0032583B">
        <w:trPr>
          <w:trHeight w:val="868"/>
        </w:trPr>
        <w:tc>
          <w:tcPr>
            <w:tcW w:w="9079" w:type="dxa"/>
          </w:tcPr>
          <w:p w14:paraId="17A61D28" w14:textId="77777777" w:rsidR="0032583B" w:rsidRPr="00A964D1" w:rsidRDefault="0032583B" w:rsidP="00331DEF">
            <w:pPr>
              <w:pStyle w:val="Title"/>
              <w:rPr>
                <w:color w:val="FFFFFF" w:themeColor="background1"/>
              </w:rPr>
            </w:pPr>
            <w:r w:rsidRPr="00A964D1">
              <w:rPr>
                <w:color w:val="FFFFFF" w:themeColor="background1"/>
              </w:rPr>
              <w:t>Australia</w:t>
            </w:r>
            <w:r w:rsidR="00331DEF">
              <w:rPr>
                <w:color w:val="FFFFFF" w:themeColor="background1"/>
              </w:rPr>
              <w:t xml:space="preserve">n Public Assessment Report for </w:t>
            </w:r>
            <w:proofErr w:type="spellStart"/>
            <w:r w:rsidR="00331DEF" w:rsidRPr="00331DEF">
              <w:rPr>
                <w:color w:val="FFFFFF" w:themeColor="background1"/>
              </w:rPr>
              <w:t>I</w:t>
            </w:r>
            <w:r w:rsidR="00331DEF">
              <w:rPr>
                <w:color w:val="FFFFFF" w:themeColor="background1"/>
              </w:rPr>
              <w:t>ndacaterol</w:t>
            </w:r>
            <w:proofErr w:type="spellEnd"/>
            <w:r w:rsidR="00331DEF">
              <w:rPr>
                <w:color w:val="FFFFFF" w:themeColor="background1"/>
              </w:rPr>
              <w:t xml:space="preserve"> (as acetate) / </w:t>
            </w:r>
            <w:proofErr w:type="spellStart"/>
            <w:r w:rsidR="00331DEF">
              <w:rPr>
                <w:color w:val="FFFFFF" w:themeColor="background1"/>
              </w:rPr>
              <w:t>m</w:t>
            </w:r>
            <w:r w:rsidR="00331DEF" w:rsidRPr="00331DEF">
              <w:rPr>
                <w:color w:val="FFFFFF" w:themeColor="background1"/>
              </w:rPr>
              <w:t>ometasone</w:t>
            </w:r>
            <w:proofErr w:type="spellEnd"/>
            <w:r w:rsidR="00331DEF" w:rsidRPr="00331DEF">
              <w:rPr>
                <w:color w:val="FFFFFF" w:themeColor="background1"/>
              </w:rPr>
              <w:t xml:space="preserve"> </w:t>
            </w:r>
            <w:proofErr w:type="spellStart"/>
            <w:r w:rsidR="00331DEF" w:rsidRPr="00331DEF">
              <w:rPr>
                <w:color w:val="FFFFFF" w:themeColor="background1"/>
              </w:rPr>
              <w:t>furoate</w:t>
            </w:r>
            <w:proofErr w:type="spellEnd"/>
          </w:p>
        </w:tc>
      </w:tr>
      <w:tr w:rsidR="0032583B" w:rsidRPr="00B64760" w14:paraId="4A48879C" w14:textId="77777777" w:rsidTr="0032583B">
        <w:tc>
          <w:tcPr>
            <w:tcW w:w="9079" w:type="dxa"/>
          </w:tcPr>
          <w:p w14:paraId="118C3135" w14:textId="7F25C393" w:rsidR="0032583B" w:rsidRPr="008E7846" w:rsidRDefault="00331DEF" w:rsidP="00331DEF">
            <w:pPr>
              <w:pStyle w:val="Subtitle"/>
              <w:rPr>
                <w:color w:val="FFFFFF" w:themeColor="background1"/>
              </w:rPr>
            </w:pPr>
            <w:r>
              <w:rPr>
                <w:color w:val="FFFFFF" w:themeColor="background1"/>
              </w:rPr>
              <w:t xml:space="preserve">Proprietary Product Name: </w:t>
            </w:r>
            <w:proofErr w:type="spellStart"/>
            <w:r w:rsidRPr="00331DEF">
              <w:rPr>
                <w:color w:val="FFFFFF" w:themeColor="background1"/>
              </w:rPr>
              <w:t>A</w:t>
            </w:r>
            <w:r>
              <w:rPr>
                <w:color w:val="FFFFFF" w:themeColor="background1"/>
              </w:rPr>
              <w:t>tectura</w:t>
            </w:r>
            <w:proofErr w:type="spellEnd"/>
            <w:r>
              <w:rPr>
                <w:color w:val="FFFFFF" w:themeColor="background1"/>
              </w:rPr>
              <w:t xml:space="preserve"> </w:t>
            </w:r>
            <w:proofErr w:type="spellStart"/>
            <w:r w:rsidR="0040703E">
              <w:rPr>
                <w:color w:val="FFFFFF" w:themeColor="background1"/>
              </w:rPr>
              <w:t>B</w:t>
            </w:r>
            <w:r>
              <w:rPr>
                <w:color w:val="FFFFFF" w:themeColor="background1"/>
              </w:rPr>
              <w:t>reezhaler</w:t>
            </w:r>
            <w:proofErr w:type="spellEnd"/>
          </w:p>
        </w:tc>
      </w:tr>
      <w:tr w:rsidR="0032583B" w:rsidRPr="00B64760" w14:paraId="6E82AFC5" w14:textId="77777777" w:rsidTr="0032583B">
        <w:trPr>
          <w:trHeight w:val="486"/>
        </w:trPr>
        <w:tc>
          <w:tcPr>
            <w:tcW w:w="9079" w:type="dxa"/>
          </w:tcPr>
          <w:p w14:paraId="5B873ED7" w14:textId="77777777" w:rsidR="0032583B" w:rsidRPr="008E7846" w:rsidRDefault="00331DEF" w:rsidP="0032583B">
            <w:pPr>
              <w:pStyle w:val="Subtitle"/>
              <w:rPr>
                <w:color w:val="FFFFFF" w:themeColor="background1"/>
              </w:rPr>
            </w:pPr>
            <w:r>
              <w:rPr>
                <w:color w:val="FFFFFF" w:themeColor="background1"/>
              </w:rPr>
              <w:t xml:space="preserve">Sponsor: </w:t>
            </w:r>
            <w:r w:rsidRPr="00331DEF">
              <w:rPr>
                <w:color w:val="FFFFFF" w:themeColor="background1"/>
              </w:rPr>
              <w:t>Novartis Pharmaceuticals Australia Pty Ltd</w:t>
            </w:r>
          </w:p>
        </w:tc>
      </w:tr>
    </w:tbl>
    <w:p w14:paraId="269E0776" w14:textId="77777777" w:rsidR="008E7846" w:rsidRPr="0085156D" w:rsidRDefault="005C516A" w:rsidP="0085156D">
      <w:r w:rsidRPr="0085156D">
        <w:t xml:space="preserve"> </w:t>
      </w:r>
      <w:r w:rsidR="008E7846" w:rsidRPr="0085156D">
        <w:br w:type="page"/>
      </w:r>
    </w:p>
    <w:p w14:paraId="17910D1E" w14:textId="77777777" w:rsidR="008E7846" w:rsidRPr="001F6CBA" w:rsidRDefault="008E7846" w:rsidP="008E7846">
      <w:pPr>
        <w:pStyle w:val="NonTOCHeading2"/>
      </w:pPr>
      <w:r w:rsidRPr="001F6CBA">
        <w:lastRenderedPageBreak/>
        <w:t>About the Therapeutic Goods Administration (TGA)</w:t>
      </w:r>
    </w:p>
    <w:p w14:paraId="32B0E3CF"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4720409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B5B744B"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3E892FFF"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30031FCE" w14:textId="100E0C8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1" w:history="1">
        <w:r w:rsidR="00441C3F">
          <w:rPr>
            <w:rStyle w:val="Hyperlink"/>
          </w:rPr>
          <w:t>https://www.tga.gov.au</w:t>
        </w:r>
      </w:hyperlink>
      <w:r w:rsidR="00441C3F">
        <w:t>&gt;.</w:t>
      </w:r>
    </w:p>
    <w:p w14:paraId="02E7F755" w14:textId="77777777" w:rsidR="008E7846" w:rsidRDefault="008E7846" w:rsidP="00875A6B">
      <w:pPr>
        <w:pStyle w:val="NonTOCHeading2"/>
      </w:pPr>
      <w:r>
        <w:t>About AusPARs</w:t>
      </w:r>
    </w:p>
    <w:p w14:paraId="18083506"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DE6E30E" w14:textId="77777777" w:rsidR="008E7846" w:rsidRDefault="008E7846" w:rsidP="008E7846">
      <w:pPr>
        <w:pStyle w:val="ListBullet"/>
        <w:numPr>
          <w:ilvl w:val="0"/>
          <w:numId w:val="3"/>
        </w:numPr>
        <w:ind w:left="357" w:hanging="357"/>
      </w:pPr>
      <w:r>
        <w:t>AusPARs are prepared and published by the TGA.</w:t>
      </w:r>
    </w:p>
    <w:p w14:paraId="6DA13938"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5D1D0ED4"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3ECED406"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1FA8D16F" w14:textId="77777777" w:rsidR="00924482" w:rsidRPr="00DF1D7F" w:rsidRDefault="00924482" w:rsidP="00F54B65">
      <w:pPr>
        <w:pStyle w:val="LegalSubheading"/>
        <w:spacing w:before="3120"/>
      </w:pPr>
      <w:r w:rsidRPr="00DF1D7F">
        <w:t>Copyright</w:t>
      </w:r>
    </w:p>
    <w:p w14:paraId="2A774E57" w14:textId="06035CBB"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2" w:history="1">
        <w:r w:rsidRPr="00191B3B">
          <w:rPr>
            <w:rStyle w:val="Hyperlink"/>
            <w:rFonts w:cs="Arial"/>
            <w:lang w:val="en-GB"/>
          </w:rPr>
          <w:t>tga.copyright@tga.gov.au</w:t>
        </w:r>
      </w:hyperlink>
      <w:r w:rsidRPr="00191B3B">
        <w:rPr>
          <w:rFonts w:cs="Arial"/>
        </w:rPr>
        <w:t>&gt;.</w:t>
      </w:r>
    </w:p>
    <w:p w14:paraId="3E05303B" w14:textId="77777777" w:rsidR="00924482" w:rsidRDefault="00924482" w:rsidP="00924482">
      <w:pPr>
        <w:pStyle w:val="LegalCopy"/>
        <w:sectPr w:rsidR="00924482" w:rsidSect="003D1E62">
          <w:headerReference w:type="even" r:id="rId13"/>
          <w:headerReference w:type="default" r:id="rId14"/>
          <w:footerReference w:type="even" r:id="rId15"/>
          <w:footerReference w:type="default" r:id="rId16"/>
          <w:headerReference w:type="first" r:id="rId17"/>
          <w:footerReference w:type="first" r:id="rId18"/>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8180BFE" w14:textId="77777777" w:rsidR="0089635C" w:rsidRPr="0089635C" w:rsidRDefault="0089635C" w:rsidP="0010788A">
          <w:pPr>
            <w:pStyle w:val="Contents"/>
          </w:pPr>
          <w:r w:rsidRPr="0010788A">
            <w:t>Conte</w:t>
          </w:r>
          <w:bookmarkStart w:id="2" w:name="_GoBack"/>
          <w:bookmarkEnd w:id="2"/>
          <w:r w:rsidRPr="0010788A">
            <w:t>nts</w:t>
          </w:r>
        </w:p>
        <w:p w14:paraId="204FDEED" w14:textId="52D84111" w:rsidR="00465424"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7282594" w:history="1">
            <w:r w:rsidR="00465424" w:rsidRPr="00AB5982">
              <w:rPr>
                <w:rStyle w:val="Hyperlink"/>
                <w:noProof/>
              </w:rPr>
              <w:t>Common abbreviations</w:t>
            </w:r>
            <w:r w:rsidR="00465424">
              <w:rPr>
                <w:noProof/>
                <w:webHidden/>
              </w:rPr>
              <w:tab/>
            </w:r>
            <w:r w:rsidR="00465424">
              <w:rPr>
                <w:noProof/>
                <w:webHidden/>
              </w:rPr>
              <w:fldChar w:fldCharType="begin"/>
            </w:r>
            <w:r w:rsidR="00465424">
              <w:rPr>
                <w:noProof/>
                <w:webHidden/>
              </w:rPr>
              <w:instrText xml:space="preserve"> PAGEREF _Toc57282594 \h </w:instrText>
            </w:r>
            <w:r w:rsidR="00465424">
              <w:rPr>
                <w:noProof/>
                <w:webHidden/>
              </w:rPr>
            </w:r>
            <w:r w:rsidR="00465424">
              <w:rPr>
                <w:noProof/>
                <w:webHidden/>
              </w:rPr>
              <w:fldChar w:fldCharType="separate"/>
            </w:r>
            <w:r w:rsidR="00465424">
              <w:rPr>
                <w:noProof/>
                <w:webHidden/>
              </w:rPr>
              <w:t>4</w:t>
            </w:r>
            <w:r w:rsidR="00465424">
              <w:rPr>
                <w:noProof/>
                <w:webHidden/>
              </w:rPr>
              <w:fldChar w:fldCharType="end"/>
            </w:r>
          </w:hyperlink>
        </w:p>
        <w:p w14:paraId="3327FAA6" w14:textId="342530E1" w:rsidR="00465424" w:rsidRDefault="00465424">
          <w:pPr>
            <w:pStyle w:val="TOC1"/>
            <w:rPr>
              <w:rFonts w:asciiTheme="minorHAnsi" w:eastAsiaTheme="minorEastAsia" w:hAnsiTheme="minorHAnsi" w:cstheme="minorBidi"/>
              <w:b w:val="0"/>
              <w:noProof/>
              <w:sz w:val="22"/>
              <w:lang w:eastAsia="en-AU"/>
            </w:rPr>
          </w:pPr>
          <w:hyperlink w:anchor="_Toc57282595" w:history="1">
            <w:r w:rsidRPr="00AB5982">
              <w:rPr>
                <w:rStyle w:val="Hyperlink"/>
                <w:noProof/>
              </w:rPr>
              <w:t>I. Introduction to product submission</w:t>
            </w:r>
            <w:r>
              <w:rPr>
                <w:noProof/>
                <w:webHidden/>
              </w:rPr>
              <w:tab/>
            </w:r>
            <w:r>
              <w:rPr>
                <w:noProof/>
                <w:webHidden/>
              </w:rPr>
              <w:fldChar w:fldCharType="begin"/>
            </w:r>
            <w:r>
              <w:rPr>
                <w:noProof/>
                <w:webHidden/>
              </w:rPr>
              <w:instrText xml:space="preserve"> PAGEREF _Toc57282595 \h </w:instrText>
            </w:r>
            <w:r>
              <w:rPr>
                <w:noProof/>
                <w:webHidden/>
              </w:rPr>
            </w:r>
            <w:r>
              <w:rPr>
                <w:noProof/>
                <w:webHidden/>
              </w:rPr>
              <w:fldChar w:fldCharType="separate"/>
            </w:r>
            <w:r>
              <w:rPr>
                <w:noProof/>
                <w:webHidden/>
              </w:rPr>
              <w:t>6</w:t>
            </w:r>
            <w:r>
              <w:rPr>
                <w:noProof/>
                <w:webHidden/>
              </w:rPr>
              <w:fldChar w:fldCharType="end"/>
            </w:r>
          </w:hyperlink>
        </w:p>
        <w:p w14:paraId="1FC76FE6" w14:textId="4B1CA1EA" w:rsidR="00465424" w:rsidRDefault="00465424">
          <w:pPr>
            <w:pStyle w:val="TOC2"/>
            <w:rPr>
              <w:rFonts w:asciiTheme="minorHAnsi" w:eastAsiaTheme="minorEastAsia" w:hAnsiTheme="minorHAnsi" w:cstheme="minorBidi"/>
              <w:b w:val="0"/>
              <w:noProof/>
              <w:sz w:val="22"/>
              <w:lang w:eastAsia="en-AU"/>
            </w:rPr>
          </w:pPr>
          <w:hyperlink w:anchor="_Toc57282596" w:history="1">
            <w:r w:rsidRPr="00AB5982">
              <w:rPr>
                <w:rStyle w:val="Hyperlink"/>
                <w:noProof/>
                <w:lang w:eastAsia="en-AU"/>
              </w:rPr>
              <w:t>Submission details</w:t>
            </w:r>
            <w:r>
              <w:rPr>
                <w:noProof/>
                <w:webHidden/>
              </w:rPr>
              <w:tab/>
            </w:r>
            <w:r>
              <w:rPr>
                <w:noProof/>
                <w:webHidden/>
              </w:rPr>
              <w:fldChar w:fldCharType="begin"/>
            </w:r>
            <w:r>
              <w:rPr>
                <w:noProof/>
                <w:webHidden/>
              </w:rPr>
              <w:instrText xml:space="preserve"> PAGEREF _Toc57282596 \h </w:instrText>
            </w:r>
            <w:r>
              <w:rPr>
                <w:noProof/>
                <w:webHidden/>
              </w:rPr>
            </w:r>
            <w:r>
              <w:rPr>
                <w:noProof/>
                <w:webHidden/>
              </w:rPr>
              <w:fldChar w:fldCharType="separate"/>
            </w:r>
            <w:r>
              <w:rPr>
                <w:noProof/>
                <w:webHidden/>
              </w:rPr>
              <w:t>6</w:t>
            </w:r>
            <w:r>
              <w:rPr>
                <w:noProof/>
                <w:webHidden/>
              </w:rPr>
              <w:fldChar w:fldCharType="end"/>
            </w:r>
          </w:hyperlink>
        </w:p>
        <w:p w14:paraId="411C89DF" w14:textId="7365C394" w:rsidR="00465424" w:rsidRDefault="00465424">
          <w:pPr>
            <w:pStyle w:val="TOC2"/>
            <w:rPr>
              <w:rFonts w:asciiTheme="minorHAnsi" w:eastAsiaTheme="minorEastAsia" w:hAnsiTheme="minorHAnsi" w:cstheme="minorBidi"/>
              <w:b w:val="0"/>
              <w:noProof/>
              <w:sz w:val="22"/>
              <w:lang w:eastAsia="en-AU"/>
            </w:rPr>
          </w:pPr>
          <w:hyperlink w:anchor="_Toc57282597" w:history="1">
            <w:r w:rsidRPr="00AB5982">
              <w:rPr>
                <w:rStyle w:val="Hyperlink"/>
                <w:noProof/>
              </w:rPr>
              <w:t>Product background</w:t>
            </w:r>
            <w:r>
              <w:rPr>
                <w:noProof/>
                <w:webHidden/>
              </w:rPr>
              <w:tab/>
            </w:r>
            <w:r>
              <w:rPr>
                <w:noProof/>
                <w:webHidden/>
              </w:rPr>
              <w:fldChar w:fldCharType="begin"/>
            </w:r>
            <w:r>
              <w:rPr>
                <w:noProof/>
                <w:webHidden/>
              </w:rPr>
              <w:instrText xml:space="preserve"> PAGEREF _Toc57282597 \h </w:instrText>
            </w:r>
            <w:r>
              <w:rPr>
                <w:noProof/>
                <w:webHidden/>
              </w:rPr>
            </w:r>
            <w:r>
              <w:rPr>
                <w:noProof/>
                <w:webHidden/>
              </w:rPr>
              <w:fldChar w:fldCharType="separate"/>
            </w:r>
            <w:r>
              <w:rPr>
                <w:noProof/>
                <w:webHidden/>
              </w:rPr>
              <w:t>7</w:t>
            </w:r>
            <w:r>
              <w:rPr>
                <w:noProof/>
                <w:webHidden/>
              </w:rPr>
              <w:fldChar w:fldCharType="end"/>
            </w:r>
          </w:hyperlink>
        </w:p>
        <w:p w14:paraId="7EE1F624" w14:textId="6C6BB5B0" w:rsidR="00465424" w:rsidRDefault="00465424">
          <w:pPr>
            <w:pStyle w:val="TOC2"/>
            <w:rPr>
              <w:rFonts w:asciiTheme="minorHAnsi" w:eastAsiaTheme="minorEastAsia" w:hAnsiTheme="minorHAnsi" w:cstheme="minorBidi"/>
              <w:b w:val="0"/>
              <w:noProof/>
              <w:sz w:val="22"/>
              <w:lang w:eastAsia="en-AU"/>
            </w:rPr>
          </w:pPr>
          <w:hyperlink w:anchor="_Toc57282598" w:history="1">
            <w:r w:rsidRPr="00AB5982">
              <w:rPr>
                <w:rStyle w:val="Hyperlink"/>
                <w:noProof/>
              </w:rPr>
              <w:t>Regulatory status</w:t>
            </w:r>
            <w:r>
              <w:rPr>
                <w:noProof/>
                <w:webHidden/>
              </w:rPr>
              <w:tab/>
            </w:r>
            <w:r>
              <w:rPr>
                <w:noProof/>
                <w:webHidden/>
              </w:rPr>
              <w:fldChar w:fldCharType="begin"/>
            </w:r>
            <w:r>
              <w:rPr>
                <w:noProof/>
                <w:webHidden/>
              </w:rPr>
              <w:instrText xml:space="preserve"> PAGEREF _Toc57282598 \h </w:instrText>
            </w:r>
            <w:r>
              <w:rPr>
                <w:noProof/>
                <w:webHidden/>
              </w:rPr>
            </w:r>
            <w:r>
              <w:rPr>
                <w:noProof/>
                <w:webHidden/>
              </w:rPr>
              <w:fldChar w:fldCharType="separate"/>
            </w:r>
            <w:r>
              <w:rPr>
                <w:noProof/>
                <w:webHidden/>
              </w:rPr>
              <w:t>10</w:t>
            </w:r>
            <w:r>
              <w:rPr>
                <w:noProof/>
                <w:webHidden/>
              </w:rPr>
              <w:fldChar w:fldCharType="end"/>
            </w:r>
          </w:hyperlink>
        </w:p>
        <w:p w14:paraId="3DACC3E1" w14:textId="4D3354E8" w:rsidR="00465424" w:rsidRDefault="00465424">
          <w:pPr>
            <w:pStyle w:val="TOC2"/>
            <w:rPr>
              <w:rFonts w:asciiTheme="minorHAnsi" w:eastAsiaTheme="minorEastAsia" w:hAnsiTheme="minorHAnsi" w:cstheme="minorBidi"/>
              <w:b w:val="0"/>
              <w:noProof/>
              <w:sz w:val="22"/>
              <w:lang w:eastAsia="en-AU"/>
            </w:rPr>
          </w:pPr>
          <w:hyperlink w:anchor="_Toc57282599" w:history="1">
            <w:r w:rsidRPr="00AB5982">
              <w:rPr>
                <w:rStyle w:val="Hyperlink"/>
                <w:noProof/>
              </w:rPr>
              <w:t>Product Information</w:t>
            </w:r>
            <w:r>
              <w:rPr>
                <w:noProof/>
                <w:webHidden/>
              </w:rPr>
              <w:tab/>
            </w:r>
            <w:r>
              <w:rPr>
                <w:noProof/>
                <w:webHidden/>
              </w:rPr>
              <w:fldChar w:fldCharType="begin"/>
            </w:r>
            <w:r>
              <w:rPr>
                <w:noProof/>
                <w:webHidden/>
              </w:rPr>
              <w:instrText xml:space="preserve"> PAGEREF _Toc57282599 \h </w:instrText>
            </w:r>
            <w:r>
              <w:rPr>
                <w:noProof/>
                <w:webHidden/>
              </w:rPr>
            </w:r>
            <w:r>
              <w:rPr>
                <w:noProof/>
                <w:webHidden/>
              </w:rPr>
              <w:fldChar w:fldCharType="separate"/>
            </w:r>
            <w:r>
              <w:rPr>
                <w:noProof/>
                <w:webHidden/>
              </w:rPr>
              <w:t>10</w:t>
            </w:r>
            <w:r>
              <w:rPr>
                <w:noProof/>
                <w:webHidden/>
              </w:rPr>
              <w:fldChar w:fldCharType="end"/>
            </w:r>
          </w:hyperlink>
        </w:p>
        <w:p w14:paraId="27E371DF" w14:textId="52D68FCD" w:rsidR="00465424" w:rsidRDefault="00465424">
          <w:pPr>
            <w:pStyle w:val="TOC1"/>
            <w:rPr>
              <w:rFonts w:asciiTheme="minorHAnsi" w:eastAsiaTheme="minorEastAsia" w:hAnsiTheme="minorHAnsi" w:cstheme="minorBidi"/>
              <w:b w:val="0"/>
              <w:noProof/>
              <w:sz w:val="22"/>
              <w:lang w:eastAsia="en-AU"/>
            </w:rPr>
          </w:pPr>
          <w:hyperlink w:anchor="_Toc57282600" w:history="1">
            <w:r w:rsidRPr="00AB5982">
              <w:rPr>
                <w:rStyle w:val="Hyperlink"/>
                <w:noProof/>
              </w:rPr>
              <w:t>II. Registration timeline</w:t>
            </w:r>
            <w:r>
              <w:rPr>
                <w:noProof/>
                <w:webHidden/>
              </w:rPr>
              <w:tab/>
            </w:r>
            <w:r>
              <w:rPr>
                <w:noProof/>
                <w:webHidden/>
              </w:rPr>
              <w:fldChar w:fldCharType="begin"/>
            </w:r>
            <w:r>
              <w:rPr>
                <w:noProof/>
                <w:webHidden/>
              </w:rPr>
              <w:instrText xml:space="preserve"> PAGEREF _Toc57282600 \h </w:instrText>
            </w:r>
            <w:r>
              <w:rPr>
                <w:noProof/>
                <w:webHidden/>
              </w:rPr>
            </w:r>
            <w:r>
              <w:rPr>
                <w:noProof/>
                <w:webHidden/>
              </w:rPr>
              <w:fldChar w:fldCharType="separate"/>
            </w:r>
            <w:r>
              <w:rPr>
                <w:noProof/>
                <w:webHidden/>
              </w:rPr>
              <w:t>11</w:t>
            </w:r>
            <w:r>
              <w:rPr>
                <w:noProof/>
                <w:webHidden/>
              </w:rPr>
              <w:fldChar w:fldCharType="end"/>
            </w:r>
          </w:hyperlink>
        </w:p>
        <w:p w14:paraId="5B943766" w14:textId="0E763CD5" w:rsidR="00465424" w:rsidRDefault="00465424">
          <w:pPr>
            <w:pStyle w:val="TOC1"/>
            <w:rPr>
              <w:rFonts w:asciiTheme="minorHAnsi" w:eastAsiaTheme="minorEastAsia" w:hAnsiTheme="minorHAnsi" w:cstheme="minorBidi"/>
              <w:b w:val="0"/>
              <w:noProof/>
              <w:sz w:val="22"/>
              <w:lang w:eastAsia="en-AU"/>
            </w:rPr>
          </w:pPr>
          <w:hyperlink w:anchor="_Toc57282601" w:history="1">
            <w:r w:rsidRPr="00AB5982">
              <w:rPr>
                <w:rStyle w:val="Hyperlink"/>
                <w:noProof/>
              </w:rPr>
              <w:t>III. Submission overview and risk/benefit assessment</w:t>
            </w:r>
            <w:r>
              <w:rPr>
                <w:noProof/>
                <w:webHidden/>
              </w:rPr>
              <w:tab/>
            </w:r>
            <w:r>
              <w:rPr>
                <w:noProof/>
                <w:webHidden/>
              </w:rPr>
              <w:fldChar w:fldCharType="begin"/>
            </w:r>
            <w:r>
              <w:rPr>
                <w:noProof/>
                <w:webHidden/>
              </w:rPr>
              <w:instrText xml:space="preserve"> PAGEREF _Toc57282601 \h </w:instrText>
            </w:r>
            <w:r>
              <w:rPr>
                <w:noProof/>
                <w:webHidden/>
              </w:rPr>
            </w:r>
            <w:r>
              <w:rPr>
                <w:noProof/>
                <w:webHidden/>
              </w:rPr>
              <w:fldChar w:fldCharType="separate"/>
            </w:r>
            <w:r>
              <w:rPr>
                <w:noProof/>
                <w:webHidden/>
              </w:rPr>
              <w:t>11</w:t>
            </w:r>
            <w:r>
              <w:rPr>
                <w:noProof/>
                <w:webHidden/>
              </w:rPr>
              <w:fldChar w:fldCharType="end"/>
            </w:r>
          </w:hyperlink>
        </w:p>
        <w:p w14:paraId="601E3784" w14:textId="573BA8FC" w:rsidR="00465424" w:rsidRDefault="00465424">
          <w:pPr>
            <w:pStyle w:val="TOC2"/>
            <w:rPr>
              <w:rFonts w:asciiTheme="minorHAnsi" w:eastAsiaTheme="minorEastAsia" w:hAnsiTheme="minorHAnsi" w:cstheme="minorBidi"/>
              <w:b w:val="0"/>
              <w:noProof/>
              <w:sz w:val="22"/>
              <w:lang w:eastAsia="en-AU"/>
            </w:rPr>
          </w:pPr>
          <w:hyperlink w:anchor="_Toc57282602" w:history="1">
            <w:r w:rsidRPr="00AB5982">
              <w:rPr>
                <w:rStyle w:val="Hyperlink"/>
                <w:noProof/>
              </w:rPr>
              <w:t>Quality</w:t>
            </w:r>
            <w:r>
              <w:rPr>
                <w:noProof/>
                <w:webHidden/>
              </w:rPr>
              <w:tab/>
            </w:r>
            <w:r>
              <w:rPr>
                <w:noProof/>
                <w:webHidden/>
              </w:rPr>
              <w:fldChar w:fldCharType="begin"/>
            </w:r>
            <w:r>
              <w:rPr>
                <w:noProof/>
                <w:webHidden/>
              </w:rPr>
              <w:instrText xml:space="preserve"> PAGEREF _Toc57282602 \h </w:instrText>
            </w:r>
            <w:r>
              <w:rPr>
                <w:noProof/>
                <w:webHidden/>
              </w:rPr>
            </w:r>
            <w:r>
              <w:rPr>
                <w:noProof/>
                <w:webHidden/>
              </w:rPr>
              <w:fldChar w:fldCharType="separate"/>
            </w:r>
            <w:r>
              <w:rPr>
                <w:noProof/>
                <w:webHidden/>
              </w:rPr>
              <w:t>11</w:t>
            </w:r>
            <w:r>
              <w:rPr>
                <w:noProof/>
                <w:webHidden/>
              </w:rPr>
              <w:fldChar w:fldCharType="end"/>
            </w:r>
          </w:hyperlink>
        </w:p>
        <w:p w14:paraId="0244BFA3" w14:textId="22250508" w:rsidR="00465424" w:rsidRDefault="00465424">
          <w:pPr>
            <w:pStyle w:val="TOC2"/>
            <w:rPr>
              <w:rFonts w:asciiTheme="minorHAnsi" w:eastAsiaTheme="minorEastAsia" w:hAnsiTheme="minorHAnsi" w:cstheme="minorBidi"/>
              <w:b w:val="0"/>
              <w:noProof/>
              <w:sz w:val="22"/>
              <w:lang w:eastAsia="en-AU"/>
            </w:rPr>
          </w:pPr>
          <w:hyperlink w:anchor="_Toc57282603" w:history="1">
            <w:r w:rsidRPr="00AB5982">
              <w:rPr>
                <w:rStyle w:val="Hyperlink"/>
                <w:noProof/>
              </w:rPr>
              <w:t>Nonclinical</w:t>
            </w:r>
            <w:r>
              <w:rPr>
                <w:noProof/>
                <w:webHidden/>
              </w:rPr>
              <w:tab/>
            </w:r>
            <w:r>
              <w:rPr>
                <w:noProof/>
                <w:webHidden/>
              </w:rPr>
              <w:fldChar w:fldCharType="begin"/>
            </w:r>
            <w:r>
              <w:rPr>
                <w:noProof/>
                <w:webHidden/>
              </w:rPr>
              <w:instrText xml:space="preserve"> PAGEREF _Toc57282603 \h </w:instrText>
            </w:r>
            <w:r>
              <w:rPr>
                <w:noProof/>
                <w:webHidden/>
              </w:rPr>
            </w:r>
            <w:r>
              <w:rPr>
                <w:noProof/>
                <w:webHidden/>
              </w:rPr>
              <w:fldChar w:fldCharType="separate"/>
            </w:r>
            <w:r>
              <w:rPr>
                <w:noProof/>
                <w:webHidden/>
              </w:rPr>
              <w:t>12</w:t>
            </w:r>
            <w:r>
              <w:rPr>
                <w:noProof/>
                <w:webHidden/>
              </w:rPr>
              <w:fldChar w:fldCharType="end"/>
            </w:r>
          </w:hyperlink>
        </w:p>
        <w:p w14:paraId="22788D49" w14:textId="10C8CF7D" w:rsidR="00465424" w:rsidRDefault="00465424">
          <w:pPr>
            <w:pStyle w:val="TOC2"/>
            <w:rPr>
              <w:rFonts w:asciiTheme="minorHAnsi" w:eastAsiaTheme="minorEastAsia" w:hAnsiTheme="minorHAnsi" w:cstheme="minorBidi"/>
              <w:b w:val="0"/>
              <w:noProof/>
              <w:sz w:val="22"/>
              <w:lang w:eastAsia="en-AU"/>
            </w:rPr>
          </w:pPr>
          <w:hyperlink w:anchor="_Toc57282604" w:history="1">
            <w:r w:rsidRPr="00AB5982">
              <w:rPr>
                <w:rStyle w:val="Hyperlink"/>
                <w:noProof/>
              </w:rPr>
              <w:t>Clinical</w:t>
            </w:r>
            <w:r>
              <w:rPr>
                <w:noProof/>
                <w:webHidden/>
              </w:rPr>
              <w:tab/>
            </w:r>
            <w:r>
              <w:rPr>
                <w:noProof/>
                <w:webHidden/>
              </w:rPr>
              <w:fldChar w:fldCharType="begin"/>
            </w:r>
            <w:r>
              <w:rPr>
                <w:noProof/>
                <w:webHidden/>
              </w:rPr>
              <w:instrText xml:space="preserve"> PAGEREF _Toc57282604 \h </w:instrText>
            </w:r>
            <w:r>
              <w:rPr>
                <w:noProof/>
                <w:webHidden/>
              </w:rPr>
            </w:r>
            <w:r>
              <w:rPr>
                <w:noProof/>
                <w:webHidden/>
              </w:rPr>
              <w:fldChar w:fldCharType="separate"/>
            </w:r>
            <w:r>
              <w:rPr>
                <w:noProof/>
                <w:webHidden/>
              </w:rPr>
              <w:t>13</w:t>
            </w:r>
            <w:r>
              <w:rPr>
                <w:noProof/>
                <w:webHidden/>
              </w:rPr>
              <w:fldChar w:fldCharType="end"/>
            </w:r>
          </w:hyperlink>
        </w:p>
        <w:p w14:paraId="05D0DE6D" w14:textId="61B13664" w:rsidR="00465424" w:rsidRDefault="00465424">
          <w:pPr>
            <w:pStyle w:val="TOC2"/>
            <w:rPr>
              <w:rFonts w:asciiTheme="minorHAnsi" w:eastAsiaTheme="minorEastAsia" w:hAnsiTheme="minorHAnsi" w:cstheme="minorBidi"/>
              <w:b w:val="0"/>
              <w:noProof/>
              <w:sz w:val="22"/>
              <w:lang w:eastAsia="en-AU"/>
            </w:rPr>
          </w:pPr>
          <w:hyperlink w:anchor="_Toc57282605" w:history="1">
            <w:r w:rsidRPr="00AB5982">
              <w:rPr>
                <w:rStyle w:val="Hyperlink"/>
                <w:noProof/>
                <w:lang w:eastAsia="en-AU"/>
              </w:rPr>
              <w:t>Risk management plan</w:t>
            </w:r>
            <w:r>
              <w:rPr>
                <w:noProof/>
                <w:webHidden/>
              </w:rPr>
              <w:tab/>
            </w:r>
            <w:r>
              <w:rPr>
                <w:noProof/>
                <w:webHidden/>
              </w:rPr>
              <w:fldChar w:fldCharType="begin"/>
            </w:r>
            <w:r>
              <w:rPr>
                <w:noProof/>
                <w:webHidden/>
              </w:rPr>
              <w:instrText xml:space="preserve"> PAGEREF _Toc57282605 \h </w:instrText>
            </w:r>
            <w:r>
              <w:rPr>
                <w:noProof/>
                <w:webHidden/>
              </w:rPr>
            </w:r>
            <w:r>
              <w:rPr>
                <w:noProof/>
                <w:webHidden/>
              </w:rPr>
              <w:fldChar w:fldCharType="separate"/>
            </w:r>
            <w:r>
              <w:rPr>
                <w:noProof/>
                <w:webHidden/>
              </w:rPr>
              <w:t>19</w:t>
            </w:r>
            <w:r>
              <w:rPr>
                <w:noProof/>
                <w:webHidden/>
              </w:rPr>
              <w:fldChar w:fldCharType="end"/>
            </w:r>
          </w:hyperlink>
        </w:p>
        <w:p w14:paraId="38F1A8DB" w14:textId="38F9D5C8" w:rsidR="00465424" w:rsidRDefault="00465424">
          <w:pPr>
            <w:pStyle w:val="TOC2"/>
            <w:rPr>
              <w:rFonts w:asciiTheme="minorHAnsi" w:eastAsiaTheme="minorEastAsia" w:hAnsiTheme="minorHAnsi" w:cstheme="minorBidi"/>
              <w:b w:val="0"/>
              <w:noProof/>
              <w:sz w:val="22"/>
              <w:lang w:eastAsia="en-AU"/>
            </w:rPr>
          </w:pPr>
          <w:hyperlink w:anchor="_Toc57282606" w:history="1">
            <w:r w:rsidRPr="00AB5982">
              <w:rPr>
                <w:rStyle w:val="Hyperlink"/>
                <w:noProof/>
              </w:rPr>
              <w:t>Risk-benefit analysis</w:t>
            </w:r>
            <w:r>
              <w:rPr>
                <w:noProof/>
                <w:webHidden/>
              </w:rPr>
              <w:tab/>
            </w:r>
            <w:r>
              <w:rPr>
                <w:noProof/>
                <w:webHidden/>
              </w:rPr>
              <w:fldChar w:fldCharType="begin"/>
            </w:r>
            <w:r>
              <w:rPr>
                <w:noProof/>
                <w:webHidden/>
              </w:rPr>
              <w:instrText xml:space="preserve"> PAGEREF _Toc57282606 \h </w:instrText>
            </w:r>
            <w:r>
              <w:rPr>
                <w:noProof/>
                <w:webHidden/>
              </w:rPr>
            </w:r>
            <w:r>
              <w:rPr>
                <w:noProof/>
                <w:webHidden/>
              </w:rPr>
              <w:fldChar w:fldCharType="separate"/>
            </w:r>
            <w:r>
              <w:rPr>
                <w:noProof/>
                <w:webHidden/>
              </w:rPr>
              <w:t>19</w:t>
            </w:r>
            <w:r>
              <w:rPr>
                <w:noProof/>
                <w:webHidden/>
              </w:rPr>
              <w:fldChar w:fldCharType="end"/>
            </w:r>
          </w:hyperlink>
        </w:p>
        <w:p w14:paraId="29E7A84F" w14:textId="1A80DED4" w:rsidR="00465424" w:rsidRDefault="00465424">
          <w:pPr>
            <w:pStyle w:val="TOC2"/>
            <w:rPr>
              <w:rFonts w:asciiTheme="minorHAnsi" w:eastAsiaTheme="minorEastAsia" w:hAnsiTheme="minorHAnsi" w:cstheme="minorBidi"/>
              <w:b w:val="0"/>
              <w:noProof/>
              <w:sz w:val="22"/>
              <w:lang w:eastAsia="en-AU"/>
            </w:rPr>
          </w:pPr>
          <w:hyperlink w:anchor="_Toc57282607" w:history="1">
            <w:r w:rsidRPr="00AB5982">
              <w:rPr>
                <w:rStyle w:val="Hyperlink"/>
                <w:noProof/>
              </w:rPr>
              <w:t>Outcome</w:t>
            </w:r>
            <w:r>
              <w:rPr>
                <w:noProof/>
                <w:webHidden/>
              </w:rPr>
              <w:tab/>
            </w:r>
            <w:r>
              <w:rPr>
                <w:noProof/>
                <w:webHidden/>
              </w:rPr>
              <w:fldChar w:fldCharType="begin"/>
            </w:r>
            <w:r>
              <w:rPr>
                <w:noProof/>
                <w:webHidden/>
              </w:rPr>
              <w:instrText xml:space="preserve"> PAGEREF _Toc57282607 \h </w:instrText>
            </w:r>
            <w:r>
              <w:rPr>
                <w:noProof/>
                <w:webHidden/>
              </w:rPr>
            </w:r>
            <w:r>
              <w:rPr>
                <w:noProof/>
                <w:webHidden/>
              </w:rPr>
              <w:fldChar w:fldCharType="separate"/>
            </w:r>
            <w:r>
              <w:rPr>
                <w:noProof/>
                <w:webHidden/>
              </w:rPr>
              <w:t>21</w:t>
            </w:r>
            <w:r>
              <w:rPr>
                <w:noProof/>
                <w:webHidden/>
              </w:rPr>
              <w:fldChar w:fldCharType="end"/>
            </w:r>
          </w:hyperlink>
        </w:p>
        <w:p w14:paraId="3730B4DE" w14:textId="2A3017A8" w:rsidR="00465424" w:rsidRDefault="00465424">
          <w:pPr>
            <w:pStyle w:val="TOC1"/>
            <w:rPr>
              <w:rFonts w:asciiTheme="minorHAnsi" w:eastAsiaTheme="minorEastAsia" w:hAnsiTheme="minorHAnsi" w:cstheme="minorBidi"/>
              <w:b w:val="0"/>
              <w:noProof/>
              <w:sz w:val="22"/>
              <w:lang w:eastAsia="en-AU"/>
            </w:rPr>
          </w:pPr>
          <w:hyperlink w:anchor="_Toc57282608" w:history="1">
            <w:r w:rsidRPr="00AB5982">
              <w:rPr>
                <w:rStyle w:val="Hyperlink"/>
                <w:noProof/>
              </w:rPr>
              <w:t>Attachment 1. Product Information</w:t>
            </w:r>
            <w:r>
              <w:rPr>
                <w:noProof/>
                <w:webHidden/>
              </w:rPr>
              <w:tab/>
            </w:r>
            <w:r>
              <w:rPr>
                <w:noProof/>
                <w:webHidden/>
              </w:rPr>
              <w:fldChar w:fldCharType="begin"/>
            </w:r>
            <w:r>
              <w:rPr>
                <w:noProof/>
                <w:webHidden/>
              </w:rPr>
              <w:instrText xml:space="preserve"> PAGEREF _Toc57282608 \h </w:instrText>
            </w:r>
            <w:r>
              <w:rPr>
                <w:noProof/>
                <w:webHidden/>
              </w:rPr>
            </w:r>
            <w:r>
              <w:rPr>
                <w:noProof/>
                <w:webHidden/>
              </w:rPr>
              <w:fldChar w:fldCharType="separate"/>
            </w:r>
            <w:r>
              <w:rPr>
                <w:noProof/>
                <w:webHidden/>
              </w:rPr>
              <w:t>22</w:t>
            </w:r>
            <w:r>
              <w:rPr>
                <w:noProof/>
                <w:webHidden/>
              </w:rPr>
              <w:fldChar w:fldCharType="end"/>
            </w:r>
          </w:hyperlink>
        </w:p>
        <w:p w14:paraId="5905F4B0" w14:textId="6F68BE0D" w:rsidR="003A7F6C" w:rsidRPr="00B811C6" w:rsidRDefault="00C525A2" w:rsidP="00B811C6">
          <w:pPr>
            <w:pStyle w:val="TOC2"/>
          </w:pPr>
          <w:r>
            <w:fldChar w:fldCharType="end"/>
          </w:r>
        </w:p>
      </w:sdtContent>
    </w:sdt>
    <w:bookmarkStart w:id="3" w:name="_Toc314842482" w:displacedByCustomXml="prev"/>
    <w:p w14:paraId="5488F826" w14:textId="77777777" w:rsidR="00FD119B" w:rsidRDefault="00FD119B">
      <w:pPr>
        <w:spacing w:before="0" w:after="200" w:line="0" w:lineRule="auto"/>
      </w:pPr>
      <w:r>
        <w:br w:type="page"/>
      </w:r>
    </w:p>
    <w:p w14:paraId="25A4BF72" w14:textId="77777777" w:rsidR="00C52E24" w:rsidRPr="00C52E24" w:rsidRDefault="00441C3F" w:rsidP="00331DEF">
      <w:pPr>
        <w:pStyle w:val="Heading2"/>
      </w:pPr>
      <w:bookmarkStart w:id="4" w:name="_Toc351716269"/>
      <w:bookmarkStart w:id="5" w:name="_Toc351718881"/>
      <w:bookmarkStart w:id="6" w:name="_Toc355338616"/>
      <w:bookmarkStart w:id="7" w:name="_Toc356306144"/>
      <w:bookmarkStart w:id="8" w:name="_Toc57282594"/>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2"/>
        <w:gridCol w:w="6692"/>
      </w:tblGrid>
      <w:tr w:rsidR="001B1F4F" w:rsidRPr="00FD119B" w14:paraId="16D4910D" w14:textId="77777777" w:rsidTr="00742588">
        <w:trPr>
          <w:cnfStyle w:val="100000000000" w:firstRow="1" w:lastRow="0" w:firstColumn="0" w:lastColumn="0" w:oddVBand="0" w:evenVBand="0" w:oddHBand="0" w:evenHBand="0" w:firstRowFirstColumn="0" w:firstRowLastColumn="0" w:lastRowFirstColumn="0" w:lastRowLastColumn="0"/>
        </w:trPr>
        <w:tc>
          <w:tcPr>
            <w:tcW w:w="1802" w:type="dxa"/>
            <w:tcBorders>
              <w:top w:val="single" w:sz="4" w:space="0" w:color="auto"/>
              <w:left w:val="single" w:sz="4" w:space="0" w:color="auto"/>
              <w:bottom w:val="single" w:sz="4" w:space="0" w:color="auto"/>
              <w:right w:val="single" w:sz="4" w:space="0" w:color="auto"/>
            </w:tcBorders>
          </w:tcPr>
          <w:p w14:paraId="3C5132A2" w14:textId="77777777" w:rsidR="001B1F4F" w:rsidRPr="00FD119B" w:rsidRDefault="001B1F4F" w:rsidP="00CF5DAD">
            <w:pPr>
              <w:keepNext w:val="0"/>
              <w:ind w:left="0" w:right="0"/>
              <w:rPr>
                <w:szCs w:val="22"/>
                <w:lang w:eastAsia="en-US"/>
              </w:rPr>
            </w:pPr>
            <w:r w:rsidRPr="00FD119B">
              <w:rPr>
                <w:szCs w:val="22"/>
                <w:lang w:eastAsia="en-US"/>
              </w:rPr>
              <w:t>Abbreviation</w:t>
            </w:r>
          </w:p>
        </w:tc>
        <w:tc>
          <w:tcPr>
            <w:tcW w:w="6692" w:type="dxa"/>
            <w:tcBorders>
              <w:top w:val="single" w:sz="4" w:space="0" w:color="auto"/>
              <w:left w:val="single" w:sz="4" w:space="0" w:color="auto"/>
              <w:bottom w:val="single" w:sz="4" w:space="0" w:color="auto"/>
              <w:right w:val="single" w:sz="4" w:space="0" w:color="auto"/>
            </w:tcBorders>
          </w:tcPr>
          <w:p w14:paraId="12104FDD" w14:textId="77777777" w:rsidR="001B1F4F" w:rsidRPr="00FD119B" w:rsidRDefault="001B1F4F" w:rsidP="0012213C">
            <w:pPr>
              <w:keepNext w:val="0"/>
              <w:ind w:left="0" w:right="-108"/>
              <w:rPr>
                <w:szCs w:val="22"/>
                <w:lang w:eastAsia="en-US"/>
              </w:rPr>
            </w:pPr>
            <w:r w:rsidRPr="00FD119B">
              <w:rPr>
                <w:szCs w:val="22"/>
                <w:lang w:eastAsia="en-US"/>
              </w:rPr>
              <w:t>Meaning</w:t>
            </w:r>
          </w:p>
        </w:tc>
      </w:tr>
      <w:tr w:rsidR="00742588" w:rsidRPr="00EE328A" w14:paraId="6CBB72DE" w14:textId="77777777" w:rsidTr="00742588">
        <w:tc>
          <w:tcPr>
            <w:tcW w:w="1802" w:type="dxa"/>
          </w:tcPr>
          <w:p w14:paraId="56E4EA65" w14:textId="42B93E39" w:rsidR="00742588" w:rsidRPr="00742588" w:rsidRDefault="00742588" w:rsidP="00742588">
            <w:r w:rsidRPr="00EE328A">
              <w:t>β</w:t>
            </w:r>
            <w:r w:rsidRPr="00DD161E">
              <w:rPr>
                <w:vertAlign w:val="subscript"/>
              </w:rPr>
              <w:t>2</w:t>
            </w:r>
            <w:r>
              <w:t>AR</w:t>
            </w:r>
          </w:p>
        </w:tc>
        <w:tc>
          <w:tcPr>
            <w:tcW w:w="6692" w:type="dxa"/>
          </w:tcPr>
          <w:p w14:paraId="27010221" w14:textId="7DFBA37B" w:rsidR="00742588" w:rsidRDefault="00742588" w:rsidP="00742588">
            <w:r>
              <w:t>Beta 2 adrenergic receptor</w:t>
            </w:r>
          </w:p>
        </w:tc>
      </w:tr>
      <w:tr w:rsidR="00742588" w:rsidRPr="00EE328A" w14:paraId="4216B251" w14:textId="77777777" w:rsidTr="00742588">
        <w:tc>
          <w:tcPr>
            <w:tcW w:w="1802" w:type="dxa"/>
          </w:tcPr>
          <w:p w14:paraId="5D16FF47" w14:textId="00A3008B" w:rsidR="00742588" w:rsidRPr="00EE328A" w:rsidRDefault="00742588" w:rsidP="00742588">
            <w:r w:rsidRPr="00EE328A">
              <w:t>β</w:t>
            </w:r>
            <w:r w:rsidRPr="00DD161E">
              <w:rPr>
                <w:vertAlign w:val="subscript"/>
              </w:rPr>
              <w:t>2</w:t>
            </w:r>
          </w:p>
        </w:tc>
        <w:tc>
          <w:tcPr>
            <w:tcW w:w="6692" w:type="dxa"/>
          </w:tcPr>
          <w:p w14:paraId="564C243A" w14:textId="59F743AB" w:rsidR="00742588" w:rsidRDefault="00742588" w:rsidP="00742588">
            <w:r>
              <w:t>Beta 2</w:t>
            </w:r>
          </w:p>
        </w:tc>
      </w:tr>
      <w:tr w:rsidR="00742588" w:rsidRPr="00EE328A" w14:paraId="7DA88CBC" w14:textId="77777777" w:rsidTr="00742588">
        <w:tc>
          <w:tcPr>
            <w:tcW w:w="1802" w:type="dxa"/>
          </w:tcPr>
          <w:p w14:paraId="73CD694D" w14:textId="77777777" w:rsidR="00742588" w:rsidRPr="00EE328A" w:rsidRDefault="00742588" w:rsidP="00742588">
            <w:r>
              <w:t>100 PY</w:t>
            </w:r>
          </w:p>
        </w:tc>
        <w:tc>
          <w:tcPr>
            <w:tcW w:w="6692" w:type="dxa"/>
          </w:tcPr>
          <w:p w14:paraId="2A4D970D" w14:textId="552F55B9" w:rsidR="00742588" w:rsidRPr="00EE328A" w:rsidRDefault="00742588" w:rsidP="00742588">
            <w:r>
              <w:t>100 person years</w:t>
            </w:r>
          </w:p>
        </w:tc>
      </w:tr>
      <w:tr w:rsidR="00742588" w:rsidRPr="00EE328A" w14:paraId="4C58D8D2" w14:textId="77777777" w:rsidTr="00742588">
        <w:tc>
          <w:tcPr>
            <w:tcW w:w="1802" w:type="dxa"/>
          </w:tcPr>
          <w:p w14:paraId="462BFF48" w14:textId="77777777" w:rsidR="00742588" w:rsidRPr="00EE328A" w:rsidRDefault="00742588" w:rsidP="00742588">
            <w:pPr>
              <w:rPr>
                <w:color w:val="000000"/>
              </w:rPr>
            </w:pPr>
            <w:r w:rsidRPr="00EE328A">
              <w:rPr>
                <w:color w:val="000000"/>
              </w:rPr>
              <w:t>ACM</w:t>
            </w:r>
          </w:p>
        </w:tc>
        <w:tc>
          <w:tcPr>
            <w:tcW w:w="6692" w:type="dxa"/>
          </w:tcPr>
          <w:p w14:paraId="20ED5815" w14:textId="77777777" w:rsidR="00742588" w:rsidRPr="00EE328A" w:rsidRDefault="00742588" w:rsidP="00742588">
            <w:pPr>
              <w:rPr>
                <w:color w:val="000000"/>
              </w:rPr>
            </w:pPr>
            <w:r w:rsidRPr="00EE328A">
              <w:rPr>
                <w:color w:val="000000"/>
              </w:rPr>
              <w:t>Advisory Committee on Medicines</w:t>
            </w:r>
          </w:p>
        </w:tc>
      </w:tr>
      <w:tr w:rsidR="00742588" w:rsidRPr="00EE328A" w14:paraId="283BAE04" w14:textId="77777777" w:rsidTr="00742588">
        <w:tc>
          <w:tcPr>
            <w:tcW w:w="1802" w:type="dxa"/>
          </w:tcPr>
          <w:p w14:paraId="0782DD2A" w14:textId="77777777" w:rsidR="00742588" w:rsidRPr="00EE328A" w:rsidRDefault="00742588" w:rsidP="00742588">
            <w:r>
              <w:t>ACQ</w:t>
            </w:r>
          </w:p>
        </w:tc>
        <w:tc>
          <w:tcPr>
            <w:tcW w:w="6692" w:type="dxa"/>
          </w:tcPr>
          <w:p w14:paraId="426B44D0" w14:textId="09208B3F" w:rsidR="00742588" w:rsidRPr="00EE328A" w:rsidRDefault="00742588" w:rsidP="00742588">
            <w:r>
              <w:t>Asthma Control Questionnaire</w:t>
            </w:r>
          </w:p>
        </w:tc>
      </w:tr>
      <w:tr w:rsidR="00742588" w:rsidRPr="00EE328A" w14:paraId="76C5B3CA" w14:textId="77777777" w:rsidTr="00742588">
        <w:tc>
          <w:tcPr>
            <w:tcW w:w="1802" w:type="dxa"/>
          </w:tcPr>
          <w:p w14:paraId="148F89C0" w14:textId="77777777" w:rsidR="00742588" w:rsidRPr="00EE328A" w:rsidRDefault="00742588" w:rsidP="00742588">
            <w:r>
              <w:t>AE</w:t>
            </w:r>
          </w:p>
        </w:tc>
        <w:tc>
          <w:tcPr>
            <w:tcW w:w="6692" w:type="dxa"/>
          </w:tcPr>
          <w:p w14:paraId="61A44A5D" w14:textId="6C5EFE19" w:rsidR="00742588" w:rsidRPr="00EE328A" w:rsidRDefault="00742588" w:rsidP="00742588">
            <w:r>
              <w:t>Adverse event</w:t>
            </w:r>
          </w:p>
        </w:tc>
      </w:tr>
      <w:tr w:rsidR="00742588" w:rsidRPr="00EE328A" w14:paraId="727F9BB2" w14:textId="77777777" w:rsidTr="00742588">
        <w:tc>
          <w:tcPr>
            <w:tcW w:w="1802" w:type="dxa"/>
          </w:tcPr>
          <w:p w14:paraId="198F3CB4" w14:textId="77777777" w:rsidR="00742588" w:rsidRPr="00EE328A" w:rsidRDefault="00742588" w:rsidP="00742588">
            <w:pPr>
              <w:rPr>
                <w:color w:val="000000"/>
              </w:rPr>
            </w:pPr>
            <w:r w:rsidRPr="00EE328A">
              <w:rPr>
                <w:color w:val="000000"/>
              </w:rPr>
              <w:t>ARTG</w:t>
            </w:r>
          </w:p>
        </w:tc>
        <w:tc>
          <w:tcPr>
            <w:tcW w:w="6692" w:type="dxa"/>
          </w:tcPr>
          <w:p w14:paraId="271883A8" w14:textId="77777777" w:rsidR="00742588" w:rsidRPr="00EE328A" w:rsidRDefault="00742588" w:rsidP="00742588">
            <w:pPr>
              <w:rPr>
                <w:color w:val="000000"/>
              </w:rPr>
            </w:pPr>
            <w:r w:rsidRPr="00EE328A">
              <w:rPr>
                <w:color w:val="000000"/>
              </w:rPr>
              <w:t>Australian Register of Therapeutic Goods</w:t>
            </w:r>
          </w:p>
        </w:tc>
      </w:tr>
      <w:tr w:rsidR="00742588" w:rsidRPr="00EE328A" w14:paraId="792C52F1" w14:textId="77777777" w:rsidTr="00742588">
        <w:tc>
          <w:tcPr>
            <w:tcW w:w="1802" w:type="dxa"/>
          </w:tcPr>
          <w:p w14:paraId="2484E970" w14:textId="77777777" w:rsidR="00742588" w:rsidRPr="00EE328A" w:rsidRDefault="00742588" w:rsidP="00742588">
            <w:r>
              <w:t>AusPAR</w:t>
            </w:r>
          </w:p>
        </w:tc>
        <w:tc>
          <w:tcPr>
            <w:tcW w:w="6692" w:type="dxa"/>
          </w:tcPr>
          <w:p w14:paraId="19FC2536" w14:textId="77777777" w:rsidR="00742588" w:rsidRPr="00EE328A" w:rsidRDefault="00742588" w:rsidP="00742588">
            <w:r w:rsidRPr="00EE328A">
              <w:t>Australian Public Assessment Report</w:t>
            </w:r>
          </w:p>
        </w:tc>
      </w:tr>
      <w:tr w:rsidR="00742588" w:rsidRPr="00EE328A" w14:paraId="58B395C8" w14:textId="77777777" w:rsidTr="00742588">
        <w:tc>
          <w:tcPr>
            <w:tcW w:w="1802" w:type="dxa"/>
          </w:tcPr>
          <w:p w14:paraId="3476EEF2" w14:textId="77777777" w:rsidR="00742588" w:rsidRPr="00EE328A" w:rsidRDefault="00742588" w:rsidP="00742588">
            <w:r>
              <w:t>BID</w:t>
            </w:r>
          </w:p>
        </w:tc>
        <w:tc>
          <w:tcPr>
            <w:tcW w:w="6692" w:type="dxa"/>
          </w:tcPr>
          <w:p w14:paraId="51B99C72" w14:textId="7C66944A" w:rsidR="00742588" w:rsidRPr="00EE328A" w:rsidRDefault="00742588" w:rsidP="00742588">
            <w:r>
              <w:t xml:space="preserve">Twice a day; Latin: </w:t>
            </w:r>
            <w:proofErr w:type="spellStart"/>
            <w:r w:rsidRPr="00B512C2">
              <w:rPr>
                <w:i/>
              </w:rPr>
              <w:t>bis</w:t>
            </w:r>
            <w:proofErr w:type="spellEnd"/>
            <w:r w:rsidRPr="00B512C2">
              <w:rPr>
                <w:i/>
              </w:rPr>
              <w:t xml:space="preserve"> in die</w:t>
            </w:r>
          </w:p>
        </w:tc>
      </w:tr>
      <w:tr w:rsidR="00742588" w:rsidRPr="00EE328A" w14:paraId="74CA2D11" w14:textId="77777777" w:rsidTr="00742588">
        <w:tc>
          <w:tcPr>
            <w:tcW w:w="1802" w:type="dxa"/>
          </w:tcPr>
          <w:p w14:paraId="7C8607B9" w14:textId="77777777" w:rsidR="00742588" w:rsidRPr="00EE328A" w:rsidRDefault="00742588" w:rsidP="00742588">
            <w:r>
              <w:t>CI</w:t>
            </w:r>
          </w:p>
        </w:tc>
        <w:tc>
          <w:tcPr>
            <w:tcW w:w="6692" w:type="dxa"/>
          </w:tcPr>
          <w:p w14:paraId="3CE33DE4" w14:textId="77777777" w:rsidR="00742588" w:rsidRPr="00EE328A" w:rsidRDefault="00742588" w:rsidP="00742588">
            <w:r>
              <w:t>Confidence interval</w:t>
            </w:r>
          </w:p>
        </w:tc>
      </w:tr>
      <w:tr w:rsidR="00742588" w:rsidRPr="00EE328A" w14:paraId="1F61F610" w14:textId="77777777" w:rsidTr="00742588">
        <w:tc>
          <w:tcPr>
            <w:tcW w:w="1802" w:type="dxa"/>
          </w:tcPr>
          <w:p w14:paraId="0B2FCBD5" w14:textId="77777777" w:rsidR="00742588" w:rsidRPr="00EE328A" w:rsidRDefault="00742588" w:rsidP="00742588">
            <w:r>
              <w:t>COPD</w:t>
            </w:r>
          </w:p>
        </w:tc>
        <w:tc>
          <w:tcPr>
            <w:tcW w:w="6692" w:type="dxa"/>
          </w:tcPr>
          <w:p w14:paraId="43AB5829" w14:textId="77777777" w:rsidR="00742588" w:rsidRPr="00EE328A" w:rsidRDefault="00742588" w:rsidP="00742588">
            <w:r>
              <w:t>C</w:t>
            </w:r>
            <w:r w:rsidRPr="00EE328A">
              <w:t>hronic obstructive pulmonary disease</w:t>
            </w:r>
          </w:p>
        </w:tc>
      </w:tr>
      <w:tr w:rsidR="00742588" w:rsidRPr="00EE328A" w14:paraId="0B1F1B73" w14:textId="77777777" w:rsidTr="00742588">
        <w:tc>
          <w:tcPr>
            <w:tcW w:w="1802" w:type="dxa"/>
          </w:tcPr>
          <w:p w14:paraId="0C297D23" w14:textId="77777777" w:rsidR="00742588" w:rsidRPr="00EE328A" w:rsidRDefault="00742588" w:rsidP="00742588">
            <w:r>
              <w:t>ECG</w:t>
            </w:r>
          </w:p>
        </w:tc>
        <w:tc>
          <w:tcPr>
            <w:tcW w:w="6692" w:type="dxa"/>
          </w:tcPr>
          <w:p w14:paraId="2EB25978" w14:textId="77777777" w:rsidR="00742588" w:rsidRPr="00EE328A" w:rsidRDefault="00742588" w:rsidP="00742588">
            <w:r w:rsidRPr="00D844D5">
              <w:t>Electrocardiogram</w:t>
            </w:r>
          </w:p>
        </w:tc>
      </w:tr>
      <w:tr w:rsidR="00742588" w:rsidRPr="00EE328A" w14:paraId="00CE1F38" w14:textId="77777777" w:rsidTr="00742588">
        <w:tc>
          <w:tcPr>
            <w:tcW w:w="1802" w:type="dxa"/>
          </w:tcPr>
          <w:p w14:paraId="436CCFDD" w14:textId="77777777" w:rsidR="00742588" w:rsidRPr="00EE328A" w:rsidRDefault="00742588" w:rsidP="00742588">
            <w:r>
              <w:t>EMA</w:t>
            </w:r>
          </w:p>
        </w:tc>
        <w:tc>
          <w:tcPr>
            <w:tcW w:w="6692" w:type="dxa"/>
          </w:tcPr>
          <w:p w14:paraId="406F16E5" w14:textId="187E5B8A" w:rsidR="00742588" w:rsidRPr="00EE328A" w:rsidRDefault="00742588" w:rsidP="00742588">
            <w:r>
              <w:t>European Medicines Agency (European Union)</w:t>
            </w:r>
          </w:p>
        </w:tc>
      </w:tr>
      <w:tr w:rsidR="00742588" w:rsidRPr="00EE328A" w14:paraId="6BCD49BB" w14:textId="77777777" w:rsidTr="00742588">
        <w:tc>
          <w:tcPr>
            <w:tcW w:w="1802" w:type="dxa"/>
          </w:tcPr>
          <w:p w14:paraId="7E905A84" w14:textId="77777777" w:rsidR="00742588" w:rsidRPr="00EE328A" w:rsidRDefault="00742588" w:rsidP="00742588">
            <w:r>
              <w:t>EU</w:t>
            </w:r>
          </w:p>
        </w:tc>
        <w:tc>
          <w:tcPr>
            <w:tcW w:w="6692" w:type="dxa"/>
          </w:tcPr>
          <w:p w14:paraId="02ED7C7C" w14:textId="77777777" w:rsidR="00742588" w:rsidRPr="00EE328A" w:rsidRDefault="00742588" w:rsidP="00742588">
            <w:r>
              <w:t>European Union</w:t>
            </w:r>
          </w:p>
        </w:tc>
      </w:tr>
      <w:tr w:rsidR="00742588" w:rsidRPr="00EE328A" w14:paraId="7632CD2F" w14:textId="77777777" w:rsidTr="00742588">
        <w:tc>
          <w:tcPr>
            <w:tcW w:w="1802" w:type="dxa"/>
          </w:tcPr>
          <w:p w14:paraId="3D927CFA" w14:textId="77777777" w:rsidR="00742588" w:rsidRPr="00EE328A" w:rsidRDefault="00742588" w:rsidP="00742588">
            <w:r>
              <w:t>FDC</w:t>
            </w:r>
          </w:p>
        </w:tc>
        <w:tc>
          <w:tcPr>
            <w:tcW w:w="6692" w:type="dxa"/>
          </w:tcPr>
          <w:p w14:paraId="37D15EE8" w14:textId="77777777" w:rsidR="00742588" w:rsidRPr="00EE328A" w:rsidRDefault="00742588" w:rsidP="00742588">
            <w:r>
              <w:t>Fixed dose combination(s)</w:t>
            </w:r>
          </w:p>
        </w:tc>
      </w:tr>
      <w:tr w:rsidR="00742588" w:rsidRPr="00EE328A" w14:paraId="7705109C" w14:textId="77777777" w:rsidTr="00742588">
        <w:tc>
          <w:tcPr>
            <w:tcW w:w="1802" w:type="dxa"/>
          </w:tcPr>
          <w:p w14:paraId="15F67B4A" w14:textId="77777777" w:rsidR="00742588" w:rsidRPr="00EE328A" w:rsidRDefault="00742588" w:rsidP="00742588">
            <w:r>
              <w:t>FEV1</w:t>
            </w:r>
          </w:p>
        </w:tc>
        <w:tc>
          <w:tcPr>
            <w:tcW w:w="6692" w:type="dxa"/>
          </w:tcPr>
          <w:p w14:paraId="2BE4790F" w14:textId="77777777" w:rsidR="00742588" w:rsidRPr="00EE328A" w:rsidRDefault="00742588" w:rsidP="00742588">
            <w:r>
              <w:t>F</w:t>
            </w:r>
            <w:r w:rsidRPr="00371335">
              <w:t>orced expiratory volume in 1 second</w:t>
            </w:r>
          </w:p>
        </w:tc>
      </w:tr>
      <w:tr w:rsidR="00742588" w:rsidRPr="00EE328A" w14:paraId="41AEE934" w14:textId="77777777" w:rsidTr="00742588">
        <w:tc>
          <w:tcPr>
            <w:tcW w:w="1802" w:type="dxa"/>
          </w:tcPr>
          <w:p w14:paraId="185B1A8C" w14:textId="77777777" w:rsidR="00742588" w:rsidRPr="00EE328A" w:rsidRDefault="00742588" w:rsidP="00742588">
            <w:r>
              <w:t>GINA</w:t>
            </w:r>
          </w:p>
        </w:tc>
        <w:tc>
          <w:tcPr>
            <w:tcW w:w="6692" w:type="dxa"/>
          </w:tcPr>
          <w:p w14:paraId="7A1639A8" w14:textId="0D44242E" w:rsidR="00742588" w:rsidRPr="00EE328A" w:rsidRDefault="00742588" w:rsidP="00FB7303">
            <w:r w:rsidRPr="00EE328A">
              <w:t xml:space="preserve">Global </w:t>
            </w:r>
            <w:r w:rsidR="00FB7303">
              <w:t>Initiative for Asthma</w:t>
            </w:r>
          </w:p>
        </w:tc>
      </w:tr>
      <w:tr w:rsidR="00742588" w:rsidRPr="00EE328A" w14:paraId="3983A9C8" w14:textId="77777777" w:rsidTr="00742588">
        <w:tc>
          <w:tcPr>
            <w:tcW w:w="1802" w:type="dxa"/>
          </w:tcPr>
          <w:p w14:paraId="6E353D70" w14:textId="77777777" w:rsidR="00742588" w:rsidRPr="00EE328A" w:rsidRDefault="00742588" w:rsidP="00742588">
            <w:r>
              <w:t>ICS</w:t>
            </w:r>
          </w:p>
        </w:tc>
        <w:tc>
          <w:tcPr>
            <w:tcW w:w="6692" w:type="dxa"/>
          </w:tcPr>
          <w:p w14:paraId="0B82F1D2" w14:textId="73A2F421" w:rsidR="00742588" w:rsidRPr="00EE328A" w:rsidRDefault="00742588" w:rsidP="00742588">
            <w:r>
              <w:t>I</w:t>
            </w:r>
            <w:r w:rsidRPr="00EE328A">
              <w:t>nhaled corticosteroid</w:t>
            </w:r>
          </w:p>
        </w:tc>
      </w:tr>
      <w:tr w:rsidR="00742588" w:rsidRPr="00EE328A" w14:paraId="44064EE0" w14:textId="77777777" w:rsidTr="00742588">
        <w:tc>
          <w:tcPr>
            <w:tcW w:w="1802" w:type="dxa"/>
          </w:tcPr>
          <w:p w14:paraId="0B1522BE" w14:textId="77777777" w:rsidR="00742588" w:rsidRPr="00EE328A" w:rsidRDefault="00742588" w:rsidP="00742588">
            <w:r>
              <w:t>LABA</w:t>
            </w:r>
          </w:p>
        </w:tc>
        <w:tc>
          <w:tcPr>
            <w:tcW w:w="6692" w:type="dxa"/>
          </w:tcPr>
          <w:p w14:paraId="44E298A2" w14:textId="22133B4A" w:rsidR="00742588" w:rsidRPr="00EE328A" w:rsidRDefault="00742588" w:rsidP="00742588">
            <w:r>
              <w:t>L</w:t>
            </w:r>
            <w:r w:rsidRPr="00EE328A">
              <w:t xml:space="preserve">ong-acting </w:t>
            </w:r>
            <w:r>
              <w:t xml:space="preserve">beta 2 </w:t>
            </w:r>
            <w:r w:rsidRPr="00EE328A">
              <w:t>agonist</w:t>
            </w:r>
          </w:p>
        </w:tc>
      </w:tr>
      <w:tr w:rsidR="00742588" w:rsidRPr="00EE328A" w14:paraId="556D347E" w14:textId="77777777" w:rsidTr="00742588">
        <w:tc>
          <w:tcPr>
            <w:tcW w:w="1802" w:type="dxa"/>
          </w:tcPr>
          <w:p w14:paraId="410CC0EA" w14:textId="77777777" w:rsidR="00742588" w:rsidRPr="00EE328A" w:rsidRDefault="00742588" w:rsidP="00742588">
            <w:r>
              <w:t>LS</w:t>
            </w:r>
          </w:p>
        </w:tc>
        <w:tc>
          <w:tcPr>
            <w:tcW w:w="6692" w:type="dxa"/>
          </w:tcPr>
          <w:p w14:paraId="2151AD2C" w14:textId="77777777" w:rsidR="00742588" w:rsidRPr="00EE328A" w:rsidRDefault="00742588" w:rsidP="00742588">
            <w:r>
              <w:t>Least square</w:t>
            </w:r>
          </w:p>
        </w:tc>
      </w:tr>
      <w:tr w:rsidR="00742588" w:rsidRPr="00EE328A" w14:paraId="1CD82D4D" w14:textId="77777777" w:rsidTr="00742588">
        <w:tc>
          <w:tcPr>
            <w:tcW w:w="1802" w:type="dxa"/>
          </w:tcPr>
          <w:p w14:paraId="5983B8DD" w14:textId="77777777" w:rsidR="00742588" w:rsidRPr="00EE328A" w:rsidRDefault="00742588" w:rsidP="00742588">
            <w:r>
              <w:t>PI</w:t>
            </w:r>
          </w:p>
        </w:tc>
        <w:tc>
          <w:tcPr>
            <w:tcW w:w="6692" w:type="dxa"/>
          </w:tcPr>
          <w:p w14:paraId="2D57D020" w14:textId="77777777" w:rsidR="00742588" w:rsidRPr="00EE328A" w:rsidRDefault="00742588" w:rsidP="00742588">
            <w:r>
              <w:t>Product Information</w:t>
            </w:r>
          </w:p>
        </w:tc>
      </w:tr>
      <w:tr w:rsidR="00742588" w:rsidRPr="00EE328A" w14:paraId="0DC218D4" w14:textId="77777777" w:rsidTr="00742588">
        <w:tc>
          <w:tcPr>
            <w:tcW w:w="1802" w:type="dxa"/>
          </w:tcPr>
          <w:p w14:paraId="2C4E9600" w14:textId="77777777" w:rsidR="00742588" w:rsidRPr="00EE328A" w:rsidRDefault="00742588" w:rsidP="00742588">
            <w:r>
              <w:t>PK</w:t>
            </w:r>
          </w:p>
        </w:tc>
        <w:tc>
          <w:tcPr>
            <w:tcW w:w="6692" w:type="dxa"/>
          </w:tcPr>
          <w:p w14:paraId="5DDD4C39" w14:textId="77777777" w:rsidR="00742588" w:rsidRPr="00EE328A" w:rsidRDefault="00742588" w:rsidP="00742588">
            <w:r>
              <w:t>Pharmacokinetic(s)</w:t>
            </w:r>
          </w:p>
        </w:tc>
      </w:tr>
      <w:tr w:rsidR="00742588" w:rsidRPr="00EE328A" w14:paraId="5B5E2008" w14:textId="77777777" w:rsidTr="00742588">
        <w:tc>
          <w:tcPr>
            <w:tcW w:w="1802" w:type="dxa"/>
          </w:tcPr>
          <w:p w14:paraId="6A3F22A1" w14:textId="77777777" w:rsidR="00742588" w:rsidRPr="00EE328A" w:rsidRDefault="00742588" w:rsidP="00742588">
            <w:r>
              <w:t>PSUR</w:t>
            </w:r>
          </w:p>
        </w:tc>
        <w:tc>
          <w:tcPr>
            <w:tcW w:w="6692" w:type="dxa"/>
          </w:tcPr>
          <w:p w14:paraId="13205B60" w14:textId="71D6A65C" w:rsidR="00742588" w:rsidRPr="00EE328A" w:rsidRDefault="00742588" w:rsidP="00742588">
            <w:r w:rsidRPr="00657691">
              <w:t>Periodic Safety Update Report</w:t>
            </w:r>
          </w:p>
        </w:tc>
      </w:tr>
      <w:tr w:rsidR="00742588" w:rsidRPr="00EE328A" w14:paraId="433607F6" w14:textId="77777777" w:rsidTr="00742588">
        <w:tc>
          <w:tcPr>
            <w:tcW w:w="1802" w:type="dxa"/>
          </w:tcPr>
          <w:p w14:paraId="44FFA88D" w14:textId="77777777" w:rsidR="00742588" w:rsidRPr="00EE328A" w:rsidRDefault="00742588" w:rsidP="00742588">
            <w:r>
              <w:t>QMF149</w:t>
            </w:r>
          </w:p>
        </w:tc>
        <w:tc>
          <w:tcPr>
            <w:tcW w:w="6692" w:type="dxa"/>
          </w:tcPr>
          <w:p w14:paraId="1EF1F44E" w14:textId="166828EC" w:rsidR="00742588" w:rsidRPr="00EE328A" w:rsidRDefault="00742588" w:rsidP="00742588">
            <w:r>
              <w:t>D</w:t>
            </w:r>
            <w:r w:rsidRPr="00B512C2">
              <w:t xml:space="preserve">rug development code for </w:t>
            </w:r>
            <w:proofErr w:type="spellStart"/>
            <w:r w:rsidRPr="00B512C2">
              <w:t>Atectura</w:t>
            </w:r>
            <w:proofErr w:type="spellEnd"/>
            <w:r w:rsidRPr="00B512C2">
              <w:t xml:space="preserve"> </w:t>
            </w:r>
            <w:proofErr w:type="spellStart"/>
            <w:r>
              <w:t>B</w:t>
            </w:r>
            <w:r w:rsidRPr="00B512C2">
              <w:t>reezhaler</w:t>
            </w:r>
            <w:proofErr w:type="spellEnd"/>
          </w:p>
        </w:tc>
      </w:tr>
      <w:tr w:rsidR="00742588" w:rsidRPr="00EE328A" w14:paraId="135E8312" w14:textId="77777777" w:rsidTr="00742588">
        <w:tc>
          <w:tcPr>
            <w:tcW w:w="1802" w:type="dxa"/>
          </w:tcPr>
          <w:p w14:paraId="0ADC47FB" w14:textId="77777777" w:rsidR="00742588" w:rsidRPr="00EE328A" w:rsidRDefault="00742588" w:rsidP="00742588">
            <w:r>
              <w:t>RCT</w:t>
            </w:r>
          </w:p>
        </w:tc>
        <w:tc>
          <w:tcPr>
            <w:tcW w:w="6692" w:type="dxa"/>
          </w:tcPr>
          <w:p w14:paraId="3FC212F8" w14:textId="77777777" w:rsidR="00742588" w:rsidRPr="00EE328A" w:rsidRDefault="00742588" w:rsidP="00742588">
            <w:r>
              <w:t>Randomised control trial</w:t>
            </w:r>
          </w:p>
        </w:tc>
      </w:tr>
      <w:tr w:rsidR="00742588" w:rsidRPr="00EE328A" w14:paraId="67AC4BDD" w14:textId="77777777" w:rsidTr="00742588">
        <w:tc>
          <w:tcPr>
            <w:tcW w:w="1802" w:type="dxa"/>
          </w:tcPr>
          <w:p w14:paraId="2BD70E40" w14:textId="77777777" w:rsidR="00742588" w:rsidRPr="00EE328A" w:rsidRDefault="00742588" w:rsidP="00742588">
            <w:r>
              <w:lastRenderedPageBreak/>
              <w:t>SABA</w:t>
            </w:r>
          </w:p>
        </w:tc>
        <w:tc>
          <w:tcPr>
            <w:tcW w:w="6692" w:type="dxa"/>
          </w:tcPr>
          <w:p w14:paraId="744A7661" w14:textId="77AD5A2F" w:rsidR="00742588" w:rsidRPr="00EE328A" w:rsidRDefault="00742588" w:rsidP="00742588">
            <w:r>
              <w:t>S</w:t>
            </w:r>
            <w:r w:rsidRPr="00EE328A">
              <w:t xml:space="preserve">hort-acting </w:t>
            </w:r>
            <w:r w:rsidR="00AB14E6">
              <w:t>beta 2 (</w:t>
            </w:r>
            <w:r w:rsidRPr="00EE328A">
              <w:t>β</w:t>
            </w:r>
            <w:r w:rsidRPr="00EE328A">
              <w:rPr>
                <w:vertAlign w:val="subscript"/>
              </w:rPr>
              <w:t>2</w:t>
            </w:r>
            <w:r w:rsidR="00AB14E6">
              <w:t xml:space="preserve">) </w:t>
            </w:r>
            <w:r w:rsidRPr="00EE328A">
              <w:t>agonist</w:t>
            </w:r>
          </w:p>
        </w:tc>
      </w:tr>
      <w:tr w:rsidR="00742588" w:rsidRPr="00EE328A" w14:paraId="4C11A814" w14:textId="77777777" w:rsidTr="00742588">
        <w:tc>
          <w:tcPr>
            <w:tcW w:w="1802" w:type="dxa"/>
          </w:tcPr>
          <w:p w14:paraId="57E75B63" w14:textId="77777777" w:rsidR="00742588" w:rsidRPr="00EE328A" w:rsidRDefault="00742588" w:rsidP="00742588">
            <w:r>
              <w:t>SAE</w:t>
            </w:r>
          </w:p>
        </w:tc>
        <w:tc>
          <w:tcPr>
            <w:tcW w:w="6692" w:type="dxa"/>
          </w:tcPr>
          <w:p w14:paraId="61A9D9B4" w14:textId="46E7DD62" w:rsidR="00742588" w:rsidRPr="00EE328A" w:rsidRDefault="00742588" w:rsidP="00742588">
            <w:r>
              <w:t>S</w:t>
            </w:r>
            <w:r w:rsidRPr="00DB501A">
              <w:t>erious adverse event</w:t>
            </w:r>
          </w:p>
        </w:tc>
      </w:tr>
      <w:tr w:rsidR="00742588" w:rsidRPr="00EE328A" w14:paraId="03FBFC5A" w14:textId="77777777" w:rsidTr="00742588">
        <w:tc>
          <w:tcPr>
            <w:tcW w:w="1802" w:type="dxa"/>
          </w:tcPr>
          <w:p w14:paraId="5C69F15D" w14:textId="77777777" w:rsidR="00742588" w:rsidRPr="00EE328A" w:rsidRDefault="00742588" w:rsidP="00742588">
            <w:r>
              <w:t>TGA</w:t>
            </w:r>
          </w:p>
        </w:tc>
        <w:tc>
          <w:tcPr>
            <w:tcW w:w="6692" w:type="dxa"/>
          </w:tcPr>
          <w:p w14:paraId="675D5E6A" w14:textId="6E2922A5" w:rsidR="00742588" w:rsidRPr="00EE328A" w:rsidRDefault="00742588" w:rsidP="00742588">
            <w:r>
              <w:t>Therapeutic Goods Administration</w:t>
            </w:r>
          </w:p>
        </w:tc>
      </w:tr>
      <w:tr w:rsidR="00742588" w:rsidRPr="00EE328A" w14:paraId="66B9E5B2" w14:textId="77777777" w:rsidTr="00742588">
        <w:tc>
          <w:tcPr>
            <w:tcW w:w="1802" w:type="dxa"/>
          </w:tcPr>
          <w:p w14:paraId="750CB520" w14:textId="77777777" w:rsidR="00742588" w:rsidRPr="00EE328A" w:rsidRDefault="00742588" w:rsidP="00742588">
            <w:r>
              <w:t>UDDPI</w:t>
            </w:r>
          </w:p>
        </w:tc>
        <w:tc>
          <w:tcPr>
            <w:tcW w:w="6692" w:type="dxa"/>
          </w:tcPr>
          <w:p w14:paraId="038D81D1" w14:textId="77777777" w:rsidR="00742588" w:rsidRPr="00EE328A" w:rsidRDefault="00742588" w:rsidP="00742588">
            <w:r>
              <w:t>U</w:t>
            </w:r>
            <w:r w:rsidRPr="00B512C2">
              <w:t>nit dose dry powder inhaler</w:t>
            </w:r>
          </w:p>
        </w:tc>
      </w:tr>
    </w:tbl>
    <w:p w14:paraId="04ADD567" w14:textId="77777777" w:rsidR="00FD119B" w:rsidRDefault="00FD119B" w:rsidP="00FD119B"/>
    <w:p w14:paraId="1BE08DF0"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0B1E889" w14:textId="77777777" w:rsidR="008E7846" w:rsidRDefault="00F53C07" w:rsidP="008E7846">
      <w:pPr>
        <w:pStyle w:val="Heading2"/>
      </w:pPr>
      <w:bookmarkStart w:id="9" w:name="_Toc57282595"/>
      <w:r>
        <w:lastRenderedPageBreak/>
        <w:t>I.</w:t>
      </w:r>
      <w:r w:rsidR="008E7846">
        <w:t xml:space="preserve"> Introduction to product submission</w:t>
      </w:r>
      <w:bookmarkEnd w:id="0"/>
      <w:bookmarkEnd w:id="3"/>
      <w:bookmarkEnd w:id="9"/>
    </w:p>
    <w:p w14:paraId="14329A07" w14:textId="77777777" w:rsidR="008E7846" w:rsidRDefault="008E7846" w:rsidP="008E7846">
      <w:pPr>
        <w:pStyle w:val="Heading3"/>
        <w:rPr>
          <w:lang w:eastAsia="en-AU"/>
        </w:rPr>
      </w:pPr>
      <w:bookmarkStart w:id="10" w:name="_Toc247691502"/>
      <w:bookmarkStart w:id="11" w:name="_Toc314842483"/>
      <w:bookmarkStart w:id="12" w:name="_Toc57282596"/>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3D3F418C" w14:textId="77777777" w:rsidTr="003735BC">
        <w:tc>
          <w:tcPr>
            <w:tcW w:w="2907" w:type="dxa"/>
          </w:tcPr>
          <w:p w14:paraId="744BB23E"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701DB1A" w14:textId="77777777" w:rsidR="008E7846" w:rsidRPr="003D1E62" w:rsidRDefault="00331DEF" w:rsidP="00331DEF">
            <w:r>
              <w:t>N</w:t>
            </w:r>
            <w:r w:rsidRPr="00331DEF">
              <w:t>ew fixed dose combination</w:t>
            </w:r>
          </w:p>
        </w:tc>
      </w:tr>
      <w:tr w:rsidR="00460036" w:rsidRPr="003D1E62" w14:paraId="3F10888E" w14:textId="77777777" w:rsidTr="003735BC">
        <w:tc>
          <w:tcPr>
            <w:tcW w:w="2907" w:type="dxa"/>
          </w:tcPr>
          <w:p w14:paraId="3EC26E2D" w14:textId="77777777" w:rsidR="00460036" w:rsidRPr="003D1E62" w:rsidRDefault="004E02E3" w:rsidP="003D1E62">
            <w:pPr>
              <w:rPr>
                <w:i/>
              </w:rPr>
            </w:pPr>
            <w:r>
              <w:rPr>
                <w:i/>
              </w:rPr>
              <w:t>Product name</w:t>
            </w:r>
            <w:r w:rsidR="00460036" w:rsidRPr="00460036">
              <w:rPr>
                <w:i/>
              </w:rPr>
              <w:t>:</w:t>
            </w:r>
          </w:p>
        </w:tc>
        <w:tc>
          <w:tcPr>
            <w:tcW w:w="6307" w:type="dxa"/>
          </w:tcPr>
          <w:p w14:paraId="440997C7" w14:textId="1D0A6A8D" w:rsidR="00460036" w:rsidRPr="003D1E62" w:rsidRDefault="00754817" w:rsidP="001B5C90">
            <w:proofErr w:type="spellStart"/>
            <w:r>
              <w:t>Atectura</w:t>
            </w:r>
            <w:proofErr w:type="spellEnd"/>
            <w:r>
              <w:t xml:space="preserve"> </w:t>
            </w:r>
            <w:proofErr w:type="spellStart"/>
            <w:r w:rsidR="00182695">
              <w:t>B</w:t>
            </w:r>
            <w:r w:rsidR="00331DEF" w:rsidRPr="00331DEF">
              <w:t>reezhaler</w:t>
            </w:r>
            <w:proofErr w:type="spellEnd"/>
          </w:p>
        </w:tc>
      </w:tr>
      <w:tr w:rsidR="00460036" w:rsidRPr="003D1E62" w14:paraId="32C2631E" w14:textId="77777777" w:rsidTr="003735BC">
        <w:tc>
          <w:tcPr>
            <w:tcW w:w="2907" w:type="dxa"/>
          </w:tcPr>
          <w:p w14:paraId="78539290" w14:textId="77777777" w:rsidR="00460036" w:rsidRPr="003D1E62" w:rsidRDefault="004E02E3" w:rsidP="003D1E62">
            <w:pPr>
              <w:rPr>
                <w:i/>
              </w:rPr>
            </w:pPr>
            <w:r>
              <w:rPr>
                <w:i/>
              </w:rPr>
              <w:t>Active ingredients</w:t>
            </w:r>
            <w:r w:rsidR="00460036" w:rsidRPr="00460036">
              <w:rPr>
                <w:i/>
              </w:rPr>
              <w:t>:</w:t>
            </w:r>
          </w:p>
        </w:tc>
        <w:tc>
          <w:tcPr>
            <w:tcW w:w="6307" w:type="dxa"/>
          </w:tcPr>
          <w:p w14:paraId="392A9C7E" w14:textId="77777777" w:rsidR="00460036" w:rsidRPr="003D1E62" w:rsidRDefault="00331DEF" w:rsidP="001B5C90">
            <w:proofErr w:type="spellStart"/>
            <w:r>
              <w:t>I</w:t>
            </w:r>
            <w:r w:rsidRPr="00331DEF">
              <w:t>ndaca</w:t>
            </w:r>
            <w:r w:rsidR="00F27416">
              <w:t>terol</w:t>
            </w:r>
            <w:proofErr w:type="spellEnd"/>
            <w:r w:rsidR="00F27416">
              <w:t xml:space="preserve"> (as acetate) and </w:t>
            </w:r>
            <w:proofErr w:type="spellStart"/>
            <w:r w:rsidRPr="00331DEF">
              <w:t>mometasone</w:t>
            </w:r>
            <w:proofErr w:type="spellEnd"/>
            <w:r w:rsidRPr="00331DEF">
              <w:t xml:space="preserve"> </w:t>
            </w:r>
            <w:proofErr w:type="spellStart"/>
            <w:r w:rsidRPr="00331DEF">
              <w:t>furoate</w:t>
            </w:r>
            <w:proofErr w:type="spellEnd"/>
          </w:p>
        </w:tc>
      </w:tr>
      <w:tr w:rsidR="008E7846" w:rsidRPr="003D1E62" w14:paraId="31701D80" w14:textId="77777777" w:rsidTr="003735BC">
        <w:tc>
          <w:tcPr>
            <w:tcW w:w="2907" w:type="dxa"/>
          </w:tcPr>
          <w:p w14:paraId="66614B77" w14:textId="77777777" w:rsidR="008E7846" w:rsidRPr="003D1E62" w:rsidRDefault="008E7846" w:rsidP="003D1E62">
            <w:r w:rsidRPr="003D1E62">
              <w:rPr>
                <w:i/>
              </w:rPr>
              <w:t>Decision</w:t>
            </w:r>
            <w:r w:rsidRPr="003D1E62">
              <w:t>:</w:t>
            </w:r>
          </w:p>
        </w:tc>
        <w:tc>
          <w:tcPr>
            <w:tcW w:w="6307" w:type="dxa"/>
          </w:tcPr>
          <w:p w14:paraId="3D98FEB4" w14:textId="77777777" w:rsidR="008E7846" w:rsidRPr="003D1E62" w:rsidRDefault="00331DEF" w:rsidP="00331DEF">
            <w:r>
              <w:t>Approved</w:t>
            </w:r>
          </w:p>
        </w:tc>
      </w:tr>
      <w:tr w:rsidR="008E7846" w:rsidRPr="003D1E62" w14:paraId="2CB2AD50" w14:textId="77777777" w:rsidTr="003735BC">
        <w:tc>
          <w:tcPr>
            <w:tcW w:w="2907" w:type="dxa"/>
          </w:tcPr>
          <w:p w14:paraId="352896BC"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12B7EF7" w14:textId="77777777" w:rsidR="008E7846" w:rsidRPr="003D1E62" w:rsidRDefault="00331DEF" w:rsidP="001B5C90">
            <w:r>
              <w:t>16 July 2020</w:t>
            </w:r>
          </w:p>
        </w:tc>
      </w:tr>
      <w:tr w:rsidR="00ED2922" w:rsidRPr="003D1E62" w14:paraId="09D1A1B5" w14:textId="77777777" w:rsidTr="003735BC">
        <w:tc>
          <w:tcPr>
            <w:tcW w:w="2907" w:type="dxa"/>
          </w:tcPr>
          <w:p w14:paraId="5DAF98F9" w14:textId="77777777" w:rsidR="00ED2922" w:rsidRPr="00441C3F" w:rsidRDefault="00ED2922" w:rsidP="001B5C90">
            <w:pPr>
              <w:rPr>
                <w:i/>
              </w:rPr>
            </w:pPr>
            <w:r w:rsidRPr="00441C3F">
              <w:rPr>
                <w:i/>
              </w:rPr>
              <w:t>Date of entry onto ARTG</w:t>
            </w:r>
            <w:r w:rsidR="00500337">
              <w:rPr>
                <w:i/>
              </w:rPr>
              <w:t>:</w:t>
            </w:r>
          </w:p>
        </w:tc>
        <w:tc>
          <w:tcPr>
            <w:tcW w:w="6307" w:type="dxa"/>
          </w:tcPr>
          <w:p w14:paraId="348C6A2A" w14:textId="77777777" w:rsidR="00ED2922" w:rsidRPr="00372D37" w:rsidRDefault="00331DEF" w:rsidP="00D153D8">
            <w:pPr>
              <w:rPr>
                <w:i/>
                <w:lang w:val="en-US"/>
              </w:rPr>
            </w:pPr>
            <w:r>
              <w:t>21 July 2020</w:t>
            </w:r>
          </w:p>
        </w:tc>
      </w:tr>
      <w:tr w:rsidR="00500337" w:rsidRPr="003D1E62" w14:paraId="49F5787D" w14:textId="77777777" w:rsidTr="003735BC">
        <w:tc>
          <w:tcPr>
            <w:tcW w:w="2907" w:type="dxa"/>
          </w:tcPr>
          <w:p w14:paraId="4A354511" w14:textId="77777777" w:rsidR="00500337" w:rsidRPr="00441C3F" w:rsidRDefault="004E02E3" w:rsidP="001B5C90">
            <w:pPr>
              <w:rPr>
                <w:i/>
              </w:rPr>
            </w:pPr>
            <w:r>
              <w:rPr>
                <w:i/>
              </w:rPr>
              <w:t>ARTG numbers</w:t>
            </w:r>
            <w:r w:rsidR="00500337">
              <w:rPr>
                <w:i/>
              </w:rPr>
              <w:t>:</w:t>
            </w:r>
          </w:p>
        </w:tc>
        <w:tc>
          <w:tcPr>
            <w:tcW w:w="6307" w:type="dxa"/>
          </w:tcPr>
          <w:p w14:paraId="78A76C5F" w14:textId="77777777" w:rsidR="00500337" w:rsidRPr="00441C3F" w:rsidRDefault="0005438E" w:rsidP="00EC463D">
            <w:r>
              <w:t>319074</w:t>
            </w:r>
            <w:r w:rsidR="00881D61">
              <w:t>, 319075</w:t>
            </w:r>
            <w:r>
              <w:t>, 319076</w:t>
            </w:r>
          </w:p>
        </w:tc>
      </w:tr>
      <w:tr w:rsidR="003735BC" w:rsidRPr="003D1E62" w14:paraId="4BCAF711" w14:textId="77777777" w:rsidTr="003735BC">
        <w:tc>
          <w:tcPr>
            <w:tcW w:w="2907" w:type="dxa"/>
          </w:tcPr>
          <w:p w14:paraId="691C368A"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2"/>
            </w:r>
          </w:p>
        </w:tc>
        <w:tc>
          <w:tcPr>
            <w:tcW w:w="6307" w:type="dxa"/>
          </w:tcPr>
          <w:p w14:paraId="7A6531E2" w14:textId="77777777" w:rsidR="003735BC" w:rsidRDefault="00CE544C" w:rsidP="003735BC">
            <w:r>
              <w:t>Yes</w:t>
            </w:r>
          </w:p>
          <w:p w14:paraId="17379E92" w14:textId="77777777" w:rsidR="003735BC" w:rsidRPr="00487162" w:rsidRDefault="003735BC" w:rsidP="00CE544C">
            <w:r>
              <w:t xml:space="preserve">This product will remain in the scheme for 5 years, starting on the date the product is first supplied in </w:t>
            </w:r>
            <w:r w:rsidR="00CE544C">
              <w:t>Australia</w:t>
            </w:r>
          </w:p>
        </w:tc>
      </w:tr>
      <w:tr w:rsidR="008E7846" w:rsidRPr="00487162" w14:paraId="5F96CB96" w14:textId="77777777" w:rsidTr="00BF1190">
        <w:tc>
          <w:tcPr>
            <w:tcW w:w="2907" w:type="dxa"/>
          </w:tcPr>
          <w:p w14:paraId="5EFBAB8B"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77F0D6D9" w14:textId="77777777" w:rsidR="00CE544C" w:rsidRDefault="00CE544C" w:rsidP="00CE544C">
            <w:r>
              <w:t>Novartis Pharmaceuticals Australia Pty Limited</w:t>
            </w:r>
          </w:p>
          <w:p w14:paraId="0803992E" w14:textId="77777777" w:rsidR="00FB7303" w:rsidRDefault="00CE544C" w:rsidP="00CE544C">
            <w:r>
              <w:t>54 Waterloo Road,</w:t>
            </w:r>
          </w:p>
          <w:p w14:paraId="6D6F3D7D" w14:textId="218EA119" w:rsidR="008E7846" w:rsidRPr="00487162" w:rsidRDefault="00CE544C" w:rsidP="00CE544C">
            <w:r>
              <w:t>Macquarie Park, NSW 2113</w:t>
            </w:r>
          </w:p>
        </w:tc>
      </w:tr>
      <w:tr w:rsidR="008E7846" w:rsidRPr="00487162" w14:paraId="00D720D6" w14:textId="77777777" w:rsidTr="00BF1190">
        <w:tc>
          <w:tcPr>
            <w:tcW w:w="2907" w:type="dxa"/>
          </w:tcPr>
          <w:p w14:paraId="370D17FA" w14:textId="77777777" w:rsidR="008E7846" w:rsidRPr="00487162" w:rsidRDefault="004E02E3" w:rsidP="00E45619">
            <w:pPr>
              <w:rPr>
                <w:i/>
              </w:rPr>
            </w:pPr>
            <w:r>
              <w:rPr>
                <w:i/>
              </w:rPr>
              <w:t>Dose form</w:t>
            </w:r>
            <w:r w:rsidR="001B5C90">
              <w:rPr>
                <w:i/>
              </w:rPr>
              <w:t>:</w:t>
            </w:r>
          </w:p>
        </w:tc>
        <w:tc>
          <w:tcPr>
            <w:tcW w:w="6307" w:type="dxa"/>
          </w:tcPr>
          <w:p w14:paraId="0C5DAD89" w14:textId="77777777" w:rsidR="008E7846" w:rsidRPr="00487162" w:rsidRDefault="002F33A2" w:rsidP="00E45619">
            <w:r>
              <w:t>Inhalation powder in hard capsule</w:t>
            </w:r>
          </w:p>
        </w:tc>
      </w:tr>
      <w:tr w:rsidR="008E7846" w:rsidRPr="00487162" w14:paraId="445E08C1" w14:textId="77777777" w:rsidTr="00BF1190">
        <w:tc>
          <w:tcPr>
            <w:tcW w:w="2907" w:type="dxa"/>
          </w:tcPr>
          <w:p w14:paraId="581370D5" w14:textId="77777777" w:rsidR="008E7846" w:rsidRPr="00487162" w:rsidRDefault="008E7846" w:rsidP="00E45619">
            <w:pPr>
              <w:rPr>
                <w:i/>
              </w:rPr>
            </w:pPr>
            <w:r w:rsidRPr="00487162">
              <w:rPr>
                <w:i/>
              </w:rPr>
              <w:t>Strength</w:t>
            </w:r>
            <w:r w:rsidR="004E02E3">
              <w:rPr>
                <w:i/>
              </w:rPr>
              <w:t>s</w:t>
            </w:r>
            <w:r w:rsidRPr="00487162">
              <w:rPr>
                <w:i/>
              </w:rPr>
              <w:t xml:space="preserve">: </w:t>
            </w:r>
          </w:p>
        </w:tc>
        <w:tc>
          <w:tcPr>
            <w:tcW w:w="6307" w:type="dxa"/>
          </w:tcPr>
          <w:p w14:paraId="7CDC72F8" w14:textId="77777777" w:rsidR="00372F58" w:rsidRDefault="002F33A2" w:rsidP="00E45619">
            <w:r w:rsidRPr="002F33A2">
              <w:t>125</w:t>
            </w:r>
            <w:r>
              <w:t xml:space="preserve"> µg </w:t>
            </w:r>
            <w:proofErr w:type="spellStart"/>
            <w:r w:rsidRPr="002F33A2">
              <w:t>indacaterol</w:t>
            </w:r>
            <w:proofErr w:type="spellEnd"/>
            <w:r w:rsidRPr="002F33A2">
              <w:t>/62.5</w:t>
            </w:r>
            <w:r>
              <w:t xml:space="preserve"> µg </w:t>
            </w:r>
            <w:proofErr w:type="spellStart"/>
            <w:r w:rsidRPr="002F33A2">
              <w:t>mometasone</w:t>
            </w:r>
            <w:proofErr w:type="spellEnd"/>
            <w:r w:rsidRPr="002F33A2">
              <w:t xml:space="preserve"> </w:t>
            </w:r>
            <w:proofErr w:type="spellStart"/>
            <w:r w:rsidRPr="002F33A2">
              <w:t>furoate</w:t>
            </w:r>
            <w:proofErr w:type="spellEnd"/>
          </w:p>
          <w:p w14:paraId="3033865C" w14:textId="77777777" w:rsidR="00372F58" w:rsidRDefault="002F33A2" w:rsidP="00E45619">
            <w:r w:rsidRPr="002F33A2">
              <w:t>125</w:t>
            </w:r>
            <w:r>
              <w:t xml:space="preserve"> µg </w:t>
            </w:r>
            <w:proofErr w:type="spellStart"/>
            <w:r w:rsidRPr="002F33A2">
              <w:t>indacaterol</w:t>
            </w:r>
            <w:proofErr w:type="spellEnd"/>
            <w:r>
              <w:t>/127</w:t>
            </w:r>
            <w:r w:rsidRPr="002F33A2">
              <w:t>.5</w:t>
            </w:r>
            <w:r>
              <w:t xml:space="preserve"> µg </w:t>
            </w:r>
            <w:proofErr w:type="spellStart"/>
            <w:r w:rsidRPr="002F33A2">
              <w:t>mometasone</w:t>
            </w:r>
            <w:proofErr w:type="spellEnd"/>
            <w:r w:rsidRPr="002F33A2">
              <w:t xml:space="preserve"> </w:t>
            </w:r>
            <w:proofErr w:type="spellStart"/>
            <w:r w:rsidRPr="002F33A2">
              <w:t>furoate</w:t>
            </w:r>
            <w:proofErr w:type="spellEnd"/>
          </w:p>
          <w:p w14:paraId="43B65169" w14:textId="77777777" w:rsidR="008E7846" w:rsidRPr="00487162" w:rsidRDefault="002F33A2" w:rsidP="00E45619">
            <w:r w:rsidRPr="002F33A2">
              <w:t>125</w:t>
            </w:r>
            <w:r>
              <w:t xml:space="preserve"> µg </w:t>
            </w:r>
            <w:proofErr w:type="spellStart"/>
            <w:r w:rsidRPr="002F33A2">
              <w:t>indacaterol</w:t>
            </w:r>
            <w:proofErr w:type="spellEnd"/>
            <w:r>
              <w:t xml:space="preserve">/260 µg </w:t>
            </w:r>
            <w:proofErr w:type="spellStart"/>
            <w:r w:rsidRPr="002F33A2">
              <w:t>mometasone</w:t>
            </w:r>
            <w:proofErr w:type="spellEnd"/>
            <w:r w:rsidRPr="002F33A2">
              <w:t xml:space="preserve"> </w:t>
            </w:r>
            <w:proofErr w:type="spellStart"/>
            <w:r w:rsidRPr="002F33A2">
              <w:t>furoate</w:t>
            </w:r>
            <w:proofErr w:type="spellEnd"/>
          </w:p>
        </w:tc>
      </w:tr>
      <w:tr w:rsidR="008E7846" w:rsidRPr="00487162" w14:paraId="62004A22" w14:textId="77777777" w:rsidTr="00BF1190">
        <w:tc>
          <w:tcPr>
            <w:tcW w:w="2907" w:type="dxa"/>
          </w:tcPr>
          <w:p w14:paraId="6682A542" w14:textId="77777777" w:rsidR="008E7846" w:rsidRPr="00487162" w:rsidRDefault="004E02E3" w:rsidP="00E45619">
            <w:pPr>
              <w:rPr>
                <w:i/>
              </w:rPr>
            </w:pPr>
            <w:r>
              <w:rPr>
                <w:i/>
              </w:rPr>
              <w:t>Container</w:t>
            </w:r>
            <w:r w:rsidR="008E7846" w:rsidRPr="00487162">
              <w:rPr>
                <w:i/>
              </w:rPr>
              <w:t>:</w:t>
            </w:r>
          </w:p>
        </w:tc>
        <w:tc>
          <w:tcPr>
            <w:tcW w:w="6307" w:type="dxa"/>
          </w:tcPr>
          <w:p w14:paraId="3D0ACA51" w14:textId="77777777" w:rsidR="008E7846" w:rsidRPr="00487162" w:rsidRDefault="002F33A2" w:rsidP="00E45619">
            <w:r>
              <w:t>Inhaler</w:t>
            </w:r>
          </w:p>
        </w:tc>
      </w:tr>
      <w:tr w:rsidR="008E7846" w:rsidRPr="00487162" w14:paraId="1D97DEC0" w14:textId="77777777" w:rsidTr="00BF1190">
        <w:tc>
          <w:tcPr>
            <w:tcW w:w="2907" w:type="dxa"/>
          </w:tcPr>
          <w:p w14:paraId="4028E9D8" w14:textId="77777777" w:rsidR="008E7846" w:rsidRPr="00487162" w:rsidRDefault="004E02E3" w:rsidP="00E45619">
            <w:pPr>
              <w:rPr>
                <w:i/>
              </w:rPr>
            </w:pPr>
            <w:r>
              <w:rPr>
                <w:i/>
              </w:rPr>
              <w:t>Pack sizes</w:t>
            </w:r>
            <w:r w:rsidR="008E7846" w:rsidRPr="00487162">
              <w:rPr>
                <w:i/>
              </w:rPr>
              <w:t>:</w:t>
            </w:r>
          </w:p>
        </w:tc>
        <w:tc>
          <w:tcPr>
            <w:tcW w:w="6307" w:type="dxa"/>
          </w:tcPr>
          <w:p w14:paraId="7C9FE818" w14:textId="77777777" w:rsidR="008E7846" w:rsidRPr="00487162" w:rsidRDefault="005D66AB" w:rsidP="005D66AB">
            <w:r>
              <w:t>10 and 30 capsules</w:t>
            </w:r>
          </w:p>
        </w:tc>
      </w:tr>
      <w:tr w:rsidR="008E7846" w:rsidRPr="00487162" w14:paraId="723899F0" w14:textId="77777777" w:rsidTr="00BF1190">
        <w:tc>
          <w:tcPr>
            <w:tcW w:w="2907" w:type="dxa"/>
          </w:tcPr>
          <w:p w14:paraId="6649334E"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21422316" w14:textId="6E1C9997" w:rsidR="002F33A2" w:rsidRPr="006809A2" w:rsidRDefault="00754817" w:rsidP="002F33A2">
            <w:pPr>
              <w:rPr>
                <w:i/>
              </w:rPr>
            </w:pPr>
            <w:proofErr w:type="spellStart"/>
            <w:r>
              <w:rPr>
                <w:i/>
              </w:rPr>
              <w:t>Atectura</w:t>
            </w:r>
            <w:proofErr w:type="spellEnd"/>
            <w:r>
              <w:rPr>
                <w:i/>
              </w:rPr>
              <w:t xml:space="preserve"> </w:t>
            </w:r>
            <w:proofErr w:type="spellStart"/>
            <w:r w:rsidR="00AA4428">
              <w:rPr>
                <w:i/>
              </w:rPr>
              <w:t>B</w:t>
            </w:r>
            <w:r w:rsidR="002F33A2" w:rsidRPr="006809A2">
              <w:rPr>
                <w:i/>
              </w:rPr>
              <w:t>reezhaler</w:t>
            </w:r>
            <w:proofErr w:type="spellEnd"/>
            <w:r w:rsidR="002F33A2" w:rsidRPr="006809A2">
              <w:rPr>
                <w:i/>
              </w:rPr>
              <w:t xml:space="preserve"> is indicated as a once-daily maintenance treatment of asthma in adults and adolescents 12 years of age and older where use of a combination of long-acting beta</w:t>
            </w:r>
            <w:r w:rsidR="002F33A2" w:rsidRPr="004C404D">
              <w:rPr>
                <w:i/>
                <w:vertAlign w:val="subscript"/>
              </w:rPr>
              <w:t>2</w:t>
            </w:r>
            <w:r w:rsidR="002F33A2" w:rsidRPr="006809A2">
              <w:rPr>
                <w:i/>
              </w:rPr>
              <w:t>-agonist and inhaled corticosteroid is appropriate:</w:t>
            </w:r>
          </w:p>
          <w:p w14:paraId="0148BE1D" w14:textId="77777777" w:rsidR="002F33A2" w:rsidRPr="006809A2" w:rsidRDefault="002F33A2" w:rsidP="002F33A2">
            <w:pPr>
              <w:pStyle w:val="ListBullet"/>
              <w:rPr>
                <w:i/>
              </w:rPr>
            </w:pPr>
            <w:r w:rsidRPr="006809A2">
              <w:rPr>
                <w:i/>
              </w:rPr>
              <w:t>patients not adequately controlled wi</w:t>
            </w:r>
            <w:r w:rsidR="004C404D">
              <w:rPr>
                <w:i/>
              </w:rPr>
              <w:t>th inhaled corticosteroids and ‘as needed’</w:t>
            </w:r>
            <w:r w:rsidR="006809A2" w:rsidRPr="006809A2">
              <w:rPr>
                <w:i/>
              </w:rPr>
              <w:t xml:space="preserve"> </w:t>
            </w:r>
            <w:r w:rsidRPr="006809A2">
              <w:rPr>
                <w:i/>
              </w:rPr>
              <w:t>inhaled short-acting beta</w:t>
            </w:r>
            <w:r w:rsidRPr="004C404D">
              <w:rPr>
                <w:i/>
                <w:vertAlign w:val="subscript"/>
              </w:rPr>
              <w:t>2</w:t>
            </w:r>
            <w:r w:rsidRPr="006809A2">
              <w:rPr>
                <w:i/>
              </w:rPr>
              <w:t>-agonists or</w:t>
            </w:r>
          </w:p>
          <w:p w14:paraId="5EB21E13" w14:textId="77777777" w:rsidR="008E7846" w:rsidRPr="006809A2" w:rsidRDefault="002F33A2" w:rsidP="004C404D">
            <w:pPr>
              <w:pStyle w:val="ListBullet"/>
            </w:pPr>
            <w:r w:rsidRPr="006809A2">
              <w:rPr>
                <w:i/>
              </w:rPr>
              <w:lastRenderedPageBreak/>
              <w:t>patients not adequately controlled with long-acting beta</w:t>
            </w:r>
            <w:r w:rsidRPr="006809A2">
              <w:rPr>
                <w:i/>
                <w:vertAlign w:val="subscript"/>
              </w:rPr>
              <w:t>2</w:t>
            </w:r>
            <w:r w:rsidRPr="006809A2">
              <w:rPr>
                <w:i/>
              </w:rPr>
              <w:t>-agonists and low dose</w:t>
            </w:r>
            <w:r w:rsidR="006809A2" w:rsidRPr="006809A2">
              <w:rPr>
                <w:i/>
              </w:rPr>
              <w:t xml:space="preserve"> </w:t>
            </w:r>
            <w:r w:rsidRPr="006809A2">
              <w:rPr>
                <w:i/>
              </w:rPr>
              <w:t xml:space="preserve">of inhaled corticosteroids and </w:t>
            </w:r>
            <w:r w:rsidR="004C404D">
              <w:rPr>
                <w:i/>
              </w:rPr>
              <w:t>‘</w:t>
            </w:r>
            <w:r w:rsidRPr="006809A2">
              <w:rPr>
                <w:i/>
              </w:rPr>
              <w:t xml:space="preserve">as </w:t>
            </w:r>
            <w:r w:rsidR="004C404D">
              <w:rPr>
                <w:i/>
              </w:rPr>
              <w:t>needed’</w:t>
            </w:r>
            <w:r w:rsidRPr="006809A2">
              <w:rPr>
                <w:i/>
              </w:rPr>
              <w:t xml:space="preserve"> inhaled short-acting beta</w:t>
            </w:r>
            <w:r w:rsidRPr="006809A2">
              <w:rPr>
                <w:i/>
                <w:vertAlign w:val="subscript"/>
              </w:rPr>
              <w:t>2</w:t>
            </w:r>
            <w:r w:rsidR="006809A2" w:rsidRPr="006809A2">
              <w:rPr>
                <w:i/>
              </w:rPr>
              <w:t>-agonists</w:t>
            </w:r>
          </w:p>
        </w:tc>
      </w:tr>
      <w:tr w:rsidR="008E7846" w:rsidRPr="00487162" w14:paraId="3213D3B3" w14:textId="77777777" w:rsidTr="00BF1190">
        <w:tc>
          <w:tcPr>
            <w:tcW w:w="2907" w:type="dxa"/>
          </w:tcPr>
          <w:p w14:paraId="00768C18" w14:textId="77777777" w:rsidR="008E7846" w:rsidRPr="00487162" w:rsidRDefault="004E02E3" w:rsidP="00E45619">
            <w:pPr>
              <w:rPr>
                <w:i/>
              </w:rPr>
            </w:pPr>
            <w:r>
              <w:rPr>
                <w:i/>
              </w:rPr>
              <w:lastRenderedPageBreak/>
              <w:t>Route</w:t>
            </w:r>
            <w:r w:rsidR="008E7846" w:rsidRPr="00487162">
              <w:rPr>
                <w:i/>
              </w:rPr>
              <w:t xml:space="preserve"> of administration:</w:t>
            </w:r>
          </w:p>
        </w:tc>
        <w:tc>
          <w:tcPr>
            <w:tcW w:w="6307" w:type="dxa"/>
          </w:tcPr>
          <w:p w14:paraId="5EE92A97" w14:textId="77777777" w:rsidR="008E7846" w:rsidRPr="00487162" w:rsidRDefault="002F33A2" w:rsidP="00E45619">
            <w:r>
              <w:t>Inhalation</w:t>
            </w:r>
          </w:p>
        </w:tc>
      </w:tr>
      <w:tr w:rsidR="008E7846" w:rsidRPr="00487162" w14:paraId="694616DE" w14:textId="77777777" w:rsidTr="00BF1190">
        <w:tc>
          <w:tcPr>
            <w:tcW w:w="2907" w:type="dxa"/>
          </w:tcPr>
          <w:p w14:paraId="3DAD4E19" w14:textId="77777777" w:rsidR="008E7846" w:rsidRPr="00487162" w:rsidRDefault="008E7846" w:rsidP="00E45619">
            <w:pPr>
              <w:rPr>
                <w:i/>
              </w:rPr>
            </w:pPr>
            <w:r w:rsidRPr="00487162">
              <w:rPr>
                <w:i/>
              </w:rPr>
              <w:t>Dosage:</w:t>
            </w:r>
          </w:p>
        </w:tc>
        <w:tc>
          <w:tcPr>
            <w:tcW w:w="6307" w:type="dxa"/>
          </w:tcPr>
          <w:p w14:paraId="3C99E747" w14:textId="77777777" w:rsidR="00965DD4" w:rsidRDefault="006809A2" w:rsidP="006809A2">
            <w:r>
              <w:t>For adults and adolescents 12 years of age and older</w:t>
            </w:r>
            <w:r w:rsidR="00965DD4">
              <w:t>.</w:t>
            </w:r>
          </w:p>
          <w:p w14:paraId="774A7298" w14:textId="1732170B" w:rsidR="006809A2" w:rsidRDefault="00965DD4" w:rsidP="006809A2">
            <w:r>
              <w:t>I</w:t>
            </w:r>
            <w:r w:rsidR="006809A2">
              <w:t xml:space="preserve">nhalation of the content of one capsule of </w:t>
            </w:r>
            <w:proofErr w:type="spellStart"/>
            <w:r w:rsidR="006809A2">
              <w:t>Atect</w:t>
            </w:r>
            <w:r w:rsidR="00754817">
              <w:t>ura</w:t>
            </w:r>
            <w:proofErr w:type="spellEnd"/>
            <w:r w:rsidR="00754817">
              <w:t xml:space="preserve"> </w:t>
            </w:r>
            <w:proofErr w:type="spellStart"/>
            <w:r w:rsidR="00AA4428">
              <w:t>B</w:t>
            </w:r>
            <w:r w:rsidR="006809A2">
              <w:t>reezhaler</w:t>
            </w:r>
            <w:proofErr w:type="spellEnd"/>
            <w:r w:rsidR="006809A2">
              <w:t xml:space="preserve"> 125/62.5 µg once daily is recommended in patients who require a combination of a long-acting </w:t>
            </w:r>
            <w:r w:rsidR="00BB6202" w:rsidRPr="006C4679">
              <w:rPr>
                <w:rFonts w:asciiTheme="minorHAnsi" w:eastAsiaTheme="minorHAnsi" w:hAnsiTheme="minorHAnsi" w:cs="TimesNewRoman"/>
              </w:rPr>
              <w:t>β</w:t>
            </w:r>
            <w:r w:rsidR="00BB6202" w:rsidRPr="004C404D">
              <w:rPr>
                <w:rFonts w:asciiTheme="minorHAnsi" w:eastAsiaTheme="minorHAnsi" w:hAnsiTheme="minorHAnsi" w:cs="TimesNewRoman"/>
                <w:vertAlign w:val="subscript"/>
              </w:rPr>
              <w:t>2</w:t>
            </w:r>
            <w:r w:rsidR="006809A2">
              <w:t>-agonist and a low dose of inhaled corticosteroid.</w:t>
            </w:r>
          </w:p>
          <w:p w14:paraId="7E1B2F52" w14:textId="7BBD692D" w:rsidR="006809A2" w:rsidRDefault="006809A2" w:rsidP="006809A2">
            <w:r>
              <w:t>Inhalation of the cont</w:t>
            </w:r>
            <w:r w:rsidR="00754817">
              <w:t xml:space="preserve">ent of one capsule of </w:t>
            </w:r>
            <w:proofErr w:type="spellStart"/>
            <w:r w:rsidR="00754817">
              <w:t>Atectura</w:t>
            </w:r>
            <w:proofErr w:type="spellEnd"/>
            <w:r w:rsidR="00754817">
              <w:t xml:space="preserve"> </w:t>
            </w:r>
            <w:proofErr w:type="spellStart"/>
            <w:r w:rsidR="005A669E">
              <w:t>B</w:t>
            </w:r>
            <w:r>
              <w:t>reezhaler</w:t>
            </w:r>
            <w:proofErr w:type="spellEnd"/>
            <w:r>
              <w:t xml:space="preserve"> 125/127.5 µg or 125/260 µg once-daily is recommended in patients who require a combination of a long-acting </w:t>
            </w:r>
            <w:r w:rsidR="00BB6202" w:rsidRPr="006C4679">
              <w:rPr>
                <w:rFonts w:asciiTheme="minorHAnsi" w:eastAsiaTheme="minorHAnsi" w:hAnsiTheme="minorHAnsi" w:cs="TimesNewRoman"/>
              </w:rPr>
              <w:t>β</w:t>
            </w:r>
            <w:r w:rsidR="00BB6202" w:rsidRPr="004C404D">
              <w:rPr>
                <w:rFonts w:asciiTheme="minorHAnsi" w:eastAsiaTheme="minorHAnsi" w:hAnsiTheme="minorHAnsi" w:cs="TimesNewRoman"/>
                <w:vertAlign w:val="subscript"/>
              </w:rPr>
              <w:t>2</w:t>
            </w:r>
            <w:r>
              <w:t>-agonist and a medium or high dose of inhaled corticosteroid.</w:t>
            </w:r>
          </w:p>
          <w:p w14:paraId="73F35199" w14:textId="63A529FA" w:rsidR="008E7846" w:rsidRDefault="006809A2" w:rsidP="006809A2">
            <w:r>
              <w:t>The maximu</w:t>
            </w:r>
            <w:r w:rsidR="00754817">
              <w:t xml:space="preserve">m recommended dose is </w:t>
            </w:r>
            <w:proofErr w:type="spellStart"/>
            <w:r w:rsidR="00754817">
              <w:t>Atectura</w:t>
            </w:r>
            <w:proofErr w:type="spellEnd"/>
            <w:r w:rsidR="00754817">
              <w:t xml:space="preserve"> </w:t>
            </w:r>
            <w:proofErr w:type="spellStart"/>
            <w:r w:rsidR="00AA4428">
              <w:t>B</w:t>
            </w:r>
            <w:r>
              <w:t>reezhaler</w:t>
            </w:r>
            <w:proofErr w:type="spellEnd"/>
            <w:r>
              <w:t xml:space="preserve"> 125/260 µg once daily.</w:t>
            </w:r>
          </w:p>
          <w:p w14:paraId="588E61AD" w14:textId="77777777" w:rsidR="00460036" w:rsidRPr="00487162" w:rsidRDefault="00460036" w:rsidP="00E45619">
            <w:r w:rsidRPr="00460036">
              <w:t>For further information regarding dosage, refer to the Product Information</w:t>
            </w:r>
            <w:r w:rsidR="00754817">
              <w:t xml:space="preserve"> (PI)</w:t>
            </w:r>
            <w:r w:rsidRPr="00460036">
              <w:t>.</w:t>
            </w:r>
          </w:p>
        </w:tc>
      </w:tr>
      <w:tr w:rsidR="00460036" w:rsidRPr="00487162" w14:paraId="15D88BFA" w14:textId="77777777" w:rsidTr="00BF1190">
        <w:tc>
          <w:tcPr>
            <w:tcW w:w="2907" w:type="dxa"/>
          </w:tcPr>
          <w:p w14:paraId="40E82781" w14:textId="77777777" w:rsidR="00460036" w:rsidRPr="00487162" w:rsidRDefault="00460036" w:rsidP="00E45619">
            <w:pPr>
              <w:rPr>
                <w:i/>
              </w:rPr>
            </w:pPr>
            <w:r w:rsidRPr="00460036">
              <w:rPr>
                <w:i/>
              </w:rPr>
              <w:t>Pregnancy category</w:t>
            </w:r>
            <w:r>
              <w:rPr>
                <w:i/>
              </w:rPr>
              <w:t>:</w:t>
            </w:r>
          </w:p>
        </w:tc>
        <w:tc>
          <w:tcPr>
            <w:tcW w:w="6307" w:type="dxa"/>
          </w:tcPr>
          <w:p w14:paraId="25404613" w14:textId="77777777" w:rsidR="00460036" w:rsidRDefault="00651936" w:rsidP="00651936">
            <w:r>
              <w:t>B3</w:t>
            </w:r>
          </w:p>
          <w:p w14:paraId="2DCD01F3" w14:textId="77777777" w:rsidR="00651936" w:rsidRDefault="00651936" w:rsidP="00651936">
            <w:r>
              <w:t xml:space="preserve">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2CD07FDA" w14:textId="77777777" w:rsidR="00651936" w:rsidRDefault="00651936" w:rsidP="00651936">
            <w:r>
              <w:t xml:space="preserve">Studies in animals have shown evidence of an increased occurrence of </w:t>
            </w:r>
            <w:proofErr w:type="spellStart"/>
            <w:r>
              <w:t>fetal</w:t>
            </w:r>
            <w:proofErr w:type="spellEnd"/>
            <w:r>
              <w:t xml:space="preserve"> damage, the significance of which is considered uncertain in humans.</w:t>
            </w:r>
          </w:p>
          <w:p w14:paraId="55C586FD" w14:textId="77777777" w:rsidR="00460036" w:rsidRPr="00487162" w:rsidRDefault="00460036" w:rsidP="006519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F7EB729" w14:textId="77777777" w:rsidR="008E7846" w:rsidRDefault="008E7846" w:rsidP="008E7846">
      <w:pPr>
        <w:pStyle w:val="Heading3"/>
      </w:pPr>
      <w:bookmarkStart w:id="13" w:name="_Toc247691503"/>
      <w:bookmarkStart w:id="14" w:name="_Toc314842484"/>
      <w:bookmarkStart w:id="15" w:name="_Toc57282597"/>
      <w:r>
        <w:t>Product background</w:t>
      </w:r>
      <w:bookmarkEnd w:id="13"/>
      <w:bookmarkEnd w:id="14"/>
      <w:bookmarkEnd w:id="15"/>
    </w:p>
    <w:p w14:paraId="2B45625C" w14:textId="188AEF7A" w:rsidR="008E7846" w:rsidRDefault="00250271" w:rsidP="00940A89">
      <w:r w:rsidRPr="00250271">
        <w:t>This AusPAR describes t</w:t>
      </w:r>
      <w:r w:rsidR="00965DD4">
        <w:t xml:space="preserve">he application by Novartis Pharmaceutical Australia Pty Ltd (the sponsor) to register </w:t>
      </w:r>
      <w:proofErr w:type="spellStart"/>
      <w:r w:rsidR="00965DD4">
        <w:t>Atectura</w:t>
      </w:r>
      <w:proofErr w:type="spellEnd"/>
      <w:r w:rsidR="00965DD4">
        <w:t xml:space="preserve"> </w:t>
      </w:r>
      <w:proofErr w:type="spellStart"/>
      <w:r w:rsidR="0040703E">
        <w:t>B</w:t>
      </w:r>
      <w:r w:rsidR="00965DD4">
        <w:t>reezhaler</w:t>
      </w:r>
      <w:proofErr w:type="spellEnd"/>
      <w:r w:rsidRPr="00250271">
        <w:t xml:space="preserve"> (</w:t>
      </w:r>
      <w:proofErr w:type="spellStart"/>
      <w:r w:rsidR="00F713BE">
        <w:t>indacaterol</w:t>
      </w:r>
      <w:proofErr w:type="spellEnd"/>
      <w:r w:rsidR="00F713BE">
        <w:t xml:space="preserve"> (as acetate)/</w:t>
      </w:r>
      <w:proofErr w:type="spellStart"/>
      <w:r w:rsidR="00F713BE">
        <w:t>mometasone</w:t>
      </w:r>
      <w:proofErr w:type="spellEnd"/>
      <w:r w:rsidR="00F713BE">
        <w:t xml:space="preserve"> </w:t>
      </w:r>
      <w:proofErr w:type="spellStart"/>
      <w:r w:rsidR="00F713BE">
        <w:t>furoate</w:t>
      </w:r>
      <w:proofErr w:type="spellEnd"/>
      <w:r w:rsidRPr="00250271">
        <w:t>)</w:t>
      </w:r>
      <w:r w:rsidR="00F713BE">
        <w:t xml:space="preserve"> 125</w:t>
      </w:r>
      <w:r w:rsidR="00F713BE" w:rsidRPr="00F713BE">
        <w:t xml:space="preserve"> </w:t>
      </w:r>
      <w:r w:rsidR="00F713BE">
        <w:t>µg/62.5 µg</w:t>
      </w:r>
      <w:r w:rsidR="00754817">
        <w:t>;</w:t>
      </w:r>
      <w:r w:rsidR="00F713BE">
        <w:t xml:space="preserve"> 125</w:t>
      </w:r>
      <w:r w:rsidR="00F713BE" w:rsidRPr="00F713BE">
        <w:t xml:space="preserve"> </w:t>
      </w:r>
      <w:r w:rsidR="00754817">
        <w:t>µg/127.5 µg;</w:t>
      </w:r>
      <w:r w:rsidR="00F713BE">
        <w:t xml:space="preserve"> 125</w:t>
      </w:r>
      <w:r w:rsidR="00F713BE" w:rsidRPr="00F713BE">
        <w:t xml:space="preserve"> </w:t>
      </w:r>
      <w:r w:rsidR="00F713BE">
        <w:t>µg/260 µg</w:t>
      </w:r>
      <w:r w:rsidR="00F713BE" w:rsidRPr="00250271">
        <w:t xml:space="preserve"> </w:t>
      </w:r>
      <w:r w:rsidR="00F713BE">
        <w:t>inhalation powder in hard capsule</w:t>
      </w:r>
      <w:r w:rsidRPr="00250271">
        <w:t xml:space="preserve"> for the following proposed indication</w:t>
      </w:r>
      <w:r w:rsidR="00F713BE">
        <w:t>:</w:t>
      </w:r>
    </w:p>
    <w:p w14:paraId="1FDB1B52" w14:textId="77777777" w:rsidR="00F713BE" w:rsidRPr="006809A2" w:rsidRDefault="00F713BE" w:rsidP="00F713BE">
      <w:pPr>
        <w:ind w:left="360"/>
        <w:rPr>
          <w:i/>
        </w:rPr>
      </w:pPr>
      <w:proofErr w:type="spellStart"/>
      <w:r w:rsidRPr="006809A2">
        <w:rPr>
          <w:i/>
        </w:rPr>
        <w:t>Atectura</w:t>
      </w:r>
      <w:proofErr w:type="spellEnd"/>
      <w:r w:rsidRPr="006809A2">
        <w:rPr>
          <w:i/>
        </w:rPr>
        <w:t xml:space="preserve"> </w:t>
      </w:r>
      <w:proofErr w:type="spellStart"/>
      <w:r w:rsidRPr="006809A2">
        <w:rPr>
          <w:i/>
        </w:rPr>
        <w:t>Breezhaler</w:t>
      </w:r>
      <w:proofErr w:type="spellEnd"/>
      <w:r w:rsidRPr="006809A2">
        <w:rPr>
          <w:i/>
        </w:rPr>
        <w:t xml:space="preserve"> is indicated as a once-daily maintenance treatment of asthma in adults and adolescents 12 years of age and older where use of a combination of long-</w:t>
      </w:r>
      <w:r w:rsidRPr="004C404D">
        <w:rPr>
          <w:i/>
        </w:rPr>
        <w:t xml:space="preserve">acting </w:t>
      </w:r>
      <w:r w:rsidR="004C404D" w:rsidRPr="004C404D">
        <w:rPr>
          <w:i/>
        </w:rPr>
        <w:t>beta</w:t>
      </w:r>
      <w:r w:rsidR="004C404D" w:rsidRPr="004C404D">
        <w:rPr>
          <w:i/>
          <w:vertAlign w:val="subscript"/>
        </w:rPr>
        <w:t>2</w:t>
      </w:r>
      <w:r w:rsidRPr="004C404D">
        <w:rPr>
          <w:i/>
        </w:rPr>
        <w:t>-agonist</w:t>
      </w:r>
      <w:r w:rsidRPr="006809A2">
        <w:rPr>
          <w:i/>
        </w:rPr>
        <w:t xml:space="preserve"> and inhaled corticosteroid is appropriate:</w:t>
      </w:r>
    </w:p>
    <w:p w14:paraId="33B3DF99" w14:textId="77777777" w:rsidR="00F713BE" w:rsidRPr="006809A2" w:rsidRDefault="00F713BE" w:rsidP="00F713BE">
      <w:pPr>
        <w:pStyle w:val="ListBullet"/>
        <w:numPr>
          <w:ilvl w:val="0"/>
          <w:numId w:val="3"/>
        </w:numPr>
        <w:ind w:left="720"/>
        <w:rPr>
          <w:i/>
        </w:rPr>
      </w:pPr>
      <w:r w:rsidRPr="006809A2">
        <w:rPr>
          <w:i/>
        </w:rPr>
        <w:t>patients not adequately controlled wi</w:t>
      </w:r>
      <w:r w:rsidR="00995B23">
        <w:rPr>
          <w:i/>
        </w:rPr>
        <w:t>th inhaled corticosteroids and ‘as needed’</w:t>
      </w:r>
      <w:r w:rsidRPr="006809A2">
        <w:rPr>
          <w:i/>
        </w:rPr>
        <w:t xml:space="preserve"> inhaled short-</w:t>
      </w:r>
      <w:r w:rsidRPr="004C404D">
        <w:rPr>
          <w:i/>
        </w:rPr>
        <w:t xml:space="preserve">acting </w:t>
      </w:r>
      <w:r w:rsidR="004C404D" w:rsidRPr="004C404D">
        <w:rPr>
          <w:i/>
        </w:rPr>
        <w:t>beta</w:t>
      </w:r>
      <w:r w:rsidR="004C404D" w:rsidRPr="004C404D">
        <w:rPr>
          <w:i/>
          <w:vertAlign w:val="subscript"/>
        </w:rPr>
        <w:t>2</w:t>
      </w:r>
      <w:r w:rsidRPr="006809A2">
        <w:rPr>
          <w:i/>
        </w:rPr>
        <w:t>-agonists or</w:t>
      </w:r>
    </w:p>
    <w:p w14:paraId="1695BD03" w14:textId="77777777" w:rsidR="00F713BE" w:rsidRPr="00F713BE" w:rsidRDefault="00F713BE" w:rsidP="00F713BE">
      <w:pPr>
        <w:pStyle w:val="ListBullet"/>
        <w:ind w:left="720"/>
        <w:rPr>
          <w:i/>
        </w:rPr>
      </w:pPr>
      <w:r w:rsidRPr="00F713BE">
        <w:rPr>
          <w:i/>
        </w:rPr>
        <w:lastRenderedPageBreak/>
        <w:t xml:space="preserve">patients not adequately controlled with long-acting </w:t>
      </w:r>
      <w:r w:rsidR="004C404D" w:rsidRPr="004C404D">
        <w:rPr>
          <w:i/>
        </w:rPr>
        <w:t>beta</w:t>
      </w:r>
      <w:r w:rsidR="004C404D" w:rsidRPr="004C404D">
        <w:rPr>
          <w:i/>
          <w:vertAlign w:val="subscript"/>
        </w:rPr>
        <w:t>2</w:t>
      </w:r>
      <w:r w:rsidRPr="00F713BE">
        <w:rPr>
          <w:i/>
        </w:rPr>
        <w:t xml:space="preserve">-agonists and low dose </w:t>
      </w:r>
      <w:r w:rsidR="00995B23">
        <w:rPr>
          <w:i/>
        </w:rPr>
        <w:t>of inhaled corticosteroids and ‘as needed’</w:t>
      </w:r>
      <w:r w:rsidRPr="00F713BE">
        <w:rPr>
          <w:i/>
        </w:rPr>
        <w:t xml:space="preserve"> inhaled </w:t>
      </w:r>
      <w:r w:rsidRPr="004C404D">
        <w:rPr>
          <w:i/>
        </w:rPr>
        <w:t xml:space="preserve">short-acting </w:t>
      </w:r>
      <w:r w:rsidR="004C404D" w:rsidRPr="004C404D">
        <w:rPr>
          <w:i/>
        </w:rPr>
        <w:t>beta</w:t>
      </w:r>
      <w:r w:rsidR="004C404D" w:rsidRPr="004C404D">
        <w:rPr>
          <w:i/>
          <w:vertAlign w:val="subscript"/>
        </w:rPr>
        <w:t>2</w:t>
      </w:r>
      <w:r w:rsidRPr="004C404D">
        <w:rPr>
          <w:i/>
        </w:rPr>
        <w:t>-agonists</w:t>
      </w:r>
    </w:p>
    <w:p w14:paraId="0980DA0F" w14:textId="5F5953FC" w:rsidR="00995B23" w:rsidRDefault="00995B23" w:rsidP="00995B23">
      <w:pPr>
        <w:rPr>
          <w:rFonts w:cs="TimesNewRoman"/>
          <w:color w:val="000000"/>
        </w:rPr>
      </w:pPr>
      <w:r w:rsidRPr="00361615">
        <w:t>Asthma is a common disease affecting an estimated 340 million people worldwide.</w:t>
      </w:r>
      <w:bookmarkStart w:id="16" w:name="_Ref53491990"/>
      <w:r>
        <w:rPr>
          <w:rStyle w:val="FootnoteReference"/>
          <w:rFonts w:asciiTheme="minorHAnsi" w:eastAsiaTheme="minorHAnsi" w:hAnsiTheme="minorHAnsi"/>
        </w:rPr>
        <w:footnoteReference w:id="3"/>
      </w:r>
      <w:bookmarkEnd w:id="16"/>
      <w:r w:rsidRPr="00361615">
        <w:t xml:space="preserve"> Although asthma can develop at any age, it more commonly develops in childhood. According</w:t>
      </w:r>
      <w:r>
        <w:t xml:space="preserve"> to the global asthma report;</w:t>
      </w:r>
      <w:r>
        <w:fldChar w:fldCharType="begin"/>
      </w:r>
      <w:r>
        <w:instrText xml:space="preserve"> NOTEREF _Ref53491990 \f \h  \* MERGEFORMAT </w:instrText>
      </w:r>
      <w:r>
        <w:fldChar w:fldCharType="separate"/>
      </w:r>
      <w:r w:rsidR="00AD63FD" w:rsidRPr="00AD63FD">
        <w:rPr>
          <w:rStyle w:val="FootnoteReference"/>
        </w:rPr>
        <w:t>2</w:t>
      </w:r>
      <w:r>
        <w:fldChar w:fldCharType="end"/>
      </w:r>
      <w:r w:rsidRPr="00361615">
        <w:t xml:space="preserve"> asthma is has a higher occurrence in people aged 10 to 14 years</w:t>
      </w:r>
      <w:r>
        <w:t xml:space="preserve"> </w:t>
      </w:r>
      <w:r w:rsidRPr="00361615">
        <w:t>and 75 to 79 years. In older adults, the prevalence of asthma i</w:t>
      </w:r>
      <w:r>
        <w:t>s higher in the male population</w:t>
      </w:r>
      <w:r w:rsidRPr="00361615">
        <w:t>.</w:t>
      </w:r>
      <w:bookmarkStart w:id="17" w:name="_Ref55975505"/>
      <w:r w:rsidR="00FB7303">
        <w:rPr>
          <w:rStyle w:val="FootnoteReference"/>
          <w:rFonts w:asciiTheme="minorHAnsi" w:eastAsiaTheme="minorHAnsi" w:hAnsiTheme="minorHAnsi" w:cs="TimesNewRoman"/>
        </w:rPr>
        <w:footnoteReference w:id="4"/>
      </w:r>
      <w:bookmarkEnd w:id="17"/>
      <w:r>
        <w:t xml:space="preserve"> </w:t>
      </w:r>
      <w:r w:rsidRPr="00361615">
        <w:rPr>
          <w:rFonts w:cs="TimesNewRoman"/>
          <w:color w:val="000000"/>
        </w:rPr>
        <w:t>In Australia, 1 in 9 Australians have asthma (around 2.5 million); it</w:t>
      </w:r>
      <w:r>
        <w:rPr>
          <w:rFonts w:cs="TimesNewRoman"/>
          <w:color w:val="000000"/>
        </w:rPr>
        <w:t xml:space="preserve"> is more common in males aged 0 to </w:t>
      </w:r>
      <w:r w:rsidRPr="00361615">
        <w:rPr>
          <w:rFonts w:cs="TimesNewRoman"/>
          <w:color w:val="000000"/>
        </w:rPr>
        <w:t xml:space="preserve">14 years, but among those aged </w:t>
      </w:r>
      <w:r w:rsidRPr="00361615">
        <w:rPr>
          <w:rFonts w:cs="TimesNewRoman"/>
          <w:color w:val="000000"/>
          <w:u w:val="single"/>
        </w:rPr>
        <w:t>&gt;</w:t>
      </w:r>
      <w:r>
        <w:rPr>
          <w:rFonts w:cs="TimesNewRoman"/>
          <w:color w:val="000000"/>
          <w:u w:val="single"/>
        </w:rPr>
        <w:t xml:space="preserve"> </w:t>
      </w:r>
      <w:r w:rsidRPr="00361615">
        <w:rPr>
          <w:rFonts w:cs="TimesNewRoman"/>
          <w:color w:val="000000"/>
        </w:rPr>
        <w:t>15 years, ast</w:t>
      </w:r>
      <w:r>
        <w:rPr>
          <w:rFonts w:cs="TimesNewRoman"/>
          <w:color w:val="000000"/>
        </w:rPr>
        <w:t xml:space="preserve">hma is more common in females. </w:t>
      </w:r>
      <w:r w:rsidRPr="00361615">
        <w:rPr>
          <w:rFonts w:cs="TimesNewRoman"/>
          <w:color w:val="000000"/>
        </w:rPr>
        <w:t xml:space="preserve">Deaths attributed to asthma have remained stable over </w:t>
      </w:r>
      <w:r w:rsidR="00FB7303">
        <w:rPr>
          <w:rFonts w:cs="TimesNewRoman"/>
          <w:color w:val="000000"/>
        </w:rPr>
        <w:t xml:space="preserve">the </w:t>
      </w:r>
      <w:r w:rsidRPr="00361615">
        <w:rPr>
          <w:rFonts w:cs="TimesNewRoman"/>
          <w:color w:val="000000"/>
        </w:rPr>
        <w:t>past 5 years at 1.5 deaths per 100,000 population with 421 people dying from asthma in 2015</w:t>
      </w:r>
      <w:r>
        <w:rPr>
          <w:rFonts w:cs="TimesNewRoman"/>
          <w:color w:val="000000"/>
        </w:rPr>
        <w:t>.</w:t>
      </w:r>
      <w:r w:rsidRPr="00361615">
        <w:rPr>
          <w:rStyle w:val="FootnoteReference"/>
          <w:rFonts w:asciiTheme="minorHAnsi" w:eastAsiaTheme="minorHAnsi" w:hAnsiTheme="minorHAnsi" w:cs="TimesNewRoman"/>
          <w:color w:val="000000"/>
        </w:rPr>
        <w:footnoteReference w:id="5"/>
      </w:r>
      <w:r>
        <w:rPr>
          <w:rFonts w:cs="TimesNewRoman"/>
          <w:color w:val="000000"/>
        </w:rPr>
        <w:t xml:space="preserve"> </w:t>
      </w:r>
      <w:r w:rsidRPr="00361615">
        <w:rPr>
          <w:rFonts w:cs="TimesNewRoman"/>
          <w:color w:val="000000"/>
        </w:rPr>
        <w:t xml:space="preserve">Asthma is associated with </w:t>
      </w:r>
      <w:r w:rsidR="00FB7303">
        <w:rPr>
          <w:rFonts w:cs="TimesNewRoman"/>
          <w:color w:val="000000"/>
        </w:rPr>
        <w:t xml:space="preserve">a </w:t>
      </w:r>
      <w:r w:rsidRPr="00361615">
        <w:rPr>
          <w:rFonts w:cs="TimesNewRoman"/>
          <w:color w:val="000000"/>
        </w:rPr>
        <w:t>poorer quality of life, with disease severity and the level of control both having an impact</w:t>
      </w:r>
      <w:r>
        <w:rPr>
          <w:rFonts w:cs="TimesNewRoman"/>
          <w:color w:val="000000"/>
        </w:rPr>
        <w:t>.</w:t>
      </w:r>
    </w:p>
    <w:p w14:paraId="2F3A2D3E" w14:textId="7121B9C9" w:rsidR="00C26669" w:rsidRDefault="00C26669" w:rsidP="00C26669">
      <w:pPr>
        <w:autoSpaceDE w:val="0"/>
        <w:autoSpaceDN w:val="0"/>
        <w:adjustRightInd w:val="0"/>
        <w:spacing w:before="0" w:line="240" w:lineRule="auto"/>
        <w:rPr>
          <w:rFonts w:asciiTheme="minorHAnsi" w:eastAsiaTheme="minorHAnsi" w:hAnsiTheme="minorHAnsi" w:cs="TimesNewRoman"/>
          <w:color w:val="000000"/>
        </w:rPr>
      </w:pPr>
      <w:r w:rsidRPr="00BA4506">
        <w:t>Asthma is a chronic inflammatory disorder of the airways caused by the interaction of genetic and environmental factors. It is characterised by variable and recurring symptoms, airflow obstruction, bronchial hyper</w:t>
      </w:r>
      <w:r w:rsidR="00C75CC7">
        <w:t>-</w:t>
      </w:r>
      <w:r w:rsidRPr="00BA4506">
        <w:t>responsiveness and underlying inflammation. Asthma is a heterogeneous disease in its manifestations and also in its response to treatment</w:t>
      </w:r>
      <w:r>
        <w:t xml:space="preserve"> and </w:t>
      </w:r>
      <w:r>
        <w:rPr>
          <w:rFonts w:asciiTheme="minorHAnsi" w:eastAsiaTheme="minorHAnsi" w:hAnsiTheme="minorHAnsi" w:cs="TimesNewRoman"/>
          <w:color w:val="000000"/>
        </w:rPr>
        <w:t xml:space="preserve">probably represents a spectrum of conditions with different pathophysiological mechanisms. In older patients, there may be substantial overlap with features of chronic obstructive pulmonary disease (COPD) and patients with </w:t>
      </w:r>
      <w:r w:rsidR="00FB7303">
        <w:rPr>
          <w:rFonts w:asciiTheme="minorHAnsi" w:eastAsiaTheme="minorHAnsi" w:hAnsiTheme="minorHAnsi" w:cs="TimesNewRoman"/>
          <w:color w:val="000000"/>
        </w:rPr>
        <w:t xml:space="preserve">an </w:t>
      </w:r>
      <w:r>
        <w:rPr>
          <w:rFonts w:asciiTheme="minorHAnsi" w:eastAsiaTheme="minorHAnsi" w:hAnsiTheme="minorHAnsi" w:cs="TimesNewRoman"/>
          <w:color w:val="000000"/>
        </w:rPr>
        <w:t>asthma</w:t>
      </w:r>
      <w:r w:rsidR="00FB7303">
        <w:rPr>
          <w:rFonts w:asciiTheme="minorHAnsi" w:eastAsiaTheme="minorHAnsi" w:hAnsiTheme="minorHAnsi" w:cs="TimesNewRoman"/>
          <w:color w:val="000000"/>
        </w:rPr>
        <w:t xml:space="preserve"> / </w:t>
      </w:r>
      <w:r>
        <w:rPr>
          <w:rFonts w:asciiTheme="minorHAnsi" w:eastAsiaTheme="minorHAnsi" w:hAnsiTheme="minorHAnsi" w:cs="TimesNewRoman"/>
          <w:color w:val="000000"/>
        </w:rPr>
        <w:t>COPD overlap are at higher risk of exacerbations and complications. The diagnosis of allergic asthma is more likely when the person also has allergy and a family history of asthma.</w:t>
      </w:r>
      <w:r>
        <w:rPr>
          <w:rStyle w:val="FootnoteReference"/>
          <w:rFonts w:asciiTheme="minorHAnsi" w:eastAsiaTheme="minorHAnsi" w:hAnsiTheme="minorHAnsi" w:cs="TimesNewRoman"/>
          <w:color w:val="000000"/>
        </w:rPr>
        <w:footnoteReference w:id="6"/>
      </w:r>
    </w:p>
    <w:p w14:paraId="65E67B6A" w14:textId="3CD114A7" w:rsidR="00C26669" w:rsidRPr="006C4679" w:rsidRDefault="00C26669" w:rsidP="00C26669">
      <w:pPr>
        <w:autoSpaceDE w:val="0"/>
        <w:autoSpaceDN w:val="0"/>
        <w:adjustRightInd w:val="0"/>
        <w:spacing w:before="0" w:line="240" w:lineRule="auto"/>
        <w:rPr>
          <w:rFonts w:asciiTheme="minorHAnsi" w:eastAsiaTheme="minorHAnsi" w:hAnsiTheme="minorHAnsi" w:cs="TimesNewRoman"/>
        </w:rPr>
      </w:pPr>
      <w:r w:rsidRPr="00BA4506">
        <w:t>Previous versions of clinical guidelines for asthma classified ‘</w:t>
      </w:r>
      <w:r w:rsidRPr="005D66AB">
        <w:rPr>
          <w:i/>
        </w:rPr>
        <w:t>asthma severity</w:t>
      </w:r>
      <w:r w:rsidRPr="00BA4506">
        <w:t xml:space="preserve">’ as intermittent, mild persistent, moderate persistent and severe persistent asthma based on clinical characteristics and medication required to maintain disease control. However recent guidelines </w:t>
      </w:r>
      <w:r w:rsidRPr="00BA4506">
        <w:rPr>
          <w:rFonts w:asciiTheme="minorHAnsi" w:eastAsiaTheme="minorHAnsi" w:hAnsiTheme="minorHAnsi" w:cs="TimesNewRoman"/>
          <w:color w:val="000000"/>
        </w:rPr>
        <w:t>define severity of asthma according to the treatment required to cont</w:t>
      </w:r>
      <w:r w:rsidR="000E25D6">
        <w:rPr>
          <w:rFonts w:asciiTheme="minorHAnsi" w:eastAsiaTheme="minorHAnsi" w:hAnsiTheme="minorHAnsi" w:cs="TimesNewRoman"/>
          <w:color w:val="000000"/>
        </w:rPr>
        <w:t>rol symptoms and exacerbations</w:t>
      </w:r>
      <w:r w:rsidRPr="006C4679">
        <w:rPr>
          <w:rFonts w:asciiTheme="minorHAnsi" w:eastAsiaTheme="minorHAnsi" w:hAnsiTheme="minorHAnsi" w:cs="TimesNewRoman"/>
        </w:rPr>
        <w:t xml:space="preserve">. Asthma is considered mild when the patient’s disease requires a short-acting </w:t>
      </w:r>
      <w:r w:rsidR="00FB7303">
        <w:rPr>
          <w:rFonts w:asciiTheme="minorHAnsi" w:eastAsiaTheme="minorHAnsi" w:hAnsiTheme="minorHAnsi" w:cs="TimesNewRoman"/>
        </w:rPr>
        <w:t>beta 2 (</w:t>
      </w:r>
      <w:r w:rsidRPr="006C4679">
        <w:rPr>
          <w:rFonts w:asciiTheme="minorHAnsi" w:eastAsiaTheme="minorHAnsi" w:hAnsiTheme="minorHAnsi" w:cs="TimesNewRoman"/>
        </w:rPr>
        <w:t>β</w:t>
      </w:r>
      <w:r w:rsidRPr="004C404D">
        <w:rPr>
          <w:rFonts w:asciiTheme="minorHAnsi" w:eastAsiaTheme="minorHAnsi" w:hAnsiTheme="minorHAnsi" w:cs="TimesNewRoman"/>
          <w:vertAlign w:val="subscript"/>
        </w:rPr>
        <w:t>2</w:t>
      </w:r>
      <w:r w:rsidR="00FB7303">
        <w:rPr>
          <w:rFonts w:asciiTheme="minorHAnsi" w:eastAsiaTheme="minorHAnsi" w:hAnsiTheme="minorHAnsi" w:cs="TimesNewRoman"/>
        </w:rPr>
        <w:t xml:space="preserve">) </w:t>
      </w:r>
      <w:r w:rsidRPr="006C4679">
        <w:rPr>
          <w:rFonts w:asciiTheme="minorHAnsi" w:eastAsiaTheme="minorHAnsi" w:hAnsiTheme="minorHAnsi" w:cs="TimesNewRoman"/>
        </w:rPr>
        <w:t xml:space="preserve">agonist (SABA) alone or is controlled with low-dose maintenance inhaled corticosteroids (ICS) + SABA as needed. Worldwide prevalence of mild asthma has been estimated at 3.3% and includes 50% to 75% of all </w:t>
      </w:r>
      <w:r w:rsidR="000E25D6">
        <w:rPr>
          <w:rFonts w:asciiTheme="minorHAnsi" w:eastAsiaTheme="minorHAnsi" w:hAnsiTheme="minorHAnsi" w:cs="TimesNewRoman"/>
        </w:rPr>
        <w:t>asthmatic patients</w:t>
      </w:r>
      <w:r>
        <w:rPr>
          <w:rFonts w:asciiTheme="minorHAnsi" w:eastAsiaTheme="minorHAnsi" w:hAnsiTheme="minorHAnsi" w:cs="TimesNewRoman"/>
        </w:rPr>
        <w:t>.</w:t>
      </w:r>
      <w:r w:rsidR="00EA5DDC" w:rsidRPr="00DB14F2">
        <w:rPr>
          <w:rFonts w:asciiTheme="minorHAnsi" w:eastAsiaTheme="minorHAnsi" w:hAnsiTheme="minorHAnsi" w:cs="TimesNewRoman"/>
          <w:vertAlign w:val="superscript"/>
        </w:rPr>
        <w:fldChar w:fldCharType="begin"/>
      </w:r>
      <w:r w:rsidR="00EA5DDC" w:rsidRPr="00DB14F2">
        <w:rPr>
          <w:rFonts w:asciiTheme="minorHAnsi" w:eastAsiaTheme="minorHAnsi" w:hAnsiTheme="minorHAnsi" w:cs="TimesNewRoman"/>
          <w:vertAlign w:val="superscript"/>
        </w:rPr>
        <w:instrText xml:space="preserve"> NOTEREF _Ref55975505 \h </w:instrText>
      </w:r>
      <w:r w:rsidR="00EA5DDC">
        <w:rPr>
          <w:rFonts w:asciiTheme="minorHAnsi" w:eastAsiaTheme="minorHAnsi" w:hAnsiTheme="minorHAnsi" w:cs="TimesNewRoman"/>
          <w:vertAlign w:val="superscript"/>
        </w:rPr>
        <w:instrText xml:space="preserve"> \* MERGEFORMAT </w:instrText>
      </w:r>
      <w:r w:rsidR="00EA5DDC" w:rsidRPr="00DB14F2">
        <w:rPr>
          <w:rFonts w:asciiTheme="minorHAnsi" w:eastAsiaTheme="minorHAnsi" w:hAnsiTheme="minorHAnsi" w:cs="TimesNewRoman"/>
          <w:vertAlign w:val="superscript"/>
        </w:rPr>
      </w:r>
      <w:r w:rsidR="00EA5DDC" w:rsidRPr="00DB14F2">
        <w:rPr>
          <w:rFonts w:asciiTheme="minorHAnsi" w:eastAsiaTheme="minorHAnsi" w:hAnsiTheme="minorHAnsi" w:cs="TimesNewRoman"/>
          <w:vertAlign w:val="superscript"/>
        </w:rPr>
        <w:fldChar w:fldCharType="separate"/>
      </w:r>
      <w:r w:rsidR="00AD63FD">
        <w:rPr>
          <w:rFonts w:asciiTheme="minorHAnsi" w:eastAsiaTheme="minorHAnsi" w:hAnsiTheme="minorHAnsi" w:cs="TimesNewRoman"/>
          <w:vertAlign w:val="superscript"/>
        </w:rPr>
        <w:t>3</w:t>
      </w:r>
      <w:r w:rsidR="00EA5DDC" w:rsidRPr="00DB14F2">
        <w:rPr>
          <w:rFonts w:asciiTheme="minorHAnsi" w:eastAsiaTheme="minorHAnsi" w:hAnsiTheme="minorHAnsi" w:cs="TimesNewRoman"/>
          <w:vertAlign w:val="superscript"/>
        </w:rPr>
        <w:fldChar w:fldCharType="end"/>
      </w:r>
      <w:r w:rsidR="00EA5DDC" w:rsidDel="00EA5DDC">
        <w:rPr>
          <w:rFonts w:asciiTheme="minorHAnsi" w:eastAsiaTheme="minorHAnsi" w:hAnsiTheme="minorHAnsi" w:cs="TimesNewRoman"/>
        </w:rPr>
        <w:t xml:space="preserve"> </w:t>
      </w:r>
    </w:p>
    <w:p w14:paraId="56196DD2" w14:textId="77777777" w:rsidR="00C26669" w:rsidRDefault="00C26669" w:rsidP="00DB14F2">
      <w:pPr>
        <w:autoSpaceDE w:val="0"/>
        <w:autoSpaceDN w:val="0"/>
        <w:adjustRightInd w:val="0"/>
        <w:spacing w:before="0" w:line="240" w:lineRule="auto"/>
        <w:rPr>
          <w:lang w:eastAsia="en-AU"/>
        </w:rPr>
      </w:pPr>
      <w:r w:rsidRPr="005D5670">
        <w:t xml:space="preserve">The main objective in asthma treatment is to maintain asthma control. This concept encompasses two components, the patient’s recent clinical status/current disease impact (symptoms, night awakenings, use of reliever medication and lung function) and future risk (exacerbations, decline in lung function or treatment related side effects). </w:t>
      </w:r>
      <w:r w:rsidRPr="005D5670">
        <w:rPr>
          <w:lang w:eastAsia="en-AU"/>
        </w:rPr>
        <w:t>The long term goals of asthma management are to achieve good symptom control and to minimise</w:t>
      </w:r>
      <w:r>
        <w:rPr>
          <w:lang w:eastAsia="en-AU"/>
        </w:rPr>
        <w:t xml:space="preserve"> future risk of exacerbations, fixed airflow limitation and side-effects of treatment.</w:t>
      </w:r>
    </w:p>
    <w:p w14:paraId="2896E2BD" w14:textId="3BCD07D5" w:rsidR="00C26669" w:rsidRDefault="008641C7" w:rsidP="00C26669">
      <w:pPr>
        <w:spacing w:before="0" w:line="240" w:lineRule="auto"/>
        <w:rPr>
          <w:lang w:eastAsia="en-AU"/>
        </w:rPr>
      </w:pPr>
      <w:r>
        <w:t xml:space="preserve">According to the </w:t>
      </w:r>
      <w:r w:rsidR="00FB7303">
        <w:t>G</w:t>
      </w:r>
      <w:r w:rsidR="00BB6202">
        <w:t xml:space="preserve">lobal </w:t>
      </w:r>
      <w:r w:rsidR="00FB7303">
        <w:t>Initiative for Asthma’s (GINA) Global S</w:t>
      </w:r>
      <w:r w:rsidR="00BB6202">
        <w:t xml:space="preserve">trategy for </w:t>
      </w:r>
      <w:r w:rsidR="00FB7303">
        <w:t>A</w:t>
      </w:r>
      <w:r w:rsidR="00BB6202">
        <w:t xml:space="preserve">sthma </w:t>
      </w:r>
      <w:r w:rsidR="00FB7303">
        <w:t>M</w:t>
      </w:r>
      <w:r w:rsidR="00BB6202">
        <w:t xml:space="preserve">anagement and </w:t>
      </w:r>
      <w:r w:rsidR="00FB7303">
        <w:t>P</w:t>
      </w:r>
      <w:r w:rsidR="00BB6202" w:rsidRPr="00BB6202">
        <w:t>revention</w:t>
      </w:r>
      <w:r>
        <w:t xml:space="preserve"> g</w:t>
      </w:r>
      <w:r w:rsidR="00C26669" w:rsidRPr="005D5670">
        <w:t>uideline</w:t>
      </w:r>
      <w:r w:rsidR="00C26669">
        <w:t>s</w:t>
      </w:r>
      <w:r w:rsidR="00F07F95">
        <w:t>;</w:t>
      </w:r>
      <w:r w:rsidR="00EA5DDC" w:rsidRPr="00DD161E">
        <w:rPr>
          <w:rFonts w:asciiTheme="minorHAnsi" w:eastAsiaTheme="minorHAnsi" w:hAnsiTheme="minorHAnsi" w:cs="TimesNewRoman"/>
          <w:vertAlign w:val="superscript"/>
        </w:rPr>
        <w:fldChar w:fldCharType="begin"/>
      </w:r>
      <w:r w:rsidR="00EA5DDC" w:rsidRPr="00DD161E">
        <w:rPr>
          <w:rFonts w:asciiTheme="minorHAnsi" w:eastAsiaTheme="minorHAnsi" w:hAnsiTheme="minorHAnsi" w:cs="TimesNewRoman"/>
          <w:vertAlign w:val="superscript"/>
        </w:rPr>
        <w:instrText xml:space="preserve"> NOTEREF _Ref55975505 \h </w:instrText>
      </w:r>
      <w:r w:rsidR="00EA5DDC">
        <w:rPr>
          <w:rFonts w:asciiTheme="minorHAnsi" w:eastAsiaTheme="minorHAnsi" w:hAnsiTheme="minorHAnsi" w:cs="TimesNewRoman"/>
          <w:vertAlign w:val="superscript"/>
        </w:rPr>
        <w:instrText xml:space="preserve"> \* MERGEFORMAT </w:instrText>
      </w:r>
      <w:r w:rsidR="00EA5DDC" w:rsidRPr="00DD161E">
        <w:rPr>
          <w:rFonts w:asciiTheme="minorHAnsi" w:eastAsiaTheme="minorHAnsi" w:hAnsiTheme="minorHAnsi" w:cs="TimesNewRoman"/>
          <w:vertAlign w:val="superscript"/>
        </w:rPr>
      </w:r>
      <w:r w:rsidR="00EA5DDC" w:rsidRPr="00DD161E">
        <w:rPr>
          <w:rFonts w:asciiTheme="minorHAnsi" w:eastAsiaTheme="minorHAnsi" w:hAnsiTheme="minorHAnsi" w:cs="TimesNewRoman"/>
          <w:vertAlign w:val="superscript"/>
        </w:rPr>
        <w:fldChar w:fldCharType="separate"/>
      </w:r>
      <w:r w:rsidR="00AD63FD">
        <w:rPr>
          <w:rFonts w:asciiTheme="minorHAnsi" w:eastAsiaTheme="minorHAnsi" w:hAnsiTheme="minorHAnsi" w:cs="TimesNewRoman"/>
          <w:vertAlign w:val="superscript"/>
        </w:rPr>
        <w:t>3</w:t>
      </w:r>
      <w:r w:rsidR="00EA5DDC" w:rsidRPr="00DD161E">
        <w:rPr>
          <w:rFonts w:asciiTheme="minorHAnsi" w:eastAsiaTheme="minorHAnsi" w:hAnsiTheme="minorHAnsi" w:cs="TimesNewRoman"/>
          <w:vertAlign w:val="superscript"/>
        </w:rPr>
        <w:fldChar w:fldCharType="end"/>
      </w:r>
      <w:r w:rsidR="00C26669">
        <w:t xml:space="preserve"> </w:t>
      </w:r>
      <w:r w:rsidR="00C26669" w:rsidRPr="005D5670">
        <w:t>asthma is controlled when a patient has daytime symptoms only twice or less per week, has no limitation of daily activities, has no nocturnal symptoms and no exacerbations, has normal or near normal lung function and uses reliever medication twice</w:t>
      </w:r>
      <w:r w:rsidR="00F07F95">
        <w:t xml:space="preserve"> or less per week. </w:t>
      </w:r>
      <w:r w:rsidR="00F07F95" w:rsidRPr="005D5670">
        <w:t xml:space="preserve">GINA </w:t>
      </w:r>
      <w:r w:rsidR="00EA5DDC">
        <w:t>g</w:t>
      </w:r>
      <w:r w:rsidR="00F07F95" w:rsidRPr="005D5670">
        <w:t>uideline</w:t>
      </w:r>
      <w:r w:rsidR="00F07F95">
        <w:t>s;</w:t>
      </w:r>
      <w:r w:rsidR="00EA5DDC" w:rsidRPr="00DD161E">
        <w:rPr>
          <w:rFonts w:asciiTheme="minorHAnsi" w:eastAsiaTheme="minorHAnsi" w:hAnsiTheme="minorHAnsi" w:cs="TimesNewRoman"/>
          <w:vertAlign w:val="superscript"/>
        </w:rPr>
        <w:fldChar w:fldCharType="begin"/>
      </w:r>
      <w:r w:rsidR="00EA5DDC" w:rsidRPr="00DD161E">
        <w:rPr>
          <w:rFonts w:asciiTheme="minorHAnsi" w:eastAsiaTheme="minorHAnsi" w:hAnsiTheme="minorHAnsi" w:cs="TimesNewRoman"/>
          <w:vertAlign w:val="superscript"/>
        </w:rPr>
        <w:instrText xml:space="preserve"> NOTEREF _Ref55975505 \h </w:instrText>
      </w:r>
      <w:r w:rsidR="00EA5DDC">
        <w:rPr>
          <w:rFonts w:asciiTheme="minorHAnsi" w:eastAsiaTheme="minorHAnsi" w:hAnsiTheme="minorHAnsi" w:cs="TimesNewRoman"/>
          <w:vertAlign w:val="superscript"/>
        </w:rPr>
        <w:instrText xml:space="preserve"> \* MERGEFORMAT </w:instrText>
      </w:r>
      <w:r w:rsidR="00EA5DDC" w:rsidRPr="00DD161E">
        <w:rPr>
          <w:rFonts w:asciiTheme="minorHAnsi" w:eastAsiaTheme="minorHAnsi" w:hAnsiTheme="minorHAnsi" w:cs="TimesNewRoman"/>
          <w:vertAlign w:val="superscript"/>
        </w:rPr>
      </w:r>
      <w:r w:rsidR="00EA5DDC" w:rsidRPr="00DD161E">
        <w:rPr>
          <w:rFonts w:asciiTheme="minorHAnsi" w:eastAsiaTheme="minorHAnsi" w:hAnsiTheme="minorHAnsi" w:cs="TimesNewRoman"/>
          <w:vertAlign w:val="superscript"/>
        </w:rPr>
        <w:fldChar w:fldCharType="separate"/>
      </w:r>
      <w:r w:rsidR="00AD63FD">
        <w:rPr>
          <w:rFonts w:asciiTheme="minorHAnsi" w:eastAsiaTheme="minorHAnsi" w:hAnsiTheme="minorHAnsi" w:cs="TimesNewRoman"/>
          <w:vertAlign w:val="superscript"/>
        </w:rPr>
        <w:t>3</w:t>
      </w:r>
      <w:r w:rsidR="00EA5DDC" w:rsidRPr="00DD161E">
        <w:rPr>
          <w:rFonts w:asciiTheme="minorHAnsi" w:eastAsiaTheme="minorHAnsi" w:hAnsiTheme="minorHAnsi" w:cs="TimesNewRoman"/>
          <w:vertAlign w:val="superscript"/>
        </w:rPr>
        <w:fldChar w:fldCharType="end"/>
      </w:r>
      <w:r w:rsidR="00F07F95">
        <w:t xml:space="preserve"> </w:t>
      </w:r>
      <w:r w:rsidR="00C26669" w:rsidRPr="005D5670">
        <w:t>propose a classification of asthma severity by the type and intensity of controller medication required for the</w:t>
      </w:r>
      <w:r w:rsidR="00F07F95">
        <w:t xml:space="preserve"> control of the disease (step 1 to </w:t>
      </w:r>
      <w:r w:rsidR="00C26669" w:rsidRPr="005D5670">
        <w:t xml:space="preserve">5) for investigational purposes. </w:t>
      </w:r>
      <w:r>
        <w:t>GINA g</w:t>
      </w:r>
      <w:r w:rsidR="00F07F95" w:rsidRPr="005D5670">
        <w:t>uideline</w:t>
      </w:r>
      <w:r w:rsidR="00F07F95">
        <w:t>s;</w:t>
      </w:r>
      <w:r w:rsidR="00EA5DDC" w:rsidRPr="00EA5DDC">
        <w:rPr>
          <w:rFonts w:asciiTheme="minorHAnsi" w:eastAsiaTheme="minorHAnsi" w:hAnsiTheme="minorHAnsi" w:cs="TimesNewRoman"/>
          <w:vertAlign w:val="superscript"/>
        </w:rPr>
        <w:t xml:space="preserve"> </w:t>
      </w:r>
      <w:r w:rsidR="00EA5DDC" w:rsidRPr="00DD161E">
        <w:rPr>
          <w:rFonts w:asciiTheme="minorHAnsi" w:eastAsiaTheme="minorHAnsi" w:hAnsiTheme="minorHAnsi" w:cs="TimesNewRoman"/>
          <w:vertAlign w:val="superscript"/>
        </w:rPr>
        <w:fldChar w:fldCharType="begin"/>
      </w:r>
      <w:r w:rsidR="00EA5DDC" w:rsidRPr="00DD161E">
        <w:rPr>
          <w:rFonts w:asciiTheme="minorHAnsi" w:eastAsiaTheme="minorHAnsi" w:hAnsiTheme="minorHAnsi" w:cs="TimesNewRoman"/>
          <w:vertAlign w:val="superscript"/>
        </w:rPr>
        <w:instrText xml:space="preserve"> NOTEREF _Ref55975505 \h </w:instrText>
      </w:r>
      <w:r w:rsidR="00EA5DDC">
        <w:rPr>
          <w:rFonts w:asciiTheme="minorHAnsi" w:eastAsiaTheme="minorHAnsi" w:hAnsiTheme="minorHAnsi" w:cs="TimesNewRoman"/>
          <w:vertAlign w:val="superscript"/>
        </w:rPr>
        <w:instrText xml:space="preserve"> \* MERGEFORMAT </w:instrText>
      </w:r>
      <w:r w:rsidR="00EA5DDC" w:rsidRPr="00DD161E">
        <w:rPr>
          <w:rFonts w:asciiTheme="minorHAnsi" w:eastAsiaTheme="minorHAnsi" w:hAnsiTheme="minorHAnsi" w:cs="TimesNewRoman"/>
          <w:vertAlign w:val="superscript"/>
        </w:rPr>
      </w:r>
      <w:r w:rsidR="00EA5DDC" w:rsidRPr="00DD161E">
        <w:rPr>
          <w:rFonts w:asciiTheme="minorHAnsi" w:eastAsiaTheme="minorHAnsi" w:hAnsiTheme="minorHAnsi" w:cs="TimesNewRoman"/>
          <w:vertAlign w:val="superscript"/>
        </w:rPr>
        <w:fldChar w:fldCharType="separate"/>
      </w:r>
      <w:r w:rsidR="00AD63FD">
        <w:rPr>
          <w:rFonts w:asciiTheme="minorHAnsi" w:eastAsiaTheme="minorHAnsi" w:hAnsiTheme="minorHAnsi" w:cs="TimesNewRoman"/>
          <w:vertAlign w:val="superscript"/>
        </w:rPr>
        <w:t>3</w:t>
      </w:r>
      <w:r w:rsidR="00EA5DDC" w:rsidRPr="00DD161E">
        <w:rPr>
          <w:rFonts w:asciiTheme="minorHAnsi" w:eastAsiaTheme="minorHAnsi" w:hAnsiTheme="minorHAnsi" w:cs="TimesNewRoman"/>
          <w:vertAlign w:val="superscript"/>
        </w:rPr>
        <w:fldChar w:fldCharType="end"/>
      </w:r>
      <w:r w:rsidR="00C26669" w:rsidRPr="005D5670">
        <w:t xml:space="preserve"> also propose a classification in three categories (mild, moderate and severe asthma) assessed retrospectively once the patient is on regular controller treatment for several months. </w:t>
      </w:r>
      <w:r w:rsidR="00C26669" w:rsidRPr="00BA4506">
        <w:rPr>
          <w:lang w:eastAsia="en-AU"/>
        </w:rPr>
        <w:t xml:space="preserve">The stepwise approach to therapy, in which the dose and number of medications and </w:t>
      </w:r>
      <w:r w:rsidR="00C26669" w:rsidRPr="00BA4506">
        <w:rPr>
          <w:lang w:eastAsia="en-AU"/>
        </w:rPr>
        <w:lastRenderedPageBreak/>
        <w:t>frequency of administration are increased as necessary and decreased when possible, is used to achie</w:t>
      </w:r>
      <w:r w:rsidR="00C26669">
        <w:rPr>
          <w:lang w:eastAsia="en-AU"/>
        </w:rPr>
        <w:t>ve and maintain asthma control.</w:t>
      </w:r>
    </w:p>
    <w:p w14:paraId="3F853125" w14:textId="2C6B729E" w:rsidR="008641C7" w:rsidRDefault="00C26669" w:rsidP="00C248D5">
      <w:pPr>
        <w:spacing w:before="0" w:line="240" w:lineRule="auto"/>
        <w:ind w:right="-568"/>
      </w:pPr>
      <w:r w:rsidRPr="006744B2">
        <w:t xml:space="preserve">The </w:t>
      </w:r>
      <w:r w:rsidR="008641C7">
        <w:t>GINA g</w:t>
      </w:r>
      <w:r w:rsidR="00F07F95" w:rsidRPr="005D5670">
        <w:t>uideline</w:t>
      </w:r>
      <w:r w:rsidR="00F07F95">
        <w:t>s;</w:t>
      </w:r>
      <w:r w:rsidR="00EA5DDC" w:rsidRPr="00DD161E">
        <w:rPr>
          <w:rFonts w:asciiTheme="minorHAnsi" w:eastAsiaTheme="minorHAnsi" w:hAnsiTheme="minorHAnsi" w:cs="TimesNewRoman"/>
          <w:vertAlign w:val="superscript"/>
        </w:rPr>
        <w:fldChar w:fldCharType="begin"/>
      </w:r>
      <w:r w:rsidR="00EA5DDC" w:rsidRPr="00DD161E">
        <w:rPr>
          <w:rFonts w:asciiTheme="minorHAnsi" w:eastAsiaTheme="minorHAnsi" w:hAnsiTheme="minorHAnsi" w:cs="TimesNewRoman"/>
          <w:vertAlign w:val="superscript"/>
        </w:rPr>
        <w:instrText xml:space="preserve"> NOTEREF _Ref55975505 \h </w:instrText>
      </w:r>
      <w:r w:rsidR="00EA5DDC">
        <w:rPr>
          <w:rFonts w:asciiTheme="minorHAnsi" w:eastAsiaTheme="minorHAnsi" w:hAnsiTheme="minorHAnsi" w:cs="TimesNewRoman"/>
          <w:vertAlign w:val="superscript"/>
        </w:rPr>
        <w:instrText xml:space="preserve"> \* MERGEFORMAT </w:instrText>
      </w:r>
      <w:r w:rsidR="00EA5DDC" w:rsidRPr="00DD161E">
        <w:rPr>
          <w:rFonts w:asciiTheme="minorHAnsi" w:eastAsiaTheme="minorHAnsi" w:hAnsiTheme="minorHAnsi" w:cs="TimesNewRoman"/>
          <w:vertAlign w:val="superscript"/>
        </w:rPr>
      </w:r>
      <w:r w:rsidR="00EA5DDC" w:rsidRPr="00DD161E">
        <w:rPr>
          <w:rFonts w:asciiTheme="minorHAnsi" w:eastAsiaTheme="minorHAnsi" w:hAnsiTheme="minorHAnsi" w:cs="TimesNewRoman"/>
          <w:vertAlign w:val="superscript"/>
        </w:rPr>
        <w:fldChar w:fldCharType="separate"/>
      </w:r>
      <w:r w:rsidR="00AD63FD">
        <w:rPr>
          <w:rFonts w:asciiTheme="minorHAnsi" w:eastAsiaTheme="minorHAnsi" w:hAnsiTheme="minorHAnsi" w:cs="TimesNewRoman"/>
          <w:vertAlign w:val="superscript"/>
        </w:rPr>
        <w:t>3</w:t>
      </w:r>
      <w:r w:rsidR="00EA5DDC" w:rsidRPr="00DD161E">
        <w:rPr>
          <w:rFonts w:asciiTheme="minorHAnsi" w:eastAsiaTheme="minorHAnsi" w:hAnsiTheme="minorHAnsi" w:cs="TimesNewRoman"/>
          <w:vertAlign w:val="superscript"/>
        </w:rPr>
        <w:fldChar w:fldCharType="end"/>
      </w:r>
      <w:r w:rsidR="00F07F95" w:rsidRPr="006744B2">
        <w:t xml:space="preserve"> </w:t>
      </w:r>
      <w:r w:rsidRPr="006744B2">
        <w:t>classifies drug treatments as controllers or relievers. Controllers are taken daily and long-term and include both anti-inflammatory drugs (</w:t>
      </w:r>
      <w:r w:rsidR="00EA5DDC">
        <w:t>ICS</w:t>
      </w:r>
      <w:r w:rsidRPr="006744B2">
        <w:t>, leukotriene modifiers, anti-</w:t>
      </w:r>
      <w:r w:rsidR="00EA5DDC">
        <w:t>immunoglobulin E (</w:t>
      </w:r>
      <w:proofErr w:type="spellStart"/>
      <w:r w:rsidRPr="006744B2">
        <w:t>IgE</w:t>
      </w:r>
      <w:proofErr w:type="spellEnd"/>
      <w:r w:rsidR="00EA5DDC">
        <w:t>)</w:t>
      </w:r>
      <w:r w:rsidRPr="006744B2">
        <w:t xml:space="preserve"> treatment, </w:t>
      </w:r>
      <w:r w:rsidR="00BB6202" w:rsidRPr="006744B2">
        <w:t>and oral</w:t>
      </w:r>
      <w:r w:rsidRPr="006744B2">
        <w:t xml:space="preserve"> corticosteroids) and long-acting </w:t>
      </w:r>
      <w:r w:rsidR="00BB6202">
        <w:t>β</w:t>
      </w:r>
      <w:r w:rsidRPr="006744B2">
        <w:t xml:space="preserve"> agonists. Relievers are </w:t>
      </w:r>
      <w:r w:rsidR="008B46F3">
        <w:t xml:space="preserve">medications used on an as </w:t>
      </w:r>
      <w:r w:rsidRPr="006744B2">
        <w:t>needed basis to reverse bronchoconstriction and relieve symptoms</w:t>
      </w:r>
      <w:r>
        <w:t xml:space="preserve"> </w:t>
      </w:r>
      <w:r w:rsidR="00F07F95">
        <w:t>(for example,</w:t>
      </w:r>
      <w:r w:rsidRPr="006744B2">
        <w:t xml:space="preserve"> short- an</w:t>
      </w:r>
      <w:r w:rsidR="008641C7">
        <w:t xml:space="preserve">d one long-acting </w:t>
      </w:r>
      <w:r w:rsidR="00AD2D09">
        <w:t>beta 2 (</w:t>
      </w:r>
      <w:r w:rsidR="008641C7">
        <w:t>β</w:t>
      </w:r>
      <w:r w:rsidR="008641C7" w:rsidRPr="00BB6202">
        <w:rPr>
          <w:vertAlign w:val="subscript"/>
        </w:rPr>
        <w:t>2</w:t>
      </w:r>
      <w:r w:rsidR="00AD2D09">
        <w:t>)</w:t>
      </w:r>
      <w:r w:rsidR="008641C7">
        <w:t xml:space="preserve"> agonists).</w:t>
      </w:r>
    </w:p>
    <w:p w14:paraId="73BB3307" w14:textId="24338B1C" w:rsidR="00C26669" w:rsidRPr="008641C7" w:rsidRDefault="00C26669" w:rsidP="008641C7">
      <w:pPr>
        <w:spacing w:before="0" w:line="240" w:lineRule="auto"/>
      </w:pPr>
      <w:r w:rsidRPr="00F5582E">
        <w:rPr>
          <w:rFonts w:asciiTheme="minorHAnsi" w:eastAsia="TimesNewRoman" w:hAnsiTheme="minorHAnsi" w:cs="TimesNewRoman"/>
          <w:color w:val="000000"/>
        </w:rPr>
        <w:t xml:space="preserve">A long-acting </w:t>
      </w:r>
      <w:r w:rsidR="00AD2D09">
        <w:rPr>
          <w:rFonts w:asciiTheme="minorHAnsi" w:eastAsia="TimesNewRoman" w:hAnsiTheme="minorHAnsi" w:cs="TimesNewRoman"/>
          <w:color w:val="000000"/>
        </w:rPr>
        <w:t>beta 2 (</w:t>
      </w:r>
      <w:r w:rsidRPr="00F5582E">
        <w:rPr>
          <w:rFonts w:asciiTheme="minorHAnsi" w:eastAsia="TimesNewRoman" w:hAnsiTheme="minorHAnsi" w:cs="TimesNewRoman"/>
          <w:color w:val="000000"/>
        </w:rPr>
        <w:t>β</w:t>
      </w:r>
      <w:r w:rsidRPr="00F07F95">
        <w:rPr>
          <w:rFonts w:asciiTheme="minorHAnsi" w:eastAsia="TimesNewRoman" w:hAnsiTheme="minorHAnsi" w:cs="TimesNewRoman"/>
          <w:color w:val="000000"/>
          <w:vertAlign w:val="subscript"/>
        </w:rPr>
        <w:t>2</w:t>
      </w:r>
      <w:r w:rsidR="00AD2D09">
        <w:rPr>
          <w:rFonts w:asciiTheme="minorHAnsi" w:eastAsia="TimesNewRoman" w:hAnsiTheme="minorHAnsi" w:cs="TimesNewRoman"/>
          <w:color w:val="000000"/>
        </w:rPr>
        <w:t>)</w:t>
      </w:r>
      <w:r w:rsidRPr="00F5582E">
        <w:rPr>
          <w:rFonts w:asciiTheme="minorHAnsi" w:eastAsia="TimesNewRoman" w:hAnsiTheme="minorHAnsi" w:cs="TimesNewRoman"/>
          <w:color w:val="000000"/>
        </w:rPr>
        <w:t xml:space="preserve"> agonist </w:t>
      </w:r>
      <w:r w:rsidR="00AD2D09">
        <w:rPr>
          <w:rFonts w:asciiTheme="minorHAnsi" w:eastAsia="TimesNewRoman" w:hAnsiTheme="minorHAnsi" w:cs="TimesNewRoman"/>
          <w:color w:val="000000"/>
        </w:rPr>
        <w:t xml:space="preserve">(LABA) </w:t>
      </w:r>
      <w:r w:rsidRPr="00F5582E">
        <w:rPr>
          <w:rFonts w:asciiTheme="minorHAnsi" w:eastAsia="TimesNewRoman" w:hAnsiTheme="minorHAnsi" w:cs="TimesNewRoman"/>
          <w:color w:val="000000"/>
        </w:rPr>
        <w:t>plus</w:t>
      </w:r>
      <w:r>
        <w:rPr>
          <w:rFonts w:asciiTheme="minorHAnsi" w:eastAsia="TimesNewRoman" w:hAnsiTheme="minorHAnsi" w:cs="TimesNewRoman"/>
          <w:color w:val="000000"/>
        </w:rPr>
        <w:t xml:space="preserve"> </w:t>
      </w:r>
      <w:r w:rsidR="00AD2D09">
        <w:rPr>
          <w:rFonts w:asciiTheme="minorHAnsi" w:eastAsia="TimesNewRoman" w:hAnsiTheme="minorHAnsi" w:cs="TimesNewRoman"/>
          <w:color w:val="000000"/>
        </w:rPr>
        <w:t xml:space="preserve">ICS </w:t>
      </w:r>
      <w:r w:rsidRPr="00F5582E">
        <w:rPr>
          <w:rFonts w:asciiTheme="minorHAnsi" w:eastAsia="TimesNewRoman" w:hAnsiTheme="minorHAnsi" w:cs="TimesNewRoman"/>
          <w:color w:val="000000"/>
        </w:rPr>
        <w:t>(LABA/ICS) is a well-established therapy class with a known safety</w:t>
      </w:r>
      <w:r>
        <w:rPr>
          <w:rFonts w:asciiTheme="minorHAnsi" w:eastAsia="TimesNewRoman" w:hAnsiTheme="minorHAnsi" w:cs="TimesNewRoman"/>
          <w:color w:val="000000"/>
        </w:rPr>
        <w:t xml:space="preserve"> </w:t>
      </w:r>
      <w:r w:rsidRPr="00F5582E">
        <w:rPr>
          <w:rFonts w:asciiTheme="minorHAnsi" w:eastAsia="TimesNewRoman" w:hAnsiTheme="minorHAnsi" w:cs="TimesNewRoman"/>
          <w:color w:val="000000"/>
        </w:rPr>
        <w:t>profile. GINA guidelines</w:t>
      </w:r>
      <w:r w:rsidR="00F07F95">
        <w:rPr>
          <w:rFonts w:asciiTheme="minorHAnsi" w:eastAsia="TimesNewRoman" w:hAnsiTheme="minorHAnsi" w:cs="TimesNewRoman"/>
          <w:color w:val="000000"/>
        </w:rPr>
        <w:t>;</w:t>
      </w:r>
      <w:r w:rsidR="00AD2D09" w:rsidRPr="00DD161E">
        <w:rPr>
          <w:rFonts w:asciiTheme="minorHAnsi" w:eastAsiaTheme="minorHAnsi" w:hAnsiTheme="minorHAnsi" w:cs="TimesNewRoman"/>
          <w:vertAlign w:val="superscript"/>
        </w:rPr>
        <w:fldChar w:fldCharType="begin"/>
      </w:r>
      <w:r w:rsidR="00AD2D09" w:rsidRPr="00DD161E">
        <w:rPr>
          <w:rFonts w:asciiTheme="minorHAnsi" w:eastAsiaTheme="minorHAnsi" w:hAnsiTheme="minorHAnsi" w:cs="TimesNewRoman"/>
          <w:vertAlign w:val="superscript"/>
        </w:rPr>
        <w:instrText xml:space="preserve"> NOTEREF _Ref55975505 \h </w:instrText>
      </w:r>
      <w:r w:rsidR="00AD2D09">
        <w:rPr>
          <w:rFonts w:asciiTheme="minorHAnsi" w:eastAsiaTheme="minorHAnsi" w:hAnsiTheme="minorHAnsi" w:cs="TimesNewRoman"/>
          <w:vertAlign w:val="superscript"/>
        </w:rPr>
        <w:instrText xml:space="preserve"> \* MERGEFORMAT </w:instrText>
      </w:r>
      <w:r w:rsidR="00AD2D09" w:rsidRPr="00DD161E">
        <w:rPr>
          <w:rFonts w:asciiTheme="minorHAnsi" w:eastAsiaTheme="minorHAnsi" w:hAnsiTheme="minorHAnsi" w:cs="TimesNewRoman"/>
          <w:vertAlign w:val="superscript"/>
        </w:rPr>
      </w:r>
      <w:r w:rsidR="00AD2D09" w:rsidRPr="00DD161E">
        <w:rPr>
          <w:rFonts w:asciiTheme="minorHAnsi" w:eastAsiaTheme="minorHAnsi" w:hAnsiTheme="minorHAnsi" w:cs="TimesNewRoman"/>
          <w:vertAlign w:val="superscript"/>
        </w:rPr>
        <w:fldChar w:fldCharType="separate"/>
      </w:r>
      <w:r w:rsidR="00AD63FD">
        <w:rPr>
          <w:rFonts w:asciiTheme="minorHAnsi" w:eastAsiaTheme="minorHAnsi" w:hAnsiTheme="minorHAnsi" w:cs="TimesNewRoman"/>
          <w:vertAlign w:val="superscript"/>
        </w:rPr>
        <w:t>3</w:t>
      </w:r>
      <w:r w:rsidR="00AD2D09" w:rsidRPr="00DD161E">
        <w:rPr>
          <w:rFonts w:asciiTheme="minorHAnsi" w:eastAsiaTheme="minorHAnsi" w:hAnsiTheme="minorHAnsi" w:cs="TimesNewRoman"/>
          <w:vertAlign w:val="superscript"/>
        </w:rPr>
        <w:fldChar w:fldCharType="end"/>
      </w:r>
      <w:r w:rsidRPr="00F5582E">
        <w:rPr>
          <w:rFonts w:asciiTheme="minorHAnsi" w:eastAsia="TimesNewRoman" w:hAnsiTheme="minorHAnsi" w:cs="TimesNewRoman"/>
          <w:color w:val="000000"/>
        </w:rPr>
        <w:t xml:space="preserve"> define LABA/ICS as </w:t>
      </w:r>
      <w:r w:rsidR="00AD2D09">
        <w:rPr>
          <w:rFonts w:asciiTheme="minorHAnsi" w:eastAsia="TimesNewRoman" w:hAnsiTheme="minorHAnsi" w:cs="TimesNewRoman"/>
          <w:color w:val="000000"/>
        </w:rPr>
        <w:t xml:space="preserve">the </w:t>
      </w:r>
      <w:r w:rsidRPr="00F5582E">
        <w:rPr>
          <w:rFonts w:asciiTheme="minorHAnsi" w:eastAsia="TimesNewRoman" w:hAnsiTheme="minorHAnsi" w:cs="TimesNewRoman"/>
          <w:color w:val="000000"/>
        </w:rPr>
        <w:t>corne</w:t>
      </w:r>
      <w:r w:rsidR="00F07F95">
        <w:rPr>
          <w:rFonts w:asciiTheme="minorHAnsi" w:eastAsia="TimesNewRoman" w:hAnsiTheme="minorHAnsi" w:cs="TimesNewRoman"/>
          <w:color w:val="000000"/>
        </w:rPr>
        <w:t>rstone asthma therapy for GINA s</w:t>
      </w:r>
      <w:r w:rsidRPr="00F5582E">
        <w:rPr>
          <w:rFonts w:asciiTheme="minorHAnsi" w:eastAsia="TimesNewRoman" w:hAnsiTheme="minorHAnsi" w:cs="TimesNewRoman"/>
          <w:color w:val="000000"/>
        </w:rPr>
        <w:t>tep 3</w:t>
      </w:r>
      <w:r>
        <w:rPr>
          <w:rFonts w:asciiTheme="minorHAnsi" w:eastAsia="TimesNewRoman" w:hAnsiTheme="minorHAnsi" w:cs="TimesNewRoman"/>
          <w:color w:val="000000"/>
        </w:rPr>
        <w:t xml:space="preserve"> </w:t>
      </w:r>
      <w:r w:rsidRPr="00F5582E">
        <w:rPr>
          <w:rFonts w:asciiTheme="minorHAnsi" w:eastAsia="TimesNewRoman" w:hAnsiTheme="minorHAnsi" w:cs="TimesNewRoman"/>
          <w:color w:val="000000"/>
        </w:rPr>
        <w:t>patients and above. The prefe</w:t>
      </w:r>
      <w:r w:rsidR="00F07F95">
        <w:rPr>
          <w:rFonts w:asciiTheme="minorHAnsi" w:eastAsia="TimesNewRoman" w:hAnsiTheme="minorHAnsi" w:cs="TimesNewRoman"/>
          <w:color w:val="000000"/>
        </w:rPr>
        <w:t>rred treatment option for GINA s</w:t>
      </w:r>
      <w:r w:rsidRPr="00F5582E">
        <w:rPr>
          <w:rFonts w:asciiTheme="minorHAnsi" w:eastAsia="TimesNewRoman" w:hAnsiTheme="minorHAnsi" w:cs="TimesNewRoman"/>
          <w:color w:val="000000"/>
        </w:rPr>
        <w:t>tep 3 asthma patients (adults and</w:t>
      </w:r>
      <w:r>
        <w:rPr>
          <w:rFonts w:asciiTheme="minorHAnsi" w:eastAsia="TimesNewRoman" w:hAnsiTheme="minorHAnsi" w:cs="TimesNewRoman"/>
          <w:color w:val="000000"/>
        </w:rPr>
        <w:t xml:space="preserve"> </w:t>
      </w:r>
      <w:r w:rsidRPr="00F5582E">
        <w:rPr>
          <w:rFonts w:asciiTheme="minorHAnsi" w:eastAsia="TimesNewRoman" w:hAnsiTheme="minorHAnsi" w:cs="TimesNewRoman"/>
          <w:color w:val="000000"/>
        </w:rPr>
        <w:t>adolescents) is the combination of low dose LABA/ICS as maintenance treatment plus as</w:t>
      </w:r>
      <w:r>
        <w:rPr>
          <w:rFonts w:asciiTheme="minorHAnsi" w:eastAsia="TimesNewRoman" w:hAnsiTheme="minorHAnsi" w:cs="TimesNewRoman"/>
          <w:color w:val="000000"/>
        </w:rPr>
        <w:t xml:space="preserve"> </w:t>
      </w:r>
      <w:r w:rsidR="00BB6202">
        <w:rPr>
          <w:rFonts w:asciiTheme="minorHAnsi" w:eastAsia="TimesNewRoman" w:hAnsiTheme="minorHAnsi" w:cs="TimesNewRoman"/>
          <w:color w:val="000000"/>
        </w:rPr>
        <w:t>SABA</w:t>
      </w:r>
      <w:r w:rsidRPr="00F5582E">
        <w:rPr>
          <w:rFonts w:asciiTheme="minorHAnsi" w:eastAsia="TimesNewRoman" w:hAnsiTheme="minorHAnsi" w:cs="TimesNewRoman"/>
          <w:color w:val="000000"/>
        </w:rPr>
        <w:t>, or a combination low dose</w:t>
      </w:r>
      <w:r>
        <w:rPr>
          <w:rFonts w:asciiTheme="minorHAnsi" w:eastAsia="TimesNewRoman" w:hAnsiTheme="minorHAnsi" w:cs="TimesNewRoman"/>
          <w:color w:val="000000"/>
        </w:rPr>
        <w:t xml:space="preserve"> </w:t>
      </w:r>
      <w:r w:rsidRPr="00F5582E">
        <w:rPr>
          <w:rFonts w:asciiTheme="minorHAnsi" w:eastAsia="TimesNewRoman" w:hAnsiTheme="minorHAnsi" w:cs="TimesNewRoman"/>
          <w:color w:val="000000"/>
        </w:rPr>
        <w:t xml:space="preserve">formoterol/ICS (budesonide or </w:t>
      </w:r>
      <w:proofErr w:type="spellStart"/>
      <w:r w:rsidRPr="00F5582E">
        <w:rPr>
          <w:rFonts w:asciiTheme="minorHAnsi" w:eastAsia="TimesNewRoman" w:hAnsiTheme="minorHAnsi" w:cs="TimesNewRoman"/>
          <w:color w:val="000000"/>
        </w:rPr>
        <w:t>beclo</w:t>
      </w:r>
      <w:r>
        <w:rPr>
          <w:rFonts w:asciiTheme="minorHAnsi" w:eastAsia="TimesNewRoman" w:hAnsiTheme="minorHAnsi" w:cs="TimesNewRoman"/>
          <w:color w:val="000000"/>
        </w:rPr>
        <w:t>met</w:t>
      </w:r>
      <w:r w:rsidRPr="00F5582E">
        <w:rPr>
          <w:rFonts w:asciiTheme="minorHAnsi" w:eastAsia="TimesNewRoman" w:hAnsiTheme="minorHAnsi" w:cs="TimesNewRoman"/>
          <w:color w:val="000000"/>
        </w:rPr>
        <w:t>asone</w:t>
      </w:r>
      <w:proofErr w:type="spellEnd"/>
      <w:r w:rsidRPr="00F5582E">
        <w:rPr>
          <w:rFonts w:asciiTheme="minorHAnsi" w:eastAsia="TimesNewRoman" w:hAnsiTheme="minorHAnsi" w:cs="TimesNewRoman"/>
          <w:color w:val="000000"/>
        </w:rPr>
        <w:t>) as both maintenance and reliever therapy.</w:t>
      </w:r>
    </w:p>
    <w:p w14:paraId="6FA18488" w14:textId="42C0F58F" w:rsidR="00C26669" w:rsidRDefault="00F07F95" w:rsidP="00C26669">
      <w:pPr>
        <w:autoSpaceDE w:val="0"/>
        <w:autoSpaceDN w:val="0"/>
        <w:adjustRightInd w:val="0"/>
        <w:spacing w:before="0" w:line="240" w:lineRule="auto"/>
        <w:rPr>
          <w:rFonts w:asciiTheme="minorHAnsi" w:eastAsia="TimesNewRoman" w:hAnsiTheme="minorHAnsi" w:cs="TimesNewRoman"/>
          <w:color w:val="000000"/>
        </w:rPr>
      </w:pPr>
      <w:r>
        <w:rPr>
          <w:rFonts w:asciiTheme="minorHAnsi" w:eastAsia="TimesNewRoman" w:hAnsiTheme="minorHAnsi" w:cs="TimesNewRoman"/>
          <w:color w:val="000000"/>
        </w:rPr>
        <w:t>The sponsor rationales that t</w:t>
      </w:r>
      <w:r w:rsidR="00C26669" w:rsidRPr="00F5582E">
        <w:rPr>
          <w:rFonts w:asciiTheme="minorHAnsi" w:eastAsia="TimesNewRoman" w:hAnsiTheme="minorHAnsi" w:cs="TimesNewRoman"/>
          <w:color w:val="000000"/>
        </w:rPr>
        <w:t>he concomitant administration of LABA and ICS plays an important role in the treatment of</w:t>
      </w:r>
      <w:r w:rsidR="00C26669">
        <w:rPr>
          <w:rFonts w:asciiTheme="minorHAnsi" w:eastAsia="TimesNewRoman" w:hAnsiTheme="minorHAnsi" w:cs="TimesNewRoman"/>
          <w:color w:val="000000"/>
        </w:rPr>
        <w:t xml:space="preserve"> </w:t>
      </w:r>
      <w:r w:rsidR="00C26669" w:rsidRPr="00F5582E">
        <w:rPr>
          <w:rFonts w:asciiTheme="minorHAnsi" w:eastAsia="TimesNewRoman" w:hAnsiTheme="minorHAnsi" w:cs="TimesNewRoman"/>
          <w:color w:val="000000"/>
        </w:rPr>
        <w:t>asthma. Most of th</w:t>
      </w:r>
      <w:r w:rsidR="008B46F3">
        <w:rPr>
          <w:rFonts w:asciiTheme="minorHAnsi" w:eastAsia="TimesNewRoman" w:hAnsiTheme="minorHAnsi" w:cs="TimesNewRoman"/>
          <w:color w:val="000000"/>
        </w:rPr>
        <w:t xml:space="preserve">e fixed </w:t>
      </w:r>
      <w:r w:rsidR="00C26669" w:rsidRPr="00F5582E">
        <w:rPr>
          <w:rFonts w:asciiTheme="minorHAnsi" w:eastAsia="TimesNewRoman" w:hAnsiTheme="minorHAnsi" w:cs="TimesNewRoman"/>
          <w:color w:val="000000"/>
        </w:rPr>
        <w:t>dose combinations (FDC) of ICS and LABA are approved for twice</w:t>
      </w:r>
      <w:r w:rsidR="00C26669">
        <w:rPr>
          <w:rFonts w:asciiTheme="minorHAnsi" w:eastAsia="TimesNewRoman" w:hAnsiTheme="minorHAnsi" w:cs="TimesNewRoman"/>
          <w:color w:val="000000"/>
        </w:rPr>
        <w:t xml:space="preserve"> </w:t>
      </w:r>
      <w:r w:rsidR="004B71F8">
        <w:rPr>
          <w:rFonts w:asciiTheme="minorHAnsi" w:eastAsia="TimesNewRoman" w:hAnsiTheme="minorHAnsi" w:cs="TimesNewRoman"/>
          <w:color w:val="000000"/>
        </w:rPr>
        <w:t>a day</w:t>
      </w:r>
      <w:r w:rsidR="00C26669">
        <w:rPr>
          <w:rFonts w:asciiTheme="minorHAnsi" w:eastAsia="TimesNewRoman" w:hAnsiTheme="minorHAnsi" w:cs="TimesNewRoman"/>
          <w:color w:val="000000"/>
        </w:rPr>
        <w:t xml:space="preserve"> </w:t>
      </w:r>
      <w:r w:rsidR="00C26669" w:rsidRPr="00F5582E">
        <w:rPr>
          <w:rFonts w:asciiTheme="minorHAnsi" w:eastAsia="TimesNewRoman" w:hAnsiTheme="minorHAnsi" w:cs="TimesNewRoman"/>
          <w:color w:val="000000"/>
        </w:rPr>
        <w:t>(</w:t>
      </w:r>
      <w:r w:rsidR="004B71F8">
        <w:rPr>
          <w:rFonts w:asciiTheme="minorHAnsi" w:eastAsia="TimesNewRoman" w:hAnsiTheme="minorHAnsi" w:cs="TimesNewRoman"/>
          <w:color w:val="000000"/>
        </w:rPr>
        <w:t>BID)</w:t>
      </w:r>
      <w:r w:rsidR="00C26669" w:rsidRPr="00F5582E">
        <w:rPr>
          <w:rFonts w:asciiTheme="minorHAnsi" w:eastAsia="TimesNewRoman" w:hAnsiTheme="minorHAnsi" w:cs="TimesNewRoman"/>
          <w:color w:val="000000"/>
        </w:rPr>
        <w:t xml:space="preserve"> regular treatment of asthma where use of a combination (LABA/ICS) is</w:t>
      </w:r>
      <w:r w:rsidR="00C26669">
        <w:rPr>
          <w:rFonts w:asciiTheme="minorHAnsi" w:eastAsia="TimesNewRoman" w:hAnsiTheme="minorHAnsi" w:cs="TimesNewRoman"/>
          <w:color w:val="000000"/>
        </w:rPr>
        <w:t xml:space="preserve"> </w:t>
      </w:r>
      <w:r w:rsidR="004B71F8">
        <w:rPr>
          <w:rFonts w:asciiTheme="minorHAnsi" w:eastAsia="TimesNewRoman" w:hAnsiTheme="minorHAnsi" w:cs="TimesNewRoman"/>
          <w:color w:val="000000"/>
        </w:rPr>
        <w:t>appropriate (for example,</w:t>
      </w:r>
      <w:r w:rsidR="00C26669" w:rsidRPr="00F5582E">
        <w:rPr>
          <w:rFonts w:asciiTheme="minorHAnsi" w:eastAsia="TimesNewRoman" w:hAnsiTheme="minorHAnsi" w:cs="TimesNewRoman"/>
          <w:color w:val="000000"/>
        </w:rPr>
        <w:t xml:space="preserve"> </w:t>
      </w:r>
      <w:proofErr w:type="spellStart"/>
      <w:r w:rsidR="00C26669" w:rsidRPr="00F5582E">
        <w:rPr>
          <w:rFonts w:asciiTheme="minorHAnsi" w:eastAsia="TimesNewRoman" w:hAnsiTheme="minorHAnsi" w:cs="TimesNewRoman"/>
          <w:color w:val="000000"/>
        </w:rPr>
        <w:t>salmeterol</w:t>
      </w:r>
      <w:proofErr w:type="spellEnd"/>
      <w:r w:rsidR="00C26669" w:rsidRPr="00F5582E">
        <w:rPr>
          <w:rFonts w:asciiTheme="minorHAnsi" w:eastAsia="TimesNewRoman" w:hAnsiTheme="minorHAnsi" w:cs="TimesNewRoman"/>
          <w:color w:val="000000"/>
        </w:rPr>
        <w:t>/fluticasone propionate, formoterol fumarate</w:t>
      </w:r>
      <w:r w:rsidR="005D66AB">
        <w:rPr>
          <w:rFonts w:asciiTheme="minorHAnsi" w:eastAsia="TimesNewRoman" w:hAnsiTheme="minorHAnsi" w:cs="TimesNewRoman"/>
          <w:color w:val="000000"/>
        </w:rPr>
        <w:t>/</w:t>
      </w:r>
      <w:r w:rsidR="00C26669" w:rsidRPr="00F5582E">
        <w:rPr>
          <w:rFonts w:asciiTheme="minorHAnsi" w:eastAsia="TimesNewRoman" w:hAnsiTheme="minorHAnsi" w:cs="TimesNewRoman"/>
          <w:color w:val="000000"/>
        </w:rPr>
        <w:t>budesonide</w:t>
      </w:r>
      <w:r w:rsidR="00C26669">
        <w:rPr>
          <w:rFonts w:asciiTheme="minorHAnsi" w:eastAsia="TimesNewRoman" w:hAnsiTheme="minorHAnsi" w:cs="TimesNewRoman"/>
          <w:color w:val="000000"/>
        </w:rPr>
        <w:t>, formoterol/</w:t>
      </w:r>
      <w:r w:rsidR="00C26669" w:rsidRPr="00F5582E">
        <w:rPr>
          <w:rFonts w:asciiTheme="minorHAnsi" w:eastAsia="TimesNewRoman" w:hAnsiTheme="minorHAnsi" w:cs="TimesNewRoman"/>
          <w:color w:val="000000"/>
        </w:rPr>
        <w:t>fluticasone propionate</w:t>
      </w:r>
      <w:r w:rsidR="00C26669">
        <w:rPr>
          <w:rFonts w:asciiTheme="minorHAnsi" w:eastAsia="TimesNewRoman" w:hAnsiTheme="minorHAnsi" w:cs="TimesNewRoman"/>
          <w:color w:val="000000"/>
        </w:rPr>
        <w:t xml:space="preserve">). </w:t>
      </w:r>
      <w:proofErr w:type="spellStart"/>
      <w:r w:rsidR="00C26669">
        <w:rPr>
          <w:rFonts w:asciiTheme="minorHAnsi" w:eastAsia="TimesNewRoman" w:hAnsiTheme="minorHAnsi" w:cs="TimesNewRoman"/>
          <w:color w:val="000000"/>
        </w:rPr>
        <w:t>V</w:t>
      </w:r>
      <w:r w:rsidR="00C26669" w:rsidRPr="00F5582E">
        <w:rPr>
          <w:rFonts w:asciiTheme="minorHAnsi" w:eastAsia="TimesNewRoman" w:hAnsiTheme="minorHAnsi" w:cs="TimesNewRoman"/>
          <w:color w:val="000000"/>
        </w:rPr>
        <w:t>ilanterol</w:t>
      </w:r>
      <w:proofErr w:type="spellEnd"/>
      <w:r w:rsidR="00C26669" w:rsidRPr="00F5582E">
        <w:rPr>
          <w:rFonts w:asciiTheme="minorHAnsi" w:eastAsia="TimesNewRoman" w:hAnsiTheme="minorHAnsi" w:cs="TimesNewRoman"/>
          <w:color w:val="000000"/>
        </w:rPr>
        <w:t xml:space="preserve">/fluticasone </w:t>
      </w:r>
      <w:proofErr w:type="spellStart"/>
      <w:r w:rsidR="00C26669" w:rsidRPr="00F5582E">
        <w:rPr>
          <w:rFonts w:asciiTheme="minorHAnsi" w:eastAsia="TimesNewRoman" w:hAnsiTheme="minorHAnsi" w:cs="TimesNewRoman"/>
          <w:color w:val="000000"/>
        </w:rPr>
        <w:t>furoate</w:t>
      </w:r>
      <w:proofErr w:type="spellEnd"/>
      <w:r w:rsidR="00C26669" w:rsidRPr="00F5582E">
        <w:rPr>
          <w:rFonts w:asciiTheme="minorHAnsi" w:eastAsia="TimesNewRoman" w:hAnsiTheme="minorHAnsi" w:cs="TimesNewRoman"/>
          <w:color w:val="000000"/>
        </w:rPr>
        <w:t xml:space="preserve"> is the only</w:t>
      </w:r>
      <w:r w:rsidR="00C26669">
        <w:rPr>
          <w:rFonts w:asciiTheme="minorHAnsi" w:eastAsia="TimesNewRoman" w:hAnsiTheme="minorHAnsi" w:cs="TimesNewRoman"/>
          <w:color w:val="000000"/>
        </w:rPr>
        <w:t xml:space="preserve"> approved</w:t>
      </w:r>
      <w:r w:rsidR="008B46F3">
        <w:rPr>
          <w:rFonts w:asciiTheme="minorHAnsi" w:eastAsia="TimesNewRoman" w:hAnsiTheme="minorHAnsi" w:cs="TimesNewRoman"/>
          <w:color w:val="000000"/>
        </w:rPr>
        <w:t xml:space="preserve"> LABA/ICS FDC </w:t>
      </w:r>
      <w:r w:rsidR="00AD2D09">
        <w:rPr>
          <w:rFonts w:asciiTheme="minorHAnsi" w:eastAsia="TimesNewRoman" w:hAnsiTheme="minorHAnsi" w:cs="TimesNewRoman"/>
          <w:color w:val="000000"/>
        </w:rPr>
        <w:t xml:space="preserve">for </w:t>
      </w:r>
      <w:r w:rsidR="008B46F3">
        <w:rPr>
          <w:rFonts w:asciiTheme="minorHAnsi" w:eastAsia="TimesNewRoman" w:hAnsiTheme="minorHAnsi" w:cs="TimesNewRoman"/>
          <w:color w:val="000000"/>
        </w:rPr>
        <w:t>administ</w:t>
      </w:r>
      <w:r w:rsidR="00AD2D09">
        <w:rPr>
          <w:rFonts w:asciiTheme="minorHAnsi" w:eastAsia="TimesNewRoman" w:hAnsiTheme="minorHAnsi" w:cs="TimesNewRoman"/>
          <w:color w:val="000000"/>
        </w:rPr>
        <w:t>ration</w:t>
      </w:r>
      <w:r w:rsidR="008B46F3">
        <w:rPr>
          <w:rFonts w:asciiTheme="minorHAnsi" w:eastAsia="TimesNewRoman" w:hAnsiTheme="minorHAnsi" w:cs="TimesNewRoman"/>
          <w:color w:val="000000"/>
        </w:rPr>
        <w:t xml:space="preserve"> once </w:t>
      </w:r>
      <w:r w:rsidR="00C26669">
        <w:rPr>
          <w:rFonts w:asciiTheme="minorHAnsi" w:eastAsia="TimesNewRoman" w:hAnsiTheme="minorHAnsi" w:cs="TimesNewRoman"/>
          <w:color w:val="000000"/>
        </w:rPr>
        <w:t xml:space="preserve">daily. </w:t>
      </w:r>
      <w:r w:rsidR="00C26669" w:rsidRPr="00F5582E">
        <w:rPr>
          <w:rFonts w:asciiTheme="minorHAnsi" w:eastAsia="TimesNewRoman" w:hAnsiTheme="minorHAnsi" w:cs="TimesNewRoman"/>
          <w:color w:val="000000"/>
        </w:rPr>
        <w:t>Non-adherence to medication is a major cause of poor control of asthma and may be related to</w:t>
      </w:r>
      <w:r w:rsidR="00C26669">
        <w:rPr>
          <w:rFonts w:asciiTheme="minorHAnsi" w:eastAsia="TimesNewRoman" w:hAnsiTheme="minorHAnsi" w:cs="TimesNewRoman"/>
          <w:color w:val="000000"/>
        </w:rPr>
        <w:t xml:space="preserve"> </w:t>
      </w:r>
      <w:r w:rsidR="00C26669" w:rsidRPr="00F5582E">
        <w:rPr>
          <w:rFonts w:asciiTheme="minorHAnsi" w:eastAsia="TimesNewRoman" w:hAnsiTheme="minorHAnsi" w:cs="TimesNewRoman"/>
          <w:color w:val="000000"/>
        </w:rPr>
        <w:t xml:space="preserve">several </w:t>
      </w:r>
      <w:r w:rsidR="00C26669" w:rsidRPr="007968C1">
        <w:rPr>
          <w:rFonts w:asciiTheme="minorHAnsi" w:eastAsia="TimesNewRoman" w:hAnsiTheme="minorHAnsi" w:cs="TimesNewRoman"/>
        </w:rPr>
        <w:t>factors including difficulty using inhalers properly, complicated regimens (</w:t>
      </w:r>
      <w:r w:rsidR="004B71F8">
        <w:rPr>
          <w:rFonts w:asciiTheme="minorHAnsi" w:eastAsia="TimesNewRoman" w:hAnsiTheme="minorHAnsi" w:cs="TimesNewRoman"/>
        </w:rPr>
        <w:t>for example,</w:t>
      </w:r>
      <w:r w:rsidR="00C26669" w:rsidRPr="007968C1">
        <w:rPr>
          <w:rFonts w:asciiTheme="minorHAnsi" w:eastAsia="TimesNewRoman" w:hAnsiTheme="minorHAnsi" w:cs="TimesNewRoman"/>
        </w:rPr>
        <w:t xml:space="preserve"> multiple times per day, multiple different inhalers) and misunderstanding of the role of co</w:t>
      </w:r>
      <w:r w:rsidR="007E339F">
        <w:rPr>
          <w:rFonts w:asciiTheme="minorHAnsi" w:eastAsia="TimesNewRoman" w:hAnsiTheme="minorHAnsi" w:cs="TimesNewRoman"/>
        </w:rPr>
        <w:t>ntroller medications</w:t>
      </w:r>
      <w:r w:rsidR="00C26669" w:rsidRPr="007968C1">
        <w:rPr>
          <w:rFonts w:asciiTheme="minorHAnsi" w:eastAsia="TimesNewRoman" w:hAnsiTheme="minorHAnsi" w:cs="TimesNewRoman"/>
        </w:rPr>
        <w:t>.</w:t>
      </w:r>
      <w:bookmarkStart w:id="18" w:name="_Ref53492964"/>
      <w:r w:rsidR="007E339F">
        <w:rPr>
          <w:rStyle w:val="FootnoteReference"/>
          <w:rFonts w:asciiTheme="minorHAnsi" w:eastAsia="TimesNewRoman" w:hAnsiTheme="minorHAnsi" w:cs="TimesNewRoman"/>
        </w:rPr>
        <w:footnoteReference w:id="7"/>
      </w:r>
      <w:bookmarkEnd w:id="18"/>
    </w:p>
    <w:p w14:paraId="22665250" w14:textId="7D815C76" w:rsidR="00C26669" w:rsidRPr="007968C1" w:rsidRDefault="008B46F3" w:rsidP="3249B42A">
      <w:pPr>
        <w:autoSpaceDE w:val="0"/>
        <w:autoSpaceDN w:val="0"/>
        <w:adjustRightInd w:val="0"/>
        <w:spacing w:before="0" w:line="240" w:lineRule="auto"/>
        <w:rPr>
          <w:rFonts w:asciiTheme="minorHAnsi" w:eastAsia="TimesNewRoman" w:hAnsiTheme="minorHAnsi" w:cs="TimesNewRoman"/>
        </w:rPr>
      </w:pPr>
      <w:r w:rsidRPr="3249B42A">
        <w:rPr>
          <w:rFonts w:asciiTheme="minorHAnsi" w:eastAsia="TimesNewRoman" w:hAnsiTheme="minorHAnsi" w:cs="TimesNewRoman"/>
          <w:color w:val="000000"/>
        </w:rPr>
        <w:t>QMF149</w:t>
      </w:r>
      <w:r w:rsidR="005D66AB" w:rsidRPr="3249B42A">
        <w:rPr>
          <w:rFonts w:asciiTheme="minorHAnsi" w:eastAsia="TimesNewRoman" w:hAnsiTheme="minorHAnsi" w:cs="TimesNewRoman"/>
          <w:color w:val="000000"/>
        </w:rPr>
        <w:t>;</w:t>
      </w:r>
      <w:r w:rsidR="005D66AB" w:rsidRPr="3249B42A">
        <w:rPr>
          <w:rFonts w:asciiTheme="minorHAnsi" w:eastAsia="TimesNewRoman" w:hAnsiTheme="minorHAnsi" w:cs="TimesNewRoman"/>
          <w:color w:val="000000"/>
        </w:rPr>
        <w:fldChar w:fldCharType="begin"/>
      </w:r>
      <w:r w:rsidR="005D66AB" w:rsidRPr="3249B42A">
        <w:rPr>
          <w:rFonts w:asciiTheme="minorHAnsi" w:eastAsia="TimesNewRoman" w:hAnsiTheme="minorHAnsi" w:cs="TimesNewRoman"/>
          <w:color w:val="000000"/>
        </w:rPr>
        <w:instrText xml:space="preserve"> NOTEREF _Ref54093901 \f \h </w:instrText>
      </w:r>
      <w:r w:rsidR="005D66AB" w:rsidRPr="3249B42A">
        <w:rPr>
          <w:rFonts w:asciiTheme="minorHAnsi" w:eastAsia="TimesNewRoman" w:hAnsiTheme="minorHAnsi" w:cs="TimesNewRoman"/>
          <w:color w:val="000000"/>
        </w:rPr>
      </w:r>
      <w:r w:rsidR="005D66AB" w:rsidRPr="3249B42A">
        <w:rPr>
          <w:rFonts w:asciiTheme="minorHAnsi" w:eastAsia="TimesNewRoman" w:hAnsiTheme="minorHAnsi" w:cs="TimesNewRoman"/>
          <w:color w:val="000000"/>
        </w:rPr>
        <w:fldChar w:fldCharType="separate"/>
      </w:r>
      <w:r w:rsidR="00AD63FD" w:rsidRPr="00AD63FD">
        <w:rPr>
          <w:rStyle w:val="FootnoteReference"/>
        </w:rPr>
        <w:t>8</w:t>
      </w:r>
      <w:r w:rsidR="005D66AB" w:rsidRPr="3249B42A">
        <w:rPr>
          <w:rFonts w:asciiTheme="minorHAnsi" w:eastAsia="TimesNewRoman" w:hAnsiTheme="minorHAnsi" w:cs="TimesNewRoman"/>
          <w:color w:val="000000"/>
        </w:rPr>
        <w:fldChar w:fldCharType="end"/>
      </w:r>
      <w:r w:rsidRPr="3249B42A">
        <w:rPr>
          <w:rFonts w:asciiTheme="minorHAnsi" w:eastAsia="TimesNewRoman" w:hAnsiTheme="minorHAnsi" w:cs="TimesNewRoman"/>
          <w:color w:val="000000"/>
        </w:rPr>
        <w:t xml:space="preserve"> is a once daily, fixed </w:t>
      </w:r>
      <w:r w:rsidR="00C26669" w:rsidRPr="3249B42A">
        <w:rPr>
          <w:rFonts w:asciiTheme="minorHAnsi" w:eastAsia="TimesNewRoman" w:hAnsiTheme="minorHAnsi" w:cs="TimesNewRoman"/>
          <w:color w:val="000000"/>
        </w:rPr>
        <w:t xml:space="preserve">dose combination of a LABA and an ICS delivered by the </w:t>
      </w:r>
      <w:bookmarkStart w:id="19" w:name="_Ref55282123"/>
      <w:r w:rsidR="009E391B">
        <w:rPr>
          <w:rFonts w:asciiTheme="minorHAnsi" w:eastAsia="TimesNewRoman" w:hAnsiTheme="minorHAnsi" w:cs="TimesNewRoman"/>
          <w:color w:val="000000" w:themeColor="text1"/>
        </w:rPr>
        <w:t>Concept1Breezhaler device;</w:t>
      </w:r>
      <w:r w:rsidR="00946021">
        <w:rPr>
          <w:rStyle w:val="FootnoteReference"/>
          <w:rFonts w:asciiTheme="minorHAnsi" w:eastAsia="TimesNewRoman" w:hAnsiTheme="minorHAnsi" w:cs="TimesNewRoman"/>
          <w:color w:val="000000" w:themeColor="text1"/>
        </w:rPr>
        <w:footnoteReference w:id="8"/>
      </w:r>
      <w:bookmarkEnd w:id="19"/>
      <w:r w:rsidR="009E391B">
        <w:rPr>
          <w:rFonts w:asciiTheme="minorHAnsi" w:eastAsia="TimesNewRoman" w:hAnsiTheme="minorHAnsi" w:cs="TimesNewRoman"/>
          <w:color w:val="000000" w:themeColor="text1"/>
        </w:rPr>
        <w:t xml:space="preserve"> </w:t>
      </w:r>
      <w:r w:rsidR="00DB14F2">
        <w:rPr>
          <w:rFonts w:asciiTheme="minorHAnsi" w:eastAsia="TimesNewRoman" w:hAnsiTheme="minorHAnsi" w:cs="TimesNewRoman"/>
          <w:color w:val="000000"/>
        </w:rPr>
        <w:t xml:space="preserve">(also known </w:t>
      </w:r>
      <w:proofErr w:type="spellStart"/>
      <w:r w:rsidR="00DB14F2">
        <w:rPr>
          <w:rFonts w:asciiTheme="minorHAnsi" w:eastAsia="TimesNewRoman" w:hAnsiTheme="minorHAnsi" w:cs="TimesNewRoman"/>
          <w:color w:val="000000"/>
        </w:rPr>
        <w:t>as</w:t>
      </w:r>
      <w:r w:rsidR="00F27416" w:rsidRPr="3249B42A">
        <w:rPr>
          <w:rFonts w:asciiTheme="minorHAnsi" w:eastAsia="TimesNewRoman" w:hAnsiTheme="minorHAnsi" w:cs="TimesNewRoman"/>
          <w:color w:val="000000"/>
        </w:rPr>
        <w:t>Breezhaler</w:t>
      </w:r>
      <w:proofErr w:type="spellEnd"/>
      <w:r w:rsidRPr="3249B42A">
        <w:rPr>
          <w:rFonts w:asciiTheme="minorHAnsi" w:eastAsia="TimesNewRoman" w:hAnsiTheme="minorHAnsi" w:cs="TimesNewRoman"/>
          <w:color w:val="000000"/>
        </w:rPr>
        <w:t xml:space="preserve"> device</w:t>
      </w:r>
      <w:r w:rsidR="00DB14F2">
        <w:rPr>
          <w:rFonts w:asciiTheme="minorHAnsi" w:eastAsia="TimesNewRoman" w:hAnsiTheme="minorHAnsi" w:cs="TimesNewRoman"/>
          <w:color w:val="000000"/>
        </w:rPr>
        <w:t>)</w:t>
      </w:r>
      <w:r w:rsidRPr="3249B42A">
        <w:rPr>
          <w:rFonts w:asciiTheme="minorHAnsi" w:eastAsia="TimesNewRoman" w:hAnsiTheme="minorHAnsi" w:cs="TimesNewRoman"/>
          <w:color w:val="000000"/>
        </w:rPr>
        <w:t xml:space="preserve">, a unit </w:t>
      </w:r>
      <w:r w:rsidR="00C26669" w:rsidRPr="3249B42A">
        <w:rPr>
          <w:rFonts w:asciiTheme="minorHAnsi" w:eastAsia="TimesNewRoman" w:hAnsiTheme="minorHAnsi" w:cs="TimesNewRoman"/>
          <w:color w:val="000000"/>
        </w:rPr>
        <w:t>dose dry powder inhaler (UDDPI).</w:t>
      </w:r>
      <w:bookmarkStart w:id="20" w:name="_Ref54093901"/>
      <w:r w:rsidR="007E339F" w:rsidRPr="3249B42A">
        <w:rPr>
          <w:rStyle w:val="FootnoteReference"/>
          <w:rFonts w:asciiTheme="minorHAnsi" w:eastAsia="TimesNewRoman" w:hAnsiTheme="minorHAnsi" w:cs="TimesNewRoman"/>
          <w:color w:val="000000"/>
        </w:rPr>
        <w:footnoteReference w:id="9"/>
      </w:r>
      <w:bookmarkEnd w:id="20"/>
      <w:r w:rsidR="00C26669" w:rsidRPr="3249B42A">
        <w:rPr>
          <w:rFonts w:asciiTheme="minorHAnsi" w:eastAsia="TimesNewRoman" w:hAnsiTheme="minorHAnsi" w:cs="TimesNewRoman"/>
        </w:rPr>
        <w:t xml:space="preserve"> The two individual components of QMF149</w:t>
      </w:r>
      <w:r w:rsidR="005D66AB" w:rsidRPr="3249B42A">
        <w:rPr>
          <w:rFonts w:asciiTheme="minorHAnsi" w:eastAsia="TimesNewRoman" w:hAnsiTheme="minorHAnsi" w:cs="TimesNewRoman"/>
          <w:color w:val="000000"/>
        </w:rPr>
        <w:t>;</w:t>
      </w:r>
      <w:r w:rsidR="005D66AB" w:rsidRPr="3249B42A">
        <w:rPr>
          <w:rFonts w:asciiTheme="minorHAnsi" w:eastAsia="TimesNewRoman" w:hAnsiTheme="minorHAnsi" w:cs="TimesNewRoman"/>
          <w:color w:val="000000"/>
        </w:rPr>
        <w:fldChar w:fldCharType="begin"/>
      </w:r>
      <w:r w:rsidR="005D66AB" w:rsidRPr="3249B42A">
        <w:rPr>
          <w:rFonts w:asciiTheme="minorHAnsi" w:eastAsia="TimesNewRoman" w:hAnsiTheme="minorHAnsi" w:cs="TimesNewRoman"/>
          <w:color w:val="000000"/>
        </w:rPr>
        <w:instrText xml:space="preserve"> NOTEREF _Ref54093901 \f \h </w:instrText>
      </w:r>
      <w:r w:rsidR="005D66AB" w:rsidRPr="3249B42A">
        <w:rPr>
          <w:rFonts w:asciiTheme="minorHAnsi" w:eastAsia="TimesNewRoman" w:hAnsiTheme="minorHAnsi" w:cs="TimesNewRoman"/>
          <w:color w:val="000000"/>
        </w:rPr>
      </w:r>
      <w:r w:rsidR="005D66AB" w:rsidRPr="3249B42A">
        <w:rPr>
          <w:rFonts w:asciiTheme="minorHAnsi" w:eastAsia="TimesNewRoman" w:hAnsiTheme="minorHAnsi" w:cs="TimesNewRoman"/>
          <w:color w:val="000000"/>
        </w:rPr>
        <w:fldChar w:fldCharType="separate"/>
      </w:r>
      <w:r w:rsidR="00AD63FD" w:rsidRPr="00AD63FD">
        <w:rPr>
          <w:rStyle w:val="FootnoteReference"/>
        </w:rPr>
        <w:t>8</w:t>
      </w:r>
      <w:r w:rsidR="005D66AB" w:rsidRPr="3249B42A">
        <w:rPr>
          <w:rFonts w:asciiTheme="minorHAnsi" w:eastAsia="TimesNewRoman" w:hAnsiTheme="minorHAnsi" w:cs="TimesNewRoman"/>
          <w:color w:val="000000"/>
        </w:rPr>
        <w:fldChar w:fldCharType="end"/>
      </w:r>
      <w:r w:rsidR="00C26669" w:rsidRPr="3249B42A">
        <w:rPr>
          <w:rFonts w:asciiTheme="minorHAnsi" w:eastAsia="TimesNewRoman" w:hAnsiTheme="minorHAnsi" w:cs="TimesNewRoman"/>
        </w:rPr>
        <w:t xml:space="preserve">, </w:t>
      </w:r>
      <w:proofErr w:type="spellStart"/>
      <w:r w:rsidR="00C26669" w:rsidRPr="3249B42A">
        <w:rPr>
          <w:rFonts w:asciiTheme="minorHAnsi" w:eastAsia="TimesNewRoman" w:hAnsiTheme="minorHAnsi" w:cs="TimesNewRoman"/>
        </w:rPr>
        <w:t>indacaterol</w:t>
      </w:r>
      <w:proofErr w:type="spellEnd"/>
      <w:r w:rsidR="00C26669" w:rsidRPr="3249B42A">
        <w:rPr>
          <w:rFonts w:asciiTheme="minorHAnsi" w:eastAsia="TimesNewRoman" w:hAnsiTheme="minorHAnsi" w:cs="TimesNewRoman"/>
        </w:rPr>
        <w:t xml:space="preserve"> and </w:t>
      </w:r>
      <w:proofErr w:type="spellStart"/>
      <w:r w:rsidR="002C4A18" w:rsidRPr="3249B42A">
        <w:rPr>
          <w:rFonts w:asciiTheme="minorHAnsi" w:eastAsia="TimesNewRoman" w:hAnsiTheme="minorHAnsi" w:cs="TimesNewRoman"/>
        </w:rPr>
        <w:t>mometasone</w:t>
      </w:r>
      <w:proofErr w:type="spellEnd"/>
      <w:r w:rsidR="002C4A18" w:rsidRPr="3249B42A">
        <w:rPr>
          <w:rFonts w:asciiTheme="minorHAnsi" w:eastAsia="TimesNewRoman" w:hAnsiTheme="minorHAnsi" w:cs="TimesNewRoman"/>
        </w:rPr>
        <w:t xml:space="preserve"> </w:t>
      </w:r>
      <w:proofErr w:type="spellStart"/>
      <w:r w:rsidR="002C4A18" w:rsidRPr="3249B42A">
        <w:rPr>
          <w:rFonts w:asciiTheme="minorHAnsi" w:eastAsia="TimesNewRoman" w:hAnsiTheme="minorHAnsi" w:cs="TimesNewRoman"/>
        </w:rPr>
        <w:t>furoate</w:t>
      </w:r>
      <w:proofErr w:type="spellEnd"/>
      <w:r w:rsidR="00C26669" w:rsidRPr="3249B42A">
        <w:rPr>
          <w:rFonts w:asciiTheme="minorHAnsi" w:eastAsia="TimesNewRoman" w:hAnsiTheme="minorHAnsi" w:cs="TimesNewRoman"/>
        </w:rPr>
        <w:t xml:space="preserve"> are widely authoris</w:t>
      </w:r>
      <w:r w:rsidR="00995B23" w:rsidRPr="3249B42A">
        <w:rPr>
          <w:rFonts w:asciiTheme="minorHAnsi" w:eastAsia="TimesNewRoman" w:hAnsiTheme="minorHAnsi" w:cs="TimesNewRoman"/>
        </w:rPr>
        <w:t>ed (including in E</w:t>
      </w:r>
      <w:r w:rsidR="004B71F8" w:rsidRPr="3249B42A">
        <w:rPr>
          <w:rFonts w:asciiTheme="minorHAnsi" w:eastAsia="TimesNewRoman" w:hAnsiTheme="minorHAnsi" w:cs="TimesNewRoman"/>
        </w:rPr>
        <w:t>uropean Union (EU)</w:t>
      </w:r>
      <w:r w:rsidR="00995B23" w:rsidRPr="3249B42A">
        <w:rPr>
          <w:rFonts w:asciiTheme="minorHAnsi" w:eastAsia="TimesNewRoman" w:hAnsiTheme="minorHAnsi" w:cs="TimesNewRoman"/>
        </w:rPr>
        <w:t xml:space="preserve"> and</w:t>
      </w:r>
      <w:r w:rsidR="00C26669" w:rsidRPr="3249B42A">
        <w:rPr>
          <w:rFonts w:asciiTheme="minorHAnsi" w:eastAsia="TimesNewRoman" w:hAnsiTheme="minorHAnsi" w:cs="TimesNewRoman"/>
        </w:rPr>
        <w:t xml:space="preserve"> Canada) as monotherapies or as combination products with other monotherapies for the treatment of either COPD or asthma. </w:t>
      </w:r>
      <w:proofErr w:type="spellStart"/>
      <w:r w:rsidR="00C26669" w:rsidRPr="3249B42A">
        <w:rPr>
          <w:rFonts w:asciiTheme="minorHAnsi" w:eastAsia="TimesNewRoman" w:hAnsiTheme="minorHAnsi" w:cs="TimesNewRoman"/>
        </w:rPr>
        <w:t>Indacaterol</w:t>
      </w:r>
      <w:proofErr w:type="spellEnd"/>
      <w:r w:rsidR="00C26669" w:rsidRPr="3249B42A">
        <w:rPr>
          <w:rFonts w:asciiTheme="minorHAnsi" w:eastAsia="TimesNewRoman" w:hAnsiTheme="minorHAnsi" w:cs="TimesNewRoman"/>
        </w:rPr>
        <w:t xml:space="preserve"> is a potent and nearly full agonist at the human </w:t>
      </w:r>
      <w:r w:rsidR="00AD2D09">
        <w:rPr>
          <w:rFonts w:asciiTheme="minorHAnsi" w:eastAsia="TimesNewRoman" w:hAnsiTheme="minorHAnsi" w:cs="TimesNewRoman"/>
        </w:rPr>
        <w:t xml:space="preserve">beta 2 </w:t>
      </w:r>
      <w:proofErr w:type="spellStart"/>
      <w:r w:rsidR="00AD2D09">
        <w:rPr>
          <w:rFonts w:asciiTheme="minorHAnsi" w:eastAsia="TimesNewRoman" w:hAnsiTheme="minorHAnsi" w:cs="TimesNewRoman"/>
        </w:rPr>
        <w:t>adrenoceptor</w:t>
      </w:r>
      <w:proofErr w:type="spellEnd"/>
      <w:r w:rsidR="00AD2D09">
        <w:rPr>
          <w:rFonts w:asciiTheme="minorHAnsi" w:eastAsia="TimesNewRoman" w:hAnsiTheme="minorHAnsi" w:cs="TimesNewRoman"/>
        </w:rPr>
        <w:t xml:space="preserve"> (</w:t>
      </w:r>
      <w:r w:rsidR="00BB6202" w:rsidRPr="3249B42A">
        <w:rPr>
          <w:rFonts w:asciiTheme="minorHAnsi" w:eastAsiaTheme="minorEastAsia" w:hAnsiTheme="minorHAnsi" w:cs="TimesNewRoman"/>
        </w:rPr>
        <w:t>β</w:t>
      </w:r>
      <w:r w:rsidR="00BB6202" w:rsidRPr="3249B42A">
        <w:rPr>
          <w:rFonts w:asciiTheme="minorHAnsi" w:eastAsiaTheme="minorEastAsia" w:hAnsiTheme="minorHAnsi" w:cs="TimesNewRoman"/>
          <w:vertAlign w:val="subscript"/>
        </w:rPr>
        <w:t>2</w:t>
      </w:r>
      <w:r w:rsidR="00AD2D09">
        <w:rPr>
          <w:rFonts w:asciiTheme="minorHAnsi" w:eastAsia="TimesNewRoman" w:hAnsiTheme="minorHAnsi" w:cs="TimesNewRoman"/>
        </w:rPr>
        <w:t>AR)</w:t>
      </w:r>
      <w:r w:rsidR="00C26669" w:rsidRPr="3249B42A">
        <w:rPr>
          <w:rFonts w:asciiTheme="minorHAnsi" w:eastAsia="TimesNewRoman" w:hAnsiTheme="minorHAnsi" w:cs="TimesNewRoman"/>
        </w:rPr>
        <w:t xml:space="preserve"> demonstrated to have a rapid onset of action (in isolated human bronchus), similar to salbutamol and formoterol. </w:t>
      </w:r>
      <w:proofErr w:type="spellStart"/>
      <w:r w:rsidR="00C26669" w:rsidRPr="3249B42A">
        <w:rPr>
          <w:rFonts w:asciiTheme="minorHAnsi" w:eastAsia="TimesNewRoman" w:hAnsiTheme="minorHAnsi" w:cs="TimesNewRoman"/>
          <w:color w:val="000000"/>
        </w:rPr>
        <w:t>Mometasone</w:t>
      </w:r>
      <w:proofErr w:type="spellEnd"/>
      <w:r w:rsidR="00C26669" w:rsidRPr="3249B42A">
        <w:rPr>
          <w:rFonts w:asciiTheme="minorHAnsi" w:eastAsia="TimesNewRoman" w:hAnsiTheme="minorHAnsi" w:cs="TimesNewRoman"/>
          <w:color w:val="000000"/>
        </w:rPr>
        <w:t xml:space="preserve"> </w:t>
      </w:r>
      <w:proofErr w:type="spellStart"/>
      <w:r w:rsidR="00C26669" w:rsidRPr="3249B42A">
        <w:rPr>
          <w:rFonts w:asciiTheme="minorHAnsi" w:eastAsia="TimesNewRoman" w:hAnsiTheme="minorHAnsi" w:cs="TimesNewRoman"/>
          <w:color w:val="000000"/>
        </w:rPr>
        <w:t>furoate</w:t>
      </w:r>
      <w:proofErr w:type="spellEnd"/>
      <w:r w:rsidR="00C26669" w:rsidRPr="3249B42A">
        <w:rPr>
          <w:rFonts w:asciiTheme="minorHAnsi" w:eastAsia="TimesNewRoman" w:hAnsiTheme="minorHAnsi" w:cs="TimesNewRoman"/>
          <w:color w:val="000000"/>
        </w:rPr>
        <w:t xml:space="preserve"> is a synthetic corticosteroid with high affinity for glucocorticoid receptors and anti-inflammatory properties. Studies in asthmatic </w:t>
      </w:r>
      <w:r w:rsidR="00C26669" w:rsidRPr="3249B42A">
        <w:rPr>
          <w:rFonts w:asciiTheme="minorHAnsi" w:eastAsia="TimesNewRoman" w:hAnsiTheme="minorHAnsi" w:cs="TimesNewRoman"/>
        </w:rPr>
        <w:t xml:space="preserve">patients have demonstrated that inhaled </w:t>
      </w:r>
      <w:proofErr w:type="spellStart"/>
      <w:r w:rsidR="002C4A18" w:rsidRPr="3249B42A">
        <w:rPr>
          <w:rFonts w:asciiTheme="minorHAnsi" w:eastAsia="TimesNewRoman" w:hAnsiTheme="minorHAnsi" w:cs="TimesNewRoman"/>
        </w:rPr>
        <w:t>mometasone</w:t>
      </w:r>
      <w:proofErr w:type="spellEnd"/>
      <w:r w:rsidR="002C4A18" w:rsidRPr="3249B42A">
        <w:rPr>
          <w:rFonts w:asciiTheme="minorHAnsi" w:eastAsia="TimesNewRoman" w:hAnsiTheme="minorHAnsi" w:cs="TimesNewRoman"/>
        </w:rPr>
        <w:t xml:space="preserve"> </w:t>
      </w:r>
      <w:proofErr w:type="spellStart"/>
      <w:r w:rsidR="002C4A18" w:rsidRPr="3249B42A">
        <w:rPr>
          <w:rFonts w:asciiTheme="minorHAnsi" w:eastAsia="TimesNewRoman" w:hAnsiTheme="minorHAnsi" w:cs="TimesNewRoman"/>
        </w:rPr>
        <w:t>furoate</w:t>
      </w:r>
      <w:proofErr w:type="spellEnd"/>
      <w:r w:rsidR="00C26669" w:rsidRPr="3249B42A">
        <w:rPr>
          <w:rFonts w:asciiTheme="minorHAnsi" w:eastAsia="TimesNewRoman" w:hAnsiTheme="minorHAnsi" w:cs="TimesNewRoman"/>
        </w:rPr>
        <w:t xml:space="preserve"> provides a favourable ratio of</w:t>
      </w:r>
      <w:r w:rsidR="007E339F" w:rsidRPr="3249B42A">
        <w:rPr>
          <w:rFonts w:asciiTheme="minorHAnsi" w:eastAsia="TimesNewRoman" w:hAnsiTheme="minorHAnsi" w:cs="TimesNewRoman"/>
        </w:rPr>
        <w:t xml:space="preserve"> pulmonary to systemic activity.</w:t>
      </w:r>
      <w:r w:rsidR="007E339F" w:rsidRPr="3249B42A">
        <w:rPr>
          <w:rStyle w:val="FootnoteReference"/>
          <w:rFonts w:asciiTheme="minorHAnsi" w:eastAsia="TimesNewRoman" w:hAnsiTheme="minorHAnsi" w:cs="TimesNewRoman"/>
        </w:rPr>
        <w:footnoteReference w:id="10"/>
      </w:r>
      <w:r w:rsidR="007E339F" w:rsidRPr="3249B42A">
        <w:rPr>
          <w:rFonts w:asciiTheme="minorHAnsi" w:eastAsia="TimesNewRoman" w:hAnsiTheme="minorHAnsi" w:cs="TimesNewRoman"/>
          <w:vertAlign w:val="superscript"/>
        </w:rPr>
        <w:t>,</w:t>
      </w:r>
      <w:r w:rsidR="007E339F" w:rsidRPr="3249B42A">
        <w:rPr>
          <w:rStyle w:val="FootnoteReference"/>
          <w:rFonts w:asciiTheme="minorHAnsi" w:eastAsia="TimesNewRoman" w:hAnsiTheme="minorHAnsi" w:cs="TimesNewRoman"/>
        </w:rPr>
        <w:footnoteReference w:id="11"/>
      </w:r>
      <w:r w:rsidR="00C26669" w:rsidRPr="3249B42A">
        <w:rPr>
          <w:rFonts w:asciiTheme="minorHAnsi" w:eastAsia="TimesNewRoman" w:hAnsiTheme="minorHAnsi" w:cs="TimesNewRoman"/>
        </w:rPr>
        <w:t xml:space="preserve"> While there is clear evidence of lung function benefit as an expression of its anti-inflammatory primary pharmacodynamics, inhaled </w:t>
      </w:r>
      <w:proofErr w:type="spellStart"/>
      <w:r w:rsidR="002C4A18" w:rsidRPr="3249B42A">
        <w:rPr>
          <w:rFonts w:asciiTheme="minorHAnsi" w:eastAsia="TimesNewRoman" w:hAnsiTheme="minorHAnsi" w:cs="TimesNewRoman"/>
        </w:rPr>
        <w:t>mometasone</w:t>
      </w:r>
      <w:proofErr w:type="spellEnd"/>
      <w:r w:rsidR="002C4A18" w:rsidRPr="3249B42A">
        <w:rPr>
          <w:rFonts w:asciiTheme="minorHAnsi" w:eastAsia="TimesNewRoman" w:hAnsiTheme="minorHAnsi" w:cs="TimesNewRoman"/>
        </w:rPr>
        <w:t xml:space="preserve"> </w:t>
      </w:r>
      <w:proofErr w:type="spellStart"/>
      <w:r w:rsidR="002C4A18" w:rsidRPr="3249B42A">
        <w:rPr>
          <w:rFonts w:asciiTheme="minorHAnsi" w:eastAsia="TimesNewRoman" w:hAnsiTheme="minorHAnsi" w:cs="TimesNewRoman"/>
        </w:rPr>
        <w:t>furoate</w:t>
      </w:r>
      <w:proofErr w:type="spellEnd"/>
      <w:r w:rsidR="00C26669" w:rsidRPr="3249B42A">
        <w:rPr>
          <w:rFonts w:asciiTheme="minorHAnsi" w:eastAsia="TimesNewRoman" w:hAnsiTheme="minorHAnsi" w:cs="TimesNewRoman"/>
        </w:rPr>
        <w:t xml:space="preserve"> is devoid of clinically relevant systemic steroid effects as expected from an inhaled drug with low oral bioavailability and low overall systemic exposure. </w:t>
      </w:r>
      <w:proofErr w:type="spellStart"/>
      <w:r w:rsidR="00C26669" w:rsidRPr="3249B42A">
        <w:rPr>
          <w:rFonts w:asciiTheme="minorHAnsi" w:eastAsia="TimesNewRoman" w:hAnsiTheme="minorHAnsi" w:cs="TimesNewRoman"/>
        </w:rPr>
        <w:t>Mometasone</w:t>
      </w:r>
      <w:proofErr w:type="spellEnd"/>
      <w:r w:rsidR="00C26669" w:rsidRPr="3249B42A">
        <w:rPr>
          <w:rFonts w:asciiTheme="minorHAnsi" w:eastAsia="TimesNewRoman" w:hAnsiTheme="minorHAnsi" w:cs="TimesNewRoman"/>
        </w:rPr>
        <w:t xml:space="preserve"> </w:t>
      </w:r>
      <w:proofErr w:type="spellStart"/>
      <w:r w:rsidR="00C26669" w:rsidRPr="3249B42A">
        <w:rPr>
          <w:rFonts w:asciiTheme="minorHAnsi" w:eastAsia="TimesNewRoman" w:hAnsiTheme="minorHAnsi" w:cs="TimesNewRoman"/>
        </w:rPr>
        <w:t>furoate</w:t>
      </w:r>
      <w:proofErr w:type="spellEnd"/>
      <w:r w:rsidR="00C26669" w:rsidRPr="3249B42A">
        <w:rPr>
          <w:rFonts w:asciiTheme="minorHAnsi" w:eastAsia="TimesNewRoman" w:hAnsiTheme="minorHAnsi" w:cs="TimesNewRoman"/>
        </w:rPr>
        <w:t xml:space="preserve"> is authorised as inhalation, nasal, cream, ointment and lotion formulations. The inhalation powder formul</w:t>
      </w:r>
      <w:r w:rsidR="004B71F8" w:rsidRPr="3249B42A">
        <w:rPr>
          <w:rFonts w:asciiTheme="minorHAnsi" w:eastAsia="TimesNewRoman" w:hAnsiTheme="minorHAnsi" w:cs="TimesNewRoman"/>
        </w:rPr>
        <w:t xml:space="preserve">ation </w:t>
      </w:r>
      <w:r w:rsidR="00AD2D09">
        <w:rPr>
          <w:rFonts w:asciiTheme="minorHAnsi" w:eastAsia="TimesNewRoman" w:hAnsiTheme="minorHAnsi" w:cs="TimesNewRoman"/>
        </w:rPr>
        <w:t xml:space="preserve">is </w:t>
      </w:r>
      <w:r w:rsidR="004B71F8" w:rsidRPr="3249B42A">
        <w:rPr>
          <w:rFonts w:asciiTheme="minorHAnsi" w:eastAsia="TimesNewRoman" w:hAnsiTheme="minorHAnsi" w:cs="TimesNewRoman"/>
        </w:rPr>
        <w:t>administered once daily. or BID</w:t>
      </w:r>
      <w:r w:rsidR="00C26669" w:rsidRPr="3249B42A">
        <w:rPr>
          <w:rFonts w:asciiTheme="minorHAnsi" w:eastAsia="TimesNewRoman" w:hAnsiTheme="minorHAnsi" w:cs="TimesNewRoman"/>
        </w:rPr>
        <w:t>. as a multi-dose dry powder inhaler (</w:t>
      </w:r>
      <w:proofErr w:type="spellStart"/>
      <w:r w:rsidR="00C26669" w:rsidRPr="3249B42A">
        <w:rPr>
          <w:rFonts w:asciiTheme="minorHAnsi" w:eastAsia="TimesNewRoman" w:hAnsiTheme="minorHAnsi" w:cs="TimesNewRoman"/>
        </w:rPr>
        <w:t>Twisthaler</w:t>
      </w:r>
      <w:proofErr w:type="spellEnd"/>
      <w:r w:rsidR="00C26669" w:rsidRPr="3249B42A">
        <w:rPr>
          <w:rFonts w:asciiTheme="minorHAnsi" w:eastAsia="TimesNewRoman" w:hAnsiTheme="minorHAnsi" w:cs="TimesNewRoman"/>
        </w:rPr>
        <w:t xml:space="preserve"> device) is widely authorised for the treatment of asthma in adults and adolescents ≥ 12 years of age.</w:t>
      </w:r>
    </w:p>
    <w:p w14:paraId="4A70991C" w14:textId="4E3AA2ED" w:rsidR="00C26669" w:rsidRPr="00C26669" w:rsidRDefault="00C26669" w:rsidP="00C26669">
      <w:pPr>
        <w:autoSpaceDE w:val="0"/>
        <w:autoSpaceDN w:val="0"/>
        <w:adjustRightInd w:val="0"/>
        <w:spacing w:before="0" w:line="240" w:lineRule="auto"/>
        <w:rPr>
          <w:rFonts w:asciiTheme="minorHAnsi" w:eastAsia="TimesNewRoman" w:hAnsiTheme="minorHAnsi" w:cs="TimesNewRoman"/>
          <w:color w:val="000000"/>
        </w:rPr>
      </w:pPr>
      <w:r w:rsidRPr="007968C1">
        <w:rPr>
          <w:rFonts w:asciiTheme="minorHAnsi" w:eastAsia="TimesNewRoman" w:hAnsiTheme="minorHAnsi" w:cs="TimesNewRoman"/>
        </w:rPr>
        <w:t>Three strengths of QMF149</w:t>
      </w:r>
      <w:r w:rsidR="00995B23">
        <w:rPr>
          <w:rFonts w:asciiTheme="minorHAnsi" w:eastAsia="TimesNewRoman" w:hAnsiTheme="minorHAnsi" w:cs="TimesNewRoman"/>
        </w:rPr>
        <w:t>;</w:t>
      </w:r>
      <w:r w:rsidR="00995B23">
        <w:rPr>
          <w:rFonts w:asciiTheme="minorHAnsi" w:eastAsia="TimesNewRoman" w:hAnsiTheme="minorHAnsi" w:cs="TimesNewRoman"/>
        </w:rPr>
        <w:fldChar w:fldCharType="begin"/>
      </w:r>
      <w:r w:rsidR="00995B23">
        <w:rPr>
          <w:rFonts w:asciiTheme="minorHAnsi" w:eastAsia="TimesNewRoman" w:hAnsiTheme="minorHAnsi" w:cs="TimesNewRoman"/>
        </w:rPr>
        <w:instrText xml:space="preserve"> NOTEREF _Ref54093901 \f \h </w:instrText>
      </w:r>
      <w:r w:rsidR="00995B23">
        <w:rPr>
          <w:rFonts w:asciiTheme="minorHAnsi" w:eastAsia="TimesNewRoman" w:hAnsiTheme="minorHAnsi" w:cs="TimesNewRoman"/>
        </w:rPr>
      </w:r>
      <w:r w:rsidR="00995B23">
        <w:rPr>
          <w:rFonts w:asciiTheme="minorHAnsi" w:eastAsia="TimesNewRoman" w:hAnsiTheme="minorHAnsi" w:cs="TimesNewRoman"/>
        </w:rPr>
        <w:fldChar w:fldCharType="separate"/>
      </w:r>
      <w:r w:rsidR="00AD63FD" w:rsidRPr="00AD63FD">
        <w:rPr>
          <w:rStyle w:val="FootnoteReference"/>
        </w:rPr>
        <w:t>8</w:t>
      </w:r>
      <w:r w:rsidR="00995B23">
        <w:rPr>
          <w:rFonts w:asciiTheme="minorHAnsi" w:eastAsia="TimesNewRoman" w:hAnsiTheme="minorHAnsi" w:cs="TimesNewRoman"/>
        </w:rPr>
        <w:fldChar w:fldCharType="end"/>
      </w:r>
      <w:r w:rsidRPr="007968C1">
        <w:rPr>
          <w:rFonts w:asciiTheme="minorHAnsi" w:eastAsia="TimesNewRoman" w:hAnsiTheme="minorHAnsi" w:cs="TimesNewRoman"/>
        </w:rPr>
        <w:t xml:space="preserve"> are proposed for registration:</w:t>
      </w:r>
      <w:r w:rsidRPr="007968C1">
        <w:rPr>
          <w:rFonts w:asciiTheme="minorHAnsi" w:eastAsia="TimesNewRoman" w:hAnsiTheme="minorHAnsi" w:cs="Symbol"/>
        </w:rPr>
        <w:t xml:space="preserve"> </w:t>
      </w:r>
      <w:r w:rsidRPr="007968C1">
        <w:rPr>
          <w:rFonts w:asciiTheme="minorHAnsi" w:eastAsia="TimesNewRoman" w:hAnsiTheme="minorHAnsi" w:cs="TimesNewRoman"/>
        </w:rPr>
        <w:t xml:space="preserve">QMF149 150/320 µg (LABA/high dose ICS); QMF149 150/160 µg (LABA/medium dose ICS); </w:t>
      </w:r>
      <w:r w:rsidR="00AD2D09">
        <w:rPr>
          <w:rFonts w:asciiTheme="minorHAnsi" w:eastAsia="TimesNewRoman" w:hAnsiTheme="minorHAnsi" w:cs="TimesNewRoman"/>
        </w:rPr>
        <w:t xml:space="preserve">and </w:t>
      </w:r>
      <w:r w:rsidRPr="007968C1">
        <w:rPr>
          <w:rFonts w:asciiTheme="minorHAnsi" w:eastAsia="TimesNewRoman" w:hAnsiTheme="minorHAnsi" w:cs="TimesNewRoman"/>
        </w:rPr>
        <w:t xml:space="preserve">QMF149 150/80 µg (LABA/low dose ICS). The range of doses will provide flexibility for physicians </w:t>
      </w:r>
      <w:r w:rsidRPr="007968C1">
        <w:rPr>
          <w:rFonts w:asciiTheme="minorHAnsi" w:eastAsia="TimesNewRoman" w:hAnsiTheme="minorHAnsi" w:cs="TimesNewRoman"/>
        </w:rPr>
        <w:lastRenderedPageBreak/>
        <w:t>to titrate ICS dose strengths accordingly to achieve asthma control</w:t>
      </w:r>
      <w:r w:rsidR="008B46F3">
        <w:rPr>
          <w:rFonts w:asciiTheme="minorHAnsi" w:eastAsia="TimesNewRoman" w:hAnsiTheme="minorHAnsi" w:cs="TimesNewRoman"/>
        </w:rPr>
        <w:t xml:space="preserve"> which is in line with the step </w:t>
      </w:r>
      <w:r w:rsidRPr="007968C1">
        <w:rPr>
          <w:rFonts w:asciiTheme="minorHAnsi" w:eastAsia="TimesNewRoman" w:hAnsiTheme="minorHAnsi" w:cs="TimesNewRoman"/>
        </w:rPr>
        <w:t>wise approach to asthma treatment outlined in</w:t>
      </w:r>
      <w:r w:rsidR="007E339F">
        <w:rPr>
          <w:rFonts w:asciiTheme="minorHAnsi" w:eastAsia="TimesNewRoman" w:hAnsiTheme="minorHAnsi" w:cs="TimesNewRoman"/>
        </w:rPr>
        <w:t xml:space="preserve"> the GINA guidelines.</w:t>
      </w:r>
      <w:r w:rsidR="007E339F">
        <w:rPr>
          <w:rFonts w:asciiTheme="minorHAnsi" w:eastAsia="TimesNewRoman" w:hAnsiTheme="minorHAnsi" w:cs="TimesNewRoman"/>
        </w:rPr>
        <w:fldChar w:fldCharType="begin"/>
      </w:r>
      <w:r w:rsidR="007E339F">
        <w:rPr>
          <w:rFonts w:asciiTheme="minorHAnsi" w:eastAsia="TimesNewRoman" w:hAnsiTheme="minorHAnsi" w:cs="TimesNewRoman"/>
        </w:rPr>
        <w:instrText xml:space="preserve"> NOTEREF _Ref53492964 \f \h </w:instrText>
      </w:r>
      <w:r w:rsidR="007E339F">
        <w:rPr>
          <w:rFonts w:asciiTheme="minorHAnsi" w:eastAsia="TimesNewRoman" w:hAnsiTheme="minorHAnsi" w:cs="TimesNewRoman"/>
        </w:rPr>
      </w:r>
      <w:r w:rsidR="007E339F">
        <w:rPr>
          <w:rFonts w:asciiTheme="minorHAnsi" w:eastAsia="TimesNewRoman" w:hAnsiTheme="minorHAnsi" w:cs="TimesNewRoman"/>
        </w:rPr>
        <w:fldChar w:fldCharType="separate"/>
      </w:r>
      <w:r w:rsidR="00AD63FD" w:rsidRPr="00AD63FD">
        <w:rPr>
          <w:rStyle w:val="FootnoteReference"/>
        </w:rPr>
        <w:t>6</w:t>
      </w:r>
      <w:r w:rsidR="007E339F">
        <w:rPr>
          <w:rFonts w:asciiTheme="minorHAnsi" w:eastAsia="TimesNewRoman" w:hAnsiTheme="minorHAnsi" w:cs="TimesNewRoman"/>
        </w:rPr>
        <w:fldChar w:fldCharType="end"/>
      </w:r>
      <w:r w:rsidRPr="007968C1">
        <w:rPr>
          <w:rFonts w:asciiTheme="minorHAnsi" w:eastAsia="TimesNewRoman" w:hAnsiTheme="minorHAnsi" w:cs="TimesNewRoman"/>
        </w:rPr>
        <w:t xml:space="preserve"> </w:t>
      </w:r>
      <w:r w:rsidRPr="00F5582E">
        <w:rPr>
          <w:rFonts w:asciiTheme="minorHAnsi" w:eastAsia="TimesNewRoman" w:hAnsiTheme="minorHAnsi" w:cs="TimesNewRoman"/>
          <w:color w:val="000000"/>
        </w:rPr>
        <w:t>A once daily regimen may also provide</w:t>
      </w:r>
      <w:r>
        <w:rPr>
          <w:rFonts w:asciiTheme="minorHAnsi" w:eastAsia="TimesNewRoman" w:hAnsiTheme="minorHAnsi" w:cs="TimesNewRoman"/>
          <w:color w:val="000000"/>
        </w:rPr>
        <w:t xml:space="preserve"> </w:t>
      </w:r>
      <w:r w:rsidRPr="00F5582E">
        <w:rPr>
          <w:rFonts w:asciiTheme="minorHAnsi" w:eastAsia="TimesNewRoman" w:hAnsiTheme="minorHAnsi" w:cs="TimesNewRoman"/>
          <w:color w:val="000000"/>
        </w:rPr>
        <w:t>adherence benefits compared to bid regimen.</w:t>
      </w:r>
    </w:p>
    <w:p w14:paraId="5CAE9D0A" w14:textId="77777777" w:rsidR="008E7846" w:rsidRPr="003F31A2" w:rsidRDefault="00386150" w:rsidP="008E7846">
      <w:pPr>
        <w:pStyle w:val="Heading3"/>
      </w:pPr>
      <w:bookmarkStart w:id="21" w:name="_Toc314842485"/>
      <w:bookmarkStart w:id="22" w:name="_Toc247691504"/>
      <w:bookmarkStart w:id="23" w:name="_Toc57282598"/>
      <w:r>
        <w:t>Regulatory s</w:t>
      </w:r>
      <w:r w:rsidR="008E7846">
        <w:t>tatus</w:t>
      </w:r>
      <w:bookmarkEnd w:id="21"/>
      <w:bookmarkEnd w:id="22"/>
      <w:bookmarkEnd w:id="23"/>
    </w:p>
    <w:p w14:paraId="31CB689E" w14:textId="77777777" w:rsidR="00940A89" w:rsidRDefault="00006FAB" w:rsidP="00940A89">
      <w:bookmarkStart w:id="24" w:name="_Toc247691505"/>
      <w:bookmarkStart w:id="25" w:name="_Toc314842486"/>
      <w:r w:rsidRPr="00006FAB">
        <w:t xml:space="preserve">This product is considered a new </w:t>
      </w:r>
      <w:r w:rsidR="00F27416">
        <w:t xml:space="preserve">combination of </w:t>
      </w:r>
      <w:r w:rsidR="00F27416" w:rsidRPr="00F27416">
        <w:t xml:space="preserve">active ingredients </w:t>
      </w:r>
      <w:r w:rsidRPr="00006FAB">
        <w:t>for Australian regulatory purposes.</w:t>
      </w:r>
    </w:p>
    <w:p w14:paraId="63794306" w14:textId="6368DDE3" w:rsidR="00940A89" w:rsidRDefault="00006FAB" w:rsidP="00722006">
      <w:r>
        <w:t xml:space="preserve">At the time the TGA considered this application, a similar application had been approved in </w:t>
      </w:r>
      <w:r w:rsidR="00AD2D09">
        <w:t>European Union (</w:t>
      </w:r>
      <w:r w:rsidR="004B71F8">
        <w:t>EU</w:t>
      </w:r>
      <w:r w:rsidR="00AD2D09">
        <w:t>)</w:t>
      </w:r>
      <w:r w:rsidR="00722006">
        <w:t xml:space="preserve"> on </w:t>
      </w:r>
      <w:r w:rsidR="00AA4428">
        <w:t xml:space="preserve">30 </w:t>
      </w:r>
      <w:r w:rsidR="002E7125">
        <w:t xml:space="preserve">May </w:t>
      </w:r>
      <w:r w:rsidR="006F2526">
        <w:t>2020</w:t>
      </w:r>
      <w:r w:rsidR="00A80C4A">
        <w:t>,</w:t>
      </w:r>
      <w:r w:rsidR="006F2526">
        <w:t xml:space="preserve"> in Canada</w:t>
      </w:r>
      <w:r w:rsidR="00A80C4A">
        <w:t xml:space="preserve"> on 6</w:t>
      </w:r>
      <w:r w:rsidR="00C248D5">
        <w:t xml:space="preserve"> </w:t>
      </w:r>
      <w:r w:rsidR="00A80C4A">
        <w:t xml:space="preserve">May 2020 and </w:t>
      </w:r>
      <w:r w:rsidR="00886788">
        <w:t xml:space="preserve">was </w:t>
      </w:r>
      <w:r w:rsidR="00A80C4A">
        <w:t>under consideration in Switzerland</w:t>
      </w:r>
      <w:r w:rsidR="00E0190A">
        <w:t>.</w:t>
      </w:r>
    </w:p>
    <w:p w14:paraId="3E0D1DEA" w14:textId="4D60F7BB" w:rsidR="00FD7C21" w:rsidRDefault="00FD7C21" w:rsidP="00FD7C21">
      <w:pPr>
        <w:pStyle w:val="TableTitle"/>
      </w:pPr>
      <w:r w:rsidRPr="00FD7C21">
        <w:t xml:space="preserve">Table </w:t>
      </w:r>
      <w:r>
        <w:fldChar w:fldCharType="begin"/>
      </w:r>
      <w:r>
        <w:instrText>SEQ Table \* ARABIC</w:instrText>
      </w:r>
      <w:r>
        <w:fldChar w:fldCharType="separate"/>
      </w:r>
      <w:r w:rsidR="00AD63FD">
        <w:rPr>
          <w:noProof/>
        </w:rPr>
        <w:t>1</w:t>
      </w:r>
      <w:r>
        <w:fldChar w:fldCharType="end"/>
      </w:r>
      <w:r>
        <w:t xml:space="preserve"> </w:t>
      </w:r>
      <w:r w:rsidRPr="00FD7C21">
        <w:t>International regulatory status of</w:t>
      </w:r>
      <w:r>
        <w:t xml:space="preserve"> </w:t>
      </w:r>
      <w:proofErr w:type="spellStart"/>
      <w:r>
        <w:t>Atectura</w:t>
      </w:r>
      <w:proofErr w:type="spellEnd"/>
      <w:r>
        <w:t xml:space="preserve"> </w:t>
      </w:r>
      <w:proofErr w:type="spellStart"/>
      <w:r w:rsidR="00AA4428">
        <w:t>B</w:t>
      </w:r>
      <w:r>
        <w:t>reezhaler</w:t>
      </w:r>
      <w:proofErr w:type="spellEnd"/>
    </w:p>
    <w:tbl>
      <w:tblPr>
        <w:tblStyle w:val="TableTGAblue"/>
        <w:tblW w:w="0" w:type="auto"/>
        <w:tblLook w:val="04A0" w:firstRow="1" w:lastRow="0" w:firstColumn="1" w:lastColumn="0" w:noHBand="0" w:noVBand="1"/>
      </w:tblPr>
      <w:tblGrid>
        <w:gridCol w:w="1271"/>
        <w:gridCol w:w="1985"/>
        <w:gridCol w:w="1701"/>
        <w:gridCol w:w="3537"/>
      </w:tblGrid>
      <w:tr w:rsidR="00006FAB" w14:paraId="5B87FC06" w14:textId="77777777" w:rsidTr="00C248D5">
        <w:trPr>
          <w:cnfStyle w:val="100000000000" w:firstRow="1" w:lastRow="0" w:firstColumn="0" w:lastColumn="0" w:oddVBand="0" w:evenVBand="0" w:oddHBand="0" w:evenHBand="0" w:firstRowFirstColumn="0" w:firstRowLastColumn="0" w:lastRowFirstColumn="0" w:lastRowLastColumn="0"/>
        </w:trPr>
        <w:tc>
          <w:tcPr>
            <w:tcW w:w="1271" w:type="dxa"/>
            <w:tcBorders>
              <w:top w:val="single" w:sz="4" w:space="0" w:color="auto"/>
              <w:left w:val="single" w:sz="4" w:space="0" w:color="auto"/>
              <w:bottom w:val="single" w:sz="4" w:space="0" w:color="auto"/>
              <w:right w:val="single" w:sz="4" w:space="0" w:color="auto"/>
            </w:tcBorders>
          </w:tcPr>
          <w:p w14:paraId="18416098" w14:textId="77777777" w:rsidR="00006FAB" w:rsidRDefault="00006FAB" w:rsidP="00006FAB">
            <w:pPr>
              <w:ind w:left="0" w:right="0"/>
            </w:pPr>
            <w:r>
              <w:t>Region</w:t>
            </w:r>
          </w:p>
        </w:tc>
        <w:tc>
          <w:tcPr>
            <w:tcW w:w="1985" w:type="dxa"/>
            <w:tcBorders>
              <w:top w:val="single" w:sz="4" w:space="0" w:color="auto"/>
              <w:left w:val="single" w:sz="4" w:space="0" w:color="auto"/>
              <w:bottom w:val="single" w:sz="4" w:space="0" w:color="auto"/>
              <w:right w:val="single" w:sz="4" w:space="0" w:color="auto"/>
            </w:tcBorders>
          </w:tcPr>
          <w:p w14:paraId="1F235EBE" w14:textId="77777777" w:rsidR="00006FAB" w:rsidRDefault="00006FAB" w:rsidP="00006FAB">
            <w:pPr>
              <w:ind w:left="0" w:right="0"/>
            </w:pPr>
            <w:r>
              <w:t>Submission date</w:t>
            </w:r>
          </w:p>
        </w:tc>
        <w:tc>
          <w:tcPr>
            <w:tcW w:w="1701" w:type="dxa"/>
            <w:tcBorders>
              <w:top w:val="single" w:sz="4" w:space="0" w:color="auto"/>
              <w:left w:val="single" w:sz="4" w:space="0" w:color="auto"/>
              <w:bottom w:val="single" w:sz="4" w:space="0" w:color="auto"/>
              <w:right w:val="single" w:sz="4" w:space="0" w:color="auto"/>
            </w:tcBorders>
          </w:tcPr>
          <w:p w14:paraId="2AF6695B" w14:textId="77777777" w:rsidR="00006FAB" w:rsidRDefault="00006FAB" w:rsidP="00006FAB">
            <w:pPr>
              <w:ind w:left="0" w:right="0"/>
            </w:pPr>
            <w:r>
              <w:t>Status</w:t>
            </w:r>
          </w:p>
        </w:tc>
        <w:tc>
          <w:tcPr>
            <w:tcW w:w="3537" w:type="dxa"/>
            <w:tcBorders>
              <w:top w:val="single" w:sz="4" w:space="0" w:color="auto"/>
              <w:left w:val="single" w:sz="4" w:space="0" w:color="auto"/>
              <w:bottom w:val="single" w:sz="4" w:space="0" w:color="auto"/>
              <w:right w:val="single" w:sz="4" w:space="0" w:color="auto"/>
            </w:tcBorders>
          </w:tcPr>
          <w:p w14:paraId="4A3482BA" w14:textId="77777777" w:rsidR="00006FAB" w:rsidRDefault="00006FAB" w:rsidP="00006FAB">
            <w:pPr>
              <w:ind w:left="0" w:right="0"/>
            </w:pPr>
            <w:r>
              <w:t>Approved indications</w:t>
            </w:r>
          </w:p>
        </w:tc>
      </w:tr>
      <w:tr w:rsidR="00006FAB" w14:paraId="11477775" w14:textId="77777777" w:rsidTr="00C248D5">
        <w:tc>
          <w:tcPr>
            <w:tcW w:w="1271" w:type="dxa"/>
            <w:tcBorders>
              <w:top w:val="single" w:sz="4" w:space="0" w:color="auto"/>
            </w:tcBorders>
          </w:tcPr>
          <w:p w14:paraId="0ADC65F3" w14:textId="77777777" w:rsidR="00006FAB" w:rsidRDefault="004B71F8" w:rsidP="00006FAB">
            <w:pPr>
              <w:ind w:left="0" w:right="0"/>
            </w:pPr>
            <w:r>
              <w:t>EU</w:t>
            </w:r>
          </w:p>
        </w:tc>
        <w:tc>
          <w:tcPr>
            <w:tcW w:w="1985" w:type="dxa"/>
            <w:tcBorders>
              <w:top w:val="single" w:sz="4" w:space="0" w:color="auto"/>
            </w:tcBorders>
          </w:tcPr>
          <w:p w14:paraId="443FC0BE" w14:textId="77777777" w:rsidR="00006FAB" w:rsidRDefault="006F2526" w:rsidP="00006FAB">
            <w:pPr>
              <w:ind w:left="0" w:right="0"/>
            </w:pPr>
            <w:r>
              <w:t>May 2019</w:t>
            </w:r>
          </w:p>
        </w:tc>
        <w:tc>
          <w:tcPr>
            <w:tcW w:w="1701" w:type="dxa"/>
            <w:tcBorders>
              <w:top w:val="single" w:sz="4" w:space="0" w:color="auto"/>
            </w:tcBorders>
          </w:tcPr>
          <w:p w14:paraId="5CD20BF8" w14:textId="77777777" w:rsidR="00006FAB" w:rsidRDefault="006F2526" w:rsidP="00243513">
            <w:pPr>
              <w:ind w:left="0" w:right="0"/>
            </w:pPr>
            <w:r>
              <w:t>Approved on 30 May 2020</w:t>
            </w:r>
          </w:p>
        </w:tc>
        <w:tc>
          <w:tcPr>
            <w:tcW w:w="3537" w:type="dxa"/>
            <w:tcBorders>
              <w:top w:val="single" w:sz="4" w:space="0" w:color="auto"/>
            </w:tcBorders>
          </w:tcPr>
          <w:p w14:paraId="012205DC" w14:textId="77777777" w:rsidR="00006FAB" w:rsidRPr="00FD7C21" w:rsidRDefault="00FD7C21" w:rsidP="00FD7C21">
            <w:pPr>
              <w:ind w:left="0"/>
              <w:rPr>
                <w:i/>
              </w:rPr>
            </w:pPr>
            <w:proofErr w:type="spellStart"/>
            <w:r w:rsidRPr="00FD7C21">
              <w:rPr>
                <w:i/>
              </w:rPr>
              <w:t>Atectura</w:t>
            </w:r>
            <w:proofErr w:type="spellEnd"/>
            <w:r w:rsidRPr="00FD7C21">
              <w:rPr>
                <w:i/>
              </w:rPr>
              <w:t xml:space="preserve"> </w:t>
            </w:r>
            <w:proofErr w:type="spellStart"/>
            <w:r w:rsidRPr="00FD7C21">
              <w:rPr>
                <w:i/>
              </w:rPr>
              <w:t>Breezhaler</w:t>
            </w:r>
            <w:proofErr w:type="spellEnd"/>
            <w:r w:rsidRPr="00FD7C21">
              <w:rPr>
                <w:i/>
              </w:rPr>
              <w:t xml:space="preserve"> is indicated as a maintenance treatment of asthma in adults and adolescents 12 years of age and older not adequately controlled with inhaled corticosteroids and inhaled short-acting</w:t>
            </w:r>
            <w:r w:rsidRPr="004C404D">
              <w:rPr>
                <w:i/>
              </w:rPr>
              <w:t xml:space="preserve"> </w:t>
            </w:r>
            <w:r w:rsidR="004C404D" w:rsidRPr="004C404D">
              <w:rPr>
                <w:i/>
              </w:rPr>
              <w:t>beta</w:t>
            </w:r>
            <w:r w:rsidR="004C404D" w:rsidRPr="004C404D">
              <w:rPr>
                <w:i/>
                <w:vertAlign w:val="subscript"/>
              </w:rPr>
              <w:t>2</w:t>
            </w:r>
            <w:r w:rsidRPr="00FD7C21">
              <w:rPr>
                <w:i/>
              </w:rPr>
              <w:t>-agonists.</w:t>
            </w:r>
          </w:p>
        </w:tc>
      </w:tr>
      <w:tr w:rsidR="00006FAB" w14:paraId="5CEEDF32" w14:textId="77777777" w:rsidTr="00C248D5">
        <w:tc>
          <w:tcPr>
            <w:tcW w:w="1271" w:type="dxa"/>
          </w:tcPr>
          <w:p w14:paraId="7DBE6F42" w14:textId="77777777" w:rsidR="00006FAB" w:rsidRDefault="00E0190A" w:rsidP="00006FAB">
            <w:pPr>
              <w:ind w:left="0" w:right="0"/>
            </w:pPr>
            <w:r>
              <w:t>Canada</w:t>
            </w:r>
          </w:p>
        </w:tc>
        <w:tc>
          <w:tcPr>
            <w:tcW w:w="1985" w:type="dxa"/>
          </w:tcPr>
          <w:p w14:paraId="0DBF45AE" w14:textId="1E9824CC" w:rsidR="00006FAB" w:rsidRDefault="00AA4428" w:rsidP="00006FAB">
            <w:pPr>
              <w:ind w:left="0" w:right="0"/>
            </w:pPr>
            <w:r>
              <w:t>22</w:t>
            </w:r>
            <w:r w:rsidR="00E0190A">
              <w:t xml:space="preserve"> May 2020</w:t>
            </w:r>
          </w:p>
        </w:tc>
        <w:tc>
          <w:tcPr>
            <w:tcW w:w="1701" w:type="dxa"/>
          </w:tcPr>
          <w:p w14:paraId="7DE0E878" w14:textId="06AC58BB" w:rsidR="00006FAB" w:rsidRDefault="00AA4428" w:rsidP="00AA4428">
            <w:pPr>
              <w:ind w:left="0" w:right="0"/>
            </w:pPr>
            <w:r>
              <w:t xml:space="preserve">Approved on 06 May 2020 </w:t>
            </w:r>
          </w:p>
        </w:tc>
        <w:tc>
          <w:tcPr>
            <w:tcW w:w="3537" w:type="dxa"/>
          </w:tcPr>
          <w:p w14:paraId="04877DB9" w14:textId="3AE7F728" w:rsidR="00006FAB" w:rsidRDefault="00AA4428" w:rsidP="00C248D5">
            <w:pPr>
              <w:ind w:left="0"/>
            </w:pPr>
            <w:proofErr w:type="spellStart"/>
            <w:r w:rsidRPr="00AA4428">
              <w:rPr>
                <w:i/>
              </w:rPr>
              <w:t>Atectura</w:t>
            </w:r>
            <w:proofErr w:type="spellEnd"/>
            <w:r w:rsidRPr="00AA4428">
              <w:rPr>
                <w:i/>
              </w:rPr>
              <w:t xml:space="preserve"> </w:t>
            </w:r>
            <w:proofErr w:type="spellStart"/>
            <w:r w:rsidRPr="00AA4428">
              <w:rPr>
                <w:i/>
              </w:rPr>
              <w:t>Breezhaler</w:t>
            </w:r>
            <w:proofErr w:type="spellEnd"/>
            <w:r w:rsidRPr="00AA4428">
              <w:rPr>
                <w:i/>
              </w:rPr>
              <w:t xml:space="preserve"> is indicated as a </w:t>
            </w:r>
            <w:r w:rsidRPr="00DB14F2">
              <w:rPr>
                <w:i/>
                <w:lang w:val="en-US"/>
              </w:rPr>
              <w:t xml:space="preserve">maintenance treatment of asthma </w:t>
            </w:r>
            <w:r w:rsidRPr="00DB14F2">
              <w:rPr>
                <w:bCs/>
                <w:i/>
                <w:lang w:val="en-US"/>
              </w:rPr>
              <w:t xml:space="preserve">in adults and adolescents 12 years of age and older </w:t>
            </w:r>
            <w:r w:rsidRPr="00DB14F2">
              <w:rPr>
                <w:i/>
                <w:lang w:val="en-US"/>
              </w:rPr>
              <w:t>with reversible obstructive airways disease. Should be prescribed for patients not adequately controlled on a long-term asthma control medication, such as ICS or whose disease severity</w:t>
            </w:r>
            <w:r w:rsidRPr="00AA4428">
              <w:rPr>
                <w:lang w:val="en-US"/>
              </w:rPr>
              <w:t xml:space="preserve"> </w:t>
            </w:r>
            <w:r w:rsidRPr="00DB14F2">
              <w:rPr>
                <w:i/>
                <w:lang w:val="en-US"/>
              </w:rPr>
              <w:t>clearly warrants treatment with both a LABA and an ICS.”</w:t>
            </w:r>
          </w:p>
        </w:tc>
      </w:tr>
      <w:tr w:rsidR="0079040B" w14:paraId="62117D22" w14:textId="77777777" w:rsidTr="00C248D5">
        <w:tc>
          <w:tcPr>
            <w:tcW w:w="1271" w:type="dxa"/>
          </w:tcPr>
          <w:p w14:paraId="52F57BD2" w14:textId="77777777" w:rsidR="0079040B" w:rsidRDefault="0079040B" w:rsidP="00DB14F2">
            <w:pPr>
              <w:ind w:left="0"/>
            </w:pPr>
            <w:r>
              <w:t>Japan</w:t>
            </w:r>
          </w:p>
        </w:tc>
        <w:tc>
          <w:tcPr>
            <w:tcW w:w="1985" w:type="dxa"/>
          </w:tcPr>
          <w:p w14:paraId="2E9C0E64" w14:textId="01DA217A" w:rsidR="0079040B" w:rsidRDefault="0095551A" w:rsidP="00C248D5">
            <w:pPr>
              <w:ind w:left="0"/>
            </w:pPr>
            <w:r>
              <w:t>30 July 2019</w:t>
            </w:r>
          </w:p>
        </w:tc>
        <w:tc>
          <w:tcPr>
            <w:tcW w:w="1701" w:type="dxa"/>
          </w:tcPr>
          <w:p w14:paraId="33E0E9C5" w14:textId="77777777" w:rsidR="0079040B" w:rsidRDefault="0079040B" w:rsidP="00DB14F2">
            <w:pPr>
              <w:ind w:left="0"/>
            </w:pPr>
            <w:r>
              <w:t>Approved on 29 June 2020</w:t>
            </w:r>
          </w:p>
        </w:tc>
        <w:tc>
          <w:tcPr>
            <w:tcW w:w="3537" w:type="dxa"/>
          </w:tcPr>
          <w:p w14:paraId="5675036E" w14:textId="12E7ED9C" w:rsidR="0079040B" w:rsidRPr="00F724A1" w:rsidRDefault="0095551A" w:rsidP="00C248D5">
            <w:pPr>
              <w:ind w:left="0"/>
              <w:rPr>
                <w:i/>
                <w:lang w:val="en-US"/>
              </w:rPr>
            </w:pPr>
            <w:r w:rsidRPr="0095551A">
              <w:rPr>
                <w:i/>
                <w:lang w:val="en-US"/>
              </w:rPr>
              <w:t>“Bronchial asthma (in case requiring combination use of inhaled corticosteroids and inhaled long-acting β2-agonists)”</w:t>
            </w:r>
          </w:p>
        </w:tc>
      </w:tr>
    </w:tbl>
    <w:p w14:paraId="53FA69F3" w14:textId="77777777" w:rsidR="008E7846" w:rsidRDefault="008E7846" w:rsidP="00940A89">
      <w:pPr>
        <w:pStyle w:val="Heading3"/>
      </w:pPr>
      <w:bookmarkStart w:id="26" w:name="_Toc57282599"/>
      <w:r>
        <w:t>Product Information</w:t>
      </w:r>
      <w:bookmarkEnd w:id="24"/>
      <w:bookmarkEnd w:id="25"/>
      <w:bookmarkEnd w:id="26"/>
    </w:p>
    <w:p w14:paraId="48BF7EFF" w14:textId="1C0C95AE" w:rsidR="00940A89" w:rsidRDefault="006136D7" w:rsidP="00940A89">
      <w:bookmarkStart w:id="27" w:name="_Toc247691506"/>
      <w:bookmarkStart w:id="28" w:name="_Toc314842487"/>
      <w:r w:rsidRPr="00940A89">
        <w:t xml:space="preserve">The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9" w:history="1">
        <w:r w:rsidR="00441C3F" w:rsidRPr="00441C3F">
          <w:rPr>
            <w:rStyle w:val="Hyperlink"/>
          </w:rPr>
          <w:t>https://www.tga.gov.au/product-information-pi</w:t>
        </w:r>
      </w:hyperlink>
      <w:r w:rsidR="00441C3F">
        <w:t>&gt;</w:t>
      </w:r>
      <w:r w:rsidR="00940A89" w:rsidRPr="00940A89">
        <w:t>.</w:t>
      </w:r>
    </w:p>
    <w:p w14:paraId="7577CFCE" w14:textId="77777777" w:rsidR="00500337" w:rsidRDefault="00500337" w:rsidP="00500337">
      <w:pPr>
        <w:pStyle w:val="Heading2"/>
      </w:pPr>
      <w:bookmarkStart w:id="29" w:name="_Toc504480011"/>
      <w:bookmarkStart w:id="30" w:name="_Toc57282600"/>
      <w:r>
        <w:lastRenderedPageBreak/>
        <w:t>II. Registration timeline</w:t>
      </w:r>
      <w:bookmarkEnd w:id="29"/>
      <w:bookmarkEnd w:id="30"/>
    </w:p>
    <w:p w14:paraId="106C0381" w14:textId="77777777" w:rsidR="00500337" w:rsidRDefault="00500337" w:rsidP="00500337">
      <w:r>
        <w:t>The following table captures the key steps and dates for this application and which are detailed and discussed in this AusPAR.</w:t>
      </w:r>
    </w:p>
    <w:p w14:paraId="1ACF3479" w14:textId="21EB1F42" w:rsidR="00500337" w:rsidRPr="00377BD4" w:rsidRDefault="00EB790C" w:rsidP="00EB790C">
      <w:pPr>
        <w:pStyle w:val="TableTitle"/>
      </w:pPr>
      <w:r w:rsidRPr="00EB790C">
        <w:t xml:space="preserve">Table </w:t>
      </w:r>
      <w:r>
        <w:fldChar w:fldCharType="begin"/>
      </w:r>
      <w:r>
        <w:instrText>SEQ Table \* ARABIC</w:instrText>
      </w:r>
      <w:r>
        <w:fldChar w:fldCharType="separate"/>
      </w:r>
      <w:r w:rsidR="00AD63FD">
        <w:rPr>
          <w:noProof/>
        </w:rPr>
        <w:t>2</w:t>
      </w:r>
      <w:r>
        <w:fldChar w:fldCharType="end"/>
      </w:r>
      <w:r w:rsidR="00006FAB">
        <w:t>:</w:t>
      </w:r>
      <w:r w:rsidR="006A58A8" w:rsidRPr="006A58A8">
        <w:t xml:space="preserve"> Timeline f</w:t>
      </w:r>
      <w:r>
        <w:t>or Submission PM-2019-02513-1-5</w:t>
      </w:r>
    </w:p>
    <w:tbl>
      <w:tblPr>
        <w:tblStyle w:val="TableTGAblue"/>
        <w:tblW w:w="0" w:type="auto"/>
        <w:tblLook w:val="04A0" w:firstRow="1" w:lastRow="0" w:firstColumn="1" w:lastColumn="0" w:noHBand="0" w:noVBand="1"/>
      </w:tblPr>
      <w:tblGrid>
        <w:gridCol w:w="6374"/>
        <w:gridCol w:w="2120"/>
      </w:tblGrid>
      <w:tr w:rsidR="00500337" w14:paraId="377A297B" w14:textId="77777777" w:rsidTr="00C248D5">
        <w:trPr>
          <w:cnfStyle w:val="100000000000" w:firstRow="1" w:lastRow="0" w:firstColumn="0" w:lastColumn="0" w:oddVBand="0" w:evenVBand="0" w:oddHBand="0" w:evenHBand="0" w:firstRowFirstColumn="0" w:firstRowLastColumn="0" w:lastRowFirstColumn="0" w:lastRowLastColumn="0"/>
          <w:cantSplit/>
        </w:trPr>
        <w:tc>
          <w:tcPr>
            <w:tcW w:w="6374" w:type="dxa"/>
            <w:tcBorders>
              <w:top w:val="single" w:sz="4" w:space="0" w:color="auto"/>
              <w:left w:val="single" w:sz="4" w:space="0" w:color="auto"/>
              <w:bottom w:val="single" w:sz="4" w:space="0" w:color="auto"/>
              <w:right w:val="single" w:sz="4" w:space="0" w:color="auto"/>
            </w:tcBorders>
          </w:tcPr>
          <w:p w14:paraId="1A1CB9CF" w14:textId="77777777" w:rsidR="00500337" w:rsidRDefault="00500337" w:rsidP="00500337">
            <w:pPr>
              <w:ind w:left="0" w:right="0"/>
            </w:pPr>
            <w:r>
              <w:t>Description</w:t>
            </w:r>
          </w:p>
        </w:tc>
        <w:tc>
          <w:tcPr>
            <w:tcW w:w="2120" w:type="dxa"/>
            <w:tcBorders>
              <w:top w:val="single" w:sz="4" w:space="0" w:color="auto"/>
              <w:left w:val="single" w:sz="4" w:space="0" w:color="auto"/>
              <w:bottom w:val="single" w:sz="4" w:space="0" w:color="auto"/>
              <w:right w:val="single" w:sz="4" w:space="0" w:color="auto"/>
            </w:tcBorders>
          </w:tcPr>
          <w:p w14:paraId="5B110859" w14:textId="77777777" w:rsidR="00500337" w:rsidRDefault="00500337" w:rsidP="00500337">
            <w:pPr>
              <w:ind w:left="0" w:right="0"/>
            </w:pPr>
            <w:r>
              <w:t>Date</w:t>
            </w:r>
          </w:p>
        </w:tc>
      </w:tr>
      <w:tr w:rsidR="00500337" w14:paraId="4492734C" w14:textId="77777777" w:rsidTr="00C248D5">
        <w:tc>
          <w:tcPr>
            <w:tcW w:w="6374" w:type="dxa"/>
            <w:tcBorders>
              <w:top w:val="single" w:sz="4" w:space="0" w:color="auto"/>
            </w:tcBorders>
          </w:tcPr>
          <w:p w14:paraId="649623C8" w14:textId="77777777" w:rsidR="00500337" w:rsidRDefault="00500337" w:rsidP="00500337">
            <w:pPr>
              <w:ind w:left="0" w:right="0"/>
            </w:pPr>
            <w:r>
              <w:t>Submission dossier accepted and first round evaluation commenced</w:t>
            </w:r>
          </w:p>
        </w:tc>
        <w:tc>
          <w:tcPr>
            <w:tcW w:w="2120" w:type="dxa"/>
            <w:tcBorders>
              <w:top w:val="single" w:sz="4" w:space="0" w:color="auto"/>
            </w:tcBorders>
          </w:tcPr>
          <w:p w14:paraId="6EE79029" w14:textId="77777777" w:rsidR="00500337" w:rsidRDefault="00EB790C" w:rsidP="00500337">
            <w:pPr>
              <w:ind w:left="0" w:right="0"/>
            </w:pPr>
            <w:r>
              <w:t>31 July 2019</w:t>
            </w:r>
          </w:p>
        </w:tc>
      </w:tr>
      <w:tr w:rsidR="00500337" w14:paraId="673EF21C" w14:textId="77777777" w:rsidTr="00C248D5">
        <w:tc>
          <w:tcPr>
            <w:tcW w:w="6374" w:type="dxa"/>
          </w:tcPr>
          <w:p w14:paraId="415E14EF" w14:textId="77777777" w:rsidR="00500337" w:rsidRDefault="00500337" w:rsidP="00500337">
            <w:pPr>
              <w:ind w:left="0" w:right="0"/>
            </w:pPr>
            <w:r>
              <w:t>First round evaluation completed</w:t>
            </w:r>
          </w:p>
        </w:tc>
        <w:tc>
          <w:tcPr>
            <w:tcW w:w="2120" w:type="dxa"/>
          </w:tcPr>
          <w:p w14:paraId="5155E4FF" w14:textId="77777777" w:rsidR="00500337" w:rsidRDefault="00EB790C" w:rsidP="00500337">
            <w:pPr>
              <w:ind w:left="0" w:right="0"/>
            </w:pPr>
            <w:r>
              <w:t>10 February 2020</w:t>
            </w:r>
          </w:p>
        </w:tc>
      </w:tr>
      <w:tr w:rsidR="00500337" w14:paraId="5DB606F6" w14:textId="77777777" w:rsidTr="00C248D5">
        <w:tc>
          <w:tcPr>
            <w:tcW w:w="6374" w:type="dxa"/>
          </w:tcPr>
          <w:p w14:paraId="74DB1674" w14:textId="77777777" w:rsidR="00500337" w:rsidRDefault="00500337" w:rsidP="00500337">
            <w:pPr>
              <w:ind w:left="0" w:right="0"/>
            </w:pPr>
            <w:r>
              <w:t>Sponsor provides responses on questions raised in first round evaluation</w:t>
            </w:r>
          </w:p>
        </w:tc>
        <w:tc>
          <w:tcPr>
            <w:tcW w:w="2120" w:type="dxa"/>
          </w:tcPr>
          <w:p w14:paraId="13F94AC4" w14:textId="77777777" w:rsidR="00500337" w:rsidRDefault="00EB790C" w:rsidP="00500337">
            <w:pPr>
              <w:ind w:left="0" w:right="0"/>
            </w:pPr>
            <w:r>
              <w:t>14 April 2020</w:t>
            </w:r>
          </w:p>
        </w:tc>
      </w:tr>
      <w:tr w:rsidR="00500337" w14:paraId="4A096479" w14:textId="77777777" w:rsidTr="00C248D5">
        <w:tc>
          <w:tcPr>
            <w:tcW w:w="6374" w:type="dxa"/>
          </w:tcPr>
          <w:p w14:paraId="2B35E954" w14:textId="77777777" w:rsidR="00500337" w:rsidRDefault="00500337" w:rsidP="00500337">
            <w:pPr>
              <w:ind w:left="0" w:right="0"/>
            </w:pPr>
            <w:r>
              <w:t>Second round evaluation completed</w:t>
            </w:r>
          </w:p>
        </w:tc>
        <w:tc>
          <w:tcPr>
            <w:tcW w:w="2120" w:type="dxa"/>
          </w:tcPr>
          <w:p w14:paraId="4E450CD0" w14:textId="77777777" w:rsidR="00500337" w:rsidRDefault="00EB790C" w:rsidP="00500337">
            <w:pPr>
              <w:ind w:left="0" w:right="0"/>
            </w:pPr>
            <w:r>
              <w:t>25 May 2020</w:t>
            </w:r>
          </w:p>
        </w:tc>
      </w:tr>
      <w:tr w:rsidR="00500337" w14:paraId="3F9272ED" w14:textId="77777777" w:rsidTr="00C248D5">
        <w:tc>
          <w:tcPr>
            <w:tcW w:w="6374" w:type="dxa"/>
          </w:tcPr>
          <w:p w14:paraId="656058C9" w14:textId="77777777" w:rsidR="00500337" w:rsidRDefault="00500337" w:rsidP="00EB790C">
            <w:pPr>
              <w:ind w:left="0" w:right="0"/>
            </w:pPr>
            <w:r>
              <w:t xml:space="preserve">Delegate’s </w:t>
            </w:r>
            <w:r w:rsidR="00EB790C">
              <w:t>Overall benefit-risk assessment</w:t>
            </w:r>
          </w:p>
        </w:tc>
        <w:tc>
          <w:tcPr>
            <w:tcW w:w="2120" w:type="dxa"/>
          </w:tcPr>
          <w:p w14:paraId="3C3B0743" w14:textId="77777777" w:rsidR="00500337" w:rsidRDefault="00EB790C" w:rsidP="00500337">
            <w:pPr>
              <w:ind w:left="0" w:right="0"/>
            </w:pPr>
            <w:r>
              <w:t>15 June 2020</w:t>
            </w:r>
          </w:p>
        </w:tc>
      </w:tr>
      <w:tr w:rsidR="00500337" w14:paraId="6AB701B6" w14:textId="77777777" w:rsidTr="00C248D5">
        <w:tc>
          <w:tcPr>
            <w:tcW w:w="6374" w:type="dxa"/>
          </w:tcPr>
          <w:p w14:paraId="704FC2EA" w14:textId="77777777" w:rsidR="00500337" w:rsidRDefault="00500337" w:rsidP="00500337">
            <w:pPr>
              <w:ind w:left="0" w:right="0"/>
            </w:pPr>
            <w:r>
              <w:t>Sponsor’s pre-Advisory Committee response</w:t>
            </w:r>
          </w:p>
        </w:tc>
        <w:tc>
          <w:tcPr>
            <w:tcW w:w="2120" w:type="dxa"/>
          </w:tcPr>
          <w:p w14:paraId="3EF57C86" w14:textId="77777777" w:rsidR="00500337" w:rsidRDefault="00EB790C" w:rsidP="00500337">
            <w:pPr>
              <w:ind w:left="0" w:right="0"/>
            </w:pPr>
            <w:r>
              <w:t>Not applicable</w:t>
            </w:r>
          </w:p>
        </w:tc>
      </w:tr>
      <w:tr w:rsidR="00500337" w14:paraId="53B51BAA" w14:textId="77777777" w:rsidTr="00C248D5">
        <w:tc>
          <w:tcPr>
            <w:tcW w:w="6374" w:type="dxa"/>
          </w:tcPr>
          <w:p w14:paraId="09C98594" w14:textId="77777777" w:rsidR="00500337" w:rsidRDefault="00500337" w:rsidP="00500337">
            <w:pPr>
              <w:ind w:left="0" w:right="0"/>
            </w:pPr>
            <w:r>
              <w:t>Advisory Committee meeting</w:t>
            </w:r>
          </w:p>
        </w:tc>
        <w:tc>
          <w:tcPr>
            <w:tcW w:w="2120" w:type="dxa"/>
          </w:tcPr>
          <w:p w14:paraId="131625CE" w14:textId="77777777" w:rsidR="00500337" w:rsidRDefault="00EB790C" w:rsidP="00500337">
            <w:pPr>
              <w:ind w:left="0" w:right="0"/>
            </w:pPr>
            <w:r>
              <w:t>Not applicable</w:t>
            </w:r>
          </w:p>
        </w:tc>
      </w:tr>
      <w:tr w:rsidR="00500337" w14:paraId="0E1E9E11" w14:textId="77777777" w:rsidTr="00C248D5">
        <w:tc>
          <w:tcPr>
            <w:tcW w:w="6374" w:type="dxa"/>
          </w:tcPr>
          <w:p w14:paraId="65F31BB4" w14:textId="77777777" w:rsidR="00500337" w:rsidRDefault="00500337" w:rsidP="00500337">
            <w:pPr>
              <w:ind w:left="0" w:right="0"/>
            </w:pPr>
            <w:r>
              <w:t>Registration decision (Outcome)</w:t>
            </w:r>
          </w:p>
        </w:tc>
        <w:tc>
          <w:tcPr>
            <w:tcW w:w="2120" w:type="dxa"/>
          </w:tcPr>
          <w:p w14:paraId="3A7AA527" w14:textId="77777777" w:rsidR="00500337" w:rsidRDefault="00EB790C" w:rsidP="00500337">
            <w:pPr>
              <w:ind w:left="0" w:right="0"/>
            </w:pPr>
            <w:r>
              <w:t>16 July 2020</w:t>
            </w:r>
          </w:p>
        </w:tc>
      </w:tr>
      <w:tr w:rsidR="00500337" w14:paraId="25194D42" w14:textId="77777777" w:rsidTr="00C248D5">
        <w:tc>
          <w:tcPr>
            <w:tcW w:w="6374" w:type="dxa"/>
          </w:tcPr>
          <w:p w14:paraId="47A29DEF" w14:textId="77777777" w:rsidR="00500337" w:rsidRDefault="00500337" w:rsidP="00500337">
            <w:pPr>
              <w:ind w:left="0" w:right="0"/>
            </w:pPr>
            <w:r>
              <w:t xml:space="preserve">Completion of administrative activities and registration on </w:t>
            </w:r>
            <w:r w:rsidR="00006FAB">
              <w:t xml:space="preserve">the </w:t>
            </w:r>
            <w:r>
              <w:t>ARTG</w:t>
            </w:r>
          </w:p>
        </w:tc>
        <w:tc>
          <w:tcPr>
            <w:tcW w:w="2120" w:type="dxa"/>
          </w:tcPr>
          <w:p w14:paraId="4491B6A9" w14:textId="77777777" w:rsidR="00500337" w:rsidRDefault="00EB790C" w:rsidP="00500337">
            <w:pPr>
              <w:ind w:left="0" w:right="0"/>
            </w:pPr>
            <w:r>
              <w:t>21 July 2020</w:t>
            </w:r>
          </w:p>
        </w:tc>
      </w:tr>
      <w:tr w:rsidR="00500337" w14:paraId="7DF3093E" w14:textId="77777777" w:rsidTr="00C248D5">
        <w:tc>
          <w:tcPr>
            <w:tcW w:w="6374" w:type="dxa"/>
          </w:tcPr>
          <w:p w14:paraId="56B5AAFA" w14:textId="77777777" w:rsidR="00500337" w:rsidRDefault="00500337" w:rsidP="00500337">
            <w:pPr>
              <w:ind w:left="0" w:right="0"/>
            </w:pPr>
            <w:r>
              <w:t>Number of working days from submission dossier acceptance to registration decision*</w:t>
            </w:r>
          </w:p>
        </w:tc>
        <w:tc>
          <w:tcPr>
            <w:tcW w:w="2120" w:type="dxa"/>
          </w:tcPr>
          <w:p w14:paraId="126D1609" w14:textId="77777777" w:rsidR="00500337" w:rsidRDefault="00EB790C" w:rsidP="00500337">
            <w:pPr>
              <w:ind w:left="0" w:right="0"/>
            </w:pPr>
            <w:r>
              <w:t>194</w:t>
            </w:r>
          </w:p>
        </w:tc>
      </w:tr>
    </w:tbl>
    <w:p w14:paraId="6FB695A4"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4A97BA2D" w14:textId="77777777" w:rsidR="008E7846" w:rsidRPr="00792A32" w:rsidRDefault="00456765" w:rsidP="008E7846">
      <w:pPr>
        <w:pStyle w:val="Heading2"/>
      </w:pPr>
      <w:bookmarkStart w:id="31" w:name="_Toc196046504"/>
      <w:bookmarkStart w:id="32" w:name="_Toc247691527"/>
      <w:bookmarkStart w:id="33" w:name="_Toc314842510"/>
      <w:bookmarkStart w:id="34" w:name="_Toc163441390"/>
      <w:bookmarkStart w:id="35" w:name="_Toc57282601"/>
      <w:bookmarkEnd w:id="1"/>
      <w:bookmarkEnd w:id="27"/>
      <w:bookmarkEnd w:id="28"/>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1"/>
      <w:bookmarkEnd w:id="32"/>
      <w:bookmarkEnd w:id="33"/>
      <w:bookmarkEnd w:id="35"/>
    </w:p>
    <w:p w14:paraId="39CE2518" w14:textId="77777777" w:rsidR="00006FAB" w:rsidRDefault="00006FAB" w:rsidP="00006FAB">
      <w:bookmarkStart w:id="36" w:name="_Toc247691528"/>
      <w:r>
        <w:t>The submission was summarised in the following Delegate’s overview and recommendations.</w:t>
      </w:r>
    </w:p>
    <w:p w14:paraId="3471CDE8" w14:textId="77777777" w:rsidR="004C377E" w:rsidRPr="004C377E" w:rsidRDefault="008E7846" w:rsidP="004C377E">
      <w:pPr>
        <w:pStyle w:val="Heading3"/>
      </w:pPr>
      <w:bookmarkStart w:id="37" w:name="_Toc314842511"/>
      <w:bookmarkStart w:id="38" w:name="_Toc57282602"/>
      <w:r>
        <w:t>Quality</w:t>
      </w:r>
      <w:bookmarkEnd w:id="36"/>
      <w:bookmarkEnd w:id="37"/>
      <w:bookmarkEnd w:id="38"/>
    </w:p>
    <w:p w14:paraId="0CF4FC00" w14:textId="2629FB15" w:rsidR="0011170C" w:rsidRPr="004C377E" w:rsidRDefault="0011170C" w:rsidP="0011170C">
      <w:pPr>
        <w:spacing w:before="0" w:after="0" w:line="240" w:lineRule="auto"/>
      </w:pPr>
      <w:r w:rsidRPr="00F71BF0">
        <w:rPr>
          <w:rFonts w:asciiTheme="minorHAnsi" w:hAnsiTheme="minorHAnsi"/>
        </w:rPr>
        <w:t>The pharmaceutical chemistry evaluator has recommended approval of low, m</w:t>
      </w:r>
      <w:r>
        <w:rPr>
          <w:rFonts w:asciiTheme="minorHAnsi" w:hAnsiTheme="minorHAnsi"/>
        </w:rPr>
        <w:t>edium and high dose</w:t>
      </w:r>
      <w:r w:rsidR="00C75CC7">
        <w:rPr>
          <w:rFonts w:asciiTheme="minorHAnsi" w:hAnsiTheme="minorHAnsi"/>
        </w:rPr>
        <w:t>s</w:t>
      </w:r>
      <w:r>
        <w:rPr>
          <w:rFonts w:asciiTheme="minorHAnsi" w:hAnsiTheme="minorHAnsi"/>
        </w:rPr>
        <w:t xml:space="preserve"> of QMF 149</w:t>
      </w:r>
      <w:r w:rsidR="00995B23">
        <w:rPr>
          <w:rFonts w:asciiTheme="minorHAnsi" w:eastAsia="TimesNewRoman" w:hAnsiTheme="minorHAnsi" w:cs="TimesNewRoman"/>
        </w:rPr>
        <w:t>.</w:t>
      </w:r>
      <w:r w:rsidR="00995B23">
        <w:rPr>
          <w:rFonts w:asciiTheme="minorHAnsi" w:eastAsia="TimesNewRoman" w:hAnsiTheme="minorHAnsi" w:cs="TimesNewRoman"/>
        </w:rPr>
        <w:fldChar w:fldCharType="begin"/>
      </w:r>
      <w:r w:rsidR="00995B23">
        <w:rPr>
          <w:rFonts w:asciiTheme="minorHAnsi" w:eastAsia="TimesNewRoman" w:hAnsiTheme="minorHAnsi" w:cs="TimesNewRoman"/>
        </w:rPr>
        <w:instrText xml:space="preserve"> NOTEREF _Ref54093901 \f \h </w:instrText>
      </w:r>
      <w:r w:rsidR="00995B23">
        <w:rPr>
          <w:rFonts w:asciiTheme="minorHAnsi" w:eastAsia="TimesNewRoman" w:hAnsiTheme="minorHAnsi" w:cs="TimesNewRoman"/>
        </w:rPr>
      </w:r>
      <w:r w:rsidR="00995B23">
        <w:rPr>
          <w:rFonts w:asciiTheme="minorHAnsi" w:eastAsia="TimesNewRoman" w:hAnsiTheme="minorHAnsi" w:cs="TimesNewRoman"/>
        </w:rPr>
        <w:fldChar w:fldCharType="separate"/>
      </w:r>
      <w:r w:rsidR="00AD63FD" w:rsidRPr="00AD63FD">
        <w:rPr>
          <w:rStyle w:val="FootnoteReference"/>
        </w:rPr>
        <w:t>8</w:t>
      </w:r>
      <w:r w:rsidR="00995B23">
        <w:rPr>
          <w:rFonts w:asciiTheme="minorHAnsi" w:eastAsia="TimesNewRoman" w:hAnsiTheme="minorHAnsi" w:cs="TimesNewRoman"/>
        </w:rPr>
        <w:fldChar w:fldCharType="end"/>
      </w:r>
      <w:r>
        <w:rPr>
          <w:rFonts w:asciiTheme="minorHAnsi" w:hAnsiTheme="minorHAnsi"/>
        </w:rPr>
        <w:t xml:space="preserve"> </w:t>
      </w:r>
      <w:r w:rsidRPr="00F71BF0">
        <w:rPr>
          <w:rFonts w:asciiTheme="minorHAnsi" w:hAnsiTheme="minorHAnsi"/>
        </w:rPr>
        <w:t xml:space="preserve">The evaluator has </w:t>
      </w:r>
      <w:r>
        <w:rPr>
          <w:rFonts w:asciiTheme="minorHAnsi" w:hAnsiTheme="minorHAnsi"/>
        </w:rPr>
        <w:t xml:space="preserve">recommended to use the ‘delivered dose’ </w:t>
      </w:r>
      <w:r w:rsidRPr="00F71BF0">
        <w:rPr>
          <w:rFonts w:asciiTheme="minorHAnsi" w:hAnsiTheme="minorHAnsi"/>
        </w:rPr>
        <w:t>of mono component</w:t>
      </w:r>
      <w:r>
        <w:rPr>
          <w:rFonts w:asciiTheme="minorHAnsi" w:hAnsiTheme="minorHAnsi"/>
        </w:rPr>
        <w:t>s for labelling of the products.</w:t>
      </w:r>
      <w:r w:rsidR="00995B23">
        <w:t xml:space="preserve"> All outstanding quality, manufacturing and </w:t>
      </w:r>
      <w:r>
        <w:t>labelling issues have been resolved.</w:t>
      </w:r>
      <w:r w:rsidR="00AB14E6">
        <w:t xml:space="preserve"> Figures 1 and 2 (shown below) give the chemical structures of the </w:t>
      </w:r>
      <w:proofErr w:type="spellStart"/>
      <w:r w:rsidR="00AB14E6">
        <w:t>indacaterol</w:t>
      </w:r>
      <w:proofErr w:type="spellEnd"/>
      <w:r w:rsidR="00AB14E6">
        <w:t xml:space="preserve"> acetate and </w:t>
      </w:r>
      <w:proofErr w:type="spellStart"/>
      <w:r w:rsidR="00AB14E6">
        <w:t>mometasone</w:t>
      </w:r>
      <w:proofErr w:type="spellEnd"/>
      <w:r w:rsidR="00AB14E6">
        <w:t xml:space="preserve"> </w:t>
      </w:r>
      <w:proofErr w:type="spellStart"/>
      <w:r w:rsidR="00AB14E6">
        <w:t>furoate</w:t>
      </w:r>
      <w:proofErr w:type="spellEnd"/>
      <w:r w:rsidR="00AB14E6">
        <w:t xml:space="preserve"> components respectively.</w:t>
      </w:r>
    </w:p>
    <w:p w14:paraId="2D7440C0" w14:textId="5AA513A1" w:rsidR="00E45619" w:rsidRDefault="00105BEC" w:rsidP="00105BEC">
      <w:pPr>
        <w:pStyle w:val="FigureTitle"/>
      </w:pPr>
      <w:r w:rsidRPr="00105BEC">
        <w:lastRenderedPageBreak/>
        <w:t xml:space="preserve">Figure </w:t>
      </w:r>
      <w:r>
        <w:fldChar w:fldCharType="begin"/>
      </w:r>
      <w:r>
        <w:instrText>SEQ Figure \* ARABIC</w:instrText>
      </w:r>
      <w:r>
        <w:fldChar w:fldCharType="separate"/>
      </w:r>
      <w:r w:rsidR="00AD63FD">
        <w:rPr>
          <w:noProof/>
        </w:rPr>
        <w:t>1</w:t>
      </w:r>
      <w:r>
        <w:fldChar w:fldCharType="end"/>
      </w:r>
      <w:r>
        <w:t xml:space="preserve">: Chemical structure of </w:t>
      </w:r>
      <w:proofErr w:type="spellStart"/>
      <w:r>
        <w:t>indacaterol</w:t>
      </w:r>
      <w:proofErr w:type="spellEnd"/>
      <w:r>
        <w:t xml:space="preserve"> acetate</w:t>
      </w:r>
    </w:p>
    <w:p w14:paraId="5FE4DACB" w14:textId="77777777" w:rsidR="00105BEC" w:rsidRPr="00105BEC" w:rsidRDefault="00105BEC" w:rsidP="00105BEC">
      <w:r w:rsidRPr="002B630E">
        <w:rPr>
          <w:noProof/>
          <w:sz w:val="20"/>
          <w:lang w:eastAsia="en-AU"/>
        </w:rPr>
        <w:drawing>
          <wp:inline distT="0" distB="0" distL="0" distR="0" wp14:anchorId="46E6E8FD" wp14:editId="2385059B">
            <wp:extent cx="3580659" cy="1486511"/>
            <wp:effectExtent l="0" t="0" r="1270" b="0"/>
            <wp:docPr id="1" name="Picture 1" descr="Chemical structure of indacatero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038"/>
                    <a:stretch/>
                  </pic:blipFill>
                  <pic:spPr bwMode="auto">
                    <a:xfrm>
                      <a:off x="0" y="0"/>
                      <a:ext cx="3595154" cy="1492528"/>
                    </a:xfrm>
                    <a:prstGeom prst="rect">
                      <a:avLst/>
                    </a:prstGeom>
                    <a:ln>
                      <a:noFill/>
                    </a:ln>
                    <a:extLst>
                      <a:ext uri="{53640926-AAD7-44D8-BBD7-CCE9431645EC}">
                        <a14:shadowObscured xmlns:a14="http://schemas.microsoft.com/office/drawing/2010/main"/>
                      </a:ext>
                    </a:extLst>
                  </pic:spPr>
                </pic:pic>
              </a:graphicData>
            </a:graphic>
          </wp:inline>
        </w:drawing>
      </w:r>
    </w:p>
    <w:p w14:paraId="69AA7DCD" w14:textId="5F2F2AC6" w:rsidR="00105BEC" w:rsidRDefault="00105BEC" w:rsidP="00105BEC">
      <w:pPr>
        <w:pStyle w:val="FigureTitle"/>
      </w:pPr>
      <w:r w:rsidRPr="00105BEC">
        <w:t xml:space="preserve">Figure </w:t>
      </w:r>
      <w:r>
        <w:fldChar w:fldCharType="begin"/>
      </w:r>
      <w:r>
        <w:instrText>SEQ Figure \* ARABIC</w:instrText>
      </w:r>
      <w:r>
        <w:fldChar w:fldCharType="separate"/>
      </w:r>
      <w:r w:rsidR="00AD63FD">
        <w:rPr>
          <w:noProof/>
        </w:rPr>
        <w:t>2</w:t>
      </w:r>
      <w:r>
        <w:fldChar w:fldCharType="end"/>
      </w:r>
      <w:r>
        <w:t xml:space="preserve">: Chemical structure of </w:t>
      </w:r>
      <w:proofErr w:type="spellStart"/>
      <w:r>
        <w:t>m</w:t>
      </w:r>
      <w:r w:rsidRPr="00105BEC">
        <w:t>ometasone</w:t>
      </w:r>
      <w:proofErr w:type="spellEnd"/>
      <w:r w:rsidRPr="00105BEC">
        <w:t xml:space="preserve"> </w:t>
      </w:r>
      <w:proofErr w:type="spellStart"/>
      <w:r w:rsidRPr="00105BEC">
        <w:t>furoate</w:t>
      </w:r>
      <w:proofErr w:type="spellEnd"/>
    </w:p>
    <w:p w14:paraId="4CA91C6E" w14:textId="77777777" w:rsidR="00105BEC" w:rsidRDefault="00105BEC" w:rsidP="00105BEC">
      <w:r>
        <w:rPr>
          <w:noProof/>
          <w:lang w:eastAsia="en-AU"/>
        </w:rPr>
        <w:drawing>
          <wp:inline distT="0" distB="0" distL="0" distR="0" wp14:anchorId="4134E107" wp14:editId="24A99B97">
            <wp:extent cx="2714625" cy="1495425"/>
            <wp:effectExtent l="0" t="0" r="9525" b="9525"/>
            <wp:docPr id="22" name="Picture 22" descr="Chemical structure of mometasone fur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1">
                      <a:extLst>
                        <a:ext uri="{28A0092B-C50C-407E-A947-70E740481C1C}">
                          <a14:useLocalDpi xmlns:a14="http://schemas.microsoft.com/office/drawing/2010/main" val="0"/>
                        </a:ext>
                      </a:extLst>
                    </a:blip>
                    <a:stretch>
                      <a:fillRect/>
                    </a:stretch>
                  </pic:blipFill>
                  <pic:spPr>
                    <a:xfrm>
                      <a:off x="0" y="0"/>
                      <a:ext cx="2714625" cy="1495425"/>
                    </a:xfrm>
                    <a:prstGeom prst="rect">
                      <a:avLst/>
                    </a:prstGeom>
                  </pic:spPr>
                </pic:pic>
              </a:graphicData>
            </a:graphic>
          </wp:inline>
        </w:drawing>
      </w:r>
    </w:p>
    <w:p w14:paraId="0EB48493" w14:textId="7A7A50FD" w:rsidR="0011170C" w:rsidRPr="00105BEC" w:rsidRDefault="0011170C" w:rsidP="00105BEC">
      <w:pPr>
        <w:rPr>
          <w:lang w:eastAsia="en-AU"/>
        </w:rPr>
      </w:pPr>
      <w:r w:rsidRPr="3249B42A">
        <w:rPr>
          <w:rFonts w:asciiTheme="minorHAnsi" w:hAnsiTheme="minorHAnsi"/>
        </w:rPr>
        <w:t>QMF 149</w:t>
      </w:r>
      <w:r w:rsidR="00995B23" w:rsidRPr="3249B42A">
        <w:rPr>
          <w:rFonts w:asciiTheme="minorHAnsi" w:eastAsia="TimesNewRoman" w:hAnsiTheme="minorHAnsi" w:cs="TimesNewRoman"/>
        </w:rPr>
        <w:t>;</w:t>
      </w:r>
      <w:r w:rsidR="00995B23" w:rsidRPr="3249B42A">
        <w:rPr>
          <w:rFonts w:asciiTheme="minorHAnsi" w:eastAsia="TimesNewRoman" w:hAnsiTheme="minorHAnsi" w:cs="TimesNewRoman"/>
        </w:rPr>
        <w:fldChar w:fldCharType="begin"/>
      </w:r>
      <w:r w:rsidR="00995B23" w:rsidRPr="3249B42A">
        <w:rPr>
          <w:rFonts w:asciiTheme="minorHAnsi" w:eastAsia="TimesNewRoman" w:hAnsiTheme="minorHAnsi" w:cs="TimesNewRoman"/>
        </w:rPr>
        <w:instrText xml:space="preserve"> NOTEREF _Ref54093901 \f \h </w:instrText>
      </w:r>
      <w:r w:rsidR="00995B23" w:rsidRPr="3249B42A">
        <w:rPr>
          <w:rFonts w:asciiTheme="minorHAnsi" w:eastAsia="TimesNewRoman" w:hAnsiTheme="minorHAnsi" w:cs="TimesNewRoman"/>
        </w:rPr>
      </w:r>
      <w:r w:rsidR="00995B23" w:rsidRPr="3249B42A">
        <w:rPr>
          <w:rFonts w:asciiTheme="minorHAnsi" w:eastAsia="TimesNewRoman" w:hAnsiTheme="minorHAnsi" w:cs="TimesNewRoman"/>
        </w:rPr>
        <w:fldChar w:fldCharType="separate"/>
      </w:r>
      <w:r w:rsidR="00AD63FD" w:rsidRPr="00AD63FD">
        <w:rPr>
          <w:rStyle w:val="FootnoteReference"/>
        </w:rPr>
        <w:t>8</w:t>
      </w:r>
      <w:r w:rsidR="00995B23" w:rsidRPr="3249B42A">
        <w:rPr>
          <w:rFonts w:asciiTheme="minorHAnsi" w:eastAsia="TimesNewRoman" w:hAnsiTheme="minorHAnsi" w:cs="TimesNewRoman"/>
        </w:rPr>
        <w:fldChar w:fldCharType="end"/>
      </w:r>
      <w:r w:rsidRPr="3249B42A">
        <w:rPr>
          <w:rFonts w:asciiTheme="minorHAnsi" w:hAnsiTheme="minorHAnsi"/>
        </w:rPr>
        <w:t xml:space="preserve"> </w:t>
      </w:r>
      <w:r>
        <w:rPr>
          <w:lang w:eastAsia="en-AU"/>
        </w:rPr>
        <w:t xml:space="preserve">is formulated with micronized </w:t>
      </w:r>
      <w:proofErr w:type="spellStart"/>
      <w:r>
        <w:rPr>
          <w:lang w:eastAsia="en-AU"/>
        </w:rPr>
        <w:t>indacaterol</w:t>
      </w:r>
      <w:proofErr w:type="spellEnd"/>
      <w:r>
        <w:rPr>
          <w:lang w:eastAsia="en-AU"/>
        </w:rPr>
        <w:t xml:space="preserve"> acetate, micronized </w:t>
      </w:r>
      <w:proofErr w:type="spellStart"/>
      <w:r>
        <w:rPr>
          <w:lang w:eastAsia="en-AU"/>
        </w:rPr>
        <w:t>mometasone</w:t>
      </w:r>
      <w:proofErr w:type="spellEnd"/>
      <w:r>
        <w:rPr>
          <w:lang w:eastAsia="en-AU"/>
        </w:rPr>
        <w:t xml:space="preserve"> </w:t>
      </w:r>
      <w:proofErr w:type="spellStart"/>
      <w:r>
        <w:rPr>
          <w:lang w:eastAsia="en-AU"/>
        </w:rPr>
        <w:t>furoate</w:t>
      </w:r>
      <w:proofErr w:type="spellEnd"/>
      <w:r>
        <w:rPr>
          <w:lang w:eastAsia="en-AU"/>
        </w:rPr>
        <w:t xml:space="preserve"> and inhalation grade lactose encapsulated in a transparent hard </w:t>
      </w:r>
      <w:proofErr w:type="spellStart"/>
      <w:r>
        <w:rPr>
          <w:lang w:eastAsia="en-AU"/>
        </w:rPr>
        <w:t>gelatin</w:t>
      </w:r>
      <w:proofErr w:type="spellEnd"/>
      <w:r>
        <w:rPr>
          <w:lang w:eastAsia="en-AU"/>
        </w:rPr>
        <w:t xml:space="preserve"> capsule. The capsules are packaged in blister packs and the blister packs placed in cartons.</w:t>
      </w:r>
      <w:r w:rsidR="001636F9">
        <w:rPr>
          <w:lang w:eastAsia="en-AU"/>
        </w:rPr>
        <w:t xml:space="preserve"> </w:t>
      </w:r>
      <w:r w:rsidR="001636F9" w:rsidRPr="001636F9">
        <w:rPr>
          <w:lang w:eastAsia="en-AU"/>
        </w:rPr>
        <w:t>The contents of the capsules are delivered to t</w:t>
      </w:r>
      <w:r w:rsidR="008B46F3">
        <w:rPr>
          <w:lang w:eastAsia="en-AU"/>
        </w:rPr>
        <w:t xml:space="preserve">he patient’s lungs using a unit </w:t>
      </w:r>
      <w:r w:rsidR="001636F9" w:rsidRPr="001636F9">
        <w:rPr>
          <w:lang w:eastAsia="en-AU"/>
        </w:rPr>
        <w:t>dose d</w:t>
      </w:r>
      <w:r w:rsidR="001636F9">
        <w:rPr>
          <w:lang w:eastAsia="en-AU"/>
        </w:rPr>
        <w:t xml:space="preserve">ry powder inhaler known as the </w:t>
      </w:r>
      <w:proofErr w:type="spellStart"/>
      <w:r w:rsidR="5F42F7C8" w:rsidRPr="00F71BF0">
        <w:t>Breezhaler</w:t>
      </w:r>
      <w:proofErr w:type="spellEnd"/>
      <w:r w:rsidR="00D215E3">
        <w:t xml:space="preserve"> </w:t>
      </w:r>
      <w:r w:rsidR="00D035EA">
        <w:rPr>
          <w:lang w:eastAsia="en-AU"/>
        </w:rPr>
        <w:t>device</w:t>
      </w:r>
      <w:r w:rsidR="001636F9">
        <w:rPr>
          <w:lang w:eastAsia="en-AU"/>
        </w:rPr>
        <w:t>.</w:t>
      </w:r>
      <w:bookmarkStart w:id="39" w:name="_Ref53576045"/>
      <w:r w:rsidR="008D5D7F">
        <w:rPr>
          <w:lang w:eastAsia="en-AU"/>
        </w:rPr>
        <w:fldChar w:fldCharType="begin"/>
      </w:r>
      <w:r w:rsidR="008D5D7F">
        <w:rPr>
          <w:lang w:eastAsia="en-AU"/>
        </w:rPr>
        <w:instrText xml:space="preserve"> NOTEREF _Ref55282123 \f \h </w:instrText>
      </w:r>
      <w:r w:rsidR="008D5D7F">
        <w:rPr>
          <w:lang w:eastAsia="en-AU"/>
        </w:rPr>
      </w:r>
      <w:r w:rsidR="008D5D7F">
        <w:rPr>
          <w:lang w:eastAsia="en-AU"/>
        </w:rPr>
        <w:fldChar w:fldCharType="separate"/>
      </w:r>
      <w:r w:rsidR="00AD63FD" w:rsidRPr="00AD63FD">
        <w:rPr>
          <w:rStyle w:val="FootnoteReference"/>
        </w:rPr>
        <w:t>7</w:t>
      </w:r>
      <w:r w:rsidR="008D5D7F">
        <w:rPr>
          <w:lang w:eastAsia="en-AU"/>
        </w:rPr>
        <w:fldChar w:fldCharType="end"/>
      </w:r>
      <w:bookmarkEnd w:id="39"/>
    </w:p>
    <w:p w14:paraId="3E4EC25C" w14:textId="77777777" w:rsidR="008E7846" w:rsidRDefault="008E7846" w:rsidP="008E7846">
      <w:pPr>
        <w:pStyle w:val="Heading3"/>
      </w:pPr>
      <w:bookmarkStart w:id="40" w:name="_Toc314842512"/>
      <w:bookmarkStart w:id="41" w:name="_Toc57282603"/>
      <w:r>
        <w:t>Nonclinical</w:t>
      </w:r>
      <w:bookmarkEnd w:id="40"/>
      <w:bookmarkEnd w:id="41"/>
    </w:p>
    <w:p w14:paraId="6E831DC8" w14:textId="58472D3F" w:rsidR="001636F9" w:rsidRDefault="006B68A8" w:rsidP="001636F9">
      <w:r>
        <w:t>There are</w:t>
      </w:r>
      <w:r w:rsidR="004C377E">
        <w:t xml:space="preserve"> no non</w:t>
      </w:r>
      <w:r w:rsidR="001636F9" w:rsidRPr="001636F9">
        <w:t xml:space="preserve">clinical objections to registration of </w:t>
      </w:r>
      <w:proofErr w:type="spellStart"/>
      <w:r w:rsidR="001636F9" w:rsidRPr="001636F9">
        <w:t>A</w:t>
      </w:r>
      <w:r w:rsidR="001636F9">
        <w:t>tectura</w:t>
      </w:r>
      <w:proofErr w:type="spellEnd"/>
      <w:r w:rsidR="001636F9">
        <w:t xml:space="preserve"> </w:t>
      </w:r>
      <w:proofErr w:type="spellStart"/>
      <w:r w:rsidR="005A669E">
        <w:t>B</w:t>
      </w:r>
      <w:r w:rsidR="001636F9">
        <w:t>reezhaler</w:t>
      </w:r>
      <w:proofErr w:type="spellEnd"/>
      <w:r w:rsidR="001636F9">
        <w:t>.</w:t>
      </w:r>
    </w:p>
    <w:p w14:paraId="371A841B" w14:textId="20406880" w:rsidR="00995B23" w:rsidRDefault="004C377E" w:rsidP="001636F9">
      <w:r>
        <w:t>Non</w:t>
      </w:r>
      <w:r w:rsidR="001636F9">
        <w:t xml:space="preserve">clinical dossier </w:t>
      </w:r>
      <w:r w:rsidR="001636F9" w:rsidRPr="00B376E6">
        <w:t xml:space="preserve">contained data on the </w:t>
      </w:r>
      <w:r w:rsidR="000C5B67">
        <w:t xml:space="preserve">primary pharmacology and repeat </w:t>
      </w:r>
      <w:r w:rsidR="001636F9" w:rsidRPr="00B376E6">
        <w:t xml:space="preserve">dose toxicity of the </w:t>
      </w:r>
      <w:proofErr w:type="spellStart"/>
      <w:r w:rsidR="001636F9">
        <w:t>indacaterol</w:t>
      </w:r>
      <w:proofErr w:type="spellEnd"/>
      <w:r w:rsidR="001636F9">
        <w:t xml:space="preserve"> acetate and </w:t>
      </w:r>
      <w:proofErr w:type="spellStart"/>
      <w:r w:rsidR="001636F9">
        <w:t>m</w:t>
      </w:r>
      <w:r w:rsidR="001636F9" w:rsidRPr="00105BEC">
        <w:t>ometasone</w:t>
      </w:r>
      <w:proofErr w:type="spellEnd"/>
      <w:r w:rsidR="001636F9" w:rsidRPr="00105BEC">
        <w:t xml:space="preserve"> </w:t>
      </w:r>
      <w:proofErr w:type="spellStart"/>
      <w:r w:rsidR="001636F9" w:rsidRPr="00105BEC">
        <w:t>furoate</w:t>
      </w:r>
      <w:proofErr w:type="spellEnd"/>
      <w:r w:rsidR="001636F9" w:rsidRPr="00B376E6">
        <w:t xml:space="preserve"> in combination, data comparing the pharmacokinetics</w:t>
      </w:r>
      <w:r w:rsidR="00AB14E6">
        <w:t xml:space="preserve"> (PK)</w:t>
      </w:r>
      <w:r w:rsidR="001636F9" w:rsidRPr="00B376E6">
        <w:t xml:space="preserve"> and repeat</w:t>
      </w:r>
      <w:r w:rsidR="004B71F8">
        <w:t xml:space="preserve"> </w:t>
      </w:r>
      <w:r w:rsidR="001636F9" w:rsidRPr="00B376E6">
        <w:t xml:space="preserve">dose toxicity of </w:t>
      </w:r>
      <w:proofErr w:type="spellStart"/>
      <w:r w:rsidR="001636F9" w:rsidRPr="00B376E6">
        <w:t>indacaterol</w:t>
      </w:r>
      <w:proofErr w:type="spellEnd"/>
      <w:r w:rsidR="001636F9" w:rsidRPr="00B376E6">
        <w:t xml:space="preserve"> acetate and </w:t>
      </w:r>
      <w:proofErr w:type="spellStart"/>
      <w:r w:rsidR="001636F9" w:rsidRPr="00B376E6">
        <w:t>indacaterol</w:t>
      </w:r>
      <w:proofErr w:type="spellEnd"/>
      <w:r w:rsidR="001636F9" w:rsidRPr="00B376E6">
        <w:t xml:space="preserve"> maleate, and an assessment of the mutagenic potential of actual and potential im</w:t>
      </w:r>
      <w:r w:rsidR="006B68A8">
        <w:t xml:space="preserve">purities of </w:t>
      </w:r>
      <w:proofErr w:type="spellStart"/>
      <w:r w:rsidR="006B68A8">
        <w:t>indacaterol</w:t>
      </w:r>
      <w:proofErr w:type="spellEnd"/>
      <w:r w:rsidR="006B68A8">
        <w:t>.</w:t>
      </w:r>
    </w:p>
    <w:p w14:paraId="0F4AE2CB" w14:textId="0771A490" w:rsidR="001636F9" w:rsidRDefault="001636F9" w:rsidP="001636F9">
      <w:r>
        <w:t xml:space="preserve">A gene expression study in human bronchial epithelial cells, showing enhanced effects on the expression of a number of genes relevant to asthma with the </w:t>
      </w:r>
      <w:r w:rsidRPr="00995B23">
        <w:t xml:space="preserve">combination </w:t>
      </w:r>
      <w:r w:rsidR="00995B23" w:rsidRPr="00995B23">
        <w:t>compared with</w:t>
      </w:r>
      <w:r>
        <w:t xml:space="preserve"> the single agents, offers support for the utility of the product in asthma.</w:t>
      </w:r>
      <w:r w:rsidR="006B68A8">
        <w:t xml:space="preserve"> </w:t>
      </w:r>
      <w:r>
        <w:t xml:space="preserve">No </w:t>
      </w:r>
      <w:r w:rsidR="00AB14E6">
        <w:t>PK</w:t>
      </w:r>
      <w:r>
        <w:t xml:space="preserve"> interaction between the </w:t>
      </w:r>
      <w:proofErr w:type="spellStart"/>
      <w:r>
        <w:t>indacaterol</w:t>
      </w:r>
      <w:proofErr w:type="spellEnd"/>
      <w:r>
        <w:t xml:space="preserve"> and </w:t>
      </w:r>
      <w:proofErr w:type="spellStart"/>
      <w:r>
        <w:t>mometasone</w:t>
      </w:r>
      <w:proofErr w:type="spellEnd"/>
      <w:r>
        <w:t xml:space="preserve"> </w:t>
      </w:r>
      <w:proofErr w:type="spellStart"/>
      <w:r>
        <w:t>furoate</w:t>
      </w:r>
      <w:proofErr w:type="spellEnd"/>
      <w:r>
        <w:t xml:space="preserve"> was evident in rats and dogs.</w:t>
      </w:r>
    </w:p>
    <w:p w14:paraId="46EB3733" w14:textId="77777777" w:rsidR="001636F9" w:rsidRDefault="000C5B67" w:rsidP="001636F9">
      <w:r>
        <w:t xml:space="preserve">Repeat </w:t>
      </w:r>
      <w:r w:rsidR="000C2D0C">
        <w:t>dose toxicity studies of three</w:t>
      </w:r>
      <w:r w:rsidR="001636F9">
        <w:t xml:space="preserve"> months duration by the inhalational route in rats and dogs revealed no novel or notable additive toxicity with </w:t>
      </w:r>
      <w:proofErr w:type="spellStart"/>
      <w:r w:rsidR="001636F9">
        <w:t>indacaterol</w:t>
      </w:r>
      <w:proofErr w:type="spellEnd"/>
      <w:r w:rsidR="001636F9">
        <w:t xml:space="preserve"> acetate and </w:t>
      </w:r>
      <w:proofErr w:type="spellStart"/>
      <w:r w:rsidR="001636F9">
        <w:t>mometasone</w:t>
      </w:r>
      <w:proofErr w:type="spellEnd"/>
      <w:r w:rsidR="001636F9">
        <w:t xml:space="preserve"> </w:t>
      </w:r>
      <w:proofErr w:type="spellStart"/>
      <w:r w:rsidR="001636F9">
        <w:t>furoate</w:t>
      </w:r>
      <w:proofErr w:type="spellEnd"/>
      <w:r w:rsidR="001636F9">
        <w:t xml:space="preserve"> in combination.</w:t>
      </w:r>
      <w:r>
        <w:t xml:space="preserve"> </w:t>
      </w:r>
      <w:r w:rsidR="001636F9">
        <w:t xml:space="preserve">The acetate and maleate salts of </w:t>
      </w:r>
      <w:proofErr w:type="spellStart"/>
      <w:r w:rsidR="001636F9">
        <w:t>indacaterol</w:t>
      </w:r>
      <w:proofErr w:type="spellEnd"/>
      <w:r w:rsidR="001636F9">
        <w:t xml:space="preserve"> exhibited no difference in kinetics or toxicity in rats and/or dogs.</w:t>
      </w:r>
    </w:p>
    <w:p w14:paraId="48B174DF" w14:textId="77777777" w:rsidR="006B68A8" w:rsidRDefault="006B68A8" w:rsidP="001636F9">
      <w:r>
        <w:t>Pregnancy c</w:t>
      </w:r>
      <w:r w:rsidR="001636F9">
        <w:t>ategory B3,</w:t>
      </w:r>
      <w:r>
        <w:rPr>
          <w:rStyle w:val="FootnoteReference"/>
        </w:rPr>
        <w:footnoteReference w:id="12"/>
      </w:r>
      <w:r w:rsidR="001636F9">
        <w:t xml:space="preserve"> as the sponsor proposes, is considered to be appropriate, based on reference to existing data for the individual components</w:t>
      </w:r>
      <w:r w:rsidRPr="006B68A8">
        <w:t xml:space="preserve"> </w:t>
      </w:r>
    </w:p>
    <w:p w14:paraId="5ADD6494" w14:textId="77777777" w:rsidR="001636F9" w:rsidRPr="001636F9" w:rsidRDefault="006B68A8" w:rsidP="001636F9">
      <w:r w:rsidRPr="00B376E6">
        <w:lastRenderedPageBreak/>
        <w:t>All s</w:t>
      </w:r>
      <w:r>
        <w:t xml:space="preserve">ubmitted toxicity studies were good laboratory practice </w:t>
      </w:r>
      <w:r w:rsidRPr="00B376E6">
        <w:t>compliant. The nonclinical dataset was adequate in scop</w:t>
      </w:r>
      <w:r w:rsidR="000C2D0C">
        <w:t xml:space="preserve">e, consistent with relevant TGA </w:t>
      </w:r>
      <w:r w:rsidRPr="00B376E6">
        <w:t>adopted guidelines</w:t>
      </w:r>
      <w:bookmarkStart w:id="42" w:name="_Ref32238698"/>
      <w:r>
        <w:t>.</w:t>
      </w:r>
      <w:r w:rsidRPr="00B376E6">
        <w:rPr>
          <w:rStyle w:val="FootnoteReference"/>
          <w:kern w:val="2"/>
        </w:rPr>
        <w:footnoteReference w:id="13"/>
      </w:r>
      <w:r w:rsidRPr="00B376E6">
        <w:rPr>
          <w:vertAlign w:val="superscript"/>
        </w:rPr>
        <w:t>,</w:t>
      </w:r>
      <w:r w:rsidRPr="00B376E6">
        <w:rPr>
          <w:rStyle w:val="FootnoteReference"/>
          <w:kern w:val="2"/>
        </w:rPr>
        <w:footnoteReference w:id="14"/>
      </w:r>
      <w:bookmarkEnd w:id="42"/>
    </w:p>
    <w:p w14:paraId="7A686C3C" w14:textId="77777777" w:rsidR="008E7846" w:rsidRDefault="008E7846" w:rsidP="008E7846">
      <w:pPr>
        <w:pStyle w:val="Heading3"/>
      </w:pPr>
      <w:bookmarkStart w:id="43" w:name="_Toc247691530"/>
      <w:bookmarkStart w:id="44" w:name="_Toc314842513"/>
      <w:bookmarkStart w:id="45" w:name="_Toc57282604"/>
      <w:r>
        <w:t>Clinical</w:t>
      </w:r>
      <w:bookmarkEnd w:id="43"/>
      <w:bookmarkEnd w:id="44"/>
      <w:bookmarkEnd w:id="45"/>
    </w:p>
    <w:p w14:paraId="130D3E46" w14:textId="081489A6" w:rsidR="00D215E3" w:rsidRDefault="00D215E3" w:rsidP="00D215E3">
      <w:bookmarkStart w:id="46" w:name="_Toc314842514"/>
      <w:r>
        <w:t>The clinical dossier contain</w:t>
      </w:r>
      <w:r w:rsidR="00AB14E6">
        <w:t>ed the following:</w:t>
      </w:r>
    </w:p>
    <w:p w14:paraId="7E1ABC4C" w14:textId="4172C454" w:rsidR="00D035EA" w:rsidRDefault="00F663F2" w:rsidP="00A529AD">
      <w:pPr>
        <w:pStyle w:val="ListBullet"/>
      </w:pPr>
      <w:r>
        <w:t>f</w:t>
      </w:r>
      <w:r w:rsidR="00A529AD">
        <w:t xml:space="preserve">our PK studies: Study </w:t>
      </w:r>
      <w:r w:rsidR="00A529AD" w:rsidRPr="00A529AD">
        <w:t>CQMF149E2101</w:t>
      </w:r>
      <w:r w:rsidR="00A529AD">
        <w:t xml:space="preserve">, Study </w:t>
      </w:r>
      <w:r w:rsidR="00A529AD" w:rsidRPr="00A529AD">
        <w:t>CQMF149E2102</w:t>
      </w:r>
      <w:r w:rsidR="00A529AD">
        <w:t xml:space="preserve">, </w:t>
      </w:r>
      <w:r w:rsidR="00A529AD" w:rsidRPr="00A529AD">
        <w:t>Study CQVM149B2203</w:t>
      </w:r>
      <w:r w:rsidR="00A529AD">
        <w:t xml:space="preserve"> and </w:t>
      </w:r>
      <w:r w:rsidR="00A529AD" w:rsidRPr="00A529AD">
        <w:t>Study CQMF149E1101</w:t>
      </w:r>
      <w:r w:rsidR="00AB14E6">
        <w:t>;</w:t>
      </w:r>
    </w:p>
    <w:p w14:paraId="62B6AAA4" w14:textId="532ADF7E" w:rsidR="00A529AD" w:rsidRDefault="00F663F2" w:rsidP="00A529AD">
      <w:pPr>
        <w:pStyle w:val="ListBullet"/>
      </w:pPr>
      <w:r>
        <w:t>s</w:t>
      </w:r>
      <w:r w:rsidR="00A529AD">
        <w:t xml:space="preserve">ix </w:t>
      </w:r>
      <w:r w:rsidR="00AB14E6">
        <w:t>pharmacodynamic</w:t>
      </w:r>
      <w:r w:rsidR="00A529AD">
        <w:t xml:space="preserve"> studies: Study </w:t>
      </w:r>
      <w:r w:rsidR="00A529AD" w:rsidRPr="00A529AD">
        <w:t>QMF149E2203</w:t>
      </w:r>
      <w:r w:rsidR="00A529AD">
        <w:t>, Study</w:t>
      </w:r>
      <w:r w:rsidR="00A529AD" w:rsidRPr="00A529AD">
        <w:t xml:space="preserve"> QVA149A2210</w:t>
      </w:r>
      <w:r w:rsidR="00A529AD">
        <w:t>, Study</w:t>
      </w:r>
      <w:r w:rsidR="00AB14E6">
        <w:t> </w:t>
      </w:r>
      <w:r w:rsidR="00A529AD" w:rsidRPr="00A529AD">
        <w:t>CQVM149B2203</w:t>
      </w:r>
      <w:r w:rsidR="00A529AD">
        <w:t xml:space="preserve">, Study </w:t>
      </w:r>
      <w:r w:rsidR="00A529AD" w:rsidRPr="00A529AD">
        <w:t>CQAB149D2301</w:t>
      </w:r>
      <w:r w:rsidR="00A529AD">
        <w:t xml:space="preserve">, Study </w:t>
      </w:r>
      <w:r w:rsidR="00A529AD" w:rsidRPr="00A529AD">
        <w:t>QMF149E2201</w:t>
      </w:r>
      <w:r w:rsidR="00A529AD">
        <w:t xml:space="preserve"> and Study</w:t>
      </w:r>
      <w:r w:rsidR="00AB14E6">
        <w:t> </w:t>
      </w:r>
      <w:r w:rsidR="00A529AD" w:rsidRPr="00A529AD">
        <w:t>CQAB149B2357</w:t>
      </w:r>
      <w:r w:rsidR="00AB14E6">
        <w:t>;</w:t>
      </w:r>
    </w:p>
    <w:p w14:paraId="14BD3950" w14:textId="78A3A712" w:rsidR="00D035EA" w:rsidRDefault="00F663F2" w:rsidP="00A529AD">
      <w:pPr>
        <w:pStyle w:val="ListBullet"/>
      </w:pPr>
      <w:r>
        <w:t>t</w:t>
      </w:r>
      <w:r w:rsidR="00A529AD">
        <w:t>hree</w:t>
      </w:r>
      <w:r w:rsidR="00D035EA">
        <w:t xml:space="preserve"> Phase III trials</w:t>
      </w:r>
      <w:r w:rsidR="00AB14E6">
        <w:t xml:space="preserve">: </w:t>
      </w:r>
      <w:r w:rsidR="00D035EA" w:rsidRPr="00F71BF0">
        <w:t xml:space="preserve">Study </w:t>
      </w:r>
      <w:r w:rsidR="00D035EA" w:rsidRPr="00D035EA">
        <w:t>CQVM149B2301</w:t>
      </w:r>
      <w:r w:rsidR="00A529AD">
        <w:t xml:space="preserve">, Study </w:t>
      </w:r>
      <w:r w:rsidR="00A529AD" w:rsidRPr="00A529AD">
        <w:rPr>
          <w:lang w:eastAsia="ja-JP"/>
        </w:rPr>
        <w:t>CQVM149B2302</w:t>
      </w:r>
      <w:r w:rsidR="00A529AD">
        <w:rPr>
          <w:lang w:eastAsia="ja-JP"/>
        </w:rPr>
        <w:t xml:space="preserve"> and </w:t>
      </w:r>
      <w:r w:rsidR="00D035EA" w:rsidRPr="00D035EA">
        <w:t>Study</w:t>
      </w:r>
      <w:r w:rsidR="00AB14E6">
        <w:t> </w:t>
      </w:r>
      <w:r w:rsidR="00D035EA" w:rsidRPr="00D035EA">
        <w:t>CQVM149B2303</w:t>
      </w:r>
      <w:r w:rsidR="00AB14E6">
        <w:t>;</w:t>
      </w:r>
    </w:p>
    <w:p w14:paraId="3A4C5C79" w14:textId="0C320F63" w:rsidR="00A529AD" w:rsidRDefault="00F663F2" w:rsidP="00A529AD">
      <w:pPr>
        <w:pStyle w:val="ListBullet"/>
      </w:pPr>
      <w:r>
        <w:t>t</w:t>
      </w:r>
      <w:r w:rsidR="00A529AD">
        <w:t xml:space="preserve">hree supportive studies: Study </w:t>
      </w:r>
      <w:r w:rsidR="00A529AD" w:rsidRPr="00A529AD">
        <w:t>CQVM149B1305</w:t>
      </w:r>
      <w:r w:rsidR="00A529AD">
        <w:t xml:space="preserve">, Study </w:t>
      </w:r>
      <w:r w:rsidR="00A529AD" w:rsidRPr="00A529AD">
        <w:t>CQMF149A2210</w:t>
      </w:r>
      <w:r w:rsidR="00A529AD">
        <w:t xml:space="preserve"> and Study</w:t>
      </w:r>
      <w:r w:rsidR="00AB14E6">
        <w:t> </w:t>
      </w:r>
      <w:r w:rsidR="00A529AD" w:rsidRPr="00A529AD">
        <w:t>CQMF149F2202</w:t>
      </w:r>
    </w:p>
    <w:p w14:paraId="1E846075" w14:textId="77777777" w:rsidR="00D215E3" w:rsidRPr="00F71BF0" w:rsidRDefault="00D215E3" w:rsidP="00D215E3">
      <w:pPr>
        <w:pStyle w:val="Heading4"/>
      </w:pPr>
      <w:r w:rsidRPr="00F71BF0">
        <w:t>Pharmacology</w:t>
      </w:r>
    </w:p>
    <w:p w14:paraId="57751B74" w14:textId="77777777" w:rsidR="00D215E3" w:rsidRPr="00F71BF0" w:rsidRDefault="00D215E3" w:rsidP="00D215E3">
      <w:r w:rsidRPr="00F71BF0">
        <w:t>As both active components are currently approved as monotherapies</w:t>
      </w:r>
      <w:r>
        <w:t>,</w:t>
      </w:r>
      <w:r w:rsidRPr="00F71BF0">
        <w:t xml:space="preserve"> the clinical pharmacology studies submitted were in support of the pro</w:t>
      </w:r>
      <w:r w:rsidR="00D035EA">
        <w:t>posed FDC.</w:t>
      </w:r>
    </w:p>
    <w:p w14:paraId="42AB1EC3" w14:textId="54240B1F" w:rsidR="00D215E3" w:rsidRPr="00F71BF0" w:rsidRDefault="00D215E3" w:rsidP="00D215E3">
      <w:r>
        <w:t>T</w:t>
      </w:r>
      <w:r w:rsidRPr="00F71BF0">
        <w:t xml:space="preserve">here were no clinically significant PK interactions between </w:t>
      </w:r>
      <w:proofErr w:type="spellStart"/>
      <w:r w:rsidRPr="00F71BF0">
        <w:t>indacaterol</w:t>
      </w:r>
      <w:proofErr w:type="spellEnd"/>
      <w:r w:rsidRPr="00F71BF0">
        <w:t xml:space="preserve"> acetate and </w:t>
      </w:r>
      <w:proofErr w:type="spellStart"/>
      <w:r w:rsidR="002C4A18">
        <w:t>mometasone</w:t>
      </w:r>
      <w:proofErr w:type="spellEnd"/>
      <w:r w:rsidR="002C4A18">
        <w:t xml:space="preserve"> </w:t>
      </w:r>
      <w:proofErr w:type="spellStart"/>
      <w:r w:rsidR="002C4A18">
        <w:t>furoate</w:t>
      </w:r>
      <w:proofErr w:type="spellEnd"/>
      <w:r w:rsidRPr="00F71BF0">
        <w:t xml:space="preserve"> when administered as the proposed FDC.</w:t>
      </w:r>
    </w:p>
    <w:p w14:paraId="39C7EEB7" w14:textId="77777777" w:rsidR="00D215E3" w:rsidRPr="00F71BF0" w:rsidRDefault="00D215E3" w:rsidP="00D215E3">
      <w:r w:rsidRPr="00F71BF0">
        <w:t xml:space="preserve">Two Phase II studies (Study </w:t>
      </w:r>
      <w:r w:rsidRPr="00D215E3">
        <w:t>CQVM149B2203 and</w:t>
      </w:r>
      <w:r w:rsidRPr="00F71BF0">
        <w:rPr>
          <w:b/>
        </w:rPr>
        <w:t xml:space="preserve"> </w:t>
      </w:r>
      <w:r w:rsidRPr="00F71BF0">
        <w:t xml:space="preserve">Study </w:t>
      </w:r>
      <w:r w:rsidRPr="00D215E3">
        <w:t>CQAB149D2301)</w:t>
      </w:r>
      <w:r w:rsidRPr="00F71BF0">
        <w:t xml:space="preserve"> demonstrated bioequivalence of </w:t>
      </w:r>
      <w:proofErr w:type="spellStart"/>
      <w:r w:rsidRPr="00F71BF0">
        <w:t>indacaterol</w:t>
      </w:r>
      <w:proofErr w:type="spellEnd"/>
      <w:r w:rsidRPr="00F71BF0">
        <w:t xml:space="preserve"> maleate and acetate salts following oral inhalation in asthma patients on background ICS</w:t>
      </w:r>
      <w:r w:rsidR="00D035EA">
        <w:t>.</w:t>
      </w:r>
    </w:p>
    <w:p w14:paraId="461DAE15" w14:textId="320BE038" w:rsidR="00D215E3" w:rsidRPr="00F71BF0" w:rsidRDefault="000C2D0C" w:rsidP="00D215E3">
      <w:r>
        <w:t xml:space="preserve">A dose </w:t>
      </w:r>
      <w:r w:rsidR="00D215E3" w:rsidRPr="00F71BF0">
        <w:t xml:space="preserve">dependent treatment effect on trough </w:t>
      </w:r>
      <w:r w:rsidRPr="000C2D0C">
        <w:t xml:space="preserve">forced expiratory volume in 1 second </w:t>
      </w:r>
      <w:r>
        <w:t>(</w:t>
      </w:r>
      <w:r w:rsidR="00D215E3" w:rsidRPr="00F71BF0">
        <w:t>FEV</w:t>
      </w:r>
      <w:r w:rsidR="00D215E3" w:rsidRPr="00F71BF0">
        <w:rPr>
          <w:vertAlign w:val="subscript"/>
        </w:rPr>
        <w:t>1</w:t>
      </w:r>
      <w:r w:rsidRPr="000C2D0C">
        <w:t>);</w:t>
      </w:r>
      <w:r>
        <w:fldChar w:fldCharType="begin"/>
      </w:r>
      <w:r>
        <w:rPr>
          <w:vertAlign w:val="subscript"/>
        </w:rPr>
        <w:instrText xml:space="preserve"> NOTEREF _Ref53577105 \f \h </w:instrText>
      </w:r>
      <w:r>
        <w:fldChar w:fldCharType="separate"/>
      </w:r>
      <w:r w:rsidR="00AD63FD" w:rsidRPr="00AD63FD">
        <w:rPr>
          <w:rStyle w:val="FootnoteReference"/>
        </w:rPr>
        <w:t>14</w:t>
      </w:r>
      <w:r>
        <w:fldChar w:fldCharType="end"/>
      </w:r>
      <w:r w:rsidR="00D215E3" w:rsidRPr="00F71BF0">
        <w:t xml:space="preserve"> was observed following single doses of 37.5 </w:t>
      </w:r>
      <w:r w:rsidR="00AB14E6">
        <w:t>µ</w:t>
      </w:r>
      <w:r w:rsidR="00D215E3" w:rsidRPr="00F71BF0">
        <w:t xml:space="preserve">g, 75 </w:t>
      </w:r>
      <w:r w:rsidR="00893613">
        <w:t>µ</w:t>
      </w:r>
      <w:r w:rsidR="00D215E3" w:rsidRPr="00F71BF0">
        <w:t xml:space="preserve">g and 150 </w:t>
      </w:r>
      <w:r w:rsidR="00893613">
        <w:t>µ</w:t>
      </w:r>
      <w:r w:rsidR="00D215E3" w:rsidRPr="00F71BF0">
        <w:t xml:space="preserve">g </w:t>
      </w:r>
      <w:proofErr w:type="spellStart"/>
      <w:r w:rsidR="00D215E3" w:rsidRPr="00F71BF0">
        <w:t>indacaterol</w:t>
      </w:r>
      <w:proofErr w:type="spellEnd"/>
      <w:r w:rsidR="00D035EA">
        <w:t>.</w:t>
      </w:r>
    </w:p>
    <w:p w14:paraId="7BAC4008" w14:textId="4977EA19" w:rsidR="00D215E3" w:rsidRPr="00F71BF0" w:rsidRDefault="00D215E3" w:rsidP="00D215E3">
      <w:r>
        <w:t xml:space="preserve">The </w:t>
      </w:r>
      <w:proofErr w:type="spellStart"/>
      <w:r w:rsidR="002C4A18">
        <w:t>mometasone</w:t>
      </w:r>
      <w:proofErr w:type="spellEnd"/>
      <w:r w:rsidR="002C4A18">
        <w:t xml:space="preserve"> </w:t>
      </w:r>
      <w:proofErr w:type="spellStart"/>
      <w:r w:rsidR="002C4A18">
        <w:t>furoate</w:t>
      </w:r>
      <w:proofErr w:type="spellEnd"/>
      <w:r>
        <w:t xml:space="preserve"> component of the FDC differed from the reference product </w:t>
      </w:r>
      <w:proofErr w:type="spellStart"/>
      <w:r>
        <w:t>Asmanex</w:t>
      </w:r>
      <w:proofErr w:type="spellEnd"/>
      <w:r>
        <w:t xml:space="preserve"> </w:t>
      </w:r>
      <w:proofErr w:type="spellStart"/>
      <w:r>
        <w:t>Twisthaler</w:t>
      </w:r>
      <w:proofErr w:type="spellEnd"/>
      <w:r>
        <w:t xml:space="preserve"> with regard to both the inhalation device</w:t>
      </w:r>
      <w:r w:rsidR="000C2D0C">
        <w:t xml:space="preserve"> and formulation delivered. A 3 </w:t>
      </w:r>
      <w:r>
        <w:t xml:space="preserve">step bridging approach was undertaken to identify doses of </w:t>
      </w:r>
      <w:proofErr w:type="spellStart"/>
      <w:r w:rsidR="002C4A18">
        <w:t>mometasone</w:t>
      </w:r>
      <w:proofErr w:type="spellEnd"/>
      <w:r w:rsidR="002C4A18">
        <w:t xml:space="preserve"> </w:t>
      </w:r>
      <w:proofErr w:type="spellStart"/>
      <w:r w:rsidR="002C4A18">
        <w:t>furoate</w:t>
      </w:r>
      <w:proofErr w:type="spellEnd"/>
      <w:r>
        <w:t xml:space="preserve"> administered via Concept1</w:t>
      </w:r>
      <w:r w:rsidR="5F42F7C8">
        <w:t>Breezhaler</w:t>
      </w:r>
      <w:r>
        <w:t xml:space="preserve"> device</w:t>
      </w:r>
      <w:r w:rsidR="002C4A18">
        <w:t>;</w:t>
      </w:r>
      <w:r w:rsidR="008D5D7F">
        <w:fldChar w:fldCharType="begin"/>
      </w:r>
      <w:r w:rsidR="008D5D7F">
        <w:instrText xml:space="preserve"> NOTEREF _Ref55282123 \f \h </w:instrText>
      </w:r>
      <w:r w:rsidR="008D5D7F">
        <w:fldChar w:fldCharType="separate"/>
      </w:r>
      <w:r w:rsidR="00AD63FD" w:rsidRPr="00AD63FD">
        <w:rPr>
          <w:rStyle w:val="FootnoteReference"/>
        </w:rPr>
        <w:t>7</w:t>
      </w:r>
      <w:r w:rsidR="008D5D7F">
        <w:fldChar w:fldCharType="end"/>
      </w:r>
      <w:r>
        <w:t xml:space="preserve"> comparable to those administered via the </w:t>
      </w:r>
      <w:proofErr w:type="spellStart"/>
      <w:r>
        <w:t>Twisthaler</w:t>
      </w:r>
      <w:proofErr w:type="spellEnd"/>
      <w:r>
        <w:t xml:space="preserve"> device. Variability in </w:t>
      </w:r>
      <w:proofErr w:type="spellStart"/>
      <w:r w:rsidR="002C4A18">
        <w:t>mometasone</w:t>
      </w:r>
      <w:proofErr w:type="spellEnd"/>
      <w:r w:rsidR="002C4A18">
        <w:t xml:space="preserve"> </w:t>
      </w:r>
      <w:proofErr w:type="spellStart"/>
      <w:r w:rsidR="002C4A18">
        <w:t>furoate</w:t>
      </w:r>
      <w:proofErr w:type="spellEnd"/>
      <w:r>
        <w:t xml:space="preserve"> exposure was reduced following administration via Concept1</w:t>
      </w:r>
      <w:r w:rsidR="5F42F7C8">
        <w:t>Breezhaler</w:t>
      </w:r>
      <w:r>
        <w:t xml:space="preserve"> device</w:t>
      </w:r>
      <w:r w:rsidR="008D5D7F">
        <w:t>;</w:t>
      </w:r>
      <w:r w:rsidR="008D5D7F">
        <w:fldChar w:fldCharType="begin"/>
      </w:r>
      <w:r w:rsidR="008D5D7F">
        <w:instrText xml:space="preserve"> NOTEREF _Ref55282123 \f \h </w:instrText>
      </w:r>
      <w:r w:rsidR="008D5D7F">
        <w:fldChar w:fldCharType="separate"/>
      </w:r>
      <w:r w:rsidR="00AD63FD" w:rsidRPr="00AD63FD">
        <w:rPr>
          <w:rStyle w:val="FootnoteReference"/>
        </w:rPr>
        <w:t>7</w:t>
      </w:r>
      <w:r w:rsidR="008D5D7F">
        <w:fldChar w:fldCharType="end"/>
      </w:r>
      <w:r>
        <w:t xml:space="preserve"> compared with the </w:t>
      </w:r>
      <w:proofErr w:type="spellStart"/>
      <w:r>
        <w:t>Twisthaler</w:t>
      </w:r>
      <w:proofErr w:type="spellEnd"/>
      <w:r>
        <w:t xml:space="preserve"> device. The estimated average dose of </w:t>
      </w:r>
      <w:proofErr w:type="spellStart"/>
      <w:r w:rsidR="002C4A18">
        <w:t>mometasone</w:t>
      </w:r>
      <w:proofErr w:type="spellEnd"/>
      <w:r w:rsidR="002C4A18">
        <w:t xml:space="preserve"> </w:t>
      </w:r>
      <w:proofErr w:type="spellStart"/>
      <w:r w:rsidR="002C4A18">
        <w:t>furoate</w:t>
      </w:r>
      <w:proofErr w:type="spellEnd"/>
      <w:r>
        <w:t xml:space="preserve"> in Concept1</w:t>
      </w:r>
      <w:r w:rsidR="5F42F7C8">
        <w:t>Breezhaler</w:t>
      </w:r>
      <w:r w:rsidR="002C4A18">
        <w:t>;</w:t>
      </w:r>
      <w:r w:rsidR="008D5D7F">
        <w:fldChar w:fldCharType="begin"/>
      </w:r>
      <w:r w:rsidR="008D5D7F">
        <w:instrText xml:space="preserve"> NOTEREF _Ref55282123 \f \h </w:instrText>
      </w:r>
      <w:r w:rsidR="008D5D7F">
        <w:fldChar w:fldCharType="separate"/>
      </w:r>
      <w:r w:rsidR="00AD63FD" w:rsidRPr="00AD63FD">
        <w:rPr>
          <w:rStyle w:val="FootnoteReference"/>
        </w:rPr>
        <w:t>7</w:t>
      </w:r>
      <w:r w:rsidR="008D5D7F">
        <w:fldChar w:fldCharType="end"/>
      </w:r>
      <w:r>
        <w:t xml:space="preserve"> expected to provide systemic exposure comparable to </w:t>
      </w:r>
      <w:proofErr w:type="spellStart"/>
      <w:r>
        <w:t>Twisthaler</w:t>
      </w:r>
      <w:proofErr w:type="spellEnd"/>
      <w:r>
        <w:t xml:space="preserve"> 400 µg was 195 </w:t>
      </w:r>
      <w:r w:rsidR="00893613">
        <w:t>µ</w:t>
      </w:r>
      <w:r>
        <w:t xml:space="preserve">g. The fine particle mass corresponding to the nominal dose was determined, and based on these </w:t>
      </w:r>
      <w:r w:rsidRPr="3249B42A">
        <w:rPr>
          <w:i/>
          <w:iCs/>
        </w:rPr>
        <w:t>in</w:t>
      </w:r>
      <w:r w:rsidR="00893613">
        <w:rPr>
          <w:i/>
          <w:iCs/>
        </w:rPr>
        <w:t> </w:t>
      </w:r>
      <w:r w:rsidRPr="3249B42A">
        <w:rPr>
          <w:i/>
          <w:iCs/>
        </w:rPr>
        <w:t>vitro</w:t>
      </w:r>
      <w:r>
        <w:t xml:space="preserve"> data, the doses of </w:t>
      </w:r>
      <w:proofErr w:type="spellStart"/>
      <w:r w:rsidR="002C4A18">
        <w:t>mometasone</w:t>
      </w:r>
      <w:proofErr w:type="spellEnd"/>
      <w:r w:rsidR="002C4A18">
        <w:t xml:space="preserve"> </w:t>
      </w:r>
      <w:proofErr w:type="spellStart"/>
      <w:r w:rsidR="002C4A18">
        <w:t>furoate</w:t>
      </w:r>
      <w:proofErr w:type="spellEnd"/>
      <w:r>
        <w:t xml:space="preserve"> 80 µg, 160 µg and 320 µg in the Concept1</w:t>
      </w:r>
      <w:r w:rsidR="5F42F7C8">
        <w:t>Breezhaler</w:t>
      </w:r>
      <w:r>
        <w:t xml:space="preserve"> device</w:t>
      </w:r>
      <w:r w:rsidR="002C4A18">
        <w:t>;</w:t>
      </w:r>
      <w:r w:rsidR="008D5D7F">
        <w:fldChar w:fldCharType="begin"/>
      </w:r>
      <w:r w:rsidR="008D5D7F">
        <w:instrText xml:space="preserve"> NOTEREF _Ref55282123 \f \h </w:instrText>
      </w:r>
      <w:r w:rsidR="008D5D7F">
        <w:fldChar w:fldCharType="separate"/>
      </w:r>
      <w:r w:rsidR="00AD63FD" w:rsidRPr="00AD63FD">
        <w:rPr>
          <w:rStyle w:val="FootnoteReference"/>
        </w:rPr>
        <w:t>7</w:t>
      </w:r>
      <w:r w:rsidR="008D5D7F">
        <w:fldChar w:fldCharType="end"/>
      </w:r>
      <w:r>
        <w:t xml:space="preserve"> were considered comparable to the approved </w:t>
      </w:r>
      <w:proofErr w:type="spellStart"/>
      <w:r w:rsidR="002C4A18">
        <w:t>mometasone</w:t>
      </w:r>
      <w:proofErr w:type="spellEnd"/>
      <w:r w:rsidR="002C4A18">
        <w:t xml:space="preserve"> </w:t>
      </w:r>
      <w:proofErr w:type="spellStart"/>
      <w:r w:rsidR="002C4A18">
        <w:t>furoate</w:t>
      </w:r>
      <w:proofErr w:type="spellEnd"/>
      <w:r>
        <w:t xml:space="preserve"> doses of 200 µg, 400 µg and 800 µg in the </w:t>
      </w:r>
      <w:proofErr w:type="spellStart"/>
      <w:r>
        <w:t>Twisthaler</w:t>
      </w:r>
      <w:proofErr w:type="spellEnd"/>
      <w:r>
        <w:t xml:space="preserve"> device respectively.</w:t>
      </w:r>
    </w:p>
    <w:p w14:paraId="1A215C09" w14:textId="77777777" w:rsidR="00D215E3" w:rsidRPr="00F71BF0" w:rsidRDefault="00D215E3" w:rsidP="006D5E58">
      <w:pPr>
        <w:pStyle w:val="Heading4"/>
      </w:pPr>
      <w:r w:rsidRPr="006D5E58">
        <w:lastRenderedPageBreak/>
        <w:t>Efficacy</w:t>
      </w:r>
    </w:p>
    <w:p w14:paraId="0CD472C1" w14:textId="77777777" w:rsidR="00D215E3" w:rsidRDefault="00D215E3" w:rsidP="00D215E3">
      <w:r>
        <w:t xml:space="preserve">The </w:t>
      </w:r>
      <w:r w:rsidRPr="00F71BF0">
        <w:t>evidence of efficacy was provided in two Phase III studies in adults and adolescent patients</w:t>
      </w:r>
      <w:r>
        <w:t xml:space="preserve"> with asthma</w:t>
      </w:r>
      <w:r w:rsidR="002C4A18">
        <w:t>.</w:t>
      </w:r>
    </w:p>
    <w:p w14:paraId="4D431367" w14:textId="77777777" w:rsidR="006D5E58" w:rsidRDefault="006D5E58" w:rsidP="006D5E58">
      <w:pPr>
        <w:pStyle w:val="Heading5"/>
      </w:pPr>
      <w:r w:rsidRPr="00F71BF0">
        <w:t xml:space="preserve">Study </w:t>
      </w:r>
      <w:r w:rsidRPr="00D035EA">
        <w:t>CQVM149B2301</w:t>
      </w:r>
    </w:p>
    <w:p w14:paraId="214C4696" w14:textId="3487B7B5" w:rsidR="00D215E3" w:rsidRPr="00F71BF0" w:rsidRDefault="00D215E3" w:rsidP="00D215E3">
      <w:r>
        <w:t xml:space="preserve">Study CQVM149B2301 was a 52-week, active-controlled </w:t>
      </w:r>
      <w:r w:rsidR="002C4A18">
        <w:t>randomised control trial (</w:t>
      </w:r>
      <w:r>
        <w:t>RCT</w:t>
      </w:r>
      <w:r w:rsidR="002C4A18">
        <w:t>)</w:t>
      </w:r>
      <w:r>
        <w:t xml:space="preserve"> comparing the efficacy and safety of QMF149 150/160 µg (medium dose) and QMF149150/320 µg (high dose) delivered via Concept1</w:t>
      </w:r>
      <w:r w:rsidR="5F42F7C8">
        <w:t>Breezhaler</w:t>
      </w:r>
      <w:r>
        <w:t xml:space="preserve"> device</w:t>
      </w:r>
      <w:r w:rsidR="002C4A18">
        <w:t>;</w:t>
      </w:r>
      <w:r w:rsidR="008D5D7F">
        <w:fldChar w:fldCharType="begin"/>
      </w:r>
      <w:r w:rsidR="008D5D7F">
        <w:instrText xml:space="preserve"> NOTEREF _Ref55282123 \f \h </w:instrText>
      </w:r>
      <w:r w:rsidR="008D5D7F">
        <w:fldChar w:fldCharType="separate"/>
      </w:r>
      <w:r w:rsidR="00AD63FD" w:rsidRPr="00AD63FD">
        <w:rPr>
          <w:rStyle w:val="FootnoteReference"/>
        </w:rPr>
        <w:t>7</w:t>
      </w:r>
      <w:r w:rsidR="008D5D7F">
        <w:fldChar w:fldCharType="end"/>
      </w:r>
      <w:r>
        <w:t xml:space="preserve"> with corresponding doses of </w:t>
      </w:r>
      <w:proofErr w:type="spellStart"/>
      <w:r w:rsidR="002C4A18">
        <w:t>mometasone</w:t>
      </w:r>
      <w:proofErr w:type="spellEnd"/>
      <w:r w:rsidR="002C4A18">
        <w:t xml:space="preserve"> </w:t>
      </w:r>
      <w:proofErr w:type="spellStart"/>
      <w:r w:rsidR="002C4A18">
        <w:t>furoate</w:t>
      </w:r>
      <w:proofErr w:type="spellEnd"/>
      <w:r>
        <w:t xml:space="preserve"> (400 µg and 800 µg) delivered via </w:t>
      </w:r>
      <w:proofErr w:type="spellStart"/>
      <w:r>
        <w:t>Twisthaler</w:t>
      </w:r>
      <w:proofErr w:type="spellEnd"/>
      <w:r>
        <w:t xml:space="preserve"> device in patients with </w:t>
      </w:r>
      <w:r w:rsidR="002C4A18">
        <w:t>inadequately controlled asthma.</w:t>
      </w:r>
    </w:p>
    <w:p w14:paraId="063CBF1D" w14:textId="60E4216A" w:rsidR="00D215E3" w:rsidRPr="00F71BF0" w:rsidRDefault="00D215E3" w:rsidP="002C4A18">
      <w:pPr>
        <w:tabs>
          <w:tab w:val="left" w:pos="4536"/>
        </w:tabs>
        <w:rPr>
          <w:strike/>
        </w:rPr>
      </w:pPr>
      <w:r w:rsidRPr="00F71BF0">
        <w:t>The primary and key secondary objectives were to demonstrate superiority of QMF149</w:t>
      </w:r>
      <w:r w:rsidR="00B82B64">
        <w:t>;</w:t>
      </w:r>
      <w:r w:rsidR="00B82B64">
        <w:fldChar w:fldCharType="begin"/>
      </w:r>
      <w:r w:rsidR="00B82B64">
        <w:instrText xml:space="preserve"> NOTEREF _Ref54093901 \f \h </w:instrText>
      </w:r>
      <w:r w:rsidR="00B82B64">
        <w:fldChar w:fldCharType="separate"/>
      </w:r>
      <w:r w:rsidR="00AD63FD" w:rsidRPr="00AD63FD">
        <w:rPr>
          <w:rStyle w:val="FootnoteReference"/>
        </w:rPr>
        <w:t>8</w:t>
      </w:r>
      <w:r w:rsidR="00B82B64">
        <w:fldChar w:fldCharType="end"/>
      </w:r>
      <w:r w:rsidRPr="00F71BF0">
        <w:t xml:space="preserve"> over </w:t>
      </w:r>
      <w:proofErr w:type="spellStart"/>
      <w:r w:rsidR="002C4A18">
        <w:t>mometasone</w:t>
      </w:r>
      <w:proofErr w:type="spellEnd"/>
      <w:r w:rsidR="002C4A18">
        <w:t xml:space="preserve"> </w:t>
      </w:r>
      <w:proofErr w:type="spellStart"/>
      <w:r w:rsidR="002C4A18">
        <w:t>furoate</w:t>
      </w:r>
      <w:proofErr w:type="spellEnd"/>
      <w:r w:rsidRPr="00F71BF0">
        <w:t xml:space="preserve"> for trough FEV</w:t>
      </w:r>
      <w:r w:rsidRPr="00F71BF0">
        <w:rPr>
          <w:vertAlign w:val="subscript"/>
        </w:rPr>
        <w:t>1</w:t>
      </w:r>
      <w:r w:rsidR="002C4A18" w:rsidRPr="002C4A18">
        <w:t>;</w:t>
      </w:r>
      <w:bookmarkStart w:id="47" w:name="_Ref53577105"/>
      <w:r w:rsidR="002C4A18">
        <w:rPr>
          <w:rStyle w:val="FootnoteReference"/>
        </w:rPr>
        <w:footnoteReference w:id="15"/>
      </w:r>
      <w:bookmarkEnd w:id="47"/>
      <w:r w:rsidRPr="00F71BF0">
        <w:t xml:space="preserve"> and </w:t>
      </w:r>
      <w:r w:rsidR="00A64CF7">
        <w:t>on the A</w:t>
      </w:r>
      <w:r w:rsidR="002633BA">
        <w:t xml:space="preserve">sthma </w:t>
      </w:r>
      <w:r w:rsidR="00A64CF7">
        <w:t>C</w:t>
      </w:r>
      <w:r w:rsidR="002633BA">
        <w:t xml:space="preserve">ontrol </w:t>
      </w:r>
      <w:r w:rsidR="00A64CF7">
        <w:t>Q</w:t>
      </w:r>
      <w:r w:rsidR="002633BA">
        <w:t>uestionnaire</w:t>
      </w:r>
      <w:r w:rsidR="00A64CF7">
        <w:noBreakHyphen/>
      </w:r>
      <w:r w:rsidR="002633BA">
        <w:t>7 (ACQ</w:t>
      </w:r>
      <w:r w:rsidR="00A64CF7">
        <w:noBreakHyphen/>
      </w:r>
      <w:r w:rsidR="002633BA">
        <w:t>7)</w:t>
      </w:r>
      <w:r w:rsidR="002C4A18">
        <w:t>;</w:t>
      </w:r>
      <w:bookmarkStart w:id="48" w:name="_Ref53577183"/>
      <w:r w:rsidR="002C4A18">
        <w:rPr>
          <w:rStyle w:val="FootnoteReference"/>
        </w:rPr>
        <w:footnoteReference w:id="16"/>
      </w:r>
      <w:bookmarkEnd w:id="48"/>
      <w:r w:rsidRPr="00F71BF0">
        <w:t xml:space="preserve"> at Week 26 </w:t>
      </w:r>
      <w:r>
        <w:t xml:space="preserve">of treatment period </w:t>
      </w:r>
      <w:r w:rsidR="002C4A18">
        <w:t>respectively.</w:t>
      </w:r>
    </w:p>
    <w:p w14:paraId="637C6E1C" w14:textId="5B3A4B79" w:rsidR="00D215E3" w:rsidRPr="00F71BF0" w:rsidRDefault="00D215E3" w:rsidP="00D215E3">
      <w:r w:rsidRPr="00F71BF0">
        <w:t>There were multiple secondary endpoints including other lung function parameters, symptoms, rescue medication use and exacerbations. QMF149</w:t>
      </w:r>
      <w:r w:rsidR="00B82B64">
        <w:t>;</w:t>
      </w:r>
      <w:r w:rsidR="00B82B64">
        <w:fldChar w:fldCharType="begin"/>
      </w:r>
      <w:r w:rsidR="00B82B64">
        <w:instrText xml:space="preserve"> NOTEREF _Ref54093901 \f \h </w:instrText>
      </w:r>
      <w:r w:rsidR="00B82B64">
        <w:fldChar w:fldCharType="separate"/>
      </w:r>
      <w:r w:rsidR="00AD63FD" w:rsidRPr="00AD63FD">
        <w:rPr>
          <w:rStyle w:val="FootnoteReference"/>
        </w:rPr>
        <w:t>8</w:t>
      </w:r>
      <w:r w:rsidR="00B82B64">
        <w:fldChar w:fldCharType="end"/>
      </w:r>
      <w:r w:rsidRPr="00F71BF0">
        <w:t xml:space="preserve"> 150/320 µg </w:t>
      </w:r>
      <w:r w:rsidR="008B46F3">
        <w:t>versus</w:t>
      </w:r>
      <w:r w:rsidRPr="00F71BF0">
        <w:t xml:space="preserve"> </w:t>
      </w:r>
      <w:proofErr w:type="spellStart"/>
      <w:r w:rsidRPr="00F71BF0">
        <w:t>salmeterol</w:t>
      </w:r>
      <w:proofErr w:type="spellEnd"/>
      <w:r w:rsidRPr="00F71BF0">
        <w:t xml:space="preserve">/fluticasone 50/500 µg </w:t>
      </w:r>
      <w:r w:rsidR="00B82B64">
        <w:t>BID</w:t>
      </w:r>
      <w:r w:rsidRPr="00F71BF0">
        <w:t xml:space="preserve"> as current approved standard of care was assessed as an additional </w:t>
      </w:r>
      <w:r>
        <w:t>secondary comparison</w:t>
      </w:r>
      <w:r w:rsidRPr="00F71BF0">
        <w:t>.</w:t>
      </w:r>
    </w:p>
    <w:p w14:paraId="37991950" w14:textId="6797DB2A" w:rsidR="00D215E3" w:rsidRPr="00F71BF0" w:rsidRDefault="00D215E3" w:rsidP="00D215E3">
      <w:r w:rsidRPr="00F71BF0">
        <w:t>Adult and adolescent patients with asthma for at least 1 year who were symptomatic (ACQ</w:t>
      </w:r>
      <w:r w:rsidR="00A64CF7">
        <w:noBreakHyphen/>
        <w:t>7</w:t>
      </w:r>
      <w:r w:rsidR="00DB14F2">
        <w:t xml:space="preserve"> </w:t>
      </w:r>
      <w:r w:rsidRPr="00F71BF0">
        <w:t xml:space="preserve">score ≥ 1.5) on low </w:t>
      </w:r>
      <w:r w:rsidR="00B82B64">
        <w:t xml:space="preserve">dose ICS/LABA or medium to high </w:t>
      </w:r>
      <w:r w:rsidRPr="00F71BF0">
        <w:t>dose ICS with pre</w:t>
      </w:r>
      <w:r w:rsidR="00A64CF7">
        <w:noBreakHyphen/>
      </w:r>
      <w:r w:rsidRPr="00F71BF0">
        <w:t>bronchodilator FEV</w:t>
      </w:r>
      <w:r w:rsidRPr="00F71BF0">
        <w:rPr>
          <w:vertAlign w:val="subscript"/>
        </w:rPr>
        <w:t>1</w:t>
      </w:r>
      <w:r w:rsidR="002633BA" w:rsidRPr="002633BA">
        <w:t>;</w:t>
      </w:r>
      <w:r w:rsidR="002633BA">
        <w:rPr>
          <w:rStyle w:val="FootnoteReference"/>
        </w:rPr>
        <w:footnoteReference w:id="17"/>
      </w:r>
      <w:r w:rsidRPr="00F71BF0">
        <w:t xml:space="preserve"> </w:t>
      </w:r>
      <w:r w:rsidR="002633BA">
        <w:t>≥ 50 to</w:t>
      </w:r>
      <w:r w:rsidRPr="00F71BF0">
        <w:t xml:space="preserve"> &lt; 85% predicted and qualified for medium to high dose ICS/LABA treatmen</w:t>
      </w:r>
      <w:r w:rsidR="002C4A18">
        <w:t>t were eligible to participate.</w:t>
      </w:r>
    </w:p>
    <w:p w14:paraId="076CF68C" w14:textId="77777777" w:rsidR="00D215E3" w:rsidRPr="00F71BF0" w:rsidRDefault="00D215E3" w:rsidP="00D215E3">
      <w:pPr>
        <w:rPr>
          <w:strike/>
        </w:rPr>
      </w:pPr>
      <w:r w:rsidRPr="00F71BF0">
        <w:t>The study included 2216 randomised patients.</w:t>
      </w:r>
      <w:r w:rsidR="002633BA">
        <w:t xml:space="preserve"> Following 2 </w:t>
      </w:r>
      <w:r w:rsidRPr="00F71BF0">
        <w:t>week</w:t>
      </w:r>
      <w:r w:rsidR="002633BA">
        <w:t>s</w:t>
      </w:r>
      <w:r w:rsidRPr="00F71BF0">
        <w:t xml:space="preserve"> run-in where patients received low dose ICS (flut</w:t>
      </w:r>
      <w:r w:rsidR="00B82B64">
        <w:t xml:space="preserve">icasone </w:t>
      </w:r>
      <w:proofErr w:type="spellStart"/>
      <w:r w:rsidR="00B82B64">
        <w:t>proprionate</w:t>
      </w:r>
      <w:proofErr w:type="spellEnd"/>
      <w:r w:rsidR="00B82B64">
        <w:t xml:space="preserve"> </w:t>
      </w:r>
      <w:r w:rsidR="00B82B64" w:rsidRPr="00B82B64">
        <w:t>100 µg</w:t>
      </w:r>
      <w:r w:rsidR="00B82B64">
        <w:t xml:space="preserve"> BID</w:t>
      </w:r>
      <w:r w:rsidRPr="00F71BF0">
        <w:t xml:space="preserve"> or fluticasone low dose equivalent), patients were randomised in 1:1:1:1:1 </w:t>
      </w:r>
      <w:r w:rsidR="002633BA">
        <w:t>ratio to 1 of 5 treatment arms:</w:t>
      </w:r>
    </w:p>
    <w:p w14:paraId="7A3AFC39" w14:textId="75DB0190" w:rsidR="00D215E3" w:rsidRPr="00F71BF0" w:rsidRDefault="00D215E3" w:rsidP="002633BA">
      <w:pPr>
        <w:pStyle w:val="ListBullet"/>
      </w:pPr>
      <w:r>
        <w:t>QMF149</w:t>
      </w:r>
      <w:r w:rsidR="00B82B64">
        <w:t>;</w:t>
      </w:r>
      <w:r>
        <w:fldChar w:fldCharType="begin"/>
      </w:r>
      <w:r>
        <w:instrText xml:space="preserve"> NOTEREF _Ref54093901 \f \h </w:instrText>
      </w:r>
      <w:r>
        <w:fldChar w:fldCharType="separate"/>
      </w:r>
      <w:r w:rsidR="00AD63FD" w:rsidRPr="00AD63FD">
        <w:rPr>
          <w:rStyle w:val="FootnoteReference"/>
        </w:rPr>
        <w:t>8</w:t>
      </w:r>
      <w:r>
        <w:fldChar w:fldCharType="end"/>
      </w:r>
      <w:r>
        <w:t xml:space="preserve"> 150/160 µg via Concept1</w:t>
      </w:r>
      <w:r w:rsidR="5F42F7C8">
        <w:t>Breezhaler</w:t>
      </w:r>
      <w:r>
        <w:t xml:space="preserve"> device</w:t>
      </w:r>
      <w:r w:rsidR="008D5D7F">
        <w:t>;</w:t>
      </w:r>
      <w:r w:rsidR="008D5D7F">
        <w:fldChar w:fldCharType="begin"/>
      </w:r>
      <w:r w:rsidR="008D5D7F">
        <w:instrText xml:space="preserve"> NOTEREF _Ref55282123 \f \h </w:instrText>
      </w:r>
      <w:r w:rsidR="008D5D7F">
        <w:fldChar w:fldCharType="separate"/>
      </w:r>
      <w:r w:rsidR="00AD63FD" w:rsidRPr="00AD63FD">
        <w:rPr>
          <w:rStyle w:val="FootnoteReference"/>
        </w:rPr>
        <w:t>7</w:t>
      </w:r>
      <w:r w:rsidR="008D5D7F">
        <w:fldChar w:fldCharType="end"/>
      </w:r>
      <w:r>
        <w:t xml:space="preserve"> once daily in the evening</w:t>
      </w:r>
    </w:p>
    <w:p w14:paraId="43EB0CB8" w14:textId="20D5EC3D" w:rsidR="00D215E3" w:rsidRPr="00F71BF0" w:rsidRDefault="00D215E3" w:rsidP="002633BA">
      <w:pPr>
        <w:pStyle w:val="ListBullet"/>
      </w:pPr>
      <w:r>
        <w:t>QMF149 150/320 µg via Concept1</w:t>
      </w:r>
      <w:r w:rsidR="5F42F7C8">
        <w:t>Breezhaler</w:t>
      </w:r>
      <w:r>
        <w:t xml:space="preserve"> device once daily in the evening</w:t>
      </w:r>
    </w:p>
    <w:p w14:paraId="2B53CBFB" w14:textId="77777777" w:rsidR="00D215E3" w:rsidRPr="00F71BF0" w:rsidRDefault="002C4A18" w:rsidP="002633BA">
      <w:pPr>
        <w:pStyle w:val="ListBullet"/>
      </w:pPr>
      <w:proofErr w:type="spellStart"/>
      <w:r>
        <w:t>Mometasone</w:t>
      </w:r>
      <w:proofErr w:type="spellEnd"/>
      <w:r>
        <w:t xml:space="preserve"> </w:t>
      </w:r>
      <w:proofErr w:type="spellStart"/>
      <w:r>
        <w:t>furoate</w:t>
      </w:r>
      <w:proofErr w:type="spellEnd"/>
      <w:r w:rsidR="00D215E3" w:rsidRPr="00F71BF0">
        <w:t xml:space="preserve"> 400 µg via </w:t>
      </w:r>
      <w:proofErr w:type="spellStart"/>
      <w:r w:rsidR="00D215E3" w:rsidRPr="00F71BF0">
        <w:t>Twisthaler</w:t>
      </w:r>
      <w:proofErr w:type="spellEnd"/>
      <w:r w:rsidR="00D215E3" w:rsidRPr="00F71BF0">
        <w:t xml:space="preserve"> device once daily in the evening</w:t>
      </w:r>
    </w:p>
    <w:p w14:paraId="48C52D8E" w14:textId="77777777" w:rsidR="00D215E3" w:rsidRPr="00F71BF0" w:rsidRDefault="002C4A18" w:rsidP="002633BA">
      <w:pPr>
        <w:pStyle w:val="ListBullet"/>
      </w:pPr>
      <w:proofErr w:type="spellStart"/>
      <w:r>
        <w:t>Mometasone</w:t>
      </w:r>
      <w:proofErr w:type="spellEnd"/>
      <w:r>
        <w:t xml:space="preserve"> </w:t>
      </w:r>
      <w:proofErr w:type="spellStart"/>
      <w:r>
        <w:t>furoate</w:t>
      </w:r>
      <w:proofErr w:type="spellEnd"/>
      <w:r w:rsidR="00D215E3" w:rsidRPr="00F71BF0">
        <w:t xml:space="preserve"> 800 µg (administered as 400 µg </w:t>
      </w:r>
      <w:r w:rsidR="00B82B64">
        <w:t>BID</w:t>
      </w:r>
      <w:r w:rsidR="00D215E3" w:rsidRPr="00F71BF0">
        <w:t xml:space="preserve">) via </w:t>
      </w:r>
      <w:proofErr w:type="spellStart"/>
      <w:r w:rsidR="00D215E3" w:rsidRPr="00F71BF0">
        <w:t>Twisthaler</w:t>
      </w:r>
      <w:proofErr w:type="spellEnd"/>
      <w:r w:rsidR="00D215E3" w:rsidRPr="00F71BF0">
        <w:t xml:space="preserve"> device </w:t>
      </w:r>
    </w:p>
    <w:p w14:paraId="4F718477" w14:textId="77777777" w:rsidR="00D215E3" w:rsidRPr="00F71BF0" w:rsidRDefault="00D215E3" w:rsidP="002633BA">
      <w:pPr>
        <w:pStyle w:val="ListBullet"/>
      </w:pPr>
      <w:proofErr w:type="spellStart"/>
      <w:r w:rsidRPr="00F71BF0">
        <w:t>Salmeterol</w:t>
      </w:r>
      <w:proofErr w:type="spellEnd"/>
      <w:r w:rsidRPr="00F71BF0">
        <w:t xml:space="preserve"> </w:t>
      </w:r>
      <w:proofErr w:type="spellStart"/>
      <w:r w:rsidRPr="00F71BF0">
        <w:t>xinafoate</w:t>
      </w:r>
      <w:proofErr w:type="spellEnd"/>
      <w:r w:rsidRPr="00F71BF0">
        <w:t xml:space="preserve">/fluticasone </w:t>
      </w:r>
      <w:proofErr w:type="spellStart"/>
      <w:r w:rsidRPr="00F71BF0">
        <w:t>proprionate</w:t>
      </w:r>
      <w:proofErr w:type="spellEnd"/>
      <w:r w:rsidRPr="00F71BF0">
        <w:t xml:space="preserve"> 50/500 µg </w:t>
      </w:r>
      <w:r w:rsidR="00B82B64">
        <w:t>BID</w:t>
      </w:r>
      <w:r w:rsidRPr="00F71BF0">
        <w:t xml:space="preserve"> via </w:t>
      </w:r>
      <w:proofErr w:type="spellStart"/>
      <w:r w:rsidRPr="00F71BF0">
        <w:t>Accuhaler</w:t>
      </w:r>
      <w:proofErr w:type="spellEnd"/>
      <w:r w:rsidRPr="00F71BF0">
        <w:t xml:space="preserve"> device</w:t>
      </w:r>
    </w:p>
    <w:p w14:paraId="50F3A7F0" w14:textId="77777777" w:rsidR="00D215E3" w:rsidRPr="00F71BF0" w:rsidRDefault="00D215E3" w:rsidP="00D215E3">
      <w:r w:rsidRPr="00F71BF0">
        <w:t>Demographics and baseline disease characteristics were generally balanced across treatment groups. The study population included 107 (4.8%) adolescents and 297 (13.4%) adults aged ≥ 65 years. Prior to the study, approximately 70% were treated with low dose ICS/LABA and 27% with medium or high dose ICS. Most patients (69.5%) did not have an exacerbation within the previous 12 months; 24.1% reported 1 exacerbation and 6.5% &gt; 1 exacerbation. Mean ACQ-7 score was 2.30</w:t>
      </w:r>
      <w:r w:rsidR="002633BA">
        <w:t xml:space="preserve"> at B</w:t>
      </w:r>
      <w:r w:rsidRPr="00F71BF0">
        <w:t>aseline.</w:t>
      </w:r>
    </w:p>
    <w:p w14:paraId="2E7E92CE" w14:textId="0E552BF9" w:rsidR="00D215E3" w:rsidRPr="00F71BF0" w:rsidRDefault="00A64CF7" w:rsidP="00D215E3">
      <w:r>
        <w:t>The m</w:t>
      </w:r>
      <w:r w:rsidR="00D215E3" w:rsidRPr="00F71BF0">
        <w:t>ajority of randomised patients c</w:t>
      </w:r>
      <w:r w:rsidR="00652776">
        <w:t>ompleted 26 weeks of treatment.</w:t>
      </w:r>
    </w:p>
    <w:p w14:paraId="48D2C2E6" w14:textId="721D7B34" w:rsidR="00D215E3" w:rsidRPr="00F71BF0" w:rsidRDefault="00D215E3" w:rsidP="00D215E3">
      <w:r w:rsidRPr="00F71BF0">
        <w:t>The primary objective of the study was met, with superiority of both high and medium QMF149</w:t>
      </w:r>
      <w:r w:rsidR="005D66AB">
        <w:rPr>
          <w:rFonts w:asciiTheme="minorHAnsi" w:eastAsia="TimesNewRoman" w:hAnsiTheme="minorHAnsi" w:cs="TimesNewRoman"/>
          <w:color w:val="000000"/>
        </w:rPr>
        <w:t>;</w:t>
      </w:r>
      <w:r w:rsidR="005D66AB">
        <w:rPr>
          <w:rFonts w:asciiTheme="minorHAnsi" w:eastAsia="TimesNewRoman" w:hAnsiTheme="minorHAnsi" w:cs="TimesNewRoman"/>
          <w:color w:val="000000"/>
        </w:rPr>
        <w:fldChar w:fldCharType="begin"/>
      </w:r>
      <w:r w:rsidR="005D66AB">
        <w:rPr>
          <w:rFonts w:asciiTheme="minorHAnsi" w:eastAsia="TimesNewRoman" w:hAnsiTheme="minorHAnsi" w:cs="TimesNewRoman"/>
          <w:color w:val="000000"/>
        </w:rPr>
        <w:instrText xml:space="preserve"> NOTEREF _Ref54093901 \f \h </w:instrText>
      </w:r>
      <w:r w:rsidR="005D66AB">
        <w:rPr>
          <w:rFonts w:asciiTheme="minorHAnsi" w:eastAsia="TimesNewRoman" w:hAnsiTheme="minorHAnsi" w:cs="TimesNewRoman"/>
          <w:color w:val="000000"/>
        </w:rPr>
      </w:r>
      <w:r w:rsidR="005D66AB">
        <w:rPr>
          <w:rFonts w:asciiTheme="minorHAnsi" w:eastAsia="TimesNewRoman" w:hAnsiTheme="minorHAnsi" w:cs="TimesNewRoman"/>
          <w:color w:val="000000"/>
        </w:rPr>
        <w:fldChar w:fldCharType="separate"/>
      </w:r>
      <w:r w:rsidR="00AD63FD" w:rsidRPr="00AD63FD">
        <w:rPr>
          <w:rStyle w:val="FootnoteReference"/>
        </w:rPr>
        <w:t>8</w:t>
      </w:r>
      <w:r w:rsidR="005D66AB">
        <w:rPr>
          <w:rFonts w:asciiTheme="minorHAnsi" w:eastAsia="TimesNewRoman" w:hAnsiTheme="minorHAnsi" w:cs="TimesNewRoman"/>
          <w:color w:val="000000"/>
        </w:rPr>
        <w:fldChar w:fldCharType="end"/>
      </w:r>
      <w:r w:rsidRPr="00F71BF0">
        <w:t xml:space="preserve"> doses to corresponding </w:t>
      </w:r>
      <w:proofErr w:type="spellStart"/>
      <w:r w:rsidR="002C4A18">
        <w:t>mometasone</w:t>
      </w:r>
      <w:proofErr w:type="spellEnd"/>
      <w:r w:rsidR="002C4A18">
        <w:t xml:space="preserve"> </w:t>
      </w:r>
      <w:proofErr w:type="spellStart"/>
      <w:r w:rsidR="002C4A18">
        <w:t>furoate</w:t>
      </w:r>
      <w:proofErr w:type="spellEnd"/>
      <w:r w:rsidRPr="00F71BF0">
        <w:t xml:space="preserve"> doses demonstrated. After 26 weeks of treatment, the estimated treatment difference in trough FEV</w:t>
      </w:r>
      <w:r w:rsidRPr="00F71BF0">
        <w:rPr>
          <w:vertAlign w:val="subscript"/>
        </w:rPr>
        <w:t>1</w:t>
      </w:r>
      <w:r w:rsidR="006D5E58">
        <w:t>;</w:t>
      </w:r>
      <w:r w:rsidR="006D5E58">
        <w:fldChar w:fldCharType="begin"/>
      </w:r>
      <w:r w:rsidR="006D5E58">
        <w:instrText xml:space="preserve"> NOTEREF _Ref53577105 \f \h </w:instrText>
      </w:r>
      <w:r w:rsidR="006D5E58">
        <w:fldChar w:fldCharType="separate"/>
      </w:r>
      <w:r w:rsidR="00AD63FD" w:rsidRPr="00AD63FD">
        <w:rPr>
          <w:rStyle w:val="FootnoteReference"/>
        </w:rPr>
        <w:t>14</w:t>
      </w:r>
      <w:r w:rsidR="006D5E58">
        <w:fldChar w:fldCharType="end"/>
      </w:r>
      <w:r w:rsidR="00BA2D4B">
        <w:t xml:space="preserve"> was 0.130 L (95% confidence interval (CI)</w:t>
      </w:r>
      <w:r w:rsidRPr="00F71BF0">
        <w:t>: 0.086, 0.173; p &lt; 0.001) for QMF149</w:t>
      </w:r>
      <w:r w:rsidR="00BA2D4B">
        <w:t>;</w:t>
      </w:r>
      <w:r w:rsidR="00BA2D4B">
        <w:fldChar w:fldCharType="begin"/>
      </w:r>
      <w:r w:rsidR="00BA2D4B">
        <w:instrText xml:space="preserve"> NOTEREF _Ref54093901 \f \h </w:instrText>
      </w:r>
      <w:r w:rsidR="00BA2D4B">
        <w:fldChar w:fldCharType="separate"/>
      </w:r>
      <w:r w:rsidR="00AD63FD" w:rsidRPr="00AD63FD">
        <w:rPr>
          <w:rStyle w:val="FootnoteReference"/>
        </w:rPr>
        <w:t>8</w:t>
      </w:r>
      <w:r w:rsidR="00BA2D4B">
        <w:fldChar w:fldCharType="end"/>
      </w:r>
      <w:r w:rsidRPr="00F71BF0">
        <w:t xml:space="preserve"> 150/320 µg v</w:t>
      </w:r>
      <w:r w:rsidR="006D5E58">
        <w:t>er</w:t>
      </w:r>
      <w:r w:rsidRPr="00F71BF0">
        <w:t>s</w:t>
      </w:r>
      <w:r w:rsidR="006D5E58">
        <w:t>us</w:t>
      </w:r>
      <w:r w:rsidRPr="00F71BF0">
        <w:t xml:space="preserve"> </w:t>
      </w:r>
      <w:proofErr w:type="spellStart"/>
      <w:r w:rsidR="002C4A18">
        <w:lastRenderedPageBreak/>
        <w:t>mometasone</w:t>
      </w:r>
      <w:proofErr w:type="spellEnd"/>
      <w:r w:rsidR="002C4A18">
        <w:t xml:space="preserve"> </w:t>
      </w:r>
      <w:proofErr w:type="spellStart"/>
      <w:r w:rsidR="002C4A18">
        <w:t>furoate</w:t>
      </w:r>
      <w:proofErr w:type="spellEnd"/>
      <w:r w:rsidRPr="00F71BF0">
        <w:t xml:space="preserve"> 800 µg and 0.211 L (95% CI: 0.167, 0.255; p &lt; 0.001) for QMF149 150/160 µg v</w:t>
      </w:r>
      <w:r w:rsidR="006D5E58">
        <w:t>er</w:t>
      </w:r>
      <w:r w:rsidRPr="00F71BF0">
        <w:t>s</w:t>
      </w:r>
      <w:r w:rsidR="006D5E58">
        <w:t>us</w:t>
      </w:r>
      <w:r w:rsidRPr="00F71BF0">
        <w:t xml:space="preserve"> </w:t>
      </w:r>
      <w:proofErr w:type="spellStart"/>
      <w:r w:rsidR="002C4A18">
        <w:t>mometasone</w:t>
      </w:r>
      <w:proofErr w:type="spellEnd"/>
      <w:r w:rsidR="002C4A18">
        <w:t xml:space="preserve"> </w:t>
      </w:r>
      <w:proofErr w:type="spellStart"/>
      <w:r w:rsidR="002C4A18">
        <w:t>furoate</w:t>
      </w:r>
      <w:proofErr w:type="spellEnd"/>
      <w:r w:rsidRPr="00F71BF0">
        <w:t xml:space="preserve"> 400 µg</w:t>
      </w:r>
      <w:r w:rsidR="006D5E58">
        <w:t>.</w:t>
      </w:r>
    </w:p>
    <w:p w14:paraId="588BD821" w14:textId="28224E93" w:rsidR="00D215E3" w:rsidRPr="00F71BF0" w:rsidRDefault="00D215E3" w:rsidP="00D215E3">
      <w:r w:rsidRPr="00F71BF0">
        <w:t>Non-inferiority of QMF149</w:t>
      </w:r>
      <w:r w:rsidR="00BA2D4B">
        <w:t>;</w:t>
      </w:r>
      <w:r w:rsidR="00BA2D4B">
        <w:fldChar w:fldCharType="begin"/>
      </w:r>
      <w:r w:rsidR="00BA2D4B">
        <w:instrText xml:space="preserve"> NOTEREF _Ref54093901 \f \h </w:instrText>
      </w:r>
      <w:r w:rsidR="00BA2D4B">
        <w:fldChar w:fldCharType="separate"/>
      </w:r>
      <w:r w:rsidR="00AD63FD" w:rsidRPr="00AD63FD">
        <w:rPr>
          <w:rStyle w:val="FootnoteReference"/>
        </w:rPr>
        <w:t>8</w:t>
      </w:r>
      <w:r w:rsidR="00BA2D4B">
        <w:fldChar w:fldCharType="end"/>
      </w:r>
      <w:r w:rsidRPr="00F71BF0">
        <w:t xml:space="preserve"> 150/320 µg to </w:t>
      </w:r>
      <w:proofErr w:type="spellStart"/>
      <w:r w:rsidRPr="00F71BF0">
        <w:t>salmeterol</w:t>
      </w:r>
      <w:proofErr w:type="spellEnd"/>
      <w:r w:rsidRPr="00F71BF0">
        <w:t xml:space="preserve"> /fluticasone 50/500 µg</w:t>
      </w:r>
      <w:r w:rsidR="006D5E58">
        <w:t xml:space="preserve"> was demonstrated.</w:t>
      </w:r>
    </w:p>
    <w:p w14:paraId="07EF5D62" w14:textId="2823CB72" w:rsidR="00D215E3" w:rsidRPr="00F71BF0" w:rsidRDefault="00D215E3" w:rsidP="00D215E3">
      <w:r w:rsidRPr="00F71BF0">
        <w:t>Subgroup analysis by age showed improvements in trough</w:t>
      </w:r>
      <w:r w:rsidR="006D5E58">
        <w:t xml:space="preserve"> FEV</w:t>
      </w:r>
      <w:r w:rsidR="006D5E58" w:rsidRPr="006D5E58">
        <w:rPr>
          <w:vertAlign w:val="subscript"/>
        </w:rPr>
        <w:t>1</w:t>
      </w:r>
      <w:r w:rsidR="006D5E58">
        <w:t>;</w:t>
      </w:r>
      <w:r w:rsidR="006D5E58">
        <w:fldChar w:fldCharType="begin"/>
      </w:r>
      <w:r w:rsidR="006D5E58">
        <w:instrText xml:space="preserve"> NOTEREF _Ref53577105 \f \h </w:instrText>
      </w:r>
      <w:r w:rsidR="006D5E58">
        <w:fldChar w:fldCharType="separate"/>
      </w:r>
      <w:r w:rsidR="00AD63FD" w:rsidRPr="00AD63FD">
        <w:rPr>
          <w:rStyle w:val="FootnoteReference"/>
        </w:rPr>
        <w:t>14</w:t>
      </w:r>
      <w:r w:rsidR="006D5E58">
        <w:fldChar w:fldCharType="end"/>
      </w:r>
      <w:r w:rsidRPr="00F71BF0">
        <w:t xml:space="preserve"> for adolescents were </w:t>
      </w:r>
      <w:r w:rsidR="006D5E58">
        <w:t>comparable to those for adults.</w:t>
      </w:r>
    </w:p>
    <w:p w14:paraId="04DE2197" w14:textId="7F8C1995" w:rsidR="00D215E3" w:rsidRPr="00F71BF0" w:rsidRDefault="00D215E3" w:rsidP="00D215E3">
      <w:r w:rsidRPr="00F71BF0">
        <w:t>The key secondary objective was met; after 26 weeks of treatment</w:t>
      </w:r>
      <w:r w:rsidR="00A64CF7">
        <w:t>,</w:t>
      </w:r>
      <w:r w:rsidRPr="00F71BF0">
        <w:t xml:space="preserve"> the </w:t>
      </w:r>
      <w:r w:rsidR="006D5E58">
        <w:t>least square (</w:t>
      </w:r>
      <w:r w:rsidRPr="00F71BF0">
        <w:t>LS</w:t>
      </w:r>
      <w:r w:rsidR="006D5E58">
        <w:t>)</w:t>
      </w:r>
      <w:r w:rsidRPr="00F71BF0">
        <w:t xml:space="preserve"> </w:t>
      </w:r>
      <w:r w:rsidR="00A64CF7">
        <w:t xml:space="preserve">of the </w:t>
      </w:r>
      <w:r w:rsidRPr="00F71BF0">
        <w:t>mean</w:t>
      </w:r>
      <w:r w:rsidR="006D5E58">
        <w:t>;</w:t>
      </w:r>
      <w:r w:rsidR="006D5E58">
        <w:rPr>
          <w:rStyle w:val="FootnoteReference"/>
        </w:rPr>
        <w:footnoteReference w:id="18"/>
      </w:r>
      <w:r w:rsidRPr="00F71BF0">
        <w:t xml:space="preserve"> treatment difference in ACQ-7</w:t>
      </w:r>
      <w:r w:rsidR="006D5E58">
        <w:t>;</w:t>
      </w:r>
      <w:r w:rsidR="006D5E58">
        <w:fldChar w:fldCharType="begin"/>
      </w:r>
      <w:r w:rsidR="006D5E58">
        <w:instrText xml:space="preserve"> NOTEREF _Ref53577183 \f \h </w:instrText>
      </w:r>
      <w:r w:rsidR="006D5E58">
        <w:fldChar w:fldCharType="separate"/>
      </w:r>
      <w:r w:rsidR="00AD63FD" w:rsidRPr="00AD63FD">
        <w:rPr>
          <w:rStyle w:val="FootnoteReference"/>
        </w:rPr>
        <w:t>15</w:t>
      </w:r>
      <w:r w:rsidR="006D5E58">
        <w:fldChar w:fldCharType="end"/>
      </w:r>
      <w:r w:rsidRPr="00F71BF0">
        <w:t xml:space="preserve"> score for pooled QMF149</w:t>
      </w:r>
      <w:r w:rsidR="00BA2D4B">
        <w:t>;</w:t>
      </w:r>
      <w:r w:rsidR="00BA2D4B">
        <w:fldChar w:fldCharType="begin"/>
      </w:r>
      <w:r w:rsidR="00BA2D4B">
        <w:instrText xml:space="preserve"> NOTEREF _Ref54093901 \f \h </w:instrText>
      </w:r>
      <w:r w:rsidR="00BA2D4B">
        <w:fldChar w:fldCharType="separate"/>
      </w:r>
      <w:r w:rsidR="00AD63FD" w:rsidRPr="00AD63FD">
        <w:rPr>
          <w:rStyle w:val="FootnoteReference"/>
        </w:rPr>
        <w:t>8</w:t>
      </w:r>
      <w:r w:rsidR="00BA2D4B">
        <w:fldChar w:fldCharType="end"/>
      </w:r>
      <w:r w:rsidRPr="00F71BF0">
        <w:t xml:space="preserve"> v</w:t>
      </w:r>
      <w:r w:rsidR="006D5E58">
        <w:t>er</w:t>
      </w:r>
      <w:r w:rsidRPr="00F71BF0">
        <w:t>s</w:t>
      </w:r>
      <w:r w:rsidR="006D5E58">
        <w:t>us</w:t>
      </w:r>
      <w:r w:rsidRPr="00F71BF0">
        <w:t xml:space="preserve"> pooled </w:t>
      </w:r>
      <w:proofErr w:type="spellStart"/>
      <w:r w:rsidR="002C4A18">
        <w:t>mometasone</w:t>
      </w:r>
      <w:proofErr w:type="spellEnd"/>
      <w:r w:rsidR="002C4A18">
        <w:t xml:space="preserve"> </w:t>
      </w:r>
      <w:proofErr w:type="spellStart"/>
      <w:r w:rsidR="002C4A18">
        <w:t>furoate</w:t>
      </w:r>
      <w:proofErr w:type="spellEnd"/>
      <w:r w:rsidR="006D5E58">
        <w:t xml:space="preserve"> was 0.209 (95% CI: 0.270, </w:t>
      </w:r>
      <w:r w:rsidR="00BA2D4B">
        <w:t>0.148, p &lt; 0.001).</w:t>
      </w:r>
    </w:p>
    <w:p w14:paraId="58BB5F0B" w14:textId="71C45DA3" w:rsidR="00D215E3" w:rsidRPr="00F71BF0" w:rsidRDefault="00D215E3" w:rsidP="00D215E3">
      <w:r w:rsidRPr="00F71BF0">
        <w:t>There were 76.3% patients in the pooled QMF149</w:t>
      </w:r>
      <w:r w:rsidR="00BA2D4B">
        <w:t>;</w:t>
      </w:r>
      <w:r w:rsidR="00BA2D4B">
        <w:fldChar w:fldCharType="begin"/>
      </w:r>
      <w:r w:rsidR="00BA2D4B">
        <w:instrText xml:space="preserve"> NOTEREF _Ref54093901 \f \h </w:instrText>
      </w:r>
      <w:r w:rsidR="00BA2D4B">
        <w:fldChar w:fldCharType="separate"/>
      </w:r>
      <w:r w:rsidR="00AD63FD" w:rsidRPr="00AD63FD">
        <w:rPr>
          <w:rStyle w:val="FootnoteReference"/>
        </w:rPr>
        <w:t>8</w:t>
      </w:r>
      <w:r w:rsidR="00BA2D4B">
        <w:fldChar w:fldCharType="end"/>
      </w:r>
      <w:r w:rsidRPr="00F71BF0">
        <w:t xml:space="preserve"> group and 69.7% patients in the pooled </w:t>
      </w:r>
      <w:proofErr w:type="spellStart"/>
      <w:r w:rsidR="002C4A18">
        <w:t>mometasone</w:t>
      </w:r>
      <w:proofErr w:type="spellEnd"/>
      <w:r w:rsidR="002C4A18">
        <w:t xml:space="preserve"> </w:t>
      </w:r>
      <w:proofErr w:type="spellStart"/>
      <w:r w:rsidR="002C4A18">
        <w:t>furoate</w:t>
      </w:r>
      <w:proofErr w:type="spellEnd"/>
      <w:r w:rsidRPr="00F71BF0">
        <w:t xml:space="preserve"> group who were responders (i</w:t>
      </w:r>
      <w:r w:rsidR="006D5E58">
        <w:t>mprovement in ACQ-7 score from B</w:t>
      </w:r>
      <w:r w:rsidRPr="00F71BF0">
        <w:t>aseline by the minimal clinically important difference of ≥ 0.5 units); odds r</w:t>
      </w:r>
      <w:r w:rsidR="006D5E58">
        <w:t>atio 1.51 (95% CI: 1.21, 1.89).</w:t>
      </w:r>
    </w:p>
    <w:p w14:paraId="273A03E3" w14:textId="415BE9CC" w:rsidR="00D215E3" w:rsidRPr="00F71BF0" w:rsidRDefault="00D215E3" w:rsidP="00D215E3">
      <w:r w:rsidRPr="00F71BF0">
        <w:t>The proportion of patients with exacerbations was lower in the QMF149</w:t>
      </w:r>
      <w:r w:rsidR="00BA2D4B">
        <w:t>;</w:t>
      </w:r>
      <w:r w:rsidR="00BA2D4B">
        <w:fldChar w:fldCharType="begin"/>
      </w:r>
      <w:r w:rsidR="00BA2D4B">
        <w:instrText xml:space="preserve"> NOTEREF _Ref54093901 \f \h </w:instrText>
      </w:r>
      <w:r w:rsidR="00BA2D4B">
        <w:fldChar w:fldCharType="separate"/>
      </w:r>
      <w:r w:rsidR="00AD63FD" w:rsidRPr="00AD63FD">
        <w:rPr>
          <w:rStyle w:val="FootnoteReference"/>
        </w:rPr>
        <w:t>8</w:t>
      </w:r>
      <w:r w:rsidR="00BA2D4B">
        <w:fldChar w:fldCharType="end"/>
      </w:r>
      <w:r w:rsidRPr="00F71BF0">
        <w:t xml:space="preserve"> treatment groups than the </w:t>
      </w:r>
      <w:proofErr w:type="spellStart"/>
      <w:r w:rsidR="002C4A18">
        <w:t>mometasone</w:t>
      </w:r>
      <w:proofErr w:type="spellEnd"/>
      <w:r w:rsidR="002C4A18">
        <w:t xml:space="preserve"> </w:t>
      </w:r>
      <w:proofErr w:type="spellStart"/>
      <w:r w:rsidR="002C4A18">
        <w:t>furoate</w:t>
      </w:r>
      <w:proofErr w:type="spellEnd"/>
      <w:r w:rsidRPr="00F71BF0">
        <w:t xml:space="preserve"> treatment groups. The rate of moderate or severe exacerbations was reduced for both QMF149</w:t>
      </w:r>
      <w:r w:rsidR="00BA2D4B">
        <w:t>;</w:t>
      </w:r>
      <w:r w:rsidR="00BA2D4B">
        <w:fldChar w:fldCharType="begin"/>
      </w:r>
      <w:r w:rsidR="00BA2D4B">
        <w:instrText xml:space="preserve"> NOTEREF _Ref54093901 \f \h </w:instrText>
      </w:r>
      <w:r w:rsidR="00BA2D4B">
        <w:fldChar w:fldCharType="separate"/>
      </w:r>
      <w:r w:rsidR="00AD63FD" w:rsidRPr="00AD63FD">
        <w:rPr>
          <w:rStyle w:val="FootnoteReference"/>
        </w:rPr>
        <w:t>8</w:t>
      </w:r>
      <w:r w:rsidR="00BA2D4B">
        <w:fldChar w:fldCharType="end"/>
      </w:r>
      <w:r w:rsidRPr="00F71BF0">
        <w:t xml:space="preserve"> 150/320 µg v</w:t>
      </w:r>
      <w:r w:rsidR="006D5E58">
        <w:t>er</w:t>
      </w:r>
      <w:r w:rsidRPr="00F71BF0">
        <w:t>s</w:t>
      </w:r>
      <w:r w:rsidR="006D5E58">
        <w:t>us</w:t>
      </w:r>
      <w:r w:rsidRPr="00F71BF0">
        <w:t xml:space="preserve">. </w:t>
      </w:r>
      <w:proofErr w:type="spellStart"/>
      <w:r w:rsidR="002C4A18">
        <w:t>mometasone</w:t>
      </w:r>
      <w:proofErr w:type="spellEnd"/>
      <w:r w:rsidR="002C4A18">
        <w:t xml:space="preserve"> </w:t>
      </w:r>
      <w:proofErr w:type="spellStart"/>
      <w:r w:rsidR="002C4A18">
        <w:t>furoate</w:t>
      </w:r>
      <w:proofErr w:type="spellEnd"/>
      <w:r w:rsidRPr="00F71BF0">
        <w:t xml:space="preserve"> 800 µg (rate ratio 0.60; 95% CI: 0.43, 0.83) and QMF149</w:t>
      </w:r>
      <w:r w:rsidR="00BA2D4B">
        <w:t>;</w:t>
      </w:r>
      <w:r w:rsidR="00BA2D4B">
        <w:fldChar w:fldCharType="begin"/>
      </w:r>
      <w:r w:rsidR="00BA2D4B">
        <w:instrText xml:space="preserve"> NOTEREF _Ref54093901 \f \h </w:instrText>
      </w:r>
      <w:r w:rsidR="00BA2D4B">
        <w:fldChar w:fldCharType="separate"/>
      </w:r>
      <w:r w:rsidR="00AD63FD" w:rsidRPr="00AD63FD">
        <w:rPr>
          <w:rStyle w:val="FootnoteReference"/>
        </w:rPr>
        <w:t>8</w:t>
      </w:r>
      <w:r w:rsidR="00BA2D4B">
        <w:fldChar w:fldCharType="end"/>
      </w:r>
      <w:r w:rsidRPr="00F71BF0">
        <w:t xml:space="preserve"> 150/160 µg v</w:t>
      </w:r>
      <w:r w:rsidR="006D5E58">
        <w:t>er</w:t>
      </w:r>
      <w:r w:rsidRPr="00F71BF0">
        <w:t>s</w:t>
      </w:r>
      <w:r w:rsidR="006D5E58">
        <w:t>us</w:t>
      </w:r>
      <w:r w:rsidRPr="00F71BF0">
        <w:t xml:space="preserve">. </w:t>
      </w:r>
      <w:proofErr w:type="spellStart"/>
      <w:r w:rsidR="002C4A18">
        <w:t>mometasone</w:t>
      </w:r>
      <w:proofErr w:type="spellEnd"/>
      <w:r w:rsidR="002C4A18">
        <w:t xml:space="preserve"> </w:t>
      </w:r>
      <w:proofErr w:type="spellStart"/>
      <w:r w:rsidR="002C4A18">
        <w:t>furoate</w:t>
      </w:r>
      <w:proofErr w:type="spellEnd"/>
      <w:r w:rsidRPr="00F71BF0">
        <w:t xml:space="preserve"> 400 µg (rate ratio 0.49; 95% CI: 0.36, 0.68). The reduction in the rate of moderate or severe exacerbations was similar for QMF</w:t>
      </w:r>
      <w:r w:rsidR="00BA2D4B">
        <w:t>149</w:t>
      </w:r>
      <w:r w:rsidR="00652776">
        <w:t>;</w:t>
      </w:r>
      <w:r w:rsidR="00BA2D4B">
        <w:fldChar w:fldCharType="begin"/>
      </w:r>
      <w:r w:rsidR="00BA2D4B">
        <w:instrText xml:space="preserve"> NOTEREF _Ref54093901 \f \h </w:instrText>
      </w:r>
      <w:r w:rsidR="00BA2D4B">
        <w:fldChar w:fldCharType="separate"/>
      </w:r>
      <w:r w:rsidR="00AD63FD" w:rsidRPr="00AD63FD">
        <w:rPr>
          <w:rStyle w:val="FootnoteReference"/>
        </w:rPr>
        <w:t>8</w:t>
      </w:r>
      <w:r w:rsidR="00BA2D4B">
        <w:fldChar w:fldCharType="end"/>
      </w:r>
      <w:r w:rsidRPr="00F71BF0">
        <w:t xml:space="preserve">150/320 µg and </w:t>
      </w:r>
      <w:proofErr w:type="spellStart"/>
      <w:r w:rsidRPr="00F71BF0">
        <w:t>salmeterol</w:t>
      </w:r>
      <w:proofErr w:type="spellEnd"/>
      <w:r w:rsidRPr="00F71BF0">
        <w:t>/</w:t>
      </w:r>
      <w:r w:rsidR="00A64CF7">
        <w:t xml:space="preserve"> </w:t>
      </w:r>
      <w:r w:rsidRPr="00F71BF0">
        <w:t>fluticasone 50/500 µg.</w:t>
      </w:r>
    </w:p>
    <w:p w14:paraId="77B3DB9A" w14:textId="77777777" w:rsidR="00D215E3" w:rsidRPr="00F71BF0" w:rsidRDefault="00D215E3" w:rsidP="00D215E3">
      <w:r w:rsidRPr="00F71BF0">
        <w:t>Secondary endpoints relating to other lung function parameters, symptoms, rescue medication use and quality of life sco</w:t>
      </w:r>
      <w:r w:rsidR="006D5E58">
        <w:t>res were supportive.</w:t>
      </w:r>
    </w:p>
    <w:p w14:paraId="49FC8F5E" w14:textId="1696D735" w:rsidR="00D215E3" w:rsidRDefault="00D215E3" w:rsidP="00D215E3">
      <w:r w:rsidRPr="00F71BF0">
        <w:t>Wee</w:t>
      </w:r>
      <w:r w:rsidR="00BA2D4B">
        <w:t xml:space="preserve">k 52 data were provided by the sponsor at </w:t>
      </w:r>
      <w:r w:rsidR="00A64CF7">
        <w:t>the second round of evaluation</w:t>
      </w:r>
      <w:r w:rsidRPr="00F71BF0">
        <w:t>; efficacy results observed at Week 26 were maintained. Similar trends in</w:t>
      </w:r>
      <w:r>
        <w:t xml:space="preserve"> the rate of</w:t>
      </w:r>
      <w:r w:rsidR="006D5E58">
        <w:t xml:space="preserve"> exacerbations were observed.</w:t>
      </w:r>
    </w:p>
    <w:p w14:paraId="7914DCB1" w14:textId="77777777" w:rsidR="006D5E58" w:rsidRDefault="006D5E58" w:rsidP="006D5E58">
      <w:pPr>
        <w:pStyle w:val="Heading5"/>
      </w:pPr>
      <w:r w:rsidRPr="006D5E58">
        <w:t>Study CQVM149B2303</w:t>
      </w:r>
    </w:p>
    <w:p w14:paraId="30636072" w14:textId="5A6E23D9" w:rsidR="00D215E3" w:rsidRPr="00F71BF0" w:rsidRDefault="00D215E3" w:rsidP="00D215E3">
      <w:r>
        <w:t>Study CQVM149B2303 was a 12-week</w:t>
      </w:r>
      <w:r w:rsidR="00A64CF7">
        <w:t xml:space="preserve"> </w:t>
      </w:r>
      <w:r>
        <w:t>RCT comparing the efficacy and safety of low dose QMF149</w:t>
      </w:r>
      <w:r w:rsidR="00F00D6A">
        <w:t>;</w:t>
      </w:r>
      <w:r>
        <w:fldChar w:fldCharType="begin"/>
      </w:r>
      <w:r>
        <w:instrText xml:space="preserve"> NOTEREF _Ref54093901 \f \h </w:instrText>
      </w:r>
      <w:r>
        <w:fldChar w:fldCharType="separate"/>
      </w:r>
      <w:r w:rsidR="00AD63FD" w:rsidRPr="00AD63FD">
        <w:rPr>
          <w:rStyle w:val="FootnoteReference"/>
        </w:rPr>
        <w:t>8</w:t>
      </w:r>
      <w:r>
        <w:fldChar w:fldCharType="end"/>
      </w:r>
      <w:r>
        <w:t xml:space="preserve"> 150/80 µg via Concept1</w:t>
      </w:r>
      <w:r w:rsidR="5F42F7C8">
        <w:t>Breezhaler</w:t>
      </w:r>
      <w:r>
        <w:t xml:space="preserve"> device</w:t>
      </w:r>
      <w:r w:rsidR="008D5D7F">
        <w:t>;</w:t>
      </w:r>
      <w:r w:rsidR="008D5D7F">
        <w:fldChar w:fldCharType="begin"/>
      </w:r>
      <w:r w:rsidR="008D5D7F">
        <w:instrText xml:space="preserve"> NOTEREF _Ref55282123 \f \h </w:instrText>
      </w:r>
      <w:r w:rsidR="008D5D7F">
        <w:fldChar w:fldCharType="separate"/>
      </w:r>
      <w:r w:rsidR="00AD63FD" w:rsidRPr="00AD63FD">
        <w:rPr>
          <w:rStyle w:val="FootnoteReference"/>
        </w:rPr>
        <w:t>7</w:t>
      </w:r>
      <w:r w:rsidR="008D5D7F">
        <w:fldChar w:fldCharType="end"/>
      </w:r>
      <w:r>
        <w:t xml:space="preserve"> with </w:t>
      </w:r>
      <w:proofErr w:type="spellStart"/>
      <w:r w:rsidR="002C4A18">
        <w:t>mometasone</w:t>
      </w:r>
      <w:proofErr w:type="spellEnd"/>
      <w:r w:rsidR="002C4A18">
        <w:t xml:space="preserve"> </w:t>
      </w:r>
      <w:proofErr w:type="spellStart"/>
      <w:r w:rsidR="002C4A18">
        <w:t>furoate</w:t>
      </w:r>
      <w:proofErr w:type="spellEnd"/>
      <w:r>
        <w:t xml:space="preserve"> 200 µg via </w:t>
      </w:r>
      <w:proofErr w:type="spellStart"/>
      <w:r>
        <w:t>Twisthaler</w:t>
      </w:r>
      <w:proofErr w:type="spellEnd"/>
      <w:r>
        <w:t xml:space="preserve"> device in patients with inadequately controlled asthma. The primary and key secondary objectives were identical to Study CQVM149B2301 and assessed</w:t>
      </w:r>
      <w:r w:rsidR="006D5E58">
        <w:t xml:space="preserve"> after 12</w:t>
      </w:r>
      <w:r w:rsidR="00A64CF7">
        <w:t> </w:t>
      </w:r>
      <w:r w:rsidR="006D5E58">
        <w:t>weeks of treatment.</w:t>
      </w:r>
    </w:p>
    <w:p w14:paraId="6F77CFDA" w14:textId="77777777" w:rsidR="00D215E3" w:rsidRPr="00F71BF0" w:rsidRDefault="00D215E3" w:rsidP="00D215E3">
      <w:r w:rsidRPr="00F71BF0">
        <w:t>Adult and adolescent patients with asthma for at least 3 months who were symptomatic (ACQ score ≥ 1.5 for all adults and those adolescents on ICS, ≥ 1 and &lt; 1.5 for adolescents on ICS/LABA) who qualified for treatment with low dose ICS/LAB</w:t>
      </w:r>
      <w:r w:rsidR="00652776">
        <w:t>A were eligible to participate.</w:t>
      </w:r>
    </w:p>
    <w:p w14:paraId="626DC140" w14:textId="26A0B9BB" w:rsidR="00D215E3" w:rsidRPr="00F71BF0" w:rsidRDefault="006D5E58" w:rsidP="00D215E3">
      <w:r>
        <w:t xml:space="preserve">Following a 3 </w:t>
      </w:r>
      <w:r w:rsidR="00D215E3" w:rsidRPr="00F71BF0">
        <w:t>week</w:t>
      </w:r>
      <w:r>
        <w:t>s</w:t>
      </w:r>
      <w:r w:rsidR="00D215E3" w:rsidRPr="00F71BF0">
        <w:t xml:space="preserve"> run-in with low dose fluticasone propionate, patients were randomised in 1:1 ratio to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00D215E3" w:rsidRPr="00F71BF0">
        <w:t xml:space="preserve"> 150/80 µg or </w:t>
      </w:r>
      <w:proofErr w:type="spellStart"/>
      <w:r w:rsidR="002C4A18">
        <w:t>mometasone</w:t>
      </w:r>
      <w:proofErr w:type="spellEnd"/>
      <w:r w:rsidR="002C4A18">
        <w:t xml:space="preserve"> </w:t>
      </w:r>
      <w:proofErr w:type="spellStart"/>
      <w:r w:rsidR="002C4A18">
        <w:t>furoate</w:t>
      </w:r>
      <w:proofErr w:type="spellEnd"/>
      <w:r w:rsidR="00D215E3" w:rsidRPr="00F71BF0">
        <w:t xml:space="preserve"> 200 µg</w:t>
      </w:r>
      <w:r>
        <w:t>.</w:t>
      </w:r>
    </w:p>
    <w:p w14:paraId="279B9330" w14:textId="77777777" w:rsidR="00D215E3" w:rsidRPr="00F71BF0" w:rsidRDefault="00D215E3" w:rsidP="00D215E3">
      <w:r w:rsidRPr="00F71BF0">
        <w:t>The study included 802 randomised patients, with 768 (95.8%) completing s</w:t>
      </w:r>
      <w:r w:rsidR="00F00D6A">
        <w:t>tudy treatment.</w:t>
      </w:r>
    </w:p>
    <w:p w14:paraId="166A513C" w14:textId="40EB98EA" w:rsidR="00D215E3" w:rsidRPr="00F71BF0" w:rsidRDefault="00D215E3" w:rsidP="00D215E3">
      <w:r w:rsidRPr="00F71BF0">
        <w:t xml:space="preserve">Baseline demographics and disease characteristics were comparable between the two treatment groups. The study population included 64 (8.0%) adolescents and 108 (13.5%) adults aged ≥ 65 years. There were 42.9% on low dose ICS and 56.0% on low dose ICS/LABA. In the 12 months prior to screening, 80.2% patients did not have an exacerbation. </w:t>
      </w:r>
      <w:r w:rsidR="00A64CF7">
        <w:t>The m</w:t>
      </w:r>
      <w:r w:rsidRPr="00F71BF0">
        <w:t>ean ACQ-7</w:t>
      </w:r>
      <w:r w:rsidR="006D5E58">
        <w:t xml:space="preserve"> score was 2.27 at B</w:t>
      </w:r>
      <w:r w:rsidRPr="00F71BF0">
        <w:t>aseline.</w:t>
      </w:r>
    </w:p>
    <w:p w14:paraId="07BB3880" w14:textId="1610B761" w:rsidR="00D215E3" w:rsidRPr="00F71BF0" w:rsidRDefault="00D215E3" w:rsidP="00D215E3">
      <w:r w:rsidRPr="00F71BF0">
        <w:lastRenderedPageBreak/>
        <w:t>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Pr="00F71BF0">
        <w:t xml:space="preserve"> 150/80 µg demonstrated superiority over </w:t>
      </w:r>
      <w:proofErr w:type="spellStart"/>
      <w:r w:rsidR="002C4A18">
        <w:t>mometasone</w:t>
      </w:r>
      <w:proofErr w:type="spellEnd"/>
      <w:r w:rsidR="002C4A18">
        <w:t xml:space="preserve"> </w:t>
      </w:r>
      <w:proofErr w:type="spellStart"/>
      <w:r w:rsidR="002C4A18">
        <w:t>furoate</w:t>
      </w:r>
      <w:proofErr w:type="spellEnd"/>
      <w:r w:rsidRPr="00F71BF0">
        <w:t xml:space="preserve"> 200 µg for the primary endpoint. After 12 weeks of treatment the LS mean treatment difference (QMF149 </w:t>
      </w:r>
      <w:r w:rsidR="008B46F3">
        <w:t>versus</w:t>
      </w:r>
      <w:r w:rsidRPr="00F71BF0">
        <w:t xml:space="preserve"> </w:t>
      </w:r>
      <w:proofErr w:type="spellStart"/>
      <w:r w:rsidR="002C4A18">
        <w:t>mometasone</w:t>
      </w:r>
      <w:proofErr w:type="spellEnd"/>
      <w:r w:rsidR="002C4A18">
        <w:t xml:space="preserve"> </w:t>
      </w:r>
      <w:proofErr w:type="spellStart"/>
      <w:r w:rsidR="002C4A18">
        <w:t>furoate</w:t>
      </w:r>
      <w:proofErr w:type="spellEnd"/>
      <w:r w:rsidRPr="00F71BF0">
        <w:t>) for trough FEV</w:t>
      </w:r>
      <w:r w:rsidRPr="00F71BF0">
        <w:rPr>
          <w:vertAlign w:val="subscript"/>
        </w:rPr>
        <w:t>1</w:t>
      </w:r>
      <w:r w:rsidR="006D5E58" w:rsidRPr="006D5E58">
        <w:t>;</w:t>
      </w:r>
      <w:r w:rsidR="006D5E58">
        <w:fldChar w:fldCharType="begin"/>
      </w:r>
      <w:r w:rsidR="006D5E58">
        <w:instrText xml:space="preserve"> NOTEREF _Ref53577105 \f \h </w:instrText>
      </w:r>
      <w:r w:rsidR="006D5E58">
        <w:fldChar w:fldCharType="separate"/>
      </w:r>
      <w:r w:rsidR="00AD63FD" w:rsidRPr="00AD63FD">
        <w:rPr>
          <w:rStyle w:val="FootnoteReference"/>
        </w:rPr>
        <w:t>14</w:t>
      </w:r>
      <w:r w:rsidR="006D5E58">
        <w:fldChar w:fldCharType="end"/>
      </w:r>
      <w:r w:rsidRPr="00F71BF0">
        <w:t xml:space="preserve"> was 0.182 L (95% CI: 0.148, 0.217; p &lt; 0.001). Subgroup analysis by age showed similar improvements in trough FEV</w:t>
      </w:r>
      <w:r w:rsidRPr="00F71BF0">
        <w:rPr>
          <w:vertAlign w:val="subscript"/>
        </w:rPr>
        <w:t>1</w:t>
      </w:r>
      <w:r w:rsidRPr="00F71BF0">
        <w:t xml:space="preserve"> for</w:t>
      </w:r>
      <w:r w:rsidR="00652776">
        <w:t xml:space="preserve"> adolescent and adult patients.</w:t>
      </w:r>
    </w:p>
    <w:p w14:paraId="347347D7" w14:textId="04E7560D" w:rsidR="00D215E3" w:rsidRPr="00F71BF0" w:rsidRDefault="00D215E3" w:rsidP="00D215E3">
      <w:r w:rsidRPr="00F71BF0">
        <w:t>For the key secondary endpoint ACQ-7</w:t>
      </w:r>
      <w:r w:rsidR="006D5E58">
        <w:t>;</w:t>
      </w:r>
      <w:r w:rsidR="006D5E58">
        <w:fldChar w:fldCharType="begin"/>
      </w:r>
      <w:r w:rsidR="006D5E58">
        <w:instrText xml:space="preserve"> NOTEREF _Ref53577183 \f \h </w:instrText>
      </w:r>
      <w:r w:rsidR="006D5E58">
        <w:fldChar w:fldCharType="separate"/>
      </w:r>
      <w:r w:rsidR="00AD63FD" w:rsidRPr="00AD63FD">
        <w:rPr>
          <w:rStyle w:val="FootnoteReference"/>
        </w:rPr>
        <w:t>15</w:t>
      </w:r>
      <w:r w:rsidR="006D5E58">
        <w:fldChar w:fldCharType="end"/>
      </w:r>
      <w:r w:rsidRPr="00F71BF0">
        <w:t xml:space="preserve"> there was a statistically significant treatment difference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Pr="00F71BF0">
        <w:t xml:space="preserve"> v</w:t>
      </w:r>
      <w:r w:rsidR="006D5E58">
        <w:t>er</w:t>
      </w:r>
      <w:r w:rsidRPr="00F71BF0">
        <w:t>s</w:t>
      </w:r>
      <w:r w:rsidR="006D5E58">
        <w:t>us</w:t>
      </w:r>
      <w:r w:rsidRPr="00F71BF0">
        <w:t xml:space="preserve">. </w:t>
      </w:r>
      <w:proofErr w:type="spellStart"/>
      <w:r w:rsidR="002C4A18">
        <w:t>mometasone</w:t>
      </w:r>
      <w:proofErr w:type="spellEnd"/>
      <w:r w:rsidR="002C4A18">
        <w:t xml:space="preserve"> </w:t>
      </w:r>
      <w:proofErr w:type="spellStart"/>
      <w:r w:rsidR="002C4A18">
        <w:t>furoate</w:t>
      </w:r>
      <w:proofErr w:type="spellEnd"/>
      <w:r w:rsidR="006D5E58">
        <w:t xml:space="preserve">) after 12 weeks of </w:t>
      </w:r>
      <w:r w:rsidRPr="00F71BF0">
        <w:t xml:space="preserve">0.218 </w:t>
      </w:r>
      <w:r w:rsidR="006D5E58">
        <w:t xml:space="preserve">(95% CI: 0.293, </w:t>
      </w:r>
      <w:r w:rsidRPr="00F71BF0">
        <w:t>0.143). There were 74.7%</w:t>
      </w:r>
      <w:r w:rsidR="00F00D6A">
        <w:t xml:space="preserve"> patients in the QMF</w:t>
      </w:r>
      <w:r w:rsidRPr="00F71BF0">
        <w:t>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Pr="00F71BF0">
        <w:t xml:space="preserve"> 150/80 µg group and 64.9% patients in the </w:t>
      </w:r>
      <w:proofErr w:type="spellStart"/>
      <w:r w:rsidR="002C4A18">
        <w:t>mometasone</w:t>
      </w:r>
      <w:proofErr w:type="spellEnd"/>
      <w:r w:rsidR="002C4A18">
        <w:t xml:space="preserve"> </w:t>
      </w:r>
      <w:proofErr w:type="spellStart"/>
      <w:r w:rsidR="002C4A18">
        <w:t>furoate</w:t>
      </w:r>
      <w:proofErr w:type="spellEnd"/>
      <w:r w:rsidRPr="00F71BF0">
        <w:t xml:space="preserve"> 200 µg group who were responders at 12 weeks; odds ratio 1.69 (95% CI: 1.23, 2.33).</w:t>
      </w:r>
    </w:p>
    <w:p w14:paraId="4597C591" w14:textId="685C7F05" w:rsidR="00D215E3" w:rsidRPr="00F71BF0" w:rsidRDefault="00D215E3" w:rsidP="00D215E3">
      <w:r w:rsidRPr="00F71BF0">
        <w:t>Secondary endpoints of lung function, symptoms and rescue medication use were in favour of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Pr="00F71BF0">
        <w:t xml:space="preserve"> 150/80 µg. The study duration is too short to draw any conclusions in terms of treatment effects on exacerbation rate</w:t>
      </w:r>
      <w:r w:rsidR="006D5E58">
        <w:t>.</w:t>
      </w:r>
    </w:p>
    <w:p w14:paraId="6A8329EF" w14:textId="77777777" w:rsidR="00D215E3" w:rsidRPr="00F71BF0" w:rsidRDefault="00D215E3" w:rsidP="00CF7608">
      <w:pPr>
        <w:pStyle w:val="Heading4"/>
      </w:pPr>
      <w:r w:rsidRPr="00F71BF0">
        <w:t>Safety</w:t>
      </w:r>
    </w:p>
    <w:p w14:paraId="44ECA2FF" w14:textId="70D017F3" w:rsidR="00D215E3" w:rsidRPr="00F71BF0" w:rsidRDefault="00D215E3" w:rsidP="00D215E3">
      <w:r>
        <w:t>The 1-year</w:t>
      </w:r>
      <w:r w:rsidRPr="00F71BF0">
        <w:t xml:space="preserve"> safety database included pooled data from Studies CQVM149B2301, CQVM149B2303 and CQVM149B2302. The study population included adult patients with severe asthma poorly controlled on medium and high dose ICS/LABA (GINA step ≥ 4)</w:t>
      </w:r>
      <w:r w:rsidR="00EC4593">
        <w:t>;</w:t>
      </w:r>
      <w:r w:rsidR="00EC4593" w:rsidRPr="00DB14F2">
        <w:rPr>
          <w:vertAlign w:val="superscript"/>
        </w:rPr>
        <w:fldChar w:fldCharType="begin"/>
      </w:r>
      <w:r w:rsidR="00EC4593" w:rsidRPr="00DB14F2">
        <w:rPr>
          <w:vertAlign w:val="superscript"/>
        </w:rPr>
        <w:instrText xml:space="preserve"> NOTEREF _Ref55975505 \h </w:instrText>
      </w:r>
      <w:r w:rsidR="00EC4593">
        <w:rPr>
          <w:vertAlign w:val="superscript"/>
        </w:rPr>
        <w:instrText xml:space="preserve"> \* MERGEFORMAT </w:instrText>
      </w:r>
      <w:r w:rsidR="00EC4593" w:rsidRPr="00DB14F2">
        <w:rPr>
          <w:vertAlign w:val="superscript"/>
        </w:rPr>
      </w:r>
      <w:r w:rsidR="00EC4593" w:rsidRPr="00DB14F2">
        <w:rPr>
          <w:vertAlign w:val="superscript"/>
        </w:rPr>
        <w:fldChar w:fldCharType="separate"/>
      </w:r>
      <w:r w:rsidR="00AD63FD">
        <w:rPr>
          <w:vertAlign w:val="superscript"/>
        </w:rPr>
        <w:t>3</w:t>
      </w:r>
      <w:r w:rsidR="00EC4593" w:rsidRPr="00DB14F2">
        <w:rPr>
          <w:vertAlign w:val="superscript"/>
        </w:rPr>
        <w:fldChar w:fldCharType="end"/>
      </w:r>
      <w:r w:rsidRPr="00F71BF0">
        <w:t xml:space="preserve"> with at least 1 exacerb</w:t>
      </w:r>
      <w:r w:rsidR="00CF7608">
        <w:t>ation within the previous year.</w:t>
      </w:r>
    </w:p>
    <w:p w14:paraId="4535DD10" w14:textId="77777777" w:rsidR="00D215E3" w:rsidRPr="00F71BF0" w:rsidRDefault="00CF7608" w:rsidP="00D215E3">
      <w:r>
        <w:t>The e</w:t>
      </w:r>
      <w:r w:rsidR="00D215E3" w:rsidRPr="00F71BF0">
        <w:t>valuator considered pooling of the studies was acceptable, and noted the safety results from the individual Phase III studies were consi</w:t>
      </w:r>
      <w:r>
        <w:t>stent with the pooled analyses.</w:t>
      </w:r>
    </w:p>
    <w:p w14:paraId="3E6E9324" w14:textId="2BCA986F" w:rsidR="00D215E3" w:rsidRPr="00F71BF0" w:rsidRDefault="00D215E3" w:rsidP="00D215E3">
      <w:pPr>
        <w:rPr>
          <w:strike/>
        </w:rPr>
      </w:pPr>
      <w:r w:rsidRPr="00F71BF0">
        <w:t xml:space="preserve">The overall occurrence rate of </w:t>
      </w:r>
      <w:r w:rsidR="00CF7608">
        <w:t>adverse events (AE)</w:t>
      </w:r>
      <w:r w:rsidRPr="00F71BF0">
        <w:t xml:space="preserve"> was lower in the QMF149</w:t>
      </w:r>
      <w:r w:rsidR="005D66AB">
        <w:rPr>
          <w:rFonts w:asciiTheme="minorHAnsi" w:eastAsia="TimesNewRoman" w:hAnsiTheme="minorHAnsi" w:cs="TimesNewRoman"/>
          <w:color w:val="000000"/>
        </w:rPr>
        <w:t>;</w:t>
      </w:r>
      <w:r w:rsidR="005D66AB">
        <w:rPr>
          <w:rFonts w:asciiTheme="minorHAnsi" w:eastAsia="TimesNewRoman" w:hAnsiTheme="minorHAnsi" w:cs="TimesNewRoman"/>
          <w:color w:val="000000"/>
        </w:rPr>
        <w:fldChar w:fldCharType="begin"/>
      </w:r>
      <w:r w:rsidR="005D66AB">
        <w:rPr>
          <w:rFonts w:asciiTheme="minorHAnsi" w:eastAsia="TimesNewRoman" w:hAnsiTheme="minorHAnsi" w:cs="TimesNewRoman"/>
          <w:color w:val="000000"/>
        </w:rPr>
        <w:instrText xml:space="preserve"> NOTEREF _Ref54093901 \f \h </w:instrText>
      </w:r>
      <w:r w:rsidR="005D66AB">
        <w:rPr>
          <w:rFonts w:asciiTheme="minorHAnsi" w:eastAsia="TimesNewRoman" w:hAnsiTheme="minorHAnsi" w:cs="TimesNewRoman"/>
          <w:color w:val="000000"/>
        </w:rPr>
      </w:r>
      <w:r w:rsidR="005D66AB">
        <w:rPr>
          <w:rFonts w:asciiTheme="minorHAnsi" w:eastAsia="TimesNewRoman" w:hAnsiTheme="minorHAnsi" w:cs="TimesNewRoman"/>
          <w:color w:val="000000"/>
        </w:rPr>
        <w:fldChar w:fldCharType="separate"/>
      </w:r>
      <w:r w:rsidR="00AD63FD" w:rsidRPr="00AD63FD">
        <w:rPr>
          <w:rStyle w:val="FootnoteReference"/>
        </w:rPr>
        <w:t>8</w:t>
      </w:r>
      <w:r w:rsidR="005D66AB">
        <w:rPr>
          <w:rFonts w:asciiTheme="minorHAnsi" w:eastAsia="TimesNewRoman" w:hAnsiTheme="minorHAnsi" w:cs="TimesNewRoman"/>
          <w:color w:val="000000"/>
        </w:rPr>
        <w:fldChar w:fldCharType="end"/>
      </w:r>
      <w:r w:rsidRPr="00F71BF0">
        <w:t xml:space="preserve"> groups compared with the corresponding </w:t>
      </w:r>
      <w:proofErr w:type="spellStart"/>
      <w:r w:rsidR="002C4A18">
        <w:t>mometasone</w:t>
      </w:r>
      <w:proofErr w:type="spellEnd"/>
      <w:r w:rsidR="002C4A18">
        <w:t xml:space="preserve"> </w:t>
      </w:r>
      <w:proofErr w:type="spellStart"/>
      <w:r w:rsidR="002C4A18">
        <w:t>furoate</w:t>
      </w:r>
      <w:proofErr w:type="spellEnd"/>
      <w:r w:rsidRPr="00F71BF0">
        <w:t xml:space="preserve"> groups or </w:t>
      </w:r>
      <w:proofErr w:type="spellStart"/>
      <w:r w:rsidRPr="00F71BF0">
        <w:t>salmeterol</w:t>
      </w:r>
      <w:proofErr w:type="spellEnd"/>
      <w:r w:rsidRPr="00F71BF0">
        <w:t>/fluticasone 50/500 group (QMF149 all doses v</w:t>
      </w:r>
      <w:r w:rsidR="00CF7608">
        <w:t>er</w:t>
      </w:r>
      <w:r w:rsidRPr="00F71BF0">
        <w:t>s</w:t>
      </w:r>
      <w:r w:rsidR="00CF7608">
        <w:t>us</w:t>
      </w:r>
      <w:r w:rsidRPr="00F71BF0">
        <w:t xml:space="preserve"> </w:t>
      </w:r>
      <w:proofErr w:type="spellStart"/>
      <w:r w:rsidR="002C4A18">
        <w:t>mometasone</w:t>
      </w:r>
      <w:proofErr w:type="spellEnd"/>
      <w:r w:rsidR="002C4A18">
        <w:t xml:space="preserve"> </w:t>
      </w:r>
      <w:proofErr w:type="spellStart"/>
      <w:r w:rsidR="002C4A18">
        <w:t>furoate</w:t>
      </w:r>
      <w:proofErr w:type="spellEnd"/>
      <w:r w:rsidRPr="00F71BF0">
        <w:t xml:space="preserve"> all doses = 207.6 v</w:t>
      </w:r>
      <w:r w:rsidR="00CF7608">
        <w:t>ersus 268.6 per 100 person-years (100 PY)</w:t>
      </w:r>
      <w:r w:rsidRPr="00F71BF0">
        <w:t>, QMF149 medium + high dose v</w:t>
      </w:r>
      <w:r w:rsidR="00CF7608">
        <w:t>ersu</w:t>
      </w:r>
      <w:r w:rsidRPr="00F71BF0">
        <w:t xml:space="preserve">s </w:t>
      </w:r>
      <w:proofErr w:type="spellStart"/>
      <w:r w:rsidR="002C4A18">
        <w:t>mometasone</w:t>
      </w:r>
      <w:proofErr w:type="spellEnd"/>
      <w:r w:rsidR="002C4A18">
        <w:t xml:space="preserve"> </w:t>
      </w:r>
      <w:proofErr w:type="spellStart"/>
      <w:r w:rsidR="002C4A18">
        <w:t>furoate</w:t>
      </w:r>
      <w:proofErr w:type="spellEnd"/>
      <w:r w:rsidRPr="00F71BF0">
        <w:t xml:space="preserve"> medium + high dose = 206.8 </w:t>
      </w:r>
      <w:r w:rsidR="008B46F3">
        <w:t>versus</w:t>
      </w:r>
      <w:r w:rsidRPr="00F71BF0">
        <w:t>. 265.5 per 100 PY, QMF149 high dose v</w:t>
      </w:r>
      <w:r w:rsidR="00CF7608">
        <w:t>ersu</w:t>
      </w:r>
      <w:r w:rsidRPr="00F71BF0">
        <w:t xml:space="preserve">s </w:t>
      </w:r>
      <w:proofErr w:type="spellStart"/>
      <w:r w:rsidRPr="00F71BF0">
        <w:t>salmeterol</w:t>
      </w:r>
      <w:proofErr w:type="spellEnd"/>
      <w:r w:rsidRPr="00F71BF0">
        <w:t xml:space="preserve">/fluticasone 50/500 = 237.7 </w:t>
      </w:r>
      <w:r w:rsidR="008B46F3">
        <w:t>versus</w:t>
      </w:r>
      <w:r w:rsidRPr="00F71BF0">
        <w:t>. 283.5 per 100 PY).</w:t>
      </w:r>
    </w:p>
    <w:p w14:paraId="330FAE3C" w14:textId="2FAE95A0" w:rsidR="00D215E3" w:rsidRPr="00F71BF0" w:rsidRDefault="00D215E3" w:rsidP="00D215E3">
      <w:r w:rsidRPr="008B46F3">
        <w:t>Some of the common AEs</w:t>
      </w:r>
      <w:r w:rsidRPr="00F71BF0">
        <w:t xml:space="preserve"> (asthma, </w:t>
      </w:r>
      <w:proofErr w:type="spellStart"/>
      <w:r w:rsidRPr="00F71BF0">
        <w:t>nasopharyngitis</w:t>
      </w:r>
      <w:proofErr w:type="spellEnd"/>
      <w:r w:rsidRPr="00F71BF0">
        <w:t>, upper respiratory tract infection) occurred less frequently in the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Pr="00F71BF0">
        <w:t xml:space="preserve"> groups, whilst dysphonia occurred more frequently in the QMF</w:t>
      </w:r>
      <w:r w:rsidR="00F00D6A">
        <w:t>149</w:t>
      </w:r>
      <w:r w:rsidRPr="00F71BF0">
        <w:t xml:space="preserve"> groups compared to the </w:t>
      </w:r>
      <w:proofErr w:type="spellStart"/>
      <w:r w:rsidR="002C4A18">
        <w:t>mometasone</w:t>
      </w:r>
      <w:proofErr w:type="spellEnd"/>
      <w:r w:rsidR="002C4A18">
        <w:t xml:space="preserve"> </w:t>
      </w:r>
      <w:proofErr w:type="spellStart"/>
      <w:r w:rsidR="002C4A18">
        <w:t>furoate</w:t>
      </w:r>
      <w:proofErr w:type="spellEnd"/>
      <w:r w:rsidR="00F00D6A">
        <w:t xml:space="preserve"> groups (2.1 to </w:t>
      </w:r>
      <w:r w:rsidRPr="00F71BF0">
        <w:t xml:space="preserve">2.5 </w:t>
      </w:r>
      <w:r w:rsidR="008B46F3">
        <w:t>versus</w:t>
      </w:r>
      <w:r w:rsidR="00F00D6A">
        <w:t xml:space="preserve"> 0.9 to </w:t>
      </w:r>
      <w:r w:rsidRPr="00F71BF0">
        <w:t xml:space="preserve">1.1 per 100 PY), and at a similar rate for QMF149 high dose and </w:t>
      </w:r>
      <w:proofErr w:type="spellStart"/>
      <w:r w:rsidRPr="00F71BF0">
        <w:t>salmeterol</w:t>
      </w:r>
      <w:proofErr w:type="spellEnd"/>
      <w:r w:rsidRPr="00F71BF0">
        <w:t xml:space="preserve">/fluticasone 50/500 (2.2 </w:t>
      </w:r>
      <w:r w:rsidR="008B46F3">
        <w:t>versus</w:t>
      </w:r>
      <w:r w:rsidRPr="00F71BF0">
        <w:t xml:space="preserve"> 1.8 per 100 PY).</w:t>
      </w:r>
    </w:p>
    <w:p w14:paraId="7B9C0BAF" w14:textId="693B6FFA" w:rsidR="00D215E3" w:rsidRPr="00F71BF0" w:rsidRDefault="00D215E3" w:rsidP="00D215E3">
      <w:r w:rsidRPr="00F71BF0">
        <w:t>The majority of AEs were mild or moderate in severity and generally comparable across groups. Severe AEs were less co</w:t>
      </w:r>
      <w:r w:rsidR="008B46F3">
        <w:t>mmon in the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008B46F3">
        <w:t xml:space="preserve"> groups (18.3 to </w:t>
      </w:r>
      <w:r w:rsidRPr="00F71BF0">
        <w:t xml:space="preserve">36.0 per 100 PY) </w:t>
      </w:r>
      <w:r w:rsidR="008B46F3">
        <w:t>versus</w:t>
      </w:r>
      <w:r w:rsidRPr="00F71BF0">
        <w:t xml:space="preserve"> comparators (3</w:t>
      </w:r>
      <w:r w:rsidR="008B46F3">
        <w:t xml:space="preserve">2.6 to </w:t>
      </w:r>
      <w:r w:rsidRPr="00F71BF0">
        <w:t>45.5 per 100 PY), with asthma (exacerbation) the most frequently reported severe AE.</w:t>
      </w:r>
    </w:p>
    <w:p w14:paraId="2C793B40" w14:textId="47C1C6DB" w:rsidR="00D215E3" w:rsidRPr="00F71BF0" w:rsidRDefault="00D215E3" w:rsidP="00D215E3">
      <w:r w:rsidRPr="00F71BF0">
        <w:t>The occurrence rates for AEs suspected to be related to study treatment were slight</w:t>
      </w:r>
      <w:r w:rsidR="008B46F3">
        <w:t>ly lower in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008B46F3">
        <w:t xml:space="preserve"> groups (10.5 to </w:t>
      </w:r>
      <w:r w:rsidRPr="00F71BF0">
        <w:t xml:space="preserve">12.7 per 100 PY) </w:t>
      </w:r>
      <w:r w:rsidR="008B46F3">
        <w:t>versus</w:t>
      </w:r>
      <w:r w:rsidRPr="00F71BF0">
        <w:t xml:space="preserve"> corresponding comparators (14.2</w:t>
      </w:r>
      <w:r w:rsidR="008B46F3">
        <w:t xml:space="preserve"> to</w:t>
      </w:r>
      <w:r w:rsidRPr="00F71BF0">
        <w:t xml:space="preserve"> 15.2 per 100 PY). The most common treatment-related AEs were asthma (exacerbation) and dysphonia.</w:t>
      </w:r>
    </w:p>
    <w:p w14:paraId="41E2D7B2" w14:textId="6489D727" w:rsidR="00D215E3" w:rsidRPr="00F71BF0" w:rsidRDefault="00D215E3" w:rsidP="00D215E3">
      <w:r w:rsidRPr="00F71BF0">
        <w:t xml:space="preserve">AEs leading to discontinuation of study medication were </w:t>
      </w:r>
      <w:r w:rsidR="008B46F3">
        <w:t>lower in the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008B46F3">
        <w:t xml:space="preserve"> groups (1.8 to </w:t>
      </w:r>
      <w:r w:rsidRPr="00F71BF0">
        <w:t>3.5 per 100</w:t>
      </w:r>
      <w:r w:rsidR="00F00D6A">
        <w:t xml:space="preserve"> PY) versus</w:t>
      </w:r>
      <w:r w:rsidR="008B46F3">
        <w:t xml:space="preserve"> other comparators (4.8 to </w:t>
      </w:r>
      <w:r w:rsidRPr="00F71BF0">
        <w:t>5.6 per 100 PY). Asthma (exacerbation)</w:t>
      </w:r>
      <w:r w:rsidRPr="00F71BF0">
        <w:rPr>
          <w:strike/>
        </w:rPr>
        <w:t xml:space="preserve"> </w:t>
      </w:r>
      <w:r w:rsidRPr="00F71BF0">
        <w:t>was the most common reason for discontinuation overall, with the occurrence rate of all other AEs leading to discontinuation of study drug ≤ 0.4 per 100 PY. There were no discontinuations in t</w:t>
      </w:r>
      <w:r w:rsidR="008B46F3">
        <w:t>he QMF149 groups due to asthma.</w:t>
      </w:r>
    </w:p>
    <w:p w14:paraId="3679B283" w14:textId="578B711E" w:rsidR="00D215E3" w:rsidRPr="00F71BF0" w:rsidRDefault="00D215E3" w:rsidP="00D215E3">
      <w:r w:rsidRPr="00F71BF0">
        <w:t xml:space="preserve">The occurrence rate of </w:t>
      </w:r>
      <w:r w:rsidR="000B7CD0">
        <w:t>serious adverse e</w:t>
      </w:r>
      <w:r w:rsidR="000B7CD0" w:rsidRPr="000B7CD0">
        <w:t>vent</w:t>
      </w:r>
      <w:r w:rsidR="000B7CD0">
        <w:t>s (SAEs)</w:t>
      </w:r>
      <w:r w:rsidRPr="00F71BF0">
        <w:t xml:space="preserve"> was lower in the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Pr="00F71BF0">
        <w:t xml:space="preserve"> groups (6.9 per 100 PY) </w:t>
      </w:r>
      <w:r w:rsidR="008B46F3">
        <w:t>versus</w:t>
      </w:r>
      <w:r w:rsidRPr="00F71BF0">
        <w:t xml:space="preserve"> the corresponding </w:t>
      </w:r>
      <w:proofErr w:type="spellStart"/>
      <w:r w:rsidR="002C4A18">
        <w:t>mometasone</w:t>
      </w:r>
      <w:proofErr w:type="spellEnd"/>
      <w:r w:rsidR="002C4A18">
        <w:t xml:space="preserve"> </w:t>
      </w:r>
      <w:proofErr w:type="spellStart"/>
      <w:r w:rsidR="002C4A18">
        <w:t>furoate</w:t>
      </w:r>
      <w:proofErr w:type="spellEnd"/>
      <w:r w:rsidR="008B46F3">
        <w:t xml:space="preserve"> groups (9.1 to </w:t>
      </w:r>
      <w:r w:rsidRPr="00F71BF0">
        <w:t>9.5 per 100</w:t>
      </w:r>
      <w:r w:rsidR="00EC4593">
        <w:t> </w:t>
      </w:r>
      <w:r w:rsidRPr="00F71BF0">
        <w:t xml:space="preserve">PY) and slightly higher in the QMF149 high dose group (10.7 per 100 PY) </w:t>
      </w:r>
      <w:r w:rsidR="008B46F3">
        <w:t>versus</w:t>
      </w:r>
      <w:r w:rsidRPr="00F71BF0">
        <w:t xml:space="preserve"> the </w:t>
      </w:r>
      <w:proofErr w:type="spellStart"/>
      <w:r w:rsidRPr="00F71BF0">
        <w:t>salmeterol</w:t>
      </w:r>
      <w:proofErr w:type="spellEnd"/>
      <w:r w:rsidRPr="00F71BF0">
        <w:t xml:space="preserve">/fluticasone 50/500 group (8.9 per 100 PY). The most frequently reported SAEs </w:t>
      </w:r>
      <w:r w:rsidRPr="00F71BF0">
        <w:lastRenderedPageBreak/>
        <w:t xml:space="preserve">were asthma and pneumonia, both occurring less frequently in QMF149 groups </w:t>
      </w:r>
      <w:r w:rsidR="008B46F3">
        <w:t>versus</w:t>
      </w:r>
      <w:r w:rsidRPr="00F71BF0">
        <w:t xml:space="preserve"> corresponding </w:t>
      </w:r>
      <w:proofErr w:type="spellStart"/>
      <w:r w:rsidR="002C4A18">
        <w:t>mometasone</w:t>
      </w:r>
      <w:proofErr w:type="spellEnd"/>
      <w:r w:rsidR="002C4A18">
        <w:t xml:space="preserve"> </w:t>
      </w:r>
      <w:proofErr w:type="spellStart"/>
      <w:r w:rsidR="002C4A18">
        <w:t>furoate</w:t>
      </w:r>
      <w:proofErr w:type="spellEnd"/>
      <w:r w:rsidR="008B46F3">
        <w:t xml:space="preserve"> comparators.</w:t>
      </w:r>
    </w:p>
    <w:p w14:paraId="75C2262D" w14:textId="028888AA" w:rsidR="00D215E3" w:rsidRPr="00F71BF0" w:rsidRDefault="00F00D6A" w:rsidP="00D215E3">
      <w:r>
        <w:t xml:space="preserve">There was one adjudicated asthma </w:t>
      </w:r>
      <w:r w:rsidR="00D215E3" w:rsidRPr="00F71BF0">
        <w:t xml:space="preserve">related death in the </w:t>
      </w:r>
      <w:proofErr w:type="spellStart"/>
      <w:r w:rsidR="002C4A18">
        <w:t>mometasone</w:t>
      </w:r>
      <w:proofErr w:type="spellEnd"/>
      <w:r w:rsidR="002C4A18">
        <w:t xml:space="preserve"> </w:t>
      </w:r>
      <w:proofErr w:type="spellStart"/>
      <w:r w:rsidR="002C4A18">
        <w:t>furoate</w:t>
      </w:r>
      <w:proofErr w:type="spellEnd"/>
      <w:r w:rsidR="00D215E3" w:rsidRPr="00F71BF0">
        <w:t xml:space="preserve"> medium</w:t>
      </w:r>
      <w:r>
        <w:t xml:space="preserve"> dose group. Adjudicated asthma </w:t>
      </w:r>
      <w:r w:rsidR="00D215E3" w:rsidRPr="00F71BF0">
        <w:t>related hospitalisation was numerically higher in the QMF149</w:t>
      </w:r>
      <w:r>
        <w:t>;</w:t>
      </w:r>
      <w:r>
        <w:fldChar w:fldCharType="begin"/>
      </w:r>
      <w:r>
        <w:instrText xml:space="preserve"> NOTEREF _Ref54093901 \f \h </w:instrText>
      </w:r>
      <w:r>
        <w:fldChar w:fldCharType="separate"/>
      </w:r>
      <w:r w:rsidR="00AD63FD" w:rsidRPr="00AD63FD">
        <w:rPr>
          <w:rStyle w:val="FootnoteReference"/>
        </w:rPr>
        <w:t>8</w:t>
      </w:r>
      <w:r>
        <w:fldChar w:fldCharType="end"/>
      </w:r>
      <w:r w:rsidR="00D215E3" w:rsidRPr="00F71BF0">
        <w:t xml:space="preserve"> high dose group (1.7 per 100 PY) than the </w:t>
      </w:r>
      <w:proofErr w:type="spellStart"/>
      <w:r w:rsidR="00D215E3" w:rsidRPr="00F71BF0">
        <w:t>salmeterol</w:t>
      </w:r>
      <w:proofErr w:type="spellEnd"/>
      <w:r w:rsidR="00D215E3" w:rsidRPr="00F71BF0">
        <w:t>/fluticasone</w:t>
      </w:r>
      <w:r w:rsidR="008B46F3">
        <w:t xml:space="preserve"> 50/500 group (1.0 per 100 PY).</w:t>
      </w:r>
    </w:p>
    <w:p w14:paraId="343F7D57" w14:textId="6123942A" w:rsidR="00D215E3" w:rsidRPr="00F71BF0" w:rsidRDefault="00F00D6A" w:rsidP="00D215E3">
      <w:r>
        <w:t>There were four</w:t>
      </w:r>
      <w:r w:rsidR="00D215E3" w:rsidRPr="00F71BF0">
        <w:t xml:space="preserve"> deaths in the QMF149</w:t>
      </w:r>
      <w:r>
        <w:t>;</w:t>
      </w:r>
      <w:r>
        <w:fldChar w:fldCharType="begin"/>
      </w:r>
      <w:r>
        <w:instrText xml:space="preserve"> NOTEREF _Ref54093901 \f \h </w:instrText>
      </w:r>
      <w:r>
        <w:fldChar w:fldCharType="separate"/>
      </w:r>
      <w:r w:rsidR="00AD63FD" w:rsidRPr="00AD63FD">
        <w:rPr>
          <w:rStyle w:val="FootnoteReference"/>
        </w:rPr>
        <w:t>8</w:t>
      </w:r>
      <w:r>
        <w:fldChar w:fldCharType="end"/>
      </w:r>
      <w:r w:rsidR="00D215E3" w:rsidRPr="00F71BF0">
        <w:t xml:space="preserve"> high dose group in Study CQVM149B2302 (n = 2 sudd</w:t>
      </w:r>
      <w:r w:rsidR="008B46F3">
        <w:t>en cardiac death, n = 1 cancer (lymphoma), n = 1 accidental death (train accident)</w:t>
      </w:r>
      <w:r w:rsidR="00D215E3" w:rsidRPr="00F71BF0">
        <w:t xml:space="preserve">) and 1 death due to status </w:t>
      </w:r>
      <w:proofErr w:type="spellStart"/>
      <w:r w:rsidR="00D215E3" w:rsidRPr="00F71BF0">
        <w:t>asthmaticus</w:t>
      </w:r>
      <w:proofErr w:type="spellEnd"/>
      <w:r w:rsidR="00D215E3" w:rsidRPr="00F71BF0">
        <w:t xml:space="preserve"> in the </w:t>
      </w:r>
      <w:proofErr w:type="spellStart"/>
      <w:r w:rsidR="002C4A18">
        <w:t>mometasone</w:t>
      </w:r>
      <w:proofErr w:type="spellEnd"/>
      <w:r w:rsidR="002C4A18">
        <w:t xml:space="preserve"> </w:t>
      </w:r>
      <w:proofErr w:type="spellStart"/>
      <w:r w:rsidR="002C4A18">
        <w:t>furoate</w:t>
      </w:r>
      <w:proofErr w:type="spellEnd"/>
      <w:r w:rsidR="00D215E3" w:rsidRPr="00F71BF0">
        <w:t xml:space="preserve"> medium dose group occurring on Day 314 in Study CQVM149B2301 as noted above; none of the deaths were conside</w:t>
      </w:r>
      <w:r>
        <w:t>red related to study treatment.</w:t>
      </w:r>
    </w:p>
    <w:p w14:paraId="02B84927" w14:textId="77777777" w:rsidR="00D215E3" w:rsidRDefault="00D215E3" w:rsidP="00D215E3">
      <w:r w:rsidRPr="00F71BF0">
        <w:t>Adverse events of special interest based on known class effects of LABA and ICS are sho</w:t>
      </w:r>
      <w:r w:rsidR="000B7CD0">
        <w:t>wn below.</w:t>
      </w:r>
    </w:p>
    <w:p w14:paraId="72DB08C6" w14:textId="3FCD39A0" w:rsidR="000B7CD0" w:rsidRPr="00F71BF0" w:rsidRDefault="000B7CD0" w:rsidP="00465424">
      <w:pPr>
        <w:pStyle w:val="TableTitle"/>
      </w:pPr>
      <w:r w:rsidRPr="000B7CD0">
        <w:lastRenderedPageBreak/>
        <w:t xml:space="preserve">Table </w:t>
      </w:r>
      <w:r>
        <w:fldChar w:fldCharType="begin"/>
      </w:r>
      <w:r>
        <w:instrText>SEQ Table \* ARABIC</w:instrText>
      </w:r>
      <w:r>
        <w:fldChar w:fldCharType="separate"/>
      </w:r>
      <w:r w:rsidR="00AD63FD">
        <w:rPr>
          <w:noProof/>
        </w:rPr>
        <w:t>3</w:t>
      </w:r>
      <w:r>
        <w:fldChar w:fldCharType="end"/>
      </w:r>
      <w:r w:rsidRPr="000B7CD0">
        <w:t>:</w:t>
      </w:r>
      <w:r>
        <w:t xml:space="preserve"> </w:t>
      </w:r>
      <w:r w:rsidRPr="000B7CD0">
        <w:t>All adverse events of special interest by risk category</w:t>
      </w:r>
      <w:r>
        <w:t xml:space="preserve"> adjusted for exposure, by risk</w:t>
      </w:r>
    </w:p>
    <w:p w14:paraId="57EC8932" w14:textId="77777777" w:rsidR="00D215E3" w:rsidRDefault="000B7CD0" w:rsidP="00465424">
      <w:r>
        <w:rPr>
          <w:noProof/>
          <w:lang w:eastAsia="en-AU"/>
        </w:rPr>
        <w:drawing>
          <wp:inline distT="0" distB="0" distL="0" distR="0" wp14:anchorId="19C2C5BA" wp14:editId="60282A30">
            <wp:extent cx="4508339" cy="7964388"/>
            <wp:effectExtent l="0" t="0" r="6985" b="0"/>
            <wp:docPr id="2" name="Picture 2" descr="All adverse events of special interest by risk category adjusted for exposure, by ris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4508339" cy="7964388"/>
                    </a:xfrm>
                    <a:prstGeom prst="rect">
                      <a:avLst/>
                    </a:prstGeom>
                  </pic:spPr>
                </pic:pic>
              </a:graphicData>
            </a:graphic>
          </wp:inline>
        </w:drawing>
      </w:r>
    </w:p>
    <w:p w14:paraId="285817E9" w14:textId="0E60BCD5" w:rsidR="000B7CD0" w:rsidRPr="00F71BF0" w:rsidRDefault="000B7CD0" w:rsidP="000B7CD0">
      <w:r w:rsidRPr="00F71BF0">
        <w:t>Conduction abnormalities and tachyarrhythmia were more common in the high dose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Pr="00F71BF0">
        <w:t xml:space="preserve"> group than all of </w:t>
      </w:r>
      <w:r>
        <w:t xml:space="preserve">the </w:t>
      </w:r>
      <w:proofErr w:type="spellStart"/>
      <w:r w:rsidR="008B46F3">
        <w:t>mometasone</w:t>
      </w:r>
      <w:proofErr w:type="spellEnd"/>
      <w:r w:rsidR="008B46F3">
        <w:t xml:space="preserve"> </w:t>
      </w:r>
      <w:proofErr w:type="spellStart"/>
      <w:r w:rsidR="008B46F3">
        <w:t>furoate</w:t>
      </w:r>
      <w:proofErr w:type="spellEnd"/>
      <w:r w:rsidRPr="00F71BF0">
        <w:t xml:space="preserve"> and </w:t>
      </w:r>
      <w:proofErr w:type="spellStart"/>
      <w:r w:rsidRPr="00F71BF0">
        <w:t>salmeterol</w:t>
      </w:r>
      <w:proofErr w:type="spellEnd"/>
      <w:r w:rsidRPr="00F71BF0">
        <w:t>/fluticasone groups.</w:t>
      </w:r>
    </w:p>
    <w:p w14:paraId="569A09D4" w14:textId="131DBF28" w:rsidR="000B7CD0" w:rsidRPr="00F71BF0" w:rsidRDefault="000B7CD0" w:rsidP="000B7CD0">
      <w:pPr>
        <w:rPr>
          <w:strike/>
        </w:rPr>
      </w:pPr>
      <w:r w:rsidRPr="00F71BF0">
        <w:lastRenderedPageBreak/>
        <w:t>There were 2 SAEs of myocardial infarction in the QMF149</w:t>
      </w:r>
      <w:r w:rsidR="00F00D6A">
        <w:t>;</w:t>
      </w:r>
      <w:r w:rsidR="00F00D6A">
        <w:fldChar w:fldCharType="begin"/>
      </w:r>
      <w:r w:rsidR="00F00D6A">
        <w:instrText xml:space="preserve"> NOTEREF _Ref54093901 \f \h </w:instrText>
      </w:r>
      <w:r w:rsidR="00F00D6A">
        <w:fldChar w:fldCharType="separate"/>
      </w:r>
      <w:r w:rsidR="00AD63FD" w:rsidRPr="00AD63FD">
        <w:rPr>
          <w:rStyle w:val="FootnoteReference"/>
        </w:rPr>
        <w:t>8</w:t>
      </w:r>
      <w:r w:rsidR="00F00D6A">
        <w:fldChar w:fldCharType="end"/>
      </w:r>
      <w:r w:rsidRPr="00F71BF0">
        <w:t xml:space="preserve"> medium + high dose group; both patients had cardiovascular comorbidities. The events resolved without sequelae. Ischaemic heart disease was more common in the QMF149 high dose group </w:t>
      </w:r>
      <w:r w:rsidR="008B46F3">
        <w:t>versus</w:t>
      </w:r>
      <w:r w:rsidRPr="00F71BF0">
        <w:t xml:space="preserve"> </w:t>
      </w:r>
      <w:proofErr w:type="spellStart"/>
      <w:r w:rsidRPr="00F71BF0">
        <w:t>salmeterol</w:t>
      </w:r>
      <w:proofErr w:type="spellEnd"/>
      <w:r w:rsidRPr="00F71BF0">
        <w:t>/fluticasone 50/500</w:t>
      </w:r>
      <w:r w:rsidR="00EC4593">
        <w:t xml:space="preserve"> µg</w:t>
      </w:r>
      <w:r w:rsidRPr="00F71BF0">
        <w:t>. Two events in the QMF149 high dose group were SAEs and</w:t>
      </w:r>
      <w:r w:rsidR="00F00D6A">
        <w:t xml:space="preserve"> 1 event was fatal. There were five</w:t>
      </w:r>
      <w:r w:rsidRPr="00F71BF0">
        <w:t xml:space="preserve"> episodes of myocardial infarction in the QMF149 high dose group (v</w:t>
      </w:r>
      <w:r w:rsidR="008B46F3">
        <w:t>er</w:t>
      </w:r>
      <w:r w:rsidRPr="00F71BF0">
        <w:t>s</w:t>
      </w:r>
      <w:r w:rsidR="008B46F3">
        <w:t>us</w:t>
      </w:r>
      <w:r w:rsidRPr="00F71BF0">
        <w:t xml:space="preserve"> 2 episodes in the </w:t>
      </w:r>
      <w:proofErr w:type="spellStart"/>
      <w:r w:rsidRPr="00F71BF0">
        <w:t>salmeterol</w:t>
      </w:r>
      <w:proofErr w:type="spellEnd"/>
      <w:r w:rsidRPr="00F71BF0">
        <w:t>/fluticasone 50/500</w:t>
      </w:r>
      <w:r w:rsidR="00BC7788">
        <w:t xml:space="preserve"> µg </w:t>
      </w:r>
      <w:r w:rsidRPr="00F71BF0">
        <w:t>group); cardiovascular comorbidities were pre</w:t>
      </w:r>
      <w:r>
        <w:t>sent for 3 of these 5 patients.</w:t>
      </w:r>
    </w:p>
    <w:p w14:paraId="6E77EF17" w14:textId="3048A369" w:rsidR="000B7CD0" w:rsidRPr="00F71BF0" w:rsidRDefault="000B7CD0" w:rsidP="000B7CD0">
      <w:r w:rsidRPr="00F71BF0">
        <w:t xml:space="preserve">Hyperglycaemia AEs were generally comparable across all treatment arms. There were no hypokalaemia AEs </w:t>
      </w:r>
      <w:r>
        <w:t>in the QMF149</w:t>
      </w:r>
      <w:r w:rsidR="00296523">
        <w:t>;</w:t>
      </w:r>
      <w:r w:rsidR="00296523">
        <w:fldChar w:fldCharType="begin"/>
      </w:r>
      <w:r w:rsidR="00296523">
        <w:instrText xml:space="preserve"> NOTEREF _Ref54093901 \f \h </w:instrText>
      </w:r>
      <w:r w:rsidR="00296523">
        <w:fldChar w:fldCharType="separate"/>
      </w:r>
      <w:r w:rsidR="00AD63FD" w:rsidRPr="00AD63FD">
        <w:rPr>
          <w:rStyle w:val="FootnoteReference"/>
        </w:rPr>
        <w:t>8</w:t>
      </w:r>
      <w:r w:rsidR="00296523">
        <w:fldChar w:fldCharType="end"/>
      </w:r>
      <w:r>
        <w:t xml:space="preserve"> treatment groups.</w:t>
      </w:r>
    </w:p>
    <w:p w14:paraId="0A1C46D6" w14:textId="55295E39" w:rsidR="000B7CD0" w:rsidRPr="00F71BF0" w:rsidRDefault="000B7CD0" w:rsidP="000B7CD0">
      <w:r w:rsidRPr="00F71BF0">
        <w:t>Overall, serious adverse events of special interest w</w:t>
      </w:r>
      <w:r w:rsidR="008B46F3">
        <w:t>ere lower in QMF149</w:t>
      </w:r>
      <w:r w:rsidR="00296523">
        <w:t>;</w:t>
      </w:r>
      <w:r w:rsidR="00296523">
        <w:fldChar w:fldCharType="begin"/>
      </w:r>
      <w:r w:rsidR="00296523">
        <w:instrText xml:space="preserve"> NOTEREF _Ref54093901 \f \h </w:instrText>
      </w:r>
      <w:r w:rsidR="00296523">
        <w:fldChar w:fldCharType="separate"/>
      </w:r>
      <w:r w:rsidR="00AD63FD" w:rsidRPr="00AD63FD">
        <w:rPr>
          <w:rStyle w:val="FootnoteReference"/>
        </w:rPr>
        <w:t>8</w:t>
      </w:r>
      <w:r w:rsidR="00296523">
        <w:fldChar w:fldCharType="end"/>
      </w:r>
      <w:r w:rsidR="008B46F3">
        <w:t xml:space="preserve"> groups (2.0 to </w:t>
      </w:r>
      <w:r w:rsidRPr="00F71BF0">
        <w:t xml:space="preserve">2.1 per 100 PY) </w:t>
      </w:r>
      <w:r w:rsidR="008B46F3">
        <w:t>versus</w:t>
      </w:r>
      <w:r w:rsidRPr="00F71BF0">
        <w:t xml:space="preserve"> corresponding </w:t>
      </w:r>
      <w:proofErr w:type="spellStart"/>
      <w:r w:rsidR="008B46F3">
        <w:t>mometasone</w:t>
      </w:r>
      <w:proofErr w:type="spellEnd"/>
      <w:r w:rsidR="008B46F3">
        <w:t xml:space="preserve"> </w:t>
      </w:r>
      <w:proofErr w:type="spellStart"/>
      <w:r w:rsidR="008B46F3">
        <w:t>furoate</w:t>
      </w:r>
      <w:proofErr w:type="spellEnd"/>
      <w:r w:rsidR="00296523">
        <w:t xml:space="preserve"> comparators (5.2 to </w:t>
      </w:r>
      <w:r w:rsidRPr="00F71BF0">
        <w:t xml:space="preserve">5.5 per 100 PY), whilst slightly higher in the QMF149 high dose group </w:t>
      </w:r>
      <w:r w:rsidR="008B46F3">
        <w:t>versus</w:t>
      </w:r>
      <w:r w:rsidRPr="00F71BF0">
        <w:t xml:space="preserve"> the </w:t>
      </w:r>
      <w:proofErr w:type="spellStart"/>
      <w:r w:rsidRPr="00F71BF0">
        <w:t>salmeterol</w:t>
      </w:r>
      <w:proofErr w:type="spellEnd"/>
      <w:r w:rsidRPr="00F71BF0">
        <w:t xml:space="preserve">/fluticasone 50/500 </w:t>
      </w:r>
      <w:r w:rsidR="00BC7788">
        <w:t xml:space="preserve">µg </w:t>
      </w:r>
      <w:r w:rsidRPr="00F71BF0">
        <w:t>group (5.2 v</w:t>
      </w:r>
      <w:r w:rsidR="008B46F3">
        <w:t>er</w:t>
      </w:r>
      <w:r w:rsidRPr="00F71BF0">
        <w:t>s</w:t>
      </w:r>
      <w:r w:rsidR="008B46F3">
        <w:t>us</w:t>
      </w:r>
      <w:r w:rsidR="00296523">
        <w:t xml:space="preserve"> 4.0 per 100 PY).</w:t>
      </w:r>
    </w:p>
    <w:p w14:paraId="79D62E6B" w14:textId="77777777" w:rsidR="000B7CD0" w:rsidRPr="00F71BF0" w:rsidRDefault="000B7CD0" w:rsidP="000B7CD0">
      <w:r w:rsidRPr="00F71BF0">
        <w:t xml:space="preserve">There were no major imbalances across the treatment groups with regard to laboratory parameters, </w:t>
      </w:r>
      <w:r w:rsidR="00296523">
        <w:t>e</w:t>
      </w:r>
      <w:r w:rsidR="00296523" w:rsidRPr="00296523">
        <w:t xml:space="preserve">lectrocardiogram </w:t>
      </w:r>
      <w:r w:rsidR="00296523">
        <w:t>(</w:t>
      </w:r>
      <w:r w:rsidRPr="00F71BF0">
        <w:t>ECG</w:t>
      </w:r>
      <w:r w:rsidR="00296523">
        <w:t>)</w:t>
      </w:r>
      <w:r w:rsidRPr="00F71BF0">
        <w:t xml:space="preserve"> findings or vital signs.</w:t>
      </w:r>
    </w:p>
    <w:p w14:paraId="28BFC54B" w14:textId="77777777" w:rsidR="000B7CD0" w:rsidRPr="00F71BF0" w:rsidRDefault="000B7CD0" w:rsidP="000B7CD0">
      <w:r w:rsidRPr="00F71BF0">
        <w:t>AE profiles were generally similar for adults and adolescents. Longer exposure is required to assess any potential effects on growth, however it is noted there were no AEs related to growth reported in the 52 w</w:t>
      </w:r>
      <w:r w:rsidR="00296523">
        <w:t>eek c</w:t>
      </w:r>
      <w:r w:rsidR="00296523" w:rsidRPr="00296523">
        <w:t>linica</w:t>
      </w:r>
      <w:r w:rsidR="00296523">
        <w:t>l study r</w:t>
      </w:r>
      <w:r w:rsidR="00296523" w:rsidRPr="00296523">
        <w:t>eport</w:t>
      </w:r>
      <w:r w:rsidR="00652776">
        <w:t xml:space="preserve"> for Study CQVM149B2301.</w:t>
      </w:r>
    </w:p>
    <w:p w14:paraId="6000A2FD" w14:textId="74479013" w:rsidR="000B7CD0" w:rsidRDefault="00296523" w:rsidP="00D215E3">
      <w:r>
        <w:t>The e</w:t>
      </w:r>
      <w:r w:rsidR="000B7CD0" w:rsidRPr="00F71BF0">
        <w:t>valuator did not identify any addit</w:t>
      </w:r>
      <w:r>
        <w:t xml:space="preserve">ional safety concerns in the 52 </w:t>
      </w:r>
      <w:r w:rsidR="000B7CD0" w:rsidRPr="00F71BF0">
        <w:t>week s</w:t>
      </w:r>
      <w:r w:rsidR="000B7CD0">
        <w:t xml:space="preserve">afety data provided at </w:t>
      </w:r>
      <w:r w:rsidR="00BC7788">
        <w:t>the second round of evaluation.</w:t>
      </w:r>
    </w:p>
    <w:p w14:paraId="1379AE76" w14:textId="77777777" w:rsidR="008E7846" w:rsidRDefault="00386150" w:rsidP="007B6132">
      <w:pPr>
        <w:pStyle w:val="Heading3"/>
        <w:rPr>
          <w:lang w:eastAsia="en-AU"/>
        </w:rPr>
      </w:pPr>
      <w:bookmarkStart w:id="49" w:name="_Toc57282605"/>
      <w:r>
        <w:rPr>
          <w:lang w:eastAsia="en-AU"/>
        </w:rPr>
        <w:t>Risk m</w:t>
      </w:r>
      <w:r w:rsidR="008E7846">
        <w:rPr>
          <w:lang w:eastAsia="en-AU"/>
        </w:rPr>
        <w:t xml:space="preserve">anagement </w:t>
      </w:r>
      <w:r>
        <w:rPr>
          <w:lang w:eastAsia="en-AU"/>
        </w:rPr>
        <w:t>p</w:t>
      </w:r>
      <w:r w:rsidR="008E7846">
        <w:rPr>
          <w:lang w:eastAsia="en-AU"/>
        </w:rPr>
        <w:t>lan</w:t>
      </w:r>
      <w:bookmarkEnd w:id="46"/>
      <w:bookmarkEnd w:id="49"/>
    </w:p>
    <w:p w14:paraId="3E26A395" w14:textId="77777777" w:rsidR="000B7CD0" w:rsidRPr="004C377E" w:rsidRDefault="000B7CD0" w:rsidP="004C377E">
      <w:r>
        <w:t>There was no requirement for a risk management plan evaluation for a submission of this type.</w:t>
      </w:r>
      <w:r>
        <w:rPr>
          <w:rStyle w:val="FootnoteReference"/>
        </w:rPr>
        <w:footnoteReference w:id="19"/>
      </w:r>
    </w:p>
    <w:p w14:paraId="6B5E663D" w14:textId="77777777" w:rsidR="000B7CD0" w:rsidRPr="00F71BF0" w:rsidRDefault="000B7CD0" w:rsidP="000B7CD0">
      <w:pPr>
        <w:spacing w:before="0" w:after="0" w:line="240" w:lineRule="auto"/>
        <w:rPr>
          <w:rFonts w:asciiTheme="minorHAnsi" w:hAnsiTheme="minorHAnsi"/>
        </w:rPr>
      </w:pPr>
      <w:r>
        <w:rPr>
          <w:rFonts w:asciiTheme="minorHAnsi" w:hAnsiTheme="minorHAnsi"/>
        </w:rPr>
        <w:t>The clinical e</w:t>
      </w:r>
      <w:r w:rsidRPr="00F71BF0">
        <w:rPr>
          <w:rFonts w:asciiTheme="minorHAnsi" w:hAnsiTheme="minorHAnsi"/>
        </w:rPr>
        <w:t>valuator considered the summary of safety concerns was acceptable however stated there is missing information in asthma pati</w:t>
      </w:r>
      <w:r>
        <w:rPr>
          <w:rFonts w:asciiTheme="minorHAnsi" w:hAnsiTheme="minorHAnsi"/>
        </w:rPr>
        <w:t>ents &lt; 12 years and &gt; 75 years.</w:t>
      </w:r>
    </w:p>
    <w:p w14:paraId="1F852D92" w14:textId="77777777" w:rsidR="008E7846" w:rsidRDefault="00AA0ED0" w:rsidP="008E7846">
      <w:pPr>
        <w:pStyle w:val="Heading3"/>
      </w:pPr>
      <w:bookmarkStart w:id="50" w:name="_Toc247691531"/>
      <w:bookmarkStart w:id="51" w:name="_Toc314842515"/>
      <w:bookmarkStart w:id="52" w:name="_Toc196046505"/>
      <w:bookmarkStart w:id="53" w:name="_Toc196046949"/>
      <w:bookmarkStart w:id="54" w:name="_Toc57282606"/>
      <w:r>
        <w:t>Risk-benefit a</w:t>
      </w:r>
      <w:r w:rsidR="008E7846">
        <w:t>nalysis</w:t>
      </w:r>
      <w:bookmarkEnd w:id="50"/>
      <w:bookmarkEnd w:id="51"/>
      <w:bookmarkEnd w:id="54"/>
    </w:p>
    <w:p w14:paraId="5331F3CF" w14:textId="77777777" w:rsidR="00D23139" w:rsidRDefault="007D53B6" w:rsidP="00D23139">
      <w:pPr>
        <w:pStyle w:val="Heading4"/>
      </w:pPr>
      <w:r>
        <w:t>Delegate’s considerations</w:t>
      </w:r>
    </w:p>
    <w:p w14:paraId="3E6327C3" w14:textId="2AC7D5B4" w:rsidR="000B7CD0" w:rsidRPr="00F71BF0" w:rsidRDefault="000B7CD0" w:rsidP="00DB14F2">
      <w:r w:rsidRPr="00F71BF0">
        <w:t>Studies CQVM149B2301 and CQVM149B2303 provided the efficacy and safety data for each of the proposed strengths of QMF149</w:t>
      </w:r>
      <w:r w:rsidR="00652776">
        <w:t>.</w:t>
      </w:r>
      <w:r w:rsidR="005D66AB">
        <w:rPr>
          <w:rFonts w:eastAsia="TimesNewRoman" w:cs="TimesNewRoman"/>
          <w:color w:val="000000"/>
        </w:rPr>
        <w:fldChar w:fldCharType="begin"/>
      </w:r>
      <w:r w:rsidR="005D66AB">
        <w:rPr>
          <w:rFonts w:eastAsia="TimesNewRoman" w:cs="TimesNewRoman"/>
          <w:color w:val="000000"/>
        </w:rPr>
        <w:instrText xml:space="preserve"> NOTEREF _Ref54093901 \f \h </w:instrText>
      </w:r>
      <w:r w:rsidR="005D66AB">
        <w:rPr>
          <w:rFonts w:eastAsia="TimesNewRoman" w:cs="TimesNewRoman"/>
          <w:color w:val="000000"/>
        </w:rPr>
      </w:r>
      <w:r w:rsidR="005D66AB">
        <w:rPr>
          <w:rFonts w:eastAsia="TimesNewRoman" w:cs="TimesNewRoman"/>
          <w:color w:val="000000"/>
        </w:rPr>
        <w:fldChar w:fldCharType="separate"/>
      </w:r>
      <w:r w:rsidR="00AD63FD" w:rsidRPr="00AD63FD">
        <w:rPr>
          <w:rStyle w:val="FootnoteReference"/>
        </w:rPr>
        <w:t>8</w:t>
      </w:r>
      <w:r w:rsidR="005D66AB">
        <w:rPr>
          <w:rFonts w:eastAsia="TimesNewRoman" w:cs="TimesNewRoman"/>
          <w:color w:val="000000"/>
        </w:rPr>
        <w:fldChar w:fldCharType="end"/>
      </w:r>
      <w:r w:rsidRPr="00F71BF0">
        <w:t xml:space="preserve"> The primary endpoint was met in both studies. The between group treatment differences were above the accepted clinically meaningful difference </w:t>
      </w:r>
      <w:r w:rsidR="008B46F3">
        <w:t>of 0.1 L, ranging from 0.130 L to</w:t>
      </w:r>
      <w:r w:rsidRPr="00F71BF0">
        <w:t xml:space="preserve"> 0.211 L for each comparison. The medium dose QMF</w:t>
      </w:r>
      <w:r w:rsidR="00296523">
        <w:t>149</w:t>
      </w:r>
      <w:r w:rsidRPr="00F71BF0">
        <w:t xml:space="preserve"> achieved a </w:t>
      </w:r>
      <w:r w:rsidRPr="00325098">
        <w:rPr>
          <w:i/>
        </w:rPr>
        <w:t>greater treatment difference</w:t>
      </w:r>
      <w:r w:rsidR="00652776">
        <w:t xml:space="preserve"> in FEV</w:t>
      </w:r>
      <w:r w:rsidR="00652776" w:rsidRPr="00DB14F2">
        <w:rPr>
          <w:vertAlign w:val="subscript"/>
        </w:rPr>
        <w:t>1</w:t>
      </w:r>
      <w:r w:rsidR="00652776">
        <w:t xml:space="preserve"> (211</w:t>
      </w:r>
      <w:r w:rsidR="00BC7788">
        <w:t> </w:t>
      </w:r>
      <w:r w:rsidR="00652776">
        <w:t>mL</w:t>
      </w:r>
      <w:r w:rsidRPr="00F71BF0">
        <w:t>) than high dose QMF</w:t>
      </w:r>
      <w:r w:rsidR="00296523">
        <w:t>149</w:t>
      </w:r>
      <w:r w:rsidR="00652776">
        <w:t xml:space="preserve"> (130 mL</w:t>
      </w:r>
      <w:r w:rsidRPr="00F71BF0">
        <w:t xml:space="preserve">), when compared to corresponding doses of </w:t>
      </w:r>
      <w:proofErr w:type="spellStart"/>
      <w:r w:rsidR="008B46F3">
        <w:t>mometasone</w:t>
      </w:r>
      <w:proofErr w:type="spellEnd"/>
      <w:r w:rsidR="008B46F3">
        <w:t xml:space="preserve"> </w:t>
      </w:r>
      <w:proofErr w:type="spellStart"/>
      <w:r w:rsidR="008B46F3">
        <w:t>furoate</w:t>
      </w:r>
      <w:proofErr w:type="spellEnd"/>
      <w:r w:rsidR="008B46F3">
        <w:t>.</w:t>
      </w:r>
    </w:p>
    <w:p w14:paraId="7CF93C54" w14:textId="77777777" w:rsidR="000B7CD0" w:rsidRDefault="000B7CD0" w:rsidP="000B7CD0">
      <w:r w:rsidRPr="00F71BF0">
        <w:t>The key secondary endpoint was met in both studies. Whilst both results were statistically significant, the</w:t>
      </w:r>
      <w:r w:rsidRPr="00325098">
        <w:rPr>
          <w:i/>
        </w:rPr>
        <w:t xml:space="preserve"> </w:t>
      </w:r>
      <w:r w:rsidRPr="00296523">
        <w:t>between group differences were smaller</w:t>
      </w:r>
      <w:r w:rsidRPr="00F71BF0">
        <w:t xml:space="preserve"> than the accepted clinically meaningful diffe</w:t>
      </w:r>
      <w:r w:rsidR="008B46F3">
        <w:t>rence in ACQ-7 of at least 0.5.</w:t>
      </w:r>
    </w:p>
    <w:p w14:paraId="008C5037" w14:textId="5C4D060F" w:rsidR="000B7CD0" w:rsidRDefault="00296523" w:rsidP="000B7CD0">
      <w:pPr>
        <w:spacing w:before="0" w:after="0" w:line="240" w:lineRule="auto"/>
        <w:rPr>
          <w:rFonts w:asciiTheme="minorHAnsi" w:hAnsiTheme="minorHAnsi"/>
        </w:rPr>
      </w:pPr>
      <w:r>
        <w:rPr>
          <w:rFonts w:asciiTheme="minorHAnsi" w:hAnsiTheme="minorHAnsi"/>
        </w:rPr>
        <w:t>The b</w:t>
      </w:r>
      <w:r w:rsidR="000B7CD0" w:rsidRPr="00F71BF0">
        <w:rPr>
          <w:rFonts w:asciiTheme="minorHAnsi" w:hAnsiTheme="minorHAnsi"/>
        </w:rPr>
        <w:t>aseline clinical characteristic</w:t>
      </w:r>
      <w:r>
        <w:rPr>
          <w:rFonts w:asciiTheme="minorHAnsi" w:hAnsiTheme="minorHAnsi"/>
        </w:rPr>
        <w:t xml:space="preserve">s of patients in both clinical </w:t>
      </w:r>
      <w:r w:rsidRPr="00F71BF0">
        <w:rPr>
          <w:rFonts w:asciiTheme="minorHAnsi" w:hAnsiTheme="minorHAnsi"/>
        </w:rPr>
        <w:t xml:space="preserve">Studies CQVM149B2301 and CQVM149B2303 </w:t>
      </w:r>
      <w:r w:rsidR="000B7CD0" w:rsidRPr="00F71BF0">
        <w:rPr>
          <w:rFonts w:asciiTheme="minorHAnsi" w:hAnsiTheme="minorHAnsi"/>
        </w:rPr>
        <w:t xml:space="preserve">were not representative of the asthmatics who will potentially be treated with the three proposed </w:t>
      </w:r>
      <w:r w:rsidR="00695B22">
        <w:rPr>
          <w:rFonts w:asciiTheme="minorHAnsi" w:hAnsiTheme="minorHAnsi"/>
        </w:rPr>
        <w:t xml:space="preserve">strengths of </w:t>
      </w:r>
      <w:proofErr w:type="spellStart"/>
      <w:r>
        <w:rPr>
          <w:rFonts w:asciiTheme="minorHAnsi" w:hAnsiTheme="minorHAnsi"/>
        </w:rPr>
        <w:t>Atectura</w:t>
      </w:r>
      <w:proofErr w:type="spellEnd"/>
      <w:r w:rsidR="00695B22">
        <w:rPr>
          <w:rFonts w:asciiTheme="minorHAnsi" w:hAnsiTheme="minorHAnsi"/>
        </w:rPr>
        <w:t xml:space="preserve"> </w:t>
      </w:r>
      <w:proofErr w:type="spellStart"/>
      <w:r w:rsidR="00695B22">
        <w:rPr>
          <w:rFonts w:asciiTheme="minorHAnsi" w:hAnsiTheme="minorHAnsi"/>
        </w:rPr>
        <w:t>Breezhaler</w:t>
      </w:r>
      <w:proofErr w:type="spellEnd"/>
      <w:r w:rsidR="00695B22">
        <w:rPr>
          <w:rFonts w:asciiTheme="minorHAnsi" w:hAnsiTheme="minorHAnsi"/>
        </w:rPr>
        <w:t xml:space="preserve"> </w:t>
      </w:r>
      <w:r>
        <w:rPr>
          <w:rFonts w:asciiTheme="minorHAnsi" w:hAnsiTheme="minorHAnsi"/>
        </w:rPr>
        <w:t>inhalers. In Study</w:t>
      </w:r>
      <w:r w:rsidR="00BC7788">
        <w:rPr>
          <w:rFonts w:asciiTheme="minorHAnsi" w:hAnsiTheme="minorHAnsi"/>
        </w:rPr>
        <w:t> </w:t>
      </w:r>
      <w:r w:rsidRPr="00F71BF0">
        <w:rPr>
          <w:rFonts w:asciiTheme="minorHAnsi" w:hAnsiTheme="minorHAnsi"/>
        </w:rPr>
        <w:t>CQVM149B2301</w:t>
      </w:r>
      <w:r w:rsidR="000B7CD0" w:rsidRPr="00F71BF0">
        <w:rPr>
          <w:rFonts w:asciiTheme="minorHAnsi" w:hAnsiTheme="minorHAnsi"/>
        </w:rPr>
        <w:t>, 70% of patients did not experience an exacerbation in the 12</w:t>
      </w:r>
      <w:r w:rsidR="00BC7788">
        <w:rPr>
          <w:rFonts w:asciiTheme="minorHAnsi" w:hAnsiTheme="minorHAnsi"/>
        </w:rPr>
        <w:t> </w:t>
      </w:r>
      <w:r w:rsidR="000B7CD0" w:rsidRPr="00F71BF0">
        <w:rPr>
          <w:rFonts w:asciiTheme="minorHAnsi" w:hAnsiTheme="minorHAnsi"/>
        </w:rPr>
        <w:t>months preceding to screening. In clinical practice, these patients would not have been up</w:t>
      </w:r>
      <w:r w:rsidR="000B7CD0">
        <w:rPr>
          <w:rFonts w:asciiTheme="minorHAnsi" w:hAnsiTheme="minorHAnsi"/>
        </w:rPr>
        <w:t>-</w:t>
      </w:r>
      <w:r w:rsidR="000B7CD0" w:rsidRPr="00F71BF0">
        <w:rPr>
          <w:rFonts w:asciiTheme="minorHAnsi" w:hAnsiTheme="minorHAnsi"/>
        </w:rPr>
        <w:t xml:space="preserve">titrated to medium or high dose ICS/LABA. Similarly, in </w:t>
      </w:r>
      <w:r>
        <w:rPr>
          <w:rFonts w:asciiTheme="minorHAnsi" w:hAnsiTheme="minorHAnsi"/>
        </w:rPr>
        <w:t xml:space="preserve">Study </w:t>
      </w:r>
      <w:r w:rsidRPr="00F71BF0">
        <w:rPr>
          <w:rFonts w:asciiTheme="minorHAnsi" w:hAnsiTheme="minorHAnsi"/>
        </w:rPr>
        <w:t>CQVM149B2303</w:t>
      </w:r>
      <w:r w:rsidR="000B7CD0" w:rsidRPr="00F71BF0">
        <w:rPr>
          <w:rFonts w:asciiTheme="minorHAnsi" w:hAnsiTheme="minorHAnsi"/>
        </w:rPr>
        <w:t xml:space="preserve">, 56% of </w:t>
      </w:r>
      <w:r w:rsidR="000B7CD0" w:rsidRPr="00F71BF0">
        <w:rPr>
          <w:rFonts w:asciiTheme="minorHAnsi" w:hAnsiTheme="minorHAnsi"/>
        </w:rPr>
        <w:lastRenderedPageBreak/>
        <w:t xml:space="preserve">patients were already on low dose ICS/LABA </w:t>
      </w:r>
      <w:r w:rsidR="000B7CD0">
        <w:rPr>
          <w:rFonts w:asciiTheme="minorHAnsi" w:hAnsiTheme="minorHAnsi"/>
        </w:rPr>
        <w:t xml:space="preserve">at </w:t>
      </w:r>
      <w:r w:rsidR="00FD7E96">
        <w:rPr>
          <w:rFonts w:asciiTheme="minorHAnsi" w:hAnsiTheme="minorHAnsi"/>
        </w:rPr>
        <w:t>B</w:t>
      </w:r>
      <w:r w:rsidR="000B7CD0">
        <w:rPr>
          <w:rFonts w:asciiTheme="minorHAnsi" w:hAnsiTheme="minorHAnsi"/>
        </w:rPr>
        <w:t xml:space="preserve">aseline </w:t>
      </w:r>
      <w:r w:rsidR="000B7CD0" w:rsidRPr="00F71BF0">
        <w:rPr>
          <w:rFonts w:asciiTheme="minorHAnsi" w:hAnsiTheme="minorHAnsi"/>
        </w:rPr>
        <w:t>and 80% of patients did not experience an exacerbation in th</w:t>
      </w:r>
      <w:r w:rsidR="008B46F3">
        <w:rPr>
          <w:rFonts w:asciiTheme="minorHAnsi" w:hAnsiTheme="minorHAnsi"/>
        </w:rPr>
        <w:t>e 12 months prior to screening.</w:t>
      </w:r>
    </w:p>
    <w:p w14:paraId="21EDFE76" w14:textId="685D7743" w:rsidR="000B7CD0" w:rsidRDefault="000B7CD0" w:rsidP="000B7CD0">
      <w:r w:rsidRPr="00F71BF0">
        <w:t>The proportion of patients who experienced mild, moderate and severe asthma exacerbations during treatment period was lower in patient groups treated both medium and high doses of QMF</w:t>
      </w:r>
      <w:r w:rsidR="00C53FAD">
        <w:t>149</w:t>
      </w:r>
      <w:r w:rsidR="00C53FAD">
        <w:rPr>
          <w:rFonts w:asciiTheme="minorHAnsi" w:hAnsiTheme="minorHAnsi"/>
        </w:rPr>
        <w:t>;</w:t>
      </w:r>
      <w:r w:rsidR="00C53FAD">
        <w:rPr>
          <w:rFonts w:asciiTheme="minorHAnsi" w:hAnsiTheme="minorHAnsi"/>
        </w:rPr>
        <w:fldChar w:fldCharType="begin"/>
      </w:r>
      <w:r w:rsidR="00C53FAD">
        <w:rPr>
          <w:rFonts w:asciiTheme="minorHAnsi" w:hAnsiTheme="minorHAnsi"/>
        </w:rPr>
        <w:instrText xml:space="preserve"> NOTEREF _Ref54093901 \f \h </w:instrText>
      </w:r>
      <w:r w:rsidR="00C53FAD">
        <w:rPr>
          <w:rFonts w:asciiTheme="minorHAnsi" w:hAnsiTheme="minorHAnsi"/>
        </w:rPr>
      </w:r>
      <w:r w:rsidR="00C53FAD">
        <w:rPr>
          <w:rFonts w:asciiTheme="minorHAnsi" w:hAnsiTheme="minorHAnsi"/>
        </w:rPr>
        <w:fldChar w:fldCharType="separate"/>
      </w:r>
      <w:r w:rsidR="00AD63FD" w:rsidRPr="00AD63FD">
        <w:rPr>
          <w:rStyle w:val="FootnoteReference"/>
        </w:rPr>
        <w:t>8</w:t>
      </w:r>
      <w:r w:rsidR="00C53FAD">
        <w:rPr>
          <w:rFonts w:asciiTheme="minorHAnsi" w:hAnsiTheme="minorHAnsi"/>
        </w:rPr>
        <w:fldChar w:fldCharType="end"/>
      </w:r>
      <w:r w:rsidRPr="00F71BF0">
        <w:t xml:space="preserve"> compared to corresponding doses of </w:t>
      </w:r>
      <w:proofErr w:type="spellStart"/>
      <w:r w:rsidR="008B46F3">
        <w:t>mometasone</w:t>
      </w:r>
      <w:proofErr w:type="spellEnd"/>
      <w:r w:rsidR="008B46F3">
        <w:t xml:space="preserve"> </w:t>
      </w:r>
      <w:proofErr w:type="spellStart"/>
      <w:r w:rsidR="008B46F3">
        <w:t>furoate</w:t>
      </w:r>
      <w:proofErr w:type="spellEnd"/>
      <w:r w:rsidR="008B46F3">
        <w:t xml:space="preserve"> </w:t>
      </w:r>
      <w:r w:rsidRPr="00F71BF0">
        <w:t xml:space="preserve">and </w:t>
      </w:r>
      <w:proofErr w:type="spellStart"/>
      <w:r w:rsidRPr="00F71BF0">
        <w:t>salmeterol</w:t>
      </w:r>
      <w:proofErr w:type="spellEnd"/>
      <w:r w:rsidRPr="00F71BF0">
        <w:t xml:space="preserve">/fluticasone groups. However, there was </w:t>
      </w:r>
      <w:r w:rsidRPr="00325098">
        <w:rPr>
          <w:i/>
        </w:rPr>
        <w:t>no major difference</w:t>
      </w:r>
      <w:r w:rsidRPr="00F71BF0">
        <w:t xml:space="preserve"> in the proportion of patients in high dose QMF</w:t>
      </w:r>
      <w:r w:rsidR="00C53FAD">
        <w:t>149</w:t>
      </w:r>
      <w:r w:rsidRPr="00F71BF0">
        <w:t xml:space="preserve"> group with exacerbations during study period, compared to medium dose QMF</w:t>
      </w:r>
      <w:r w:rsidR="00C53FAD">
        <w:t>149</w:t>
      </w:r>
      <w:r w:rsidRPr="00F71BF0">
        <w:t xml:space="preserve"> (22.8 (high dose) v</w:t>
      </w:r>
      <w:r w:rsidR="008B46F3">
        <w:t>er</w:t>
      </w:r>
      <w:r w:rsidRPr="00F71BF0">
        <w:t>s</w:t>
      </w:r>
      <w:r w:rsidR="008B46F3">
        <w:t>us</w:t>
      </w:r>
      <w:r w:rsidRPr="00F71BF0">
        <w:t xml:space="preserve"> 24.7 (medium dose)).</w:t>
      </w:r>
      <w:r>
        <w:t xml:space="preserve"> This could be attributed to the </w:t>
      </w:r>
      <w:r w:rsidR="00C53FAD">
        <w:t>low exacerbation rate at B</w:t>
      </w:r>
      <w:r>
        <w:t>aseline and the dose-response relationship for IC</w:t>
      </w:r>
      <w:r w:rsidR="00FD7E96">
        <w:t>S</w:t>
      </w:r>
      <w:r>
        <w:t xml:space="preserve"> treatment effect on exacerbation rate (ceiling effect).</w:t>
      </w:r>
    </w:p>
    <w:p w14:paraId="4247BC5A" w14:textId="77777777" w:rsidR="000B7CD0" w:rsidRDefault="000B7CD0" w:rsidP="000B7CD0">
      <w:pPr>
        <w:spacing w:before="0" w:after="0" w:line="240" w:lineRule="auto"/>
        <w:rPr>
          <w:rFonts w:asciiTheme="minorHAnsi" w:hAnsiTheme="minorHAnsi"/>
        </w:rPr>
      </w:pPr>
      <w:r w:rsidRPr="00F71BF0">
        <w:rPr>
          <w:rFonts w:asciiTheme="minorHAnsi" w:hAnsiTheme="minorHAnsi"/>
        </w:rPr>
        <w:t xml:space="preserve">The relevant </w:t>
      </w:r>
      <w:r w:rsidR="001B1F4F">
        <w:rPr>
          <w:rFonts w:asciiTheme="minorHAnsi" w:hAnsiTheme="minorHAnsi"/>
        </w:rPr>
        <w:t>European Medicines Agency (</w:t>
      </w:r>
      <w:r w:rsidRPr="00F71BF0">
        <w:rPr>
          <w:rFonts w:asciiTheme="minorHAnsi" w:hAnsiTheme="minorHAnsi"/>
        </w:rPr>
        <w:t>EMA</w:t>
      </w:r>
      <w:r w:rsidR="001B1F4F">
        <w:rPr>
          <w:rFonts w:asciiTheme="minorHAnsi" w:hAnsiTheme="minorHAnsi"/>
        </w:rPr>
        <w:t>)</w:t>
      </w:r>
      <w:r w:rsidRPr="00F71BF0">
        <w:rPr>
          <w:rFonts w:asciiTheme="minorHAnsi" w:hAnsiTheme="minorHAnsi"/>
        </w:rPr>
        <w:t xml:space="preserve"> guideline</w:t>
      </w:r>
      <w:r w:rsidR="00EB4F2A">
        <w:rPr>
          <w:rFonts w:asciiTheme="minorHAnsi" w:hAnsiTheme="minorHAnsi"/>
        </w:rPr>
        <w:t>;</w:t>
      </w:r>
      <w:bookmarkStart w:id="55" w:name="_Ref54174856"/>
      <w:r w:rsidR="00EB4F2A">
        <w:rPr>
          <w:rStyle w:val="FootnoteReference"/>
          <w:rFonts w:asciiTheme="minorHAnsi" w:hAnsiTheme="minorHAnsi"/>
        </w:rPr>
        <w:footnoteReference w:id="20"/>
      </w:r>
      <w:bookmarkEnd w:id="55"/>
      <w:r w:rsidRPr="00F71BF0">
        <w:rPr>
          <w:rFonts w:asciiTheme="minorHAnsi" w:hAnsiTheme="minorHAnsi"/>
        </w:rPr>
        <w:t xml:space="preserve"> recommends exacerbations as the preferred endpoint for a new controller treatment. Lung function is recommended to be </w:t>
      </w:r>
      <w:r w:rsidR="00EB4F2A">
        <w:rPr>
          <w:rFonts w:asciiTheme="minorHAnsi" w:hAnsiTheme="minorHAnsi"/>
        </w:rPr>
        <w:t>‘</w:t>
      </w:r>
      <w:r w:rsidRPr="00325098">
        <w:rPr>
          <w:rFonts w:asciiTheme="minorHAnsi" w:hAnsiTheme="minorHAnsi"/>
          <w:i/>
        </w:rPr>
        <w:t>measured either as a co-primary or a key secondary endpoint</w:t>
      </w:r>
      <w:r w:rsidR="00EB4F2A">
        <w:rPr>
          <w:rFonts w:asciiTheme="minorHAnsi" w:hAnsiTheme="minorHAnsi"/>
          <w:i/>
        </w:rPr>
        <w:t>’</w:t>
      </w:r>
      <w:r w:rsidRPr="00F71BF0">
        <w:rPr>
          <w:rFonts w:asciiTheme="minorHAnsi" w:hAnsiTheme="minorHAnsi"/>
        </w:rPr>
        <w:t>. From a c</w:t>
      </w:r>
      <w:r w:rsidR="00EB4F2A">
        <w:rPr>
          <w:rFonts w:asciiTheme="minorHAnsi" w:hAnsiTheme="minorHAnsi"/>
        </w:rPr>
        <w:t>linical perspective, ‘</w:t>
      </w:r>
      <w:r w:rsidRPr="00EB4F2A">
        <w:rPr>
          <w:rFonts w:asciiTheme="minorHAnsi" w:hAnsiTheme="minorHAnsi"/>
          <w:i/>
        </w:rPr>
        <w:t>controller</w:t>
      </w:r>
      <w:r w:rsidR="00EB4F2A" w:rsidRPr="00EB4F2A">
        <w:rPr>
          <w:rFonts w:asciiTheme="minorHAnsi" w:hAnsiTheme="minorHAnsi"/>
          <w:i/>
        </w:rPr>
        <w:t xml:space="preserve"> medications</w:t>
      </w:r>
      <w:r w:rsidR="00EB4F2A">
        <w:rPr>
          <w:rFonts w:asciiTheme="minorHAnsi" w:hAnsiTheme="minorHAnsi"/>
        </w:rPr>
        <w:t>’</w:t>
      </w:r>
      <w:r w:rsidRPr="00F71BF0">
        <w:rPr>
          <w:rFonts w:asciiTheme="minorHAnsi" w:hAnsiTheme="minorHAnsi"/>
        </w:rPr>
        <w:t xml:space="preserve"> such as ICS/LABA FDC are used in the treatment paradigm of asthma to achieve reduction in exacerbations, which is an important determinant of asthma control. It was noted that the proposed indication does not mention prevention/reduction of asthma exacerbations.</w:t>
      </w:r>
    </w:p>
    <w:p w14:paraId="5511929C" w14:textId="69527650" w:rsidR="000B7CD0" w:rsidRPr="005205E5" w:rsidRDefault="000B7CD0" w:rsidP="000B7CD0">
      <w:r w:rsidRPr="005205E5">
        <w:t>The efficacy of low dose QMF was not compared against an active comparator. The EMA guideline</w:t>
      </w:r>
      <w:r w:rsidR="005205E5" w:rsidRPr="005205E5">
        <w:rPr>
          <w:rStyle w:val="CommentReference"/>
          <w:sz w:val="22"/>
          <w:szCs w:val="22"/>
        </w:rPr>
        <w:t>;</w:t>
      </w:r>
      <w:bookmarkStart w:id="56" w:name="_Ref54173902"/>
      <w:r w:rsidR="005205E5" w:rsidRPr="005205E5">
        <w:rPr>
          <w:rStyle w:val="FootnoteReference"/>
        </w:rPr>
        <w:footnoteReference w:id="21"/>
      </w:r>
      <w:bookmarkEnd w:id="56"/>
      <w:r w:rsidR="005205E5" w:rsidRPr="005205E5">
        <w:rPr>
          <w:rStyle w:val="CommentReference"/>
          <w:sz w:val="22"/>
          <w:szCs w:val="22"/>
        </w:rPr>
        <w:t xml:space="preserve"> </w:t>
      </w:r>
      <w:r w:rsidRPr="005205E5">
        <w:t xml:space="preserve">or asthma medications recommend </w:t>
      </w:r>
      <w:r w:rsidR="005205E5">
        <w:t>‘</w:t>
      </w:r>
      <w:r w:rsidRPr="005205E5">
        <w:rPr>
          <w:i/>
        </w:rPr>
        <w:t>an active comparator trial for a drug that is intended as a first-line controller treatment</w:t>
      </w:r>
      <w:r w:rsidR="005205E5">
        <w:rPr>
          <w:i/>
        </w:rPr>
        <w:t>’</w:t>
      </w:r>
      <w:r w:rsidRPr="005205E5">
        <w:rPr>
          <w:i/>
        </w:rPr>
        <w:t xml:space="preserve">. </w:t>
      </w:r>
      <w:r w:rsidRPr="005205E5">
        <w:t>For this comparison, the guideline</w:t>
      </w:r>
      <w:r w:rsidR="005205E5">
        <w:t>;</w:t>
      </w:r>
      <w:r w:rsidR="005205E5">
        <w:fldChar w:fldCharType="begin"/>
      </w:r>
      <w:r w:rsidR="005205E5">
        <w:instrText xml:space="preserve"> NOTEREF _Ref54173902 \f \h </w:instrText>
      </w:r>
      <w:r w:rsidR="005205E5">
        <w:fldChar w:fldCharType="separate"/>
      </w:r>
      <w:r w:rsidR="00AD63FD" w:rsidRPr="00AD63FD">
        <w:rPr>
          <w:rStyle w:val="FootnoteReference"/>
        </w:rPr>
        <w:t>20</w:t>
      </w:r>
      <w:r w:rsidR="005205E5">
        <w:fldChar w:fldCharType="end"/>
      </w:r>
      <w:r w:rsidRPr="005205E5">
        <w:t xml:space="preserve"> recommends that the inhaled corticosteroid should be given in an </w:t>
      </w:r>
      <w:r w:rsidR="005205E5">
        <w:t>‘</w:t>
      </w:r>
      <w:r w:rsidRPr="005205E5">
        <w:rPr>
          <w:i/>
        </w:rPr>
        <w:t>adequate dose and for an adequate duration</w:t>
      </w:r>
      <w:r w:rsidR="005205E5">
        <w:rPr>
          <w:i/>
        </w:rPr>
        <w:t>’</w:t>
      </w:r>
      <w:r w:rsidRPr="005205E5">
        <w:t xml:space="preserve">. It was </w:t>
      </w:r>
      <w:r w:rsidR="005205E5">
        <w:t>noted that the duration of the S</w:t>
      </w:r>
      <w:r w:rsidRPr="005205E5">
        <w:t xml:space="preserve">tudy </w:t>
      </w:r>
      <w:r w:rsidR="005205E5" w:rsidRPr="00F71BF0">
        <w:rPr>
          <w:rFonts w:asciiTheme="minorHAnsi" w:hAnsiTheme="minorHAnsi"/>
        </w:rPr>
        <w:t>CQVM149B2303</w:t>
      </w:r>
      <w:r w:rsidRPr="005205E5">
        <w:t xml:space="preserve"> was 12</w:t>
      </w:r>
      <w:r w:rsidR="00FD7E96">
        <w:t> </w:t>
      </w:r>
      <w:r w:rsidRPr="005205E5">
        <w:t xml:space="preserve">weeks. This duration </w:t>
      </w:r>
      <w:r w:rsidR="00E11A17">
        <w:t>is shorter than</w:t>
      </w:r>
      <w:r w:rsidRPr="005205E5">
        <w:t xml:space="preserve"> the recommended duration of 24 weeks</w:t>
      </w:r>
      <w:r w:rsidR="00E11A17">
        <w:t>;</w:t>
      </w:r>
      <w:r w:rsidR="00E11A17">
        <w:fldChar w:fldCharType="begin"/>
      </w:r>
      <w:r w:rsidR="00E11A17">
        <w:instrText xml:space="preserve"> NOTEREF _Ref54174856 \f \h </w:instrText>
      </w:r>
      <w:r w:rsidR="00E11A17">
        <w:fldChar w:fldCharType="separate"/>
      </w:r>
      <w:r w:rsidR="00AD63FD" w:rsidRPr="00AD63FD">
        <w:rPr>
          <w:rStyle w:val="FootnoteReference"/>
        </w:rPr>
        <w:t>19</w:t>
      </w:r>
      <w:r w:rsidR="00E11A17">
        <w:fldChar w:fldCharType="end"/>
      </w:r>
      <w:r w:rsidRPr="005205E5">
        <w:t xml:space="preserve"> for contro</w:t>
      </w:r>
      <w:r w:rsidR="00E11A17">
        <w:t>ller medication</w:t>
      </w:r>
      <w:r w:rsidRPr="005205E5">
        <w:t xml:space="preserve"> to demonstrate efficacy in terms of reduction in exacerbations, which is the main purpose of use of ICS/LABA FDC in asthma management.</w:t>
      </w:r>
      <w:r w:rsidR="005205E5">
        <w:t xml:space="preserve"> The D</w:t>
      </w:r>
      <w:r w:rsidRPr="005205E5">
        <w:t xml:space="preserve">elegate has noted that the patients in </w:t>
      </w:r>
      <w:r w:rsidR="00FD7E96">
        <w:t xml:space="preserve">the </w:t>
      </w:r>
      <w:r w:rsidRPr="005205E5">
        <w:t>QMF149</w:t>
      </w:r>
      <w:r w:rsidR="005205E5">
        <w:t>;</w:t>
      </w:r>
      <w:r w:rsidR="005205E5">
        <w:fldChar w:fldCharType="begin"/>
      </w:r>
      <w:r w:rsidR="005205E5">
        <w:instrText xml:space="preserve"> NOTEREF _Ref54093901 \f \h </w:instrText>
      </w:r>
      <w:r w:rsidR="005205E5">
        <w:fldChar w:fldCharType="separate"/>
      </w:r>
      <w:r w:rsidR="00AD63FD" w:rsidRPr="00AD63FD">
        <w:rPr>
          <w:rStyle w:val="FootnoteReference"/>
        </w:rPr>
        <w:t>8</w:t>
      </w:r>
      <w:r w:rsidR="005205E5">
        <w:fldChar w:fldCharType="end"/>
      </w:r>
      <w:r w:rsidRPr="005205E5">
        <w:t xml:space="preserve"> group achieved a significant improvement in FEV</w:t>
      </w:r>
      <w:r w:rsidRPr="00DB14F2">
        <w:rPr>
          <w:vertAlign w:val="subscript"/>
        </w:rPr>
        <w:t>1</w:t>
      </w:r>
      <w:r w:rsidRPr="005205E5">
        <w:t xml:space="preserve"> and ACQ-7 after 12 weeks of treatment period.</w:t>
      </w:r>
    </w:p>
    <w:p w14:paraId="1E325EF7" w14:textId="42037A80" w:rsidR="000B7CD0" w:rsidRDefault="000B7CD0" w:rsidP="000B7CD0">
      <w:r w:rsidRPr="00F71BF0">
        <w:t>Exposure to medium and high dose QMF149</w:t>
      </w:r>
      <w:r w:rsidR="005205E5">
        <w:t>;</w:t>
      </w:r>
      <w:r w:rsidR="005205E5">
        <w:fldChar w:fldCharType="begin"/>
      </w:r>
      <w:r w:rsidR="005205E5">
        <w:instrText xml:space="preserve"> NOTEREF _Ref54093901 \f \h </w:instrText>
      </w:r>
      <w:r w:rsidR="005205E5">
        <w:fldChar w:fldCharType="separate"/>
      </w:r>
      <w:r w:rsidR="00AD63FD" w:rsidRPr="00AD63FD">
        <w:rPr>
          <w:rStyle w:val="FootnoteReference"/>
        </w:rPr>
        <w:t>8</w:t>
      </w:r>
      <w:r w:rsidR="005205E5">
        <w:fldChar w:fldCharType="end"/>
      </w:r>
      <w:r w:rsidRPr="00F71BF0">
        <w:t xml:space="preserve"> was adequate to assess safety. Tre</w:t>
      </w:r>
      <w:r w:rsidR="005205E5">
        <w:t>atment exposure to low dose QMF</w:t>
      </w:r>
      <w:r w:rsidRPr="00F71BF0">
        <w:t xml:space="preserve">149 was 12 weeks, which is inadequate to assess safety. </w:t>
      </w:r>
      <w:r>
        <w:t xml:space="preserve">The 52 weeks duration of </w:t>
      </w:r>
      <w:r w:rsidR="005205E5">
        <w:t>Study CQVM149B2301</w:t>
      </w:r>
      <w:r>
        <w:t xml:space="preserve"> provided safety data of medium and high doses of QMF149</w:t>
      </w:r>
      <w:r w:rsidR="005205E5">
        <w:t>.</w:t>
      </w:r>
      <w:r>
        <w:t xml:space="preserve"> </w:t>
      </w:r>
      <w:r w:rsidRPr="00F71BF0">
        <w:t>Overall, the type of safety signals reported in patients treated with QMF149 was consistent with the known safety profile of ICS and LABA, with no</w:t>
      </w:r>
      <w:r w:rsidR="005205E5">
        <w:t xml:space="preserve"> new safety signals identified.</w:t>
      </w:r>
    </w:p>
    <w:p w14:paraId="0D71D99D" w14:textId="23940373" w:rsidR="000B7CD0" w:rsidRPr="00F71BF0" w:rsidRDefault="000B7CD0" w:rsidP="000B7CD0">
      <w:r w:rsidRPr="00F71BF0">
        <w:t>Greater proportion of patients treated with high dose QMF149</w:t>
      </w:r>
      <w:r w:rsidR="005205E5">
        <w:t>;</w:t>
      </w:r>
      <w:r w:rsidR="005205E5">
        <w:fldChar w:fldCharType="begin"/>
      </w:r>
      <w:r w:rsidR="005205E5">
        <w:instrText xml:space="preserve"> NOTEREF _Ref54093901 \f \h </w:instrText>
      </w:r>
      <w:r w:rsidR="005205E5">
        <w:fldChar w:fldCharType="separate"/>
      </w:r>
      <w:r w:rsidR="00AD63FD" w:rsidRPr="00AD63FD">
        <w:rPr>
          <w:rStyle w:val="FootnoteReference"/>
        </w:rPr>
        <w:t>8</w:t>
      </w:r>
      <w:r w:rsidR="005205E5">
        <w:fldChar w:fldCharType="end"/>
      </w:r>
      <w:r w:rsidRPr="00F71BF0">
        <w:t xml:space="preserve"> experienced cardiac events such as </w:t>
      </w:r>
      <w:proofErr w:type="spellStart"/>
      <w:r w:rsidRPr="00F71BF0">
        <w:t>tachyarrhythmias</w:t>
      </w:r>
      <w:proofErr w:type="spellEnd"/>
      <w:r w:rsidRPr="00F71BF0">
        <w:t xml:space="preserve"> and conduction abnormalities, compared to those treated with medium dose QMF149</w:t>
      </w:r>
      <w:r w:rsidR="00FD7E96">
        <w:t>, or the</w:t>
      </w:r>
      <w:r w:rsidRPr="00F71BF0">
        <w:t xml:space="preserve"> </w:t>
      </w:r>
      <w:proofErr w:type="spellStart"/>
      <w:r w:rsidR="008B46F3">
        <w:t>mometasone</w:t>
      </w:r>
      <w:proofErr w:type="spellEnd"/>
      <w:r w:rsidR="008B46F3">
        <w:t xml:space="preserve"> </w:t>
      </w:r>
      <w:proofErr w:type="spellStart"/>
      <w:r w:rsidR="008B46F3">
        <w:t>furoate</w:t>
      </w:r>
      <w:proofErr w:type="spellEnd"/>
      <w:r w:rsidRPr="00F71BF0">
        <w:t xml:space="preserve"> and </w:t>
      </w:r>
      <w:proofErr w:type="spellStart"/>
      <w:r w:rsidRPr="00F71BF0">
        <w:t>salmeterol</w:t>
      </w:r>
      <w:proofErr w:type="spellEnd"/>
      <w:r w:rsidRPr="00F71BF0">
        <w:t xml:space="preserve">/fluticasone groups. A greater incidence of ischemic heart disease was also reported in </w:t>
      </w:r>
      <w:r w:rsidR="00FD7E96">
        <w:t xml:space="preserve">the </w:t>
      </w:r>
      <w:r w:rsidRPr="00F71BF0">
        <w:t>high dose QMF</w:t>
      </w:r>
      <w:r w:rsidR="005205E5">
        <w:t>149</w:t>
      </w:r>
      <w:r w:rsidRPr="00F71BF0">
        <w:t xml:space="preserve"> group, compared to </w:t>
      </w:r>
      <w:proofErr w:type="spellStart"/>
      <w:r w:rsidRPr="00F71BF0">
        <w:t>salmeterol</w:t>
      </w:r>
      <w:proofErr w:type="spellEnd"/>
      <w:r w:rsidRPr="00F71BF0">
        <w:t>/fluticasone group.</w:t>
      </w:r>
      <w:r>
        <w:t xml:space="preserve"> The cardiac events are related to the LABA component. It was noted that the dose of </w:t>
      </w:r>
      <w:proofErr w:type="spellStart"/>
      <w:r>
        <w:t>indacaterol</w:t>
      </w:r>
      <w:proofErr w:type="spellEnd"/>
      <w:r>
        <w:t xml:space="preserve"> (LABA) was the same in both medium and high doses of QMF149.</w:t>
      </w:r>
      <w:r w:rsidR="00FD7E96" w:rsidDel="00FD7E96">
        <w:t xml:space="preserve"> </w:t>
      </w:r>
    </w:p>
    <w:p w14:paraId="63B61222" w14:textId="5D9AC6B5" w:rsidR="000B7CD0" w:rsidRPr="005205E5" w:rsidRDefault="000B7CD0" w:rsidP="000B7CD0">
      <w:r w:rsidRPr="00F71BF0">
        <w:t xml:space="preserve">Overall, the </w:t>
      </w:r>
      <w:r w:rsidR="005205E5">
        <w:t>c</w:t>
      </w:r>
      <w:r>
        <w:t xml:space="preserve">linical </w:t>
      </w:r>
      <w:r w:rsidR="005205E5">
        <w:t>e</w:t>
      </w:r>
      <w:r w:rsidRPr="00F71BF0">
        <w:t>valuator considered the benefit-risk ba</w:t>
      </w:r>
      <w:r w:rsidR="008B46F3">
        <w:t>lance for QMF149</w:t>
      </w:r>
      <w:r w:rsidR="005205E5">
        <w:t>;</w:t>
      </w:r>
      <w:r w:rsidR="005205E5">
        <w:fldChar w:fldCharType="begin"/>
      </w:r>
      <w:r w:rsidR="005205E5">
        <w:instrText xml:space="preserve"> NOTEREF _Ref54093901 \f \h </w:instrText>
      </w:r>
      <w:r w:rsidR="005205E5">
        <w:fldChar w:fldCharType="separate"/>
      </w:r>
      <w:r w:rsidR="00AD63FD" w:rsidRPr="00AD63FD">
        <w:rPr>
          <w:rStyle w:val="FootnoteReference"/>
        </w:rPr>
        <w:t>8</w:t>
      </w:r>
      <w:r w:rsidR="005205E5">
        <w:fldChar w:fldCharType="end"/>
      </w:r>
      <w:r w:rsidR="008B46F3">
        <w:t xml:space="preserve"> as favourable.</w:t>
      </w:r>
    </w:p>
    <w:p w14:paraId="5AE281BC" w14:textId="77777777" w:rsidR="00D23139" w:rsidRDefault="00D23139" w:rsidP="00D23139">
      <w:pPr>
        <w:pStyle w:val="Heading4"/>
      </w:pPr>
      <w:r w:rsidRPr="00D23139">
        <w:lastRenderedPageBreak/>
        <w:t>Proposed action</w:t>
      </w:r>
    </w:p>
    <w:p w14:paraId="3E97EBE7" w14:textId="681866D2" w:rsidR="000B7CD0" w:rsidRDefault="000B7CD0" w:rsidP="000B7CD0">
      <w:r w:rsidRPr="00F71BF0">
        <w:t>Bo</w:t>
      </w:r>
      <w:r w:rsidR="005205E5">
        <w:t>th medium and high doses of QMF</w:t>
      </w:r>
      <w:r w:rsidRPr="00F71BF0">
        <w:t>149</w:t>
      </w:r>
      <w:r w:rsidR="005205E5">
        <w:t>;</w:t>
      </w:r>
      <w:r w:rsidR="005205E5">
        <w:fldChar w:fldCharType="begin"/>
      </w:r>
      <w:r w:rsidR="005205E5">
        <w:instrText xml:space="preserve"> NOTEREF _Ref54093901 \f \h </w:instrText>
      </w:r>
      <w:r w:rsidR="005205E5">
        <w:fldChar w:fldCharType="separate"/>
      </w:r>
      <w:r w:rsidR="00AD63FD" w:rsidRPr="00AD63FD">
        <w:rPr>
          <w:rStyle w:val="FootnoteReference"/>
        </w:rPr>
        <w:t>8</w:t>
      </w:r>
      <w:r w:rsidR="005205E5">
        <w:fldChar w:fldCharType="end"/>
      </w:r>
      <w:r w:rsidRPr="00F71BF0">
        <w:t xml:space="preserve"> achieved greater i</w:t>
      </w:r>
      <w:r>
        <w:t xml:space="preserve">mprovement in lung function, </w:t>
      </w:r>
      <w:r w:rsidRPr="00F71BF0">
        <w:t>ACQ</w:t>
      </w:r>
      <w:r>
        <w:t xml:space="preserve"> </w:t>
      </w:r>
      <w:r w:rsidR="00506EAC">
        <w:t xml:space="preserve">scores </w:t>
      </w:r>
      <w:r>
        <w:t>and greater reduction in exacerbations</w:t>
      </w:r>
      <w:r w:rsidRPr="00F71BF0">
        <w:t>, compared to correspon</w:t>
      </w:r>
      <w:r>
        <w:t xml:space="preserve">ding doses of </w:t>
      </w:r>
      <w:proofErr w:type="spellStart"/>
      <w:r w:rsidR="008B46F3">
        <w:t>mometasone</w:t>
      </w:r>
      <w:proofErr w:type="spellEnd"/>
      <w:r w:rsidR="008B46F3">
        <w:t xml:space="preserve"> </w:t>
      </w:r>
      <w:proofErr w:type="spellStart"/>
      <w:r w:rsidR="008B46F3">
        <w:t>furoate</w:t>
      </w:r>
      <w:proofErr w:type="spellEnd"/>
      <w:r>
        <w:t xml:space="preserve"> and </w:t>
      </w:r>
      <w:proofErr w:type="spellStart"/>
      <w:r>
        <w:t>salmeterol</w:t>
      </w:r>
      <w:proofErr w:type="spellEnd"/>
      <w:r>
        <w:t>/</w:t>
      </w:r>
      <w:r w:rsidRPr="00F71BF0">
        <w:t xml:space="preserve">fluticasone. </w:t>
      </w:r>
      <w:r w:rsidR="005205E5">
        <w:t>The low dose QMF</w:t>
      </w:r>
      <w:r>
        <w:t xml:space="preserve">149 also achieved these endpoints, compared to corresponding dose of </w:t>
      </w:r>
      <w:proofErr w:type="spellStart"/>
      <w:r w:rsidR="008B46F3">
        <w:t>mometasone</w:t>
      </w:r>
      <w:proofErr w:type="spellEnd"/>
      <w:r w:rsidR="008B46F3">
        <w:t xml:space="preserve"> </w:t>
      </w:r>
      <w:proofErr w:type="spellStart"/>
      <w:r w:rsidR="008B46F3">
        <w:t>furoate</w:t>
      </w:r>
      <w:proofErr w:type="spellEnd"/>
      <w:r w:rsidR="008B46F3">
        <w:t>.</w:t>
      </w:r>
    </w:p>
    <w:p w14:paraId="6541D841" w14:textId="6B3A30B4" w:rsidR="000B7CD0" w:rsidRPr="00F71BF0" w:rsidRDefault="000B7CD0" w:rsidP="000B7CD0">
      <w:r>
        <w:t xml:space="preserve">In clinical practice, a targeted approach is taken for maintenance therapy of asthma. The </w:t>
      </w:r>
      <w:r w:rsidR="005205E5">
        <w:t>D</w:t>
      </w:r>
      <w:r>
        <w:t>elegate has considered the wider options that prescribers might get if the low, medi</w:t>
      </w:r>
      <w:r w:rsidR="005205E5">
        <w:t>um and high doses of ICS in QMF</w:t>
      </w:r>
      <w:r>
        <w:t>149</w:t>
      </w:r>
      <w:r w:rsidR="005205E5">
        <w:t>;</w:t>
      </w:r>
      <w:r w:rsidR="005205E5">
        <w:fldChar w:fldCharType="begin"/>
      </w:r>
      <w:r w:rsidR="005205E5">
        <w:instrText xml:space="preserve"> NOTEREF _Ref54093901 \f \h </w:instrText>
      </w:r>
      <w:r w:rsidR="005205E5">
        <w:fldChar w:fldCharType="separate"/>
      </w:r>
      <w:r w:rsidR="00AD63FD" w:rsidRPr="00AD63FD">
        <w:rPr>
          <w:rStyle w:val="FootnoteReference"/>
        </w:rPr>
        <w:t>8</w:t>
      </w:r>
      <w:r w:rsidR="005205E5">
        <w:fldChar w:fldCharType="end"/>
      </w:r>
      <w:r>
        <w:t xml:space="preserve"> are approved. T</w:t>
      </w:r>
      <w:r w:rsidRPr="00F71BF0">
        <w:t>here was an increase</w:t>
      </w:r>
      <w:r>
        <w:t>d</w:t>
      </w:r>
      <w:r w:rsidRPr="00F71BF0">
        <w:t xml:space="preserve"> incidence of dysphonia and cardiac safety signal</w:t>
      </w:r>
      <w:r>
        <w:t>s</w:t>
      </w:r>
      <w:r w:rsidR="005205E5">
        <w:t xml:space="preserve"> with high dose QMF</w:t>
      </w:r>
      <w:r w:rsidRPr="00F71BF0">
        <w:t xml:space="preserve">149 when compared to medium </w:t>
      </w:r>
      <w:r w:rsidR="005205E5">
        <w:t>dose QMF</w:t>
      </w:r>
      <w:r w:rsidRPr="00F71BF0">
        <w:t>149</w:t>
      </w:r>
      <w:r w:rsidR="005D66AB">
        <w:t>.</w:t>
      </w:r>
      <w:r>
        <w:t xml:space="preserve"> These are known treatment related adverse events and class effects with ICS and LABA respectively. Cardiac effects of LABA have been described adequately in the PI.</w:t>
      </w:r>
    </w:p>
    <w:p w14:paraId="29C23D5E" w14:textId="3BCFA54F" w:rsidR="009E391B" w:rsidRDefault="009E391B" w:rsidP="000B7CD0">
      <w:r>
        <w:t>Further assessment of this submission will be based on sponsor’s response to recommended changes to PI.</w:t>
      </w:r>
      <w:r>
        <w:rPr>
          <w:rStyle w:val="FootnoteReference"/>
        </w:rPr>
        <w:footnoteReference w:id="22"/>
      </w:r>
    </w:p>
    <w:p w14:paraId="1451AB03"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23"/>
      </w:r>
    </w:p>
    <w:p w14:paraId="1C1A4172" w14:textId="77777777" w:rsidR="007D53B6" w:rsidRPr="007D53B6" w:rsidRDefault="007D53B6" w:rsidP="007D53B6">
      <w:r w:rsidRPr="007D53B6">
        <w:t>The Delegate did not refer this application to the Advisory Committee on Medicines (ACM) for advice.</w:t>
      </w:r>
    </w:p>
    <w:p w14:paraId="364D8476" w14:textId="77777777" w:rsidR="008E7846" w:rsidRPr="002E238E" w:rsidRDefault="008E7846" w:rsidP="008E7846">
      <w:pPr>
        <w:pStyle w:val="Heading3"/>
      </w:pPr>
      <w:bookmarkStart w:id="57" w:name="_Toc247691532"/>
      <w:bookmarkStart w:id="58" w:name="_Toc314842516"/>
      <w:bookmarkStart w:id="59" w:name="_Toc57282607"/>
      <w:bookmarkEnd w:id="34"/>
      <w:bookmarkEnd w:id="52"/>
      <w:bookmarkEnd w:id="53"/>
      <w:r>
        <w:t>Outcome</w:t>
      </w:r>
      <w:bookmarkEnd w:id="57"/>
      <w:bookmarkEnd w:id="58"/>
      <w:bookmarkEnd w:id="59"/>
    </w:p>
    <w:p w14:paraId="56DF78BC" w14:textId="62DE1905" w:rsidR="007D53B6" w:rsidRDefault="007D53B6" w:rsidP="005543BB">
      <w:bookmarkStart w:id="60" w:name="_Toc247691533"/>
      <w:bookmarkStart w:id="61" w:name="_Toc314842517"/>
      <w:r>
        <w:t xml:space="preserve">Based on a review of quality, safety and efficacy, </w:t>
      </w:r>
      <w:r w:rsidR="00506EAC">
        <w:t xml:space="preserve">the </w:t>
      </w:r>
      <w:r>
        <w:t>TG</w:t>
      </w:r>
      <w:r w:rsidR="005543BB">
        <w:t xml:space="preserve">A approved the registration of </w:t>
      </w:r>
      <w:proofErr w:type="spellStart"/>
      <w:r w:rsidR="005543BB">
        <w:t>Atectura</w:t>
      </w:r>
      <w:proofErr w:type="spellEnd"/>
      <w:r w:rsidR="005543BB">
        <w:t xml:space="preserve"> </w:t>
      </w:r>
      <w:proofErr w:type="spellStart"/>
      <w:r w:rsidR="00925B4D">
        <w:t>B</w:t>
      </w:r>
      <w:r w:rsidR="005543BB">
        <w:t>reezhaler</w:t>
      </w:r>
      <w:proofErr w:type="spellEnd"/>
      <w:r>
        <w:t xml:space="preserve"> </w:t>
      </w:r>
      <w:r w:rsidR="005543BB" w:rsidRPr="002F33A2">
        <w:t>125</w:t>
      </w:r>
      <w:r w:rsidR="005543BB">
        <w:t xml:space="preserve"> µg </w:t>
      </w:r>
      <w:proofErr w:type="spellStart"/>
      <w:r w:rsidR="005543BB" w:rsidRPr="002F33A2">
        <w:t>indacaterol</w:t>
      </w:r>
      <w:proofErr w:type="spellEnd"/>
      <w:r w:rsidR="005543BB" w:rsidRPr="002F33A2">
        <w:t>/62.5</w:t>
      </w:r>
      <w:r w:rsidR="005543BB">
        <w:t xml:space="preserve"> µg </w:t>
      </w:r>
      <w:proofErr w:type="spellStart"/>
      <w:r w:rsidR="005543BB" w:rsidRPr="002F33A2">
        <w:t>mometasone</w:t>
      </w:r>
      <w:proofErr w:type="spellEnd"/>
      <w:r w:rsidR="005543BB" w:rsidRPr="002F33A2">
        <w:t xml:space="preserve"> </w:t>
      </w:r>
      <w:proofErr w:type="spellStart"/>
      <w:r w:rsidR="005543BB" w:rsidRPr="002F33A2">
        <w:t>furoate</w:t>
      </w:r>
      <w:proofErr w:type="spellEnd"/>
      <w:r w:rsidR="005543BB">
        <w:t xml:space="preserve">; </w:t>
      </w:r>
      <w:r w:rsidR="005543BB" w:rsidRPr="002F33A2">
        <w:t>125</w:t>
      </w:r>
      <w:r w:rsidR="005543BB">
        <w:t xml:space="preserve"> µg </w:t>
      </w:r>
      <w:proofErr w:type="spellStart"/>
      <w:r w:rsidR="005543BB" w:rsidRPr="002F33A2">
        <w:t>indacaterol</w:t>
      </w:r>
      <w:proofErr w:type="spellEnd"/>
      <w:r w:rsidR="005543BB">
        <w:t>/127</w:t>
      </w:r>
      <w:r w:rsidR="005543BB" w:rsidRPr="002F33A2">
        <w:t>.5</w:t>
      </w:r>
      <w:r w:rsidR="005543BB">
        <w:t xml:space="preserve"> µg </w:t>
      </w:r>
      <w:proofErr w:type="spellStart"/>
      <w:r w:rsidR="005543BB" w:rsidRPr="002F33A2">
        <w:t>mometasone</w:t>
      </w:r>
      <w:proofErr w:type="spellEnd"/>
      <w:r w:rsidR="005543BB" w:rsidRPr="002F33A2">
        <w:t xml:space="preserve"> </w:t>
      </w:r>
      <w:proofErr w:type="spellStart"/>
      <w:r w:rsidR="005543BB" w:rsidRPr="002F33A2">
        <w:t>furoate</w:t>
      </w:r>
      <w:proofErr w:type="spellEnd"/>
      <w:r w:rsidR="005543BB">
        <w:t xml:space="preserve">; </w:t>
      </w:r>
      <w:r w:rsidR="005543BB" w:rsidRPr="002F33A2">
        <w:t>125</w:t>
      </w:r>
      <w:r w:rsidR="005543BB">
        <w:t xml:space="preserve"> µg </w:t>
      </w:r>
      <w:proofErr w:type="spellStart"/>
      <w:r w:rsidR="005543BB" w:rsidRPr="002F33A2">
        <w:t>indacaterol</w:t>
      </w:r>
      <w:proofErr w:type="spellEnd"/>
      <w:r w:rsidR="005543BB">
        <w:t xml:space="preserve">/260 µg </w:t>
      </w:r>
      <w:proofErr w:type="spellStart"/>
      <w:r w:rsidR="005543BB" w:rsidRPr="002F33A2">
        <w:t>mometasone</w:t>
      </w:r>
      <w:proofErr w:type="spellEnd"/>
      <w:r w:rsidR="005543BB" w:rsidRPr="002F33A2">
        <w:t xml:space="preserve"> </w:t>
      </w:r>
      <w:proofErr w:type="spellStart"/>
      <w:r w:rsidR="005543BB" w:rsidRPr="002F33A2">
        <w:t>furoate</w:t>
      </w:r>
      <w:proofErr w:type="spellEnd"/>
      <w:r w:rsidR="005543BB">
        <w:t xml:space="preserve"> </w:t>
      </w:r>
      <w:r w:rsidR="005543BB" w:rsidRPr="005543BB">
        <w:t>powder for inhalation in hard capsule with inhaler</w:t>
      </w:r>
      <w:r>
        <w:t>, indicated for:</w:t>
      </w:r>
    </w:p>
    <w:p w14:paraId="5627A447" w14:textId="77777777" w:rsidR="005543BB" w:rsidRPr="006809A2" w:rsidRDefault="005543BB" w:rsidP="005543BB">
      <w:pPr>
        <w:ind w:left="360"/>
        <w:rPr>
          <w:i/>
        </w:rPr>
      </w:pPr>
      <w:proofErr w:type="spellStart"/>
      <w:r w:rsidRPr="006809A2">
        <w:rPr>
          <w:i/>
        </w:rPr>
        <w:t>Atectura</w:t>
      </w:r>
      <w:proofErr w:type="spellEnd"/>
      <w:r w:rsidRPr="006809A2">
        <w:rPr>
          <w:i/>
        </w:rPr>
        <w:t xml:space="preserve"> </w:t>
      </w:r>
      <w:proofErr w:type="spellStart"/>
      <w:r w:rsidRPr="006809A2">
        <w:rPr>
          <w:i/>
        </w:rPr>
        <w:t>Breezhaler</w:t>
      </w:r>
      <w:proofErr w:type="spellEnd"/>
      <w:r w:rsidRPr="006809A2">
        <w:rPr>
          <w:i/>
        </w:rPr>
        <w:t xml:space="preserve"> is indicated as a once-daily maintenance treatment of asthma in adults and adolescents 12 years of age and older where use of a combination of long-acting </w:t>
      </w:r>
      <w:r w:rsidR="004C404D" w:rsidRPr="004C404D">
        <w:rPr>
          <w:i/>
        </w:rPr>
        <w:t>beta</w:t>
      </w:r>
      <w:r w:rsidR="004C404D" w:rsidRPr="004C404D">
        <w:rPr>
          <w:i/>
          <w:vertAlign w:val="subscript"/>
        </w:rPr>
        <w:t>2</w:t>
      </w:r>
      <w:r w:rsidRPr="006809A2">
        <w:rPr>
          <w:i/>
        </w:rPr>
        <w:t>-agonist and inhaled corticosteroid is appropriate:</w:t>
      </w:r>
    </w:p>
    <w:p w14:paraId="49D62BC8" w14:textId="77777777" w:rsidR="005543BB" w:rsidRPr="006809A2" w:rsidRDefault="005543BB" w:rsidP="005543BB">
      <w:pPr>
        <w:pStyle w:val="ListBullet"/>
        <w:numPr>
          <w:ilvl w:val="0"/>
          <w:numId w:val="3"/>
        </w:numPr>
        <w:ind w:left="720"/>
        <w:rPr>
          <w:i/>
        </w:rPr>
      </w:pPr>
      <w:r w:rsidRPr="006809A2">
        <w:rPr>
          <w:i/>
        </w:rPr>
        <w:t>patients not adequately controlled with inhaled c</w:t>
      </w:r>
      <w:r w:rsidR="005205E5">
        <w:rPr>
          <w:i/>
        </w:rPr>
        <w:t>orticosteroids and ‘as needed’</w:t>
      </w:r>
      <w:r w:rsidRPr="006809A2">
        <w:rPr>
          <w:i/>
        </w:rPr>
        <w:t xml:space="preserve"> inhaled short-</w:t>
      </w:r>
      <w:r w:rsidRPr="004C404D">
        <w:rPr>
          <w:i/>
        </w:rPr>
        <w:t xml:space="preserve">acting </w:t>
      </w:r>
      <w:r w:rsidR="004C404D" w:rsidRPr="004C404D">
        <w:rPr>
          <w:i/>
        </w:rPr>
        <w:t>beta</w:t>
      </w:r>
      <w:r w:rsidR="004C404D" w:rsidRPr="004C404D">
        <w:rPr>
          <w:i/>
          <w:vertAlign w:val="subscript"/>
        </w:rPr>
        <w:t>2</w:t>
      </w:r>
      <w:r w:rsidRPr="006809A2">
        <w:rPr>
          <w:i/>
        </w:rPr>
        <w:t>-agonists or</w:t>
      </w:r>
    </w:p>
    <w:p w14:paraId="385A7864" w14:textId="77777777" w:rsidR="00D23139" w:rsidRPr="00D23139" w:rsidRDefault="005543BB" w:rsidP="005543BB">
      <w:pPr>
        <w:pStyle w:val="ListBullet"/>
        <w:numPr>
          <w:ilvl w:val="0"/>
          <w:numId w:val="3"/>
        </w:numPr>
        <w:ind w:left="720"/>
      </w:pPr>
      <w:r w:rsidRPr="006809A2">
        <w:rPr>
          <w:i/>
        </w:rPr>
        <w:t>patients not adequately controlled with long-acting beta</w:t>
      </w:r>
      <w:r w:rsidRPr="006809A2">
        <w:rPr>
          <w:i/>
          <w:vertAlign w:val="subscript"/>
        </w:rPr>
        <w:t>2</w:t>
      </w:r>
      <w:r w:rsidRPr="006809A2">
        <w:rPr>
          <w:i/>
        </w:rPr>
        <w:t xml:space="preserve">-agonists and low dose </w:t>
      </w:r>
      <w:r w:rsidR="005205E5">
        <w:rPr>
          <w:i/>
        </w:rPr>
        <w:t>of inhaled corticosteroids and ‘as needed’</w:t>
      </w:r>
      <w:r w:rsidRPr="006809A2">
        <w:rPr>
          <w:i/>
        </w:rPr>
        <w:t xml:space="preserve"> inhaled short-acting beta</w:t>
      </w:r>
      <w:r w:rsidRPr="006809A2">
        <w:rPr>
          <w:i/>
          <w:vertAlign w:val="subscript"/>
        </w:rPr>
        <w:t>2</w:t>
      </w:r>
      <w:r w:rsidRPr="006809A2">
        <w:rPr>
          <w:i/>
        </w:rPr>
        <w:t>-agonists</w:t>
      </w:r>
    </w:p>
    <w:p w14:paraId="01C95AEA" w14:textId="77777777" w:rsidR="00D23139" w:rsidRDefault="00D23139" w:rsidP="00D23139">
      <w:pPr>
        <w:pStyle w:val="Heading4"/>
      </w:pPr>
      <w:r w:rsidRPr="00D23139">
        <w:t>Specific conditions of registration applying to these goods</w:t>
      </w:r>
    </w:p>
    <w:p w14:paraId="24B17A88" w14:textId="699B9BEC" w:rsidR="005543BB" w:rsidRDefault="005543BB" w:rsidP="005543BB">
      <w:pPr>
        <w:pStyle w:val="ListBullet"/>
      </w:pPr>
      <w:proofErr w:type="spellStart"/>
      <w:r>
        <w:t>Atectura</w:t>
      </w:r>
      <w:proofErr w:type="spellEnd"/>
      <w:r>
        <w:t xml:space="preserve"> </w:t>
      </w:r>
      <w:proofErr w:type="spellStart"/>
      <w:r w:rsidR="00006553">
        <w:t>B</w:t>
      </w:r>
      <w:r>
        <w:t>reezhaler</w:t>
      </w:r>
      <w:proofErr w:type="spellEnd"/>
      <w:r>
        <w:t xml:space="preserve"> (</w:t>
      </w:r>
      <w:proofErr w:type="spellStart"/>
      <w:r>
        <w:t>indacaterol</w:t>
      </w:r>
      <w:proofErr w:type="spellEnd"/>
      <w:r>
        <w:t xml:space="preserve"> </w:t>
      </w:r>
      <w:r w:rsidR="005B2BD5">
        <w:t xml:space="preserve">acetate </w:t>
      </w:r>
      <w:r>
        <w:t xml:space="preserve">and </w:t>
      </w:r>
      <w:proofErr w:type="spellStart"/>
      <w:r>
        <w:t>mometasone</w:t>
      </w:r>
      <w:proofErr w:type="spellEnd"/>
      <w:r>
        <w:t xml:space="preserve"> </w:t>
      </w:r>
      <w:proofErr w:type="spellStart"/>
      <w:r>
        <w:t>furoate</w:t>
      </w:r>
      <w:proofErr w:type="spellEnd"/>
      <w:r>
        <w:t xml:space="preserve">) is to be included in the Black Triangle Scheme. The PI and CMI for </w:t>
      </w:r>
      <w:proofErr w:type="spellStart"/>
      <w:r>
        <w:t>Atectura</w:t>
      </w:r>
      <w:proofErr w:type="spellEnd"/>
      <w:r>
        <w:t xml:space="preserve"> </w:t>
      </w:r>
      <w:proofErr w:type="spellStart"/>
      <w:r w:rsidR="00006553">
        <w:t>B</w:t>
      </w:r>
      <w:r>
        <w:t>reezhaler</w:t>
      </w:r>
      <w:proofErr w:type="spellEnd"/>
      <w:r>
        <w:t xml:space="preserve"> must include the </w:t>
      </w:r>
      <w:r>
        <w:lastRenderedPageBreak/>
        <w:t>black triangle symbol and mandatory accompanying text for five years, which starts from the date that the sponsor notifies the TGA of supply of the products.</w:t>
      </w:r>
    </w:p>
    <w:p w14:paraId="47B67DBD" w14:textId="77777777" w:rsidR="005543BB" w:rsidRDefault="005543BB" w:rsidP="005543BB">
      <w:pPr>
        <w:pStyle w:val="ListBullet"/>
      </w:pPr>
      <w:r>
        <w:t>This approval does not impose any requirement for the submission of Periodic Safety Update Reports (PSUR). It should be noted that it is a requirement that all existing requirements for the submission of PSURs as a consequence of the initial registration or subsequent changes must be completed.</w:t>
      </w:r>
    </w:p>
    <w:p w14:paraId="3F028D55" w14:textId="77777777" w:rsidR="008E7846" w:rsidRDefault="00A80B5B" w:rsidP="00D23139">
      <w:pPr>
        <w:pStyle w:val="Heading2"/>
      </w:pPr>
      <w:bookmarkStart w:id="62" w:name="_Toc57282608"/>
      <w:r>
        <w:t xml:space="preserve">Attachment 1. </w:t>
      </w:r>
      <w:r w:rsidR="008E7846">
        <w:t xml:space="preserve">Product </w:t>
      </w:r>
      <w:r w:rsidR="00AA0ED0">
        <w:t>I</w:t>
      </w:r>
      <w:r w:rsidR="008E7846">
        <w:t>nformation</w:t>
      </w:r>
      <w:bookmarkEnd w:id="60"/>
      <w:bookmarkEnd w:id="61"/>
      <w:bookmarkEnd w:id="62"/>
    </w:p>
    <w:p w14:paraId="5FF4CF44" w14:textId="21C040F3" w:rsidR="00C80137" w:rsidRDefault="006136D7" w:rsidP="00C80137">
      <w:pPr>
        <w:rPr>
          <w:color w:val="000000"/>
          <w:lang w:eastAsia="en-AU"/>
        </w:rPr>
      </w:pPr>
      <w:r>
        <w:t xml:space="preserve">The PI for </w:t>
      </w:r>
      <w:proofErr w:type="spellStart"/>
      <w:r w:rsidR="00F14F51">
        <w:t>Atectur</w:t>
      </w:r>
      <w:r w:rsidR="1A022C81">
        <w:t>a</w:t>
      </w:r>
      <w:proofErr w:type="spellEnd"/>
      <w:r w:rsidR="00F14F51">
        <w:t xml:space="preserve"> </w:t>
      </w:r>
      <w:proofErr w:type="spellStart"/>
      <w:r w:rsidR="005A669E">
        <w:t>B</w:t>
      </w:r>
      <w:r w:rsidR="00F14F51">
        <w:t>reezhaler</w:t>
      </w:r>
      <w:proofErr w:type="spellEnd"/>
      <w:r>
        <w:t xml:space="preserve"> approved with the submission which is described in this AusPAR is at Attachment 1. For the most recent PI, please refer to the TGA website at </w:t>
      </w:r>
      <w:r w:rsidR="007C6B9B">
        <w:t>&lt;</w:t>
      </w:r>
      <w:hyperlink r:id="rId23">
        <w:r w:rsidR="007C6B9B" w:rsidRPr="3249B42A">
          <w:rPr>
            <w:rStyle w:val="Hyperlink"/>
          </w:rPr>
          <w:t>https://www.tga.gov.au/product-information-pi</w:t>
        </w:r>
      </w:hyperlink>
      <w:r w:rsidR="00F14F51">
        <w:t>&gt;.</w:t>
      </w:r>
    </w:p>
    <w:p w14:paraId="4DC0584B" w14:textId="77777777" w:rsidR="00291957" w:rsidRDefault="008E7846" w:rsidP="00F14F51">
      <w:pPr>
        <w:autoSpaceDE w:val="0"/>
        <w:autoSpaceDN w:val="0"/>
        <w:adjustRightInd w:val="0"/>
        <w:spacing w:after="0"/>
        <w:rPr>
          <w:lang w:eastAsia="ja-JP"/>
        </w:rPr>
      </w:pPr>
      <w:r w:rsidRPr="00C80137">
        <w:rPr>
          <w:b/>
        </w:rPr>
        <w:br w:type="page"/>
      </w:r>
    </w:p>
    <w:p w14:paraId="670800FF" w14:textId="77777777" w:rsidR="00C80137" w:rsidRPr="001D043B" w:rsidRDefault="00C80137"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1FFDFB3" w14:textId="77777777" w:rsidTr="00A05FA4">
        <w:trPr>
          <w:trHeight w:hRule="exact" w:val="704"/>
        </w:trPr>
        <w:tc>
          <w:tcPr>
            <w:tcW w:w="9175" w:type="dxa"/>
          </w:tcPr>
          <w:p w14:paraId="391B28FA" w14:textId="77777777" w:rsidR="001C32CD" w:rsidRPr="00487162" w:rsidRDefault="001C32CD" w:rsidP="00A05FA4">
            <w:pPr>
              <w:pStyle w:val="TGASignoff"/>
            </w:pPr>
            <w:r w:rsidRPr="00487162">
              <w:lastRenderedPageBreak/>
              <w:t>Therapeutic Goods Administration</w:t>
            </w:r>
          </w:p>
        </w:tc>
      </w:tr>
      <w:tr w:rsidR="001C32CD" w:rsidRPr="004C239D" w14:paraId="430F445B" w14:textId="77777777" w:rsidTr="00A05FA4">
        <w:trPr>
          <w:trHeight w:val="1221"/>
        </w:trPr>
        <w:tc>
          <w:tcPr>
            <w:tcW w:w="9175" w:type="dxa"/>
            <w:tcMar>
              <w:top w:w="28" w:type="dxa"/>
            </w:tcMar>
          </w:tcPr>
          <w:p w14:paraId="3035D0E9" w14:textId="77777777" w:rsidR="001C32CD" w:rsidRPr="00487162" w:rsidRDefault="001C32CD" w:rsidP="00A05FA4">
            <w:pPr>
              <w:pStyle w:val="Address"/>
            </w:pPr>
            <w:r w:rsidRPr="00487162">
              <w:t>PO Box 100 Woden ACT 2606 Australia</w:t>
            </w:r>
          </w:p>
          <w:p w14:paraId="1B9C504A" w14:textId="67886FBC"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020 653  Fax: 02 6232 8605</w:t>
            </w:r>
          </w:p>
          <w:p w14:paraId="56C0F1F6" w14:textId="783367BE" w:rsidR="001C32CD" w:rsidRPr="004C239D" w:rsidRDefault="00C248D5"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3BBE36AB"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8BC4C" w14:textId="77777777" w:rsidR="00C248D5" w:rsidRDefault="00C248D5" w:rsidP="00C40A36">
      <w:pPr>
        <w:spacing w:after="0"/>
      </w:pPr>
      <w:r>
        <w:separator/>
      </w:r>
    </w:p>
  </w:endnote>
  <w:endnote w:type="continuationSeparator" w:id="0">
    <w:p w14:paraId="25B4D7D5" w14:textId="77777777" w:rsidR="00C248D5" w:rsidRDefault="00C248D5" w:rsidP="00C40A36">
      <w:pPr>
        <w:spacing w:after="0"/>
      </w:pPr>
      <w:r>
        <w:continuationSeparator/>
      </w:r>
    </w:p>
  </w:endnote>
  <w:endnote w:type="continuationNotice" w:id="1">
    <w:p w14:paraId="2138709A" w14:textId="77777777" w:rsidR="00C248D5" w:rsidRDefault="00C248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TimesNewRoman">
    <w:altName w:val="Malgun Gothic Semilight"/>
    <w:panose1 w:val="00000000000000000000"/>
    <w:charset w:val="00"/>
    <w:family w:val="roman"/>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6D2D2" w14:textId="77777777" w:rsidR="00C248D5" w:rsidRDefault="00C2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248D5" w:rsidRPr="00487162" w14:paraId="31E1BBB5" w14:textId="77777777" w:rsidTr="00DB750B">
      <w:trPr>
        <w:trHeight w:val="269"/>
      </w:trPr>
      <w:tc>
        <w:tcPr>
          <w:tcW w:w="7371" w:type="dxa"/>
          <w:tcMar>
            <w:top w:w="142" w:type="dxa"/>
            <w:bottom w:w="0" w:type="dxa"/>
          </w:tcMar>
        </w:tcPr>
        <w:p w14:paraId="5E18443B" w14:textId="74527DD7" w:rsidR="00C248D5" w:rsidRPr="00487162" w:rsidRDefault="00C248D5" w:rsidP="000977B5">
          <w:pPr>
            <w:pStyle w:val="Footer"/>
          </w:pPr>
          <w:r w:rsidRPr="00487162">
            <w:t>AusPA</w:t>
          </w:r>
          <w:r>
            <w:t xml:space="preserve">R – </w:t>
          </w:r>
          <w:proofErr w:type="spellStart"/>
          <w:r>
            <w:t>Atectura</w:t>
          </w:r>
          <w:proofErr w:type="spellEnd"/>
          <w:r>
            <w:t xml:space="preserve"> </w:t>
          </w:r>
          <w:proofErr w:type="spellStart"/>
          <w:r>
            <w:t>Breezhaler</w:t>
          </w:r>
          <w:proofErr w:type="spellEnd"/>
          <w:r>
            <w:t xml:space="preserve"> </w:t>
          </w:r>
          <w:r w:rsidRPr="00460036">
            <w:t>–</w:t>
          </w:r>
          <w:proofErr w:type="spellStart"/>
          <w:r>
            <w:t>indacaterol</w:t>
          </w:r>
          <w:proofErr w:type="spellEnd"/>
          <w:r>
            <w:t xml:space="preserve"> (as acetate)/</w:t>
          </w:r>
          <w:proofErr w:type="spellStart"/>
          <w:r>
            <w:t>mometasone</w:t>
          </w:r>
          <w:proofErr w:type="spellEnd"/>
          <w:r>
            <w:t xml:space="preserve"> </w:t>
          </w:r>
          <w:proofErr w:type="spellStart"/>
          <w:r>
            <w:t>furoate</w:t>
          </w:r>
          <w:proofErr w:type="spellEnd"/>
          <w:r w:rsidRPr="00460036">
            <w:t xml:space="preserve"> </w:t>
          </w:r>
          <w:r>
            <w:t>– Novartis Pharmaceuticals Australia Pty Ltd - PM-2019-02513-1-5</w:t>
          </w:r>
          <w:r>
            <w:br/>
            <w:t>FINAL 11 November 2020</w:t>
          </w:r>
        </w:p>
      </w:tc>
      <w:tc>
        <w:tcPr>
          <w:tcW w:w="1490" w:type="dxa"/>
          <w:tcMar>
            <w:top w:w="142" w:type="dxa"/>
            <w:bottom w:w="0" w:type="dxa"/>
          </w:tcMar>
        </w:tcPr>
        <w:p w14:paraId="63FE67D1" w14:textId="05137C62" w:rsidR="00C248D5" w:rsidRPr="00487162" w:rsidRDefault="00C248D5" w:rsidP="00DB750B">
          <w:pPr>
            <w:pStyle w:val="Footer"/>
            <w:jc w:val="right"/>
          </w:pPr>
          <w:r w:rsidRPr="00487162">
            <w:t xml:space="preserve">Page </w:t>
          </w:r>
          <w:r>
            <w:fldChar w:fldCharType="begin"/>
          </w:r>
          <w:r>
            <w:instrText xml:space="preserve"> PAGE  \* Arabic </w:instrText>
          </w:r>
          <w:r>
            <w:fldChar w:fldCharType="separate"/>
          </w:r>
          <w:r w:rsidR="00465424">
            <w:rPr>
              <w:noProof/>
            </w:rPr>
            <w:t>21</w:t>
          </w:r>
          <w:r>
            <w:fldChar w:fldCharType="end"/>
          </w:r>
          <w:r w:rsidRPr="00487162">
            <w:t xml:space="preserve"> of </w:t>
          </w:r>
          <w:r>
            <w:fldChar w:fldCharType="begin"/>
          </w:r>
          <w:r>
            <w:instrText>NUMPAGES  \* Arabic</w:instrText>
          </w:r>
          <w:r>
            <w:fldChar w:fldCharType="separate"/>
          </w:r>
          <w:r w:rsidR="00465424">
            <w:rPr>
              <w:noProof/>
            </w:rPr>
            <w:t>23</w:t>
          </w:r>
          <w:r>
            <w:fldChar w:fldCharType="end"/>
          </w:r>
        </w:p>
      </w:tc>
    </w:tr>
  </w:tbl>
  <w:p w14:paraId="3BEACF1E" w14:textId="77777777" w:rsidR="00C248D5" w:rsidRDefault="00C248D5"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0B23" w14:textId="77777777" w:rsidR="00C248D5" w:rsidRDefault="00C248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248D5" w:rsidRPr="00487162" w14:paraId="6A26D446" w14:textId="77777777" w:rsidTr="00E45619">
      <w:trPr>
        <w:trHeight w:val="269"/>
      </w:trPr>
      <w:tc>
        <w:tcPr>
          <w:tcW w:w="4519" w:type="dxa"/>
          <w:tcBorders>
            <w:top w:val="single" w:sz="4" w:space="0" w:color="auto"/>
          </w:tcBorders>
          <w:tcMar>
            <w:top w:w="142" w:type="dxa"/>
            <w:bottom w:w="0" w:type="dxa"/>
          </w:tcMar>
        </w:tcPr>
        <w:p w14:paraId="57A7F99A" w14:textId="77777777" w:rsidR="00C248D5" w:rsidRPr="00487162" w:rsidRDefault="00C248D5" w:rsidP="00FE1DEE">
          <w:pPr>
            <w:pStyle w:val="Footer"/>
          </w:pPr>
          <w:r w:rsidRPr="00487162">
            <w:t>Document title, Part #, Section # - Section title</w:t>
          </w:r>
        </w:p>
        <w:p w14:paraId="621F6D59" w14:textId="77777777" w:rsidR="00C248D5" w:rsidRPr="00487162" w:rsidRDefault="00C248D5" w:rsidP="00FE1DEE">
          <w:pPr>
            <w:pStyle w:val="Footer"/>
          </w:pPr>
          <w:r w:rsidRPr="00487162">
            <w:t>V1.0 October 2010</w:t>
          </w:r>
        </w:p>
      </w:tc>
      <w:tc>
        <w:tcPr>
          <w:tcW w:w="4342" w:type="dxa"/>
          <w:tcBorders>
            <w:top w:val="single" w:sz="4" w:space="0" w:color="auto"/>
          </w:tcBorders>
          <w:tcMar>
            <w:top w:w="142" w:type="dxa"/>
            <w:bottom w:w="0" w:type="dxa"/>
          </w:tcMar>
        </w:tcPr>
        <w:p w14:paraId="6AB2D874" w14:textId="77777777" w:rsidR="00C248D5" w:rsidRPr="00487162" w:rsidRDefault="00C248D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3</w:t>
          </w:r>
          <w:r>
            <w:fldChar w:fldCharType="end"/>
          </w:r>
        </w:p>
      </w:tc>
    </w:tr>
  </w:tbl>
  <w:p w14:paraId="6EAA5E1D" w14:textId="77777777" w:rsidR="00C248D5" w:rsidRDefault="00C24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B87DC" w14:textId="77777777" w:rsidR="00C248D5" w:rsidRPr="001C32CD" w:rsidRDefault="00C248D5"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248D5" w14:paraId="0F2A6259" w14:textId="77777777" w:rsidTr="0010601F">
      <w:trPr>
        <w:trHeight w:val="108"/>
      </w:trPr>
      <w:tc>
        <w:tcPr>
          <w:tcW w:w="8875" w:type="dxa"/>
          <w:gridSpan w:val="2"/>
          <w:tcBorders>
            <w:bottom w:val="single" w:sz="4" w:space="0" w:color="auto"/>
          </w:tcBorders>
          <w:tcMar>
            <w:right w:w="284" w:type="dxa"/>
          </w:tcMar>
        </w:tcPr>
        <w:p w14:paraId="2CEE8B89" w14:textId="77777777" w:rsidR="00C248D5" w:rsidRDefault="00C248D5" w:rsidP="006E08B3">
          <w:pPr>
            <w:pStyle w:val="Heading3"/>
          </w:pPr>
          <w:r>
            <w:t>Copyright</w:t>
          </w:r>
        </w:p>
        <w:p w14:paraId="566BC063" w14:textId="77777777" w:rsidR="00C248D5" w:rsidRDefault="00C248D5" w:rsidP="006E08B3">
          <w:r>
            <w:rPr>
              <w:rFonts w:cs="Arial"/>
            </w:rPr>
            <w:t>©</w:t>
          </w:r>
          <w:r>
            <w:t xml:space="preserve"> Commonwealth of Australia [add year]</w:t>
          </w:r>
        </w:p>
        <w:p w14:paraId="7EC089F3" w14:textId="77777777" w:rsidR="00C248D5" w:rsidRDefault="00C248D5" w:rsidP="006E08B3"/>
        <w:p w14:paraId="3B793660" w14:textId="77777777" w:rsidR="00C248D5" w:rsidRDefault="00C248D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427C789" w14:textId="77777777" w:rsidR="00C248D5" w:rsidRDefault="00C248D5" w:rsidP="006E08B3"/>
        <w:p w14:paraId="751E9142" w14:textId="77777777" w:rsidR="00C248D5" w:rsidRDefault="00C248D5" w:rsidP="006E08B3">
          <w:pPr>
            <w:pStyle w:val="Heading3"/>
          </w:pPr>
          <w:r>
            <w:t>Confidentiality</w:t>
          </w:r>
        </w:p>
        <w:p w14:paraId="30B77D8D" w14:textId="77777777" w:rsidR="00C248D5" w:rsidRDefault="00C248D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A584558" w14:textId="77777777" w:rsidR="00C248D5" w:rsidRDefault="00C248D5" w:rsidP="006E08B3"/>
        <w:p w14:paraId="77690081" w14:textId="77777777" w:rsidR="00C248D5" w:rsidRDefault="00C248D5" w:rsidP="006E08B3">
          <w:r>
            <w:t>For submission made by individuals, all personal details, other than your name, will be removed from your submission before it is published on the TGA’s Internet site.</w:t>
          </w:r>
        </w:p>
        <w:p w14:paraId="12455644" w14:textId="77777777" w:rsidR="00C248D5" w:rsidRDefault="00C248D5" w:rsidP="006E08B3"/>
        <w:p w14:paraId="090B3CDB" w14:textId="77777777" w:rsidR="00C248D5" w:rsidRDefault="00C248D5"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248D5" w14:paraId="013D6C4A" w14:textId="77777777" w:rsidTr="0010601F">
      <w:trPr>
        <w:trHeight w:val="417"/>
      </w:trPr>
      <w:tc>
        <w:tcPr>
          <w:tcW w:w="4519" w:type="dxa"/>
          <w:tcBorders>
            <w:top w:val="single" w:sz="4" w:space="0" w:color="auto"/>
          </w:tcBorders>
          <w:tcMar>
            <w:top w:w="142" w:type="dxa"/>
            <w:bottom w:w="0" w:type="dxa"/>
          </w:tcMar>
        </w:tcPr>
        <w:p w14:paraId="680B9A11" w14:textId="77777777" w:rsidR="00C248D5" w:rsidRDefault="00C248D5" w:rsidP="006E08B3">
          <w:r>
            <w:t>Document title, Part #, Section # - Section title</w:t>
          </w:r>
        </w:p>
        <w:p w14:paraId="20225EB0" w14:textId="77777777" w:rsidR="00C248D5" w:rsidRDefault="00C248D5" w:rsidP="006E08B3">
          <w:r>
            <w:t>V1.0 October 2010</w:t>
          </w:r>
        </w:p>
      </w:tc>
      <w:tc>
        <w:tcPr>
          <w:tcW w:w="4356" w:type="dxa"/>
          <w:tcBorders>
            <w:top w:val="single" w:sz="4" w:space="0" w:color="auto"/>
          </w:tcBorders>
          <w:tcMar>
            <w:top w:w="142" w:type="dxa"/>
            <w:bottom w:w="0" w:type="dxa"/>
          </w:tcMar>
        </w:tcPr>
        <w:p w14:paraId="6197379D" w14:textId="77777777" w:rsidR="00C248D5" w:rsidRDefault="00C248D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3</w:t>
          </w:r>
          <w:r>
            <w:fldChar w:fldCharType="end"/>
          </w:r>
          <w:r>
            <w:t xml:space="preserve">  </w:t>
          </w:r>
        </w:p>
      </w:tc>
    </w:tr>
  </w:tbl>
  <w:p w14:paraId="2C6FF5BA" w14:textId="77777777" w:rsidR="00C248D5" w:rsidRDefault="00C248D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CA850" w14:textId="77777777" w:rsidR="00C248D5" w:rsidRDefault="00C248D5" w:rsidP="00C40A36">
      <w:pPr>
        <w:spacing w:after="0"/>
      </w:pPr>
      <w:r>
        <w:separator/>
      </w:r>
    </w:p>
  </w:footnote>
  <w:footnote w:type="continuationSeparator" w:id="0">
    <w:p w14:paraId="4E87ED72" w14:textId="77777777" w:rsidR="00C248D5" w:rsidRDefault="00C248D5" w:rsidP="00C40A36">
      <w:pPr>
        <w:spacing w:after="0"/>
      </w:pPr>
      <w:r>
        <w:continuationSeparator/>
      </w:r>
    </w:p>
  </w:footnote>
  <w:footnote w:type="continuationNotice" w:id="1">
    <w:p w14:paraId="3DE0033D" w14:textId="77777777" w:rsidR="00C248D5" w:rsidRDefault="00C248D5">
      <w:pPr>
        <w:spacing w:before="0" w:after="0" w:line="240" w:lineRule="auto"/>
      </w:pPr>
    </w:p>
  </w:footnote>
  <w:footnote w:id="2">
    <w:p w14:paraId="1CFCAF18" w14:textId="77777777" w:rsidR="00C248D5" w:rsidRDefault="00C248D5">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24D5F021" w14:textId="77777777" w:rsidR="00C248D5" w:rsidRPr="00F07F95" w:rsidRDefault="00C248D5" w:rsidP="00995B23">
      <w:pPr>
        <w:pStyle w:val="FootnoteText"/>
        <w:rPr>
          <w:szCs w:val="18"/>
        </w:rPr>
      </w:pPr>
      <w:r w:rsidRPr="00F07F95">
        <w:rPr>
          <w:rStyle w:val="FootnoteReference"/>
          <w:szCs w:val="18"/>
        </w:rPr>
        <w:footnoteRef/>
      </w:r>
      <w:r w:rsidRPr="00F07F95">
        <w:rPr>
          <w:szCs w:val="18"/>
        </w:rPr>
        <w:t xml:space="preserve"> The Global Asthma Report 2018. Accessible via </w:t>
      </w:r>
      <w:proofErr w:type="spellStart"/>
      <w:r w:rsidRPr="00F07F95">
        <w:rPr>
          <w:szCs w:val="18"/>
        </w:rPr>
        <w:t>globalasthmareport</w:t>
      </w:r>
      <w:proofErr w:type="spellEnd"/>
      <w:r>
        <w:rPr>
          <w:szCs w:val="18"/>
        </w:rPr>
        <w:t>.</w:t>
      </w:r>
    </w:p>
  </w:footnote>
  <w:footnote w:id="4">
    <w:p w14:paraId="79CB3E1F" w14:textId="77777777" w:rsidR="00C248D5" w:rsidRPr="00F07F95" w:rsidRDefault="00C248D5" w:rsidP="00FB7303">
      <w:pPr>
        <w:pStyle w:val="FootnoteText"/>
        <w:rPr>
          <w:szCs w:val="18"/>
        </w:rPr>
      </w:pPr>
      <w:r w:rsidRPr="00F07F95">
        <w:rPr>
          <w:rStyle w:val="FootnoteReference"/>
          <w:szCs w:val="18"/>
        </w:rPr>
        <w:footnoteRef/>
      </w:r>
      <w:r w:rsidRPr="00F07F95">
        <w:rPr>
          <w:szCs w:val="18"/>
        </w:rPr>
        <w:t xml:space="preserve"> 2020 GINA report, Global Strategy</w:t>
      </w:r>
      <w:r>
        <w:rPr>
          <w:szCs w:val="18"/>
        </w:rPr>
        <w:t xml:space="preserve"> F</w:t>
      </w:r>
      <w:r w:rsidRPr="00F07F95">
        <w:rPr>
          <w:szCs w:val="18"/>
        </w:rPr>
        <w:t>or Asthma Management and Prevention. Accessible via ginasthma.org</w:t>
      </w:r>
      <w:r>
        <w:rPr>
          <w:szCs w:val="18"/>
        </w:rPr>
        <w:t>.</w:t>
      </w:r>
    </w:p>
  </w:footnote>
  <w:footnote w:id="5">
    <w:p w14:paraId="3E69F59C" w14:textId="77777777" w:rsidR="00C248D5" w:rsidRPr="00F022D1" w:rsidRDefault="00C248D5" w:rsidP="00995B23">
      <w:pPr>
        <w:pStyle w:val="FootnoteText"/>
        <w:rPr>
          <w:lang w:val="en-US"/>
        </w:rPr>
      </w:pPr>
      <w:r w:rsidRPr="00F07F95">
        <w:rPr>
          <w:rStyle w:val="FootnoteReference"/>
          <w:szCs w:val="18"/>
        </w:rPr>
        <w:footnoteRef/>
      </w:r>
      <w:r>
        <w:rPr>
          <w:szCs w:val="18"/>
        </w:rPr>
        <w:t xml:space="preserve"> </w:t>
      </w:r>
      <w:r w:rsidRPr="00F07F95">
        <w:rPr>
          <w:szCs w:val="18"/>
        </w:rPr>
        <w:t>Statistics extracted from healthdirect.gov.au under section asthma statistics</w:t>
      </w:r>
      <w:r>
        <w:rPr>
          <w:szCs w:val="18"/>
        </w:rPr>
        <w:t>.</w:t>
      </w:r>
    </w:p>
  </w:footnote>
  <w:footnote w:id="6">
    <w:p w14:paraId="0200306D" w14:textId="77777777" w:rsidR="00C248D5" w:rsidRPr="00F07F95" w:rsidRDefault="00C248D5" w:rsidP="00C26669">
      <w:pPr>
        <w:pStyle w:val="FootnoteText"/>
        <w:rPr>
          <w:szCs w:val="18"/>
          <w:lang w:val="en-US"/>
        </w:rPr>
      </w:pPr>
      <w:r w:rsidRPr="00F07F95">
        <w:rPr>
          <w:rStyle w:val="FootnoteReference"/>
          <w:szCs w:val="18"/>
        </w:rPr>
        <w:footnoteRef/>
      </w:r>
      <w:r w:rsidRPr="00F07F95">
        <w:rPr>
          <w:szCs w:val="18"/>
        </w:rPr>
        <w:t xml:space="preserve"> </w:t>
      </w:r>
      <w:r>
        <w:rPr>
          <w:szCs w:val="18"/>
        </w:rPr>
        <w:t xml:space="preserve">Information extracted from </w:t>
      </w:r>
      <w:r w:rsidRPr="00F07F95">
        <w:rPr>
          <w:szCs w:val="18"/>
        </w:rPr>
        <w:t>a</w:t>
      </w:r>
      <w:r w:rsidRPr="00F07F95">
        <w:rPr>
          <w:szCs w:val="18"/>
          <w:lang w:val="en-US"/>
        </w:rPr>
        <w:t>sthmahandbook.org.au</w:t>
      </w:r>
      <w:r>
        <w:rPr>
          <w:szCs w:val="18"/>
          <w:lang w:val="en-US"/>
        </w:rPr>
        <w:t>.</w:t>
      </w:r>
    </w:p>
  </w:footnote>
  <w:footnote w:id="7">
    <w:p w14:paraId="48FAC5EA" w14:textId="77777777" w:rsidR="00C248D5" w:rsidRPr="007E339F" w:rsidRDefault="00C248D5">
      <w:pPr>
        <w:pStyle w:val="FootnoteText"/>
        <w:rPr>
          <w:szCs w:val="18"/>
        </w:rPr>
      </w:pPr>
      <w:r>
        <w:rPr>
          <w:rStyle w:val="FootnoteReference"/>
        </w:rPr>
        <w:footnoteRef/>
      </w:r>
      <w:r>
        <w:t xml:space="preserve"> </w:t>
      </w:r>
      <w:r>
        <w:rPr>
          <w:szCs w:val="18"/>
        </w:rPr>
        <w:t>2018</w:t>
      </w:r>
      <w:r w:rsidRPr="00F07F95">
        <w:rPr>
          <w:szCs w:val="18"/>
        </w:rPr>
        <w:t xml:space="preserve"> GINA report, Global Strategy</w:t>
      </w:r>
      <w:r>
        <w:rPr>
          <w:szCs w:val="18"/>
        </w:rPr>
        <w:t xml:space="preserve"> F</w:t>
      </w:r>
      <w:r w:rsidRPr="00F07F95">
        <w:rPr>
          <w:szCs w:val="18"/>
        </w:rPr>
        <w:t>or Asthma Management and Prevention. Accessible via ginasthma.org</w:t>
      </w:r>
      <w:r>
        <w:rPr>
          <w:szCs w:val="18"/>
        </w:rPr>
        <w:t>.</w:t>
      </w:r>
    </w:p>
  </w:footnote>
  <w:footnote w:id="8">
    <w:p w14:paraId="57877627" w14:textId="77777777" w:rsidR="00C248D5" w:rsidRDefault="00C248D5">
      <w:pPr>
        <w:pStyle w:val="FootnoteText"/>
      </w:pPr>
      <w:r>
        <w:rPr>
          <w:rStyle w:val="FootnoteReference"/>
        </w:rPr>
        <w:footnoteRef/>
      </w:r>
      <w:r>
        <w:t xml:space="preserve"> Concept1Breezhaler device is the development code by sponsor for </w:t>
      </w:r>
      <w:proofErr w:type="spellStart"/>
      <w:r>
        <w:t>Breezhaler</w:t>
      </w:r>
      <w:proofErr w:type="spellEnd"/>
      <w:r>
        <w:t xml:space="preserve"> device.</w:t>
      </w:r>
    </w:p>
  </w:footnote>
  <w:footnote w:id="9">
    <w:p w14:paraId="02CC8F56" w14:textId="346E80DC" w:rsidR="00C248D5" w:rsidRDefault="00C248D5">
      <w:pPr>
        <w:pStyle w:val="FootnoteText"/>
      </w:pPr>
      <w:r>
        <w:rPr>
          <w:rStyle w:val="FootnoteReference"/>
        </w:rPr>
        <w:footnoteRef/>
      </w:r>
      <w:r>
        <w:t xml:space="preserve"> </w:t>
      </w:r>
      <w:r w:rsidRPr="007E339F">
        <w:t>QMF149</w:t>
      </w:r>
      <w:r>
        <w:t xml:space="preserve"> is the drug development code used by sponsor for </w:t>
      </w:r>
      <w:proofErr w:type="spellStart"/>
      <w:r>
        <w:t>Atectura</w:t>
      </w:r>
      <w:proofErr w:type="spellEnd"/>
      <w:r>
        <w:t xml:space="preserve"> </w:t>
      </w:r>
      <w:proofErr w:type="spellStart"/>
      <w:r>
        <w:t>Breezhaler</w:t>
      </w:r>
      <w:proofErr w:type="spellEnd"/>
      <w:r>
        <w:t>.</w:t>
      </w:r>
    </w:p>
  </w:footnote>
  <w:footnote w:id="10">
    <w:p w14:paraId="7CA38F8F" w14:textId="77777777" w:rsidR="00C248D5" w:rsidRDefault="00C248D5">
      <w:pPr>
        <w:pStyle w:val="FootnoteText"/>
      </w:pPr>
      <w:r>
        <w:rPr>
          <w:rStyle w:val="FootnoteReference"/>
        </w:rPr>
        <w:footnoteRef/>
      </w:r>
      <w:r>
        <w:t xml:space="preserve"> </w:t>
      </w:r>
      <w:proofErr w:type="spellStart"/>
      <w:r w:rsidRPr="007E339F">
        <w:t>Fausnight</w:t>
      </w:r>
      <w:proofErr w:type="spellEnd"/>
      <w:r w:rsidRPr="007E339F">
        <w:t xml:space="preserve"> TB, Craig TJ (2011) </w:t>
      </w:r>
      <w:proofErr w:type="spellStart"/>
      <w:r w:rsidRPr="007E339F">
        <w:t>Mometasone</w:t>
      </w:r>
      <w:proofErr w:type="spellEnd"/>
      <w:r w:rsidRPr="007E339F">
        <w:t xml:space="preserve"> </w:t>
      </w:r>
      <w:proofErr w:type="spellStart"/>
      <w:r w:rsidRPr="007E339F">
        <w:t>furoate</w:t>
      </w:r>
      <w:proofErr w:type="spellEnd"/>
      <w:r w:rsidRPr="007E339F">
        <w:t xml:space="preserve"> dry powder inhaler for the treatment of asthma </w:t>
      </w:r>
      <w:proofErr w:type="spellStart"/>
      <w:r w:rsidRPr="007E339F">
        <w:rPr>
          <w:i/>
        </w:rPr>
        <w:t>Exp</w:t>
      </w:r>
      <w:proofErr w:type="spellEnd"/>
      <w:r w:rsidRPr="007E339F">
        <w:rPr>
          <w:i/>
        </w:rPr>
        <w:t xml:space="preserve"> </w:t>
      </w:r>
      <w:proofErr w:type="spellStart"/>
      <w:r w:rsidRPr="007E339F">
        <w:rPr>
          <w:i/>
        </w:rPr>
        <w:t>Opin</w:t>
      </w:r>
      <w:proofErr w:type="spellEnd"/>
      <w:r w:rsidRPr="007E339F">
        <w:rPr>
          <w:i/>
        </w:rPr>
        <w:t xml:space="preserve"> </w:t>
      </w:r>
      <w:proofErr w:type="spellStart"/>
      <w:r w:rsidRPr="007E339F">
        <w:rPr>
          <w:i/>
        </w:rPr>
        <w:t>Pharmacother</w:t>
      </w:r>
      <w:proofErr w:type="spellEnd"/>
      <w:r w:rsidRPr="007E339F">
        <w:t>; 12(17):2702-12</w:t>
      </w:r>
      <w:r>
        <w:t>.</w:t>
      </w:r>
    </w:p>
  </w:footnote>
  <w:footnote w:id="11">
    <w:p w14:paraId="29C75F6F" w14:textId="77777777" w:rsidR="00C248D5" w:rsidRDefault="00C248D5">
      <w:pPr>
        <w:pStyle w:val="FootnoteText"/>
      </w:pPr>
      <w:r>
        <w:rPr>
          <w:rStyle w:val="FootnoteReference"/>
        </w:rPr>
        <w:footnoteRef/>
      </w:r>
      <w:r>
        <w:t xml:space="preserve"> </w:t>
      </w:r>
      <w:r w:rsidRPr="007E339F">
        <w:t xml:space="preserve">Yang D, Wang J, </w:t>
      </w:r>
      <w:proofErr w:type="spellStart"/>
      <w:r w:rsidRPr="007E339F">
        <w:t>Bunjhoo</w:t>
      </w:r>
      <w:proofErr w:type="spellEnd"/>
      <w:r w:rsidRPr="007E339F">
        <w:t xml:space="preserve"> H, et al (2012) Comparison of the efficacy and safety of </w:t>
      </w:r>
      <w:proofErr w:type="spellStart"/>
      <w:r w:rsidRPr="007E339F">
        <w:t>mometasone</w:t>
      </w:r>
      <w:proofErr w:type="spellEnd"/>
      <w:r w:rsidRPr="007E339F">
        <w:t xml:space="preserve"> </w:t>
      </w:r>
      <w:proofErr w:type="spellStart"/>
      <w:r w:rsidRPr="007E339F">
        <w:t>furoate</w:t>
      </w:r>
      <w:proofErr w:type="spellEnd"/>
      <w:r w:rsidRPr="007E339F">
        <w:t xml:space="preserve"> to other inhaled steroids for asthma: a meta-analysis. </w:t>
      </w:r>
      <w:r w:rsidRPr="007E339F">
        <w:rPr>
          <w:i/>
        </w:rPr>
        <w:t xml:space="preserve">Asian Pac J Allergy </w:t>
      </w:r>
      <w:proofErr w:type="spellStart"/>
      <w:r w:rsidRPr="007E339F">
        <w:rPr>
          <w:i/>
        </w:rPr>
        <w:t>Immunol</w:t>
      </w:r>
      <w:proofErr w:type="spellEnd"/>
      <w:r w:rsidRPr="007E339F">
        <w:t>; 31(1):26-35</w:t>
      </w:r>
      <w:r>
        <w:t>.</w:t>
      </w:r>
    </w:p>
  </w:footnote>
  <w:footnote w:id="12">
    <w:p w14:paraId="3054742E" w14:textId="77777777" w:rsidR="00C248D5" w:rsidRDefault="00C248D5" w:rsidP="006B68A8">
      <w:pPr>
        <w:pStyle w:val="FootnoteText"/>
      </w:pPr>
      <w:r>
        <w:rPr>
          <w:rStyle w:val="FootnoteReference"/>
        </w:rPr>
        <w:footnoteRef/>
      </w:r>
      <w:r>
        <w:t xml:space="preserve">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 Studies in animals have shown evidence of an increased occurrence of </w:t>
      </w:r>
      <w:proofErr w:type="spellStart"/>
      <w:r>
        <w:t>fetal</w:t>
      </w:r>
      <w:proofErr w:type="spellEnd"/>
      <w:r>
        <w:t xml:space="preserve"> damage, the significance of which is considered uncertain in humans.</w:t>
      </w:r>
    </w:p>
  </w:footnote>
  <w:footnote w:id="13">
    <w:p w14:paraId="32F9CB06" w14:textId="48FD4A05" w:rsidR="00C248D5" w:rsidRDefault="00C248D5" w:rsidP="006B68A8">
      <w:pPr>
        <w:pStyle w:val="FootnoteText"/>
      </w:pPr>
      <w:r>
        <w:rPr>
          <w:rStyle w:val="FootnoteReference"/>
        </w:rPr>
        <w:footnoteRef/>
      </w:r>
      <w:r>
        <w:t xml:space="preserve"> ICH M3 (R2):</w:t>
      </w:r>
      <w:r w:rsidRPr="00B376E6">
        <w:t xml:space="preserve"> </w:t>
      </w:r>
      <w:r>
        <w:t>International Conference on Harmonisation (ICH) Nonclinical Safety Studies for the Conduct of Human Clinical Trials and Marketing Authorisation for Pharmaceuticals.</w:t>
      </w:r>
    </w:p>
  </w:footnote>
  <w:footnote w:id="14">
    <w:p w14:paraId="33EE7581" w14:textId="130E9723" w:rsidR="00C248D5" w:rsidRDefault="00C248D5" w:rsidP="006B68A8">
      <w:pPr>
        <w:pStyle w:val="FootnoteText"/>
      </w:pPr>
      <w:r>
        <w:rPr>
          <w:rStyle w:val="FootnoteReference"/>
        </w:rPr>
        <w:footnoteRef/>
      </w:r>
      <w:r>
        <w:t xml:space="preserve"> </w:t>
      </w:r>
      <w:r w:rsidRPr="00B34AF8">
        <w:t>EMEA/CHMP/SWP/258498/2005</w:t>
      </w:r>
      <w:r>
        <w:t>: European Medicines Evaluation Agency (EMEA) Guideline on the Non-Clinical Development of Fixed Combinations of Medicinal Products.</w:t>
      </w:r>
    </w:p>
  </w:footnote>
  <w:footnote w:id="15">
    <w:p w14:paraId="5E1EA4E9" w14:textId="77777777" w:rsidR="00C248D5" w:rsidRDefault="00C248D5">
      <w:pPr>
        <w:pStyle w:val="FootnoteText"/>
      </w:pPr>
      <w:r>
        <w:rPr>
          <w:rStyle w:val="FootnoteReference"/>
        </w:rPr>
        <w:footnoteRef/>
      </w:r>
      <w:r>
        <w:t xml:space="preserve"> </w:t>
      </w:r>
      <w:r w:rsidRPr="002C4A18">
        <w:t>Trough FEV1 is the mean volume of air that can be forced out in one second after taking a deep breath approximately 24 hours after the last administration of study drug.</w:t>
      </w:r>
    </w:p>
  </w:footnote>
  <w:footnote w:id="16">
    <w:p w14:paraId="58A970AF" w14:textId="69A4750A" w:rsidR="00C248D5" w:rsidRDefault="00C248D5">
      <w:pPr>
        <w:pStyle w:val="FootnoteText"/>
      </w:pPr>
      <w:r>
        <w:rPr>
          <w:rStyle w:val="FootnoteReference"/>
        </w:rPr>
        <w:footnoteRef/>
      </w:r>
      <w:r>
        <w:t xml:space="preserve"> </w:t>
      </w:r>
      <w:r w:rsidRPr="002C4A18">
        <w:t>The</w:t>
      </w:r>
      <w:r>
        <w:t xml:space="preserve"> </w:t>
      </w:r>
      <w:r w:rsidRPr="00DB14F2">
        <w:rPr>
          <w:b/>
        </w:rPr>
        <w:t>Asthma Control Questionnaire</w:t>
      </w:r>
      <w:r w:rsidRPr="002C4A18">
        <w:t xml:space="preserve"> </w:t>
      </w:r>
      <w:r>
        <w:t>(</w:t>
      </w:r>
      <w:r w:rsidRPr="00DB14F2">
        <w:rPr>
          <w:b/>
        </w:rPr>
        <w:t>ACQ</w:t>
      </w:r>
      <w:r w:rsidRPr="00DB14F2">
        <w:rPr>
          <w:b/>
        </w:rPr>
        <w:noBreakHyphen/>
        <w:t>7</w:t>
      </w:r>
      <w:r>
        <w:t>)</w:t>
      </w:r>
      <w:r w:rsidRPr="002C4A18">
        <w:t xml:space="preserve"> has 7 questions (the top scoring 5 symptoms, FEV1% pred. and daily rescue bronchodilator use). Patients are asked to recall how their asthma has been during the previous week and to respond to the symptom and bronchodilator use questions on a 7-point scale (0</w:t>
      </w:r>
      <w:r>
        <w:t> </w:t>
      </w:r>
      <w:r w:rsidRPr="002C4A18">
        <w:t>=</w:t>
      </w:r>
      <w:r>
        <w:t> </w:t>
      </w:r>
      <w:r w:rsidRPr="002C4A18">
        <w:t>no impairment, 6</w:t>
      </w:r>
      <w:r>
        <w:t> </w:t>
      </w:r>
      <w:r w:rsidRPr="002C4A18">
        <w:t>= maximum impa</w:t>
      </w:r>
      <w:r>
        <w:t>irment).</w:t>
      </w:r>
    </w:p>
  </w:footnote>
  <w:footnote w:id="17">
    <w:p w14:paraId="7754D4F2" w14:textId="77777777" w:rsidR="00C248D5" w:rsidRDefault="00C248D5">
      <w:pPr>
        <w:pStyle w:val="FootnoteText"/>
      </w:pPr>
      <w:r>
        <w:rPr>
          <w:rStyle w:val="FootnoteReference"/>
        </w:rPr>
        <w:footnoteRef/>
      </w:r>
      <w:r>
        <w:t xml:space="preserve"> FEV1 is the amount of air patient can force from his/her</w:t>
      </w:r>
      <w:r w:rsidRPr="002633BA">
        <w:t xml:space="preserve"> lungs in one second</w:t>
      </w:r>
      <w:r>
        <w:t>.</w:t>
      </w:r>
    </w:p>
  </w:footnote>
  <w:footnote w:id="18">
    <w:p w14:paraId="0C7A2CEC" w14:textId="77777777" w:rsidR="00C248D5" w:rsidRDefault="00C248D5">
      <w:pPr>
        <w:pStyle w:val="FootnoteText"/>
      </w:pPr>
      <w:r>
        <w:rPr>
          <w:rStyle w:val="FootnoteReference"/>
        </w:rPr>
        <w:footnoteRef/>
      </w:r>
      <w:r>
        <w:t xml:space="preserve"> </w:t>
      </w:r>
      <w:r w:rsidRPr="006D5E58">
        <w:t>Least square means are means for groups that are adjusted for means of other factors in the model</w:t>
      </w:r>
      <w:r>
        <w:t>.</w:t>
      </w:r>
    </w:p>
  </w:footnote>
  <w:footnote w:id="19">
    <w:p w14:paraId="461A0784" w14:textId="77777777" w:rsidR="00C248D5" w:rsidRDefault="00C248D5" w:rsidP="000B7CD0">
      <w:pPr>
        <w:pStyle w:val="FootnoteText"/>
      </w:pPr>
      <w:r>
        <w:rPr>
          <w:rStyle w:val="FootnoteReference"/>
        </w:rPr>
        <w:footnoteRef/>
      </w:r>
      <w:r>
        <w:t xml:space="preserve"> </w:t>
      </w:r>
      <w:r w:rsidRPr="007D53B6">
        <w:t>The sponsor must still comply with routine product vigilance and risk minimisation requirements.</w:t>
      </w:r>
    </w:p>
  </w:footnote>
  <w:footnote w:id="20">
    <w:p w14:paraId="6F9F2C1D" w14:textId="77777777" w:rsidR="00C248D5" w:rsidRDefault="00C248D5">
      <w:pPr>
        <w:pStyle w:val="FootnoteText"/>
      </w:pPr>
      <w:r>
        <w:rPr>
          <w:rStyle w:val="FootnoteReference"/>
        </w:rPr>
        <w:footnoteRef/>
      </w:r>
      <w:r>
        <w:t xml:space="preserve"> </w:t>
      </w:r>
      <w:r w:rsidRPr="00EB4F2A">
        <w:t>EMA/CHMP Guideline on clinical investigation of medicinal products in the treatment of Asthma (</w:t>
      </w:r>
      <w:r>
        <w:t>October</w:t>
      </w:r>
      <w:r w:rsidRPr="00EB4F2A">
        <w:t xml:space="preserve"> 2015).</w:t>
      </w:r>
    </w:p>
  </w:footnote>
  <w:footnote w:id="21">
    <w:p w14:paraId="486C5A95" w14:textId="77777777" w:rsidR="00C248D5" w:rsidRDefault="00C248D5">
      <w:pPr>
        <w:pStyle w:val="FootnoteText"/>
      </w:pPr>
      <w:r>
        <w:rPr>
          <w:rStyle w:val="FootnoteReference"/>
        </w:rPr>
        <w:footnoteRef/>
      </w:r>
      <w:r>
        <w:t xml:space="preserve"> </w:t>
      </w:r>
      <w:r w:rsidRPr="005205E5">
        <w:t xml:space="preserve">CHMP Guideline on the requirements for clinical documentation for orally inhaled products (OIP) including the requirements for demonstration of therapeutic equivalence between two inhaled products for use in the treatment of asthma and COPD in adults and for use in the treatment of asthma in children and adolescents (22 </w:t>
      </w:r>
      <w:r>
        <w:t>January</w:t>
      </w:r>
      <w:r w:rsidRPr="005205E5">
        <w:t xml:space="preserve"> 2009)</w:t>
      </w:r>
    </w:p>
  </w:footnote>
  <w:footnote w:id="22">
    <w:p w14:paraId="2372A6F1" w14:textId="2C6701B3" w:rsidR="00C248D5" w:rsidRDefault="00C248D5">
      <w:pPr>
        <w:pStyle w:val="FootnoteText"/>
      </w:pPr>
      <w:r>
        <w:rPr>
          <w:rStyle w:val="FootnoteReference"/>
        </w:rPr>
        <w:footnoteRef/>
      </w:r>
      <w:r>
        <w:t xml:space="preserve"> Sponsor clarification, </w:t>
      </w:r>
      <w:r w:rsidRPr="009E391B">
        <w:t xml:space="preserve">all recommended changes to PI have been </w:t>
      </w:r>
      <w:r>
        <w:t>resolved</w:t>
      </w:r>
      <w:r w:rsidRPr="009E391B">
        <w:t xml:space="preserve"> prior to approval of </w:t>
      </w:r>
      <w:proofErr w:type="spellStart"/>
      <w:r w:rsidRPr="009E391B">
        <w:t>Atectura</w:t>
      </w:r>
      <w:proofErr w:type="spellEnd"/>
      <w:r w:rsidRPr="009E391B">
        <w:t xml:space="preserve"> </w:t>
      </w:r>
      <w:proofErr w:type="spellStart"/>
      <w:r w:rsidRPr="009E391B">
        <w:t>Breezhaler</w:t>
      </w:r>
      <w:proofErr w:type="spellEnd"/>
      <w:r w:rsidRPr="009E391B">
        <w:t>.</w:t>
      </w:r>
    </w:p>
  </w:footnote>
  <w:footnote w:id="23">
    <w:p w14:paraId="7FDBDE51" w14:textId="77777777" w:rsidR="00C248D5" w:rsidRDefault="00C248D5"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30ECC19D" w14:textId="77777777" w:rsidR="00C248D5" w:rsidRPr="00456765" w:rsidRDefault="00C248D5"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3433" w14:textId="77777777" w:rsidR="00C248D5" w:rsidRDefault="00C2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370D8" w14:textId="77777777" w:rsidR="00C248D5" w:rsidRDefault="00C248D5"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C164" w14:textId="77777777" w:rsidR="00C248D5" w:rsidRDefault="00C248D5">
    <w:pPr>
      <w:rPr>
        <w:noProof/>
        <w:lang w:eastAsia="en-AU"/>
      </w:rPr>
    </w:pPr>
    <w:r w:rsidRPr="00347824">
      <w:rPr>
        <w:noProof/>
        <w:lang w:eastAsia="en-AU"/>
      </w:rPr>
      <w:drawing>
        <wp:anchor distT="0" distB="0" distL="114300" distR="114300" simplePos="0" relativeHeight="251658240" behindDoc="1" locked="0" layoutInCell="1" allowOverlap="1" wp14:anchorId="6CB4EA91" wp14:editId="7397AE0A">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7B6801A0" w14:textId="77777777" w:rsidR="00C248D5" w:rsidRDefault="00C248D5"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0D9B" w14:textId="77777777" w:rsidR="00C248D5" w:rsidRDefault="00C248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0E9EA" w14:textId="77777777" w:rsidR="00C248D5" w:rsidRDefault="00C248D5">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6CA0" w14:textId="77777777" w:rsidR="00C248D5" w:rsidRDefault="00C248D5">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6DEE5" w14:textId="77777777" w:rsidR="00C248D5" w:rsidRDefault="00C248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18D0E" w14:textId="77777777" w:rsidR="00C248D5" w:rsidRDefault="00C248D5"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F76E" w14:textId="77777777" w:rsidR="00C248D5" w:rsidRDefault="00C248D5" w:rsidP="006E08B3">
    <w:r>
      <w:t>Therapeutic Goods Administration</w:t>
    </w:r>
  </w:p>
  <w:p w14:paraId="2B4633DE" w14:textId="77777777" w:rsidR="00C248D5" w:rsidRDefault="00C248D5"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7EFE3DF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multilevel"/>
    <w:tmpl w:val="B8320B0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B92C5138"/>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5D4D7F"/>
    <w:multiLevelType w:val="hybridMultilevel"/>
    <w:tmpl w:val="7C2E7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B53880"/>
    <w:multiLevelType w:val="hybridMultilevel"/>
    <w:tmpl w:val="B672C5AC"/>
    <w:lvl w:ilvl="0" w:tplc="69E87B04">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E892A8C"/>
    <w:multiLevelType w:val="hybridMultilevel"/>
    <w:tmpl w:val="3A621484"/>
    <w:lvl w:ilvl="0" w:tplc="09CAE1DC">
      <w:numFmt w:val="bullet"/>
      <w:lvlText w:val="-"/>
      <w:lvlJc w:val="left"/>
      <w:pPr>
        <w:ind w:left="720" w:hanging="360"/>
      </w:pPr>
      <w:rPr>
        <w:rFonts w:ascii="Cambria" w:eastAsia="MS Mincho"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4"/>
  </w:num>
  <w:num w:numId="29">
    <w:abstractNumId w:val="6"/>
  </w:num>
  <w:num w:numId="30">
    <w:abstractNumId w:val="8"/>
  </w:num>
  <w:num w:numId="31">
    <w:abstractNumId w:val="4"/>
  </w:num>
  <w:num w:numId="32">
    <w:abstractNumId w:val="13"/>
  </w:num>
  <w:num w:numId="33">
    <w:abstractNumId w:val="11"/>
  </w:num>
  <w:num w:numId="34">
    <w:abstractNumId w:val="15"/>
  </w:num>
  <w:num w:numId="35">
    <w:abstractNumId w:val="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EF"/>
    <w:rsid w:val="00002031"/>
    <w:rsid w:val="00004734"/>
    <w:rsid w:val="00006553"/>
    <w:rsid w:val="00006B22"/>
    <w:rsid w:val="00006FAB"/>
    <w:rsid w:val="0001276A"/>
    <w:rsid w:val="000246AE"/>
    <w:rsid w:val="00025C67"/>
    <w:rsid w:val="00044772"/>
    <w:rsid w:val="0004541C"/>
    <w:rsid w:val="00045854"/>
    <w:rsid w:val="0005438E"/>
    <w:rsid w:val="0005559E"/>
    <w:rsid w:val="000604D6"/>
    <w:rsid w:val="000728D8"/>
    <w:rsid w:val="000734D8"/>
    <w:rsid w:val="00077775"/>
    <w:rsid w:val="00090471"/>
    <w:rsid w:val="00096AA7"/>
    <w:rsid w:val="000977B5"/>
    <w:rsid w:val="000A3AED"/>
    <w:rsid w:val="000B3532"/>
    <w:rsid w:val="000B3A75"/>
    <w:rsid w:val="000B64C1"/>
    <w:rsid w:val="000B7CD0"/>
    <w:rsid w:val="000C00C2"/>
    <w:rsid w:val="000C2D0C"/>
    <w:rsid w:val="000C355D"/>
    <w:rsid w:val="000C5B67"/>
    <w:rsid w:val="000C690F"/>
    <w:rsid w:val="000D1295"/>
    <w:rsid w:val="000D391B"/>
    <w:rsid w:val="000D3D6D"/>
    <w:rsid w:val="000D4FC7"/>
    <w:rsid w:val="000E25D6"/>
    <w:rsid w:val="000E3FB0"/>
    <w:rsid w:val="000E6196"/>
    <w:rsid w:val="000F4869"/>
    <w:rsid w:val="000F5B42"/>
    <w:rsid w:val="000F6E6F"/>
    <w:rsid w:val="00105BEC"/>
    <w:rsid w:val="0010601F"/>
    <w:rsid w:val="0010788A"/>
    <w:rsid w:val="00107A31"/>
    <w:rsid w:val="00110EA5"/>
    <w:rsid w:val="0011170C"/>
    <w:rsid w:val="00112F56"/>
    <w:rsid w:val="00113E29"/>
    <w:rsid w:val="0012213C"/>
    <w:rsid w:val="00124ACD"/>
    <w:rsid w:val="00125318"/>
    <w:rsid w:val="001305A2"/>
    <w:rsid w:val="00133238"/>
    <w:rsid w:val="00133A1B"/>
    <w:rsid w:val="0014197B"/>
    <w:rsid w:val="001447CD"/>
    <w:rsid w:val="001466CE"/>
    <w:rsid w:val="001516B1"/>
    <w:rsid w:val="00154EBB"/>
    <w:rsid w:val="00156316"/>
    <w:rsid w:val="00161181"/>
    <w:rsid w:val="00162D14"/>
    <w:rsid w:val="001636F9"/>
    <w:rsid w:val="00163780"/>
    <w:rsid w:val="00165389"/>
    <w:rsid w:val="0017693F"/>
    <w:rsid w:val="0018110E"/>
    <w:rsid w:val="00181684"/>
    <w:rsid w:val="00182695"/>
    <w:rsid w:val="001843C6"/>
    <w:rsid w:val="001850E0"/>
    <w:rsid w:val="001A03AF"/>
    <w:rsid w:val="001A2158"/>
    <w:rsid w:val="001A525F"/>
    <w:rsid w:val="001B09F9"/>
    <w:rsid w:val="001B1F4F"/>
    <w:rsid w:val="001B5C90"/>
    <w:rsid w:val="001B6448"/>
    <w:rsid w:val="001C32CD"/>
    <w:rsid w:val="001C6BA2"/>
    <w:rsid w:val="001D2984"/>
    <w:rsid w:val="001E07CF"/>
    <w:rsid w:val="001E59F1"/>
    <w:rsid w:val="001F2CEE"/>
    <w:rsid w:val="001F49EB"/>
    <w:rsid w:val="001F6CBA"/>
    <w:rsid w:val="00201D4E"/>
    <w:rsid w:val="002076C9"/>
    <w:rsid w:val="002104F0"/>
    <w:rsid w:val="00220B8A"/>
    <w:rsid w:val="002257F3"/>
    <w:rsid w:val="00233456"/>
    <w:rsid w:val="002339A5"/>
    <w:rsid w:val="00237BF2"/>
    <w:rsid w:val="00243513"/>
    <w:rsid w:val="00250271"/>
    <w:rsid w:val="00257848"/>
    <w:rsid w:val="002578E8"/>
    <w:rsid w:val="002633BA"/>
    <w:rsid w:val="0027084A"/>
    <w:rsid w:val="00280265"/>
    <w:rsid w:val="00284564"/>
    <w:rsid w:val="00286434"/>
    <w:rsid w:val="00286C59"/>
    <w:rsid w:val="00291957"/>
    <w:rsid w:val="002942D1"/>
    <w:rsid w:val="0029501A"/>
    <w:rsid w:val="00296523"/>
    <w:rsid w:val="002A3721"/>
    <w:rsid w:val="002B1638"/>
    <w:rsid w:val="002B3624"/>
    <w:rsid w:val="002C4A18"/>
    <w:rsid w:val="002D07CD"/>
    <w:rsid w:val="002D0952"/>
    <w:rsid w:val="002E40B3"/>
    <w:rsid w:val="002E4C9A"/>
    <w:rsid w:val="002E7125"/>
    <w:rsid w:val="002F11F8"/>
    <w:rsid w:val="002F33A2"/>
    <w:rsid w:val="002F3F56"/>
    <w:rsid w:val="002F44B5"/>
    <w:rsid w:val="002F5122"/>
    <w:rsid w:val="00311AC0"/>
    <w:rsid w:val="003176FC"/>
    <w:rsid w:val="0032583B"/>
    <w:rsid w:val="00327883"/>
    <w:rsid w:val="00331DEF"/>
    <w:rsid w:val="003329EF"/>
    <w:rsid w:val="00335504"/>
    <w:rsid w:val="00340C18"/>
    <w:rsid w:val="003442FD"/>
    <w:rsid w:val="00347824"/>
    <w:rsid w:val="00350567"/>
    <w:rsid w:val="003521E8"/>
    <w:rsid w:val="00370CE3"/>
    <w:rsid w:val="003728F3"/>
    <w:rsid w:val="00372D37"/>
    <w:rsid w:val="00372F58"/>
    <w:rsid w:val="003735BC"/>
    <w:rsid w:val="0037496E"/>
    <w:rsid w:val="00383221"/>
    <w:rsid w:val="00386150"/>
    <w:rsid w:val="003874CE"/>
    <w:rsid w:val="00390900"/>
    <w:rsid w:val="003A3B99"/>
    <w:rsid w:val="003A7F6C"/>
    <w:rsid w:val="003B4D60"/>
    <w:rsid w:val="003B4D81"/>
    <w:rsid w:val="003B7E39"/>
    <w:rsid w:val="003C58DC"/>
    <w:rsid w:val="003D1E62"/>
    <w:rsid w:val="003E0B99"/>
    <w:rsid w:val="003E2486"/>
    <w:rsid w:val="003E3208"/>
    <w:rsid w:val="003F0B04"/>
    <w:rsid w:val="003F695A"/>
    <w:rsid w:val="0040134E"/>
    <w:rsid w:val="0040703E"/>
    <w:rsid w:val="004334C7"/>
    <w:rsid w:val="00440A2D"/>
    <w:rsid w:val="00441C3F"/>
    <w:rsid w:val="00444D1A"/>
    <w:rsid w:val="0045186A"/>
    <w:rsid w:val="004564A7"/>
    <w:rsid w:val="00456765"/>
    <w:rsid w:val="00460036"/>
    <w:rsid w:val="004617BF"/>
    <w:rsid w:val="00463658"/>
    <w:rsid w:val="004637A0"/>
    <w:rsid w:val="00465424"/>
    <w:rsid w:val="004722CC"/>
    <w:rsid w:val="0047353B"/>
    <w:rsid w:val="00490483"/>
    <w:rsid w:val="004936E4"/>
    <w:rsid w:val="00494E60"/>
    <w:rsid w:val="00497487"/>
    <w:rsid w:val="004A2771"/>
    <w:rsid w:val="004A6189"/>
    <w:rsid w:val="004A7390"/>
    <w:rsid w:val="004B71F8"/>
    <w:rsid w:val="004B72B6"/>
    <w:rsid w:val="004B7B76"/>
    <w:rsid w:val="004C239D"/>
    <w:rsid w:val="004C2DCA"/>
    <w:rsid w:val="004C377E"/>
    <w:rsid w:val="004C404D"/>
    <w:rsid w:val="004C4DB0"/>
    <w:rsid w:val="004C4FBE"/>
    <w:rsid w:val="004C61D2"/>
    <w:rsid w:val="004E02E3"/>
    <w:rsid w:val="004F0C4A"/>
    <w:rsid w:val="004F0F38"/>
    <w:rsid w:val="004F47D6"/>
    <w:rsid w:val="00500337"/>
    <w:rsid w:val="00501921"/>
    <w:rsid w:val="00506EAC"/>
    <w:rsid w:val="005205E5"/>
    <w:rsid w:val="00530354"/>
    <w:rsid w:val="0053625B"/>
    <w:rsid w:val="005434C6"/>
    <w:rsid w:val="00543B39"/>
    <w:rsid w:val="00546154"/>
    <w:rsid w:val="00550096"/>
    <w:rsid w:val="005543BB"/>
    <w:rsid w:val="00555280"/>
    <w:rsid w:val="00557FF9"/>
    <w:rsid w:val="00562327"/>
    <w:rsid w:val="005711D5"/>
    <w:rsid w:val="00576378"/>
    <w:rsid w:val="00576707"/>
    <w:rsid w:val="00577130"/>
    <w:rsid w:val="00577945"/>
    <w:rsid w:val="00577E38"/>
    <w:rsid w:val="00585322"/>
    <w:rsid w:val="005857C6"/>
    <w:rsid w:val="00592F6E"/>
    <w:rsid w:val="00593AD1"/>
    <w:rsid w:val="0059459B"/>
    <w:rsid w:val="005A669E"/>
    <w:rsid w:val="005A68B6"/>
    <w:rsid w:val="005B2BD5"/>
    <w:rsid w:val="005C516A"/>
    <w:rsid w:val="005C5570"/>
    <w:rsid w:val="005C5B66"/>
    <w:rsid w:val="005C79A4"/>
    <w:rsid w:val="005D5442"/>
    <w:rsid w:val="005D66AB"/>
    <w:rsid w:val="00603F32"/>
    <w:rsid w:val="00605AD4"/>
    <w:rsid w:val="006136D7"/>
    <w:rsid w:val="00614969"/>
    <w:rsid w:val="00625A6E"/>
    <w:rsid w:val="00632398"/>
    <w:rsid w:val="00640FC3"/>
    <w:rsid w:val="00642020"/>
    <w:rsid w:val="006430EE"/>
    <w:rsid w:val="00643B19"/>
    <w:rsid w:val="00651936"/>
    <w:rsid w:val="00652776"/>
    <w:rsid w:val="0065337B"/>
    <w:rsid w:val="0065419D"/>
    <w:rsid w:val="006603BC"/>
    <w:rsid w:val="006604D8"/>
    <w:rsid w:val="00664A5B"/>
    <w:rsid w:val="0066735C"/>
    <w:rsid w:val="006763D2"/>
    <w:rsid w:val="006809A2"/>
    <w:rsid w:val="00680C08"/>
    <w:rsid w:val="006916A0"/>
    <w:rsid w:val="006931B1"/>
    <w:rsid w:val="00695B22"/>
    <w:rsid w:val="006A15C0"/>
    <w:rsid w:val="006A58A8"/>
    <w:rsid w:val="006B68A8"/>
    <w:rsid w:val="006C3E2A"/>
    <w:rsid w:val="006C642F"/>
    <w:rsid w:val="006D03E5"/>
    <w:rsid w:val="006D5D3E"/>
    <w:rsid w:val="006D5E58"/>
    <w:rsid w:val="006E08B3"/>
    <w:rsid w:val="006E273C"/>
    <w:rsid w:val="006F17AC"/>
    <w:rsid w:val="006F2526"/>
    <w:rsid w:val="006F25B8"/>
    <w:rsid w:val="006F5582"/>
    <w:rsid w:val="006F572E"/>
    <w:rsid w:val="00702227"/>
    <w:rsid w:val="007046D6"/>
    <w:rsid w:val="00705DB0"/>
    <w:rsid w:val="00711FBF"/>
    <w:rsid w:val="00722006"/>
    <w:rsid w:val="00722B57"/>
    <w:rsid w:val="0072691C"/>
    <w:rsid w:val="00730F8A"/>
    <w:rsid w:val="00735A8C"/>
    <w:rsid w:val="0074253D"/>
    <w:rsid w:val="00742588"/>
    <w:rsid w:val="0074429B"/>
    <w:rsid w:val="00754817"/>
    <w:rsid w:val="007553DF"/>
    <w:rsid w:val="007615BC"/>
    <w:rsid w:val="00762F05"/>
    <w:rsid w:val="007652FF"/>
    <w:rsid w:val="00770CAC"/>
    <w:rsid w:val="00770EF1"/>
    <w:rsid w:val="0077183A"/>
    <w:rsid w:val="00773EF7"/>
    <w:rsid w:val="00774E1D"/>
    <w:rsid w:val="007765D8"/>
    <w:rsid w:val="0077675A"/>
    <w:rsid w:val="00780355"/>
    <w:rsid w:val="007819FD"/>
    <w:rsid w:val="00785717"/>
    <w:rsid w:val="00785721"/>
    <w:rsid w:val="0079040B"/>
    <w:rsid w:val="00793A59"/>
    <w:rsid w:val="007A46F5"/>
    <w:rsid w:val="007A6505"/>
    <w:rsid w:val="007B6132"/>
    <w:rsid w:val="007B6E9F"/>
    <w:rsid w:val="007C1216"/>
    <w:rsid w:val="007C1AF7"/>
    <w:rsid w:val="007C6B9B"/>
    <w:rsid w:val="007D53B6"/>
    <w:rsid w:val="007E339F"/>
    <w:rsid w:val="007F6B87"/>
    <w:rsid w:val="00805D27"/>
    <w:rsid w:val="00806DCB"/>
    <w:rsid w:val="00821776"/>
    <w:rsid w:val="008321F5"/>
    <w:rsid w:val="00832369"/>
    <w:rsid w:val="00834660"/>
    <w:rsid w:val="00836BC2"/>
    <w:rsid w:val="0085156D"/>
    <w:rsid w:val="00852B28"/>
    <w:rsid w:val="0085641B"/>
    <w:rsid w:val="00857136"/>
    <w:rsid w:val="008641C7"/>
    <w:rsid w:val="00875A6B"/>
    <w:rsid w:val="00881D61"/>
    <w:rsid w:val="00882898"/>
    <w:rsid w:val="00885B11"/>
    <w:rsid w:val="00886788"/>
    <w:rsid w:val="00886D15"/>
    <w:rsid w:val="00887DD8"/>
    <w:rsid w:val="00891BA9"/>
    <w:rsid w:val="00893613"/>
    <w:rsid w:val="00896018"/>
    <w:rsid w:val="008960DD"/>
    <w:rsid w:val="0089635C"/>
    <w:rsid w:val="008A2B9D"/>
    <w:rsid w:val="008A3D9F"/>
    <w:rsid w:val="008A5E0B"/>
    <w:rsid w:val="008A6D59"/>
    <w:rsid w:val="008B46F3"/>
    <w:rsid w:val="008B4B03"/>
    <w:rsid w:val="008B596F"/>
    <w:rsid w:val="008C0AA7"/>
    <w:rsid w:val="008C159F"/>
    <w:rsid w:val="008C1623"/>
    <w:rsid w:val="008C1850"/>
    <w:rsid w:val="008C51A9"/>
    <w:rsid w:val="008D5D7F"/>
    <w:rsid w:val="008E7846"/>
    <w:rsid w:val="008F02E5"/>
    <w:rsid w:val="008F1CCC"/>
    <w:rsid w:val="008F2967"/>
    <w:rsid w:val="008F6943"/>
    <w:rsid w:val="009010F2"/>
    <w:rsid w:val="00902A21"/>
    <w:rsid w:val="0091523F"/>
    <w:rsid w:val="00920330"/>
    <w:rsid w:val="009219D7"/>
    <w:rsid w:val="00922D53"/>
    <w:rsid w:val="00923B70"/>
    <w:rsid w:val="00924482"/>
    <w:rsid w:val="00925B4D"/>
    <w:rsid w:val="00930237"/>
    <w:rsid w:val="00937C17"/>
    <w:rsid w:val="00940A89"/>
    <w:rsid w:val="00941F77"/>
    <w:rsid w:val="00945517"/>
    <w:rsid w:val="00946021"/>
    <w:rsid w:val="00946EA5"/>
    <w:rsid w:val="0095551A"/>
    <w:rsid w:val="00960520"/>
    <w:rsid w:val="00963C08"/>
    <w:rsid w:val="00965DD4"/>
    <w:rsid w:val="009752A5"/>
    <w:rsid w:val="0098585A"/>
    <w:rsid w:val="00995B23"/>
    <w:rsid w:val="009A4CED"/>
    <w:rsid w:val="009A690D"/>
    <w:rsid w:val="009B1D12"/>
    <w:rsid w:val="009B416B"/>
    <w:rsid w:val="009C4BD5"/>
    <w:rsid w:val="009D2D0D"/>
    <w:rsid w:val="009D7B77"/>
    <w:rsid w:val="009E0BB0"/>
    <w:rsid w:val="009E391B"/>
    <w:rsid w:val="009E3FBB"/>
    <w:rsid w:val="009E64B8"/>
    <w:rsid w:val="009F7353"/>
    <w:rsid w:val="00A04F85"/>
    <w:rsid w:val="00A05FA4"/>
    <w:rsid w:val="00A102E4"/>
    <w:rsid w:val="00A1219C"/>
    <w:rsid w:val="00A12C42"/>
    <w:rsid w:val="00A14DF7"/>
    <w:rsid w:val="00A22D57"/>
    <w:rsid w:val="00A3246D"/>
    <w:rsid w:val="00A34B4B"/>
    <w:rsid w:val="00A36FA7"/>
    <w:rsid w:val="00A44DDB"/>
    <w:rsid w:val="00A475B7"/>
    <w:rsid w:val="00A47AF7"/>
    <w:rsid w:val="00A47C3E"/>
    <w:rsid w:val="00A50226"/>
    <w:rsid w:val="00A529AD"/>
    <w:rsid w:val="00A5423A"/>
    <w:rsid w:val="00A60BAD"/>
    <w:rsid w:val="00A64CF7"/>
    <w:rsid w:val="00A77F87"/>
    <w:rsid w:val="00A80B5B"/>
    <w:rsid w:val="00A80C4A"/>
    <w:rsid w:val="00A84E36"/>
    <w:rsid w:val="00A964D1"/>
    <w:rsid w:val="00AA0ED0"/>
    <w:rsid w:val="00AA4428"/>
    <w:rsid w:val="00AA4CC6"/>
    <w:rsid w:val="00AB14E6"/>
    <w:rsid w:val="00AC2B40"/>
    <w:rsid w:val="00AC2BB2"/>
    <w:rsid w:val="00AC2C3C"/>
    <w:rsid w:val="00AC512D"/>
    <w:rsid w:val="00AD0083"/>
    <w:rsid w:val="00AD2D09"/>
    <w:rsid w:val="00AD3935"/>
    <w:rsid w:val="00AD63FD"/>
    <w:rsid w:val="00AE65EB"/>
    <w:rsid w:val="00AE67A7"/>
    <w:rsid w:val="00AF1D94"/>
    <w:rsid w:val="00AF60C5"/>
    <w:rsid w:val="00B009C6"/>
    <w:rsid w:val="00B01548"/>
    <w:rsid w:val="00B130C5"/>
    <w:rsid w:val="00B13EBD"/>
    <w:rsid w:val="00B1502F"/>
    <w:rsid w:val="00B21D29"/>
    <w:rsid w:val="00B24422"/>
    <w:rsid w:val="00B25034"/>
    <w:rsid w:val="00B33588"/>
    <w:rsid w:val="00B33863"/>
    <w:rsid w:val="00B37D17"/>
    <w:rsid w:val="00B4175E"/>
    <w:rsid w:val="00B41C85"/>
    <w:rsid w:val="00B452CE"/>
    <w:rsid w:val="00B54C25"/>
    <w:rsid w:val="00B76B91"/>
    <w:rsid w:val="00B77EB1"/>
    <w:rsid w:val="00B811C6"/>
    <w:rsid w:val="00B82B64"/>
    <w:rsid w:val="00B855B0"/>
    <w:rsid w:val="00B9296A"/>
    <w:rsid w:val="00B92E08"/>
    <w:rsid w:val="00BA2D4B"/>
    <w:rsid w:val="00BA40A1"/>
    <w:rsid w:val="00BB6202"/>
    <w:rsid w:val="00BC622A"/>
    <w:rsid w:val="00BC7788"/>
    <w:rsid w:val="00BE0A78"/>
    <w:rsid w:val="00BE79F0"/>
    <w:rsid w:val="00BF046D"/>
    <w:rsid w:val="00BF1190"/>
    <w:rsid w:val="00BF3774"/>
    <w:rsid w:val="00BF5D04"/>
    <w:rsid w:val="00C009AA"/>
    <w:rsid w:val="00C1164D"/>
    <w:rsid w:val="00C15922"/>
    <w:rsid w:val="00C16861"/>
    <w:rsid w:val="00C248D5"/>
    <w:rsid w:val="00C26669"/>
    <w:rsid w:val="00C346AB"/>
    <w:rsid w:val="00C404A6"/>
    <w:rsid w:val="00C40A36"/>
    <w:rsid w:val="00C44419"/>
    <w:rsid w:val="00C45E7B"/>
    <w:rsid w:val="00C471B1"/>
    <w:rsid w:val="00C525A2"/>
    <w:rsid w:val="00C52E24"/>
    <w:rsid w:val="00C53FAD"/>
    <w:rsid w:val="00C6316B"/>
    <w:rsid w:val="00C634A9"/>
    <w:rsid w:val="00C64586"/>
    <w:rsid w:val="00C70A36"/>
    <w:rsid w:val="00C70D53"/>
    <w:rsid w:val="00C73D0B"/>
    <w:rsid w:val="00C74F5C"/>
    <w:rsid w:val="00C75CC7"/>
    <w:rsid w:val="00C772FF"/>
    <w:rsid w:val="00C80137"/>
    <w:rsid w:val="00C801AF"/>
    <w:rsid w:val="00C80256"/>
    <w:rsid w:val="00C94CD4"/>
    <w:rsid w:val="00C9747E"/>
    <w:rsid w:val="00CA336E"/>
    <w:rsid w:val="00CB6BC0"/>
    <w:rsid w:val="00CC1B7C"/>
    <w:rsid w:val="00CC341D"/>
    <w:rsid w:val="00CC727F"/>
    <w:rsid w:val="00CE544C"/>
    <w:rsid w:val="00CF15C3"/>
    <w:rsid w:val="00CF2B6F"/>
    <w:rsid w:val="00CF2F3E"/>
    <w:rsid w:val="00CF58B6"/>
    <w:rsid w:val="00CF5DAD"/>
    <w:rsid w:val="00CF7608"/>
    <w:rsid w:val="00D0062D"/>
    <w:rsid w:val="00D017ED"/>
    <w:rsid w:val="00D035EA"/>
    <w:rsid w:val="00D040D3"/>
    <w:rsid w:val="00D04C65"/>
    <w:rsid w:val="00D153D8"/>
    <w:rsid w:val="00D201D2"/>
    <w:rsid w:val="00D215E3"/>
    <w:rsid w:val="00D224FE"/>
    <w:rsid w:val="00D23139"/>
    <w:rsid w:val="00D31414"/>
    <w:rsid w:val="00D425BB"/>
    <w:rsid w:val="00D453FA"/>
    <w:rsid w:val="00D6493E"/>
    <w:rsid w:val="00D7195D"/>
    <w:rsid w:val="00D7301E"/>
    <w:rsid w:val="00D80070"/>
    <w:rsid w:val="00D83AE1"/>
    <w:rsid w:val="00D855D4"/>
    <w:rsid w:val="00D902C9"/>
    <w:rsid w:val="00D93466"/>
    <w:rsid w:val="00DA1124"/>
    <w:rsid w:val="00DA64CB"/>
    <w:rsid w:val="00DB06B8"/>
    <w:rsid w:val="00DB0AB5"/>
    <w:rsid w:val="00DB14F2"/>
    <w:rsid w:val="00DB6124"/>
    <w:rsid w:val="00DB750B"/>
    <w:rsid w:val="00DB75B7"/>
    <w:rsid w:val="00DC0A2F"/>
    <w:rsid w:val="00DC1948"/>
    <w:rsid w:val="00DC6E02"/>
    <w:rsid w:val="00DD28CD"/>
    <w:rsid w:val="00DE02AE"/>
    <w:rsid w:val="00DE39D1"/>
    <w:rsid w:val="00DF1D7F"/>
    <w:rsid w:val="00DF4BE4"/>
    <w:rsid w:val="00E0190A"/>
    <w:rsid w:val="00E02382"/>
    <w:rsid w:val="00E02FB4"/>
    <w:rsid w:val="00E05C75"/>
    <w:rsid w:val="00E11A17"/>
    <w:rsid w:val="00E13FC7"/>
    <w:rsid w:val="00E20571"/>
    <w:rsid w:val="00E235F7"/>
    <w:rsid w:val="00E23659"/>
    <w:rsid w:val="00E239D4"/>
    <w:rsid w:val="00E26130"/>
    <w:rsid w:val="00E40B22"/>
    <w:rsid w:val="00E41B58"/>
    <w:rsid w:val="00E44ED1"/>
    <w:rsid w:val="00E45619"/>
    <w:rsid w:val="00E4588F"/>
    <w:rsid w:val="00E46DA3"/>
    <w:rsid w:val="00E470F2"/>
    <w:rsid w:val="00E51BB1"/>
    <w:rsid w:val="00E55CB0"/>
    <w:rsid w:val="00E624A5"/>
    <w:rsid w:val="00E64BA4"/>
    <w:rsid w:val="00E7344E"/>
    <w:rsid w:val="00E82665"/>
    <w:rsid w:val="00EA5DDC"/>
    <w:rsid w:val="00EB0798"/>
    <w:rsid w:val="00EB22DA"/>
    <w:rsid w:val="00EB40AD"/>
    <w:rsid w:val="00EB4F2A"/>
    <w:rsid w:val="00EB586E"/>
    <w:rsid w:val="00EB5FC8"/>
    <w:rsid w:val="00EB790C"/>
    <w:rsid w:val="00EC4593"/>
    <w:rsid w:val="00EC463D"/>
    <w:rsid w:val="00EC7A85"/>
    <w:rsid w:val="00ED2922"/>
    <w:rsid w:val="00ED3CAD"/>
    <w:rsid w:val="00ED5A41"/>
    <w:rsid w:val="00EE1DE8"/>
    <w:rsid w:val="00EE27C2"/>
    <w:rsid w:val="00EF4BAD"/>
    <w:rsid w:val="00EF59DC"/>
    <w:rsid w:val="00F00D6A"/>
    <w:rsid w:val="00F033EC"/>
    <w:rsid w:val="00F04F68"/>
    <w:rsid w:val="00F07F95"/>
    <w:rsid w:val="00F12670"/>
    <w:rsid w:val="00F14B27"/>
    <w:rsid w:val="00F14F51"/>
    <w:rsid w:val="00F27416"/>
    <w:rsid w:val="00F3148D"/>
    <w:rsid w:val="00F3253C"/>
    <w:rsid w:val="00F325C5"/>
    <w:rsid w:val="00F32FE0"/>
    <w:rsid w:val="00F35298"/>
    <w:rsid w:val="00F47333"/>
    <w:rsid w:val="00F47E37"/>
    <w:rsid w:val="00F53C07"/>
    <w:rsid w:val="00F54B65"/>
    <w:rsid w:val="00F62A4C"/>
    <w:rsid w:val="00F640B6"/>
    <w:rsid w:val="00F663F2"/>
    <w:rsid w:val="00F66DF2"/>
    <w:rsid w:val="00F713BE"/>
    <w:rsid w:val="00F724A1"/>
    <w:rsid w:val="00F80E40"/>
    <w:rsid w:val="00F81B60"/>
    <w:rsid w:val="00F848D9"/>
    <w:rsid w:val="00FA00D2"/>
    <w:rsid w:val="00FA5069"/>
    <w:rsid w:val="00FA5B82"/>
    <w:rsid w:val="00FA639E"/>
    <w:rsid w:val="00FB7303"/>
    <w:rsid w:val="00FC1FCA"/>
    <w:rsid w:val="00FC25E4"/>
    <w:rsid w:val="00FC4EF7"/>
    <w:rsid w:val="00FD0824"/>
    <w:rsid w:val="00FD119B"/>
    <w:rsid w:val="00FD1EDC"/>
    <w:rsid w:val="00FD7C21"/>
    <w:rsid w:val="00FD7E96"/>
    <w:rsid w:val="00FE1DEE"/>
    <w:rsid w:val="00FF2126"/>
    <w:rsid w:val="00FF5755"/>
    <w:rsid w:val="00FF69BE"/>
    <w:rsid w:val="00FF7025"/>
    <w:rsid w:val="00FF7B93"/>
    <w:rsid w:val="17A4A5DE"/>
    <w:rsid w:val="1A022C81"/>
    <w:rsid w:val="1A6B33D9"/>
    <w:rsid w:val="26EC1B86"/>
    <w:rsid w:val="3249B42A"/>
    <w:rsid w:val="37146F43"/>
    <w:rsid w:val="5F42F7C8"/>
    <w:rsid w:val="6B5B8762"/>
    <w:rsid w:val="78F1F8A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E9E2CE9"/>
  <w15:docId w15:val="{C440E908-4DD0-4164-95D8-9C78690E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43BB"/>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C248D5"/>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Standard">
    <w:name w:val="Standard"/>
    <w:basedOn w:val="Normal"/>
    <w:link w:val="StandardChar"/>
    <w:qFormat/>
    <w:rsid w:val="001636F9"/>
    <w:pPr>
      <w:spacing w:before="0" w:after="180" w:line="252" w:lineRule="auto"/>
    </w:pPr>
    <w:rPr>
      <w:rFonts w:eastAsia="Times New Roman"/>
      <w:snapToGrid w:val="0"/>
      <w:kern w:val="16"/>
      <w:szCs w:val="24"/>
    </w:rPr>
  </w:style>
  <w:style w:type="character" w:customStyle="1" w:styleId="StandardChar">
    <w:name w:val="Standard Char"/>
    <w:basedOn w:val="DefaultParagraphFont"/>
    <w:link w:val="Standard"/>
    <w:rsid w:val="001636F9"/>
    <w:rPr>
      <w:rFonts w:ascii="Cambria" w:eastAsia="Times New Roman" w:hAnsi="Cambria" w:cs="Times New Roman"/>
      <w:snapToGrid w:val="0"/>
      <w:kern w:val="16"/>
      <w:szCs w:val="24"/>
    </w:rPr>
  </w:style>
  <w:style w:type="paragraph" w:customStyle="1" w:styleId="Bulletpoint">
    <w:name w:val="Bullet point"/>
    <w:basedOn w:val="Normal"/>
    <w:rsid w:val="001636F9"/>
    <w:pPr>
      <w:numPr>
        <w:numId w:val="33"/>
      </w:numPr>
      <w:tabs>
        <w:tab w:val="left" w:pos="397"/>
      </w:tabs>
      <w:spacing w:before="0" w:after="180" w:line="252" w:lineRule="auto"/>
    </w:pPr>
    <w:rPr>
      <w:rFonts w:eastAsia="Times New Roman"/>
      <w:snapToGrid w:val="0"/>
      <w:kern w:val="16"/>
      <w:szCs w:val="24"/>
    </w:rPr>
  </w:style>
  <w:style w:type="paragraph" w:styleId="ListParagraph">
    <w:name w:val="List Paragraph"/>
    <w:basedOn w:val="Normal"/>
    <w:uiPriority w:val="34"/>
    <w:qFormat/>
    <w:rsid w:val="00D215E3"/>
    <w:pPr>
      <w:adjustRightInd w:val="0"/>
      <w:snapToGrid w:val="0"/>
      <w:spacing w:before="180" w:after="180"/>
      <w:ind w:left="720"/>
      <w:contextualSpacing/>
    </w:pPr>
    <w:rPr>
      <w:rFonts w:eastAsia="MS Mincho"/>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10124">
      <w:bodyDiv w:val="1"/>
      <w:marLeft w:val="0"/>
      <w:marRight w:val="0"/>
      <w:marTop w:val="0"/>
      <w:marBottom w:val="0"/>
      <w:divBdr>
        <w:top w:val="none" w:sz="0" w:space="0" w:color="auto"/>
        <w:left w:val="none" w:sz="0" w:space="0" w:color="auto"/>
        <w:bottom w:val="none" w:sz="0" w:space="0" w:color="auto"/>
        <w:right w:val="none" w:sz="0" w:space="0" w:color="auto"/>
      </w:divBdr>
    </w:div>
    <w:div w:id="981883691">
      <w:bodyDiv w:val="1"/>
      <w:marLeft w:val="0"/>
      <w:marRight w:val="0"/>
      <w:marTop w:val="0"/>
      <w:marBottom w:val="0"/>
      <w:divBdr>
        <w:top w:val="none" w:sz="0" w:space="0" w:color="auto"/>
        <w:left w:val="none" w:sz="0" w:space="0" w:color="auto"/>
        <w:bottom w:val="none" w:sz="0" w:space="0" w:color="auto"/>
        <w:right w:val="none" w:sz="0" w:space="0" w:color="auto"/>
      </w:divBdr>
    </w:div>
    <w:div w:id="1278374387">
      <w:bodyDiv w:val="1"/>
      <w:marLeft w:val="0"/>
      <w:marRight w:val="0"/>
      <w:marTop w:val="0"/>
      <w:marBottom w:val="0"/>
      <w:divBdr>
        <w:top w:val="none" w:sz="0" w:space="0" w:color="auto"/>
        <w:left w:val="none" w:sz="0" w:space="0" w:color="auto"/>
        <w:bottom w:val="none" w:sz="0" w:space="0" w:color="auto"/>
        <w:right w:val="none" w:sz="0" w:space="0" w:color="auto"/>
      </w:divBdr>
    </w:div>
    <w:div w:id="1501307332">
      <w:bodyDiv w:val="1"/>
      <w:marLeft w:val="0"/>
      <w:marRight w:val="0"/>
      <w:marTop w:val="0"/>
      <w:marBottom w:val="0"/>
      <w:divBdr>
        <w:top w:val="none" w:sz="0" w:space="0" w:color="auto"/>
        <w:left w:val="none" w:sz="0" w:space="0" w:color="auto"/>
        <w:bottom w:val="none" w:sz="0" w:space="0" w:color="auto"/>
        <w:right w:val="none" w:sz="0" w:space="0" w:color="auto"/>
      </w:divBdr>
    </w:div>
    <w:div w:id="19727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ga.gov.au/product-information-pi"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68352\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3A629D9D1C14A96A6276AC707C60C" ma:contentTypeVersion="12" ma:contentTypeDescription="Create a new document." ma:contentTypeScope="" ma:versionID="2e2d0fed007848fbc964582711b54c78">
  <xsd:schema xmlns:xsd="http://www.w3.org/2001/XMLSchema" xmlns:xs="http://www.w3.org/2001/XMLSchema" xmlns:p="http://schemas.microsoft.com/office/2006/metadata/properties" xmlns:ns3="caa7b711-b942-4732-987d-f0605fad597b" xmlns:ns4="883dd395-d7e2-4c25-9c8f-4ce2c3e3c106" targetNamespace="http://schemas.microsoft.com/office/2006/metadata/properties" ma:root="true" ma:fieldsID="3a35f6241d1ac781934c20515105c9df" ns3:_="" ns4:_="">
    <xsd:import namespace="caa7b711-b942-4732-987d-f0605fad597b"/>
    <xsd:import namespace="883dd395-d7e2-4c25-9c8f-4ce2c3e3c1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7b711-b942-4732-987d-f0605fad59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3dd395-d7e2-4c25-9c8f-4ce2c3e3c1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BC1FE-1513-4AA0-B626-C01DF6E8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7b711-b942-4732-987d-f0605fad597b"/>
    <ds:schemaRef ds:uri="883dd395-d7e2-4c25-9c8f-4ce2c3e3c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32AB5-C5D4-4919-8F93-E4CBE1131D99}">
  <ds:schemaRefs>
    <ds:schemaRef ds:uri="http://schemas.microsoft.com/sharepoint/v3/contenttype/forms"/>
  </ds:schemaRefs>
</ds:datastoreItem>
</file>

<file path=customXml/itemProps3.xml><?xml version="1.0" encoding="utf-8"?>
<ds:datastoreItem xmlns:ds="http://schemas.openxmlformats.org/officeDocument/2006/customXml" ds:itemID="{4DE25B33-7F08-49EB-9B79-0CED76D4D95C}">
  <ds:schemaRefs>
    <ds:schemaRef ds:uri="883dd395-d7e2-4c25-9c8f-4ce2c3e3c10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caa7b711-b942-4732-987d-f0605fad597b"/>
    <ds:schemaRef ds:uri="http://www.w3.org/XML/1998/namespace"/>
    <ds:schemaRef ds:uri="http://purl.org/dc/dcmitype/"/>
  </ds:schemaRefs>
</ds:datastoreItem>
</file>

<file path=customXml/itemProps4.xml><?xml version="1.0" encoding="utf-8"?>
<ds:datastoreItem xmlns:ds="http://schemas.openxmlformats.org/officeDocument/2006/customXml" ds:itemID="{04136E7B-E130-4F58-A0E3-E8916479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4</TotalTime>
  <Pages>23</Pages>
  <Words>6915</Words>
  <Characters>39421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Indacaterol (as acetate) / mometasone furoate</dc:title>
  <dc:subject>prescription medicines</dc:subject>
  <dc:creator> Therapeutic Goods Administration</dc:creator>
  <cp:keywords/>
  <cp:lastPrinted>2019-08-14T04:30:00Z</cp:lastPrinted>
  <dcterms:created xsi:type="dcterms:W3CDTF">2020-11-26T00:25:00Z</dcterms:created>
  <dcterms:modified xsi:type="dcterms:W3CDTF">2020-11-26T00:29:00Z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SINGHDI2@novartis.net</vt:lpwstr>
  </property>
  <property fmtid="{D5CDD505-2E9C-101B-9397-08002B2CF9AE}" pid="5" name="MSIP_Label_4929bff8-5b33-42aa-95d2-28f72e792cb0_SetDate">
    <vt:lpwstr>2020-10-30T09:11:01.5434371Z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234f302e-4ea3-4564-ba83-4b3895296dbb</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y fmtid="{D5CDD505-2E9C-101B-9397-08002B2CF9AE}" pid="11" name="ContentTypeId">
    <vt:lpwstr>0x010100B8C3A629D9D1C14A96A6276AC707C60C</vt:lpwstr>
  </property>
</Properties>
</file>