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E93008" w14:paraId="3690E869" w14:textId="77777777" w:rsidTr="00BF1190">
        <w:trPr>
          <w:trHeight w:val="1863"/>
        </w:trPr>
        <w:tc>
          <w:tcPr>
            <w:tcW w:w="3652" w:type="dxa"/>
            <w:tcBorders>
              <w:top w:val="nil"/>
              <w:left w:val="nil"/>
              <w:bottom w:val="nil"/>
              <w:right w:val="nil"/>
            </w:tcBorders>
          </w:tcPr>
          <w:p w14:paraId="2A48667F" w14:textId="204FBAE8" w:rsidR="008E7846" w:rsidRPr="00E93008" w:rsidRDefault="00513117" w:rsidP="00B00971">
            <w:pPr>
              <w:rPr>
                <w:rFonts w:ascii="Arial" w:hAnsi="Arial" w:cs="Arial"/>
                <w:b/>
                <w:color w:val="002C47"/>
                <w:sz w:val="36"/>
                <w:szCs w:val="36"/>
              </w:rPr>
            </w:pPr>
            <w:r>
              <w:rPr>
                <w:rFonts w:ascii="Arial" w:hAnsi="Arial" w:cs="Arial"/>
                <w:b/>
                <w:color w:val="002C47"/>
                <w:sz w:val="36"/>
                <w:szCs w:val="36"/>
              </w:rPr>
              <w:t>April</w:t>
            </w:r>
            <w:r w:rsidR="00260BBF" w:rsidRPr="00E93008">
              <w:rPr>
                <w:rFonts w:ascii="Arial" w:hAnsi="Arial" w:cs="Arial"/>
                <w:b/>
                <w:color w:val="002C47"/>
                <w:sz w:val="36"/>
                <w:szCs w:val="36"/>
              </w:rPr>
              <w:t xml:space="preserve"> </w:t>
            </w:r>
            <w:r w:rsidR="002C7857" w:rsidRPr="00E93008">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E93008" w14:paraId="586F9701" w14:textId="77777777" w:rsidTr="0032583B">
        <w:trPr>
          <w:trHeight w:val="868"/>
        </w:trPr>
        <w:tc>
          <w:tcPr>
            <w:tcW w:w="9079" w:type="dxa"/>
          </w:tcPr>
          <w:p w14:paraId="1A8AC335" w14:textId="0367D4B3" w:rsidR="0032583B" w:rsidRPr="00E93008" w:rsidRDefault="0032583B" w:rsidP="00B00971">
            <w:pPr>
              <w:pStyle w:val="Title"/>
              <w:rPr>
                <w:color w:val="FFFFFF" w:themeColor="background1"/>
              </w:rPr>
            </w:pPr>
            <w:r w:rsidRPr="00E93008">
              <w:rPr>
                <w:color w:val="FFFFFF" w:themeColor="background1"/>
              </w:rPr>
              <w:t xml:space="preserve">Australian Public Assessment Report for </w:t>
            </w:r>
            <w:r w:rsidR="007F59EC" w:rsidRPr="00E93008">
              <w:rPr>
                <w:color w:val="FFFFFF" w:themeColor="background1"/>
              </w:rPr>
              <w:t xml:space="preserve">Indacaterol </w:t>
            </w:r>
            <w:r w:rsidR="002C7857" w:rsidRPr="00E93008">
              <w:rPr>
                <w:color w:val="FFFFFF" w:themeColor="background1"/>
              </w:rPr>
              <w:t xml:space="preserve">(as </w:t>
            </w:r>
            <w:r w:rsidR="008F2217" w:rsidRPr="00E93008">
              <w:rPr>
                <w:color w:val="FFFFFF" w:themeColor="background1"/>
              </w:rPr>
              <w:t>a</w:t>
            </w:r>
            <w:r w:rsidR="007F59EC" w:rsidRPr="00E93008">
              <w:rPr>
                <w:color w:val="FFFFFF" w:themeColor="background1"/>
              </w:rPr>
              <w:t>cetate</w:t>
            </w:r>
            <w:r w:rsidR="002C7857" w:rsidRPr="00E93008">
              <w:rPr>
                <w:color w:val="FFFFFF" w:themeColor="background1"/>
              </w:rPr>
              <w:t>)</w:t>
            </w:r>
            <w:r w:rsidR="008F2217">
              <w:rPr>
                <w:color w:val="FFFFFF" w:themeColor="background1"/>
              </w:rPr>
              <w:t xml:space="preserve"> </w:t>
            </w:r>
            <w:r w:rsidR="007F59EC" w:rsidRPr="00E93008">
              <w:rPr>
                <w:color w:val="FFFFFF" w:themeColor="background1"/>
              </w:rPr>
              <w:t>/</w:t>
            </w:r>
            <w:r w:rsidR="008F2217">
              <w:rPr>
                <w:color w:val="FFFFFF" w:themeColor="background1"/>
              </w:rPr>
              <w:t xml:space="preserve"> </w:t>
            </w:r>
            <w:r w:rsidR="008F2217" w:rsidRPr="00E93008">
              <w:rPr>
                <w:color w:val="FFFFFF" w:themeColor="background1"/>
              </w:rPr>
              <w:t>g</w:t>
            </w:r>
            <w:r w:rsidR="00DE471C" w:rsidRPr="00E93008">
              <w:rPr>
                <w:color w:val="FFFFFF" w:themeColor="background1"/>
              </w:rPr>
              <w:t>lycopyr</w:t>
            </w:r>
            <w:r w:rsidR="009A77B4" w:rsidRPr="00E93008">
              <w:rPr>
                <w:color w:val="FFFFFF" w:themeColor="background1"/>
              </w:rPr>
              <w:t xml:space="preserve">ronium </w:t>
            </w:r>
            <w:r w:rsidR="002C7857" w:rsidRPr="00E93008">
              <w:rPr>
                <w:color w:val="FFFFFF" w:themeColor="background1"/>
              </w:rPr>
              <w:t xml:space="preserve">(as </w:t>
            </w:r>
            <w:r w:rsidR="008F2217" w:rsidRPr="00E93008">
              <w:rPr>
                <w:color w:val="FFFFFF" w:themeColor="background1"/>
              </w:rPr>
              <w:t>b</w:t>
            </w:r>
            <w:r w:rsidR="009A77B4" w:rsidRPr="00E93008">
              <w:rPr>
                <w:color w:val="FFFFFF" w:themeColor="background1"/>
              </w:rPr>
              <w:t>romide</w:t>
            </w:r>
            <w:r w:rsidR="002C7857" w:rsidRPr="00E93008">
              <w:rPr>
                <w:color w:val="FFFFFF" w:themeColor="background1"/>
              </w:rPr>
              <w:t>)</w:t>
            </w:r>
            <w:r w:rsidR="008F2217">
              <w:rPr>
                <w:color w:val="FFFFFF" w:themeColor="background1"/>
              </w:rPr>
              <w:t xml:space="preserve"> /</w:t>
            </w:r>
            <w:r w:rsidR="009A77B4" w:rsidRPr="00E93008">
              <w:rPr>
                <w:color w:val="FFFFFF" w:themeColor="background1"/>
              </w:rPr>
              <w:t xml:space="preserve"> </w:t>
            </w:r>
            <w:r w:rsidR="008F2217" w:rsidRPr="00E93008">
              <w:rPr>
                <w:color w:val="FFFFFF" w:themeColor="background1"/>
              </w:rPr>
              <w:t>m</w:t>
            </w:r>
            <w:r w:rsidR="00DE471C" w:rsidRPr="00E93008">
              <w:rPr>
                <w:color w:val="FFFFFF" w:themeColor="background1"/>
              </w:rPr>
              <w:t xml:space="preserve">ometasone </w:t>
            </w:r>
            <w:r w:rsidR="008F2217" w:rsidRPr="00E93008">
              <w:rPr>
                <w:color w:val="FFFFFF" w:themeColor="background1"/>
              </w:rPr>
              <w:t>f</w:t>
            </w:r>
            <w:r w:rsidR="00DE471C" w:rsidRPr="00E93008">
              <w:rPr>
                <w:color w:val="FFFFFF" w:themeColor="background1"/>
              </w:rPr>
              <w:t>uroate</w:t>
            </w:r>
          </w:p>
        </w:tc>
      </w:tr>
      <w:tr w:rsidR="0032583B" w:rsidRPr="00E93008" w14:paraId="575951E6" w14:textId="77777777" w:rsidTr="0032583B">
        <w:tc>
          <w:tcPr>
            <w:tcW w:w="9079" w:type="dxa"/>
          </w:tcPr>
          <w:p w14:paraId="4C00D788" w14:textId="77777777" w:rsidR="0032583B" w:rsidRPr="00E93008" w:rsidRDefault="0032583B" w:rsidP="00460036">
            <w:pPr>
              <w:pStyle w:val="Subtitle"/>
              <w:rPr>
                <w:color w:val="FFFFFF" w:themeColor="background1"/>
              </w:rPr>
            </w:pPr>
            <w:r w:rsidRPr="00E93008">
              <w:rPr>
                <w:color w:val="FFFFFF" w:themeColor="background1"/>
              </w:rPr>
              <w:t xml:space="preserve">Proprietary Product Name: </w:t>
            </w:r>
            <w:proofErr w:type="spellStart"/>
            <w:r w:rsidR="00B00971" w:rsidRPr="00E93008">
              <w:rPr>
                <w:color w:val="FFFFFF" w:themeColor="background1"/>
              </w:rPr>
              <w:t>Enerzair</w:t>
            </w:r>
            <w:proofErr w:type="spellEnd"/>
            <w:r w:rsidR="00B00971" w:rsidRPr="00E93008">
              <w:rPr>
                <w:color w:val="FFFFFF" w:themeColor="background1"/>
              </w:rPr>
              <w:t xml:space="preserve"> Breezhaler</w:t>
            </w:r>
          </w:p>
        </w:tc>
      </w:tr>
      <w:tr w:rsidR="0032583B" w:rsidRPr="00E93008" w14:paraId="77B2C9AD" w14:textId="77777777" w:rsidTr="0032583B">
        <w:trPr>
          <w:trHeight w:val="486"/>
        </w:trPr>
        <w:tc>
          <w:tcPr>
            <w:tcW w:w="9079" w:type="dxa"/>
          </w:tcPr>
          <w:p w14:paraId="18A7C810" w14:textId="77777777" w:rsidR="0032583B" w:rsidRPr="00E93008" w:rsidRDefault="00460036" w:rsidP="0032583B">
            <w:pPr>
              <w:pStyle w:val="Subtitle"/>
              <w:rPr>
                <w:color w:val="FFFFFF" w:themeColor="background1"/>
              </w:rPr>
            </w:pPr>
            <w:r w:rsidRPr="00E93008">
              <w:rPr>
                <w:color w:val="FFFFFF" w:themeColor="background1"/>
              </w:rPr>
              <w:t xml:space="preserve">Sponsor: </w:t>
            </w:r>
            <w:r w:rsidR="00B00971" w:rsidRPr="00E93008">
              <w:rPr>
                <w:color w:val="FFFFFF" w:themeColor="background1"/>
              </w:rPr>
              <w:t>Novartis Pharmaceuticals Australia Pty Ltd</w:t>
            </w:r>
          </w:p>
        </w:tc>
      </w:tr>
    </w:tbl>
    <w:p w14:paraId="20EFF713" w14:textId="77777777" w:rsidR="008E7846" w:rsidRPr="00E93008" w:rsidRDefault="008E7846" w:rsidP="0085156D">
      <w:r w:rsidRPr="00E93008">
        <w:br w:type="page"/>
      </w:r>
    </w:p>
    <w:p w14:paraId="30E645E1" w14:textId="77777777" w:rsidR="008E7846" w:rsidRPr="00E93008" w:rsidRDefault="008E7846" w:rsidP="008E7846">
      <w:pPr>
        <w:pStyle w:val="NonTOCHeading2"/>
      </w:pPr>
      <w:r w:rsidRPr="00E93008">
        <w:lastRenderedPageBreak/>
        <w:t>About the Therapeutic Goods Administration (TGA)</w:t>
      </w:r>
    </w:p>
    <w:p w14:paraId="0D13A880" w14:textId="77777777" w:rsidR="008E7846" w:rsidRPr="00E93008" w:rsidRDefault="008E7846" w:rsidP="008E7846">
      <w:pPr>
        <w:pStyle w:val="ListBullet"/>
        <w:numPr>
          <w:ilvl w:val="0"/>
          <w:numId w:val="3"/>
        </w:numPr>
        <w:ind w:left="357" w:hanging="357"/>
      </w:pPr>
      <w:r w:rsidRPr="00E93008">
        <w:t xml:space="preserve">The Therapeutic Goods Administration (TGA) is </w:t>
      </w:r>
      <w:r w:rsidR="00E624A5" w:rsidRPr="00E93008">
        <w:t xml:space="preserve">part </w:t>
      </w:r>
      <w:r w:rsidRPr="00E93008">
        <w:t>of the Australian Government Department of Health and is responsible for regulating medicines and medical devices.</w:t>
      </w:r>
    </w:p>
    <w:p w14:paraId="4633EF38" w14:textId="77777777" w:rsidR="008E7846" w:rsidRPr="00E93008" w:rsidRDefault="00C80137" w:rsidP="008E7846">
      <w:pPr>
        <w:pStyle w:val="ListBullet"/>
        <w:numPr>
          <w:ilvl w:val="0"/>
          <w:numId w:val="3"/>
        </w:numPr>
        <w:ind w:left="357" w:hanging="357"/>
      </w:pPr>
      <w:r w:rsidRPr="00E93008">
        <w:t xml:space="preserve">The </w:t>
      </w:r>
      <w:r w:rsidR="008E7846" w:rsidRPr="00E93008">
        <w:t xml:space="preserve">TGA administers the </w:t>
      </w:r>
      <w:r w:rsidR="008E7846" w:rsidRPr="00E93008">
        <w:rPr>
          <w:i/>
        </w:rPr>
        <w:t>Therapeutic Goods Act 1989</w:t>
      </w:r>
      <w:r w:rsidR="00785717" w:rsidRPr="00E93008">
        <w:rPr>
          <w:i/>
        </w:rPr>
        <w:t xml:space="preserve"> </w:t>
      </w:r>
      <w:r w:rsidR="00785717" w:rsidRPr="00E93008">
        <w:t>(the Act)</w:t>
      </w:r>
      <w:r w:rsidR="008E7846" w:rsidRPr="00E93008">
        <w:t>, applying a risk management approach designed to ensure therapeutic goods supplied in Australia meet acceptable standards of quality, safety and efficacy (performance) when necessary.</w:t>
      </w:r>
    </w:p>
    <w:p w14:paraId="516D2470" w14:textId="77777777" w:rsidR="008E7846" w:rsidRPr="00E93008" w:rsidRDefault="008E7846" w:rsidP="008E7846">
      <w:pPr>
        <w:pStyle w:val="ListBullet"/>
        <w:numPr>
          <w:ilvl w:val="0"/>
          <w:numId w:val="3"/>
        </w:numPr>
        <w:ind w:left="357" w:hanging="357"/>
      </w:pPr>
      <w:r w:rsidRPr="00E93008">
        <w:t>The work of the TGA is based on applying scientific and clinical expertise to decision-making, to ensure that the benefits to consumers outweigh any risks associated with the use of medicines and medical devices.</w:t>
      </w:r>
    </w:p>
    <w:p w14:paraId="631BC882" w14:textId="77777777" w:rsidR="008E7846" w:rsidRPr="00E93008" w:rsidRDefault="008E7846" w:rsidP="008E7846">
      <w:pPr>
        <w:pStyle w:val="ListBullet"/>
        <w:numPr>
          <w:ilvl w:val="0"/>
          <w:numId w:val="3"/>
        </w:numPr>
        <w:ind w:left="357" w:hanging="357"/>
      </w:pPr>
      <w:r w:rsidRPr="00E93008">
        <w:t>The TGA relies on the public, healthcare professionals and industry to report problems with medicines or medical devices. TGA investigates reports received by it to determine any necessary regulatory action.</w:t>
      </w:r>
    </w:p>
    <w:p w14:paraId="3BE80BAD" w14:textId="7FA959D0" w:rsidR="00441C3F" w:rsidRPr="00E93008" w:rsidRDefault="008E7846" w:rsidP="00441C3F">
      <w:pPr>
        <w:pStyle w:val="ListBullet"/>
        <w:numPr>
          <w:ilvl w:val="0"/>
          <w:numId w:val="3"/>
        </w:numPr>
        <w:ind w:left="357" w:hanging="357"/>
      </w:pPr>
      <w:r w:rsidRPr="00E93008">
        <w:t xml:space="preserve">To report a problem with a medicine or medical device, please see the information on </w:t>
      </w:r>
      <w:r w:rsidR="00441C3F" w:rsidRPr="00E93008">
        <w:t>the TGA website &lt;</w:t>
      </w:r>
      <w:hyperlink r:id="rId11" w:history="1">
        <w:r w:rsidR="00441C3F" w:rsidRPr="00E93008">
          <w:rPr>
            <w:rStyle w:val="Hyperlink"/>
          </w:rPr>
          <w:t>https://www.tga.gov.au</w:t>
        </w:r>
      </w:hyperlink>
      <w:r w:rsidR="00441C3F" w:rsidRPr="00E93008">
        <w:t>&gt;.</w:t>
      </w:r>
    </w:p>
    <w:p w14:paraId="5014CDA1" w14:textId="77777777" w:rsidR="008E7846" w:rsidRPr="00E93008" w:rsidRDefault="008E7846" w:rsidP="00875A6B">
      <w:pPr>
        <w:pStyle w:val="NonTOCHeading2"/>
      </w:pPr>
      <w:r w:rsidRPr="00E93008">
        <w:t>About AusPARs</w:t>
      </w:r>
    </w:p>
    <w:p w14:paraId="492174E7" w14:textId="77777777" w:rsidR="008E7846" w:rsidRPr="00E93008" w:rsidRDefault="008E7846" w:rsidP="008E7846">
      <w:pPr>
        <w:pStyle w:val="ListBullet"/>
        <w:numPr>
          <w:ilvl w:val="0"/>
          <w:numId w:val="3"/>
        </w:numPr>
        <w:ind w:left="357" w:hanging="357"/>
      </w:pPr>
      <w:r w:rsidRPr="00E93008">
        <w:t>An Australian Public Assessment Re</w:t>
      </w:r>
      <w:r w:rsidR="00133A1B" w:rsidRPr="00E93008">
        <w:t>port</w:t>
      </w:r>
      <w:r w:rsidRPr="00E93008">
        <w:t xml:space="preserve"> (AusPAR) provides information about the evaluation of a prescription medicine and the considerations that led the TGA to approve or not approve a pr</w:t>
      </w:r>
      <w:r w:rsidR="00441C3F" w:rsidRPr="00E93008">
        <w:t>escription medicine submission.</w:t>
      </w:r>
    </w:p>
    <w:p w14:paraId="238E8C79" w14:textId="77777777" w:rsidR="008E7846" w:rsidRPr="00E93008" w:rsidRDefault="008E7846" w:rsidP="008E7846">
      <w:pPr>
        <w:pStyle w:val="ListBullet"/>
        <w:numPr>
          <w:ilvl w:val="0"/>
          <w:numId w:val="3"/>
        </w:numPr>
        <w:ind w:left="357" w:hanging="357"/>
      </w:pPr>
      <w:r w:rsidRPr="00E93008">
        <w:t>AusPARs are prepared and published by the TGA.</w:t>
      </w:r>
    </w:p>
    <w:p w14:paraId="2EAFCD88" w14:textId="77777777" w:rsidR="008E7846" w:rsidRPr="00E93008" w:rsidRDefault="008E7846" w:rsidP="008E7846">
      <w:pPr>
        <w:pStyle w:val="ListBullet"/>
        <w:numPr>
          <w:ilvl w:val="0"/>
          <w:numId w:val="3"/>
        </w:numPr>
        <w:ind w:left="357" w:hanging="357"/>
      </w:pPr>
      <w:r w:rsidRPr="00E93008">
        <w:t>An AusPAR is prepared for submissions that relate to new chemical entities, generic medicines, major variations and extensions of indications.</w:t>
      </w:r>
    </w:p>
    <w:p w14:paraId="296CB080" w14:textId="77777777" w:rsidR="008E7846" w:rsidRPr="00E93008" w:rsidRDefault="008E7846" w:rsidP="008E7846">
      <w:pPr>
        <w:pStyle w:val="ListBullet"/>
        <w:numPr>
          <w:ilvl w:val="0"/>
          <w:numId w:val="3"/>
        </w:numPr>
        <w:ind w:left="357" w:hanging="357"/>
      </w:pPr>
      <w:r w:rsidRPr="00E93008">
        <w:t>An AusPAR is a static document</w:t>
      </w:r>
      <w:r w:rsidR="00133A1B" w:rsidRPr="00E93008">
        <w:t>;</w:t>
      </w:r>
      <w:r w:rsidRPr="00E93008">
        <w:t xml:space="preserve"> it provide</w:t>
      </w:r>
      <w:r w:rsidR="00133A1B" w:rsidRPr="00E93008">
        <w:t>s</w:t>
      </w:r>
      <w:r w:rsidRPr="00E93008">
        <w:t xml:space="preserve"> information that relates to a submission at a particular point in time.</w:t>
      </w:r>
    </w:p>
    <w:p w14:paraId="49BBED06" w14:textId="77777777" w:rsidR="00B452CE" w:rsidRPr="00E93008" w:rsidRDefault="008E7846" w:rsidP="00FF5755">
      <w:pPr>
        <w:pStyle w:val="ListBullet"/>
        <w:numPr>
          <w:ilvl w:val="0"/>
          <w:numId w:val="3"/>
        </w:numPr>
        <w:ind w:left="357" w:hanging="357"/>
      </w:pPr>
      <w:r w:rsidRPr="00E93008">
        <w:t>A new AusPAR will be developed to reflect changes to indications and/or major variations to a prescription medicine subject to evaluation by the TGA.</w:t>
      </w:r>
    </w:p>
    <w:p w14:paraId="4980E6CE" w14:textId="77777777" w:rsidR="00924482" w:rsidRPr="00E93008" w:rsidRDefault="00924482" w:rsidP="00F54B65">
      <w:pPr>
        <w:pStyle w:val="LegalSubheading"/>
        <w:spacing w:before="3120"/>
      </w:pPr>
      <w:r w:rsidRPr="00E93008">
        <w:t>Copyright</w:t>
      </w:r>
    </w:p>
    <w:p w14:paraId="71234EB1" w14:textId="1EE78171" w:rsidR="00924482" w:rsidRPr="00E93008" w:rsidRDefault="00924482" w:rsidP="00924482">
      <w:pPr>
        <w:pStyle w:val="LegalCopy"/>
      </w:pPr>
      <w:r w:rsidRPr="00E93008">
        <w:rPr>
          <w:rFonts w:cs="Arial"/>
          <w:lang w:val="en-GB"/>
        </w:rPr>
        <w:t>© Commonwealth of Australia 20</w:t>
      </w:r>
      <w:r w:rsidR="00460036" w:rsidRPr="00E93008">
        <w:rPr>
          <w:rFonts w:cs="Arial"/>
          <w:lang w:val="en-GB"/>
        </w:rPr>
        <w:t>2</w:t>
      </w:r>
      <w:r w:rsidR="008F2217">
        <w:rPr>
          <w:rFonts w:cs="Arial"/>
          <w:lang w:val="en-GB"/>
        </w:rPr>
        <w:t>1</w:t>
      </w:r>
      <w:r w:rsidRPr="00E93008">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93008">
        <w:rPr>
          <w:rFonts w:cs="Arial"/>
          <w:i/>
          <w:lang w:val="en-GB"/>
        </w:rPr>
        <w:t>Copyright Act 1968</w:t>
      </w:r>
      <w:r w:rsidRPr="00E93008">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E93008">
          <w:rPr>
            <w:rStyle w:val="Hyperlink"/>
            <w:rFonts w:cs="Arial"/>
            <w:lang w:val="en-GB"/>
          </w:rPr>
          <w:t>tga.copyright@tga.gov.au</w:t>
        </w:r>
      </w:hyperlink>
      <w:r w:rsidRPr="00E93008">
        <w:rPr>
          <w:rFonts w:cs="Arial"/>
        </w:rPr>
        <w:t>&gt;.</w:t>
      </w:r>
    </w:p>
    <w:p w14:paraId="728EBEAE" w14:textId="77777777" w:rsidR="00924482" w:rsidRPr="00E93008" w:rsidRDefault="00924482" w:rsidP="00924482">
      <w:pPr>
        <w:pStyle w:val="LegalCopy"/>
        <w:sectPr w:rsidR="00924482" w:rsidRPr="00E93008" w:rsidSect="003D1E62">
          <w:headerReference w:type="even" r:id="rId13"/>
          <w:headerReference w:type="default" r:id="rId14"/>
          <w:footerReference w:type="even" r:id="rId15"/>
          <w:footerReference w:type="default" r:id="rId16"/>
          <w:headerReference w:type="first" r:id="rId17"/>
          <w:footerReference w:type="first" r:id="rId18"/>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color w:val="2B579A"/>
          <w:sz w:val="22"/>
          <w:shd w:val="clear" w:color="auto" w:fill="E6E6E6"/>
        </w:rPr>
        <w:id w:val="5618007"/>
        <w:docPartObj>
          <w:docPartGallery w:val="Table of Contents"/>
          <w:docPartUnique/>
        </w:docPartObj>
      </w:sdtPr>
      <w:sdtEndPr>
        <w:rPr>
          <w:b/>
          <w:bCs w:val="0"/>
          <w:sz w:val="25"/>
        </w:rPr>
      </w:sdtEndPr>
      <w:sdtContent>
        <w:p w14:paraId="69360614" w14:textId="77777777" w:rsidR="0089635C" w:rsidRPr="00E93008" w:rsidRDefault="0089635C" w:rsidP="0010788A">
          <w:pPr>
            <w:pStyle w:val="Contents"/>
          </w:pPr>
          <w:r w:rsidRPr="00E93008">
            <w:t>Cont</w:t>
          </w:r>
          <w:bookmarkStart w:id="2" w:name="_GoBack"/>
          <w:bookmarkEnd w:id="2"/>
          <w:r w:rsidRPr="00E93008">
            <w:t>ents</w:t>
          </w:r>
        </w:p>
        <w:p w14:paraId="11A56579" w14:textId="7198FEAE" w:rsidR="005F7BE0" w:rsidRDefault="00C525A2">
          <w:pPr>
            <w:pStyle w:val="TOC1"/>
            <w:rPr>
              <w:rFonts w:asciiTheme="minorHAnsi" w:eastAsiaTheme="minorEastAsia" w:hAnsiTheme="minorHAnsi" w:cstheme="minorBidi"/>
              <w:b w:val="0"/>
              <w:noProof/>
              <w:sz w:val="22"/>
              <w:lang w:eastAsia="en-AU"/>
            </w:rPr>
          </w:pPr>
          <w:r w:rsidRPr="00E93008">
            <w:rPr>
              <w:color w:val="2B579A"/>
              <w:shd w:val="clear" w:color="auto" w:fill="E6E6E6"/>
            </w:rPr>
            <w:fldChar w:fldCharType="begin"/>
          </w:r>
          <w:r w:rsidRPr="00E93008">
            <w:instrText xml:space="preserve"> TOC \h \z \t "Heading 2,1,Heading 3,2" </w:instrText>
          </w:r>
          <w:r w:rsidRPr="00E93008">
            <w:rPr>
              <w:color w:val="2B579A"/>
              <w:shd w:val="clear" w:color="auto" w:fill="E6E6E6"/>
            </w:rPr>
            <w:fldChar w:fldCharType="separate"/>
          </w:r>
          <w:hyperlink w:anchor="_Toc69998850" w:history="1">
            <w:r w:rsidR="005F7BE0" w:rsidRPr="00CD6C66">
              <w:rPr>
                <w:rStyle w:val="Hyperlink"/>
                <w:noProof/>
              </w:rPr>
              <w:t>Common abbreviations</w:t>
            </w:r>
            <w:r w:rsidR="005F7BE0">
              <w:rPr>
                <w:noProof/>
                <w:webHidden/>
              </w:rPr>
              <w:tab/>
            </w:r>
            <w:r w:rsidR="005F7BE0">
              <w:rPr>
                <w:noProof/>
                <w:webHidden/>
              </w:rPr>
              <w:fldChar w:fldCharType="begin"/>
            </w:r>
            <w:r w:rsidR="005F7BE0">
              <w:rPr>
                <w:noProof/>
                <w:webHidden/>
              </w:rPr>
              <w:instrText xml:space="preserve"> PAGEREF _Toc69998850 \h </w:instrText>
            </w:r>
            <w:r w:rsidR="005F7BE0">
              <w:rPr>
                <w:noProof/>
                <w:webHidden/>
              </w:rPr>
            </w:r>
            <w:r w:rsidR="005F7BE0">
              <w:rPr>
                <w:noProof/>
                <w:webHidden/>
              </w:rPr>
              <w:fldChar w:fldCharType="separate"/>
            </w:r>
            <w:r w:rsidR="005F7BE0">
              <w:rPr>
                <w:noProof/>
                <w:webHidden/>
              </w:rPr>
              <w:t>4</w:t>
            </w:r>
            <w:r w:rsidR="005F7BE0">
              <w:rPr>
                <w:noProof/>
                <w:webHidden/>
              </w:rPr>
              <w:fldChar w:fldCharType="end"/>
            </w:r>
          </w:hyperlink>
        </w:p>
        <w:p w14:paraId="1132890F" w14:textId="2F42AAB6" w:rsidR="005F7BE0" w:rsidRDefault="005F7BE0">
          <w:pPr>
            <w:pStyle w:val="TOC1"/>
            <w:rPr>
              <w:rFonts w:asciiTheme="minorHAnsi" w:eastAsiaTheme="minorEastAsia" w:hAnsiTheme="minorHAnsi" w:cstheme="minorBidi"/>
              <w:b w:val="0"/>
              <w:noProof/>
              <w:sz w:val="22"/>
              <w:lang w:eastAsia="en-AU"/>
            </w:rPr>
          </w:pPr>
          <w:hyperlink w:anchor="_Toc69998851" w:history="1">
            <w:r w:rsidRPr="00CD6C66">
              <w:rPr>
                <w:rStyle w:val="Hyperlink"/>
                <w:noProof/>
              </w:rPr>
              <w:t>I. Introduction to product submission</w:t>
            </w:r>
            <w:r>
              <w:rPr>
                <w:noProof/>
                <w:webHidden/>
              </w:rPr>
              <w:tab/>
            </w:r>
            <w:r>
              <w:rPr>
                <w:noProof/>
                <w:webHidden/>
              </w:rPr>
              <w:fldChar w:fldCharType="begin"/>
            </w:r>
            <w:r>
              <w:rPr>
                <w:noProof/>
                <w:webHidden/>
              </w:rPr>
              <w:instrText xml:space="preserve"> PAGEREF _Toc69998851 \h </w:instrText>
            </w:r>
            <w:r>
              <w:rPr>
                <w:noProof/>
                <w:webHidden/>
              </w:rPr>
            </w:r>
            <w:r>
              <w:rPr>
                <w:noProof/>
                <w:webHidden/>
              </w:rPr>
              <w:fldChar w:fldCharType="separate"/>
            </w:r>
            <w:r>
              <w:rPr>
                <w:noProof/>
                <w:webHidden/>
              </w:rPr>
              <w:t>6</w:t>
            </w:r>
            <w:r>
              <w:rPr>
                <w:noProof/>
                <w:webHidden/>
              </w:rPr>
              <w:fldChar w:fldCharType="end"/>
            </w:r>
          </w:hyperlink>
        </w:p>
        <w:p w14:paraId="5AC0BD78" w14:textId="588420A6" w:rsidR="005F7BE0" w:rsidRDefault="005F7BE0">
          <w:pPr>
            <w:pStyle w:val="TOC2"/>
            <w:rPr>
              <w:rFonts w:asciiTheme="minorHAnsi" w:eastAsiaTheme="minorEastAsia" w:hAnsiTheme="minorHAnsi" w:cstheme="minorBidi"/>
              <w:b w:val="0"/>
              <w:noProof/>
              <w:sz w:val="22"/>
              <w:lang w:eastAsia="en-AU"/>
            </w:rPr>
          </w:pPr>
          <w:hyperlink w:anchor="_Toc69998852" w:history="1">
            <w:r w:rsidRPr="00CD6C66">
              <w:rPr>
                <w:rStyle w:val="Hyperlink"/>
                <w:noProof/>
                <w:lang w:eastAsia="en-AU"/>
              </w:rPr>
              <w:t>Submission details</w:t>
            </w:r>
            <w:r>
              <w:rPr>
                <w:noProof/>
                <w:webHidden/>
              </w:rPr>
              <w:tab/>
            </w:r>
            <w:r>
              <w:rPr>
                <w:noProof/>
                <w:webHidden/>
              </w:rPr>
              <w:fldChar w:fldCharType="begin"/>
            </w:r>
            <w:r>
              <w:rPr>
                <w:noProof/>
                <w:webHidden/>
              </w:rPr>
              <w:instrText xml:space="preserve"> PAGEREF _Toc69998852 \h </w:instrText>
            </w:r>
            <w:r>
              <w:rPr>
                <w:noProof/>
                <w:webHidden/>
              </w:rPr>
            </w:r>
            <w:r>
              <w:rPr>
                <w:noProof/>
                <w:webHidden/>
              </w:rPr>
              <w:fldChar w:fldCharType="separate"/>
            </w:r>
            <w:r>
              <w:rPr>
                <w:noProof/>
                <w:webHidden/>
              </w:rPr>
              <w:t>6</w:t>
            </w:r>
            <w:r>
              <w:rPr>
                <w:noProof/>
                <w:webHidden/>
              </w:rPr>
              <w:fldChar w:fldCharType="end"/>
            </w:r>
          </w:hyperlink>
        </w:p>
        <w:p w14:paraId="2F318733" w14:textId="183F9628" w:rsidR="005F7BE0" w:rsidRDefault="005F7BE0">
          <w:pPr>
            <w:pStyle w:val="TOC2"/>
            <w:rPr>
              <w:rFonts w:asciiTheme="minorHAnsi" w:eastAsiaTheme="minorEastAsia" w:hAnsiTheme="minorHAnsi" w:cstheme="minorBidi"/>
              <w:b w:val="0"/>
              <w:noProof/>
              <w:sz w:val="22"/>
              <w:lang w:eastAsia="en-AU"/>
            </w:rPr>
          </w:pPr>
          <w:hyperlink w:anchor="_Toc69998853" w:history="1">
            <w:r w:rsidRPr="00CD6C66">
              <w:rPr>
                <w:rStyle w:val="Hyperlink"/>
                <w:noProof/>
              </w:rPr>
              <w:t>Product background</w:t>
            </w:r>
            <w:r>
              <w:rPr>
                <w:noProof/>
                <w:webHidden/>
              </w:rPr>
              <w:tab/>
            </w:r>
            <w:r>
              <w:rPr>
                <w:noProof/>
                <w:webHidden/>
              </w:rPr>
              <w:fldChar w:fldCharType="begin"/>
            </w:r>
            <w:r>
              <w:rPr>
                <w:noProof/>
                <w:webHidden/>
              </w:rPr>
              <w:instrText xml:space="preserve"> PAGEREF _Toc69998853 \h </w:instrText>
            </w:r>
            <w:r>
              <w:rPr>
                <w:noProof/>
                <w:webHidden/>
              </w:rPr>
            </w:r>
            <w:r>
              <w:rPr>
                <w:noProof/>
                <w:webHidden/>
              </w:rPr>
              <w:fldChar w:fldCharType="separate"/>
            </w:r>
            <w:r>
              <w:rPr>
                <w:noProof/>
                <w:webHidden/>
              </w:rPr>
              <w:t>8</w:t>
            </w:r>
            <w:r>
              <w:rPr>
                <w:noProof/>
                <w:webHidden/>
              </w:rPr>
              <w:fldChar w:fldCharType="end"/>
            </w:r>
          </w:hyperlink>
        </w:p>
        <w:p w14:paraId="1A1C8ADE" w14:textId="52BC5E49" w:rsidR="005F7BE0" w:rsidRDefault="005F7BE0">
          <w:pPr>
            <w:pStyle w:val="TOC2"/>
            <w:rPr>
              <w:rFonts w:asciiTheme="minorHAnsi" w:eastAsiaTheme="minorEastAsia" w:hAnsiTheme="minorHAnsi" w:cstheme="minorBidi"/>
              <w:b w:val="0"/>
              <w:noProof/>
              <w:sz w:val="22"/>
              <w:lang w:eastAsia="en-AU"/>
            </w:rPr>
          </w:pPr>
          <w:hyperlink w:anchor="_Toc69998854" w:history="1">
            <w:r w:rsidRPr="00CD6C66">
              <w:rPr>
                <w:rStyle w:val="Hyperlink"/>
                <w:noProof/>
              </w:rPr>
              <w:t>Regulatory status</w:t>
            </w:r>
            <w:r>
              <w:rPr>
                <w:noProof/>
                <w:webHidden/>
              </w:rPr>
              <w:tab/>
            </w:r>
            <w:r>
              <w:rPr>
                <w:noProof/>
                <w:webHidden/>
              </w:rPr>
              <w:fldChar w:fldCharType="begin"/>
            </w:r>
            <w:r>
              <w:rPr>
                <w:noProof/>
                <w:webHidden/>
              </w:rPr>
              <w:instrText xml:space="preserve"> PAGEREF _Toc69998854 \h </w:instrText>
            </w:r>
            <w:r>
              <w:rPr>
                <w:noProof/>
                <w:webHidden/>
              </w:rPr>
            </w:r>
            <w:r>
              <w:rPr>
                <w:noProof/>
                <w:webHidden/>
              </w:rPr>
              <w:fldChar w:fldCharType="separate"/>
            </w:r>
            <w:r>
              <w:rPr>
                <w:noProof/>
                <w:webHidden/>
              </w:rPr>
              <w:t>10</w:t>
            </w:r>
            <w:r>
              <w:rPr>
                <w:noProof/>
                <w:webHidden/>
              </w:rPr>
              <w:fldChar w:fldCharType="end"/>
            </w:r>
          </w:hyperlink>
        </w:p>
        <w:p w14:paraId="54082A3C" w14:textId="585D18E4" w:rsidR="005F7BE0" w:rsidRDefault="005F7BE0">
          <w:pPr>
            <w:pStyle w:val="TOC2"/>
            <w:rPr>
              <w:rFonts w:asciiTheme="minorHAnsi" w:eastAsiaTheme="minorEastAsia" w:hAnsiTheme="minorHAnsi" w:cstheme="minorBidi"/>
              <w:b w:val="0"/>
              <w:noProof/>
              <w:sz w:val="22"/>
              <w:lang w:eastAsia="en-AU"/>
            </w:rPr>
          </w:pPr>
          <w:hyperlink w:anchor="_Toc69998855" w:history="1">
            <w:r w:rsidRPr="00CD6C66">
              <w:rPr>
                <w:rStyle w:val="Hyperlink"/>
                <w:noProof/>
              </w:rPr>
              <w:t>Product Information</w:t>
            </w:r>
            <w:r>
              <w:rPr>
                <w:noProof/>
                <w:webHidden/>
              </w:rPr>
              <w:tab/>
            </w:r>
            <w:r>
              <w:rPr>
                <w:noProof/>
                <w:webHidden/>
              </w:rPr>
              <w:fldChar w:fldCharType="begin"/>
            </w:r>
            <w:r>
              <w:rPr>
                <w:noProof/>
                <w:webHidden/>
              </w:rPr>
              <w:instrText xml:space="preserve"> PAGEREF _Toc69998855 \h </w:instrText>
            </w:r>
            <w:r>
              <w:rPr>
                <w:noProof/>
                <w:webHidden/>
              </w:rPr>
            </w:r>
            <w:r>
              <w:rPr>
                <w:noProof/>
                <w:webHidden/>
              </w:rPr>
              <w:fldChar w:fldCharType="separate"/>
            </w:r>
            <w:r>
              <w:rPr>
                <w:noProof/>
                <w:webHidden/>
              </w:rPr>
              <w:t>11</w:t>
            </w:r>
            <w:r>
              <w:rPr>
                <w:noProof/>
                <w:webHidden/>
              </w:rPr>
              <w:fldChar w:fldCharType="end"/>
            </w:r>
          </w:hyperlink>
        </w:p>
        <w:p w14:paraId="5849137E" w14:textId="16F3D1CC" w:rsidR="005F7BE0" w:rsidRDefault="005F7BE0">
          <w:pPr>
            <w:pStyle w:val="TOC1"/>
            <w:rPr>
              <w:rFonts w:asciiTheme="minorHAnsi" w:eastAsiaTheme="minorEastAsia" w:hAnsiTheme="minorHAnsi" w:cstheme="minorBidi"/>
              <w:b w:val="0"/>
              <w:noProof/>
              <w:sz w:val="22"/>
              <w:lang w:eastAsia="en-AU"/>
            </w:rPr>
          </w:pPr>
          <w:hyperlink w:anchor="_Toc69998856" w:history="1">
            <w:r w:rsidRPr="00CD6C66">
              <w:rPr>
                <w:rStyle w:val="Hyperlink"/>
                <w:noProof/>
              </w:rPr>
              <w:t>II. Registration timeline</w:t>
            </w:r>
            <w:r>
              <w:rPr>
                <w:noProof/>
                <w:webHidden/>
              </w:rPr>
              <w:tab/>
            </w:r>
            <w:r>
              <w:rPr>
                <w:noProof/>
                <w:webHidden/>
              </w:rPr>
              <w:fldChar w:fldCharType="begin"/>
            </w:r>
            <w:r>
              <w:rPr>
                <w:noProof/>
                <w:webHidden/>
              </w:rPr>
              <w:instrText xml:space="preserve"> PAGEREF _Toc69998856 \h </w:instrText>
            </w:r>
            <w:r>
              <w:rPr>
                <w:noProof/>
                <w:webHidden/>
              </w:rPr>
            </w:r>
            <w:r>
              <w:rPr>
                <w:noProof/>
                <w:webHidden/>
              </w:rPr>
              <w:fldChar w:fldCharType="separate"/>
            </w:r>
            <w:r>
              <w:rPr>
                <w:noProof/>
                <w:webHidden/>
              </w:rPr>
              <w:t>12</w:t>
            </w:r>
            <w:r>
              <w:rPr>
                <w:noProof/>
                <w:webHidden/>
              </w:rPr>
              <w:fldChar w:fldCharType="end"/>
            </w:r>
          </w:hyperlink>
        </w:p>
        <w:p w14:paraId="067D9E7F" w14:textId="7609432B" w:rsidR="005F7BE0" w:rsidRDefault="005F7BE0">
          <w:pPr>
            <w:pStyle w:val="TOC1"/>
            <w:rPr>
              <w:rFonts w:asciiTheme="minorHAnsi" w:eastAsiaTheme="minorEastAsia" w:hAnsiTheme="minorHAnsi" w:cstheme="minorBidi"/>
              <w:b w:val="0"/>
              <w:noProof/>
              <w:sz w:val="22"/>
              <w:lang w:eastAsia="en-AU"/>
            </w:rPr>
          </w:pPr>
          <w:hyperlink w:anchor="_Toc69998857" w:history="1">
            <w:r w:rsidRPr="00CD6C66">
              <w:rPr>
                <w:rStyle w:val="Hyperlink"/>
                <w:noProof/>
              </w:rPr>
              <w:t>III. Submission overview and risk/benefit assessment</w:t>
            </w:r>
            <w:r>
              <w:rPr>
                <w:noProof/>
                <w:webHidden/>
              </w:rPr>
              <w:tab/>
            </w:r>
            <w:r>
              <w:rPr>
                <w:noProof/>
                <w:webHidden/>
              </w:rPr>
              <w:fldChar w:fldCharType="begin"/>
            </w:r>
            <w:r>
              <w:rPr>
                <w:noProof/>
                <w:webHidden/>
              </w:rPr>
              <w:instrText xml:space="preserve"> PAGEREF _Toc69998857 \h </w:instrText>
            </w:r>
            <w:r>
              <w:rPr>
                <w:noProof/>
                <w:webHidden/>
              </w:rPr>
            </w:r>
            <w:r>
              <w:rPr>
                <w:noProof/>
                <w:webHidden/>
              </w:rPr>
              <w:fldChar w:fldCharType="separate"/>
            </w:r>
            <w:r>
              <w:rPr>
                <w:noProof/>
                <w:webHidden/>
              </w:rPr>
              <w:t>12</w:t>
            </w:r>
            <w:r>
              <w:rPr>
                <w:noProof/>
                <w:webHidden/>
              </w:rPr>
              <w:fldChar w:fldCharType="end"/>
            </w:r>
          </w:hyperlink>
        </w:p>
        <w:p w14:paraId="1C3619D3" w14:textId="03C4A1EE" w:rsidR="005F7BE0" w:rsidRDefault="005F7BE0">
          <w:pPr>
            <w:pStyle w:val="TOC2"/>
            <w:rPr>
              <w:rFonts w:asciiTheme="minorHAnsi" w:eastAsiaTheme="minorEastAsia" w:hAnsiTheme="minorHAnsi" w:cstheme="minorBidi"/>
              <w:b w:val="0"/>
              <w:noProof/>
              <w:sz w:val="22"/>
              <w:lang w:eastAsia="en-AU"/>
            </w:rPr>
          </w:pPr>
          <w:hyperlink w:anchor="_Toc69998858" w:history="1">
            <w:r w:rsidRPr="00CD6C66">
              <w:rPr>
                <w:rStyle w:val="Hyperlink"/>
                <w:noProof/>
              </w:rPr>
              <w:t>Quality</w:t>
            </w:r>
            <w:r>
              <w:rPr>
                <w:noProof/>
                <w:webHidden/>
              </w:rPr>
              <w:tab/>
            </w:r>
            <w:r>
              <w:rPr>
                <w:noProof/>
                <w:webHidden/>
              </w:rPr>
              <w:fldChar w:fldCharType="begin"/>
            </w:r>
            <w:r>
              <w:rPr>
                <w:noProof/>
                <w:webHidden/>
              </w:rPr>
              <w:instrText xml:space="preserve"> PAGEREF _Toc69998858 \h </w:instrText>
            </w:r>
            <w:r>
              <w:rPr>
                <w:noProof/>
                <w:webHidden/>
              </w:rPr>
            </w:r>
            <w:r>
              <w:rPr>
                <w:noProof/>
                <w:webHidden/>
              </w:rPr>
              <w:fldChar w:fldCharType="separate"/>
            </w:r>
            <w:r>
              <w:rPr>
                <w:noProof/>
                <w:webHidden/>
              </w:rPr>
              <w:t>13</w:t>
            </w:r>
            <w:r>
              <w:rPr>
                <w:noProof/>
                <w:webHidden/>
              </w:rPr>
              <w:fldChar w:fldCharType="end"/>
            </w:r>
          </w:hyperlink>
        </w:p>
        <w:p w14:paraId="62896328" w14:textId="08C148EE" w:rsidR="005F7BE0" w:rsidRDefault="005F7BE0">
          <w:pPr>
            <w:pStyle w:val="TOC2"/>
            <w:rPr>
              <w:rFonts w:asciiTheme="minorHAnsi" w:eastAsiaTheme="minorEastAsia" w:hAnsiTheme="minorHAnsi" w:cstheme="minorBidi"/>
              <w:b w:val="0"/>
              <w:noProof/>
              <w:sz w:val="22"/>
              <w:lang w:eastAsia="en-AU"/>
            </w:rPr>
          </w:pPr>
          <w:hyperlink w:anchor="_Toc69998859" w:history="1">
            <w:r w:rsidRPr="00CD6C66">
              <w:rPr>
                <w:rStyle w:val="Hyperlink"/>
                <w:noProof/>
              </w:rPr>
              <w:t>Nonclinical</w:t>
            </w:r>
            <w:r>
              <w:rPr>
                <w:noProof/>
                <w:webHidden/>
              </w:rPr>
              <w:tab/>
            </w:r>
            <w:r>
              <w:rPr>
                <w:noProof/>
                <w:webHidden/>
              </w:rPr>
              <w:fldChar w:fldCharType="begin"/>
            </w:r>
            <w:r>
              <w:rPr>
                <w:noProof/>
                <w:webHidden/>
              </w:rPr>
              <w:instrText xml:space="preserve"> PAGEREF _Toc69998859 \h </w:instrText>
            </w:r>
            <w:r>
              <w:rPr>
                <w:noProof/>
                <w:webHidden/>
              </w:rPr>
            </w:r>
            <w:r>
              <w:rPr>
                <w:noProof/>
                <w:webHidden/>
              </w:rPr>
              <w:fldChar w:fldCharType="separate"/>
            </w:r>
            <w:r>
              <w:rPr>
                <w:noProof/>
                <w:webHidden/>
              </w:rPr>
              <w:t>15</w:t>
            </w:r>
            <w:r>
              <w:rPr>
                <w:noProof/>
                <w:webHidden/>
              </w:rPr>
              <w:fldChar w:fldCharType="end"/>
            </w:r>
          </w:hyperlink>
        </w:p>
        <w:p w14:paraId="4BADD584" w14:textId="370623A1" w:rsidR="005F7BE0" w:rsidRDefault="005F7BE0">
          <w:pPr>
            <w:pStyle w:val="TOC2"/>
            <w:rPr>
              <w:rFonts w:asciiTheme="minorHAnsi" w:eastAsiaTheme="minorEastAsia" w:hAnsiTheme="minorHAnsi" w:cstheme="minorBidi"/>
              <w:b w:val="0"/>
              <w:noProof/>
              <w:sz w:val="22"/>
              <w:lang w:eastAsia="en-AU"/>
            </w:rPr>
          </w:pPr>
          <w:hyperlink w:anchor="_Toc69998860" w:history="1">
            <w:r w:rsidRPr="00CD6C66">
              <w:rPr>
                <w:rStyle w:val="Hyperlink"/>
                <w:noProof/>
              </w:rPr>
              <w:t>Clinical</w:t>
            </w:r>
            <w:r>
              <w:rPr>
                <w:noProof/>
                <w:webHidden/>
              </w:rPr>
              <w:tab/>
            </w:r>
            <w:r>
              <w:rPr>
                <w:noProof/>
                <w:webHidden/>
              </w:rPr>
              <w:fldChar w:fldCharType="begin"/>
            </w:r>
            <w:r>
              <w:rPr>
                <w:noProof/>
                <w:webHidden/>
              </w:rPr>
              <w:instrText xml:space="preserve"> PAGEREF _Toc69998860 \h </w:instrText>
            </w:r>
            <w:r>
              <w:rPr>
                <w:noProof/>
                <w:webHidden/>
              </w:rPr>
            </w:r>
            <w:r>
              <w:rPr>
                <w:noProof/>
                <w:webHidden/>
              </w:rPr>
              <w:fldChar w:fldCharType="separate"/>
            </w:r>
            <w:r>
              <w:rPr>
                <w:noProof/>
                <w:webHidden/>
              </w:rPr>
              <w:t>16</w:t>
            </w:r>
            <w:r>
              <w:rPr>
                <w:noProof/>
                <w:webHidden/>
              </w:rPr>
              <w:fldChar w:fldCharType="end"/>
            </w:r>
          </w:hyperlink>
        </w:p>
        <w:p w14:paraId="66E4F694" w14:textId="6C6AFD55" w:rsidR="005F7BE0" w:rsidRDefault="005F7BE0">
          <w:pPr>
            <w:pStyle w:val="TOC2"/>
            <w:rPr>
              <w:rFonts w:asciiTheme="minorHAnsi" w:eastAsiaTheme="minorEastAsia" w:hAnsiTheme="minorHAnsi" w:cstheme="minorBidi"/>
              <w:b w:val="0"/>
              <w:noProof/>
              <w:sz w:val="22"/>
              <w:lang w:eastAsia="en-AU"/>
            </w:rPr>
          </w:pPr>
          <w:hyperlink w:anchor="_Toc69998861" w:history="1">
            <w:r w:rsidRPr="00CD6C66">
              <w:rPr>
                <w:rStyle w:val="Hyperlink"/>
                <w:noProof/>
              </w:rPr>
              <w:t>Risk management plan</w:t>
            </w:r>
            <w:r>
              <w:rPr>
                <w:noProof/>
                <w:webHidden/>
              </w:rPr>
              <w:tab/>
            </w:r>
            <w:r>
              <w:rPr>
                <w:noProof/>
                <w:webHidden/>
              </w:rPr>
              <w:fldChar w:fldCharType="begin"/>
            </w:r>
            <w:r>
              <w:rPr>
                <w:noProof/>
                <w:webHidden/>
              </w:rPr>
              <w:instrText xml:space="preserve"> PAGEREF _Toc69998861 \h </w:instrText>
            </w:r>
            <w:r>
              <w:rPr>
                <w:noProof/>
                <w:webHidden/>
              </w:rPr>
            </w:r>
            <w:r>
              <w:rPr>
                <w:noProof/>
                <w:webHidden/>
              </w:rPr>
              <w:fldChar w:fldCharType="separate"/>
            </w:r>
            <w:r>
              <w:rPr>
                <w:noProof/>
                <w:webHidden/>
              </w:rPr>
              <w:t>21</w:t>
            </w:r>
            <w:r>
              <w:rPr>
                <w:noProof/>
                <w:webHidden/>
              </w:rPr>
              <w:fldChar w:fldCharType="end"/>
            </w:r>
          </w:hyperlink>
        </w:p>
        <w:p w14:paraId="78D46C7F" w14:textId="2F0EA861" w:rsidR="005F7BE0" w:rsidRDefault="005F7BE0">
          <w:pPr>
            <w:pStyle w:val="TOC2"/>
            <w:rPr>
              <w:rFonts w:asciiTheme="minorHAnsi" w:eastAsiaTheme="minorEastAsia" w:hAnsiTheme="minorHAnsi" w:cstheme="minorBidi"/>
              <w:b w:val="0"/>
              <w:noProof/>
              <w:sz w:val="22"/>
              <w:lang w:eastAsia="en-AU"/>
            </w:rPr>
          </w:pPr>
          <w:hyperlink w:anchor="_Toc69998862" w:history="1">
            <w:r w:rsidRPr="00CD6C66">
              <w:rPr>
                <w:rStyle w:val="Hyperlink"/>
                <w:noProof/>
              </w:rPr>
              <w:t>Risk-benefit analysis</w:t>
            </w:r>
            <w:r>
              <w:rPr>
                <w:noProof/>
                <w:webHidden/>
              </w:rPr>
              <w:tab/>
            </w:r>
            <w:r>
              <w:rPr>
                <w:noProof/>
                <w:webHidden/>
              </w:rPr>
              <w:fldChar w:fldCharType="begin"/>
            </w:r>
            <w:r>
              <w:rPr>
                <w:noProof/>
                <w:webHidden/>
              </w:rPr>
              <w:instrText xml:space="preserve"> PAGEREF _Toc69998862 \h </w:instrText>
            </w:r>
            <w:r>
              <w:rPr>
                <w:noProof/>
                <w:webHidden/>
              </w:rPr>
            </w:r>
            <w:r>
              <w:rPr>
                <w:noProof/>
                <w:webHidden/>
              </w:rPr>
              <w:fldChar w:fldCharType="separate"/>
            </w:r>
            <w:r>
              <w:rPr>
                <w:noProof/>
                <w:webHidden/>
              </w:rPr>
              <w:t>22</w:t>
            </w:r>
            <w:r>
              <w:rPr>
                <w:noProof/>
                <w:webHidden/>
              </w:rPr>
              <w:fldChar w:fldCharType="end"/>
            </w:r>
          </w:hyperlink>
        </w:p>
        <w:p w14:paraId="08533116" w14:textId="77EA952B" w:rsidR="005F7BE0" w:rsidRDefault="005F7BE0">
          <w:pPr>
            <w:pStyle w:val="TOC2"/>
            <w:rPr>
              <w:rFonts w:asciiTheme="minorHAnsi" w:eastAsiaTheme="minorEastAsia" w:hAnsiTheme="minorHAnsi" w:cstheme="minorBidi"/>
              <w:b w:val="0"/>
              <w:noProof/>
              <w:sz w:val="22"/>
              <w:lang w:eastAsia="en-AU"/>
            </w:rPr>
          </w:pPr>
          <w:hyperlink w:anchor="_Toc69998863" w:history="1">
            <w:r w:rsidRPr="00CD6C66">
              <w:rPr>
                <w:rStyle w:val="Hyperlink"/>
                <w:noProof/>
              </w:rPr>
              <w:t>Outcome</w:t>
            </w:r>
            <w:r>
              <w:rPr>
                <w:noProof/>
                <w:webHidden/>
              </w:rPr>
              <w:tab/>
            </w:r>
            <w:r>
              <w:rPr>
                <w:noProof/>
                <w:webHidden/>
              </w:rPr>
              <w:fldChar w:fldCharType="begin"/>
            </w:r>
            <w:r>
              <w:rPr>
                <w:noProof/>
                <w:webHidden/>
              </w:rPr>
              <w:instrText xml:space="preserve"> PAGEREF _Toc69998863 \h </w:instrText>
            </w:r>
            <w:r>
              <w:rPr>
                <w:noProof/>
                <w:webHidden/>
              </w:rPr>
            </w:r>
            <w:r>
              <w:rPr>
                <w:noProof/>
                <w:webHidden/>
              </w:rPr>
              <w:fldChar w:fldCharType="separate"/>
            </w:r>
            <w:r>
              <w:rPr>
                <w:noProof/>
                <w:webHidden/>
              </w:rPr>
              <w:t>25</w:t>
            </w:r>
            <w:r>
              <w:rPr>
                <w:noProof/>
                <w:webHidden/>
              </w:rPr>
              <w:fldChar w:fldCharType="end"/>
            </w:r>
          </w:hyperlink>
        </w:p>
        <w:p w14:paraId="7A8ED0A9" w14:textId="40EC5C54" w:rsidR="005F7BE0" w:rsidRDefault="005F7BE0">
          <w:pPr>
            <w:pStyle w:val="TOC1"/>
            <w:rPr>
              <w:rFonts w:asciiTheme="minorHAnsi" w:eastAsiaTheme="minorEastAsia" w:hAnsiTheme="minorHAnsi" w:cstheme="minorBidi"/>
              <w:b w:val="0"/>
              <w:noProof/>
              <w:sz w:val="22"/>
              <w:lang w:eastAsia="en-AU"/>
            </w:rPr>
          </w:pPr>
          <w:hyperlink w:anchor="_Toc69998864" w:history="1">
            <w:r w:rsidRPr="00CD6C66">
              <w:rPr>
                <w:rStyle w:val="Hyperlink"/>
                <w:noProof/>
              </w:rPr>
              <w:t>Attachment 1. Product Information</w:t>
            </w:r>
            <w:r>
              <w:rPr>
                <w:noProof/>
                <w:webHidden/>
              </w:rPr>
              <w:tab/>
            </w:r>
            <w:r>
              <w:rPr>
                <w:noProof/>
                <w:webHidden/>
              </w:rPr>
              <w:fldChar w:fldCharType="begin"/>
            </w:r>
            <w:r>
              <w:rPr>
                <w:noProof/>
                <w:webHidden/>
              </w:rPr>
              <w:instrText xml:space="preserve"> PAGEREF _Toc69998864 \h </w:instrText>
            </w:r>
            <w:r>
              <w:rPr>
                <w:noProof/>
                <w:webHidden/>
              </w:rPr>
            </w:r>
            <w:r>
              <w:rPr>
                <w:noProof/>
                <w:webHidden/>
              </w:rPr>
              <w:fldChar w:fldCharType="separate"/>
            </w:r>
            <w:r>
              <w:rPr>
                <w:noProof/>
                <w:webHidden/>
              </w:rPr>
              <w:t>26</w:t>
            </w:r>
            <w:r>
              <w:rPr>
                <w:noProof/>
                <w:webHidden/>
              </w:rPr>
              <w:fldChar w:fldCharType="end"/>
            </w:r>
          </w:hyperlink>
        </w:p>
        <w:p w14:paraId="01351B08" w14:textId="63A02481" w:rsidR="003A7F6C" w:rsidRPr="00E93008" w:rsidRDefault="00C525A2" w:rsidP="00B811C6">
          <w:pPr>
            <w:pStyle w:val="TOC2"/>
          </w:pPr>
          <w:r w:rsidRPr="00E93008">
            <w:rPr>
              <w:color w:val="2B579A"/>
              <w:shd w:val="clear" w:color="auto" w:fill="E6E6E6"/>
            </w:rPr>
            <w:fldChar w:fldCharType="end"/>
          </w:r>
        </w:p>
      </w:sdtContent>
    </w:sdt>
    <w:bookmarkStart w:id="3" w:name="_Toc314842482" w:displacedByCustomXml="prev"/>
    <w:p w14:paraId="6D5AB681" w14:textId="77777777" w:rsidR="00FD119B" w:rsidRPr="00E93008" w:rsidRDefault="00FD119B">
      <w:pPr>
        <w:spacing w:before="0" w:after="200" w:line="0" w:lineRule="auto"/>
      </w:pPr>
      <w:r w:rsidRPr="00E93008">
        <w:br w:type="page"/>
      </w:r>
    </w:p>
    <w:p w14:paraId="4C186056" w14:textId="77777777" w:rsidR="00FD119B" w:rsidRPr="00E93008" w:rsidRDefault="00441C3F" w:rsidP="004F0C4A">
      <w:pPr>
        <w:pStyle w:val="Heading2"/>
      </w:pPr>
      <w:bookmarkStart w:id="4" w:name="_Toc351716269"/>
      <w:bookmarkStart w:id="5" w:name="_Toc351718881"/>
      <w:bookmarkStart w:id="6" w:name="_Toc355338616"/>
      <w:bookmarkStart w:id="7" w:name="_Toc356306144"/>
      <w:bookmarkStart w:id="8" w:name="_Toc69998850"/>
      <w:r w:rsidRPr="00E93008">
        <w:t>Common</w:t>
      </w:r>
      <w:r w:rsidR="00FD119B" w:rsidRPr="00E93008">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604"/>
      </w:tblGrid>
      <w:tr w:rsidR="00FD119B" w:rsidRPr="00E93008" w14:paraId="1BAB8D4C" w14:textId="77777777" w:rsidTr="00636CCD">
        <w:trPr>
          <w:cnfStyle w:val="100000000000" w:firstRow="1" w:lastRow="0" w:firstColumn="0" w:lastColumn="0" w:oddVBand="0" w:evenVBand="0" w:oddHBand="0" w:evenHBand="0" w:firstRowFirstColumn="0" w:firstRowLastColumn="0" w:lastRowFirstColumn="0" w:lastRowLastColumn="0"/>
        </w:trPr>
        <w:tc>
          <w:tcPr>
            <w:tcW w:w="1799" w:type="dxa"/>
            <w:tcBorders>
              <w:top w:val="single" w:sz="4" w:space="0" w:color="auto"/>
              <w:left w:val="single" w:sz="4" w:space="0" w:color="auto"/>
              <w:bottom w:val="single" w:sz="4" w:space="0" w:color="auto"/>
              <w:right w:val="single" w:sz="4" w:space="0" w:color="auto"/>
            </w:tcBorders>
          </w:tcPr>
          <w:p w14:paraId="5E3490CB" w14:textId="77777777" w:rsidR="00FD119B" w:rsidRPr="00071BC2" w:rsidRDefault="00FD119B" w:rsidP="00071BC2">
            <w:r w:rsidRPr="00071BC2">
              <w:t>Abbreviation</w:t>
            </w:r>
          </w:p>
        </w:tc>
        <w:tc>
          <w:tcPr>
            <w:tcW w:w="6695" w:type="dxa"/>
            <w:tcBorders>
              <w:top w:val="single" w:sz="4" w:space="0" w:color="auto"/>
              <w:left w:val="single" w:sz="4" w:space="0" w:color="auto"/>
              <w:bottom w:val="single" w:sz="4" w:space="0" w:color="auto"/>
              <w:right w:val="single" w:sz="4" w:space="0" w:color="auto"/>
            </w:tcBorders>
          </w:tcPr>
          <w:p w14:paraId="21A39583" w14:textId="77777777" w:rsidR="00FD119B" w:rsidRPr="00E93008" w:rsidRDefault="00FD119B" w:rsidP="000F5225">
            <w:pPr>
              <w:rPr>
                <w:lang w:eastAsia="en-US"/>
              </w:rPr>
            </w:pPr>
            <w:r w:rsidRPr="00E93008">
              <w:rPr>
                <w:lang w:eastAsia="en-US"/>
              </w:rPr>
              <w:t>Meaning</w:t>
            </w:r>
          </w:p>
        </w:tc>
      </w:tr>
      <w:tr w:rsidR="00292EB2" w:rsidRPr="00E93008" w14:paraId="7A5BDB08" w14:textId="77777777" w:rsidTr="00636CCD">
        <w:tc>
          <w:tcPr>
            <w:tcW w:w="1799" w:type="dxa"/>
            <w:tcBorders>
              <w:top w:val="single" w:sz="4" w:space="0" w:color="auto"/>
            </w:tcBorders>
          </w:tcPr>
          <w:p w14:paraId="35F32A6C" w14:textId="621D0768" w:rsidR="00292EB2" w:rsidRPr="00E93008" w:rsidRDefault="00292EB2" w:rsidP="00292EB2">
            <w:r w:rsidRPr="0045458F">
              <w:rPr>
                <w:rFonts w:asciiTheme="minorHAnsi" w:eastAsiaTheme="minorHAnsi" w:hAnsiTheme="minorHAnsi" w:cs="Arial"/>
              </w:rPr>
              <w:t>β</w:t>
            </w:r>
            <w:r w:rsidRPr="0045458F">
              <w:rPr>
                <w:rFonts w:asciiTheme="minorHAnsi" w:eastAsiaTheme="minorHAnsi" w:hAnsiTheme="minorHAnsi" w:cs="Arial"/>
                <w:vertAlign w:val="subscript"/>
              </w:rPr>
              <w:t>2</w:t>
            </w:r>
          </w:p>
        </w:tc>
        <w:tc>
          <w:tcPr>
            <w:tcW w:w="6695" w:type="dxa"/>
            <w:tcBorders>
              <w:top w:val="single" w:sz="4" w:space="0" w:color="auto"/>
            </w:tcBorders>
          </w:tcPr>
          <w:p w14:paraId="4CAF40F5" w14:textId="2BB9F047" w:rsidR="00292EB2" w:rsidRPr="00E93008" w:rsidRDefault="00292EB2" w:rsidP="00292EB2">
            <w:r>
              <w:rPr>
                <w:rFonts w:asciiTheme="minorHAnsi" w:eastAsiaTheme="minorHAnsi" w:hAnsiTheme="minorHAnsi" w:cs="Arial"/>
              </w:rPr>
              <w:t>Beta 2</w:t>
            </w:r>
          </w:p>
        </w:tc>
      </w:tr>
      <w:tr w:rsidR="001A378D" w:rsidRPr="00E93008" w14:paraId="6F2FF0CA" w14:textId="77777777" w:rsidTr="00636CCD">
        <w:tc>
          <w:tcPr>
            <w:tcW w:w="1799" w:type="dxa"/>
            <w:tcBorders>
              <w:top w:val="single" w:sz="4" w:space="0" w:color="auto"/>
            </w:tcBorders>
          </w:tcPr>
          <w:p w14:paraId="1F5853C2" w14:textId="77777777" w:rsidR="001A378D" w:rsidRPr="00E93008" w:rsidRDefault="001A378D" w:rsidP="00636CCD">
            <w:r w:rsidRPr="00E93008">
              <w:t>AAN</w:t>
            </w:r>
          </w:p>
        </w:tc>
        <w:tc>
          <w:tcPr>
            <w:tcW w:w="6695" w:type="dxa"/>
            <w:tcBorders>
              <w:top w:val="single" w:sz="4" w:space="0" w:color="auto"/>
            </w:tcBorders>
          </w:tcPr>
          <w:p w14:paraId="1A920754" w14:textId="1DD8FCA4" w:rsidR="001A378D" w:rsidRPr="00E93008" w:rsidRDefault="001A378D" w:rsidP="00636CCD">
            <w:r w:rsidRPr="00E93008">
              <w:t xml:space="preserve">Australian </w:t>
            </w:r>
            <w:r w:rsidR="008F2217">
              <w:t>A</w:t>
            </w:r>
            <w:r w:rsidR="0084512E" w:rsidRPr="00E93008">
              <w:t xml:space="preserve">pproved </w:t>
            </w:r>
            <w:r w:rsidR="008F2217">
              <w:t>N</w:t>
            </w:r>
            <w:r w:rsidR="0084512E" w:rsidRPr="00E93008">
              <w:t>ame</w:t>
            </w:r>
          </w:p>
        </w:tc>
      </w:tr>
      <w:tr w:rsidR="001A378D" w:rsidRPr="00E93008" w14:paraId="1D77EFA9" w14:textId="77777777" w:rsidTr="00636CCD">
        <w:tc>
          <w:tcPr>
            <w:tcW w:w="1799" w:type="dxa"/>
            <w:tcBorders>
              <w:top w:val="single" w:sz="4" w:space="0" w:color="auto"/>
            </w:tcBorders>
          </w:tcPr>
          <w:p w14:paraId="1D3555F8" w14:textId="77777777" w:rsidR="001A378D" w:rsidRPr="00E93008" w:rsidRDefault="001A378D" w:rsidP="001A378D">
            <w:r w:rsidRPr="00E93008">
              <w:t>ACM</w:t>
            </w:r>
          </w:p>
        </w:tc>
        <w:tc>
          <w:tcPr>
            <w:tcW w:w="6695" w:type="dxa"/>
            <w:tcBorders>
              <w:top w:val="single" w:sz="4" w:space="0" w:color="auto"/>
            </w:tcBorders>
          </w:tcPr>
          <w:p w14:paraId="222FC3D1" w14:textId="77777777" w:rsidR="001A378D" w:rsidRPr="00E93008" w:rsidRDefault="001A378D" w:rsidP="00636CCD">
            <w:r w:rsidRPr="00E93008">
              <w:t>Advisory Committee on Medicines</w:t>
            </w:r>
          </w:p>
        </w:tc>
      </w:tr>
      <w:tr w:rsidR="00636CCD" w:rsidRPr="00E93008" w14:paraId="5A3685B9" w14:textId="77777777" w:rsidTr="00636CCD">
        <w:tc>
          <w:tcPr>
            <w:tcW w:w="1799" w:type="dxa"/>
          </w:tcPr>
          <w:p w14:paraId="1D31EBDB" w14:textId="18B6DDAD"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ACQ</w:t>
            </w:r>
            <w:r w:rsidR="00292EB2">
              <w:rPr>
                <w:rFonts w:asciiTheme="minorHAnsi" w:eastAsiaTheme="minorHAnsi" w:hAnsiTheme="minorHAnsi" w:cs="Arial"/>
              </w:rPr>
              <w:t>-7</w:t>
            </w:r>
          </w:p>
        </w:tc>
        <w:tc>
          <w:tcPr>
            <w:tcW w:w="6695" w:type="dxa"/>
          </w:tcPr>
          <w:p w14:paraId="1F31F2A6" w14:textId="3AEB6A6D"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 xml:space="preserve">Asthma </w:t>
            </w:r>
            <w:r w:rsidR="008F2217">
              <w:rPr>
                <w:rFonts w:asciiTheme="minorHAnsi" w:eastAsiaTheme="minorHAnsi" w:hAnsiTheme="minorHAnsi" w:cs="Arial"/>
              </w:rPr>
              <w:t>C</w:t>
            </w:r>
            <w:r w:rsidR="0099295F" w:rsidRPr="00E93008">
              <w:rPr>
                <w:rFonts w:asciiTheme="minorHAnsi" w:eastAsiaTheme="minorHAnsi" w:hAnsiTheme="minorHAnsi" w:cs="Arial"/>
              </w:rPr>
              <w:t xml:space="preserve">ontrol </w:t>
            </w:r>
            <w:r w:rsidR="008F2217">
              <w:rPr>
                <w:rFonts w:asciiTheme="minorHAnsi" w:eastAsiaTheme="minorHAnsi" w:hAnsiTheme="minorHAnsi" w:cs="Arial"/>
              </w:rPr>
              <w:t>Q</w:t>
            </w:r>
            <w:r w:rsidR="0099295F" w:rsidRPr="00E93008">
              <w:rPr>
                <w:rFonts w:asciiTheme="minorHAnsi" w:eastAsiaTheme="minorHAnsi" w:hAnsiTheme="minorHAnsi" w:cs="Arial"/>
              </w:rPr>
              <w:t>uestionnaire</w:t>
            </w:r>
            <w:r w:rsidR="00292EB2">
              <w:rPr>
                <w:rFonts w:asciiTheme="minorHAnsi" w:eastAsiaTheme="minorHAnsi" w:hAnsiTheme="minorHAnsi" w:cs="Arial"/>
              </w:rPr>
              <w:t xml:space="preserve"> 7</w:t>
            </w:r>
          </w:p>
        </w:tc>
      </w:tr>
      <w:tr w:rsidR="00636CCD" w:rsidRPr="00E93008" w14:paraId="14F32614" w14:textId="77777777" w:rsidTr="00636CCD">
        <w:tc>
          <w:tcPr>
            <w:tcW w:w="1799" w:type="dxa"/>
          </w:tcPr>
          <w:p w14:paraId="78B4E59E"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AE</w:t>
            </w:r>
          </w:p>
        </w:tc>
        <w:tc>
          <w:tcPr>
            <w:tcW w:w="6695" w:type="dxa"/>
          </w:tcPr>
          <w:p w14:paraId="4ED9CF51" w14:textId="77777777"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Adverse event</w:t>
            </w:r>
          </w:p>
        </w:tc>
      </w:tr>
      <w:tr w:rsidR="00636CCD" w:rsidRPr="00E93008" w14:paraId="7423B159" w14:textId="77777777" w:rsidTr="00636CCD">
        <w:tc>
          <w:tcPr>
            <w:tcW w:w="1799" w:type="dxa"/>
          </w:tcPr>
          <w:p w14:paraId="4F0883F6"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AQLQ</w:t>
            </w:r>
          </w:p>
        </w:tc>
        <w:tc>
          <w:tcPr>
            <w:tcW w:w="6695" w:type="dxa"/>
          </w:tcPr>
          <w:p w14:paraId="14BB6523" w14:textId="3995ADC9"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 xml:space="preserve">Asthma </w:t>
            </w:r>
            <w:r w:rsidR="008F2217">
              <w:rPr>
                <w:rFonts w:asciiTheme="minorHAnsi" w:eastAsiaTheme="minorHAnsi" w:hAnsiTheme="minorHAnsi" w:cs="Arial"/>
              </w:rPr>
              <w:t>Q</w:t>
            </w:r>
            <w:r w:rsidR="0084512E" w:rsidRPr="00E93008">
              <w:rPr>
                <w:rFonts w:asciiTheme="minorHAnsi" w:eastAsiaTheme="minorHAnsi" w:hAnsiTheme="minorHAnsi" w:cs="Arial"/>
              </w:rPr>
              <w:t xml:space="preserve">uality of </w:t>
            </w:r>
            <w:r w:rsidR="008F2217">
              <w:rPr>
                <w:rFonts w:asciiTheme="minorHAnsi" w:eastAsiaTheme="minorHAnsi" w:hAnsiTheme="minorHAnsi" w:cs="Arial"/>
              </w:rPr>
              <w:t>L</w:t>
            </w:r>
            <w:r w:rsidR="0084512E" w:rsidRPr="00E93008">
              <w:rPr>
                <w:rFonts w:asciiTheme="minorHAnsi" w:eastAsiaTheme="minorHAnsi" w:hAnsiTheme="minorHAnsi" w:cs="Arial"/>
              </w:rPr>
              <w:t xml:space="preserve">ife </w:t>
            </w:r>
            <w:r w:rsidR="008F2217">
              <w:rPr>
                <w:rFonts w:asciiTheme="minorHAnsi" w:eastAsiaTheme="minorHAnsi" w:hAnsiTheme="minorHAnsi" w:cs="Arial"/>
              </w:rPr>
              <w:t>Q</w:t>
            </w:r>
            <w:r w:rsidR="0084512E" w:rsidRPr="00E93008">
              <w:rPr>
                <w:rFonts w:asciiTheme="minorHAnsi" w:eastAsiaTheme="minorHAnsi" w:hAnsiTheme="minorHAnsi" w:cs="Arial"/>
              </w:rPr>
              <w:t>uestionnaire</w:t>
            </w:r>
          </w:p>
        </w:tc>
      </w:tr>
      <w:tr w:rsidR="00636CCD" w:rsidRPr="00E93008" w14:paraId="2F1AC9C1" w14:textId="77777777" w:rsidTr="00636CCD">
        <w:tc>
          <w:tcPr>
            <w:tcW w:w="1799" w:type="dxa"/>
          </w:tcPr>
          <w:p w14:paraId="1857A808" w14:textId="77777777" w:rsidR="00636CCD" w:rsidRPr="00E93008" w:rsidRDefault="00636CCD" w:rsidP="00636CCD">
            <w:r w:rsidRPr="00E93008">
              <w:t>ARTG</w:t>
            </w:r>
          </w:p>
        </w:tc>
        <w:tc>
          <w:tcPr>
            <w:tcW w:w="6695" w:type="dxa"/>
          </w:tcPr>
          <w:p w14:paraId="75D608C1" w14:textId="77777777" w:rsidR="00636CCD" w:rsidRPr="00E93008" w:rsidRDefault="00636CCD" w:rsidP="00636CCD">
            <w:r w:rsidRPr="00E93008">
              <w:t>Australian Register of Therapeutic Goods</w:t>
            </w:r>
          </w:p>
        </w:tc>
      </w:tr>
      <w:tr w:rsidR="005A4FCF" w:rsidRPr="00E93008" w14:paraId="0DDA5060" w14:textId="77777777" w:rsidTr="00636CCD">
        <w:tc>
          <w:tcPr>
            <w:tcW w:w="1799" w:type="dxa"/>
          </w:tcPr>
          <w:p w14:paraId="31BAAB7C" w14:textId="77777777" w:rsidR="005A4FCF" w:rsidRPr="00E93008" w:rsidRDefault="005A4FCF" w:rsidP="00636CCD">
            <w:r w:rsidRPr="00E93008">
              <w:t>ASA</w:t>
            </w:r>
          </w:p>
        </w:tc>
        <w:tc>
          <w:tcPr>
            <w:tcW w:w="6695" w:type="dxa"/>
          </w:tcPr>
          <w:p w14:paraId="61517AA1" w14:textId="77777777" w:rsidR="005A4FCF" w:rsidRPr="00E93008" w:rsidRDefault="00022617" w:rsidP="005A4FCF">
            <w:r w:rsidRPr="00E93008">
              <w:t>Australia specific annex</w:t>
            </w:r>
          </w:p>
        </w:tc>
      </w:tr>
      <w:tr w:rsidR="00E86D1B" w:rsidRPr="00E93008" w14:paraId="32674431" w14:textId="77777777" w:rsidTr="00636CCD">
        <w:tc>
          <w:tcPr>
            <w:tcW w:w="1799" w:type="dxa"/>
          </w:tcPr>
          <w:p w14:paraId="0B4A3D35" w14:textId="77777777" w:rsidR="00E86D1B" w:rsidRPr="00E93008" w:rsidRDefault="00E86D1B" w:rsidP="00636CCD">
            <w:r w:rsidRPr="00E93008">
              <w:t>AusPAR</w:t>
            </w:r>
          </w:p>
        </w:tc>
        <w:tc>
          <w:tcPr>
            <w:tcW w:w="6695" w:type="dxa"/>
          </w:tcPr>
          <w:p w14:paraId="3A1AD4EC" w14:textId="77777777" w:rsidR="00E86D1B" w:rsidRPr="00E93008" w:rsidRDefault="00E86D1B" w:rsidP="00E86D1B">
            <w:pPr>
              <w:rPr>
                <w:rFonts w:cs="Arial"/>
              </w:rPr>
            </w:pPr>
            <w:r w:rsidRPr="00E93008">
              <w:rPr>
                <w:rFonts w:cs="Arial"/>
              </w:rPr>
              <w:t>Australian Public Assessment Report</w:t>
            </w:r>
          </w:p>
        </w:tc>
      </w:tr>
      <w:tr w:rsidR="00636CCD" w:rsidRPr="00E93008" w14:paraId="722D44C9" w14:textId="77777777" w:rsidTr="00636CCD">
        <w:tc>
          <w:tcPr>
            <w:tcW w:w="1799" w:type="dxa"/>
          </w:tcPr>
          <w:p w14:paraId="3EAFD934" w14:textId="77777777" w:rsidR="00636CCD" w:rsidRPr="00E93008" w:rsidRDefault="00B93B68" w:rsidP="00636CCD">
            <w:pPr>
              <w:rPr>
                <w:rFonts w:cs="Arial"/>
                <w:szCs w:val="22"/>
              </w:rPr>
            </w:pPr>
            <w:r w:rsidRPr="00E93008">
              <w:rPr>
                <w:rFonts w:cs="Arial"/>
                <w:szCs w:val="22"/>
              </w:rPr>
              <w:t>BID</w:t>
            </w:r>
          </w:p>
        </w:tc>
        <w:tc>
          <w:tcPr>
            <w:tcW w:w="6695" w:type="dxa"/>
          </w:tcPr>
          <w:p w14:paraId="7B2C6BB7" w14:textId="3E2F83DC" w:rsidR="00636CCD" w:rsidRPr="00E93008" w:rsidRDefault="00636CCD" w:rsidP="00636CCD">
            <w:pPr>
              <w:rPr>
                <w:rFonts w:cs="Arial"/>
                <w:szCs w:val="22"/>
              </w:rPr>
            </w:pPr>
            <w:r w:rsidRPr="00E93008">
              <w:rPr>
                <w:rFonts w:cs="Arial"/>
                <w:szCs w:val="22"/>
              </w:rPr>
              <w:t>Twice a day</w:t>
            </w:r>
            <w:r w:rsidR="008F2217">
              <w:rPr>
                <w:rFonts w:cs="Arial"/>
                <w:szCs w:val="22"/>
              </w:rPr>
              <w:t xml:space="preserve"> (Latin: </w:t>
            </w:r>
            <w:proofErr w:type="spellStart"/>
            <w:r w:rsidR="008F2217" w:rsidRPr="000F5225">
              <w:rPr>
                <w:rFonts w:cs="Arial"/>
                <w:i/>
              </w:rPr>
              <w:t>bis</w:t>
            </w:r>
            <w:proofErr w:type="spellEnd"/>
            <w:r w:rsidR="008F2217" w:rsidRPr="000F5225">
              <w:rPr>
                <w:rFonts w:cs="Arial"/>
                <w:i/>
              </w:rPr>
              <w:t xml:space="preserve"> in die</w:t>
            </w:r>
            <w:r w:rsidR="008F2217">
              <w:rPr>
                <w:rFonts w:cs="Arial"/>
                <w:szCs w:val="22"/>
              </w:rPr>
              <w:t>)</w:t>
            </w:r>
          </w:p>
        </w:tc>
      </w:tr>
      <w:tr w:rsidR="00636CCD" w:rsidRPr="00E93008" w14:paraId="4849E520" w14:textId="77777777" w:rsidTr="00636CCD">
        <w:tc>
          <w:tcPr>
            <w:tcW w:w="1799" w:type="dxa"/>
          </w:tcPr>
          <w:p w14:paraId="4DB4D638"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CHMP</w:t>
            </w:r>
          </w:p>
        </w:tc>
        <w:tc>
          <w:tcPr>
            <w:tcW w:w="6695" w:type="dxa"/>
          </w:tcPr>
          <w:p w14:paraId="2D8AFE48" w14:textId="426202A9"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Committee for Medicinal Products for Human Use</w:t>
            </w:r>
            <w:r w:rsidR="008F2217">
              <w:rPr>
                <w:rFonts w:asciiTheme="minorHAnsi" w:eastAsiaTheme="minorHAnsi" w:hAnsiTheme="minorHAnsi" w:cs="Arial"/>
              </w:rPr>
              <w:t xml:space="preserve"> (European Union)</w:t>
            </w:r>
          </w:p>
        </w:tc>
      </w:tr>
      <w:tr w:rsidR="00636CCD" w:rsidRPr="00E93008" w14:paraId="793AA866" w14:textId="77777777" w:rsidTr="00636CCD">
        <w:tc>
          <w:tcPr>
            <w:tcW w:w="1799" w:type="dxa"/>
          </w:tcPr>
          <w:p w14:paraId="55E7D5B7" w14:textId="77777777" w:rsidR="00636CCD" w:rsidRPr="00E93008" w:rsidRDefault="00935F1C" w:rsidP="00935F1C">
            <w:pPr>
              <w:rPr>
                <w:rFonts w:asciiTheme="minorHAnsi" w:eastAsiaTheme="minorHAnsi" w:hAnsiTheme="minorHAnsi" w:cs="Arial"/>
              </w:rPr>
            </w:pPr>
            <w:r w:rsidRPr="00E93008">
              <w:rPr>
                <w:rFonts w:asciiTheme="minorHAnsi" w:eastAsiaTheme="minorHAnsi" w:hAnsiTheme="minorHAnsi" w:cs="Arial"/>
              </w:rPr>
              <w:t>CI</w:t>
            </w:r>
          </w:p>
        </w:tc>
        <w:tc>
          <w:tcPr>
            <w:tcW w:w="6695" w:type="dxa"/>
          </w:tcPr>
          <w:p w14:paraId="39FEA632" w14:textId="77777777"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C</w:t>
            </w:r>
            <w:r w:rsidR="00935F1C" w:rsidRPr="00E93008">
              <w:rPr>
                <w:rFonts w:asciiTheme="minorHAnsi" w:eastAsiaTheme="minorHAnsi" w:hAnsiTheme="minorHAnsi" w:cs="Arial"/>
              </w:rPr>
              <w:t>onfidence interval</w:t>
            </w:r>
          </w:p>
        </w:tc>
      </w:tr>
      <w:tr w:rsidR="005A4FCF" w:rsidRPr="00E93008" w14:paraId="4E6607D9" w14:textId="77777777" w:rsidTr="00636CCD">
        <w:tc>
          <w:tcPr>
            <w:tcW w:w="1799" w:type="dxa"/>
          </w:tcPr>
          <w:p w14:paraId="5A5B41E5" w14:textId="77777777" w:rsidR="005A4FCF" w:rsidRPr="00E93008" w:rsidRDefault="005A4FCF" w:rsidP="00636CCD">
            <w:pPr>
              <w:rPr>
                <w:rFonts w:asciiTheme="minorHAnsi" w:eastAsiaTheme="minorHAnsi" w:hAnsiTheme="minorHAnsi" w:cs="Arial"/>
              </w:rPr>
            </w:pPr>
            <w:r w:rsidRPr="00E93008">
              <w:rPr>
                <w:rFonts w:asciiTheme="minorHAnsi" w:eastAsiaTheme="minorHAnsi" w:hAnsiTheme="minorHAnsi" w:cs="Arial"/>
              </w:rPr>
              <w:t>CMI</w:t>
            </w:r>
          </w:p>
        </w:tc>
        <w:tc>
          <w:tcPr>
            <w:tcW w:w="6695" w:type="dxa"/>
          </w:tcPr>
          <w:p w14:paraId="79FBDD4F" w14:textId="77777777" w:rsidR="005A4FCF" w:rsidRPr="00E93008" w:rsidRDefault="00022617" w:rsidP="005A4FCF">
            <w:pPr>
              <w:rPr>
                <w:rFonts w:asciiTheme="minorHAnsi" w:eastAsiaTheme="minorHAnsi" w:hAnsiTheme="minorHAnsi" w:cs="Arial"/>
              </w:rPr>
            </w:pPr>
            <w:r w:rsidRPr="00E93008">
              <w:rPr>
                <w:rFonts w:asciiTheme="minorHAnsi" w:eastAsiaTheme="minorHAnsi" w:hAnsiTheme="minorHAnsi" w:cs="Arial"/>
              </w:rPr>
              <w:t>Consumer Medicines Information</w:t>
            </w:r>
          </w:p>
        </w:tc>
      </w:tr>
      <w:tr w:rsidR="00636CCD" w:rsidRPr="00E93008" w14:paraId="005995CF" w14:textId="77777777" w:rsidTr="00636CCD">
        <w:tc>
          <w:tcPr>
            <w:tcW w:w="1799" w:type="dxa"/>
          </w:tcPr>
          <w:p w14:paraId="3B47FC41"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COPD</w:t>
            </w:r>
          </w:p>
        </w:tc>
        <w:tc>
          <w:tcPr>
            <w:tcW w:w="6695" w:type="dxa"/>
          </w:tcPr>
          <w:p w14:paraId="53A51D15" w14:textId="77777777" w:rsidR="00636CCD" w:rsidRPr="00E93008" w:rsidRDefault="00787FCB" w:rsidP="00636CCD">
            <w:pPr>
              <w:rPr>
                <w:rFonts w:asciiTheme="minorHAnsi" w:eastAsiaTheme="minorHAnsi" w:hAnsiTheme="minorHAnsi" w:cs="Arial"/>
              </w:rPr>
            </w:pPr>
            <w:r w:rsidRPr="00E93008">
              <w:rPr>
                <w:rFonts w:asciiTheme="minorHAnsi" w:eastAsiaTheme="minorHAnsi" w:hAnsiTheme="minorHAnsi" w:cs="Arial"/>
              </w:rPr>
              <w:t>Chronic obstructive pulmonary disease</w:t>
            </w:r>
          </w:p>
        </w:tc>
      </w:tr>
      <w:tr w:rsidR="005B2CB9" w:rsidRPr="00E93008" w14:paraId="45CC9E50" w14:textId="77777777" w:rsidTr="00636CCD">
        <w:tc>
          <w:tcPr>
            <w:tcW w:w="1799" w:type="dxa"/>
          </w:tcPr>
          <w:p w14:paraId="5C796BC1" w14:textId="5FE761A2" w:rsidR="005B2CB9" w:rsidRPr="00E93008" w:rsidRDefault="005B2CB9" w:rsidP="00636CCD">
            <w:pPr>
              <w:rPr>
                <w:rFonts w:asciiTheme="minorHAnsi" w:eastAsiaTheme="minorHAnsi" w:hAnsiTheme="minorHAnsi" w:cs="Arial"/>
              </w:rPr>
            </w:pPr>
            <w:r>
              <w:rPr>
                <w:rFonts w:asciiTheme="minorHAnsi" w:eastAsiaTheme="minorHAnsi" w:hAnsiTheme="minorHAnsi" w:cs="Arial"/>
              </w:rPr>
              <w:t>CSR</w:t>
            </w:r>
          </w:p>
        </w:tc>
        <w:tc>
          <w:tcPr>
            <w:tcW w:w="6695" w:type="dxa"/>
          </w:tcPr>
          <w:p w14:paraId="3927C566" w14:textId="122A5AC0" w:rsidR="005B2CB9" w:rsidRPr="00E93008" w:rsidRDefault="005B2CB9" w:rsidP="00636CCD">
            <w:pPr>
              <w:rPr>
                <w:rFonts w:asciiTheme="minorHAnsi" w:eastAsiaTheme="minorHAnsi" w:hAnsiTheme="minorHAnsi" w:cs="Arial"/>
              </w:rPr>
            </w:pPr>
            <w:r>
              <w:rPr>
                <w:rFonts w:asciiTheme="minorHAnsi" w:eastAsiaTheme="minorHAnsi" w:hAnsiTheme="minorHAnsi" w:cs="Arial"/>
              </w:rPr>
              <w:t>Clinical study report</w:t>
            </w:r>
          </w:p>
        </w:tc>
      </w:tr>
      <w:tr w:rsidR="005A4FCF" w:rsidRPr="00E93008" w14:paraId="3082786A" w14:textId="77777777" w:rsidTr="00636CCD">
        <w:tc>
          <w:tcPr>
            <w:tcW w:w="1799" w:type="dxa"/>
          </w:tcPr>
          <w:p w14:paraId="07D4DE40" w14:textId="77777777" w:rsidR="005A4FCF" w:rsidRPr="00E93008" w:rsidRDefault="005A4FCF" w:rsidP="00636CCD">
            <w:pPr>
              <w:rPr>
                <w:rFonts w:asciiTheme="minorHAnsi" w:eastAsiaTheme="minorHAnsi" w:hAnsiTheme="minorHAnsi" w:cs="Arial"/>
              </w:rPr>
            </w:pPr>
            <w:r w:rsidRPr="00E93008">
              <w:rPr>
                <w:rFonts w:asciiTheme="minorHAnsi" w:eastAsiaTheme="minorHAnsi" w:hAnsiTheme="minorHAnsi" w:cs="Arial"/>
              </w:rPr>
              <w:t>DLP</w:t>
            </w:r>
          </w:p>
        </w:tc>
        <w:tc>
          <w:tcPr>
            <w:tcW w:w="6695" w:type="dxa"/>
          </w:tcPr>
          <w:p w14:paraId="0C5EEBA3" w14:textId="77777777" w:rsidR="005A4FCF" w:rsidRPr="00E93008" w:rsidRDefault="005A4FCF" w:rsidP="00636CCD">
            <w:pPr>
              <w:rPr>
                <w:rFonts w:asciiTheme="minorHAnsi" w:eastAsiaTheme="minorHAnsi" w:hAnsiTheme="minorHAnsi" w:cs="Arial"/>
              </w:rPr>
            </w:pPr>
            <w:r w:rsidRPr="00E93008">
              <w:rPr>
                <w:rFonts w:asciiTheme="minorHAnsi" w:eastAsiaTheme="minorHAnsi" w:hAnsiTheme="minorHAnsi" w:cs="Arial"/>
              </w:rPr>
              <w:t>Data lock point</w:t>
            </w:r>
          </w:p>
        </w:tc>
      </w:tr>
      <w:tr w:rsidR="005E331A" w:rsidRPr="00E93008" w14:paraId="370B7059" w14:textId="77777777" w:rsidTr="00636CCD">
        <w:tc>
          <w:tcPr>
            <w:tcW w:w="1799" w:type="dxa"/>
          </w:tcPr>
          <w:p w14:paraId="18524B89" w14:textId="77777777" w:rsidR="005E331A" w:rsidRPr="00E93008" w:rsidRDefault="005E331A" w:rsidP="00636CCD">
            <w:pPr>
              <w:rPr>
                <w:rFonts w:asciiTheme="minorHAnsi" w:eastAsiaTheme="minorHAnsi" w:hAnsiTheme="minorHAnsi" w:cs="Arial"/>
              </w:rPr>
            </w:pPr>
            <w:r w:rsidRPr="00E93008">
              <w:rPr>
                <w:rFonts w:asciiTheme="minorHAnsi" w:eastAsiaTheme="minorHAnsi" w:hAnsiTheme="minorHAnsi" w:cs="Arial"/>
              </w:rPr>
              <w:t>EMA</w:t>
            </w:r>
          </w:p>
        </w:tc>
        <w:tc>
          <w:tcPr>
            <w:tcW w:w="6695" w:type="dxa"/>
          </w:tcPr>
          <w:p w14:paraId="28288F3A" w14:textId="3A53E840" w:rsidR="005E331A" w:rsidRPr="00E93008" w:rsidRDefault="005E331A" w:rsidP="00636CCD">
            <w:pPr>
              <w:rPr>
                <w:rFonts w:asciiTheme="minorHAnsi" w:eastAsiaTheme="minorHAnsi" w:hAnsiTheme="minorHAnsi" w:cs="Arial"/>
              </w:rPr>
            </w:pPr>
            <w:r w:rsidRPr="00E93008">
              <w:rPr>
                <w:rFonts w:asciiTheme="minorHAnsi" w:eastAsiaTheme="minorHAnsi" w:hAnsiTheme="minorHAnsi" w:cs="Arial"/>
              </w:rPr>
              <w:t>European Medicines Agency</w:t>
            </w:r>
            <w:r w:rsidR="008F2217">
              <w:rPr>
                <w:rFonts w:asciiTheme="minorHAnsi" w:eastAsiaTheme="minorHAnsi" w:hAnsiTheme="minorHAnsi" w:cs="Arial"/>
              </w:rPr>
              <w:t xml:space="preserve"> (European Union)</w:t>
            </w:r>
          </w:p>
        </w:tc>
      </w:tr>
      <w:tr w:rsidR="00F44B19" w:rsidRPr="00E93008" w14:paraId="41DB0473" w14:textId="77777777" w:rsidTr="00636CCD">
        <w:tc>
          <w:tcPr>
            <w:tcW w:w="1799" w:type="dxa"/>
          </w:tcPr>
          <w:p w14:paraId="4CE1DCB9" w14:textId="77777777" w:rsidR="00F44B19" w:rsidRPr="00E93008" w:rsidRDefault="00F44B19" w:rsidP="00636CCD">
            <w:pPr>
              <w:rPr>
                <w:rFonts w:asciiTheme="minorHAnsi" w:eastAsiaTheme="minorHAnsi" w:hAnsiTheme="minorHAnsi" w:cs="Arial"/>
              </w:rPr>
            </w:pPr>
            <w:r w:rsidRPr="00E93008">
              <w:rPr>
                <w:rFonts w:asciiTheme="minorHAnsi" w:eastAsiaTheme="minorHAnsi" w:hAnsiTheme="minorHAnsi" w:cs="Arial"/>
              </w:rPr>
              <w:t>EMEA</w:t>
            </w:r>
          </w:p>
        </w:tc>
        <w:tc>
          <w:tcPr>
            <w:tcW w:w="6695" w:type="dxa"/>
          </w:tcPr>
          <w:p w14:paraId="0FDD8F9C" w14:textId="5CBDC5E3" w:rsidR="00F44B19" w:rsidRPr="00E93008" w:rsidRDefault="00F44B19" w:rsidP="00F44B19">
            <w:pPr>
              <w:rPr>
                <w:rFonts w:asciiTheme="minorHAnsi" w:eastAsiaTheme="minorHAnsi" w:hAnsiTheme="minorHAnsi" w:cs="Arial"/>
              </w:rPr>
            </w:pPr>
            <w:r w:rsidRPr="00E93008">
              <w:rPr>
                <w:rFonts w:asciiTheme="minorHAnsi" w:eastAsiaTheme="minorHAnsi" w:hAnsiTheme="minorHAnsi" w:cs="Arial"/>
              </w:rPr>
              <w:t>European Medicines Evaluation Agency</w:t>
            </w:r>
            <w:r w:rsidR="008F2217">
              <w:rPr>
                <w:rFonts w:asciiTheme="minorHAnsi" w:eastAsiaTheme="minorHAnsi" w:hAnsiTheme="minorHAnsi" w:cs="Arial"/>
              </w:rPr>
              <w:t xml:space="preserve"> (European Union)</w:t>
            </w:r>
          </w:p>
        </w:tc>
      </w:tr>
      <w:tr w:rsidR="004B59BA" w:rsidRPr="00E93008" w14:paraId="72A0C80A" w14:textId="77777777" w:rsidTr="00636CCD">
        <w:tc>
          <w:tcPr>
            <w:tcW w:w="1799" w:type="dxa"/>
          </w:tcPr>
          <w:p w14:paraId="0A469323" w14:textId="77777777" w:rsidR="004B59BA" w:rsidRPr="00E93008" w:rsidRDefault="004B59BA" w:rsidP="00636CCD">
            <w:pPr>
              <w:rPr>
                <w:rFonts w:asciiTheme="minorHAnsi" w:eastAsiaTheme="minorHAnsi" w:hAnsiTheme="minorHAnsi" w:cs="Arial"/>
              </w:rPr>
            </w:pPr>
            <w:r w:rsidRPr="00E93008">
              <w:rPr>
                <w:rFonts w:asciiTheme="minorHAnsi" w:eastAsiaTheme="minorHAnsi" w:hAnsiTheme="minorHAnsi" w:cs="Arial"/>
              </w:rPr>
              <w:t>EU</w:t>
            </w:r>
          </w:p>
        </w:tc>
        <w:tc>
          <w:tcPr>
            <w:tcW w:w="6695" w:type="dxa"/>
          </w:tcPr>
          <w:p w14:paraId="508753A5" w14:textId="77777777" w:rsidR="004B59BA" w:rsidRPr="00E93008" w:rsidRDefault="004B59BA" w:rsidP="00636CCD">
            <w:pPr>
              <w:rPr>
                <w:rFonts w:asciiTheme="minorHAnsi" w:eastAsiaTheme="minorHAnsi" w:hAnsiTheme="minorHAnsi" w:cs="Arial"/>
              </w:rPr>
            </w:pPr>
            <w:r w:rsidRPr="00E93008">
              <w:rPr>
                <w:rFonts w:asciiTheme="minorHAnsi" w:eastAsiaTheme="minorHAnsi" w:hAnsiTheme="minorHAnsi" w:cs="Arial"/>
              </w:rPr>
              <w:t>European Union</w:t>
            </w:r>
          </w:p>
        </w:tc>
      </w:tr>
      <w:tr w:rsidR="00636CCD" w:rsidRPr="00E93008" w14:paraId="3FDB7544" w14:textId="77777777" w:rsidTr="00636CCD">
        <w:tc>
          <w:tcPr>
            <w:tcW w:w="1799" w:type="dxa"/>
          </w:tcPr>
          <w:p w14:paraId="1D272571" w14:textId="77777777" w:rsidR="00636CCD" w:rsidRPr="00E93008" w:rsidRDefault="00A4613E" w:rsidP="00636CCD">
            <w:pPr>
              <w:rPr>
                <w:rFonts w:asciiTheme="minorHAnsi" w:eastAsiaTheme="minorHAnsi" w:hAnsiTheme="minorHAnsi" w:cs="Arial"/>
              </w:rPr>
            </w:pPr>
            <w:r w:rsidRPr="00E93008">
              <w:rPr>
                <w:rFonts w:asciiTheme="minorHAnsi" w:eastAsiaTheme="minorHAnsi" w:hAnsiTheme="minorHAnsi" w:cs="Arial"/>
              </w:rPr>
              <w:t>FDC</w:t>
            </w:r>
          </w:p>
        </w:tc>
        <w:tc>
          <w:tcPr>
            <w:tcW w:w="6695" w:type="dxa"/>
          </w:tcPr>
          <w:p w14:paraId="01D412A2" w14:textId="77777777"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Fixed dose combination</w:t>
            </w:r>
          </w:p>
        </w:tc>
      </w:tr>
      <w:tr w:rsidR="00636CCD" w:rsidRPr="00E93008" w14:paraId="029BF0C9" w14:textId="77777777" w:rsidTr="00636CCD">
        <w:tc>
          <w:tcPr>
            <w:tcW w:w="1799" w:type="dxa"/>
          </w:tcPr>
          <w:p w14:paraId="612E962F"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FEF</w:t>
            </w:r>
          </w:p>
        </w:tc>
        <w:tc>
          <w:tcPr>
            <w:tcW w:w="6695" w:type="dxa"/>
          </w:tcPr>
          <w:p w14:paraId="534469CE" w14:textId="77777777"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Forced expiratory flow</w:t>
            </w:r>
          </w:p>
        </w:tc>
      </w:tr>
      <w:tr w:rsidR="00636CCD" w:rsidRPr="00E93008" w14:paraId="4302B2B0" w14:textId="77777777" w:rsidTr="00636CCD">
        <w:tc>
          <w:tcPr>
            <w:tcW w:w="1799" w:type="dxa"/>
          </w:tcPr>
          <w:p w14:paraId="3371068B"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FEV</w:t>
            </w:r>
            <w:r w:rsidRPr="000F5225">
              <w:rPr>
                <w:rFonts w:asciiTheme="minorHAnsi" w:eastAsiaTheme="minorHAnsi" w:hAnsiTheme="minorHAnsi" w:cs="Arial"/>
                <w:vertAlign w:val="subscript"/>
              </w:rPr>
              <w:t>1</w:t>
            </w:r>
          </w:p>
        </w:tc>
        <w:tc>
          <w:tcPr>
            <w:tcW w:w="6695" w:type="dxa"/>
          </w:tcPr>
          <w:p w14:paraId="1214CCD5" w14:textId="77777777"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Forced expi</w:t>
            </w:r>
            <w:r w:rsidR="00A4613E" w:rsidRPr="00E93008">
              <w:rPr>
                <w:rFonts w:asciiTheme="minorHAnsi" w:eastAsiaTheme="minorHAnsi" w:hAnsiTheme="minorHAnsi" w:cs="Arial"/>
              </w:rPr>
              <w:t>ratory volume in one</w:t>
            </w:r>
            <w:r w:rsidRPr="00E93008">
              <w:rPr>
                <w:rFonts w:asciiTheme="minorHAnsi" w:eastAsiaTheme="minorHAnsi" w:hAnsiTheme="minorHAnsi" w:cs="Arial"/>
              </w:rPr>
              <w:t xml:space="preserve"> second</w:t>
            </w:r>
          </w:p>
        </w:tc>
      </w:tr>
      <w:tr w:rsidR="00636CCD" w:rsidRPr="00E93008" w14:paraId="2638D3C7" w14:textId="77777777" w:rsidTr="00636CCD">
        <w:tc>
          <w:tcPr>
            <w:tcW w:w="1799" w:type="dxa"/>
          </w:tcPr>
          <w:p w14:paraId="598DE353" w14:textId="77777777" w:rsidR="00636CCD" w:rsidRPr="00E93008" w:rsidRDefault="00636CCD" w:rsidP="00022617">
            <w:pPr>
              <w:rPr>
                <w:rFonts w:asciiTheme="minorHAnsi" w:eastAsiaTheme="minorHAnsi" w:hAnsiTheme="minorHAnsi" w:cs="Arial"/>
              </w:rPr>
            </w:pPr>
            <w:r w:rsidRPr="00E93008">
              <w:rPr>
                <w:rFonts w:asciiTheme="minorHAnsi" w:eastAsiaTheme="minorHAnsi" w:hAnsiTheme="minorHAnsi" w:cs="Arial"/>
              </w:rPr>
              <w:t>FVC</w:t>
            </w:r>
          </w:p>
        </w:tc>
        <w:tc>
          <w:tcPr>
            <w:tcW w:w="6695" w:type="dxa"/>
          </w:tcPr>
          <w:p w14:paraId="3356DBBE" w14:textId="77777777"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Forced vital capacity</w:t>
            </w:r>
          </w:p>
        </w:tc>
      </w:tr>
      <w:tr w:rsidR="00636CCD" w:rsidRPr="00E93008" w14:paraId="1EDA66E0" w14:textId="77777777" w:rsidTr="00636CCD">
        <w:tc>
          <w:tcPr>
            <w:tcW w:w="1799" w:type="dxa"/>
          </w:tcPr>
          <w:p w14:paraId="6D214545"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GINA</w:t>
            </w:r>
          </w:p>
        </w:tc>
        <w:tc>
          <w:tcPr>
            <w:tcW w:w="6695" w:type="dxa"/>
          </w:tcPr>
          <w:p w14:paraId="306B48F3" w14:textId="30322025"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 xml:space="preserve">Global </w:t>
            </w:r>
            <w:r w:rsidR="008F2217">
              <w:rPr>
                <w:rFonts w:asciiTheme="minorHAnsi" w:eastAsiaTheme="minorHAnsi" w:hAnsiTheme="minorHAnsi" w:cs="Arial"/>
              </w:rPr>
              <w:t>I</w:t>
            </w:r>
            <w:r w:rsidR="00EC2EAF" w:rsidRPr="00E93008">
              <w:rPr>
                <w:rFonts w:asciiTheme="minorHAnsi" w:eastAsiaTheme="minorHAnsi" w:hAnsiTheme="minorHAnsi" w:cs="Arial"/>
              </w:rPr>
              <w:t xml:space="preserve">nitiative for </w:t>
            </w:r>
            <w:r w:rsidR="008F2217">
              <w:rPr>
                <w:rFonts w:asciiTheme="minorHAnsi" w:eastAsiaTheme="minorHAnsi" w:hAnsiTheme="minorHAnsi" w:cs="Arial"/>
              </w:rPr>
              <w:t>A</w:t>
            </w:r>
            <w:r w:rsidR="00EC2EAF" w:rsidRPr="00E93008">
              <w:rPr>
                <w:rFonts w:asciiTheme="minorHAnsi" w:eastAsiaTheme="minorHAnsi" w:hAnsiTheme="minorHAnsi" w:cs="Arial"/>
              </w:rPr>
              <w:t>sthma</w:t>
            </w:r>
          </w:p>
        </w:tc>
      </w:tr>
      <w:tr w:rsidR="00D45219" w:rsidRPr="00E93008" w14:paraId="32C4D9FE" w14:textId="77777777" w:rsidTr="00636CCD">
        <w:tc>
          <w:tcPr>
            <w:tcW w:w="1799" w:type="dxa"/>
          </w:tcPr>
          <w:p w14:paraId="3BA955A0" w14:textId="77777777" w:rsidR="00D45219" w:rsidRPr="00E93008" w:rsidRDefault="00D45219" w:rsidP="00636CCD">
            <w:pPr>
              <w:rPr>
                <w:rFonts w:asciiTheme="minorHAnsi" w:eastAsiaTheme="minorHAnsi" w:hAnsiTheme="minorHAnsi" w:cs="Arial"/>
              </w:rPr>
            </w:pPr>
            <w:r w:rsidRPr="00E93008">
              <w:rPr>
                <w:rFonts w:asciiTheme="minorHAnsi" w:eastAsiaTheme="minorHAnsi" w:hAnsiTheme="minorHAnsi" w:cs="Arial"/>
              </w:rPr>
              <w:t>GVP</w:t>
            </w:r>
          </w:p>
        </w:tc>
        <w:tc>
          <w:tcPr>
            <w:tcW w:w="6695" w:type="dxa"/>
          </w:tcPr>
          <w:p w14:paraId="6A46A214" w14:textId="77777777" w:rsidR="00D45219" w:rsidRPr="00E93008" w:rsidRDefault="00D45219" w:rsidP="00D45219">
            <w:pPr>
              <w:rPr>
                <w:rFonts w:asciiTheme="minorHAnsi" w:eastAsiaTheme="minorHAnsi" w:hAnsiTheme="minorHAnsi" w:cs="Arial"/>
              </w:rPr>
            </w:pPr>
            <w:r w:rsidRPr="00E93008">
              <w:rPr>
                <w:rFonts w:asciiTheme="minorHAnsi" w:eastAsiaTheme="minorHAnsi" w:hAnsiTheme="minorHAnsi" w:cs="Arial"/>
              </w:rPr>
              <w:t xml:space="preserve">Good </w:t>
            </w:r>
            <w:r w:rsidR="00AF1407" w:rsidRPr="00E93008">
              <w:rPr>
                <w:rFonts w:asciiTheme="minorHAnsi" w:eastAsiaTheme="minorHAnsi" w:hAnsiTheme="minorHAnsi" w:cs="Arial"/>
              </w:rPr>
              <w:t>Pharmacovigilance Practices</w:t>
            </w:r>
          </w:p>
        </w:tc>
      </w:tr>
      <w:tr w:rsidR="00DE51AF" w:rsidRPr="00E93008" w14:paraId="12E96C5E" w14:textId="77777777" w:rsidTr="00636CCD">
        <w:tc>
          <w:tcPr>
            <w:tcW w:w="1799" w:type="dxa"/>
          </w:tcPr>
          <w:p w14:paraId="44EBC15C" w14:textId="77777777" w:rsidR="00DE51AF" w:rsidRPr="00E93008" w:rsidRDefault="00DE51AF" w:rsidP="00636CCD">
            <w:pPr>
              <w:rPr>
                <w:rFonts w:asciiTheme="minorHAnsi" w:eastAsiaTheme="minorHAnsi" w:hAnsiTheme="minorHAnsi" w:cs="Arial"/>
              </w:rPr>
            </w:pPr>
            <w:r w:rsidRPr="00E93008">
              <w:rPr>
                <w:rFonts w:asciiTheme="minorHAnsi" w:eastAsiaTheme="minorHAnsi" w:hAnsiTheme="minorHAnsi" w:cs="Arial"/>
              </w:rPr>
              <w:t>ICH</w:t>
            </w:r>
          </w:p>
        </w:tc>
        <w:tc>
          <w:tcPr>
            <w:tcW w:w="6695" w:type="dxa"/>
          </w:tcPr>
          <w:p w14:paraId="2365C954" w14:textId="62E9F9B7" w:rsidR="00DE51AF" w:rsidRPr="00E93008" w:rsidRDefault="00DE51AF" w:rsidP="00D45219">
            <w:pPr>
              <w:rPr>
                <w:rFonts w:asciiTheme="minorHAnsi" w:eastAsiaTheme="minorHAnsi" w:hAnsiTheme="minorHAnsi" w:cs="Arial"/>
              </w:rPr>
            </w:pPr>
            <w:r w:rsidRPr="00E93008">
              <w:rPr>
                <w:rFonts w:asciiTheme="minorHAnsi" w:eastAsiaTheme="minorHAnsi" w:hAnsiTheme="minorHAnsi" w:cs="Arial"/>
              </w:rPr>
              <w:t xml:space="preserve">International Council </w:t>
            </w:r>
            <w:r w:rsidR="008F2217">
              <w:rPr>
                <w:rFonts w:asciiTheme="minorHAnsi" w:eastAsiaTheme="minorHAnsi" w:hAnsiTheme="minorHAnsi" w:cs="Arial"/>
              </w:rPr>
              <w:t>on</w:t>
            </w:r>
            <w:r w:rsidRPr="00E93008">
              <w:rPr>
                <w:rFonts w:asciiTheme="minorHAnsi" w:eastAsiaTheme="minorHAnsi" w:hAnsiTheme="minorHAnsi" w:cs="Arial"/>
              </w:rPr>
              <w:t xml:space="preserve"> Harmonisation</w:t>
            </w:r>
          </w:p>
        </w:tc>
      </w:tr>
      <w:tr w:rsidR="00636CCD" w:rsidRPr="00E93008" w14:paraId="0AA7060D" w14:textId="77777777" w:rsidTr="00636CCD">
        <w:tc>
          <w:tcPr>
            <w:tcW w:w="1799" w:type="dxa"/>
          </w:tcPr>
          <w:p w14:paraId="1FEF0540"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ICS</w:t>
            </w:r>
          </w:p>
        </w:tc>
        <w:tc>
          <w:tcPr>
            <w:tcW w:w="6695" w:type="dxa"/>
          </w:tcPr>
          <w:p w14:paraId="2FA93D72" w14:textId="6D58851C"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Inhaled corticosteroid</w:t>
            </w:r>
            <w:r w:rsidR="008F2217">
              <w:rPr>
                <w:rFonts w:asciiTheme="minorHAnsi" w:eastAsiaTheme="minorHAnsi" w:hAnsiTheme="minorHAnsi" w:cs="Arial"/>
              </w:rPr>
              <w:t>(</w:t>
            </w:r>
            <w:r w:rsidRPr="00E93008">
              <w:rPr>
                <w:rFonts w:asciiTheme="minorHAnsi" w:eastAsiaTheme="minorHAnsi" w:hAnsiTheme="minorHAnsi" w:cs="Arial"/>
              </w:rPr>
              <w:t>s</w:t>
            </w:r>
            <w:r w:rsidR="008F2217">
              <w:rPr>
                <w:rFonts w:asciiTheme="minorHAnsi" w:eastAsiaTheme="minorHAnsi" w:hAnsiTheme="minorHAnsi" w:cs="Arial"/>
              </w:rPr>
              <w:t>)</w:t>
            </w:r>
          </w:p>
        </w:tc>
      </w:tr>
      <w:tr w:rsidR="00292EB2" w:rsidRPr="00E93008" w14:paraId="72BE5182" w14:textId="77777777" w:rsidTr="00636CCD">
        <w:tc>
          <w:tcPr>
            <w:tcW w:w="1799" w:type="dxa"/>
          </w:tcPr>
          <w:p w14:paraId="46FCE445" w14:textId="509914C2" w:rsidR="00292EB2" w:rsidRPr="00E93008" w:rsidRDefault="00292EB2" w:rsidP="00636CCD">
            <w:pPr>
              <w:rPr>
                <w:rFonts w:asciiTheme="minorHAnsi" w:eastAsiaTheme="minorHAnsi" w:hAnsiTheme="minorHAnsi" w:cs="Arial"/>
              </w:rPr>
            </w:pPr>
            <w:proofErr w:type="spellStart"/>
            <w:r>
              <w:rPr>
                <w:rFonts w:asciiTheme="minorHAnsi" w:eastAsiaTheme="minorHAnsi" w:hAnsiTheme="minorHAnsi" w:cs="Arial"/>
              </w:rPr>
              <w:t>IgE</w:t>
            </w:r>
            <w:proofErr w:type="spellEnd"/>
          </w:p>
        </w:tc>
        <w:tc>
          <w:tcPr>
            <w:tcW w:w="6695" w:type="dxa"/>
          </w:tcPr>
          <w:p w14:paraId="6ECE1310" w14:textId="79AEDE14" w:rsidR="00292EB2" w:rsidRPr="00E93008" w:rsidRDefault="00292EB2" w:rsidP="00636CCD">
            <w:pPr>
              <w:rPr>
                <w:rFonts w:asciiTheme="minorHAnsi" w:eastAsiaTheme="minorHAnsi" w:hAnsiTheme="minorHAnsi" w:cs="Arial"/>
              </w:rPr>
            </w:pPr>
            <w:r>
              <w:rPr>
                <w:rFonts w:asciiTheme="minorHAnsi" w:eastAsiaTheme="minorHAnsi" w:hAnsiTheme="minorHAnsi" w:cs="Arial"/>
              </w:rPr>
              <w:t>Immunoglobulin E</w:t>
            </w:r>
          </w:p>
        </w:tc>
      </w:tr>
      <w:tr w:rsidR="00636CCD" w:rsidRPr="00E93008" w14:paraId="7E865B98" w14:textId="77777777" w:rsidTr="00636CCD">
        <w:tc>
          <w:tcPr>
            <w:tcW w:w="1799" w:type="dxa"/>
          </w:tcPr>
          <w:p w14:paraId="449FC6B6"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LABA</w:t>
            </w:r>
          </w:p>
        </w:tc>
        <w:tc>
          <w:tcPr>
            <w:tcW w:w="6695" w:type="dxa"/>
          </w:tcPr>
          <w:p w14:paraId="4097117A" w14:textId="1E678D2A" w:rsidR="00636CCD" w:rsidRPr="00E93008" w:rsidRDefault="006E6550" w:rsidP="00636CCD">
            <w:pPr>
              <w:rPr>
                <w:rFonts w:asciiTheme="minorHAnsi" w:eastAsiaTheme="minorHAnsi" w:hAnsiTheme="minorHAnsi" w:cs="Arial"/>
              </w:rPr>
            </w:pPr>
            <w:r w:rsidRPr="00E93008">
              <w:rPr>
                <w:rFonts w:asciiTheme="minorHAnsi" w:eastAsiaTheme="minorHAnsi" w:hAnsiTheme="minorHAnsi" w:cs="Arial"/>
              </w:rPr>
              <w:t>Long-</w:t>
            </w:r>
            <w:r w:rsidR="000C37D5" w:rsidRPr="00E93008">
              <w:rPr>
                <w:rFonts w:asciiTheme="minorHAnsi" w:eastAsiaTheme="minorHAnsi" w:hAnsiTheme="minorHAnsi" w:cs="Arial"/>
              </w:rPr>
              <w:t>actin</w:t>
            </w:r>
            <w:r w:rsidRPr="00E93008">
              <w:rPr>
                <w:rFonts w:asciiTheme="minorHAnsi" w:eastAsiaTheme="minorHAnsi" w:hAnsiTheme="minorHAnsi" w:cs="Arial"/>
              </w:rPr>
              <w:t>g beta</w:t>
            </w:r>
            <w:r w:rsidR="008F2217">
              <w:rPr>
                <w:rFonts w:asciiTheme="minorHAnsi" w:eastAsiaTheme="minorHAnsi" w:hAnsiTheme="minorHAnsi" w:cs="Arial"/>
              </w:rPr>
              <w:t xml:space="preserve"> </w:t>
            </w:r>
            <w:r w:rsidRPr="00E93008">
              <w:rPr>
                <w:rFonts w:asciiTheme="minorHAnsi" w:eastAsiaTheme="minorHAnsi" w:hAnsiTheme="minorHAnsi" w:cs="Arial"/>
              </w:rPr>
              <w:t>2</w:t>
            </w:r>
            <w:r w:rsidR="008F2217">
              <w:rPr>
                <w:rFonts w:asciiTheme="minorHAnsi" w:eastAsiaTheme="minorHAnsi" w:hAnsiTheme="minorHAnsi" w:cs="Arial"/>
              </w:rPr>
              <w:t xml:space="preserve"> (β</w:t>
            </w:r>
            <w:r w:rsidR="008F2217">
              <w:rPr>
                <w:rFonts w:asciiTheme="minorHAnsi" w:eastAsiaTheme="minorHAnsi" w:hAnsiTheme="minorHAnsi" w:cs="Arial"/>
                <w:vertAlign w:val="subscript"/>
              </w:rPr>
              <w:t>2</w:t>
            </w:r>
            <w:r w:rsidR="008F2217">
              <w:rPr>
                <w:rFonts w:asciiTheme="minorHAnsi" w:eastAsiaTheme="minorHAnsi" w:hAnsiTheme="minorHAnsi" w:cs="Arial"/>
              </w:rPr>
              <w:t>)</w:t>
            </w:r>
            <w:r w:rsidR="000C37D5" w:rsidRPr="00E93008">
              <w:rPr>
                <w:rFonts w:asciiTheme="minorHAnsi" w:eastAsiaTheme="minorHAnsi" w:hAnsiTheme="minorHAnsi" w:cs="Arial"/>
              </w:rPr>
              <w:t>agonist</w:t>
            </w:r>
          </w:p>
        </w:tc>
      </w:tr>
      <w:tr w:rsidR="00636CCD" w:rsidRPr="00E93008" w14:paraId="0AEBD110" w14:textId="77777777" w:rsidTr="00636CCD">
        <w:tc>
          <w:tcPr>
            <w:tcW w:w="1799" w:type="dxa"/>
          </w:tcPr>
          <w:p w14:paraId="0374D41A"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LAMA</w:t>
            </w:r>
          </w:p>
        </w:tc>
        <w:tc>
          <w:tcPr>
            <w:tcW w:w="6695" w:type="dxa"/>
          </w:tcPr>
          <w:p w14:paraId="33F9A2EB" w14:textId="3345F73B" w:rsidR="00636CCD" w:rsidRPr="00E93008" w:rsidRDefault="000C37D5" w:rsidP="00636CCD">
            <w:pPr>
              <w:rPr>
                <w:rFonts w:asciiTheme="minorHAnsi" w:eastAsiaTheme="minorHAnsi" w:hAnsiTheme="minorHAnsi" w:cs="Arial"/>
              </w:rPr>
            </w:pPr>
            <w:r w:rsidRPr="00E93008">
              <w:rPr>
                <w:rFonts w:asciiTheme="minorHAnsi" w:eastAsiaTheme="minorHAnsi" w:hAnsiTheme="minorHAnsi" w:cs="Arial"/>
              </w:rPr>
              <w:t>L</w:t>
            </w:r>
            <w:r w:rsidR="006E6550" w:rsidRPr="00E93008">
              <w:rPr>
                <w:rFonts w:asciiTheme="minorHAnsi" w:eastAsiaTheme="minorHAnsi" w:hAnsiTheme="minorHAnsi" w:cs="Arial"/>
              </w:rPr>
              <w:t>ong-acting muscarinic receptor</w:t>
            </w:r>
            <w:r w:rsidR="008F2217">
              <w:rPr>
                <w:rFonts w:asciiTheme="minorHAnsi" w:eastAsiaTheme="minorHAnsi" w:hAnsiTheme="minorHAnsi" w:cs="Arial"/>
              </w:rPr>
              <w:t xml:space="preserve"> </w:t>
            </w:r>
            <w:r w:rsidRPr="00E93008">
              <w:rPr>
                <w:rFonts w:asciiTheme="minorHAnsi" w:eastAsiaTheme="minorHAnsi" w:hAnsiTheme="minorHAnsi" w:cs="Arial"/>
              </w:rPr>
              <w:t>antagonist</w:t>
            </w:r>
          </w:p>
        </w:tc>
      </w:tr>
      <w:tr w:rsidR="00636CCD" w:rsidRPr="00E93008" w14:paraId="4303ACE4" w14:textId="77777777" w:rsidTr="00636CCD">
        <w:tc>
          <w:tcPr>
            <w:tcW w:w="1799" w:type="dxa"/>
          </w:tcPr>
          <w:p w14:paraId="13C0156D"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LS</w:t>
            </w:r>
          </w:p>
        </w:tc>
        <w:tc>
          <w:tcPr>
            <w:tcW w:w="6695" w:type="dxa"/>
          </w:tcPr>
          <w:p w14:paraId="4B02BC6E" w14:textId="77777777"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Least squares</w:t>
            </w:r>
          </w:p>
        </w:tc>
      </w:tr>
      <w:tr w:rsidR="00292EB2" w:rsidRPr="00E93008" w14:paraId="58D3FF6B" w14:textId="77777777" w:rsidTr="00636CCD">
        <w:tc>
          <w:tcPr>
            <w:tcW w:w="1799" w:type="dxa"/>
          </w:tcPr>
          <w:p w14:paraId="76F301F2" w14:textId="59B69E40" w:rsidR="00292EB2" w:rsidRPr="00FB09CC" w:rsidRDefault="00292EB2" w:rsidP="00636CCD">
            <w:pPr>
              <w:rPr>
                <w:rFonts w:asciiTheme="minorHAnsi" w:eastAsiaTheme="minorHAnsi" w:hAnsiTheme="minorHAnsi" w:cs="Arial"/>
                <w:vertAlign w:val="subscript"/>
              </w:rPr>
            </w:pPr>
            <w:r>
              <w:rPr>
                <w:rFonts w:asciiTheme="minorHAnsi" w:eastAsiaTheme="minorHAnsi" w:hAnsiTheme="minorHAnsi" w:cs="Arial"/>
              </w:rPr>
              <w:t>M</w:t>
            </w:r>
            <w:r>
              <w:rPr>
                <w:rFonts w:asciiTheme="minorHAnsi" w:eastAsiaTheme="minorHAnsi" w:hAnsiTheme="minorHAnsi" w:cs="Arial"/>
                <w:vertAlign w:val="subscript"/>
              </w:rPr>
              <w:t>3</w:t>
            </w:r>
          </w:p>
        </w:tc>
        <w:tc>
          <w:tcPr>
            <w:tcW w:w="6695" w:type="dxa"/>
          </w:tcPr>
          <w:p w14:paraId="639EA95B" w14:textId="07E2BB70" w:rsidR="00292EB2" w:rsidRPr="00E93008" w:rsidRDefault="00292EB2" w:rsidP="00C22BC8">
            <w:pPr>
              <w:rPr>
                <w:rFonts w:asciiTheme="minorHAnsi" w:eastAsiaTheme="minorHAnsi" w:hAnsiTheme="minorHAnsi" w:cs="Arial"/>
              </w:rPr>
            </w:pPr>
            <w:r>
              <w:rPr>
                <w:rFonts w:asciiTheme="minorHAnsi" w:eastAsiaTheme="minorHAnsi" w:hAnsiTheme="minorHAnsi" w:cs="Arial"/>
              </w:rPr>
              <w:t>Muscarinic acetylcholine 3</w:t>
            </w:r>
          </w:p>
        </w:tc>
      </w:tr>
      <w:tr w:rsidR="00C22BC8" w:rsidRPr="00E93008" w14:paraId="5BBCEAB0" w14:textId="77777777" w:rsidTr="00636CCD">
        <w:tc>
          <w:tcPr>
            <w:tcW w:w="1799" w:type="dxa"/>
          </w:tcPr>
          <w:p w14:paraId="7F0C7400" w14:textId="77777777" w:rsidR="00C22BC8" w:rsidRPr="00E93008" w:rsidRDefault="00C22BC8" w:rsidP="00636CCD">
            <w:pPr>
              <w:rPr>
                <w:rFonts w:asciiTheme="minorHAnsi" w:eastAsiaTheme="minorHAnsi" w:hAnsiTheme="minorHAnsi" w:cs="Arial"/>
              </w:rPr>
            </w:pPr>
            <w:r w:rsidRPr="00E93008">
              <w:rPr>
                <w:rFonts w:asciiTheme="minorHAnsi" w:eastAsiaTheme="minorHAnsi" w:hAnsiTheme="minorHAnsi" w:cs="Arial"/>
              </w:rPr>
              <w:t>MSD</w:t>
            </w:r>
          </w:p>
        </w:tc>
        <w:tc>
          <w:tcPr>
            <w:tcW w:w="6695" w:type="dxa"/>
          </w:tcPr>
          <w:p w14:paraId="1BCB27A7" w14:textId="77777777" w:rsidR="00C22BC8" w:rsidRPr="00E93008" w:rsidRDefault="00C22BC8" w:rsidP="00C22BC8">
            <w:pPr>
              <w:rPr>
                <w:rFonts w:asciiTheme="minorHAnsi" w:eastAsiaTheme="minorHAnsi" w:hAnsiTheme="minorHAnsi" w:cs="Arial"/>
              </w:rPr>
            </w:pPr>
            <w:r w:rsidRPr="00E93008">
              <w:rPr>
                <w:rFonts w:asciiTheme="minorHAnsi" w:eastAsiaTheme="minorHAnsi" w:hAnsiTheme="minorHAnsi" w:cs="Arial"/>
              </w:rPr>
              <w:t xml:space="preserve">Merck Sharp and </w:t>
            </w:r>
            <w:proofErr w:type="spellStart"/>
            <w:r w:rsidRPr="00E93008">
              <w:rPr>
                <w:rFonts w:asciiTheme="minorHAnsi" w:eastAsiaTheme="minorHAnsi" w:hAnsiTheme="minorHAnsi" w:cs="Arial"/>
              </w:rPr>
              <w:t>Dohme</w:t>
            </w:r>
            <w:proofErr w:type="spellEnd"/>
          </w:p>
        </w:tc>
      </w:tr>
      <w:tr w:rsidR="00A4613E" w:rsidRPr="00E93008" w14:paraId="4170CC67" w14:textId="77777777" w:rsidTr="00636CCD">
        <w:tc>
          <w:tcPr>
            <w:tcW w:w="1799" w:type="dxa"/>
          </w:tcPr>
          <w:p w14:paraId="7984448A" w14:textId="77777777" w:rsidR="00A4613E" w:rsidRPr="00E93008" w:rsidRDefault="00A4613E" w:rsidP="00636CCD">
            <w:pPr>
              <w:rPr>
                <w:rFonts w:asciiTheme="minorHAnsi" w:eastAsiaTheme="minorHAnsi" w:hAnsiTheme="minorHAnsi" w:cs="Arial"/>
              </w:rPr>
            </w:pPr>
            <w:r w:rsidRPr="00E93008">
              <w:rPr>
                <w:rFonts w:asciiTheme="minorHAnsi" w:eastAsiaTheme="minorHAnsi" w:hAnsiTheme="minorHAnsi" w:cs="Arial"/>
              </w:rPr>
              <w:t>OCS</w:t>
            </w:r>
          </w:p>
        </w:tc>
        <w:tc>
          <w:tcPr>
            <w:tcW w:w="6695" w:type="dxa"/>
          </w:tcPr>
          <w:p w14:paraId="624663D5" w14:textId="4C205C64" w:rsidR="00A4613E" w:rsidRPr="00E93008" w:rsidRDefault="00A4613E" w:rsidP="00A4613E">
            <w:pPr>
              <w:rPr>
                <w:rFonts w:asciiTheme="minorHAnsi" w:eastAsiaTheme="minorHAnsi" w:hAnsiTheme="minorHAnsi" w:cs="Arial"/>
              </w:rPr>
            </w:pPr>
            <w:r w:rsidRPr="00E93008">
              <w:rPr>
                <w:rFonts w:asciiTheme="minorHAnsi" w:eastAsiaTheme="minorHAnsi" w:hAnsiTheme="minorHAnsi" w:cs="Arial"/>
              </w:rPr>
              <w:t>Oral corticosteroid</w:t>
            </w:r>
            <w:r w:rsidR="008F2217">
              <w:rPr>
                <w:rFonts w:asciiTheme="minorHAnsi" w:eastAsiaTheme="minorHAnsi" w:hAnsiTheme="minorHAnsi" w:cs="Arial"/>
              </w:rPr>
              <w:t>(</w:t>
            </w:r>
            <w:r w:rsidRPr="00E93008">
              <w:rPr>
                <w:rFonts w:asciiTheme="minorHAnsi" w:eastAsiaTheme="minorHAnsi" w:hAnsiTheme="minorHAnsi" w:cs="Arial"/>
              </w:rPr>
              <w:t>s</w:t>
            </w:r>
            <w:r w:rsidR="008F2217">
              <w:rPr>
                <w:rFonts w:asciiTheme="minorHAnsi" w:eastAsiaTheme="minorHAnsi" w:hAnsiTheme="minorHAnsi" w:cs="Arial"/>
              </w:rPr>
              <w:t>)</w:t>
            </w:r>
          </w:p>
        </w:tc>
      </w:tr>
      <w:tr w:rsidR="00636CCD" w:rsidRPr="00E93008" w14:paraId="3AF8547E" w14:textId="77777777" w:rsidTr="00636CCD">
        <w:tc>
          <w:tcPr>
            <w:tcW w:w="1799" w:type="dxa"/>
          </w:tcPr>
          <w:p w14:paraId="1F5E6615" w14:textId="77777777" w:rsidR="00636CCD" w:rsidRPr="00E93008" w:rsidRDefault="00B93B68" w:rsidP="00636CCD">
            <w:pPr>
              <w:rPr>
                <w:rFonts w:asciiTheme="minorHAnsi" w:eastAsiaTheme="minorHAnsi" w:hAnsiTheme="minorHAnsi" w:cs="Arial"/>
              </w:rPr>
            </w:pPr>
            <w:r w:rsidRPr="00E93008">
              <w:rPr>
                <w:rFonts w:asciiTheme="minorHAnsi" w:eastAsiaTheme="minorHAnsi" w:hAnsiTheme="minorHAnsi" w:cs="Arial"/>
              </w:rPr>
              <w:t>OD</w:t>
            </w:r>
          </w:p>
        </w:tc>
        <w:tc>
          <w:tcPr>
            <w:tcW w:w="6695" w:type="dxa"/>
          </w:tcPr>
          <w:p w14:paraId="037F053B" w14:textId="77777777" w:rsidR="00636CCD" w:rsidRPr="00E93008" w:rsidRDefault="00A4613E" w:rsidP="00A4613E">
            <w:pPr>
              <w:rPr>
                <w:rFonts w:asciiTheme="minorHAnsi" w:eastAsiaTheme="minorHAnsi" w:hAnsiTheme="minorHAnsi" w:cs="Arial"/>
              </w:rPr>
            </w:pPr>
            <w:r w:rsidRPr="00E93008">
              <w:rPr>
                <w:rFonts w:asciiTheme="minorHAnsi" w:eastAsiaTheme="minorHAnsi" w:hAnsiTheme="minorHAnsi" w:cs="Arial"/>
              </w:rPr>
              <w:t xml:space="preserve">Once </w:t>
            </w:r>
            <w:r w:rsidR="00636CCD" w:rsidRPr="00E93008">
              <w:rPr>
                <w:rFonts w:asciiTheme="minorHAnsi" w:eastAsiaTheme="minorHAnsi" w:hAnsiTheme="minorHAnsi" w:cs="Arial"/>
              </w:rPr>
              <w:t>da</w:t>
            </w:r>
            <w:r w:rsidRPr="00E93008">
              <w:rPr>
                <w:rFonts w:asciiTheme="minorHAnsi" w:eastAsiaTheme="minorHAnsi" w:hAnsiTheme="minorHAnsi" w:cs="Arial"/>
              </w:rPr>
              <w:t>ily</w:t>
            </w:r>
          </w:p>
        </w:tc>
      </w:tr>
      <w:tr w:rsidR="00A4613E" w:rsidRPr="00E93008" w14:paraId="6B5D0B13" w14:textId="77777777" w:rsidTr="00636CCD">
        <w:tc>
          <w:tcPr>
            <w:tcW w:w="1799" w:type="dxa"/>
          </w:tcPr>
          <w:p w14:paraId="63CE381E" w14:textId="77777777" w:rsidR="00A4613E" w:rsidRPr="00E93008" w:rsidRDefault="00F44B19" w:rsidP="00636CCD">
            <w:pPr>
              <w:rPr>
                <w:rFonts w:asciiTheme="minorHAnsi" w:eastAsiaTheme="minorHAnsi" w:hAnsiTheme="minorHAnsi" w:cs="Arial"/>
              </w:rPr>
            </w:pPr>
            <w:r w:rsidRPr="00E93008">
              <w:rPr>
                <w:rFonts w:asciiTheme="minorHAnsi" w:eastAsiaTheme="minorHAnsi" w:hAnsiTheme="minorHAnsi" w:cs="Arial"/>
              </w:rPr>
              <w:t>OIP</w:t>
            </w:r>
          </w:p>
        </w:tc>
        <w:tc>
          <w:tcPr>
            <w:tcW w:w="6695" w:type="dxa"/>
          </w:tcPr>
          <w:p w14:paraId="794BC8A3" w14:textId="700C1390" w:rsidR="00A4613E" w:rsidRPr="00E93008" w:rsidRDefault="00F44B19" w:rsidP="00F44B19">
            <w:pPr>
              <w:rPr>
                <w:rFonts w:asciiTheme="minorHAnsi" w:eastAsiaTheme="minorHAnsi" w:hAnsiTheme="minorHAnsi" w:cs="Arial"/>
              </w:rPr>
            </w:pPr>
            <w:r w:rsidRPr="00E93008">
              <w:rPr>
                <w:rFonts w:asciiTheme="minorHAnsi" w:eastAsiaTheme="minorHAnsi" w:hAnsiTheme="minorHAnsi" w:cs="Arial"/>
              </w:rPr>
              <w:t>Orally inhaled product</w:t>
            </w:r>
          </w:p>
        </w:tc>
      </w:tr>
      <w:tr w:rsidR="005A4FCF" w:rsidRPr="00E93008" w14:paraId="7A114C8B" w14:textId="77777777" w:rsidTr="00636CCD">
        <w:tc>
          <w:tcPr>
            <w:tcW w:w="1799" w:type="dxa"/>
          </w:tcPr>
          <w:p w14:paraId="6B7ECD76" w14:textId="77777777" w:rsidR="005A4FCF" w:rsidRPr="00E93008" w:rsidRDefault="005A4FCF" w:rsidP="00636CCD">
            <w:pPr>
              <w:rPr>
                <w:rFonts w:asciiTheme="minorHAnsi" w:eastAsiaTheme="minorHAnsi" w:hAnsiTheme="minorHAnsi" w:cs="Arial"/>
              </w:rPr>
            </w:pPr>
            <w:r w:rsidRPr="00E93008">
              <w:rPr>
                <w:rFonts w:asciiTheme="minorHAnsi" w:eastAsiaTheme="minorHAnsi" w:hAnsiTheme="minorHAnsi" w:cs="Arial"/>
              </w:rPr>
              <w:t>PBAC</w:t>
            </w:r>
          </w:p>
        </w:tc>
        <w:tc>
          <w:tcPr>
            <w:tcW w:w="6695" w:type="dxa"/>
          </w:tcPr>
          <w:p w14:paraId="7A9D27EB" w14:textId="77777777" w:rsidR="005A4FCF" w:rsidRPr="00E93008" w:rsidRDefault="005A4FCF" w:rsidP="005A4FCF">
            <w:pPr>
              <w:rPr>
                <w:rFonts w:asciiTheme="minorHAnsi" w:eastAsiaTheme="minorHAnsi" w:hAnsiTheme="minorHAnsi" w:cs="Arial"/>
              </w:rPr>
            </w:pPr>
            <w:r w:rsidRPr="00E93008">
              <w:rPr>
                <w:rFonts w:asciiTheme="minorHAnsi" w:eastAsiaTheme="minorHAnsi" w:hAnsiTheme="minorHAnsi" w:cs="Arial"/>
              </w:rPr>
              <w:t>Pharmaceutical Benefits Advisory Committee</w:t>
            </w:r>
          </w:p>
        </w:tc>
      </w:tr>
      <w:tr w:rsidR="00636CCD" w:rsidRPr="00E93008" w14:paraId="15552E9F" w14:textId="77777777" w:rsidTr="00636CCD">
        <w:tc>
          <w:tcPr>
            <w:tcW w:w="1799" w:type="dxa"/>
          </w:tcPr>
          <w:p w14:paraId="04B2592D" w14:textId="77777777" w:rsidR="00636CCD" w:rsidRPr="00E93008" w:rsidRDefault="00636CCD" w:rsidP="00636CCD">
            <w:pPr>
              <w:rPr>
                <w:rFonts w:cs="Arial"/>
                <w:szCs w:val="22"/>
              </w:rPr>
            </w:pPr>
            <w:r w:rsidRPr="00E93008">
              <w:rPr>
                <w:rFonts w:cs="Arial"/>
                <w:szCs w:val="22"/>
              </w:rPr>
              <w:t>PD</w:t>
            </w:r>
          </w:p>
        </w:tc>
        <w:tc>
          <w:tcPr>
            <w:tcW w:w="6695" w:type="dxa"/>
          </w:tcPr>
          <w:p w14:paraId="4913BD62" w14:textId="2527C76C" w:rsidR="00636CCD" w:rsidRPr="00E93008" w:rsidRDefault="00636CCD" w:rsidP="00636CCD">
            <w:pPr>
              <w:rPr>
                <w:rFonts w:cs="Arial"/>
                <w:szCs w:val="22"/>
              </w:rPr>
            </w:pPr>
            <w:r w:rsidRPr="00E93008">
              <w:rPr>
                <w:rFonts w:cs="Arial"/>
                <w:szCs w:val="22"/>
              </w:rPr>
              <w:t>Pharmacodynamic</w:t>
            </w:r>
            <w:r w:rsidR="008F2217">
              <w:rPr>
                <w:rFonts w:cs="Arial"/>
                <w:szCs w:val="22"/>
              </w:rPr>
              <w:t>(s)</w:t>
            </w:r>
          </w:p>
        </w:tc>
      </w:tr>
      <w:tr w:rsidR="000C37D5" w:rsidRPr="00E93008" w14:paraId="072E859F" w14:textId="77777777" w:rsidTr="00636CCD">
        <w:tc>
          <w:tcPr>
            <w:tcW w:w="1799" w:type="dxa"/>
          </w:tcPr>
          <w:p w14:paraId="7FEA5151" w14:textId="77777777" w:rsidR="000C37D5" w:rsidRPr="00E93008" w:rsidRDefault="000C37D5" w:rsidP="00636CCD">
            <w:r w:rsidRPr="00E93008">
              <w:t>PI</w:t>
            </w:r>
          </w:p>
        </w:tc>
        <w:tc>
          <w:tcPr>
            <w:tcW w:w="6695" w:type="dxa"/>
          </w:tcPr>
          <w:p w14:paraId="5B3E7C2C" w14:textId="77777777" w:rsidR="000C37D5" w:rsidRPr="00E93008" w:rsidRDefault="000C37D5" w:rsidP="00636CCD">
            <w:pPr>
              <w:rPr>
                <w:rFonts w:cs="Arial"/>
              </w:rPr>
            </w:pPr>
            <w:r w:rsidRPr="00E93008">
              <w:rPr>
                <w:rFonts w:cs="Arial"/>
              </w:rPr>
              <w:t>Product Information</w:t>
            </w:r>
          </w:p>
        </w:tc>
      </w:tr>
      <w:tr w:rsidR="00636CCD" w:rsidRPr="00E93008" w14:paraId="3C4C1DCF" w14:textId="77777777" w:rsidTr="00636CCD">
        <w:tc>
          <w:tcPr>
            <w:tcW w:w="1799" w:type="dxa"/>
          </w:tcPr>
          <w:p w14:paraId="1EC8CBE0"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PK</w:t>
            </w:r>
          </w:p>
        </w:tc>
        <w:tc>
          <w:tcPr>
            <w:tcW w:w="6695" w:type="dxa"/>
          </w:tcPr>
          <w:p w14:paraId="1842232C" w14:textId="1C9D3AC5" w:rsidR="00636CCD" w:rsidRPr="00E93008" w:rsidRDefault="008F2217" w:rsidP="00636CCD">
            <w:pPr>
              <w:rPr>
                <w:rFonts w:asciiTheme="minorHAnsi" w:eastAsiaTheme="minorHAnsi" w:hAnsiTheme="minorHAnsi" w:cs="Arial"/>
              </w:rPr>
            </w:pPr>
            <w:r w:rsidRPr="00E93008">
              <w:rPr>
                <w:rFonts w:asciiTheme="minorHAnsi" w:eastAsiaTheme="minorHAnsi" w:hAnsiTheme="minorHAnsi" w:cs="Arial"/>
              </w:rPr>
              <w:t>P</w:t>
            </w:r>
            <w:r w:rsidR="0084512E" w:rsidRPr="00E93008">
              <w:rPr>
                <w:rFonts w:asciiTheme="minorHAnsi" w:eastAsiaTheme="minorHAnsi" w:hAnsiTheme="minorHAnsi" w:cs="Arial"/>
              </w:rPr>
              <w:t>harmacokinetic</w:t>
            </w:r>
            <w:r>
              <w:rPr>
                <w:rFonts w:asciiTheme="minorHAnsi" w:eastAsiaTheme="minorHAnsi" w:hAnsiTheme="minorHAnsi" w:cs="Arial"/>
              </w:rPr>
              <w:t>(</w:t>
            </w:r>
            <w:r w:rsidR="003F6B49" w:rsidRPr="00E93008">
              <w:rPr>
                <w:rFonts w:asciiTheme="minorHAnsi" w:eastAsiaTheme="minorHAnsi" w:hAnsiTheme="minorHAnsi" w:cs="Arial"/>
              </w:rPr>
              <w:t>s</w:t>
            </w:r>
            <w:r>
              <w:rPr>
                <w:rFonts w:asciiTheme="minorHAnsi" w:eastAsiaTheme="minorHAnsi" w:hAnsiTheme="minorHAnsi" w:cs="Arial"/>
              </w:rPr>
              <w:t>)</w:t>
            </w:r>
          </w:p>
        </w:tc>
      </w:tr>
      <w:tr w:rsidR="00D45219" w:rsidRPr="00E93008" w14:paraId="28A5D1EB" w14:textId="77777777" w:rsidTr="00636CCD">
        <w:tc>
          <w:tcPr>
            <w:tcW w:w="1799" w:type="dxa"/>
          </w:tcPr>
          <w:p w14:paraId="4F206B56" w14:textId="77777777" w:rsidR="00D45219" w:rsidRPr="00E93008" w:rsidRDefault="00D45219" w:rsidP="0084512E">
            <w:r w:rsidRPr="00E93008">
              <w:rPr>
                <w:rFonts w:cs="TimesNewRoman"/>
              </w:rPr>
              <w:t>PSUR</w:t>
            </w:r>
          </w:p>
        </w:tc>
        <w:tc>
          <w:tcPr>
            <w:tcW w:w="6695" w:type="dxa"/>
          </w:tcPr>
          <w:p w14:paraId="29C2939E" w14:textId="77777777" w:rsidR="00D45219" w:rsidRPr="00E93008" w:rsidRDefault="00D45219" w:rsidP="0084512E">
            <w:pPr>
              <w:rPr>
                <w:rFonts w:cs="TimesNewRoman"/>
              </w:rPr>
            </w:pPr>
            <w:r w:rsidRPr="00E93008">
              <w:rPr>
                <w:rFonts w:cs="TimesNewRoman"/>
              </w:rPr>
              <w:t>Periodic safety update report</w:t>
            </w:r>
          </w:p>
        </w:tc>
      </w:tr>
      <w:tr w:rsidR="00292EB2" w:rsidRPr="00E93008" w14:paraId="1CBE149A" w14:textId="77777777" w:rsidTr="00636CCD">
        <w:tc>
          <w:tcPr>
            <w:tcW w:w="1799" w:type="dxa"/>
          </w:tcPr>
          <w:p w14:paraId="193A48A6" w14:textId="35149069" w:rsidR="00292EB2" w:rsidRPr="00E93008" w:rsidRDefault="00292EB2" w:rsidP="0084512E">
            <w:pPr>
              <w:rPr>
                <w:rFonts w:cs="TimesNewRoman"/>
              </w:rPr>
            </w:pPr>
            <w:r>
              <w:rPr>
                <w:rFonts w:cs="TimesNewRoman"/>
              </w:rPr>
              <w:t>QVM149</w:t>
            </w:r>
          </w:p>
        </w:tc>
        <w:tc>
          <w:tcPr>
            <w:tcW w:w="6695" w:type="dxa"/>
          </w:tcPr>
          <w:p w14:paraId="6C01D10F" w14:textId="0B7F96DA" w:rsidR="00292EB2" w:rsidRPr="00E93008" w:rsidRDefault="00292EB2" w:rsidP="00292EB2">
            <w:pPr>
              <w:rPr>
                <w:rFonts w:cs="TimesNewRoman"/>
              </w:rPr>
            </w:pPr>
            <w:r>
              <w:rPr>
                <w:rFonts w:cs="TimesNewRoman"/>
              </w:rPr>
              <w:t xml:space="preserve">Drug product development code for </w:t>
            </w:r>
            <w:proofErr w:type="spellStart"/>
            <w:r>
              <w:rPr>
                <w:rFonts w:cs="TimesNewRoman"/>
              </w:rPr>
              <w:t>Enerzair</w:t>
            </w:r>
            <w:proofErr w:type="spellEnd"/>
            <w:r>
              <w:rPr>
                <w:rFonts w:cs="TimesNewRoman"/>
              </w:rPr>
              <w:t xml:space="preserve"> Breezhaler</w:t>
            </w:r>
          </w:p>
        </w:tc>
      </w:tr>
      <w:tr w:rsidR="005D2671" w:rsidRPr="00E93008" w14:paraId="1D231E39" w14:textId="77777777" w:rsidTr="00636CCD">
        <w:tc>
          <w:tcPr>
            <w:tcW w:w="1799" w:type="dxa"/>
          </w:tcPr>
          <w:p w14:paraId="7C72DCB7" w14:textId="77777777" w:rsidR="005D2671" w:rsidRPr="00E93008" w:rsidRDefault="005D2671" w:rsidP="00636CCD">
            <w:pPr>
              <w:rPr>
                <w:rFonts w:asciiTheme="minorHAnsi" w:eastAsiaTheme="minorHAnsi" w:hAnsiTheme="minorHAnsi" w:cs="Arial"/>
              </w:rPr>
            </w:pPr>
            <w:r w:rsidRPr="00E93008">
              <w:rPr>
                <w:rFonts w:asciiTheme="minorHAnsi" w:eastAsiaTheme="minorHAnsi" w:hAnsiTheme="minorHAnsi" w:cs="Arial"/>
              </w:rPr>
              <w:t>RCT</w:t>
            </w:r>
          </w:p>
        </w:tc>
        <w:tc>
          <w:tcPr>
            <w:tcW w:w="6695" w:type="dxa"/>
          </w:tcPr>
          <w:p w14:paraId="5D8A4919" w14:textId="77777777" w:rsidR="005D2671" w:rsidRPr="00E93008" w:rsidRDefault="00021D1F" w:rsidP="005D2671">
            <w:pPr>
              <w:rPr>
                <w:rFonts w:asciiTheme="minorHAnsi" w:eastAsiaTheme="minorHAnsi" w:hAnsiTheme="minorHAnsi" w:cs="Arial"/>
              </w:rPr>
            </w:pPr>
            <w:r w:rsidRPr="00E93008">
              <w:rPr>
                <w:rFonts w:asciiTheme="minorHAnsi" w:eastAsiaTheme="minorHAnsi" w:hAnsiTheme="minorHAnsi" w:cs="Arial"/>
              </w:rPr>
              <w:t>Randomis</w:t>
            </w:r>
            <w:r w:rsidR="005D2671" w:rsidRPr="00E93008">
              <w:rPr>
                <w:rFonts w:asciiTheme="minorHAnsi" w:eastAsiaTheme="minorHAnsi" w:hAnsiTheme="minorHAnsi" w:cs="Arial"/>
              </w:rPr>
              <w:t>ed controlled trial</w:t>
            </w:r>
          </w:p>
        </w:tc>
      </w:tr>
      <w:tr w:rsidR="004976EC" w:rsidRPr="00E93008" w14:paraId="1DF27206" w14:textId="77777777" w:rsidTr="00636CCD">
        <w:tc>
          <w:tcPr>
            <w:tcW w:w="1799" w:type="dxa"/>
          </w:tcPr>
          <w:p w14:paraId="674B37E3" w14:textId="77777777" w:rsidR="004976EC" w:rsidRPr="00E93008" w:rsidRDefault="004976EC" w:rsidP="00636CCD">
            <w:pPr>
              <w:rPr>
                <w:rFonts w:asciiTheme="minorHAnsi" w:eastAsiaTheme="minorHAnsi" w:hAnsiTheme="minorHAnsi" w:cs="Arial"/>
              </w:rPr>
            </w:pPr>
            <w:r w:rsidRPr="00E93008">
              <w:rPr>
                <w:rFonts w:asciiTheme="minorHAnsi" w:eastAsiaTheme="minorHAnsi" w:hAnsiTheme="minorHAnsi" w:cs="Arial"/>
              </w:rPr>
              <w:t>RMP</w:t>
            </w:r>
          </w:p>
        </w:tc>
        <w:tc>
          <w:tcPr>
            <w:tcW w:w="6695" w:type="dxa"/>
          </w:tcPr>
          <w:p w14:paraId="4BABEEBC" w14:textId="77777777" w:rsidR="004976EC" w:rsidRPr="00E93008" w:rsidRDefault="004976EC" w:rsidP="005D2671">
            <w:pPr>
              <w:rPr>
                <w:rFonts w:asciiTheme="minorHAnsi" w:eastAsiaTheme="minorHAnsi" w:hAnsiTheme="minorHAnsi" w:cs="Arial"/>
              </w:rPr>
            </w:pPr>
            <w:r w:rsidRPr="00E93008">
              <w:rPr>
                <w:rFonts w:asciiTheme="minorHAnsi" w:eastAsiaTheme="minorHAnsi" w:hAnsiTheme="minorHAnsi" w:cs="Arial"/>
              </w:rPr>
              <w:t>Risk management plan</w:t>
            </w:r>
          </w:p>
        </w:tc>
      </w:tr>
      <w:tr w:rsidR="00935F1C" w:rsidRPr="00E93008" w14:paraId="147FB510" w14:textId="77777777" w:rsidTr="00636CCD">
        <w:tc>
          <w:tcPr>
            <w:tcW w:w="1799" w:type="dxa"/>
          </w:tcPr>
          <w:p w14:paraId="790D0DD8" w14:textId="77777777" w:rsidR="00935F1C" w:rsidRPr="00E93008" w:rsidRDefault="00935F1C" w:rsidP="00636CCD">
            <w:pPr>
              <w:rPr>
                <w:rFonts w:asciiTheme="minorHAnsi" w:eastAsiaTheme="minorHAnsi" w:hAnsiTheme="minorHAnsi" w:cs="Arial"/>
              </w:rPr>
            </w:pPr>
            <w:r w:rsidRPr="00E93008">
              <w:rPr>
                <w:rFonts w:asciiTheme="minorHAnsi" w:eastAsiaTheme="minorHAnsi" w:hAnsiTheme="minorHAnsi" w:cs="Arial"/>
              </w:rPr>
              <w:t>RR</w:t>
            </w:r>
          </w:p>
        </w:tc>
        <w:tc>
          <w:tcPr>
            <w:tcW w:w="6695" w:type="dxa"/>
          </w:tcPr>
          <w:p w14:paraId="04D9041E" w14:textId="77777777" w:rsidR="00935F1C" w:rsidRPr="00E93008" w:rsidRDefault="00022617" w:rsidP="00935F1C">
            <w:pPr>
              <w:rPr>
                <w:rFonts w:asciiTheme="minorHAnsi" w:eastAsiaTheme="minorHAnsi" w:hAnsiTheme="minorHAnsi" w:cs="Arial"/>
              </w:rPr>
            </w:pPr>
            <w:r w:rsidRPr="00E93008">
              <w:rPr>
                <w:rFonts w:asciiTheme="minorHAnsi" w:eastAsiaTheme="minorHAnsi" w:hAnsiTheme="minorHAnsi" w:cs="Arial"/>
              </w:rPr>
              <w:t>Risk ratio</w:t>
            </w:r>
          </w:p>
        </w:tc>
      </w:tr>
      <w:tr w:rsidR="00636CCD" w:rsidRPr="00E93008" w14:paraId="1E33E339" w14:textId="77777777" w:rsidTr="00636CCD">
        <w:tc>
          <w:tcPr>
            <w:tcW w:w="1799" w:type="dxa"/>
          </w:tcPr>
          <w:p w14:paraId="0251E934"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SABA</w:t>
            </w:r>
          </w:p>
        </w:tc>
        <w:tc>
          <w:tcPr>
            <w:tcW w:w="6695" w:type="dxa"/>
          </w:tcPr>
          <w:p w14:paraId="1B6C20D2" w14:textId="5D051934" w:rsidR="00636CCD" w:rsidRPr="00E93008" w:rsidRDefault="00A4613E" w:rsidP="00636CCD">
            <w:pPr>
              <w:rPr>
                <w:rFonts w:asciiTheme="minorHAnsi" w:eastAsiaTheme="minorHAnsi" w:hAnsiTheme="minorHAnsi" w:cs="Arial"/>
              </w:rPr>
            </w:pPr>
            <w:r w:rsidRPr="00E93008">
              <w:rPr>
                <w:rFonts w:asciiTheme="minorHAnsi" w:eastAsiaTheme="minorHAnsi" w:hAnsiTheme="minorHAnsi" w:cs="Arial"/>
              </w:rPr>
              <w:t>Short-acting beta</w:t>
            </w:r>
            <w:r w:rsidR="008F2217">
              <w:rPr>
                <w:rFonts w:asciiTheme="minorHAnsi" w:eastAsiaTheme="minorHAnsi" w:hAnsiTheme="minorHAnsi" w:cs="Arial"/>
              </w:rPr>
              <w:t xml:space="preserve"> </w:t>
            </w:r>
            <w:r w:rsidRPr="00E93008">
              <w:rPr>
                <w:rFonts w:asciiTheme="minorHAnsi" w:eastAsiaTheme="minorHAnsi" w:hAnsiTheme="minorHAnsi" w:cs="Arial"/>
              </w:rPr>
              <w:t>2</w:t>
            </w:r>
            <w:r w:rsidR="008F2217">
              <w:rPr>
                <w:rFonts w:asciiTheme="minorHAnsi" w:eastAsiaTheme="minorHAnsi" w:hAnsiTheme="minorHAnsi" w:cs="Arial"/>
              </w:rPr>
              <w:t xml:space="preserve"> (β</w:t>
            </w:r>
            <w:r w:rsidR="008F2217">
              <w:rPr>
                <w:rFonts w:asciiTheme="minorHAnsi" w:eastAsiaTheme="minorHAnsi" w:hAnsiTheme="minorHAnsi" w:cs="Arial"/>
                <w:vertAlign w:val="subscript"/>
              </w:rPr>
              <w:t>2</w:t>
            </w:r>
            <w:r w:rsidR="008F2217">
              <w:rPr>
                <w:rFonts w:asciiTheme="minorHAnsi" w:eastAsiaTheme="minorHAnsi" w:hAnsiTheme="minorHAnsi" w:cs="Arial"/>
              </w:rPr>
              <w:t>)</w:t>
            </w:r>
            <w:r w:rsidRPr="00E93008">
              <w:rPr>
                <w:rFonts w:asciiTheme="minorHAnsi" w:eastAsiaTheme="minorHAnsi" w:hAnsiTheme="minorHAnsi" w:cs="Arial"/>
              </w:rPr>
              <w:t>agonist</w:t>
            </w:r>
          </w:p>
        </w:tc>
      </w:tr>
      <w:tr w:rsidR="00636CCD" w:rsidRPr="00E93008" w14:paraId="4DAC6254" w14:textId="77777777" w:rsidTr="00636CCD">
        <w:tc>
          <w:tcPr>
            <w:tcW w:w="1799" w:type="dxa"/>
          </w:tcPr>
          <w:p w14:paraId="47A0BE66" w14:textId="77777777" w:rsidR="00636CCD" w:rsidRPr="00E93008" w:rsidRDefault="00022617" w:rsidP="00636CCD">
            <w:pPr>
              <w:rPr>
                <w:rFonts w:asciiTheme="minorHAnsi" w:eastAsiaTheme="minorHAnsi" w:hAnsiTheme="minorHAnsi" w:cs="Arial"/>
              </w:rPr>
            </w:pPr>
            <w:r w:rsidRPr="00E93008">
              <w:rPr>
                <w:rFonts w:asciiTheme="minorHAnsi" w:eastAsiaTheme="minorHAnsi" w:hAnsiTheme="minorHAnsi" w:cs="Arial"/>
              </w:rPr>
              <w:t>SD</w:t>
            </w:r>
          </w:p>
        </w:tc>
        <w:tc>
          <w:tcPr>
            <w:tcW w:w="6695" w:type="dxa"/>
          </w:tcPr>
          <w:p w14:paraId="7CB52DD6" w14:textId="77777777" w:rsidR="00636CCD" w:rsidRPr="00E93008" w:rsidRDefault="00636CCD" w:rsidP="00636CCD">
            <w:pPr>
              <w:rPr>
                <w:rFonts w:asciiTheme="minorHAnsi" w:eastAsiaTheme="minorHAnsi" w:hAnsiTheme="minorHAnsi" w:cs="Arial"/>
              </w:rPr>
            </w:pPr>
            <w:r w:rsidRPr="00E93008">
              <w:rPr>
                <w:rFonts w:asciiTheme="minorHAnsi" w:eastAsiaTheme="minorHAnsi" w:hAnsiTheme="minorHAnsi" w:cs="Arial"/>
              </w:rPr>
              <w:t>Standard deviation</w:t>
            </w:r>
          </w:p>
        </w:tc>
      </w:tr>
      <w:tr w:rsidR="004976EC" w:rsidRPr="00E93008" w14:paraId="10465B03" w14:textId="77777777" w:rsidTr="00636CCD">
        <w:tc>
          <w:tcPr>
            <w:tcW w:w="1799" w:type="dxa"/>
          </w:tcPr>
          <w:p w14:paraId="69450675" w14:textId="77777777" w:rsidR="004976EC" w:rsidRPr="00E93008" w:rsidRDefault="004976EC" w:rsidP="00636CCD">
            <w:pPr>
              <w:rPr>
                <w:rFonts w:asciiTheme="minorHAnsi" w:eastAsiaTheme="minorHAnsi" w:hAnsiTheme="minorHAnsi" w:cs="Arial"/>
              </w:rPr>
            </w:pPr>
            <w:r w:rsidRPr="00E93008">
              <w:rPr>
                <w:rFonts w:asciiTheme="minorHAnsi" w:eastAsiaTheme="minorHAnsi" w:hAnsiTheme="minorHAnsi" w:cs="Arial"/>
              </w:rPr>
              <w:t>TEAE</w:t>
            </w:r>
          </w:p>
        </w:tc>
        <w:tc>
          <w:tcPr>
            <w:tcW w:w="6695" w:type="dxa"/>
          </w:tcPr>
          <w:p w14:paraId="18159D75" w14:textId="77777777" w:rsidR="004976EC" w:rsidRPr="00E93008" w:rsidRDefault="004976EC" w:rsidP="004976EC">
            <w:pPr>
              <w:rPr>
                <w:rFonts w:asciiTheme="minorHAnsi" w:eastAsiaTheme="minorHAnsi" w:hAnsiTheme="minorHAnsi" w:cs="Arial"/>
              </w:rPr>
            </w:pPr>
            <w:r w:rsidRPr="00E93008">
              <w:rPr>
                <w:rFonts w:asciiTheme="minorHAnsi" w:eastAsiaTheme="minorHAnsi" w:hAnsiTheme="minorHAnsi" w:cs="Arial"/>
              </w:rPr>
              <w:t>Treatment emergent adverse even</w:t>
            </w:r>
            <w:r w:rsidR="00022617" w:rsidRPr="00E93008">
              <w:rPr>
                <w:rFonts w:asciiTheme="minorHAnsi" w:eastAsiaTheme="minorHAnsi" w:hAnsiTheme="minorHAnsi" w:cs="Arial"/>
              </w:rPr>
              <w:t>t</w:t>
            </w:r>
          </w:p>
        </w:tc>
      </w:tr>
      <w:tr w:rsidR="00E86D1B" w:rsidRPr="00E93008" w14:paraId="75F5C830" w14:textId="77777777" w:rsidTr="00636CCD">
        <w:tc>
          <w:tcPr>
            <w:tcW w:w="1799" w:type="dxa"/>
          </w:tcPr>
          <w:p w14:paraId="761E3CD5" w14:textId="77777777" w:rsidR="00E86D1B" w:rsidRPr="00E93008" w:rsidRDefault="00E86D1B" w:rsidP="00636CCD">
            <w:pPr>
              <w:rPr>
                <w:rFonts w:asciiTheme="minorHAnsi" w:eastAsiaTheme="minorHAnsi" w:hAnsiTheme="minorHAnsi" w:cs="Arial"/>
              </w:rPr>
            </w:pPr>
            <w:r w:rsidRPr="00E93008">
              <w:rPr>
                <w:rFonts w:asciiTheme="minorHAnsi" w:eastAsiaTheme="minorHAnsi" w:hAnsiTheme="minorHAnsi" w:cs="Arial"/>
              </w:rPr>
              <w:t>TGA</w:t>
            </w:r>
          </w:p>
        </w:tc>
        <w:tc>
          <w:tcPr>
            <w:tcW w:w="6695" w:type="dxa"/>
          </w:tcPr>
          <w:p w14:paraId="0110A0CF" w14:textId="77777777" w:rsidR="00E86D1B" w:rsidRPr="00E93008" w:rsidRDefault="00E86D1B" w:rsidP="00636CCD">
            <w:pPr>
              <w:rPr>
                <w:rFonts w:asciiTheme="minorHAnsi" w:eastAsiaTheme="minorHAnsi" w:hAnsiTheme="minorHAnsi" w:cs="Arial"/>
              </w:rPr>
            </w:pPr>
            <w:r w:rsidRPr="00E93008">
              <w:rPr>
                <w:rFonts w:asciiTheme="minorHAnsi" w:eastAsiaTheme="minorHAnsi" w:hAnsiTheme="minorHAnsi" w:cs="Arial"/>
              </w:rPr>
              <w:t>Therapeutic Goods Administration</w:t>
            </w:r>
          </w:p>
        </w:tc>
      </w:tr>
      <w:tr w:rsidR="00D70ACC" w:rsidRPr="00E93008" w14:paraId="13FE5E88" w14:textId="77777777" w:rsidTr="00636CCD">
        <w:tc>
          <w:tcPr>
            <w:tcW w:w="1799" w:type="dxa"/>
          </w:tcPr>
          <w:p w14:paraId="710DD2F8" w14:textId="77777777" w:rsidR="00D70ACC" w:rsidRPr="00E93008" w:rsidRDefault="00D70ACC" w:rsidP="00636CCD">
            <w:pPr>
              <w:rPr>
                <w:rFonts w:asciiTheme="minorHAnsi" w:eastAsiaTheme="minorHAnsi" w:hAnsiTheme="minorHAnsi" w:cs="Arial"/>
              </w:rPr>
            </w:pPr>
            <w:r w:rsidRPr="00E93008">
              <w:rPr>
                <w:rFonts w:asciiTheme="minorHAnsi" w:eastAsiaTheme="minorHAnsi" w:hAnsiTheme="minorHAnsi" w:cs="Arial"/>
              </w:rPr>
              <w:t>TGO</w:t>
            </w:r>
          </w:p>
        </w:tc>
        <w:tc>
          <w:tcPr>
            <w:tcW w:w="6695" w:type="dxa"/>
          </w:tcPr>
          <w:p w14:paraId="3A63714D" w14:textId="77777777" w:rsidR="00D70ACC" w:rsidRPr="00E93008" w:rsidRDefault="00D70ACC" w:rsidP="00636CCD">
            <w:pPr>
              <w:rPr>
                <w:rFonts w:asciiTheme="minorHAnsi" w:eastAsiaTheme="minorHAnsi" w:hAnsiTheme="minorHAnsi" w:cs="Arial"/>
              </w:rPr>
            </w:pPr>
            <w:r w:rsidRPr="00E93008">
              <w:rPr>
                <w:rFonts w:asciiTheme="minorHAnsi" w:eastAsiaTheme="minorHAnsi" w:hAnsiTheme="minorHAnsi" w:cs="Arial"/>
              </w:rPr>
              <w:t>Therapeutic Goods Order</w:t>
            </w:r>
          </w:p>
        </w:tc>
      </w:tr>
    </w:tbl>
    <w:p w14:paraId="18FB7E31" w14:textId="77777777" w:rsidR="008E7846" w:rsidRPr="00E93008" w:rsidRDefault="00F53C07" w:rsidP="008E7846">
      <w:pPr>
        <w:pStyle w:val="Heading2"/>
      </w:pPr>
      <w:bookmarkStart w:id="9" w:name="_Toc69998851"/>
      <w:r w:rsidRPr="00E93008">
        <w:t>I.</w:t>
      </w:r>
      <w:r w:rsidR="008E7846" w:rsidRPr="00E93008">
        <w:t xml:space="preserve"> Introduction to product submission</w:t>
      </w:r>
      <w:bookmarkEnd w:id="3"/>
      <w:bookmarkEnd w:id="0"/>
      <w:bookmarkEnd w:id="9"/>
    </w:p>
    <w:p w14:paraId="0324D27B" w14:textId="77777777" w:rsidR="008E7846" w:rsidRPr="00E93008" w:rsidRDefault="008E7846" w:rsidP="008E7846">
      <w:pPr>
        <w:pStyle w:val="Heading3"/>
        <w:rPr>
          <w:lang w:eastAsia="en-AU"/>
        </w:rPr>
      </w:pPr>
      <w:bookmarkStart w:id="10" w:name="_Toc247691502"/>
      <w:bookmarkStart w:id="11" w:name="_Toc314842483"/>
      <w:bookmarkStart w:id="12" w:name="_Toc69998852"/>
      <w:r w:rsidRPr="00E93008">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E93008" w14:paraId="6E1FE0AA" w14:textId="77777777" w:rsidTr="003735BC">
        <w:tc>
          <w:tcPr>
            <w:tcW w:w="2907" w:type="dxa"/>
          </w:tcPr>
          <w:p w14:paraId="36AB7766" w14:textId="77777777" w:rsidR="008E7846" w:rsidRPr="00E93008" w:rsidRDefault="001B5C90" w:rsidP="001B5C90">
            <w:pPr>
              <w:rPr>
                <w:i/>
              </w:rPr>
            </w:pPr>
            <w:r w:rsidRPr="00E93008">
              <w:rPr>
                <w:i/>
              </w:rPr>
              <w:t>Type of s</w:t>
            </w:r>
            <w:r w:rsidR="008E7846" w:rsidRPr="00E93008">
              <w:rPr>
                <w:i/>
              </w:rPr>
              <w:t>ubmission</w:t>
            </w:r>
            <w:r w:rsidRPr="00E93008">
              <w:rPr>
                <w:i/>
              </w:rPr>
              <w:t>:</w:t>
            </w:r>
          </w:p>
        </w:tc>
        <w:tc>
          <w:tcPr>
            <w:tcW w:w="6307" w:type="dxa"/>
          </w:tcPr>
          <w:p w14:paraId="6B105F2B" w14:textId="77777777" w:rsidR="008E7846" w:rsidRPr="00E93008" w:rsidRDefault="00361C2C" w:rsidP="00D1745D">
            <w:r w:rsidRPr="00E93008">
              <w:t>New combination of active ingredients</w:t>
            </w:r>
          </w:p>
        </w:tc>
      </w:tr>
      <w:tr w:rsidR="00460036" w:rsidRPr="00E93008" w14:paraId="075A48D5" w14:textId="77777777" w:rsidTr="003735BC">
        <w:tc>
          <w:tcPr>
            <w:tcW w:w="2907" w:type="dxa"/>
          </w:tcPr>
          <w:p w14:paraId="57FAD743" w14:textId="0A45DD4B" w:rsidR="00460036" w:rsidRPr="00E93008" w:rsidRDefault="009A77B4" w:rsidP="003D1E62">
            <w:pPr>
              <w:rPr>
                <w:i/>
              </w:rPr>
            </w:pPr>
            <w:r w:rsidRPr="00E93008">
              <w:rPr>
                <w:i/>
              </w:rPr>
              <w:t>Product name</w:t>
            </w:r>
            <w:r w:rsidR="00460036" w:rsidRPr="00E93008">
              <w:rPr>
                <w:i/>
              </w:rPr>
              <w:t>:</w:t>
            </w:r>
          </w:p>
        </w:tc>
        <w:tc>
          <w:tcPr>
            <w:tcW w:w="6307" w:type="dxa"/>
          </w:tcPr>
          <w:p w14:paraId="4D2108C5" w14:textId="77777777" w:rsidR="00DE471C" w:rsidRPr="00E93008" w:rsidRDefault="00796811" w:rsidP="00796811">
            <w:proofErr w:type="spellStart"/>
            <w:r w:rsidRPr="00E93008">
              <w:t>Enerzair</w:t>
            </w:r>
            <w:proofErr w:type="spellEnd"/>
            <w:r w:rsidRPr="00E93008">
              <w:t xml:space="preserve"> Breezhaler</w:t>
            </w:r>
          </w:p>
        </w:tc>
      </w:tr>
      <w:tr w:rsidR="00460036" w:rsidRPr="00E93008" w14:paraId="7C1BD47B" w14:textId="77777777" w:rsidTr="003735BC">
        <w:tc>
          <w:tcPr>
            <w:tcW w:w="2907" w:type="dxa"/>
          </w:tcPr>
          <w:p w14:paraId="2DA8CFFF" w14:textId="77777777" w:rsidR="00460036" w:rsidRPr="00E93008" w:rsidRDefault="009A77B4" w:rsidP="003D1E62">
            <w:pPr>
              <w:rPr>
                <w:i/>
              </w:rPr>
            </w:pPr>
            <w:r w:rsidRPr="00E93008">
              <w:rPr>
                <w:i/>
              </w:rPr>
              <w:t>Active ingredients</w:t>
            </w:r>
            <w:r w:rsidR="00460036" w:rsidRPr="00E93008">
              <w:rPr>
                <w:i/>
              </w:rPr>
              <w:t>:</w:t>
            </w:r>
          </w:p>
        </w:tc>
        <w:tc>
          <w:tcPr>
            <w:tcW w:w="6307" w:type="dxa"/>
          </w:tcPr>
          <w:p w14:paraId="40404174" w14:textId="7B589E9C" w:rsidR="00460036" w:rsidRPr="00E93008" w:rsidRDefault="00CA5E51" w:rsidP="00D1745D">
            <w:r w:rsidRPr="00E93008">
              <w:t xml:space="preserve">Indacaterol </w:t>
            </w:r>
            <w:r w:rsidR="002C7857" w:rsidRPr="00E93008">
              <w:t xml:space="preserve">(as </w:t>
            </w:r>
            <w:r w:rsidRPr="00E93008">
              <w:t>acetate</w:t>
            </w:r>
            <w:r w:rsidR="002C7857" w:rsidRPr="00E93008">
              <w:t>)</w:t>
            </w:r>
            <w:r w:rsidR="00DC1F36">
              <w:t xml:space="preserve"> </w:t>
            </w:r>
            <w:r w:rsidR="005B0B3F" w:rsidRPr="00E93008">
              <w:t>/</w:t>
            </w:r>
            <w:r w:rsidR="00DC1F36">
              <w:t xml:space="preserve"> </w:t>
            </w:r>
            <w:r w:rsidRPr="00E93008">
              <w:t>g</w:t>
            </w:r>
            <w:r w:rsidR="00DE471C" w:rsidRPr="00E93008">
              <w:t xml:space="preserve">lycopyrronium </w:t>
            </w:r>
            <w:r w:rsidR="002C7857" w:rsidRPr="00E93008">
              <w:t xml:space="preserve">(as </w:t>
            </w:r>
            <w:r w:rsidR="00DE471C" w:rsidRPr="00E93008">
              <w:t>bromide</w:t>
            </w:r>
            <w:r w:rsidR="002C7857" w:rsidRPr="00E93008">
              <w:t>)</w:t>
            </w:r>
            <w:r w:rsidR="00DE471C" w:rsidRPr="00E93008">
              <w:t xml:space="preserve"> (</w:t>
            </w:r>
            <w:proofErr w:type="spellStart"/>
            <w:r w:rsidR="00DE471C" w:rsidRPr="00E93008">
              <w:t>glycopyrrolate</w:t>
            </w:r>
            <w:proofErr w:type="spellEnd"/>
            <w:r w:rsidR="00DE471C" w:rsidRPr="00E93008">
              <w:t>)</w:t>
            </w:r>
            <w:r w:rsidR="00DC1F36">
              <w:t xml:space="preserve"> </w:t>
            </w:r>
            <w:r w:rsidR="005B0B3F" w:rsidRPr="00E93008">
              <w:t>/</w:t>
            </w:r>
            <w:r w:rsidR="00DC1F36">
              <w:t xml:space="preserve"> </w:t>
            </w:r>
            <w:r w:rsidR="00DE471C" w:rsidRPr="00E93008">
              <w:t>mometasone furoate</w:t>
            </w:r>
          </w:p>
        </w:tc>
      </w:tr>
      <w:tr w:rsidR="008E7846" w:rsidRPr="00E93008" w14:paraId="59408414" w14:textId="77777777" w:rsidTr="003735BC">
        <w:tc>
          <w:tcPr>
            <w:tcW w:w="2907" w:type="dxa"/>
          </w:tcPr>
          <w:p w14:paraId="52B36E9D" w14:textId="77777777" w:rsidR="008E7846" w:rsidRPr="00E93008" w:rsidRDefault="008E7846" w:rsidP="003D1E62">
            <w:r w:rsidRPr="00E93008">
              <w:rPr>
                <w:i/>
              </w:rPr>
              <w:t>Decision</w:t>
            </w:r>
            <w:r w:rsidRPr="00E93008">
              <w:t>:</w:t>
            </w:r>
          </w:p>
        </w:tc>
        <w:tc>
          <w:tcPr>
            <w:tcW w:w="6307" w:type="dxa"/>
          </w:tcPr>
          <w:p w14:paraId="48A767A8" w14:textId="77777777" w:rsidR="008E7846" w:rsidRPr="00E93008" w:rsidRDefault="00361C2C" w:rsidP="00D1745D">
            <w:r w:rsidRPr="00E93008">
              <w:t>Approved</w:t>
            </w:r>
          </w:p>
        </w:tc>
      </w:tr>
      <w:tr w:rsidR="008E7846" w:rsidRPr="00E93008" w14:paraId="5DA2CE3A" w14:textId="77777777" w:rsidTr="003735BC">
        <w:tc>
          <w:tcPr>
            <w:tcW w:w="2907" w:type="dxa"/>
          </w:tcPr>
          <w:p w14:paraId="1B17CA43" w14:textId="77777777" w:rsidR="008E7846" w:rsidRPr="00E93008" w:rsidRDefault="008E7846" w:rsidP="001B5C90">
            <w:pPr>
              <w:rPr>
                <w:i/>
              </w:rPr>
            </w:pPr>
            <w:r w:rsidRPr="00E93008">
              <w:rPr>
                <w:i/>
              </w:rPr>
              <w:t xml:space="preserve">Date of </w:t>
            </w:r>
            <w:r w:rsidR="001B5C90" w:rsidRPr="00E93008">
              <w:rPr>
                <w:i/>
              </w:rPr>
              <w:t>d</w:t>
            </w:r>
            <w:r w:rsidRPr="00E93008">
              <w:rPr>
                <w:i/>
              </w:rPr>
              <w:t>ecision:</w:t>
            </w:r>
          </w:p>
        </w:tc>
        <w:tc>
          <w:tcPr>
            <w:tcW w:w="6307" w:type="dxa"/>
          </w:tcPr>
          <w:p w14:paraId="7AB71B64" w14:textId="77777777" w:rsidR="008E7846" w:rsidRPr="00E93008" w:rsidRDefault="00361C2C" w:rsidP="00D1745D">
            <w:r w:rsidRPr="00E93008">
              <w:t>9 October 2020</w:t>
            </w:r>
          </w:p>
        </w:tc>
      </w:tr>
      <w:tr w:rsidR="00ED2922" w:rsidRPr="00E93008" w14:paraId="5F772672" w14:textId="77777777" w:rsidTr="003735BC">
        <w:tc>
          <w:tcPr>
            <w:tcW w:w="2907" w:type="dxa"/>
          </w:tcPr>
          <w:p w14:paraId="49CE6D7F" w14:textId="77777777" w:rsidR="00ED2922" w:rsidRPr="00E93008" w:rsidRDefault="00ED2922" w:rsidP="002C7857">
            <w:pPr>
              <w:rPr>
                <w:i/>
              </w:rPr>
            </w:pPr>
            <w:r w:rsidRPr="00E93008">
              <w:rPr>
                <w:i/>
              </w:rPr>
              <w:t>Date of entry onto ARTG</w:t>
            </w:r>
            <w:r w:rsidR="00500337" w:rsidRPr="00E93008">
              <w:rPr>
                <w:i/>
              </w:rPr>
              <w:t>:</w:t>
            </w:r>
          </w:p>
        </w:tc>
        <w:tc>
          <w:tcPr>
            <w:tcW w:w="6307" w:type="dxa"/>
          </w:tcPr>
          <w:p w14:paraId="0F4B8698" w14:textId="77777777" w:rsidR="00ED2922" w:rsidRPr="00E93008" w:rsidRDefault="00DE471C" w:rsidP="00D1745D">
            <w:r w:rsidRPr="00E93008">
              <w:t>20 October 2020</w:t>
            </w:r>
          </w:p>
        </w:tc>
      </w:tr>
      <w:tr w:rsidR="00500337" w:rsidRPr="00E93008" w14:paraId="4B10B111" w14:textId="77777777" w:rsidTr="003735BC">
        <w:tc>
          <w:tcPr>
            <w:tcW w:w="2907" w:type="dxa"/>
          </w:tcPr>
          <w:p w14:paraId="790ACA36" w14:textId="77777777" w:rsidR="00500337" w:rsidRPr="00E93008" w:rsidRDefault="00500337" w:rsidP="009A77B4">
            <w:pPr>
              <w:rPr>
                <w:i/>
              </w:rPr>
            </w:pPr>
            <w:r w:rsidRPr="00E93008">
              <w:rPr>
                <w:i/>
              </w:rPr>
              <w:t>ARTG number</w:t>
            </w:r>
            <w:r w:rsidR="009A77B4" w:rsidRPr="00E93008">
              <w:rPr>
                <w:i/>
              </w:rPr>
              <w:t>s</w:t>
            </w:r>
            <w:r w:rsidRPr="00E93008">
              <w:rPr>
                <w:i/>
              </w:rPr>
              <w:t>:</w:t>
            </w:r>
          </w:p>
        </w:tc>
        <w:tc>
          <w:tcPr>
            <w:tcW w:w="6307" w:type="dxa"/>
          </w:tcPr>
          <w:p w14:paraId="2DFC81EA" w14:textId="77777777" w:rsidR="00500337" w:rsidRPr="00E93008" w:rsidRDefault="00DE471C" w:rsidP="00D1745D">
            <w:r w:rsidRPr="00E93008">
              <w:t>319002, 319001</w:t>
            </w:r>
          </w:p>
        </w:tc>
      </w:tr>
      <w:tr w:rsidR="003735BC" w:rsidRPr="00E93008" w14:paraId="0A1005B0" w14:textId="77777777" w:rsidTr="003735BC">
        <w:tc>
          <w:tcPr>
            <w:tcW w:w="2907" w:type="dxa"/>
          </w:tcPr>
          <w:p w14:paraId="5A65C8D1" w14:textId="77777777" w:rsidR="003735BC" w:rsidRPr="00E93008" w:rsidRDefault="00FA5069" w:rsidP="001B5C90">
            <w:pPr>
              <w:rPr>
                <w:i/>
              </w:rPr>
            </w:pPr>
            <w:r w:rsidRPr="00E93008">
              <w:rPr>
                <w:rFonts w:ascii="Wingdings 3" w:hAnsi="Wingdings 3"/>
                <w:sz w:val="34"/>
                <w:szCs w:val="34"/>
                <w:lang w:eastAsia="en-AU"/>
              </w:rPr>
              <w:t></w:t>
            </w:r>
            <w:r w:rsidR="003735BC" w:rsidRPr="00E93008">
              <w:rPr>
                <w:i/>
              </w:rPr>
              <w:t>Black Triangle Scheme</w:t>
            </w:r>
            <w:r w:rsidR="004C4FBE" w:rsidRPr="00E93008">
              <w:rPr>
                <w:i/>
              </w:rPr>
              <w:t>:</w:t>
            </w:r>
            <w:r w:rsidR="00460036" w:rsidRPr="00E93008">
              <w:rPr>
                <w:rStyle w:val="FootnoteReference"/>
                <w:i/>
              </w:rPr>
              <w:footnoteReference w:id="2"/>
            </w:r>
          </w:p>
        </w:tc>
        <w:tc>
          <w:tcPr>
            <w:tcW w:w="6307" w:type="dxa"/>
          </w:tcPr>
          <w:p w14:paraId="0DD5EC7F" w14:textId="77777777" w:rsidR="003735BC" w:rsidRPr="00E93008" w:rsidRDefault="00DE471C" w:rsidP="00D1745D">
            <w:r w:rsidRPr="00E93008">
              <w:t>Yes</w:t>
            </w:r>
          </w:p>
          <w:p w14:paraId="62DE6D32" w14:textId="77777777" w:rsidR="003735BC" w:rsidRPr="00E93008" w:rsidRDefault="003735BC" w:rsidP="00D1745D">
            <w:r w:rsidRPr="00E93008">
              <w:t xml:space="preserve">This product will remain in the scheme for 5 years, starting on the date the product is first supplied in </w:t>
            </w:r>
            <w:r w:rsidR="00462441" w:rsidRPr="00E93008">
              <w:t>Australia</w:t>
            </w:r>
            <w:r w:rsidR="00757E9E" w:rsidRPr="00E93008">
              <w:t>.</w:t>
            </w:r>
          </w:p>
        </w:tc>
      </w:tr>
      <w:tr w:rsidR="008E7846" w:rsidRPr="00E93008" w14:paraId="0108F11D" w14:textId="77777777" w:rsidTr="00BF1190">
        <w:tc>
          <w:tcPr>
            <w:tcW w:w="2907" w:type="dxa"/>
          </w:tcPr>
          <w:p w14:paraId="23B6E158" w14:textId="77777777" w:rsidR="008E7846" w:rsidRPr="00E93008" w:rsidRDefault="008E7846" w:rsidP="001B5C90">
            <w:pPr>
              <w:rPr>
                <w:i/>
              </w:rPr>
            </w:pPr>
            <w:r w:rsidRPr="00E93008">
              <w:rPr>
                <w:i/>
              </w:rPr>
              <w:t xml:space="preserve">Sponsor’s </w:t>
            </w:r>
            <w:r w:rsidR="001B5C90" w:rsidRPr="00E93008">
              <w:rPr>
                <w:i/>
              </w:rPr>
              <w:t>n</w:t>
            </w:r>
            <w:r w:rsidRPr="00E93008">
              <w:rPr>
                <w:i/>
              </w:rPr>
              <w:t xml:space="preserve">ame and </w:t>
            </w:r>
            <w:r w:rsidR="001B5C90" w:rsidRPr="00E93008">
              <w:rPr>
                <w:i/>
              </w:rPr>
              <w:t>a</w:t>
            </w:r>
            <w:r w:rsidRPr="00E93008">
              <w:rPr>
                <w:i/>
              </w:rPr>
              <w:t>ddress:</w:t>
            </w:r>
          </w:p>
        </w:tc>
        <w:tc>
          <w:tcPr>
            <w:tcW w:w="6307" w:type="dxa"/>
          </w:tcPr>
          <w:p w14:paraId="39EFAD7C" w14:textId="77777777" w:rsidR="009A77B4" w:rsidRPr="00E93008" w:rsidRDefault="009A77B4" w:rsidP="00D1745D">
            <w:r w:rsidRPr="00E93008">
              <w:t>Novartis Pharmaceuticals Australia Pty Ltd</w:t>
            </w:r>
          </w:p>
          <w:p w14:paraId="3ADF3095" w14:textId="77777777" w:rsidR="009A77B4" w:rsidRPr="00E93008" w:rsidRDefault="009A77B4" w:rsidP="00D1745D">
            <w:r w:rsidRPr="00E93008">
              <w:t>PO Box 101</w:t>
            </w:r>
          </w:p>
          <w:p w14:paraId="1F57A95C" w14:textId="77777777" w:rsidR="008E7846" w:rsidRPr="00E93008" w:rsidRDefault="009A77B4" w:rsidP="00D1745D">
            <w:r w:rsidRPr="00E93008">
              <w:t>North Ryde NSW 1670</w:t>
            </w:r>
          </w:p>
        </w:tc>
      </w:tr>
      <w:tr w:rsidR="008E7846" w:rsidRPr="00E93008" w14:paraId="61EAF9B7" w14:textId="77777777" w:rsidTr="00BF1190">
        <w:tc>
          <w:tcPr>
            <w:tcW w:w="2907" w:type="dxa"/>
          </w:tcPr>
          <w:p w14:paraId="4F168BF9" w14:textId="77777777" w:rsidR="008E7846" w:rsidRPr="00E93008" w:rsidRDefault="001B5C90" w:rsidP="009A77B4">
            <w:pPr>
              <w:rPr>
                <w:i/>
              </w:rPr>
            </w:pPr>
            <w:r w:rsidRPr="00E93008">
              <w:rPr>
                <w:i/>
              </w:rPr>
              <w:t>Dose form:</w:t>
            </w:r>
          </w:p>
        </w:tc>
        <w:tc>
          <w:tcPr>
            <w:tcW w:w="6307" w:type="dxa"/>
          </w:tcPr>
          <w:p w14:paraId="2F04B044" w14:textId="77777777" w:rsidR="008E7846" w:rsidRPr="00E93008" w:rsidRDefault="00996D02" w:rsidP="00ED51A8">
            <w:r w:rsidRPr="00E93008">
              <w:t>I</w:t>
            </w:r>
            <w:r w:rsidR="00D1745D" w:rsidRPr="00E93008">
              <w:t>nhalation powder</w:t>
            </w:r>
            <w:r w:rsidR="00ED51A8" w:rsidRPr="00E93008">
              <w:t xml:space="preserve"> in</w:t>
            </w:r>
            <w:r w:rsidRPr="00E93008">
              <w:t xml:space="preserve"> hard capsule</w:t>
            </w:r>
          </w:p>
        </w:tc>
      </w:tr>
      <w:tr w:rsidR="008E7846" w:rsidRPr="00E93008" w14:paraId="71EF861E" w14:textId="77777777" w:rsidTr="00BF1190">
        <w:tc>
          <w:tcPr>
            <w:tcW w:w="2907" w:type="dxa"/>
          </w:tcPr>
          <w:p w14:paraId="0E7AD998" w14:textId="77777777" w:rsidR="008E7846" w:rsidRPr="00E93008" w:rsidRDefault="009A77B4" w:rsidP="009A77B4">
            <w:pPr>
              <w:rPr>
                <w:i/>
              </w:rPr>
            </w:pPr>
            <w:r w:rsidRPr="00E93008">
              <w:rPr>
                <w:i/>
              </w:rPr>
              <w:t>Strength</w:t>
            </w:r>
            <w:r w:rsidR="008E7846" w:rsidRPr="00E93008">
              <w:rPr>
                <w:i/>
              </w:rPr>
              <w:t xml:space="preserve">s: </w:t>
            </w:r>
          </w:p>
        </w:tc>
        <w:tc>
          <w:tcPr>
            <w:tcW w:w="6307" w:type="dxa"/>
          </w:tcPr>
          <w:p w14:paraId="19FA5637" w14:textId="00CB27B7" w:rsidR="00AB2997" w:rsidRPr="00E93008" w:rsidRDefault="00BE343B" w:rsidP="00D1745D">
            <w:r w:rsidRPr="00E93008">
              <w:t xml:space="preserve">Fixed dose combination of </w:t>
            </w:r>
            <w:r w:rsidR="00715A0A" w:rsidRPr="00E93008">
              <w:t>150</w:t>
            </w:r>
            <w:r w:rsidR="00AB2997" w:rsidRPr="00E93008">
              <w:t xml:space="preserve"> </w:t>
            </w:r>
            <w:r w:rsidR="005B0B3F" w:rsidRPr="00E93008">
              <w:t>µ</w:t>
            </w:r>
            <w:r w:rsidR="00AB2997" w:rsidRPr="00E93008">
              <w:t>g indacatero</w:t>
            </w:r>
            <w:r w:rsidR="00757E9E" w:rsidRPr="00E93008">
              <w:t>l</w:t>
            </w:r>
            <w:r w:rsidRPr="00E93008">
              <w:t xml:space="preserve">, </w:t>
            </w:r>
            <w:r w:rsidR="00D1745D" w:rsidRPr="00E93008">
              <w:t>50</w:t>
            </w:r>
            <w:r w:rsidR="008F2217">
              <w:t> </w:t>
            </w:r>
            <w:r w:rsidR="00D1745D" w:rsidRPr="00E93008">
              <w:t>µg</w:t>
            </w:r>
            <w:r w:rsidR="008F2217">
              <w:t> </w:t>
            </w:r>
            <w:r w:rsidR="00757E9E" w:rsidRPr="00E93008">
              <w:t>glycopyrronium</w:t>
            </w:r>
            <w:r w:rsidR="00ED6017">
              <w:t xml:space="preserve"> and</w:t>
            </w:r>
            <w:r w:rsidRPr="00E93008">
              <w:t xml:space="preserve"> </w:t>
            </w:r>
            <w:r w:rsidR="00AB2997" w:rsidRPr="00E93008">
              <w:t>8</w:t>
            </w:r>
            <w:r w:rsidR="00715A0A" w:rsidRPr="00E93008">
              <w:t>0</w:t>
            </w:r>
            <w:r w:rsidR="00AB2997" w:rsidRPr="00E93008">
              <w:t xml:space="preserve"> </w:t>
            </w:r>
            <w:r w:rsidR="005B0B3F" w:rsidRPr="00E93008">
              <w:t>µ</w:t>
            </w:r>
            <w:r w:rsidR="009A77B4" w:rsidRPr="00E93008">
              <w:t>g mometasone furoate</w:t>
            </w:r>
            <w:r w:rsidR="004B58C5">
              <w:t xml:space="preserve"> (delivered dose of </w:t>
            </w:r>
            <w:r w:rsidR="004B58C5" w:rsidRPr="00E93008">
              <w:t>114 µg indacaterol (as acetate)</w:t>
            </w:r>
            <w:r w:rsidR="00796380">
              <w:t xml:space="preserve">, </w:t>
            </w:r>
            <w:r w:rsidR="004B58C5" w:rsidRPr="00E93008">
              <w:t>46</w:t>
            </w:r>
            <w:r w:rsidR="008F2217">
              <w:t> </w:t>
            </w:r>
            <w:r w:rsidR="004B58C5" w:rsidRPr="00E93008">
              <w:t>µg</w:t>
            </w:r>
            <w:r w:rsidR="008F2217">
              <w:t> </w:t>
            </w:r>
            <w:r w:rsidR="004B58C5" w:rsidRPr="00E93008">
              <w:t>glycopyrronium (as bromide)</w:t>
            </w:r>
            <w:r w:rsidR="00796380">
              <w:t xml:space="preserve"> </w:t>
            </w:r>
            <w:r w:rsidR="00ED6017">
              <w:t xml:space="preserve">and </w:t>
            </w:r>
            <w:r w:rsidR="004B58C5" w:rsidRPr="00E93008">
              <w:t>68 µg mometasone furoate</w:t>
            </w:r>
            <w:r w:rsidR="004B58C5">
              <w:t>)</w:t>
            </w:r>
          </w:p>
          <w:p w14:paraId="33CA4616" w14:textId="4FBADA44" w:rsidR="008E7846" w:rsidRPr="00E93008" w:rsidRDefault="00BE343B" w:rsidP="00796380">
            <w:r w:rsidRPr="00E93008">
              <w:t xml:space="preserve">Fixed dose combination of </w:t>
            </w:r>
            <w:r w:rsidR="005B0B3F" w:rsidRPr="00E93008">
              <w:t>150 µ</w:t>
            </w:r>
            <w:r w:rsidR="00757E9E" w:rsidRPr="00E93008">
              <w:t>g indacaterol</w:t>
            </w:r>
            <w:r w:rsidRPr="00E93008">
              <w:t xml:space="preserve">, </w:t>
            </w:r>
            <w:r w:rsidR="00757E9E" w:rsidRPr="00E93008">
              <w:t>50</w:t>
            </w:r>
            <w:r w:rsidR="008F2217">
              <w:t> </w:t>
            </w:r>
            <w:r w:rsidR="00757E9E" w:rsidRPr="00E93008">
              <w:t>µg</w:t>
            </w:r>
            <w:r w:rsidR="008F2217">
              <w:t> </w:t>
            </w:r>
            <w:r w:rsidR="00757E9E" w:rsidRPr="00E93008">
              <w:t>glycopyrronium</w:t>
            </w:r>
            <w:r w:rsidR="00ED6017">
              <w:t xml:space="preserve"> and</w:t>
            </w:r>
            <w:r w:rsidRPr="00E93008">
              <w:t xml:space="preserve"> </w:t>
            </w:r>
            <w:r w:rsidR="00715A0A" w:rsidRPr="00E93008">
              <w:t>160</w:t>
            </w:r>
            <w:r w:rsidR="00AB2997" w:rsidRPr="00E93008">
              <w:t xml:space="preserve"> </w:t>
            </w:r>
            <w:r w:rsidR="005B0B3F" w:rsidRPr="00E93008">
              <w:t>µ</w:t>
            </w:r>
            <w:r w:rsidR="00ED2EE5" w:rsidRPr="00E93008">
              <w:t>g mometasone furoate</w:t>
            </w:r>
            <w:r w:rsidR="004B58C5">
              <w:t xml:space="preserve"> (delivered dose of </w:t>
            </w:r>
            <w:r w:rsidR="004B58C5" w:rsidRPr="00E93008">
              <w:t xml:space="preserve">114 </w:t>
            </w:r>
            <w:r w:rsidR="0044584F" w:rsidRPr="00E93008">
              <w:t xml:space="preserve">µg </w:t>
            </w:r>
            <w:r w:rsidR="004B58C5" w:rsidRPr="00E93008">
              <w:t>indacaterol (as acetate)</w:t>
            </w:r>
            <w:r w:rsidR="00796380">
              <w:t xml:space="preserve">, </w:t>
            </w:r>
            <w:r w:rsidR="004B58C5" w:rsidRPr="00E93008">
              <w:t>46</w:t>
            </w:r>
            <w:r w:rsidR="008F2217">
              <w:t> </w:t>
            </w:r>
            <w:r w:rsidR="004B58C5" w:rsidRPr="00E93008">
              <w:t>µg</w:t>
            </w:r>
            <w:r w:rsidR="008F2217">
              <w:t> </w:t>
            </w:r>
            <w:r w:rsidR="004B58C5" w:rsidRPr="00E93008">
              <w:t>glycopyrronium (as bromide)</w:t>
            </w:r>
            <w:r w:rsidR="00796380">
              <w:t xml:space="preserve"> and</w:t>
            </w:r>
            <w:r w:rsidR="00E12040">
              <w:t xml:space="preserve"> </w:t>
            </w:r>
            <w:r w:rsidR="004B58C5" w:rsidRPr="00E93008">
              <w:t>136 µg mometasone furoate</w:t>
            </w:r>
            <w:r w:rsidR="004B58C5">
              <w:t>)</w:t>
            </w:r>
          </w:p>
        </w:tc>
      </w:tr>
      <w:tr w:rsidR="008E7846" w:rsidRPr="00E93008" w14:paraId="345E1187" w14:textId="77777777" w:rsidTr="00BF1190">
        <w:tc>
          <w:tcPr>
            <w:tcW w:w="2907" w:type="dxa"/>
          </w:tcPr>
          <w:p w14:paraId="0CF91BB9" w14:textId="77777777" w:rsidR="008E7846" w:rsidRPr="00E93008" w:rsidRDefault="00D1745D" w:rsidP="00D1745D">
            <w:pPr>
              <w:rPr>
                <w:i/>
              </w:rPr>
            </w:pPr>
            <w:r w:rsidRPr="00E93008">
              <w:rPr>
                <w:i/>
              </w:rPr>
              <w:t>Container</w:t>
            </w:r>
            <w:r w:rsidR="008E7846" w:rsidRPr="00E93008">
              <w:rPr>
                <w:i/>
              </w:rPr>
              <w:t>:</w:t>
            </w:r>
          </w:p>
        </w:tc>
        <w:tc>
          <w:tcPr>
            <w:tcW w:w="6307" w:type="dxa"/>
          </w:tcPr>
          <w:p w14:paraId="4BA92E32" w14:textId="77777777" w:rsidR="008E7846" w:rsidRPr="00E93008" w:rsidRDefault="00D1745D" w:rsidP="00D1745D">
            <w:r w:rsidRPr="00E93008">
              <w:t>Blister p</w:t>
            </w:r>
            <w:r w:rsidR="00996D02" w:rsidRPr="00E93008">
              <w:t>ack</w:t>
            </w:r>
          </w:p>
        </w:tc>
      </w:tr>
      <w:tr w:rsidR="008E7846" w:rsidRPr="00E93008" w14:paraId="48E7AEDB" w14:textId="77777777" w:rsidTr="002C2F38">
        <w:trPr>
          <w:trHeight w:val="1107"/>
        </w:trPr>
        <w:tc>
          <w:tcPr>
            <w:tcW w:w="2907" w:type="dxa"/>
          </w:tcPr>
          <w:p w14:paraId="17D327F6" w14:textId="77777777" w:rsidR="008E7846" w:rsidRPr="00E93008" w:rsidRDefault="008E7846" w:rsidP="00D1745D">
            <w:pPr>
              <w:rPr>
                <w:i/>
              </w:rPr>
            </w:pPr>
            <w:r w:rsidRPr="00E93008">
              <w:rPr>
                <w:i/>
              </w:rPr>
              <w:t>Pack sizes:</w:t>
            </w:r>
          </w:p>
        </w:tc>
        <w:tc>
          <w:tcPr>
            <w:tcW w:w="6307" w:type="dxa"/>
          </w:tcPr>
          <w:p w14:paraId="1AB0B986" w14:textId="77777777" w:rsidR="00D1745D" w:rsidRPr="00E93008" w:rsidRDefault="00AD2CA9" w:rsidP="00757E9E">
            <w:r w:rsidRPr="00E93008">
              <w:t>T</w:t>
            </w:r>
            <w:r w:rsidR="00757E9E" w:rsidRPr="00E93008">
              <w:t>en</w:t>
            </w:r>
            <w:r w:rsidR="00D1745D" w:rsidRPr="00E93008">
              <w:t xml:space="preserve"> </w:t>
            </w:r>
            <w:proofErr w:type="spellStart"/>
            <w:r w:rsidR="00D1745D" w:rsidRPr="00E93008">
              <w:t>En</w:t>
            </w:r>
            <w:r w:rsidR="00757E9E" w:rsidRPr="00E93008">
              <w:t>erzair</w:t>
            </w:r>
            <w:proofErr w:type="spellEnd"/>
            <w:r w:rsidR="00757E9E" w:rsidRPr="00E93008">
              <w:t xml:space="preserve"> capsules, with one Breezhaler inhaler</w:t>
            </w:r>
          </w:p>
          <w:p w14:paraId="08CA0327" w14:textId="77777777" w:rsidR="00996D02" w:rsidRPr="00E93008" w:rsidRDefault="00AD2CA9" w:rsidP="00AD2CA9">
            <w:r w:rsidRPr="00E93008">
              <w:t xml:space="preserve">30 </w:t>
            </w:r>
            <w:proofErr w:type="spellStart"/>
            <w:r w:rsidRPr="00E93008">
              <w:t>Enerzair</w:t>
            </w:r>
            <w:proofErr w:type="spellEnd"/>
            <w:r w:rsidRPr="00E93008">
              <w:t xml:space="preserve"> capsules, </w:t>
            </w:r>
            <w:r w:rsidR="00757E9E" w:rsidRPr="00E93008">
              <w:t>with one Breezhaler inhaler</w:t>
            </w:r>
          </w:p>
        </w:tc>
      </w:tr>
      <w:tr w:rsidR="008E7846" w:rsidRPr="00E93008" w14:paraId="1D5A61E0" w14:textId="77777777" w:rsidTr="00BF1190">
        <w:tc>
          <w:tcPr>
            <w:tcW w:w="2907" w:type="dxa"/>
          </w:tcPr>
          <w:p w14:paraId="7B2BF088" w14:textId="77777777" w:rsidR="008E7846" w:rsidRPr="00E93008" w:rsidRDefault="008E7846" w:rsidP="001B5C90">
            <w:pPr>
              <w:rPr>
                <w:i/>
              </w:rPr>
            </w:pPr>
            <w:r w:rsidRPr="00E93008">
              <w:rPr>
                <w:i/>
              </w:rPr>
              <w:t xml:space="preserve">Approved </w:t>
            </w:r>
            <w:r w:rsidR="001B5C90" w:rsidRPr="00E93008">
              <w:rPr>
                <w:i/>
              </w:rPr>
              <w:t>t</w:t>
            </w:r>
            <w:r w:rsidRPr="00E93008">
              <w:rPr>
                <w:i/>
              </w:rPr>
              <w:t>herapeutic use:</w:t>
            </w:r>
          </w:p>
        </w:tc>
        <w:tc>
          <w:tcPr>
            <w:tcW w:w="6307" w:type="dxa"/>
          </w:tcPr>
          <w:p w14:paraId="5FB77D9A" w14:textId="77777777" w:rsidR="008E7846" w:rsidRPr="00E93008" w:rsidRDefault="005337DF" w:rsidP="00757E9E">
            <w:pPr>
              <w:rPr>
                <w:i/>
              </w:rPr>
            </w:pPr>
            <w:proofErr w:type="spellStart"/>
            <w:r w:rsidRPr="00E93008">
              <w:rPr>
                <w:i/>
              </w:rPr>
              <w:t>Enerzair</w:t>
            </w:r>
            <w:proofErr w:type="spellEnd"/>
            <w:r w:rsidRPr="00E93008">
              <w:rPr>
                <w:i/>
              </w:rPr>
              <w:t xml:space="preserve"> Breezhaler is indicated as a maintenance treatment of asthma in adult patients not adequately controlled with a maintenance combination of a long-acting beta2-agonist and an inhaled corticosteroid who experienced one or more asthma exacerbations in the previous year.</w:t>
            </w:r>
          </w:p>
        </w:tc>
      </w:tr>
      <w:tr w:rsidR="008E7846" w:rsidRPr="00E93008" w14:paraId="58875389" w14:textId="77777777" w:rsidTr="00BF1190">
        <w:tc>
          <w:tcPr>
            <w:tcW w:w="2907" w:type="dxa"/>
          </w:tcPr>
          <w:p w14:paraId="2F699B8D" w14:textId="77777777" w:rsidR="008E7846" w:rsidRPr="00E93008" w:rsidRDefault="007445FD" w:rsidP="007445FD">
            <w:pPr>
              <w:rPr>
                <w:i/>
              </w:rPr>
            </w:pPr>
            <w:r w:rsidRPr="00E93008">
              <w:rPr>
                <w:i/>
              </w:rPr>
              <w:t>Route</w:t>
            </w:r>
            <w:r w:rsidR="008E7846" w:rsidRPr="00E93008">
              <w:rPr>
                <w:i/>
              </w:rPr>
              <w:t xml:space="preserve"> of administration:</w:t>
            </w:r>
          </w:p>
        </w:tc>
        <w:tc>
          <w:tcPr>
            <w:tcW w:w="6307" w:type="dxa"/>
          </w:tcPr>
          <w:p w14:paraId="01814D83" w14:textId="77777777" w:rsidR="008E7846" w:rsidRPr="00E93008" w:rsidRDefault="00345C69" w:rsidP="007445FD">
            <w:r w:rsidRPr="00E93008">
              <w:t>Inhalation</w:t>
            </w:r>
          </w:p>
        </w:tc>
      </w:tr>
      <w:tr w:rsidR="008E7846" w:rsidRPr="00E93008" w14:paraId="79CE93FC" w14:textId="77777777" w:rsidTr="00BF1190">
        <w:tc>
          <w:tcPr>
            <w:tcW w:w="2907" w:type="dxa"/>
          </w:tcPr>
          <w:p w14:paraId="5A9C8A68" w14:textId="77777777" w:rsidR="008E7846" w:rsidRPr="00E93008" w:rsidRDefault="008E7846" w:rsidP="00E45619">
            <w:pPr>
              <w:rPr>
                <w:i/>
              </w:rPr>
            </w:pPr>
            <w:r w:rsidRPr="00E93008">
              <w:rPr>
                <w:i/>
              </w:rPr>
              <w:t>Dosage:</w:t>
            </w:r>
          </w:p>
        </w:tc>
        <w:tc>
          <w:tcPr>
            <w:tcW w:w="6307" w:type="dxa"/>
          </w:tcPr>
          <w:p w14:paraId="4276A2B4" w14:textId="77777777" w:rsidR="00345C69" w:rsidRPr="00E93008" w:rsidRDefault="00345C69" w:rsidP="00CE4546">
            <w:pPr>
              <w:rPr>
                <w:b/>
              </w:rPr>
            </w:pPr>
            <w:r w:rsidRPr="00E93008">
              <w:rPr>
                <w:b/>
              </w:rPr>
              <w:t>Adult patients</w:t>
            </w:r>
          </w:p>
          <w:p w14:paraId="5C4CB4F2" w14:textId="7C9C20C6" w:rsidR="004B58C5" w:rsidRDefault="00345C69" w:rsidP="00CE4546">
            <w:r w:rsidRPr="00E93008">
              <w:t xml:space="preserve">Inhalation of the content of one capsule of </w:t>
            </w:r>
            <w:proofErr w:type="spellStart"/>
            <w:r w:rsidRPr="00E93008">
              <w:t>Enerzair</w:t>
            </w:r>
            <w:proofErr w:type="spellEnd"/>
            <w:r w:rsidRPr="00E93008">
              <w:t xml:space="preserve"> Breezhaler</w:t>
            </w:r>
            <w:r w:rsidR="005F5986">
              <w:t xml:space="preserve">, delivering </w:t>
            </w:r>
            <w:r w:rsidRPr="00E93008">
              <w:t>114</w:t>
            </w:r>
            <w:r w:rsidR="00627BFA" w:rsidRPr="00E93008">
              <w:t xml:space="preserve"> µg indacaterol (as acetate)</w:t>
            </w:r>
            <w:r w:rsidRPr="00E93008">
              <w:t>/46</w:t>
            </w:r>
            <w:r w:rsidR="00627BFA" w:rsidRPr="00E93008">
              <w:t xml:space="preserve"> µg glycopyrronium (as bromide)</w:t>
            </w:r>
            <w:r w:rsidRPr="00E93008">
              <w:t xml:space="preserve">/68 </w:t>
            </w:r>
            <w:r w:rsidR="00D9756A" w:rsidRPr="00E93008">
              <w:t>µg</w:t>
            </w:r>
            <w:r w:rsidR="00627BFA" w:rsidRPr="00E93008">
              <w:t xml:space="preserve"> mometasone furoate</w:t>
            </w:r>
            <w:r w:rsidRPr="00E93008">
              <w:t xml:space="preserve"> </w:t>
            </w:r>
          </w:p>
          <w:p w14:paraId="05C694CA" w14:textId="0337006D" w:rsidR="00345C69" w:rsidRPr="00E93008" w:rsidRDefault="00345C69" w:rsidP="00CE4546">
            <w:r w:rsidRPr="00E93008">
              <w:t>or 114</w:t>
            </w:r>
            <w:r w:rsidR="00E12040">
              <w:t xml:space="preserve"> </w:t>
            </w:r>
            <w:r w:rsidR="00E12040" w:rsidRPr="00E93008">
              <w:t>µg</w:t>
            </w:r>
            <w:r w:rsidR="00627BFA" w:rsidRPr="00E93008">
              <w:t xml:space="preserve"> indacaterol (as acetate)</w:t>
            </w:r>
            <w:r w:rsidRPr="00E93008">
              <w:t>/46</w:t>
            </w:r>
            <w:r w:rsidR="00627BFA" w:rsidRPr="00E93008">
              <w:t xml:space="preserve"> µg glycopyrronium (as bromide)</w:t>
            </w:r>
            <w:r w:rsidRPr="00E93008">
              <w:t xml:space="preserve">/136 </w:t>
            </w:r>
            <w:r w:rsidR="00D9756A" w:rsidRPr="00E93008">
              <w:t>µg</w:t>
            </w:r>
            <w:r w:rsidR="007445FD" w:rsidRPr="00E93008">
              <w:t xml:space="preserve"> </w:t>
            </w:r>
            <w:r w:rsidR="005350FB" w:rsidRPr="00E93008">
              <w:t xml:space="preserve"> mometasone furoate </w:t>
            </w:r>
            <w:r w:rsidR="007445FD" w:rsidRPr="00E93008">
              <w:t xml:space="preserve">once </w:t>
            </w:r>
            <w:r w:rsidRPr="00E93008">
              <w:t>daily</w:t>
            </w:r>
            <w:r w:rsidR="00B93B68" w:rsidRPr="00E93008">
              <w:t xml:space="preserve"> (OD</w:t>
            </w:r>
            <w:r w:rsidR="00A4613E" w:rsidRPr="00E93008">
              <w:t>)</w:t>
            </w:r>
            <w:r w:rsidRPr="00E93008">
              <w:t xml:space="preserve"> is the recommended dose.</w:t>
            </w:r>
          </w:p>
          <w:p w14:paraId="2E46B9F0" w14:textId="77777777" w:rsidR="00345C69" w:rsidRPr="00E93008" w:rsidRDefault="00345C69" w:rsidP="00CE4546">
            <w:r w:rsidRPr="00E93008">
              <w:t>The maximum recommended dose</w:t>
            </w:r>
            <w:r w:rsidR="004B58C5">
              <w:t xml:space="preserve"> (delivered dose)</w:t>
            </w:r>
            <w:r w:rsidRPr="00E93008">
              <w:t xml:space="preserve"> is </w:t>
            </w:r>
            <w:proofErr w:type="spellStart"/>
            <w:r w:rsidRPr="00E93008">
              <w:t>Enerzair</w:t>
            </w:r>
            <w:proofErr w:type="spellEnd"/>
            <w:r w:rsidRPr="00E93008">
              <w:t xml:space="preserve"> Breezhaler 114/46/136 </w:t>
            </w:r>
            <w:r w:rsidR="00D9756A" w:rsidRPr="00E93008">
              <w:t>µ</w:t>
            </w:r>
            <w:r w:rsidR="007445FD" w:rsidRPr="00E93008">
              <w:t>g</w:t>
            </w:r>
            <w:r w:rsidRPr="00E93008">
              <w:t xml:space="preserve"> </w:t>
            </w:r>
            <w:r w:rsidR="00B93B68" w:rsidRPr="00E93008">
              <w:t>OD</w:t>
            </w:r>
            <w:r w:rsidRPr="00E93008">
              <w:t>.</w:t>
            </w:r>
          </w:p>
          <w:p w14:paraId="6A57FAA3" w14:textId="77777777" w:rsidR="00345C69" w:rsidRPr="00E93008" w:rsidRDefault="00345C69" w:rsidP="00CE4546">
            <w:r w:rsidRPr="00E93008">
              <w:t xml:space="preserve">Patients should be prescribed </w:t>
            </w:r>
            <w:proofErr w:type="spellStart"/>
            <w:r w:rsidRPr="00E93008">
              <w:t>Enerzair</w:t>
            </w:r>
            <w:proofErr w:type="spellEnd"/>
            <w:r w:rsidRPr="00E93008">
              <w:t xml:space="preserve"> Breezhaler containing the appropriate dosage of mometasone furoate for the severity of their disease. Treatment should be based </w:t>
            </w:r>
            <w:r w:rsidR="007445FD" w:rsidRPr="00E93008">
              <w:t xml:space="preserve">on individual patient's benefit </w:t>
            </w:r>
            <w:r w:rsidRPr="00E93008">
              <w:t>risk assessment and regularly reassess</w:t>
            </w:r>
            <w:r w:rsidR="008C0886" w:rsidRPr="00E93008">
              <w:t>ed by a healthcare professional.</w:t>
            </w:r>
          </w:p>
          <w:p w14:paraId="4C371FDF" w14:textId="77777777" w:rsidR="00460036" w:rsidRPr="00E93008" w:rsidRDefault="00460036" w:rsidP="00E062DD">
            <w:r w:rsidRPr="00E93008">
              <w:t xml:space="preserve">For further information regarding dosage, refer to the </w:t>
            </w:r>
            <w:r w:rsidR="008C0886" w:rsidRPr="00E93008">
              <w:t>Product Information (</w:t>
            </w:r>
            <w:r w:rsidR="00E062DD" w:rsidRPr="00E93008">
              <w:t>PI</w:t>
            </w:r>
            <w:r w:rsidR="008C0886" w:rsidRPr="00E93008">
              <w:t>)</w:t>
            </w:r>
            <w:r w:rsidRPr="00E93008">
              <w:t>.</w:t>
            </w:r>
          </w:p>
        </w:tc>
      </w:tr>
      <w:tr w:rsidR="00460036" w:rsidRPr="00E93008" w14:paraId="0EC3058F" w14:textId="77777777" w:rsidTr="00BF1190">
        <w:tc>
          <w:tcPr>
            <w:tcW w:w="2907" w:type="dxa"/>
          </w:tcPr>
          <w:p w14:paraId="051032EC" w14:textId="77777777" w:rsidR="00460036" w:rsidRPr="00E93008" w:rsidRDefault="00460036" w:rsidP="00E45619">
            <w:pPr>
              <w:rPr>
                <w:i/>
              </w:rPr>
            </w:pPr>
            <w:r w:rsidRPr="00E93008">
              <w:rPr>
                <w:i/>
              </w:rPr>
              <w:t>Pregnancy category:</w:t>
            </w:r>
          </w:p>
        </w:tc>
        <w:tc>
          <w:tcPr>
            <w:tcW w:w="6307" w:type="dxa"/>
          </w:tcPr>
          <w:p w14:paraId="597E2B53" w14:textId="77777777" w:rsidR="00345C69" w:rsidRPr="00E93008" w:rsidRDefault="00345C69" w:rsidP="00F81A04">
            <w:r w:rsidRPr="00E93008">
              <w:t>B3</w:t>
            </w:r>
          </w:p>
          <w:p w14:paraId="5850F3B4" w14:textId="77777777" w:rsidR="00345C69" w:rsidRPr="00E93008" w:rsidRDefault="00345C69" w:rsidP="00F81A04">
            <w:r w:rsidRPr="00E93008">
              <w:t>Drugs which have been taken by only a limited number of pregnant women and women of childbearing age, without an increase in the frequency of malformation or other direct or indirect harmful effects on the human fetus having been observed.</w:t>
            </w:r>
          </w:p>
          <w:p w14:paraId="34A23774" w14:textId="77777777" w:rsidR="00345C69" w:rsidRPr="00E93008" w:rsidRDefault="00345C69" w:rsidP="00F81A04">
            <w:r w:rsidRPr="00E93008">
              <w:t>Studies in animals have shown evidence of an increased occurrence of fetal damage, the significance of which is considered uncertain in humans.</w:t>
            </w:r>
          </w:p>
          <w:p w14:paraId="4E3628AB" w14:textId="77777777" w:rsidR="00460036" w:rsidRPr="00E93008" w:rsidRDefault="00460036" w:rsidP="00E86D1B">
            <w:r w:rsidRPr="00E93008">
              <w:t xml:space="preserve">The use of any medicine during pregnancy requires careful consideration of both risks and benefits by the treating health professional. This must not be used as the sole basis of decision making in the use of medicines during pregnancy. The </w:t>
            </w:r>
            <w:r w:rsidR="00E86D1B" w:rsidRPr="00E93008">
              <w:t>Therapeutic Goods Administration (</w:t>
            </w:r>
            <w:r w:rsidRPr="00E93008">
              <w:t>TGA</w:t>
            </w:r>
            <w:r w:rsidR="00E86D1B" w:rsidRPr="00E93008">
              <w:t>)</w:t>
            </w:r>
            <w:r w:rsidRPr="00E93008">
              <w:t xml:space="preserve"> does not provide advice on the use of medicines in pregnancy for specific cases. More information is available from obstetric drug information services in your State or Territory.</w:t>
            </w:r>
          </w:p>
        </w:tc>
      </w:tr>
    </w:tbl>
    <w:p w14:paraId="6AB905D4" w14:textId="77777777" w:rsidR="008E7846" w:rsidRPr="00E93008" w:rsidRDefault="008E7846" w:rsidP="002C2F38">
      <w:pPr>
        <w:pStyle w:val="Heading3"/>
        <w:pageBreakBefore/>
      </w:pPr>
      <w:bookmarkStart w:id="13" w:name="_Toc247691503"/>
      <w:bookmarkStart w:id="14" w:name="_Toc314842484"/>
      <w:bookmarkStart w:id="15" w:name="_Toc69998853"/>
      <w:r w:rsidRPr="00E93008">
        <w:t>Product background</w:t>
      </w:r>
      <w:bookmarkEnd w:id="13"/>
      <w:bookmarkEnd w:id="14"/>
      <w:bookmarkEnd w:id="15"/>
    </w:p>
    <w:p w14:paraId="57218FC6" w14:textId="4AB30C59" w:rsidR="008E7846" w:rsidRPr="00E93008" w:rsidRDefault="00250271" w:rsidP="00AA2D53">
      <w:r w:rsidRPr="00E93008">
        <w:t xml:space="preserve">This AusPAR describes the application by </w:t>
      </w:r>
      <w:r w:rsidR="00CA5E51" w:rsidRPr="00E93008">
        <w:t xml:space="preserve">Novartis Pharmaceuticals Australia Pty Ltd (the sponsor) to register </w:t>
      </w:r>
      <w:proofErr w:type="spellStart"/>
      <w:r w:rsidR="00CA5E51" w:rsidRPr="00E93008">
        <w:t>Enerzair</w:t>
      </w:r>
      <w:proofErr w:type="spellEnd"/>
      <w:r w:rsidR="00CA5E51" w:rsidRPr="00E93008">
        <w:t xml:space="preserve"> Breezhaler </w:t>
      </w:r>
      <w:r w:rsidRPr="00E93008">
        <w:t>(</w:t>
      </w:r>
      <w:r w:rsidR="00CA5E51" w:rsidRPr="00E93008">
        <w:t>i</w:t>
      </w:r>
      <w:r w:rsidR="006A6EB7" w:rsidRPr="00E93008">
        <w:t xml:space="preserve">ndacaterol </w:t>
      </w:r>
      <w:r w:rsidR="00492015" w:rsidRPr="00E93008">
        <w:t xml:space="preserve">(as </w:t>
      </w:r>
      <w:r w:rsidR="006A6EB7" w:rsidRPr="00E93008">
        <w:t>acetate</w:t>
      </w:r>
      <w:r w:rsidR="00492015" w:rsidRPr="00E93008">
        <w:t>)</w:t>
      </w:r>
      <w:r w:rsidR="006A6EB7" w:rsidRPr="00E93008">
        <w:t>/</w:t>
      </w:r>
      <w:r w:rsidR="00CA5E51" w:rsidRPr="00E93008">
        <w:t>glycopyr</w:t>
      </w:r>
      <w:r w:rsidR="006A6EB7" w:rsidRPr="00E93008">
        <w:t xml:space="preserve">ronium </w:t>
      </w:r>
      <w:r w:rsidR="00492015" w:rsidRPr="00E93008">
        <w:t xml:space="preserve">(as </w:t>
      </w:r>
      <w:r w:rsidR="006A6EB7" w:rsidRPr="00E93008">
        <w:t>bromide</w:t>
      </w:r>
      <w:r w:rsidR="00492015" w:rsidRPr="00E93008">
        <w:t>)</w:t>
      </w:r>
      <w:r w:rsidR="006A6EB7" w:rsidRPr="00E93008">
        <w:t xml:space="preserve"> (</w:t>
      </w:r>
      <w:proofErr w:type="spellStart"/>
      <w:r w:rsidR="006A6EB7" w:rsidRPr="00E93008">
        <w:t>glycopyrrolate</w:t>
      </w:r>
      <w:proofErr w:type="spellEnd"/>
      <w:r w:rsidR="006A6EB7" w:rsidRPr="00E93008">
        <w:t>)/</w:t>
      </w:r>
      <w:r w:rsidR="00CA5E51" w:rsidRPr="00E93008">
        <w:t>mometasone furoate</w:t>
      </w:r>
      <w:r w:rsidRPr="00E93008">
        <w:t xml:space="preserve">) </w:t>
      </w:r>
      <w:r w:rsidR="000A06C4" w:rsidRPr="00E93008">
        <w:t xml:space="preserve">150 </w:t>
      </w:r>
      <w:r w:rsidR="00D9756A" w:rsidRPr="00E93008">
        <w:t>µ</w:t>
      </w:r>
      <w:r w:rsidR="006A6EB7" w:rsidRPr="00E93008">
        <w:t>g</w:t>
      </w:r>
      <w:r w:rsidR="000A06C4" w:rsidRPr="00E93008">
        <w:t xml:space="preserve">/50 </w:t>
      </w:r>
      <w:r w:rsidR="00D9756A" w:rsidRPr="00E93008">
        <w:t>µ</w:t>
      </w:r>
      <w:r w:rsidR="00ED51A8" w:rsidRPr="00E93008">
        <w:t>g</w:t>
      </w:r>
      <w:r w:rsidR="00CA5E51" w:rsidRPr="00E93008">
        <w:t xml:space="preserve">/80 </w:t>
      </w:r>
      <w:r w:rsidR="00D9756A" w:rsidRPr="00E93008">
        <w:t>µ</w:t>
      </w:r>
      <w:r w:rsidR="00ED51A8" w:rsidRPr="00E93008">
        <w:t>g</w:t>
      </w:r>
      <w:r w:rsidR="00DD534D">
        <w:t xml:space="preserve"> (delivered dose </w:t>
      </w:r>
      <w:r w:rsidR="00DD534D" w:rsidRPr="00E93008">
        <w:t>114</w:t>
      </w:r>
      <w:r w:rsidR="00E12040">
        <w:t> </w:t>
      </w:r>
      <w:r w:rsidR="00DD534D" w:rsidRPr="00E93008">
        <w:t>µg/46</w:t>
      </w:r>
      <w:r w:rsidR="00DD534D">
        <w:t xml:space="preserve"> µg</w:t>
      </w:r>
      <w:r w:rsidR="00DD534D" w:rsidRPr="00E93008">
        <w:t>/68 µg</w:t>
      </w:r>
      <w:r w:rsidR="00DD534D">
        <w:t>)</w:t>
      </w:r>
      <w:r w:rsidR="00ED51A8" w:rsidRPr="00E93008">
        <w:t>;</w:t>
      </w:r>
      <w:r w:rsidR="00CA5E51" w:rsidRPr="00E93008">
        <w:t xml:space="preserve"> 150 </w:t>
      </w:r>
      <w:r w:rsidR="00D9756A" w:rsidRPr="00E93008">
        <w:t>µ</w:t>
      </w:r>
      <w:r w:rsidR="00ED51A8" w:rsidRPr="00E93008">
        <w:t>g</w:t>
      </w:r>
      <w:r w:rsidR="00CA5E51" w:rsidRPr="00E93008">
        <w:t xml:space="preserve">/50 </w:t>
      </w:r>
      <w:r w:rsidR="00D9756A" w:rsidRPr="00E93008">
        <w:t>µ</w:t>
      </w:r>
      <w:r w:rsidR="00ED51A8" w:rsidRPr="00E93008">
        <w:t>g</w:t>
      </w:r>
      <w:r w:rsidR="00CA5E51" w:rsidRPr="00E93008">
        <w:t xml:space="preserve">/160 </w:t>
      </w:r>
      <w:r w:rsidR="00D9756A" w:rsidRPr="00E93008">
        <w:t>µ</w:t>
      </w:r>
      <w:r w:rsidR="00ED51A8" w:rsidRPr="00E93008">
        <w:t xml:space="preserve">g </w:t>
      </w:r>
      <w:r w:rsidR="00DD534D">
        <w:t xml:space="preserve">(delivered dose </w:t>
      </w:r>
      <w:r w:rsidR="00DD534D" w:rsidRPr="00E93008">
        <w:t>114 µg/46</w:t>
      </w:r>
      <w:r w:rsidR="00DD534D">
        <w:t xml:space="preserve"> µg</w:t>
      </w:r>
      <w:r w:rsidR="00DD534D" w:rsidRPr="00E93008">
        <w:t>/</w:t>
      </w:r>
      <w:r w:rsidR="00DD534D">
        <w:t>136</w:t>
      </w:r>
      <w:r w:rsidR="00DD534D" w:rsidRPr="00E93008">
        <w:t xml:space="preserve"> µg</w:t>
      </w:r>
      <w:r w:rsidR="00DD534D">
        <w:t xml:space="preserve">) </w:t>
      </w:r>
      <w:r w:rsidR="00CA5E51" w:rsidRPr="00E93008">
        <w:t>in</w:t>
      </w:r>
      <w:r w:rsidR="00ED51A8" w:rsidRPr="00E93008">
        <w:t>halation powder in</w:t>
      </w:r>
      <w:r w:rsidR="00CA5E51" w:rsidRPr="00E93008">
        <w:t xml:space="preserve"> hard capsule</w:t>
      </w:r>
      <w:r w:rsidRPr="00E93008">
        <w:t xml:space="preserve"> for the following proposed indication</w:t>
      </w:r>
      <w:r w:rsidR="00CF5DAD" w:rsidRPr="00E93008">
        <w:t>:</w:t>
      </w:r>
    </w:p>
    <w:p w14:paraId="3D957F23" w14:textId="77777777" w:rsidR="006E5C9B" w:rsidRPr="00E93008" w:rsidRDefault="00E86D1B" w:rsidP="006E5C9B">
      <w:pPr>
        <w:ind w:left="720"/>
        <w:rPr>
          <w:i/>
        </w:rPr>
      </w:pPr>
      <w:proofErr w:type="spellStart"/>
      <w:r w:rsidRPr="00E93008">
        <w:rPr>
          <w:i/>
        </w:rPr>
        <w:t>Enerzair</w:t>
      </w:r>
      <w:proofErr w:type="spellEnd"/>
      <w:r w:rsidRPr="00E93008">
        <w:rPr>
          <w:i/>
        </w:rPr>
        <w:t xml:space="preserve"> Breezhaler </w:t>
      </w:r>
      <w:r w:rsidR="006E5C9B" w:rsidRPr="00E93008">
        <w:rPr>
          <w:i/>
        </w:rPr>
        <w:t>is indicated as a once-daily maintenance treatment of asthma, and to reduce asthma exacerbations, in patients not adequately controlled with a maintenance combination of a long-acting beta2-agonist and an inhaled corticosteroid.</w:t>
      </w:r>
    </w:p>
    <w:p w14:paraId="2B3B443F" w14:textId="258AE81B" w:rsidR="00632836" w:rsidRPr="00E93008" w:rsidRDefault="00632836" w:rsidP="00DE277A">
      <w:r w:rsidRPr="00E93008">
        <w:t xml:space="preserve">Asthma is a chronic inflammatory disorder of the airways caused by the interaction of genetic and environmental factors. It is characterised by variable and recurring symptoms, airflow obstruction, bronchial </w:t>
      </w:r>
      <w:proofErr w:type="spellStart"/>
      <w:r w:rsidRPr="00E93008">
        <w:t>hyperresponsiveness</w:t>
      </w:r>
      <w:proofErr w:type="spellEnd"/>
      <w:r w:rsidRPr="00E93008">
        <w:t xml:space="preserve"> and underlying inflammation. </w:t>
      </w:r>
      <w:r w:rsidR="00B31E90" w:rsidRPr="00E93008">
        <w:t>Clinical characteristics and treatment response of asthmatics are heterogeneous.</w:t>
      </w:r>
      <w:r w:rsidR="00B31E90" w:rsidRPr="00E93008">
        <w:rPr>
          <w:rStyle w:val="FootnoteReference"/>
        </w:rPr>
        <w:footnoteReference w:id="3"/>
      </w:r>
      <w:r w:rsidR="00B31E90" w:rsidRPr="00826ED5">
        <w:rPr>
          <w:vertAlign w:val="superscript"/>
        </w:rPr>
        <w:t>,</w:t>
      </w:r>
      <w:bookmarkStart w:id="16" w:name="_Ref61508221"/>
      <w:r w:rsidR="00B31E90" w:rsidRPr="00E93008">
        <w:rPr>
          <w:rStyle w:val="FootnoteReference"/>
        </w:rPr>
        <w:footnoteReference w:id="4"/>
      </w:r>
      <w:bookmarkEnd w:id="16"/>
      <w:r w:rsidRPr="00E93008">
        <w:t xml:space="preserve"> In older patients, there may be substantial overlap with features of chronic obstructive </w:t>
      </w:r>
      <w:r w:rsidR="00787FCB" w:rsidRPr="00E93008">
        <w:rPr>
          <w:rFonts w:asciiTheme="minorHAnsi" w:eastAsiaTheme="minorHAnsi" w:hAnsiTheme="minorHAnsi" w:cs="Arial"/>
        </w:rPr>
        <w:t xml:space="preserve">pulmonary </w:t>
      </w:r>
      <w:r w:rsidRPr="00E93008">
        <w:t>disease (COPD) and patients with asthma</w:t>
      </w:r>
      <w:r w:rsidR="00C14489" w:rsidRPr="00E93008">
        <w:t xml:space="preserve"> </w:t>
      </w:r>
      <w:r w:rsidRPr="00E93008">
        <w:t>COPD overlap are at higher risk of exacerbations and complications.</w:t>
      </w:r>
      <w:r w:rsidR="004E5AB9" w:rsidRPr="00E93008">
        <w:t xml:space="preserve"> </w:t>
      </w:r>
      <w:r w:rsidR="00C14489" w:rsidRPr="00E93008">
        <w:t xml:space="preserve">In Australia, one </w:t>
      </w:r>
      <w:r w:rsidR="00C97F51" w:rsidRPr="00E93008">
        <w:t>in nine Australians have asthma</w:t>
      </w:r>
      <w:r w:rsidR="00C14489" w:rsidRPr="00E93008">
        <w:t>. Deaths attributed to asthma have remained stable over past five years at 1.5</w:t>
      </w:r>
      <w:r w:rsidR="004648EB" w:rsidRPr="00E93008">
        <w:t xml:space="preserve"> deaths per 100,000 population. </w:t>
      </w:r>
      <w:r w:rsidR="00C14489" w:rsidRPr="00E93008">
        <w:t>Asthma is associated with poorer quality of life, with disease severity and the level of control both having an impact.</w:t>
      </w:r>
    </w:p>
    <w:p w14:paraId="1BB5F942" w14:textId="3102AB4C" w:rsidR="004648EB" w:rsidRPr="00E93008" w:rsidRDefault="00632836" w:rsidP="00DE277A">
      <w:r w:rsidRPr="00E93008">
        <w:t xml:space="preserve">The main objective in asthma treatment is to maintain </w:t>
      </w:r>
      <w:r w:rsidR="004E5AB9" w:rsidRPr="00E93008">
        <w:t xml:space="preserve">asthma control. </w:t>
      </w:r>
      <w:r w:rsidR="004648EB" w:rsidRPr="00E93008">
        <w:t>A</w:t>
      </w:r>
      <w:r w:rsidR="004E5AB9" w:rsidRPr="00E93008">
        <w:t>sthma control</w:t>
      </w:r>
      <w:r w:rsidRPr="00E93008">
        <w:t xml:space="preserve"> is defined as ‘</w:t>
      </w:r>
      <w:r w:rsidRPr="00E93008">
        <w:rPr>
          <w:i/>
        </w:rPr>
        <w:t>the extent to which the various manifestations of asthma have been reduced or removed by treatment’</w:t>
      </w:r>
      <w:r w:rsidRPr="00E93008">
        <w:t>. This concept encompasses two components, the patient’s recent clinical status/current disease impact (symptoms, night awakenings, use of reliever medication and lung function) and future risk (exacerbations, decline in lung function or treatment related side effects). The long term goals of asthma management are to achieve good symptom control and to minimise future risk of exacerbations, fixed airflow limitation and side</w:t>
      </w:r>
      <w:r w:rsidR="007B4DBF" w:rsidRPr="00E93008">
        <w:t xml:space="preserve"> </w:t>
      </w:r>
      <w:r w:rsidRPr="00E93008">
        <w:t xml:space="preserve">effects of treatment. According to the </w:t>
      </w:r>
      <w:r w:rsidR="008F2217">
        <w:t>G</w:t>
      </w:r>
      <w:r w:rsidR="00627FB8" w:rsidRPr="00E93008">
        <w:t xml:space="preserve">lobal </w:t>
      </w:r>
      <w:r w:rsidR="008F2217">
        <w:t>I</w:t>
      </w:r>
      <w:r w:rsidR="00627FB8" w:rsidRPr="00E93008">
        <w:t xml:space="preserve">nitiative for </w:t>
      </w:r>
      <w:r w:rsidR="008F2217">
        <w:t>A</w:t>
      </w:r>
      <w:r w:rsidR="00627FB8" w:rsidRPr="00E93008">
        <w:t>sthma (</w:t>
      </w:r>
      <w:r w:rsidRPr="00E93008">
        <w:t>GINA</w:t>
      </w:r>
      <w:r w:rsidR="00627FB8" w:rsidRPr="00E93008">
        <w:t>) g</w:t>
      </w:r>
      <w:r w:rsidRPr="00E93008">
        <w:t>uideline</w:t>
      </w:r>
      <w:r w:rsidR="008F2217">
        <w:t>s,</w:t>
      </w:r>
      <w:r w:rsidRPr="00E93008">
        <w:t xml:space="preserve"> asthma is controlled when a patient has daytime symptoms only twice or less per week, has no limitation of daily activities, has no nocturnal symptoms and no exacerbations, has normal or near normal lung function and uses reliever medication twice or less per week.</w:t>
      </w:r>
      <w:r w:rsidR="008F2217">
        <w:rPr>
          <w:rStyle w:val="FootnoteReference"/>
        </w:rPr>
        <w:footnoteReference w:id="5"/>
      </w:r>
    </w:p>
    <w:p w14:paraId="2F2820AF" w14:textId="77482283" w:rsidR="00D37717" w:rsidRPr="00E93008" w:rsidRDefault="00632836" w:rsidP="00DE277A">
      <w:r w:rsidRPr="00E93008">
        <w:t>GINA proposes a classification of asthma severity by the type and intensity of controller medication required f</w:t>
      </w:r>
      <w:r w:rsidR="00730F98" w:rsidRPr="00E93008">
        <w:t>or the control of the disease (</w:t>
      </w:r>
      <w:r w:rsidR="000E1F8A">
        <w:t>a S</w:t>
      </w:r>
      <w:r w:rsidRPr="00E93008">
        <w:t>tep 1</w:t>
      </w:r>
      <w:r w:rsidR="00627FB8" w:rsidRPr="00E93008">
        <w:t xml:space="preserve"> to </w:t>
      </w:r>
      <w:r w:rsidRPr="00E93008">
        <w:t>5</w:t>
      </w:r>
      <w:r w:rsidR="000E1F8A">
        <w:t xml:space="preserve"> classification</w:t>
      </w:r>
      <w:r w:rsidRPr="00E93008">
        <w:t xml:space="preserve">) for investigational purposes. GINA also proposes a classification in three categories (mild, moderate and severe asthma) assessed retrospectively once the patient is on regular controller treatment for several months. </w:t>
      </w:r>
      <w:r w:rsidR="004648EB" w:rsidRPr="00E93008">
        <w:t>Asthma is considered mild when the patient’s disease requires a short-acting beta</w:t>
      </w:r>
      <w:r w:rsidR="008F2217">
        <w:t xml:space="preserve"> </w:t>
      </w:r>
      <w:r w:rsidR="004648EB" w:rsidRPr="00E93008">
        <w:t>2</w:t>
      </w:r>
      <w:r w:rsidR="008F2217">
        <w:t xml:space="preserve"> (β</w:t>
      </w:r>
      <w:r w:rsidR="008F2217" w:rsidRPr="007E589B">
        <w:rPr>
          <w:vertAlign w:val="subscript"/>
        </w:rPr>
        <w:t>2</w:t>
      </w:r>
      <w:r w:rsidR="008F2217">
        <w:t xml:space="preserve">) </w:t>
      </w:r>
      <w:r w:rsidR="004648EB" w:rsidRPr="00E93008">
        <w:t>agonist (SABA) alone or is controlled with low dose maintenance</w:t>
      </w:r>
      <w:r w:rsidR="00031EE5" w:rsidRPr="00E93008">
        <w:t xml:space="preserve"> inhaled corticosteroid</w:t>
      </w:r>
      <w:r w:rsidR="008F2217">
        <w:t>s</w:t>
      </w:r>
      <w:r w:rsidR="004648EB" w:rsidRPr="00E93008">
        <w:t xml:space="preserve"> </w:t>
      </w:r>
      <w:r w:rsidR="00031EE5" w:rsidRPr="00E93008">
        <w:t>(</w:t>
      </w:r>
      <w:r w:rsidR="004648EB" w:rsidRPr="00E93008">
        <w:t>ICS</w:t>
      </w:r>
      <w:r w:rsidR="00031EE5" w:rsidRPr="00E93008">
        <w:t>)</w:t>
      </w:r>
      <w:r w:rsidR="004648EB" w:rsidRPr="00E93008">
        <w:t xml:space="preserve"> </w:t>
      </w:r>
      <w:r w:rsidR="008F2217">
        <w:t>and a</w:t>
      </w:r>
      <w:r w:rsidR="004648EB" w:rsidRPr="00E93008">
        <w:t xml:space="preserve"> SABA as needed. </w:t>
      </w:r>
      <w:r w:rsidRPr="00E93008">
        <w:t>The stepwise approach to therapy, in which the dose and number of medications and frequency of administration are increased as necessary and decreased when possible, is used to achie</w:t>
      </w:r>
      <w:r w:rsidR="0097227C" w:rsidRPr="00E93008">
        <w:t>ve and maintain asthma control.</w:t>
      </w:r>
    </w:p>
    <w:p w14:paraId="317AACE5" w14:textId="153C440E" w:rsidR="00632836" w:rsidRPr="00E93008" w:rsidRDefault="00632836" w:rsidP="00DE277A">
      <w:r w:rsidRPr="00E93008">
        <w:t xml:space="preserve">The GINA </w:t>
      </w:r>
      <w:r w:rsidR="001000D5" w:rsidRPr="00E93008">
        <w:t xml:space="preserve">workshop report </w:t>
      </w:r>
      <w:r w:rsidRPr="00E93008">
        <w:t>classifies drug treatments as controllers or relievers. Contr</w:t>
      </w:r>
      <w:r w:rsidR="001000D5" w:rsidRPr="00E93008">
        <w:t xml:space="preserve">ollers are taken daily and long </w:t>
      </w:r>
      <w:r w:rsidRPr="00E93008">
        <w:t>term and include both anti-inflammatory drugs (</w:t>
      </w:r>
      <w:r w:rsidR="00E07684" w:rsidRPr="00E93008">
        <w:t xml:space="preserve">ICS, </w:t>
      </w:r>
      <w:r w:rsidRPr="00E93008">
        <w:t>leukotriene modifiers, anti-</w:t>
      </w:r>
      <w:r w:rsidR="00583563">
        <w:t>immunoglobulin E (</w:t>
      </w:r>
      <w:proofErr w:type="spellStart"/>
      <w:r w:rsidRPr="00E93008">
        <w:t>IgE</w:t>
      </w:r>
      <w:proofErr w:type="spellEnd"/>
      <w:r w:rsidR="00583563">
        <w:t>)</w:t>
      </w:r>
      <w:r w:rsidRPr="00E93008">
        <w:t xml:space="preserve"> treatment,</w:t>
      </w:r>
      <w:r w:rsidR="000E1F8A">
        <w:t xml:space="preserve"> and</w:t>
      </w:r>
      <w:r w:rsidRPr="00E93008">
        <w:t xml:space="preserve"> oral corticosteroids</w:t>
      </w:r>
      <w:r w:rsidR="00A4613E" w:rsidRPr="00E93008">
        <w:t xml:space="preserve"> (OCS</w:t>
      </w:r>
      <w:r w:rsidRPr="00E93008">
        <w:t>)</w:t>
      </w:r>
      <w:r w:rsidR="000E1F8A">
        <w:t>)</w:t>
      </w:r>
      <w:r w:rsidR="006E6550" w:rsidRPr="00E93008">
        <w:t xml:space="preserve"> and long-acting beta</w:t>
      </w:r>
      <w:r w:rsidR="000E1F8A">
        <w:t> 2 (β</w:t>
      </w:r>
      <w:r w:rsidR="000E1F8A" w:rsidRPr="00734FC8">
        <w:rPr>
          <w:vertAlign w:val="subscript"/>
        </w:rPr>
        <w:t>2</w:t>
      </w:r>
      <w:r w:rsidR="000E1F8A">
        <w:t xml:space="preserve">) </w:t>
      </w:r>
      <w:r w:rsidRPr="00E93008">
        <w:t>agonists</w:t>
      </w:r>
      <w:r w:rsidR="000E1F8A">
        <w:t xml:space="preserve"> (LABA)</w:t>
      </w:r>
      <w:r w:rsidRPr="00E93008">
        <w:t>. Reliever</w:t>
      </w:r>
      <w:r w:rsidR="001000D5" w:rsidRPr="00E93008">
        <w:t xml:space="preserve">s are medications used on an as </w:t>
      </w:r>
      <w:r w:rsidRPr="00E93008">
        <w:t>needed basis to reverse bronchoconstriction a</w:t>
      </w:r>
      <w:r w:rsidR="00C1294C" w:rsidRPr="00E93008">
        <w:t xml:space="preserve">nd relieve symptoms (for example, </w:t>
      </w:r>
      <w:r w:rsidR="000E1F8A">
        <w:t xml:space="preserve">SABAs </w:t>
      </w:r>
      <w:r w:rsidR="001000D5" w:rsidRPr="00E93008">
        <w:t xml:space="preserve">and one </w:t>
      </w:r>
      <w:r w:rsidR="000E1F8A">
        <w:t>LABA</w:t>
      </w:r>
      <w:r w:rsidRPr="00E93008">
        <w:t>). A new category has recently been included,</w:t>
      </w:r>
      <w:r w:rsidR="000F6E79" w:rsidRPr="00E93008">
        <w:t xml:space="preserve"> that is</w:t>
      </w:r>
      <w:r w:rsidRPr="00E93008">
        <w:t xml:space="preserve"> add</w:t>
      </w:r>
      <w:r w:rsidR="000E1F8A">
        <w:noBreakHyphen/>
      </w:r>
      <w:r w:rsidRPr="00E93008">
        <w:t>on therapies for patients with severe asthma, which include additional therapeutic options that may be considered when patients have persistent symptoms and/or exacerbations despite optimised treatment with high dose controller medications and treatment of modifiable risk factors. In addition</w:t>
      </w:r>
      <w:r w:rsidR="000E1F8A">
        <w:t>,</w:t>
      </w:r>
      <w:r w:rsidRPr="00E93008">
        <w:t xml:space="preserve"> allergen immunotherapy is available for allergic asthma although its specific role is not established yet.</w:t>
      </w:r>
    </w:p>
    <w:p w14:paraId="4A47A66E" w14:textId="0B9885A8" w:rsidR="00632836" w:rsidRPr="00E93008" w:rsidRDefault="00304258" w:rsidP="00DE277A">
      <w:r w:rsidRPr="00E93008">
        <w:t xml:space="preserve">A </w:t>
      </w:r>
      <w:r w:rsidR="000C37D5" w:rsidRPr="00E93008">
        <w:t>LABA</w:t>
      </w:r>
      <w:r w:rsidR="00632836" w:rsidRPr="00E93008">
        <w:t xml:space="preserve"> plus </w:t>
      </w:r>
      <w:r w:rsidR="000C37D5" w:rsidRPr="00E93008">
        <w:t>ICS</w:t>
      </w:r>
      <w:r w:rsidR="00632836" w:rsidRPr="00E93008">
        <w:t xml:space="preserve"> (LABA/ICS</w:t>
      </w:r>
      <w:r w:rsidR="000E1F8A">
        <w:t xml:space="preserve"> combination</w:t>
      </w:r>
      <w:r w:rsidR="00632836" w:rsidRPr="00E93008">
        <w:t>)</w:t>
      </w:r>
      <w:r w:rsidR="00343B70" w:rsidRPr="00E93008">
        <w:t xml:space="preserve"> is a </w:t>
      </w:r>
      <w:r w:rsidR="002C2F38" w:rsidRPr="00E93008">
        <w:t>well-established</w:t>
      </w:r>
      <w:r w:rsidR="00632836" w:rsidRPr="00E93008">
        <w:t xml:space="preserve"> therapy class with a known safety profile. GINA guidelines define LABA/ICS as </w:t>
      </w:r>
      <w:r w:rsidR="000E1F8A">
        <w:t xml:space="preserve">the </w:t>
      </w:r>
      <w:r w:rsidR="00632836" w:rsidRPr="00E93008">
        <w:t>corne</w:t>
      </w:r>
      <w:r w:rsidR="00730F98" w:rsidRPr="00E93008">
        <w:t xml:space="preserve">rstone asthma therapy for GINA </w:t>
      </w:r>
      <w:r w:rsidR="000E1F8A">
        <w:t>S</w:t>
      </w:r>
      <w:r w:rsidR="00632836" w:rsidRPr="00E93008">
        <w:t xml:space="preserve">tep 3 patients and above. Patients with asthma not adequately controlled on </w:t>
      </w:r>
      <w:r w:rsidR="000E1F8A">
        <w:t xml:space="preserve">a </w:t>
      </w:r>
      <w:r w:rsidR="00632836" w:rsidRPr="00E93008">
        <w:t>medium or high dose LABA/ICS</w:t>
      </w:r>
      <w:r w:rsidR="000E1F8A">
        <w:t xml:space="preserve"> combination</w:t>
      </w:r>
      <w:r w:rsidR="00632836" w:rsidRPr="00E93008">
        <w:t xml:space="preserve"> (preferred treatme</w:t>
      </w:r>
      <w:r w:rsidR="00730F98" w:rsidRPr="00E93008">
        <w:t>nt option in patients ≥ GINA s</w:t>
      </w:r>
      <w:r w:rsidR="00632836" w:rsidRPr="00E93008">
        <w:t xml:space="preserve">tep 4) have airway obstruction reflected by objective spirometry assessment of </w:t>
      </w:r>
      <w:r w:rsidR="00625260" w:rsidRPr="00E93008">
        <w:t>forced expiratory volume in one second (</w:t>
      </w:r>
      <w:r w:rsidR="00632836" w:rsidRPr="00E93008">
        <w:t>FEV</w:t>
      </w:r>
      <w:r w:rsidR="00632836" w:rsidRPr="007E589B">
        <w:rPr>
          <w:vertAlign w:val="subscript"/>
        </w:rPr>
        <w:t>1</w:t>
      </w:r>
      <w:r w:rsidR="00625260" w:rsidRPr="00E93008">
        <w:t>)</w:t>
      </w:r>
      <w:r w:rsidR="00632836" w:rsidRPr="00E93008">
        <w:t>, are symptomatic and are at risk to develop exacerbations. Other optional therapies for patients at G</w:t>
      </w:r>
      <w:r w:rsidR="00730F98" w:rsidRPr="00E93008">
        <w:t xml:space="preserve">INA </w:t>
      </w:r>
      <w:r w:rsidR="000E1F8A">
        <w:t>S</w:t>
      </w:r>
      <w:r w:rsidR="00632836" w:rsidRPr="00E93008">
        <w:t xml:space="preserve">tep 4 include the addition of </w:t>
      </w:r>
      <w:proofErr w:type="spellStart"/>
      <w:r w:rsidR="00632836" w:rsidRPr="00E93008">
        <w:t>tiotropium</w:t>
      </w:r>
      <w:proofErr w:type="spellEnd"/>
      <w:r w:rsidR="00632836" w:rsidRPr="00E93008">
        <w:t xml:space="preserve"> (</w:t>
      </w:r>
      <w:r w:rsidR="000E1F8A">
        <w:t xml:space="preserve">a </w:t>
      </w:r>
      <w:r w:rsidR="006E6550" w:rsidRPr="00E93008">
        <w:t>long-acting muscarinic receptor-</w:t>
      </w:r>
      <w:r w:rsidR="00031EE5" w:rsidRPr="00E93008">
        <w:t>antagonist (</w:t>
      </w:r>
      <w:r w:rsidR="00632836" w:rsidRPr="00E93008">
        <w:t>LAMA</w:t>
      </w:r>
      <w:r w:rsidR="00031EE5" w:rsidRPr="00E93008">
        <w:t>)</w:t>
      </w:r>
      <w:r w:rsidR="00632836" w:rsidRPr="00E93008">
        <w:t xml:space="preserve">) to medium or high dose LABA/ICS </w:t>
      </w:r>
      <w:r w:rsidR="00583563">
        <w:t xml:space="preserve">treatment regimen </w:t>
      </w:r>
      <w:r w:rsidR="00632836" w:rsidRPr="00E93008">
        <w:t xml:space="preserve">or the addition of </w:t>
      </w:r>
      <w:r w:rsidR="00583563">
        <w:t xml:space="preserve">a </w:t>
      </w:r>
      <w:r w:rsidR="00632836" w:rsidRPr="00E93008">
        <w:t>leukotriene receptor antagonist</w:t>
      </w:r>
      <w:r w:rsidR="00084725" w:rsidRPr="00E93008">
        <w:t xml:space="preserve"> or low dose sustained </w:t>
      </w:r>
      <w:r w:rsidR="00632836" w:rsidRPr="00E93008">
        <w:t>release theophylline to medium or high ICS (which is less efficacious than the addition of LABA).</w:t>
      </w:r>
      <w:bookmarkStart w:id="17" w:name="_Ref62727065"/>
      <w:r w:rsidR="005901A9" w:rsidRPr="00E93008">
        <w:rPr>
          <w:rStyle w:val="FootnoteReference"/>
        </w:rPr>
        <w:footnoteReference w:id="6"/>
      </w:r>
      <w:bookmarkEnd w:id="17"/>
      <w:r w:rsidR="00730F98" w:rsidRPr="00E93008">
        <w:t xml:space="preserve"> At GINA </w:t>
      </w:r>
      <w:r w:rsidR="00583563">
        <w:t>S</w:t>
      </w:r>
      <w:r w:rsidR="00632836" w:rsidRPr="00E93008">
        <w:t xml:space="preserve">tep 5, therapeutic alternatives are even more limited and include addition of </w:t>
      </w:r>
      <w:proofErr w:type="spellStart"/>
      <w:r w:rsidR="00632836" w:rsidRPr="00E93008">
        <w:t>tiotropium</w:t>
      </w:r>
      <w:proofErr w:type="spellEnd"/>
      <w:r w:rsidR="00632836" w:rsidRPr="00E93008">
        <w:t>, referral to a specialist and addition of biologic the</w:t>
      </w:r>
      <w:r w:rsidR="00082B41" w:rsidRPr="00E93008">
        <w:t>rapy (for example,</w:t>
      </w:r>
      <w:r w:rsidR="00632836" w:rsidRPr="00E93008">
        <w:t xml:space="preserve"> anti </w:t>
      </w:r>
      <w:proofErr w:type="spellStart"/>
      <w:r w:rsidR="00632836" w:rsidRPr="00E93008">
        <w:t>IgE</w:t>
      </w:r>
      <w:proofErr w:type="spellEnd"/>
      <w:r w:rsidR="00583563">
        <w:t>, or</w:t>
      </w:r>
      <w:r w:rsidR="00632836" w:rsidRPr="00E93008">
        <w:t xml:space="preserve"> anti </w:t>
      </w:r>
      <w:r w:rsidR="00583563">
        <w:t>interleukin-5 therapy</w:t>
      </w:r>
      <w:r w:rsidR="00632836" w:rsidRPr="00E93008">
        <w:t>) that is specifically recomme</w:t>
      </w:r>
      <w:r w:rsidR="00082B41" w:rsidRPr="00E93008">
        <w:t>nded only in a subpopulation (for example,</w:t>
      </w:r>
      <w:r w:rsidR="00632836" w:rsidRPr="00E93008">
        <w:t xml:space="preserve"> for severe allergic asthma or </w:t>
      </w:r>
      <w:r w:rsidR="00583563">
        <w:t xml:space="preserve">asthma with an </w:t>
      </w:r>
      <w:r w:rsidR="00632836" w:rsidRPr="00E93008">
        <w:t>eosinophilic phenotype</w:t>
      </w:r>
      <w:r w:rsidR="00082B41" w:rsidRPr="00E93008">
        <w:t>)</w:t>
      </w:r>
      <w:r w:rsidR="00632836" w:rsidRPr="00E93008">
        <w:t xml:space="preserve">. </w:t>
      </w:r>
      <w:r w:rsidR="00583563">
        <w:t>The a</w:t>
      </w:r>
      <w:r w:rsidR="00632836" w:rsidRPr="00E93008">
        <w:t xml:space="preserve">ddition of low dose OCS is another option but is often associated with substantial </w:t>
      </w:r>
      <w:r w:rsidR="00082B41" w:rsidRPr="00E93008">
        <w:t>systemic side effects</w:t>
      </w:r>
      <w:r w:rsidR="00632836" w:rsidRPr="00E93008">
        <w:t>.</w:t>
      </w:r>
      <w:r w:rsidR="007902AF" w:rsidRPr="00E93008">
        <w:rPr>
          <w:color w:val="2B579A"/>
          <w:shd w:val="clear" w:color="auto" w:fill="E6E6E6"/>
          <w:vertAlign w:val="superscript"/>
        </w:rPr>
        <w:fldChar w:fldCharType="begin"/>
      </w:r>
      <w:r w:rsidR="007902AF" w:rsidRPr="00E93008">
        <w:rPr>
          <w:vertAlign w:val="superscript"/>
        </w:rPr>
        <w:instrText xml:space="preserve"> NOTEREF _Ref62727065 \h  \* MERGEFORMAT </w:instrText>
      </w:r>
      <w:r w:rsidR="007902AF" w:rsidRPr="00E93008">
        <w:rPr>
          <w:color w:val="2B579A"/>
          <w:shd w:val="clear" w:color="auto" w:fill="E6E6E6"/>
          <w:vertAlign w:val="superscript"/>
        </w:rPr>
      </w:r>
      <w:r w:rsidR="007902AF" w:rsidRPr="00E93008">
        <w:rPr>
          <w:color w:val="2B579A"/>
          <w:shd w:val="clear" w:color="auto" w:fill="E6E6E6"/>
          <w:vertAlign w:val="superscript"/>
        </w:rPr>
        <w:fldChar w:fldCharType="separate"/>
      </w:r>
      <w:r w:rsidR="003A5299">
        <w:rPr>
          <w:vertAlign w:val="superscript"/>
        </w:rPr>
        <w:t>5</w:t>
      </w:r>
      <w:r w:rsidR="007902AF" w:rsidRPr="00E93008">
        <w:rPr>
          <w:color w:val="2B579A"/>
          <w:shd w:val="clear" w:color="auto" w:fill="E6E6E6"/>
          <w:vertAlign w:val="superscript"/>
        </w:rPr>
        <w:fldChar w:fldCharType="end"/>
      </w:r>
    </w:p>
    <w:p w14:paraId="39C8B09D" w14:textId="083CD3AB" w:rsidR="00632836" w:rsidRPr="00E93008" w:rsidRDefault="00632836" w:rsidP="00DE277A">
      <w:r w:rsidRPr="00E93008">
        <w:t xml:space="preserve">The addition of </w:t>
      </w:r>
      <w:proofErr w:type="spellStart"/>
      <w:r w:rsidRPr="00E93008">
        <w:t>tiotropium</w:t>
      </w:r>
      <w:proofErr w:type="spellEnd"/>
      <w:r w:rsidRPr="00E93008">
        <w:t xml:space="preserve"> to high dose LABA/ICS </w:t>
      </w:r>
      <w:r w:rsidR="00583563">
        <w:t xml:space="preserve">treatment </w:t>
      </w:r>
      <w:r w:rsidRPr="00E93008">
        <w:t>improved lung function and delayed the time</w:t>
      </w:r>
      <w:r w:rsidR="00231E0C" w:rsidRPr="00E93008">
        <w:t xml:space="preserve"> to </w:t>
      </w:r>
      <w:r w:rsidRPr="00E93008">
        <w:t xml:space="preserve">first severe exacerbation, with a significant reduction of 21% in </w:t>
      </w:r>
      <w:r w:rsidR="003B000F" w:rsidRPr="00E93008">
        <w:t>the risk of severe exacerbation</w:t>
      </w:r>
      <w:r w:rsidRPr="00E93008">
        <w:t>.</w:t>
      </w:r>
      <w:r w:rsidR="00C73632" w:rsidRPr="00E93008">
        <w:rPr>
          <w:rStyle w:val="FootnoteReference"/>
        </w:rPr>
        <w:footnoteReference w:id="7"/>
      </w:r>
      <w:r w:rsidR="00C73632" w:rsidRPr="007E589B">
        <w:rPr>
          <w:vertAlign w:val="superscript"/>
        </w:rPr>
        <w:t>,</w:t>
      </w:r>
      <w:r w:rsidR="00C73632" w:rsidRPr="00E93008">
        <w:rPr>
          <w:rStyle w:val="FootnoteReference"/>
        </w:rPr>
        <w:footnoteReference w:id="8"/>
      </w:r>
      <w:r w:rsidR="00C73632" w:rsidRPr="007E589B">
        <w:rPr>
          <w:vertAlign w:val="superscript"/>
        </w:rPr>
        <w:t>,</w:t>
      </w:r>
      <w:r w:rsidR="00C73632" w:rsidRPr="00E93008">
        <w:rPr>
          <w:rStyle w:val="FootnoteReference"/>
        </w:rPr>
        <w:footnoteReference w:id="9"/>
      </w:r>
      <w:r w:rsidR="002274EA" w:rsidRPr="00E93008">
        <w:t xml:space="preserve"> </w:t>
      </w:r>
      <w:r w:rsidRPr="00E93008">
        <w:t xml:space="preserve">Although the three classes of drugs </w:t>
      </w:r>
      <w:r w:rsidR="00583563">
        <w:t>(</w:t>
      </w:r>
      <w:r w:rsidRPr="00E93008">
        <w:t>LABA, LAMA and ICS</w:t>
      </w:r>
      <w:r w:rsidR="00583563">
        <w:t>)</w:t>
      </w:r>
      <w:r w:rsidRPr="00E93008">
        <w:t xml:space="preserve"> are approved treatments for asth</w:t>
      </w:r>
      <w:r w:rsidR="00CB0BB5" w:rsidRPr="00E93008">
        <w:t xml:space="preserve">ma, there is currently no fixed </w:t>
      </w:r>
      <w:r w:rsidRPr="00E93008">
        <w:t>dose combination</w:t>
      </w:r>
      <w:r w:rsidR="00CB0BB5" w:rsidRPr="00E93008">
        <w:t xml:space="preserve"> (FDC)</w:t>
      </w:r>
      <w:r w:rsidR="00BB2064">
        <w:t xml:space="preserve"> product</w:t>
      </w:r>
      <w:r w:rsidRPr="00E93008">
        <w:t xml:space="preserve"> of </w:t>
      </w:r>
      <w:r w:rsidR="00B46D78" w:rsidRPr="00E93008">
        <w:t>the three</w:t>
      </w:r>
      <w:r w:rsidRPr="00E93008">
        <w:t xml:space="preserve"> approved for the treatment of asthma. ICS is the cornerstone treatment in asthma. The mechanisms of action of LABA and LAMA classes are complementary</w:t>
      </w:r>
      <w:r w:rsidR="00F100AC" w:rsidRPr="00E93008">
        <w:t xml:space="preserve"> </w:t>
      </w:r>
      <w:r w:rsidRPr="00E93008">
        <w:t xml:space="preserve">due to the differential density of </w:t>
      </w:r>
      <w:r w:rsidR="00231E0C" w:rsidRPr="00E93008">
        <w:t>beta</w:t>
      </w:r>
      <w:r w:rsidR="00BB2064">
        <w:t xml:space="preserve"> </w:t>
      </w:r>
      <w:r w:rsidRPr="00E93008">
        <w:t>2</w:t>
      </w:r>
      <w:r w:rsidR="00BB2064">
        <w:t xml:space="preserve"> (β</w:t>
      </w:r>
      <w:r w:rsidR="00BB2064" w:rsidRPr="00734FC8">
        <w:rPr>
          <w:vertAlign w:val="subscript"/>
        </w:rPr>
        <w:t>2</w:t>
      </w:r>
      <w:r w:rsidR="00BB2064">
        <w:t xml:space="preserve">) </w:t>
      </w:r>
      <w:proofErr w:type="spellStart"/>
      <w:r w:rsidRPr="00E93008">
        <w:t>adrenoceptors</w:t>
      </w:r>
      <w:proofErr w:type="spellEnd"/>
      <w:r w:rsidRPr="00E93008">
        <w:t xml:space="preserve"> and </w:t>
      </w:r>
      <w:r w:rsidR="00BB2064">
        <w:t>muscarinic acetylcholine (</w:t>
      </w:r>
      <w:r w:rsidRPr="00E93008">
        <w:t>M</w:t>
      </w:r>
      <w:r w:rsidRPr="007E589B">
        <w:rPr>
          <w:vertAlign w:val="subscript"/>
        </w:rPr>
        <w:t>3</w:t>
      </w:r>
      <w:r w:rsidR="00BB2064">
        <w:t xml:space="preserve">) </w:t>
      </w:r>
      <w:r w:rsidRPr="00E93008">
        <w:t>receptors in smaller versu</w:t>
      </w:r>
      <w:r w:rsidR="005325C2" w:rsidRPr="00E93008">
        <w:t>s central airways, respectively</w:t>
      </w:r>
      <w:r w:rsidR="007A4E05" w:rsidRPr="00E93008">
        <w:t>.</w:t>
      </w:r>
      <w:r w:rsidR="00C73632" w:rsidRPr="00BB2064">
        <w:rPr>
          <w:rStyle w:val="FootnoteReference"/>
        </w:rPr>
        <w:footnoteReference w:id="10"/>
      </w:r>
      <w:r w:rsidR="00CF22A2" w:rsidRPr="007E589B">
        <w:rPr>
          <w:vertAlign w:val="superscript"/>
        </w:rPr>
        <w:t>,</w:t>
      </w:r>
      <w:r w:rsidR="00C73632" w:rsidRPr="00BB2064">
        <w:rPr>
          <w:rStyle w:val="FootnoteReference"/>
        </w:rPr>
        <w:footnoteReference w:id="11"/>
      </w:r>
      <w:r w:rsidR="00CF22A2" w:rsidRPr="007E589B">
        <w:rPr>
          <w:vertAlign w:val="superscript"/>
        </w:rPr>
        <w:t>,</w:t>
      </w:r>
      <w:r w:rsidR="00C73632" w:rsidRPr="00BB2064">
        <w:rPr>
          <w:rStyle w:val="FootnoteReference"/>
        </w:rPr>
        <w:footnoteReference w:id="12"/>
      </w:r>
    </w:p>
    <w:p w14:paraId="632C4B07" w14:textId="52F3BCF4" w:rsidR="005711C4" w:rsidRPr="00E93008" w:rsidRDefault="00632836" w:rsidP="00DE277A">
      <w:r w:rsidRPr="00E93008">
        <w:t>Non-adherence to medication is a major cause of poor control of asthma and may be related to several factors including difficulty using inhalers properly, complicated regimens (</w:t>
      </w:r>
      <w:r w:rsidR="00CE274D" w:rsidRPr="00E93008">
        <w:t>for example,</w:t>
      </w:r>
      <w:r w:rsidRPr="00E93008">
        <w:t xml:space="preserve"> multiple times per day, multiple different inhalers) and misunderstanding of the role of </w:t>
      </w:r>
      <w:r w:rsidR="00525204" w:rsidRPr="00E93008">
        <w:t>controller medications</w:t>
      </w:r>
      <w:r w:rsidRPr="00E93008">
        <w:t>.</w:t>
      </w:r>
      <w:r w:rsidR="00153DA6" w:rsidRPr="00E93008">
        <w:rPr>
          <w:color w:val="2B579A"/>
          <w:shd w:val="clear" w:color="auto" w:fill="E6E6E6"/>
          <w:vertAlign w:val="superscript"/>
        </w:rPr>
        <w:fldChar w:fldCharType="begin"/>
      </w:r>
      <w:r w:rsidR="00153DA6" w:rsidRPr="00E93008">
        <w:rPr>
          <w:vertAlign w:val="superscript"/>
        </w:rPr>
        <w:instrText xml:space="preserve"> NOTEREF _Ref62727065 \h  \* MERGEFORMAT </w:instrText>
      </w:r>
      <w:r w:rsidR="00153DA6" w:rsidRPr="00E93008">
        <w:rPr>
          <w:color w:val="2B579A"/>
          <w:shd w:val="clear" w:color="auto" w:fill="E6E6E6"/>
          <w:vertAlign w:val="superscript"/>
        </w:rPr>
      </w:r>
      <w:r w:rsidR="00153DA6" w:rsidRPr="00E93008">
        <w:rPr>
          <w:color w:val="2B579A"/>
          <w:shd w:val="clear" w:color="auto" w:fill="E6E6E6"/>
          <w:vertAlign w:val="superscript"/>
        </w:rPr>
        <w:fldChar w:fldCharType="separate"/>
      </w:r>
      <w:r w:rsidR="003A5299">
        <w:rPr>
          <w:vertAlign w:val="superscript"/>
        </w:rPr>
        <w:t>5</w:t>
      </w:r>
      <w:r w:rsidR="00153DA6" w:rsidRPr="00E93008">
        <w:rPr>
          <w:color w:val="2B579A"/>
          <w:shd w:val="clear" w:color="auto" w:fill="E6E6E6"/>
          <w:vertAlign w:val="superscript"/>
        </w:rPr>
        <w:fldChar w:fldCharType="end"/>
      </w:r>
      <w:r w:rsidRPr="00E93008">
        <w:t xml:space="preserve"> Adherence is higher with the combination ICS/LABAs than when the components are administered separately.</w:t>
      </w:r>
      <w:r w:rsidR="00D04642" w:rsidRPr="00E93008">
        <w:rPr>
          <w:rStyle w:val="FootnoteReference"/>
        </w:rPr>
        <w:footnoteReference w:id="13"/>
      </w:r>
      <w:r w:rsidRPr="00E93008">
        <w:t xml:space="preserve"> Poor treatment adherence is one of the identified risk factors for future exacerbations, ind</w:t>
      </w:r>
      <w:r w:rsidR="00A76DEE" w:rsidRPr="00E93008">
        <w:t>ependent of the symptom control</w:t>
      </w:r>
      <w:r w:rsidRPr="00E93008">
        <w:t>.</w:t>
      </w:r>
      <w:r w:rsidR="00526520" w:rsidRPr="00E93008">
        <w:rPr>
          <w:color w:val="2B579A"/>
          <w:shd w:val="clear" w:color="auto" w:fill="E6E6E6"/>
          <w:vertAlign w:val="superscript"/>
        </w:rPr>
        <w:fldChar w:fldCharType="begin"/>
      </w:r>
      <w:r w:rsidR="00526520" w:rsidRPr="00E93008">
        <w:rPr>
          <w:vertAlign w:val="superscript"/>
        </w:rPr>
        <w:instrText xml:space="preserve"> NOTEREF _Ref62727065 \h  \* MERGEFORMAT </w:instrText>
      </w:r>
      <w:r w:rsidR="00526520" w:rsidRPr="00E93008">
        <w:rPr>
          <w:color w:val="2B579A"/>
          <w:shd w:val="clear" w:color="auto" w:fill="E6E6E6"/>
          <w:vertAlign w:val="superscript"/>
        </w:rPr>
      </w:r>
      <w:r w:rsidR="00526520" w:rsidRPr="00E93008">
        <w:rPr>
          <w:color w:val="2B579A"/>
          <w:shd w:val="clear" w:color="auto" w:fill="E6E6E6"/>
          <w:vertAlign w:val="superscript"/>
        </w:rPr>
        <w:fldChar w:fldCharType="separate"/>
      </w:r>
      <w:r w:rsidR="003A5299">
        <w:rPr>
          <w:vertAlign w:val="superscript"/>
        </w:rPr>
        <w:t>5</w:t>
      </w:r>
      <w:r w:rsidR="00526520" w:rsidRPr="00E93008">
        <w:rPr>
          <w:color w:val="2B579A"/>
          <w:shd w:val="clear" w:color="auto" w:fill="E6E6E6"/>
          <w:vertAlign w:val="superscript"/>
        </w:rPr>
        <w:fldChar w:fldCharType="end"/>
      </w:r>
      <w:r w:rsidRPr="00E93008">
        <w:t xml:space="preserve"> Hence, there is an unmet need for new asthma therapies that offer sustained bronchodilation combined with anti-inflammatory properties, with effective asthma control and that decrease th</w:t>
      </w:r>
      <w:r w:rsidR="00ED2EE5" w:rsidRPr="00E93008">
        <w:t>e risk of future exacerbations.</w:t>
      </w:r>
    </w:p>
    <w:p w14:paraId="35473D23" w14:textId="232B4A75" w:rsidR="00702717" w:rsidRPr="00E93008" w:rsidRDefault="005711C4" w:rsidP="00DE277A">
      <w:proofErr w:type="spellStart"/>
      <w:r w:rsidRPr="00E93008">
        <w:t>Enerzair</w:t>
      </w:r>
      <w:proofErr w:type="spellEnd"/>
      <w:r w:rsidRPr="00E93008">
        <w:t xml:space="preserve"> Breezhaler (</w:t>
      </w:r>
      <w:r w:rsidR="00632836" w:rsidRPr="00E93008">
        <w:t>QVM149</w:t>
      </w:r>
      <w:r w:rsidR="00373BA1" w:rsidRPr="00E93008">
        <w:t>;</w:t>
      </w:r>
      <w:r w:rsidR="00373BA1" w:rsidRPr="00E93008">
        <w:rPr>
          <w:rStyle w:val="FootnoteReference"/>
        </w:rPr>
        <w:footnoteReference w:id="14"/>
      </w:r>
      <w:r w:rsidRPr="00E93008">
        <w:t>)</w:t>
      </w:r>
      <w:r w:rsidR="00632836" w:rsidRPr="00E93008">
        <w:t xml:space="preserve"> is a novel approach of combining an </w:t>
      </w:r>
      <w:r w:rsidRPr="00E93008">
        <w:t xml:space="preserve">orally </w:t>
      </w:r>
      <w:r w:rsidR="00632836" w:rsidRPr="00E93008">
        <w:t xml:space="preserve">inhaled LABA/LAMA/ICS in a </w:t>
      </w:r>
      <w:r w:rsidR="0019023C" w:rsidRPr="00E93008">
        <w:t>once daily (</w:t>
      </w:r>
      <w:r w:rsidR="00B93B68" w:rsidRPr="00E93008">
        <w:t>OD</w:t>
      </w:r>
      <w:r w:rsidR="0019023C" w:rsidRPr="00E93008">
        <w:t>)</w:t>
      </w:r>
      <w:r w:rsidRPr="00E93008">
        <w:t xml:space="preserve"> FDC of indacaterol acetate</w:t>
      </w:r>
      <w:r w:rsidR="00BB2064">
        <w:t xml:space="preserve"> (</w:t>
      </w:r>
      <w:r w:rsidRPr="00E93008">
        <w:t>a LABA</w:t>
      </w:r>
      <w:r w:rsidR="00BB2064">
        <w:t>);</w:t>
      </w:r>
      <w:r w:rsidRPr="00E93008">
        <w:t xml:space="preserve"> glycopyrronium bromide</w:t>
      </w:r>
      <w:r w:rsidR="00BB2064">
        <w:t xml:space="preserve"> (</w:t>
      </w:r>
      <w:r w:rsidRPr="00E93008">
        <w:t>a LAMA</w:t>
      </w:r>
      <w:r w:rsidR="00BB2064">
        <w:t>);</w:t>
      </w:r>
      <w:r w:rsidRPr="00E93008">
        <w:t xml:space="preserve"> and </w:t>
      </w:r>
      <w:r w:rsidR="00200108" w:rsidRPr="00E93008">
        <w:t>mometasone furoate</w:t>
      </w:r>
      <w:r w:rsidRPr="00E93008">
        <w:t xml:space="preserve">, an </w:t>
      </w:r>
      <w:r w:rsidR="000C37D5" w:rsidRPr="00E93008">
        <w:t>ICS</w:t>
      </w:r>
      <w:r w:rsidR="00632836" w:rsidRPr="00E93008">
        <w:t>.</w:t>
      </w:r>
      <w:r w:rsidR="00702717" w:rsidRPr="00E93008">
        <w:t xml:space="preserve"> It is intended as a maintenance treatment for asthma in adult patients. QVM149 is formulated as lactose blended inhalation powder hard capsules delivered by the Concept</w:t>
      </w:r>
      <w:r w:rsidR="007A0C1A" w:rsidRPr="00E93008">
        <w:t xml:space="preserve"> </w:t>
      </w:r>
      <w:r w:rsidR="00702717" w:rsidRPr="00E93008">
        <w:t>1 device.</w:t>
      </w:r>
      <w:r w:rsidR="00B965E6" w:rsidRPr="00E93008">
        <w:rPr>
          <w:rStyle w:val="FootnoteReference"/>
        </w:rPr>
        <w:footnoteReference w:id="15"/>
      </w:r>
      <w:r w:rsidR="00702717" w:rsidRPr="00E93008">
        <w:t xml:space="preserve"> These medicines have mechanisms of actions that complement each other. Following inhalation, in</w:t>
      </w:r>
      <w:r w:rsidR="006E6550" w:rsidRPr="00E93008">
        <w:t xml:space="preserve">dacaterol is a </w:t>
      </w:r>
      <w:r w:rsidR="00BB2064">
        <w:t xml:space="preserve">LABA </w:t>
      </w:r>
      <w:r w:rsidR="00702717" w:rsidRPr="00E93008">
        <w:t xml:space="preserve">that acts locally by widening the airways in the lungs. It has a rapid onset of action and a long duration of action. Glycopyrronium is an inhaled </w:t>
      </w:r>
      <w:r w:rsidR="007A0C1A" w:rsidRPr="00E93008">
        <w:t>LAMA</w:t>
      </w:r>
      <w:r w:rsidR="00702717" w:rsidRPr="00E93008">
        <w:t xml:space="preserve"> (anticholinergic) which dilates the airways by blocking the action of the neurotransmitter acetylcholine on smooth muscle cells. Mometasone furoate is a synthetic corticosteroid with high affinity for glucocorticoid receptors and anti-inflammatory properties.</w:t>
      </w:r>
      <w:r w:rsidR="00CD7D0C" w:rsidRPr="00E93008">
        <w:t xml:space="preserve"> </w:t>
      </w:r>
      <w:r w:rsidR="00702717" w:rsidRPr="00E93008">
        <w:t>The individual components of QVM149 are widely authorised as monotherapies or as a combination product for the treatment of either COPD (indacaterol and glycopyrronium) or asthma (</w:t>
      </w:r>
      <w:r w:rsidR="00200108" w:rsidRPr="00E93008">
        <w:t>mometasone furoate</w:t>
      </w:r>
      <w:r w:rsidR="00702717" w:rsidRPr="00E93008">
        <w:t>) with established efficacy and a well characterised safety profile. There was no clinically relevant pharmacokinetic interaction between the individual components when administered together as a FDC.</w:t>
      </w:r>
    </w:p>
    <w:p w14:paraId="09012948" w14:textId="77777777" w:rsidR="008E7846" w:rsidRPr="00E93008" w:rsidRDefault="00386150" w:rsidP="008E7846">
      <w:pPr>
        <w:pStyle w:val="Heading3"/>
      </w:pPr>
      <w:bookmarkStart w:id="18" w:name="_Toc314842485"/>
      <w:bookmarkStart w:id="19" w:name="_Toc247691504"/>
      <w:bookmarkStart w:id="20" w:name="_Toc69998854"/>
      <w:r w:rsidRPr="00E93008">
        <w:t>Regulatory s</w:t>
      </w:r>
      <w:r w:rsidR="008E7846" w:rsidRPr="00E93008">
        <w:t>tatus</w:t>
      </w:r>
      <w:bookmarkEnd w:id="18"/>
      <w:bookmarkEnd w:id="19"/>
      <w:bookmarkEnd w:id="20"/>
    </w:p>
    <w:p w14:paraId="0C99602A" w14:textId="77777777" w:rsidR="00940A89" w:rsidRPr="00E93008" w:rsidRDefault="00006FAB" w:rsidP="00577766">
      <w:bookmarkStart w:id="21" w:name="_Toc247691505"/>
      <w:bookmarkStart w:id="22" w:name="_Toc314842486"/>
      <w:r w:rsidRPr="00E93008">
        <w:t xml:space="preserve">This product is </w:t>
      </w:r>
      <w:r w:rsidR="00D221B9" w:rsidRPr="00E93008">
        <w:t xml:space="preserve">considered a </w:t>
      </w:r>
      <w:r w:rsidR="00DE6E60" w:rsidRPr="00E93008">
        <w:t xml:space="preserve">new combination of active ingredients </w:t>
      </w:r>
      <w:r w:rsidRPr="00E93008">
        <w:t>for Australian regulatory purposes.</w:t>
      </w:r>
    </w:p>
    <w:p w14:paraId="730AD6CA" w14:textId="5C213C65" w:rsidR="00006FAB" w:rsidRPr="00E93008" w:rsidRDefault="00006FAB" w:rsidP="00577766">
      <w:r w:rsidRPr="00E93008">
        <w:t xml:space="preserve">At the time the </w:t>
      </w:r>
      <w:r w:rsidR="00031EE5" w:rsidRPr="00E93008">
        <w:t>Therapeutic Goods Administration (</w:t>
      </w:r>
      <w:r w:rsidRPr="00E93008">
        <w:t>TGA</w:t>
      </w:r>
      <w:r w:rsidR="00031EE5" w:rsidRPr="00E93008">
        <w:t>)</w:t>
      </w:r>
      <w:r w:rsidRPr="00E93008">
        <w:t xml:space="preserve"> considered this application, a similar application</w:t>
      </w:r>
      <w:r w:rsidR="00BB2064">
        <w:t>s</w:t>
      </w:r>
      <w:r w:rsidRPr="00E93008">
        <w:t xml:space="preserve"> w</w:t>
      </w:r>
      <w:r w:rsidR="00BB2064">
        <w:t>ere</w:t>
      </w:r>
      <w:r w:rsidRPr="00E93008">
        <w:t xml:space="preserve"> </w:t>
      </w:r>
      <w:r w:rsidR="00965BDC" w:rsidRPr="00E93008">
        <w:t xml:space="preserve">approved in </w:t>
      </w:r>
      <w:r w:rsidR="00BB2064">
        <w:t xml:space="preserve">the </w:t>
      </w:r>
      <w:r w:rsidR="00D221B9" w:rsidRPr="00E93008">
        <w:t>European Union</w:t>
      </w:r>
      <w:r w:rsidR="00577766" w:rsidRPr="00E93008">
        <w:t xml:space="preserve"> (EU)</w:t>
      </w:r>
      <w:r w:rsidR="00D221B9" w:rsidRPr="00E93008">
        <w:t xml:space="preserve"> </w:t>
      </w:r>
      <w:r w:rsidR="00AA2D53" w:rsidRPr="00E93008">
        <w:t xml:space="preserve">(submitted </w:t>
      </w:r>
      <w:r w:rsidR="00BB2064">
        <w:t>i</w:t>
      </w:r>
      <w:r w:rsidR="00AA2D53" w:rsidRPr="00E93008">
        <w:t xml:space="preserve">n </w:t>
      </w:r>
      <w:r w:rsidR="00D221B9" w:rsidRPr="00E93008">
        <w:t>May</w:t>
      </w:r>
      <w:r w:rsidR="00BB2064">
        <w:t> </w:t>
      </w:r>
      <w:r w:rsidR="00D221B9" w:rsidRPr="00E93008">
        <w:t>2019</w:t>
      </w:r>
      <w:r w:rsidR="00AA2D53" w:rsidRPr="00E93008">
        <w:t>)</w:t>
      </w:r>
      <w:r w:rsidR="00D221B9" w:rsidRPr="00E93008">
        <w:t xml:space="preserve">, </w:t>
      </w:r>
      <w:r w:rsidR="00965BDC" w:rsidRPr="00E93008">
        <w:t xml:space="preserve">Japan (submitted </w:t>
      </w:r>
      <w:r w:rsidR="00BB2064">
        <w:t xml:space="preserve">on </w:t>
      </w:r>
      <w:r w:rsidR="00965BDC" w:rsidRPr="00E93008">
        <w:t>30 July 2019), and Canada</w:t>
      </w:r>
      <w:r w:rsidR="00D221B9" w:rsidRPr="00E93008">
        <w:t xml:space="preserve"> </w:t>
      </w:r>
      <w:r w:rsidR="00AA2D53" w:rsidRPr="00E93008">
        <w:t xml:space="preserve">(submitted on </w:t>
      </w:r>
      <w:r w:rsidR="00D221B9" w:rsidRPr="00E93008">
        <w:t>22 July 2019</w:t>
      </w:r>
      <w:r w:rsidR="00AA2D53" w:rsidRPr="00E93008">
        <w:t>)</w:t>
      </w:r>
      <w:r w:rsidR="00D221B9" w:rsidRPr="00E93008">
        <w:t xml:space="preserve"> and </w:t>
      </w:r>
      <w:r w:rsidR="00BB2064">
        <w:t xml:space="preserve">an application was </w:t>
      </w:r>
      <w:r w:rsidR="00965BDC" w:rsidRPr="00E93008">
        <w:t>under consideration in Singapore (submitted</w:t>
      </w:r>
      <w:r w:rsidR="00BB2064">
        <w:t xml:space="preserve"> on</w:t>
      </w:r>
      <w:r w:rsidR="00965BDC" w:rsidRPr="00E93008">
        <w:t xml:space="preserve"> 11 December 2019) and </w:t>
      </w:r>
      <w:r w:rsidR="00D221B9" w:rsidRPr="00E93008">
        <w:t xml:space="preserve">Switzerland </w:t>
      </w:r>
      <w:r w:rsidR="00AA2D53" w:rsidRPr="00E93008">
        <w:t xml:space="preserve">(submitted on </w:t>
      </w:r>
      <w:r w:rsidR="00D221B9" w:rsidRPr="00E93008">
        <w:t>6 June 2019</w:t>
      </w:r>
      <w:r w:rsidRPr="00E93008">
        <w:t>).</w:t>
      </w:r>
    </w:p>
    <w:p w14:paraId="01DEF1AE" w14:textId="6C1F5678" w:rsidR="00E42298" w:rsidRPr="00E93008" w:rsidRDefault="00E42298" w:rsidP="00E42298">
      <w:pPr>
        <w:pStyle w:val="TableTitle"/>
      </w:pPr>
      <w:r w:rsidRPr="00E93008">
        <w:t xml:space="preserve">Table </w:t>
      </w:r>
      <w:r>
        <w:fldChar w:fldCharType="begin"/>
      </w:r>
      <w:r>
        <w:instrText>SEQ Table \* ARABIC</w:instrText>
      </w:r>
      <w:r>
        <w:fldChar w:fldCharType="separate"/>
      </w:r>
      <w:r w:rsidR="003A5299">
        <w:rPr>
          <w:noProof/>
        </w:rPr>
        <w:t>1</w:t>
      </w:r>
      <w:r>
        <w:fldChar w:fldCharType="end"/>
      </w:r>
      <w:r w:rsidRPr="00E93008">
        <w:t>: International regulatory status</w:t>
      </w:r>
    </w:p>
    <w:tbl>
      <w:tblPr>
        <w:tblStyle w:val="TableTGAblue"/>
        <w:tblW w:w="5000" w:type="pct"/>
        <w:tblLayout w:type="fixed"/>
        <w:tblLook w:val="04A0" w:firstRow="1" w:lastRow="0" w:firstColumn="1" w:lastColumn="0" w:noHBand="0" w:noVBand="1"/>
      </w:tblPr>
      <w:tblGrid>
        <w:gridCol w:w="1521"/>
        <w:gridCol w:w="1890"/>
        <w:gridCol w:w="1824"/>
        <w:gridCol w:w="3249"/>
      </w:tblGrid>
      <w:tr w:rsidR="00C90327" w:rsidRPr="00E93008" w14:paraId="0C60F4AC" w14:textId="77777777" w:rsidTr="002C2F38">
        <w:trPr>
          <w:cnfStyle w:val="100000000000" w:firstRow="1" w:lastRow="0" w:firstColumn="0" w:lastColumn="0" w:oddVBand="0" w:evenVBand="0" w:oddHBand="0" w:evenHBand="0" w:firstRowFirstColumn="0" w:firstRowLastColumn="0" w:lastRowFirstColumn="0" w:lastRowLastColumn="0"/>
        </w:trPr>
        <w:tc>
          <w:tcPr>
            <w:tcW w:w="896" w:type="pct"/>
          </w:tcPr>
          <w:p w14:paraId="60EA6212" w14:textId="77777777" w:rsidR="00E42298" w:rsidRPr="007E589B" w:rsidRDefault="00E42298" w:rsidP="007E589B">
            <w:r w:rsidRPr="000F5225">
              <w:t>Region</w:t>
            </w:r>
          </w:p>
        </w:tc>
        <w:tc>
          <w:tcPr>
            <w:tcW w:w="1114" w:type="pct"/>
          </w:tcPr>
          <w:p w14:paraId="1AC13FC9" w14:textId="77777777" w:rsidR="00E42298" w:rsidRPr="007E589B" w:rsidRDefault="00E42298" w:rsidP="007E589B">
            <w:r w:rsidRPr="007E589B">
              <w:t>Submission date</w:t>
            </w:r>
          </w:p>
        </w:tc>
        <w:tc>
          <w:tcPr>
            <w:tcW w:w="1075" w:type="pct"/>
          </w:tcPr>
          <w:p w14:paraId="02B8B413" w14:textId="77777777" w:rsidR="00E42298" w:rsidRPr="007E589B" w:rsidRDefault="00E42298" w:rsidP="007E589B">
            <w:r w:rsidRPr="007E589B">
              <w:t>Status</w:t>
            </w:r>
          </w:p>
        </w:tc>
        <w:tc>
          <w:tcPr>
            <w:tcW w:w="1915" w:type="pct"/>
          </w:tcPr>
          <w:p w14:paraId="02E0FD45" w14:textId="77777777" w:rsidR="00E42298" w:rsidRPr="007E589B" w:rsidRDefault="00E42298" w:rsidP="007E589B">
            <w:r w:rsidRPr="007E589B">
              <w:t>Approved indications</w:t>
            </w:r>
          </w:p>
        </w:tc>
      </w:tr>
      <w:tr w:rsidR="00C90327" w:rsidRPr="00E93008" w14:paraId="0317A36E" w14:textId="77777777" w:rsidTr="002C2F38">
        <w:tc>
          <w:tcPr>
            <w:tcW w:w="896" w:type="pct"/>
          </w:tcPr>
          <w:p w14:paraId="7E972239" w14:textId="2B11BC8F" w:rsidR="00E42298" w:rsidRPr="00C90327" w:rsidRDefault="00440F85" w:rsidP="007E589B">
            <w:r w:rsidRPr="00C90327">
              <w:t>E</w:t>
            </w:r>
            <w:r w:rsidR="00C90327">
              <w:t>uropean Union</w:t>
            </w:r>
          </w:p>
        </w:tc>
        <w:tc>
          <w:tcPr>
            <w:tcW w:w="1114" w:type="pct"/>
          </w:tcPr>
          <w:p w14:paraId="0708E2AF" w14:textId="77777777" w:rsidR="00E42298" w:rsidRPr="00C90327" w:rsidRDefault="00440F85" w:rsidP="007E589B">
            <w:r w:rsidRPr="00C90327">
              <w:t>May 2019</w:t>
            </w:r>
          </w:p>
        </w:tc>
        <w:tc>
          <w:tcPr>
            <w:tcW w:w="1075" w:type="pct"/>
          </w:tcPr>
          <w:p w14:paraId="7AED0C4B" w14:textId="3BAA3934" w:rsidR="00E42298" w:rsidRPr="00C90327" w:rsidRDefault="00E42298" w:rsidP="007E589B">
            <w:r w:rsidRPr="00C90327">
              <w:t xml:space="preserve">Approved on </w:t>
            </w:r>
            <w:r w:rsidR="00440F85" w:rsidRPr="00C90327">
              <w:t>3</w:t>
            </w:r>
            <w:r w:rsidR="00C90327">
              <w:t> </w:t>
            </w:r>
            <w:r w:rsidR="00440F85" w:rsidRPr="00C90327">
              <w:t>July</w:t>
            </w:r>
            <w:r w:rsidR="00C90327">
              <w:t> </w:t>
            </w:r>
            <w:r w:rsidR="00440F85" w:rsidRPr="00C90327">
              <w:t>2019</w:t>
            </w:r>
          </w:p>
        </w:tc>
        <w:tc>
          <w:tcPr>
            <w:tcW w:w="1915" w:type="pct"/>
          </w:tcPr>
          <w:p w14:paraId="72FD8657" w14:textId="77777777" w:rsidR="00E42298" w:rsidRPr="007E589B" w:rsidRDefault="00E675AD" w:rsidP="007E589B">
            <w:pPr>
              <w:rPr>
                <w:i/>
              </w:rPr>
            </w:pPr>
            <w:proofErr w:type="spellStart"/>
            <w:r w:rsidRPr="007E589B">
              <w:rPr>
                <w:i/>
              </w:rPr>
              <w:t>Enerzair</w:t>
            </w:r>
            <w:proofErr w:type="spellEnd"/>
            <w:r w:rsidRPr="007E589B">
              <w:rPr>
                <w:i/>
              </w:rPr>
              <w:t xml:space="preserve"> Breezhaler (150/50/160 μg) is indicated as a maintenance treatment of asthma in adult patients not adequately controlled with a maintenance combination of a long-acting beta2-agonist and a high dose of an inhaled corticosteroid who experienced one or more asthma exacerbations in the previous year.</w:t>
            </w:r>
          </w:p>
        </w:tc>
      </w:tr>
      <w:tr w:rsidR="00C90327" w:rsidRPr="00E93008" w14:paraId="27E572C1" w14:textId="77777777" w:rsidTr="002C2F38">
        <w:tc>
          <w:tcPr>
            <w:tcW w:w="896" w:type="pct"/>
          </w:tcPr>
          <w:p w14:paraId="3CE57520" w14:textId="77777777" w:rsidR="00E42298" w:rsidRPr="00C90327" w:rsidRDefault="00E675AD" w:rsidP="007E589B">
            <w:r w:rsidRPr="00C90327">
              <w:t>Japan</w:t>
            </w:r>
          </w:p>
        </w:tc>
        <w:tc>
          <w:tcPr>
            <w:tcW w:w="1114" w:type="pct"/>
          </w:tcPr>
          <w:p w14:paraId="49CB0F03" w14:textId="77777777" w:rsidR="00E42298" w:rsidRPr="00C90327" w:rsidRDefault="00E675AD" w:rsidP="007E589B">
            <w:r w:rsidRPr="00C90327">
              <w:t>30 July 2019</w:t>
            </w:r>
          </w:p>
        </w:tc>
        <w:tc>
          <w:tcPr>
            <w:tcW w:w="1075" w:type="pct"/>
          </w:tcPr>
          <w:p w14:paraId="76DF9BD3" w14:textId="0D6935EE" w:rsidR="00E42298" w:rsidRPr="00C90327" w:rsidRDefault="00E675AD" w:rsidP="007E589B">
            <w:r w:rsidRPr="00C90327">
              <w:t>Approved</w:t>
            </w:r>
            <w:r w:rsidR="00C90327">
              <w:t xml:space="preserve"> on</w:t>
            </w:r>
            <w:r w:rsidR="007E589B">
              <w:t xml:space="preserve"> </w:t>
            </w:r>
            <w:r w:rsidRPr="00C90327">
              <w:t>29</w:t>
            </w:r>
            <w:r w:rsidR="00C90327">
              <w:t> </w:t>
            </w:r>
            <w:r w:rsidRPr="00C90327">
              <w:t>Jun</w:t>
            </w:r>
            <w:r w:rsidR="00C90327">
              <w:t>e </w:t>
            </w:r>
            <w:r w:rsidRPr="00C90327">
              <w:t>2020</w:t>
            </w:r>
          </w:p>
        </w:tc>
        <w:tc>
          <w:tcPr>
            <w:tcW w:w="1915" w:type="pct"/>
          </w:tcPr>
          <w:p w14:paraId="7B69E0E4" w14:textId="6F3ADF41" w:rsidR="00E42298" w:rsidRPr="009078AD" w:rsidRDefault="00E675AD" w:rsidP="007E589B">
            <w:pPr>
              <w:rPr>
                <w:i/>
              </w:rPr>
            </w:pPr>
            <w:proofErr w:type="spellStart"/>
            <w:r w:rsidRPr="007E589B">
              <w:rPr>
                <w:i/>
              </w:rPr>
              <w:t>Enerzair</w:t>
            </w:r>
            <w:proofErr w:type="spellEnd"/>
            <w:r w:rsidRPr="007E589B">
              <w:rPr>
                <w:i/>
              </w:rPr>
              <w:t xml:space="preserve"> (150/50/80 μg </w:t>
            </w:r>
            <w:r w:rsidR="00C90327" w:rsidRPr="007E589B">
              <w:rPr>
                <w:i/>
              </w:rPr>
              <w:t xml:space="preserve">and </w:t>
            </w:r>
            <w:r w:rsidRPr="007E589B">
              <w:rPr>
                <w:i/>
              </w:rPr>
              <w:t>150/50/160 μg) approved indication:</w:t>
            </w:r>
            <w:r w:rsidR="000158B8" w:rsidRPr="007E589B">
              <w:rPr>
                <w:i/>
              </w:rPr>
              <w:t xml:space="preserve"> </w:t>
            </w:r>
            <w:r w:rsidRPr="007E589B">
              <w:rPr>
                <w:i/>
              </w:rPr>
              <w:t>Bronchial asthma (in case requiring combination use of inhaled corticosteroid, inhaled long</w:t>
            </w:r>
            <w:r w:rsidR="00C90327">
              <w:rPr>
                <w:i/>
              </w:rPr>
              <w:t xml:space="preserve"> </w:t>
            </w:r>
            <w:r w:rsidRPr="009078AD">
              <w:rPr>
                <w:i/>
              </w:rPr>
              <w:t>acting</w:t>
            </w:r>
            <w:r w:rsidR="000158B8" w:rsidRPr="009078AD">
              <w:rPr>
                <w:i/>
              </w:rPr>
              <w:t xml:space="preserve"> beta</w:t>
            </w:r>
            <w:r w:rsidR="00C90327">
              <w:rPr>
                <w:i/>
              </w:rPr>
              <w:t xml:space="preserve">  </w:t>
            </w:r>
            <w:r w:rsidRPr="009078AD">
              <w:rPr>
                <w:i/>
              </w:rPr>
              <w:t>2</w:t>
            </w:r>
            <w:r w:rsidR="00C90327">
              <w:rPr>
                <w:i/>
              </w:rPr>
              <w:t xml:space="preserve"> </w:t>
            </w:r>
            <w:r w:rsidRPr="009078AD">
              <w:rPr>
                <w:i/>
              </w:rPr>
              <w:t>adrenergic agonist and inhaled long-acting anticholinergic agent)</w:t>
            </w:r>
            <w:r w:rsidR="005445E9">
              <w:rPr>
                <w:i/>
              </w:rPr>
              <w:t>.</w:t>
            </w:r>
          </w:p>
        </w:tc>
      </w:tr>
      <w:tr w:rsidR="00C90327" w:rsidRPr="00E93008" w14:paraId="7C9BA23F" w14:textId="77777777" w:rsidTr="002C2F38">
        <w:tc>
          <w:tcPr>
            <w:tcW w:w="896" w:type="pct"/>
          </w:tcPr>
          <w:p w14:paraId="28702D8E" w14:textId="77777777" w:rsidR="000158B8" w:rsidRPr="00C90327" w:rsidRDefault="000158B8" w:rsidP="009078AD">
            <w:r w:rsidRPr="00C90327">
              <w:t>Singapore</w:t>
            </w:r>
          </w:p>
        </w:tc>
        <w:tc>
          <w:tcPr>
            <w:tcW w:w="1114" w:type="pct"/>
          </w:tcPr>
          <w:p w14:paraId="2B901AF4" w14:textId="04F1B452" w:rsidR="000158B8" w:rsidRPr="00C90327" w:rsidRDefault="000158B8" w:rsidP="009078AD">
            <w:r w:rsidRPr="00C90327">
              <w:t>11 December</w:t>
            </w:r>
            <w:r w:rsidR="00C90327">
              <w:t xml:space="preserve"> </w:t>
            </w:r>
            <w:r w:rsidRPr="00C90327">
              <w:t>2019</w:t>
            </w:r>
          </w:p>
        </w:tc>
        <w:tc>
          <w:tcPr>
            <w:tcW w:w="1075" w:type="pct"/>
          </w:tcPr>
          <w:p w14:paraId="4B9E94F7" w14:textId="204AB7F0" w:rsidR="000158B8" w:rsidRPr="00C90327" w:rsidRDefault="000158B8" w:rsidP="009078AD">
            <w:r w:rsidRPr="00C90327">
              <w:t>Under</w:t>
            </w:r>
            <w:r w:rsidR="00C90327">
              <w:t xml:space="preserve"> </w:t>
            </w:r>
            <w:r w:rsidR="00965BDC" w:rsidRPr="00C90327">
              <w:t>consideration</w:t>
            </w:r>
          </w:p>
        </w:tc>
        <w:tc>
          <w:tcPr>
            <w:tcW w:w="1915" w:type="pct"/>
          </w:tcPr>
          <w:p w14:paraId="40364256" w14:textId="7FBA1096" w:rsidR="000158B8" w:rsidRPr="00C90327" w:rsidRDefault="00542ACC" w:rsidP="009078AD">
            <w:r w:rsidRPr="00C90327">
              <w:t>Under</w:t>
            </w:r>
            <w:r w:rsidR="00C90327">
              <w:t xml:space="preserve"> </w:t>
            </w:r>
            <w:r w:rsidRPr="00C90327">
              <w:t>consideration</w:t>
            </w:r>
          </w:p>
        </w:tc>
      </w:tr>
      <w:tr w:rsidR="00C90327" w:rsidRPr="00E93008" w14:paraId="10759E90" w14:textId="77777777" w:rsidTr="002C2F38">
        <w:tc>
          <w:tcPr>
            <w:tcW w:w="896" w:type="pct"/>
          </w:tcPr>
          <w:p w14:paraId="79AC5640" w14:textId="4D7714F3" w:rsidR="000158B8" w:rsidRPr="00C90327" w:rsidRDefault="000158B8" w:rsidP="009078AD">
            <w:r w:rsidRPr="00C90327">
              <w:t>Canada</w:t>
            </w:r>
          </w:p>
        </w:tc>
        <w:tc>
          <w:tcPr>
            <w:tcW w:w="1114" w:type="pct"/>
          </w:tcPr>
          <w:p w14:paraId="6375CFC2" w14:textId="77777777" w:rsidR="000158B8" w:rsidRPr="00C90327" w:rsidRDefault="000158B8" w:rsidP="009078AD">
            <w:r w:rsidRPr="00C90327">
              <w:t>22 July 2019</w:t>
            </w:r>
          </w:p>
        </w:tc>
        <w:tc>
          <w:tcPr>
            <w:tcW w:w="1075" w:type="pct"/>
          </w:tcPr>
          <w:p w14:paraId="34973922" w14:textId="750298D9" w:rsidR="000158B8" w:rsidRPr="00C90327" w:rsidRDefault="000158B8" w:rsidP="009078AD">
            <w:r w:rsidRPr="00C90327">
              <w:t>Approved</w:t>
            </w:r>
            <w:r w:rsidR="00C90327">
              <w:t xml:space="preserve"> on </w:t>
            </w:r>
            <w:r w:rsidRPr="00C90327">
              <w:t>2</w:t>
            </w:r>
            <w:r w:rsidR="00C90327">
              <w:t> </w:t>
            </w:r>
            <w:r w:rsidRPr="00C90327">
              <w:t>July</w:t>
            </w:r>
            <w:r w:rsidR="00C90327">
              <w:t> </w:t>
            </w:r>
            <w:r w:rsidRPr="00C90327">
              <w:t>2020</w:t>
            </w:r>
          </w:p>
        </w:tc>
        <w:tc>
          <w:tcPr>
            <w:tcW w:w="1915" w:type="pct"/>
          </w:tcPr>
          <w:p w14:paraId="2877A159" w14:textId="77777777" w:rsidR="000158B8" w:rsidRPr="009078AD" w:rsidRDefault="000158B8" w:rsidP="009078AD">
            <w:pPr>
              <w:rPr>
                <w:i/>
              </w:rPr>
            </w:pPr>
            <w:proofErr w:type="spellStart"/>
            <w:r w:rsidRPr="009078AD">
              <w:rPr>
                <w:i/>
              </w:rPr>
              <w:t>Enerzair</w:t>
            </w:r>
            <w:proofErr w:type="spellEnd"/>
            <w:r w:rsidRPr="009078AD">
              <w:rPr>
                <w:i/>
              </w:rPr>
              <w:t xml:space="preserve"> Breezhaler (150/50/160 μg) is indicated as a maintenance treatment of asthma in adult patients not adequately controlled with a maintenance combination of a long-acting beta2-agonist and a medium or high dose of an inhaled corticosteroid who experienced one or more asthma exacerbations in the previous 12 months.</w:t>
            </w:r>
          </w:p>
        </w:tc>
      </w:tr>
      <w:tr w:rsidR="00C90327" w:rsidRPr="00E93008" w14:paraId="79173E02" w14:textId="77777777" w:rsidTr="002C2F38">
        <w:tc>
          <w:tcPr>
            <w:tcW w:w="896" w:type="pct"/>
          </w:tcPr>
          <w:p w14:paraId="0B50BBE1" w14:textId="77777777" w:rsidR="000158B8" w:rsidRPr="00C90327" w:rsidRDefault="000158B8" w:rsidP="009078AD">
            <w:r w:rsidRPr="00C90327">
              <w:t>Switzerland</w:t>
            </w:r>
          </w:p>
        </w:tc>
        <w:tc>
          <w:tcPr>
            <w:tcW w:w="1114" w:type="pct"/>
          </w:tcPr>
          <w:p w14:paraId="334457BE" w14:textId="5A427DA0" w:rsidR="000158B8" w:rsidRPr="00C90327" w:rsidRDefault="000158B8" w:rsidP="009078AD">
            <w:r w:rsidRPr="00C90327">
              <w:t>6 June 2019</w:t>
            </w:r>
          </w:p>
        </w:tc>
        <w:tc>
          <w:tcPr>
            <w:tcW w:w="1075" w:type="pct"/>
          </w:tcPr>
          <w:p w14:paraId="380F56AB" w14:textId="5CF895AA" w:rsidR="000158B8" w:rsidRPr="00C90327" w:rsidRDefault="008C19E8" w:rsidP="002C2F38">
            <w:pPr>
              <w:ind w:left="13"/>
            </w:pPr>
            <w:r w:rsidRPr="00C90327">
              <w:t xml:space="preserve">Approved </w:t>
            </w:r>
            <w:r w:rsidR="00C90327">
              <w:t xml:space="preserve">on </w:t>
            </w:r>
            <w:r w:rsidRPr="00C90327">
              <w:t>24</w:t>
            </w:r>
            <w:r w:rsidR="00C90327">
              <w:t> </w:t>
            </w:r>
            <w:r w:rsidRPr="00C90327">
              <w:t>September</w:t>
            </w:r>
            <w:r w:rsidR="009078AD">
              <w:t xml:space="preserve"> </w:t>
            </w:r>
            <w:r w:rsidRPr="00C90327">
              <w:t>2020</w:t>
            </w:r>
          </w:p>
        </w:tc>
        <w:tc>
          <w:tcPr>
            <w:tcW w:w="1915" w:type="pct"/>
          </w:tcPr>
          <w:p w14:paraId="2B12536D" w14:textId="05A66B05" w:rsidR="000158B8" w:rsidRPr="009078AD" w:rsidRDefault="00750797" w:rsidP="009078AD">
            <w:pPr>
              <w:rPr>
                <w:i/>
              </w:rPr>
            </w:pPr>
            <w:proofErr w:type="spellStart"/>
            <w:r w:rsidRPr="009078AD">
              <w:rPr>
                <w:i/>
              </w:rPr>
              <w:t>Enerzair</w:t>
            </w:r>
            <w:proofErr w:type="spellEnd"/>
            <w:r w:rsidRPr="009078AD">
              <w:rPr>
                <w:i/>
              </w:rPr>
              <w:t xml:space="preserve"> Breezhaler is indicated as a maintenance treatment in asthma and to improve lung function in adults for whom a maintenance combination of a long-acting beta2 agonist and inhaled corticosteroid does not offer sufficient control</w:t>
            </w:r>
            <w:r w:rsidR="005445E9">
              <w:rPr>
                <w:i/>
              </w:rPr>
              <w:t>.</w:t>
            </w:r>
          </w:p>
        </w:tc>
      </w:tr>
    </w:tbl>
    <w:p w14:paraId="63DD4274" w14:textId="77777777" w:rsidR="008E7846" w:rsidRPr="00E93008" w:rsidRDefault="008E7846" w:rsidP="00940A89">
      <w:pPr>
        <w:pStyle w:val="Heading3"/>
      </w:pPr>
      <w:bookmarkStart w:id="23" w:name="_Toc69998855"/>
      <w:r w:rsidRPr="00E93008">
        <w:t>Product Information</w:t>
      </w:r>
      <w:bookmarkEnd w:id="21"/>
      <w:bookmarkEnd w:id="22"/>
      <w:bookmarkEnd w:id="23"/>
    </w:p>
    <w:p w14:paraId="3A4B49B0" w14:textId="09453381" w:rsidR="00940A89" w:rsidRPr="00E93008" w:rsidRDefault="006136D7" w:rsidP="00940A89">
      <w:bookmarkStart w:id="24" w:name="_Toc247691506"/>
      <w:bookmarkStart w:id="25" w:name="_Toc314842487"/>
      <w:r w:rsidRPr="00E93008">
        <w:t xml:space="preserve">The </w:t>
      </w:r>
      <w:r w:rsidR="00031EE5" w:rsidRPr="00E93008">
        <w:t>Product Information (</w:t>
      </w:r>
      <w:r w:rsidRPr="00E93008">
        <w:t>PI</w:t>
      </w:r>
      <w:r w:rsidR="00031EE5" w:rsidRPr="00E93008">
        <w:t>)</w:t>
      </w:r>
      <w:r w:rsidRPr="00E93008">
        <w:t xml:space="preserve"> approved with the submission which is described in this AusPAR can be found as Attachment 1. For the most recent PI, please refer to the TGA website at </w:t>
      </w:r>
      <w:r w:rsidR="00441C3F" w:rsidRPr="00E93008">
        <w:t>&lt;</w:t>
      </w:r>
      <w:hyperlink r:id="rId19" w:history="1">
        <w:r w:rsidR="00441C3F" w:rsidRPr="00E93008">
          <w:rPr>
            <w:rStyle w:val="Hyperlink"/>
          </w:rPr>
          <w:t>https://www.tga.gov.au/product-information-pi</w:t>
        </w:r>
      </w:hyperlink>
      <w:r w:rsidR="00441C3F" w:rsidRPr="00E93008">
        <w:t>&gt;</w:t>
      </w:r>
      <w:r w:rsidR="00940A89" w:rsidRPr="00E93008">
        <w:t>.</w:t>
      </w:r>
    </w:p>
    <w:p w14:paraId="7556ADD7" w14:textId="77777777" w:rsidR="00500337" w:rsidRPr="00E93008" w:rsidRDefault="00500337" w:rsidP="00500337">
      <w:pPr>
        <w:pStyle w:val="Heading2"/>
      </w:pPr>
      <w:bookmarkStart w:id="26" w:name="_Toc504480011"/>
      <w:bookmarkStart w:id="27" w:name="_Toc69998856"/>
      <w:r w:rsidRPr="00E93008">
        <w:t>II. Registration timeline</w:t>
      </w:r>
      <w:bookmarkEnd w:id="26"/>
      <w:bookmarkEnd w:id="27"/>
    </w:p>
    <w:p w14:paraId="19580732" w14:textId="77777777" w:rsidR="00500337" w:rsidRPr="00E93008" w:rsidRDefault="00500337" w:rsidP="00500337">
      <w:r w:rsidRPr="00E93008">
        <w:t>The following table captures the key steps and dates for this application and which are detailed and discussed in this AusPAR.</w:t>
      </w:r>
    </w:p>
    <w:p w14:paraId="6118C6D4" w14:textId="221F3774" w:rsidR="006A58A8" w:rsidRPr="00E93008" w:rsidRDefault="00E42298" w:rsidP="00E42298">
      <w:pPr>
        <w:pStyle w:val="TableTitle"/>
      </w:pPr>
      <w:r w:rsidRPr="00E93008">
        <w:t xml:space="preserve">Table </w:t>
      </w:r>
      <w:r>
        <w:fldChar w:fldCharType="begin"/>
      </w:r>
      <w:r>
        <w:instrText>SEQ Table \* ARABIC</w:instrText>
      </w:r>
      <w:r>
        <w:fldChar w:fldCharType="separate"/>
      </w:r>
      <w:r w:rsidR="003A5299">
        <w:rPr>
          <w:noProof/>
        </w:rPr>
        <w:t>2</w:t>
      </w:r>
      <w:r>
        <w:fldChar w:fldCharType="end"/>
      </w:r>
      <w:r w:rsidR="00006FAB" w:rsidRPr="00E93008">
        <w:t>:</w:t>
      </w:r>
      <w:r w:rsidR="00C42B35" w:rsidRPr="00E93008">
        <w:t xml:space="preserve"> Timeline for Submission PM-2019</w:t>
      </w:r>
      <w:r w:rsidR="006A58A8" w:rsidRPr="00E93008">
        <w:t>-</w:t>
      </w:r>
      <w:r w:rsidR="00C42B35" w:rsidRPr="00E93008">
        <w:t>02514</w:t>
      </w:r>
      <w:r w:rsidR="006A58A8" w:rsidRPr="00E93008">
        <w:t>-1-</w:t>
      </w:r>
      <w:r w:rsidR="00C42B35" w:rsidRPr="00E93008">
        <w:t>5</w:t>
      </w:r>
    </w:p>
    <w:tbl>
      <w:tblPr>
        <w:tblStyle w:val="TableTGAblue"/>
        <w:tblW w:w="0" w:type="auto"/>
        <w:tblLook w:val="04A0" w:firstRow="1" w:lastRow="0" w:firstColumn="1" w:lastColumn="0" w:noHBand="0" w:noVBand="1"/>
      </w:tblPr>
      <w:tblGrid>
        <w:gridCol w:w="6232"/>
        <w:gridCol w:w="2262"/>
      </w:tblGrid>
      <w:tr w:rsidR="00500337" w:rsidRPr="00E93008" w14:paraId="7ABFA660" w14:textId="77777777" w:rsidTr="002C2F38">
        <w:trPr>
          <w:cnfStyle w:val="100000000000" w:firstRow="1" w:lastRow="0" w:firstColumn="0" w:lastColumn="0" w:oddVBand="0" w:evenVBand="0" w:oddHBand="0" w:evenHBand="0" w:firstRowFirstColumn="0" w:firstRowLastColumn="0" w:lastRowFirstColumn="0" w:lastRowLastColumn="0"/>
          <w:cantSplit/>
        </w:trPr>
        <w:tc>
          <w:tcPr>
            <w:tcW w:w="6232" w:type="dxa"/>
            <w:tcBorders>
              <w:top w:val="single" w:sz="4" w:space="0" w:color="auto"/>
              <w:left w:val="single" w:sz="4" w:space="0" w:color="auto"/>
              <w:bottom w:val="single" w:sz="4" w:space="0" w:color="auto"/>
              <w:right w:val="single" w:sz="4" w:space="0" w:color="auto"/>
            </w:tcBorders>
          </w:tcPr>
          <w:p w14:paraId="0E909FAA" w14:textId="77777777" w:rsidR="00500337" w:rsidRPr="00E93008" w:rsidRDefault="00500337" w:rsidP="00500337">
            <w:pPr>
              <w:ind w:left="0" w:right="0"/>
            </w:pPr>
            <w:r w:rsidRPr="00E93008">
              <w:t>Description</w:t>
            </w:r>
          </w:p>
        </w:tc>
        <w:tc>
          <w:tcPr>
            <w:tcW w:w="2262" w:type="dxa"/>
            <w:tcBorders>
              <w:top w:val="single" w:sz="4" w:space="0" w:color="auto"/>
              <w:left w:val="single" w:sz="4" w:space="0" w:color="auto"/>
              <w:bottom w:val="single" w:sz="4" w:space="0" w:color="auto"/>
              <w:right w:val="single" w:sz="4" w:space="0" w:color="auto"/>
            </w:tcBorders>
          </w:tcPr>
          <w:p w14:paraId="5D49FEC5" w14:textId="77777777" w:rsidR="00500337" w:rsidRPr="00E93008" w:rsidRDefault="00500337" w:rsidP="00500337">
            <w:pPr>
              <w:ind w:left="0" w:right="0"/>
            </w:pPr>
            <w:r w:rsidRPr="00E93008">
              <w:t>Date</w:t>
            </w:r>
          </w:p>
        </w:tc>
      </w:tr>
      <w:tr w:rsidR="00500337" w:rsidRPr="00E93008" w14:paraId="54BFA923" w14:textId="77777777" w:rsidTr="002C2F38">
        <w:tc>
          <w:tcPr>
            <w:tcW w:w="6232" w:type="dxa"/>
            <w:tcBorders>
              <w:top w:val="single" w:sz="4" w:space="0" w:color="auto"/>
            </w:tcBorders>
          </w:tcPr>
          <w:p w14:paraId="255EB6C6" w14:textId="77777777" w:rsidR="00500337" w:rsidRPr="00E93008" w:rsidRDefault="00500337" w:rsidP="00500337">
            <w:pPr>
              <w:ind w:left="0" w:right="0"/>
            </w:pPr>
            <w:r w:rsidRPr="00E93008">
              <w:t>Submission dossier accepted and first round evaluation commenced</w:t>
            </w:r>
          </w:p>
        </w:tc>
        <w:tc>
          <w:tcPr>
            <w:tcW w:w="2262" w:type="dxa"/>
            <w:tcBorders>
              <w:top w:val="single" w:sz="4" w:space="0" w:color="auto"/>
            </w:tcBorders>
          </w:tcPr>
          <w:p w14:paraId="3D96942F" w14:textId="77777777" w:rsidR="00500337" w:rsidRPr="00E93008" w:rsidRDefault="00B22B08" w:rsidP="00500337">
            <w:pPr>
              <w:ind w:left="0" w:right="0"/>
            </w:pPr>
            <w:r w:rsidRPr="00E93008">
              <w:t>31 July 2019</w:t>
            </w:r>
          </w:p>
        </w:tc>
      </w:tr>
      <w:tr w:rsidR="00500337" w:rsidRPr="00E93008" w14:paraId="74A548C7" w14:textId="77777777" w:rsidTr="002C2F38">
        <w:tc>
          <w:tcPr>
            <w:tcW w:w="6232" w:type="dxa"/>
          </w:tcPr>
          <w:p w14:paraId="57C88A4A" w14:textId="77777777" w:rsidR="00500337" w:rsidRPr="00E93008" w:rsidRDefault="00500337" w:rsidP="00500337">
            <w:pPr>
              <w:ind w:left="0" w:right="0"/>
            </w:pPr>
            <w:r w:rsidRPr="00E93008">
              <w:t>First round evaluation completed</w:t>
            </w:r>
          </w:p>
        </w:tc>
        <w:tc>
          <w:tcPr>
            <w:tcW w:w="2262" w:type="dxa"/>
          </w:tcPr>
          <w:p w14:paraId="436E2C46" w14:textId="77777777" w:rsidR="00500337" w:rsidRPr="00E93008" w:rsidRDefault="00B22B08" w:rsidP="00500337">
            <w:pPr>
              <w:ind w:left="0" w:right="0"/>
            </w:pPr>
            <w:r w:rsidRPr="00E93008">
              <w:t>5 March 2020</w:t>
            </w:r>
          </w:p>
        </w:tc>
      </w:tr>
      <w:tr w:rsidR="00500337" w:rsidRPr="00E93008" w14:paraId="569EA74D" w14:textId="77777777" w:rsidTr="002C2F38">
        <w:tc>
          <w:tcPr>
            <w:tcW w:w="6232" w:type="dxa"/>
          </w:tcPr>
          <w:p w14:paraId="03E5E1D9" w14:textId="77777777" w:rsidR="00500337" w:rsidRPr="00E93008" w:rsidRDefault="00500337" w:rsidP="00500337">
            <w:pPr>
              <w:ind w:left="0" w:right="0"/>
            </w:pPr>
            <w:r w:rsidRPr="00E93008">
              <w:t>Sponsor provides responses on questions raised in first round evaluation</w:t>
            </w:r>
          </w:p>
        </w:tc>
        <w:tc>
          <w:tcPr>
            <w:tcW w:w="2262" w:type="dxa"/>
          </w:tcPr>
          <w:p w14:paraId="2515F682" w14:textId="77777777" w:rsidR="00500337" w:rsidRPr="00E93008" w:rsidRDefault="00B22B08" w:rsidP="00500337">
            <w:pPr>
              <w:ind w:left="0" w:right="0"/>
            </w:pPr>
            <w:r w:rsidRPr="00E93008">
              <w:t>14 April 2020</w:t>
            </w:r>
          </w:p>
        </w:tc>
      </w:tr>
      <w:tr w:rsidR="00500337" w:rsidRPr="00E93008" w14:paraId="6061D319" w14:textId="77777777" w:rsidTr="002C2F38">
        <w:tc>
          <w:tcPr>
            <w:tcW w:w="6232" w:type="dxa"/>
          </w:tcPr>
          <w:p w14:paraId="1F851927" w14:textId="77777777" w:rsidR="00500337" w:rsidRPr="00E93008" w:rsidRDefault="00500337" w:rsidP="00500337">
            <w:pPr>
              <w:ind w:left="0" w:right="0"/>
            </w:pPr>
            <w:r w:rsidRPr="00E93008">
              <w:t>Second round evaluation completed</w:t>
            </w:r>
          </w:p>
        </w:tc>
        <w:tc>
          <w:tcPr>
            <w:tcW w:w="2262" w:type="dxa"/>
          </w:tcPr>
          <w:p w14:paraId="5022C163" w14:textId="77777777" w:rsidR="00500337" w:rsidRPr="00E93008" w:rsidRDefault="00B22B08" w:rsidP="00500337">
            <w:pPr>
              <w:ind w:left="0" w:right="0"/>
            </w:pPr>
            <w:r w:rsidRPr="00E93008">
              <w:t>25 May 2020</w:t>
            </w:r>
          </w:p>
        </w:tc>
      </w:tr>
      <w:tr w:rsidR="00500337" w:rsidRPr="00E93008" w14:paraId="2AEB7CA8" w14:textId="77777777" w:rsidTr="002C2F38">
        <w:tc>
          <w:tcPr>
            <w:tcW w:w="6232" w:type="dxa"/>
          </w:tcPr>
          <w:p w14:paraId="23EC41A5" w14:textId="77777777" w:rsidR="00500337" w:rsidRPr="00E93008" w:rsidRDefault="00500337" w:rsidP="00500337">
            <w:pPr>
              <w:ind w:left="0" w:right="0"/>
            </w:pPr>
            <w:r w:rsidRPr="00E93008">
              <w:t>Delegate’s Overall benefit-risk assessment and request for Advisory Committee advice</w:t>
            </w:r>
          </w:p>
        </w:tc>
        <w:tc>
          <w:tcPr>
            <w:tcW w:w="2262" w:type="dxa"/>
          </w:tcPr>
          <w:p w14:paraId="399F2F6F" w14:textId="77777777" w:rsidR="00500337" w:rsidRPr="00E93008" w:rsidRDefault="00B22B08" w:rsidP="00500337">
            <w:pPr>
              <w:ind w:left="0" w:right="0"/>
            </w:pPr>
            <w:r w:rsidRPr="00E93008">
              <w:t>7 July 2020</w:t>
            </w:r>
          </w:p>
        </w:tc>
      </w:tr>
      <w:tr w:rsidR="00500337" w:rsidRPr="00E93008" w14:paraId="7D9C7555" w14:textId="77777777" w:rsidTr="002C2F38">
        <w:tc>
          <w:tcPr>
            <w:tcW w:w="6232" w:type="dxa"/>
          </w:tcPr>
          <w:p w14:paraId="271A0FE0" w14:textId="77777777" w:rsidR="00500337" w:rsidRPr="00E93008" w:rsidRDefault="00500337" w:rsidP="00500337">
            <w:pPr>
              <w:ind w:left="0" w:right="0"/>
            </w:pPr>
            <w:r w:rsidRPr="00E93008">
              <w:t>Sponsor’s pre-Advisory Committee response</w:t>
            </w:r>
          </w:p>
        </w:tc>
        <w:tc>
          <w:tcPr>
            <w:tcW w:w="2262" w:type="dxa"/>
          </w:tcPr>
          <w:p w14:paraId="2DDFCBDC" w14:textId="77777777" w:rsidR="00500337" w:rsidRPr="00E93008" w:rsidRDefault="004969B8" w:rsidP="00500337">
            <w:pPr>
              <w:ind w:left="0" w:right="0"/>
            </w:pPr>
            <w:r w:rsidRPr="00E93008">
              <w:t>23 July 2020</w:t>
            </w:r>
          </w:p>
        </w:tc>
      </w:tr>
      <w:tr w:rsidR="00500337" w:rsidRPr="00E93008" w14:paraId="58F2BD45" w14:textId="77777777" w:rsidTr="002C2F38">
        <w:tc>
          <w:tcPr>
            <w:tcW w:w="6232" w:type="dxa"/>
          </w:tcPr>
          <w:p w14:paraId="764E49D8" w14:textId="77777777" w:rsidR="00500337" w:rsidRPr="00E93008" w:rsidRDefault="00500337" w:rsidP="00500337">
            <w:pPr>
              <w:ind w:left="0" w:right="0"/>
            </w:pPr>
            <w:r w:rsidRPr="00E93008">
              <w:t>Advisory Committee meeting</w:t>
            </w:r>
          </w:p>
        </w:tc>
        <w:tc>
          <w:tcPr>
            <w:tcW w:w="2262" w:type="dxa"/>
          </w:tcPr>
          <w:p w14:paraId="3473C8FF" w14:textId="77777777" w:rsidR="00500337" w:rsidRPr="00E93008" w:rsidRDefault="00B22B08" w:rsidP="00500337">
            <w:pPr>
              <w:ind w:left="0" w:right="0"/>
            </w:pPr>
            <w:r w:rsidRPr="00E93008">
              <w:t>7 August 2020</w:t>
            </w:r>
          </w:p>
        </w:tc>
      </w:tr>
      <w:tr w:rsidR="00500337" w:rsidRPr="00E93008" w14:paraId="4AAC3309" w14:textId="77777777" w:rsidTr="002C2F38">
        <w:tc>
          <w:tcPr>
            <w:tcW w:w="6232" w:type="dxa"/>
          </w:tcPr>
          <w:p w14:paraId="7353E9B6" w14:textId="77777777" w:rsidR="00500337" w:rsidRPr="00E93008" w:rsidRDefault="00500337" w:rsidP="00500337">
            <w:pPr>
              <w:ind w:left="0" w:right="0"/>
            </w:pPr>
            <w:r w:rsidRPr="00E93008">
              <w:t>Registration decision (Outcome)</w:t>
            </w:r>
          </w:p>
        </w:tc>
        <w:tc>
          <w:tcPr>
            <w:tcW w:w="2262" w:type="dxa"/>
          </w:tcPr>
          <w:p w14:paraId="7539EFAA" w14:textId="77777777" w:rsidR="00500337" w:rsidRPr="00E93008" w:rsidRDefault="00B22B08" w:rsidP="00500337">
            <w:pPr>
              <w:ind w:left="0" w:right="0"/>
            </w:pPr>
            <w:r w:rsidRPr="00E93008">
              <w:t>9 October 2020</w:t>
            </w:r>
          </w:p>
        </w:tc>
      </w:tr>
      <w:tr w:rsidR="00500337" w:rsidRPr="00E93008" w14:paraId="578EF023" w14:textId="77777777" w:rsidTr="002C2F38">
        <w:tc>
          <w:tcPr>
            <w:tcW w:w="6232" w:type="dxa"/>
          </w:tcPr>
          <w:p w14:paraId="4B2EB7DC" w14:textId="77777777" w:rsidR="00500337" w:rsidRPr="00E93008" w:rsidRDefault="00500337" w:rsidP="00500337">
            <w:pPr>
              <w:ind w:left="0" w:right="0"/>
            </w:pPr>
            <w:r w:rsidRPr="00E93008">
              <w:t xml:space="preserve">Completion of administrative activities and registration on </w:t>
            </w:r>
            <w:r w:rsidR="00006FAB" w:rsidRPr="00E93008">
              <w:t xml:space="preserve">the </w:t>
            </w:r>
            <w:r w:rsidR="00D6086D" w:rsidRPr="00E93008">
              <w:t>Australian Register of Therapeutic Goods (</w:t>
            </w:r>
            <w:r w:rsidRPr="00E93008">
              <w:t>ARTG</w:t>
            </w:r>
            <w:r w:rsidR="00D6086D" w:rsidRPr="00E93008">
              <w:t>)</w:t>
            </w:r>
          </w:p>
        </w:tc>
        <w:tc>
          <w:tcPr>
            <w:tcW w:w="2262" w:type="dxa"/>
          </w:tcPr>
          <w:p w14:paraId="5A5059B9" w14:textId="77777777" w:rsidR="00500337" w:rsidRPr="00E93008" w:rsidRDefault="00B22B08" w:rsidP="00500337">
            <w:pPr>
              <w:ind w:left="0" w:right="0"/>
            </w:pPr>
            <w:r w:rsidRPr="00E93008">
              <w:t>20 October 2020</w:t>
            </w:r>
          </w:p>
        </w:tc>
      </w:tr>
      <w:tr w:rsidR="00500337" w:rsidRPr="00E93008" w14:paraId="6756F9BB" w14:textId="77777777" w:rsidTr="002C2F38">
        <w:tc>
          <w:tcPr>
            <w:tcW w:w="6232" w:type="dxa"/>
          </w:tcPr>
          <w:p w14:paraId="219F5811" w14:textId="77777777" w:rsidR="00500337" w:rsidRPr="00E93008" w:rsidRDefault="00500337" w:rsidP="00500337">
            <w:pPr>
              <w:ind w:left="0" w:right="0"/>
            </w:pPr>
            <w:r w:rsidRPr="00E93008">
              <w:t>Number of working days from submission dossier acceptance to registration decision*</w:t>
            </w:r>
          </w:p>
        </w:tc>
        <w:tc>
          <w:tcPr>
            <w:tcW w:w="2262" w:type="dxa"/>
          </w:tcPr>
          <w:p w14:paraId="7902467C" w14:textId="77777777" w:rsidR="00500337" w:rsidRPr="00E93008" w:rsidRDefault="00B22B08" w:rsidP="00500337">
            <w:pPr>
              <w:ind w:left="0" w:right="0"/>
            </w:pPr>
            <w:r w:rsidRPr="00E93008">
              <w:t>226</w:t>
            </w:r>
          </w:p>
        </w:tc>
      </w:tr>
    </w:tbl>
    <w:p w14:paraId="0EB77059" w14:textId="77777777" w:rsidR="00500337" w:rsidRPr="00E93008" w:rsidRDefault="00500337" w:rsidP="00500337">
      <w:pPr>
        <w:pStyle w:val="TableDescription"/>
      </w:pPr>
      <w:r w:rsidRPr="00E93008">
        <w:t>*</w:t>
      </w:r>
      <w:r w:rsidR="00BF3774" w:rsidRPr="00E93008">
        <w:t xml:space="preserve">Statutory </w:t>
      </w:r>
      <w:r w:rsidRPr="00E93008">
        <w:t>timeframe for standard applications is 2</w:t>
      </w:r>
      <w:r w:rsidR="00BF3774" w:rsidRPr="00E93008">
        <w:t>55</w:t>
      </w:r>
      <w:r w:rsidRPr="00E93008">
        <w:t xml:space="preserve"> working days</w:t>
      </w:r>
    </w:p>
    <w:p w14:paraId="2E5DD203" w14:textId="77777777" w:rsidR="008E7846" w:rsidRPr="00E93008" w:rsidRDefault="00456765" w:rsidP="008E7846">
      <w:pPr>
        <w:pStyle w:val="Heading2"/>
      </w:pPr>
      <w:bookmarkStart w:id="28" w:name="_Toc196046504"/>
      <w:bookmarkStart w:id="29" w:name="_Toc247691527"/>
      <w:bookmarkStart w:id="30" w:name="_Toc314842510"/>
      <w:bookmarkStart w:id="31" w:name="_Toc163441390"/>
      <w:bookmarkStart w:id="32" w:name="_Toc69998857"/>
      <w:bookmarkEnd w:id="24"/>
      <w:bookmarkEnd w:id="25"/>
      <w:bookmarkEnd w:id="1"/>
      <w:r w:rsidRPr="00E93008">
        <w:t>I</w:t>
      </w:r>
      <w:r w:rsidR="00DA64CB" w:rsidRPr="00E93008">
        <w:t>I</w:t>
      </w:r>
      <w:r w:rsidR="008E7846" w:rsidRPr="00E93008">
        <w:t xml:space="preserve">I. </w:t>
      </w:r>
      <w:r w:rsidR="00006FAB" w:rsidRPr="00E93008">
        <w:t xml:space="preserve">Submission overview </w:t>
      </w:r>
      <w:r w:rsidR="008E7846" w:rsidRPr="00E93008">
        <w:t>and risk/benefit assessment</w:t>
      </w:r>
      <w:bookmarkEnd w:id="28"/>
      <w:bookmarkEnd w:id="29"/>
      <w:bookmarkEnd w:id="30"/>
      <w:bookmarkEnd w:id="32"/>
    </w:p>
    <w:p w14:paraId="604E8219" w14:textId="77777777" w:rsidR="00006FAB" w:rsidRPr="00E93008" w:rsidRDefault="00006FAB" w:rsidP="00DE09D2">
      <w:bookmarkStart w:id="33" w:name="_Toc247691528"/>
      <w:r w:rsidRPr="00E93008">
        <w:t>The submission was summarised in the following Delegate’s overview and recommendations.</w:t>
      </w:r>
    </w:p>
    <w:p w14:paraId="3EE1DE16" w14:textId="77777777" w:rsidR="00006FAB" w:rsidRPr="00E93008" w:rsidRDefault="00006FAB" w:rsidP="00DE09D2">
      <w:r w:rsidRPr="00E93008">
        <w:t>TGA guidance at pre-submission meetings is nonbinding and without prejudice.</w:t>
      </w:r>
    </w:p>
    <w:p w14:paraId="7A11C622" w14:textId="77777777" w:rsidR="00DC2D97" w:rsidRPr="00E93008" w:rsidRDefault="00DC2D97" w:rsidP="00DE09D2">
      <w:r w:rsidRPr="00E93008">
        <w:t>Relevant guidelines for evaluation of this submission are:</w:t>
      </w:r>
    </w:p>
    <w:p w14:paraId="16EB05E2" w14:textId="77777777" w:rsidR="00DC2D97" w:rsidRPr="00E93008" w:rsidRDefault="005E331A" w:rsidP="005E331A">
      <w:pPr>
        <w:pStyle w:val="ListBullet"/>
      </w:pPr>
      <w:r w:rsidRPr="00E93008">
        <w:t>European Medicines Agency (</w:t>
      </w:r>
      <w:r w:rsidR="00C8073F" w:rsidRPr="00E93008">
        <w:t>EMA</w:t>
      </w:r>
      <w:r w:rsidRPr="00E93008">
        <w:t>)</w:t>
      </w:r>
      <w:r w:rsidR="00C8073F" w:rsidRPr="00E93008">
        <w:t>,</w:t>
      </w:r>
      <w:r w:rsidR="00DE09D2" w:rsidRPr="00E93008">
        <w:t xml:space="preserve"> Committee for Medicinal Products for Human Use (</w:t>
      </w:r>
      <w:r w:rsidR="00DC2D97" w:rsidRPr="00E93008">
        <w:t>CHMP</w:t>
      </w:r>
      <w:r w:rsidR="00DE09D2" w:rsidRPr="00E93008">
        <w:t>)</w:t>
      </w:r>
      <w:r w:rsidR="00C8073F" w:rsidRPr="00E93008">
        <w:t>,</w:t>
      </w:r>
      <w:r w:rsidR="00DC2D97" w:rsidRPr="00E93008">
        <w:t xml:space="preserve"> </w:t>
      </w:r>
      <w:r w:rsidR="00C8073F" w:rsidRPr="00E93008">
        <w:t xml:space="preserve">22 </w:t>
      </w:r>
      <w:r w:rsidR="00DE09D2" w:rsidRPr="00E93008">
        <w:t>October 2015</w:t>
      </w:r>
      <w:r w:rsidR="00C8073F" w:rsidRPr="00E93008">
        <w:t xml:space="preserve">. </w:t>
      </w:r>
      <w:r w:rsidR="00DC2D97" w:rsidRPr="00E93008">
        <w:t xml:space="preserve">Guideline on </w:t>
      </w:r>
      <w:r w:rsidR="0080205D" w:rsidRPr="00E93008">
        <w:t xml:space="preserve">Clinical Investigation </w:t>
      </w:r>
      <w:r w:rsidR="00DC2D97" w:rsidRPr="00E93008">
        <w:t xml:space="preserve">of </w:t>
      </w:r>
      <w:r w:rsidR="0080205D" w:rsidRPr="00E93008">
        <w:t xml:space="preserve">Medicinal Products in the Treatment of Asthma </w:t>
      </w:r>
      <w:r w:rsidR="00C8073F" w:rsidRPr="00E93008">
        <w:t>(CHMP/EWP/2922/01 Rev.1).</w:t>
      </w:r>
    </w:p>
    <w:p w14:paraId="514D6892" w14:textId="77777777" w:rsidR="00DC2D97" w:rsidRPr="00E93008" w:rsidRDefault="00F44B19" w:rsidP="00F44B19">
      <w:pPr>
        <w:pStyle w:val="ListBullet"/>
      </w:pPr>
      <w:r w:rsidRPr="00E93008">
        <w:t>European Medicines Evaluation Agency (</w:t>
      </w:r>
      <w:r w:rsidR="00C8073F" w:rsidRPr="00E93008">
        <w:t>EMEA</w:t>
      </w:r>
      <w:r w:rsidRPr="00E93008">
        <w:t>)</w:t>
      </w:r>
      <w:r w:rsidR="00C8073F" w:rsidRPr="00E93008">
        <w:t xml:space="preserve">, </w:t>
      </w:r>
      <w:r w:rsidR="00DC2D97" w:rsidRPr="00E93008">
        <w:t>CHMP</w:t>
      </w:r>
      <w:r w:rsidR="00A4413F" w:rsidRPr="00E93008">
        <w:t>,</w:t>
      </w:r>
      <w:r w:rsidR="00DC2D97" w:rsidRPr="00E93008">
        <w:t xml:space="preserve"> </w:t>
      </w:r>
      <w:r w:rsidR="00C8073F" w:rsidRPr="00E93008">
        <w:t xml:space="preserve">19 February 2009. </w:t>
      </w:r>
      <w:r w:rsidR="00DC2D97" w:rsidRPr="00E93008">
        <w:t xml:space="preserve">Guideline on </w:t>
      </w:r>
      <w:r w:rsidR="0080205D" w:rsidRPr="00E93008">
        <w:t xml:space="preserve">Clinical Development </w:t>
      </w:r>
      <w:r w:rsidR="00DC2D97" w:rsidRPr="00E93008">
        <w:t xml:space="preserve">of </w:t>
      </w:r>
      <w:r w:rsidR="0080205D" w:rsidRPr="00E93008">
        <w:t xml:space="preserve">Fixed Combination Medicinal Products </w:t>
      </w:r>
      <w:r w:rsidR="00C8073F" w:rsidRPr="00E93008">
        <w:t>(CHMP/EWP/240/95 Rev. 1).</w:t>
      </w:r>
    </w:p>
    <w:p w14:paraId="21B18F18" w14:textId="77777777" w:rsidR="00DC2D97" w:rsidRPr="00E93008" w:rsidRDefault="00DC2D97" w:rsidP="00C8073F">
      <w:pPr>
        <w:pStyle w:val="ListBullet"/>
      </w:pPr>
      <w:r w:rsidRPr="00E93008">
        <w:t>CHMP</w:t>
      </w:r>
      <w:r w:rsidR="00C8073F" w:rsidRPr="00E93008">
        <w:t>,</w:t>
      </w:r>
      <w:r w:rsidRPr="00E93008">
        <w:t xml:space="preserve"> </w:t>
      </w:r>
      <w:r w:rsidR="00C8073F" w:rsidRPr="00E93008">
        <w:t xml:space="preserve">22 January 2009. </w:t>
      </w:r>
      <w:r w:rsidRPr="00E93008">
        <w:t xml:space="preserve">Guideline on the </w:t>
      </w:r>
      <w:r w:rsidR="0080205D" w:rsidRPr="00E93008">
        <w:t>Requirements</w:t>
      </w:r>
      <w:r w:rsidRPr="00E93008">
        <w:t xml:space="preserve"> for </w:t>
      </w:r>
      <w:r w:rsidR="0080205D" w:rsidRPr="00E93008">
        <w:t xml:space="preserve">Clinical Documentation </w:t>
      </w:r>
      <w:r w:rsidRPr="00E93008">
        <w:t xml:space="preserve">for </w:t>
      </w:r>
      <w:r w:rsidR="0080205D" w:rsidRPr="00E93008">
        <w:t xml:space="preserve">Orally Inhaled Products </w:t>
      </w:r>
      <w:r w:rsidRPr="00E93008">
        <w:t xml:space="preserve">(OIP) </w:t>
      </w:r>
      <w:r w:rsidR="0080205D" w:rsidRPr="00E93008">
        <w:t xml:space="preserve">Including the Requirements for Demonstration of Therapeutic Equivalence between Two Inhaled Products for Use in the Treatment of Asthma and </w:t>
      </w:r>
      <w:r w:rsidRPr="00E93008">
        <w:t xml:space="preserve">COPD </w:t>
      </w:r>
      <w:r w:rsidR="0080205D" w:rsidRPr="00E93008">
        <w:t>in Adults and for Use in the Treatment of Asthma in Children and Adolescents</w:t>
      </w:r>
      <w:r w:rsidRPr="00E93008">
        <w:t xml:space="preserve"> (</w:t>
      </w:r>
      <w:r w:rsidR="00C8073F" w:rsidRPr="00E93008">
        <w:t>CPMP/EWP/4151/00 Rev. 1</w:t>
      </w:r>
      <w:r w:rsidRPr="00E93008">
        <w:t>).</w:t>
      </w:r>
    </w:p>
    <w:p w14:paraId="33CB4E55" w14:textId="77777777" w:rsidR="00DC2D97" w:rsidRPr="00E93008" w:rsidRDefault="00C8073F" w:rsidP="00C8073F">
      <w:pPr>
        <w:pStyle w:val="ListBullet"/>
      </w:pPr>
      <w:r w:rsidRPr="00E93008">
        <w:t xml:space="preserve">EMEA, November 1994. </w:t>
      </w:r>
      <w:r w:rsidR="00DC2D97" w:rsidRPr="00E93008">
        <w:t>Dose Response Information to Support Drug Registration (</w:t>
      </w:r>
      <w:r w:rsidRPr="00E93008">
        <w:t>CPMP/ICH/378/95</w:t>
      </w:r>
      <w:r w:rsidR="00DC2D97" w:rsidRPr="00E93008">
        <w:t>)</w:t>
      </w:r>
      <w:r w:rsidRPr="00E93008">
        <w:t>.</w:t>
      </w:r>
    </w:p>
    <w:p w14:paraId="1988D8B7" w14:textId="77777777" w:rsidR="008E7846" w:rsidRPr="00E93008" w:rsidRDefault="008E7846" w:rsidP="008E7846">
      <w:pPr>
        <w:pStyle w:val="Heading3"/>
      </w:pPr>
      <w:bookmarkStart w:id="34" w:name="_Toc314842511"/>
      <w:bookmarkStart w:id="35" w:name="_Toc69998858"/>
      <w:r w:rsidRPr="00E93008">
        <w:t>Quality</w:t>
      </w:r>
      <w:bookmarkEnd w:id="33"/>
      <w:bookmarkEnd w:id="34"/>
      <w:bookmarkEnd w:id="35"/>
    </w:p>
    <w:p w14:paraId="31EEA30C" w14:textId="2E68BB0E" w:rsidR="009F3536" w:rsidRPr="00E93008" w:rsidRDefault="00CF490A" w:rsidP="004B1299">
      <w:r w:rsidRPr="00E93008">
        <w:t>Glycopyrronium bromide</w:t>
      </w:r>
      <w:r w:rsidR="004B1299" w:rsidRPr="00E93008">
        <w:t xml:space="preserve"> </w:t>
      </w:r>
      <w:r w:rsidRPr="00E93008">
        <w:t xml:space="preserve">is stated to be of the same quality as that currently used in </w:t>
      </w:r>
      <w:r w:rsidR="00C90327">
        <w:t>the sponsor</w:t>
      </w:r>
      <w:r w:rsidR="00444E3C">
        <w:t>'</w:t>
      </w:r>
      <w:r w:rsidR="00C90327">
        <w:t xml:space="preserve">s </w:t>
      </w:r>
      <w:proofErr w:type="spellStart"/>
      <w:r w:rsidR="004B1299" w:rsidRPr="00E93008">
        <w:t>Seebri</w:t>
      </w:r>
      <w:proofErr w:type="spellEnd"/>
      <w:r w:rsidR="004B1299" w:rsidRPr="00E93008">
        <w:t xml:space="preserve"> Breezhaler</w:t>
      </w:r>
      <w:r w:rsidRPr="00E93008">
        <w:t>.</w:t>
      </w:r>
      <w:r w:rsidR="00D30247" w:rsidRPr="00E93008">
        <w:rPr>
          <w:rStyle w:val="FootnoteReference"/>
        </w:rPr>
        <w:footnoteReference w:id="16"/>
      </w:r>
      <w:r w:rsidRPr="00E93008">
        <w:t xml:space="preserve"> </w:t>
      </w:r>
      <w:r w:rsidR="00F25BB1" w:rsidRPr="00E93008">
        <w:t>Prior to harmonisation</w:t>
      </w:r>
      <w:r w:rsidR="00D65098">
        <w:t xml:space="preserve"> of the </w:t>
      </w:r>
      <w:r w:rsidR="00F25BB1" w:rsidRPr="00E93008">
        <w:t xml:space="preserve">Australian Approved Name (AAN), glycopyrronium bromide </w:t>
      </w:r>
      <w:r w:rsidR="00D65098">
        <w:t>wa</w:t>
      </w:r>
      <w:r w:rsidR="00F25BB1" w:rsidRPr="00E93008">
        <w:t xml:space="preserve">s known as </w:t>
      </w:r>
      <w:proofErr w:type="spellStart"/>
      <w:r w:rsidR="00F25BB1" w:rsidRPr="00E93008">
        <w:t>glycopyrrolate</w:t>
      </w:r>
      <w:proofErr w:type="spellEnd"/>
      <w:r w:rsidR="00F25BB1" w:rsidRPr="00E93008">
        <w:t>.</w:t>
      </w:r>
      <w:r w:rsidR="004B1299" w:rsidRPr="00E93008">
        <w:t xml:space="preserve"> </w:t>
      </w:r>
      <w:r w:rsidR="00F25BB1" w:rsidRPr="00E93008">
        <w:t>Glycopyrronium bromide</w:t>
      </w:r>
      <w:r w:rsidR="00B35EA8" w:rsidRPr="00E93008">
        <w:t xml:space="preserve"> contains two</w:t>
      </w:r>
      <w:r w:rsidR="009F3536" w:rsidRPr="00E93008">
        <w:t xml:space="preserve"> asymmetric carbon atoms and is an optically inactive racemic mixture </w:t>
      </w:r>
      <w:r w:rsidR="00B35EA8" w:rsidRPr="00E93008">
        <w:t>of two</w:t>
      </w:r>
      <w:r w:rsidR="009F3536" w:rsidRPr="00E93008">
        <w:t xml:space="preserve"> stereoisomers (2S, 3R and 2R, 3S)</w:t>
      </w:r>
      <w:r w:rsidR="007F27FC" w:rsidRPr="00E93008">
        <w:t xml:space="preserve">. </w:t>
      </w:r>
      <w:r w:rsidR="00D65098">
        <w:t>The c</w:t>
      </w:r>
      <w:r w:rsidR="007F27FC" w:rsidRPr="00E93008">
        <w:t>hemical structure of</w:t>
      </w:r>
      <w:r w:rsidR="00185518" w:rsidRPr="00E93008">
        <w:t xml:space="preserve"> </w:t>
      </w:r>
      <w:r w:rsidR="00B35EA8" w:rsidRPr="00E93008">
        <w:t xml:space="preserve">glycopyrronium </w:t>
      </w:r>
      <w:r w:rsidR="007F27FC" w:rsidRPr="00E93008">
        <w:t xml:space="preserve">bromide is shown in </w:t>
      </w:r>
      <w:r w:rsidR="00185518" w:rsidRPr="00E93008">
        <w:rPr>
          <w:color w:val="2B579A"/>
          <w:shd w:val="clear" w:color="auto" w:fill="E6E6E6"/>
        </w:rPr>
        <w:fldChar w:fldCharType="begin"/>
      </w:r>
      <w:r w:rsidR="00185518" w:rsidRPr="00E93008">
        <w:instrText xml:space="preserve"> REF _Ref60655510 \h  \* MERGEFORMAT </w:instrText>
      </w:r>
      <w:r w:rsidR="00185518" w:rsidRPr="00E93008">
        <w:rPr>
          <w:color w:val="2B579A"/>
          <w:shd w:val="clear" w:color="auto" w:fill="E6E6E6"/>
        </w:rPr>
      </w:r>
      <w:r w:rsidR="00185518" w:rsidRPr="00E93008">
        <w:rPr>
          <w:color w:val="2B579A"/>
          <w:shd w:val="clear" w:color="auto" w:fill="E6E6E6"/>
        </w:rPr>
        <w:fldChar w:fldCharType="separate"/>
      </w:r>
      <w:r w:rsidR="003A5299" w:rsidRPr="00E93008">
        <w:t xml:space="preserve">Figure </w:t>
      </w:r>
      <w:r w:rsidR="003A5299">
        <w:t>1</w:t>
      </w:r>
      <w:r w:rsidR="00185518" w:rsidRPr="00E93008">
        <w:rPr>
          <w:color w:val="2B579A"/>
          <w:shd w:val="clear" w:color="auto" w:fill="E6E6E6"/>
        </w:rPr>
        <w:fldChar w:fldCharType="end"/>
      </w:r>
      <w:r w:rsidR="009F3536" w:rsidRPr="00E93008">
        <w:t>.</w:t>
      </w:r>
    </w:p>
    <w:p w14:paraId="2AF1D08A" w14:textId="43D883A0" w:rsidR="00E60E0C" w:rsidRPr="00E93008" w:rsidRDefault="009F3536" w:rsidP="004B1299">
      <w:pPr>
        <w:pStyle w:val="FigureTitle"/>
      </w:pPr>
      <w:bookmarkStart w:id="36" w:name="_Ref60655510"/>
      <w:r w:rsidRPr="00E93008">
        <w:t xml:space="preserve">Figure </w:t>
      </w:r>
      <w:r>
        <w:fldChar w:fldCharType="begin"/>
      </w:r>
      <w:r>
        <w:instrText>SEQ Figure \* ARABIC</w:instrText>
      </w:r>
      <w:r>
        <w:fldChar w:fldCharType="separate"/>
      </w:r>
      <w:r w:rsidR="003A5299">
        <w:rPr>
          <w:noProof/>
        </w:rPr>
        <w:t>1</w:t>
      </w:r>
      <w:r>
        <w:fldChar w:fldCharType="end"/>
      </w:r>
      <w:bookmarkEnd w:id="36"/>
      <w:r w:rsidR="001C01B8">
        <w:t>:</w:t>
      </w:r>
      <w:r w:rsidRPr="00E93008">
        <w:t xml:space="preserve"> </w:t>
      </w:r>
      <w:r w:rsidR="00185518" w:rsidRPr="00E93008">
        <w:t>Chemical structure of g</w:t>
      </w:r>
      <w:r w:rsidRPr="00E93008">
        <w:t>lycopyrronium bromide</w:t>
      </w:r>
    </w:p>
    <w:p w14:paraId="19D9F50F" w14:textId="77777777" w:rsidR="009F3536" w:rsidRPr="00E93008" w:rsidRDefault="009F3536" w:rsidP="009F3536">
      <w:r w:rsidRPr="00E93008">
        <w:rPr>
          <w:noProof/>
          <w:color w:val="2B579A"/>
          <w:shd w:val="clear" w:color="auto" w:fill="E6E6E6"/>
          <w:lang w:eastAsia="en-AU"/>
        </w:rPr>
        <w:drawing>
          <wp:inline distT="0" distB="0" distL="0" distR="0" wp14:anchorId="0A7D2D9E" wp14:editId="4EE3F585">
            <wp:extent cx="4373218" cy="2113291"/>
            <wp:effectExtent l="0" t="0" r="8890" b="1270"/>
            <wp:docPr id="2" name="Picture 2" descr="Chemical structure of glycopyrronium bro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2580" cy="2122647"/>
                    </a:xfrm>
                    <a:prstGeom prst="rect">
                      <a:avLst/>
                    </a:prstGeom>
                    <a:noFill/>
                    <a:ln>
                      <a:noFill/>
                    </a:ln>
                  </pic:spPr>
                </pic:pic>
              </a:graphicData>
            </a:graphic>
          </wp:inline>
        </w:drawing>
      </w:r>
    </w:p>
    <w:p w14:paraId="599AF965" w14:textId="324E6538" w:rsidR="007E56EC" w:rsidRPr="00E93008" w:rsidRDefault="007E56EC" w:rsidP="004B1299">
      <w:r w:rsidRPr="00E93008">
        <w:t xml:space="preserve">Indacaterol acetate is manufactured from the same starting materials and using the same route of synthesis as the indacaterol maleate used in the registered monotherapy inhalation product </w:t>
      </w:r>
      <w:proofErr w:type="spellStart"/>
      <w:r w:rsidR="004B1299" w:rsidRPr="00E93008">
        <w:t>Onbrez</w:t>
      </w:r>
      <w:proofErr w:type="spellEnd"/>
      <w:r w:rsidR="004B1299" w:rsidRPr="00E93008">
        <w:t xml:space="preserve"> Breezhaler</w:t>
      </w:r>
      <w:r w:rsidRPr="00E93008">
        <w:t>.</w:t>
      </w:r>
      <w:r w:rsidR="00D30247" w:rsidRPr="00E93008">
        <w:rPr>
          <w:rStyle w:val="FootnoteReference"/>
        </w:rPr>
        <w:footnoteReference w:id="17"/>
      </w:r>
      <w:r w:rsidR="00185518" w:rsidRPr="00E93008">
        <w:t xml:space="preserve"> </w:t>
      </w:r>
      <w:r w:rsidRPr="00E93008">
        <w:t xml:space="preserve">Quality aspects of indacaterol acetate have been assessed in connexion with the related submission for </w:t>
      </w:r>
      <w:r w:rsidR="004B1299" w:rsidRPr="00E93008">
        <w:t>Atectura Breezhaler</w:t>
      </w:r>
      <w:r w:rsidRPr="00E93008">
        <w:t>.</w:t>
      </w:r>
      <w:r w:rsidR="00D30247" w:rsidRPr="00E93008">
        <w:rPr>
          <w:rStyle w:val="FootnoteReference"/>
        </w:rPr>
        <w:footnoteReference w:id="18"/>
      </w:r>
      <w:r w:rsidRPr="00E93008">
        <w:t xml:space="preserve"> </w:t>
      </w:r>
      <w:r w:rsidR="00D65098">
        <w:t>The c</w:t>
      </w:r>
      <w:r w:rsidR="007F27FC" w:rsidRPr="00E93008">
        <w:t xml:space="preserve">hemical structure of indacaterol acetate is shown in </w:t>
      </w:r>
      <w:r w:rsidR="007F27FC" w:rsidRPr="00E93008">
        <w:rPr>
          <w:color w:val="2B579A"/>
          <w:shd w:val="clear" w:color="auto" w:fill="E6E6E6"/>
        </w:rPr>
        <w:fldChar w:fldCharType="begin"/>
      </w:r>
      <w:r w:rsidR="007F27FC" w:rsidRPr="00E93008">
        <w:instrText xml:space="preserve"> REF _Ref60655732 \h </w:instrText>
      </w:r>
      <w:r w:rsidR="004B1299" w:rsidRPr="00E93008">
        <w:instrText xml:space="preserve"> \* MERGEFORMAT </w:instrText>
      </w:r>
      <w:r w:rsidR="007F27FC" w:rsidRPr="00E93008">
        <w:rPr>
          <w:color w:val="2B579A"/>
          <w:shd w:val="clear" w:color="auto" w:fill="E6E6E6"/>
        </w:rPr>
      </w:r>
      <w:r w:rsidR="007F27FC" w:rsidRPr="00E93008">
        <w:rPr>
          <w:color w:val="2B579A"/>
          <w:shd w:val="clear" w:color="auto" w:fill="E6E6E6"/>
        </w:rPr>
        <w:fldChar w:fldCharType="separate"/>
      </w:r>
      <w:r w:rsidR="003A5299" w:rsidRPr="00E93008">
        <w:t xml:space="preserve">Figure </w:t>
      </w:r>
      <w:r w:rsidR="003A5299">
        <w:t>2</w:t>
      </w:r>
      <w:r w:rsidR="007F27FC" w:rsidRPr="00E93008">
        <w:rPr>
          <w:color w:val="2B579A"/>
          <w:shd w:val="clear" w:color="auto" w:fill="E6E6E6"/>
        </w:rPr>
        <w:fldChar w:fldCharType="end"/>
      </w:r>
      <w:r w:rsidR="007F27FC" w:rsidRPr="00E93008">
        <w:t>.</w:t>
      </w:r>
    </w:p>
    <w:p w14:paraId="295E7355" w14:textId="4ACD6D2C" w:rsidR="007E56EC" w:rsidRPr="00E93008" w:rsidRDefault="007E56EC" w:rsidP="004B1299">
      <w:pPr>
        <w:pStyle w:val="FigureTitle"/>
      </w:pPr>
      <w:bookmarkStart w:id="37" w:name="_Ref60655732"/>
      <w:r w:rsidRPr="00E93008">
        <w:t xml:space="preserve">Figure </w:t>
      </w:r>
      <w:r>
        <w:fldChar w:fldCharType="begin"/>
      </w:r>
      <w:r>
        <w:instrText>SEQ Figure \* ARABIC</w:instrText>
      </w:r>
      <w:r>
        <w:fldChar w:fldCharType="separate"/>
      </w:r>
      <w:r w:rsidR="003A5299">
        <w:rPr>
          <w:noProof/>
        </w:rPr>
        <w:t>2</w:t>
      </w:r>
      <w:r>
        <w:fldChar w:fldCharType="end"/>
      </w:r>
      <w:bookmarkEnd w:id="37"/>
      <w:r w:rsidR="001C01B8">
        <w:t>:</w:t>
      </w:r>
      <w:r w:rsidR="00185518" w:rsidRPr="00E93008">
        <w:t xml:space="preserve"> Chemical structure of</w:t>
      </w:r>
      <w:r w:rsidRPr="00E93008">
        <w:t xml:space="preserve"> </w:t>
      </w:r>
      <w:r w:rsidR="00185518" w:rsidRPr="00E93008">
        <w:t>i</w:t>
      </w:r>
      <w:r w:rsidRPr="00E93008">
        <w:t>ndacaterol acetate</w:t>
      </w:r>
    </w:p>
    <w:p w14:paraId="277B3CFA" w14:textId="77777777" w:rsidR="004B1299" w:rsidRPr="00E93008" w:rsidRDefault="004B1299" w:rsidP="002C2F38">
      <w:r>
        <w:rPr>
          <w:noProof/>
          <w:lang w:eastAsia="en-AU"/>
        </w:rPr>
        <w:drawing>
          <wp:inline distT="0" distB="0" distL="0" distR="0" wp14:anchorId="17B65195" wp14:editId="46E3D6E2">
            <wp:extent cx="4118776" cy="1711218"/>
            <wp:effectExtent l="0" t="0" r="0" b="3810"/>
            <wp:docPr id="4" name="Picture 4" descr="Chemical structure of indacaterol ace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4118776" cy="1711218"/>
                    </a:xfrm>
                    <a:prstGeom prst="rect">
                      <a:avLst/>
                    </a:prstGeom>
                  </pic:spPr>
                </pic:pic>
              </a:graphicData>
            </a:graphic>
          </wp:inline>
        </w:drawing>
      </w:r>
    </w:p>
    <w:p w14:paraId="3DDF0608" w14:textId="061B06EA" w:rsidR="007E56EC" w:rsidRPr="00E93008" w:rsidRDefault="007E56EC" w:rsidP="004B1299">
      <w:r w:rsidRPr="00E93008">
        <w:t xml:space="preserve">Mometasone furoate is currently marketed as a monotherapy product, </w:t>
      </w:r>
      <w:proofErr w:type="spellStart"/>
      <w:r w:rsidR="004B1299" w:rsidRPr="00E93008">
        <w:t>Asmanex</w:t>
      </w:r>
      <w:proofErr w:type="spellEnd"/>
      <w:r w:rsidR="004B1299" w:rsidRPr="00E93008">
        <w:t xml:space="preserve"> </w:t>
      </w:r>
      <w:proofErr w:type="spellStart"/>
      <w:r w:rsidR="004B1299" w:rsidRPr="00E93008">
        <w:t>Twisthaler</w:t>
      </w:r>
      <w:proofErr w:type="spellEnd"/>
      <w:r w:rsidR="004B1299" w:rsidRPr="00E93008">
        <w:t>, by Merck, Sharp and</w:t>
      </w:r>
      <w:r w:rsidRPr="00E93008">
        <w:t xml:space="preserve"> </w:t>
      </w:r>
      <w:proofErr w:type="spellStart"/>
      <w:r w:rsidRPr="00E93008">
        <w:t>Dohme</w:t>
      </w:r>
      <w:proofErr w:type="spellEnd"/>
      <w:r w:rsidR="00E52F20" w:rsidRPr="00E93008">
        <w:t xml:space="preserve"> (MSD)</w:t>
      </w:r>
      <w:r w:rsidRPr="00E93008">
        <w:t xml:space="preserve">. The drug substance to be used for this product is stated to be the same quality as that currently used in the EU market and </w:t>
      </w:r>
      <w:proofErr w:type="spellStart"/>
      <w:r w:rsidR="00D65098">
        <w:t>Asmanex</w:t>
      </w:r>
      <w:proofErr w:type="spellEnd"/>
      <w:r w:rsidR="00D65098">
        <w:t xml:space="preserve"> in Australia (</w:t>
      </w:r>
      <w:r w:rsidRPr="00E93008">
        <w:t xml:space="preserve">AUST R 73725 </w:t>
      </w:r>
      <w:r w:rsidR="00A661BF" w:rsidRPr="00E93008">
        <w:t>and</w:t>
      </w:r>
      <w:r w:rsidRPr="00E93008">
        <w:t xml:space="preserve"> 73726.</w:t>
      </w:r>
      <w:r w:rsidR="007F27FC" w:rsidRPr="00E93008">
        <w:t xml:space="preserve"> </w:t>
      </w:r>
      <w:r w:rsidR="005E0DA7">
        <w:t>The c</w:t>
      </w:r>
      <w:r w:rsidR="007F27FC" w:rsidRPr="00E93008">
        <w:t xml:space="preserve">hemical structure of mometasone furoate is shown in </w:t>
      </w:r>
      <w:r w:rsidR="007F27FC" w:rsidRPr="00E93008">
        <w:rPr>
          <w:color w:val="2B579A"/>
          <w:shd w:val="clear" w:color="auto" w:fill="E6E6E6"/>
        </w:rPr>
        <w:fldChar w:fldCharType="begin"/>
      </w:r>
      <w:r w:rsidR="007F27FC" w:rsidRPr="00E93008">
        <w:instrText xml:space="preserve"> REF _Ref60655883 \h  \* MERGEFORMAT </w:instrText>
      </w:r>
      <w:r w:rsidR="007F27FC" w:rsidRPr="00E93008">
        <w:rPr>
          <w:color w:val="2B579A"/>
          <w:shd w:val="clear" w:color="auto" w:fill="E6E6E6"/>
        </w:rPr>
      </w:r>
      <w:r w:rsidR="007F27FC" w:rsidRPr="00E93008">
        <w:rPr>
          <w:color w:val="2B579A"/>
          <w:shd w:val="clear" w:color="auto" w:fill="E6E6E6"/>
        </w:rPr>
        <w:fldChar w:fldCharType="separate"/>
      </w:r>
      <w:r w:rsidR="003A5299" w:rsidRPr="00E93008">
        <w:t xml:space="preserve">Figure </w:t>
      </w:r>
      <w:r w:rsidR="003A5299">
        <w:t>3</w:t>
      </w:r>
      <w:r w:rsidR="007F27FC" w:rsidRPr="00E93008">
        <w:rPr>
          <w:color w:val="2B579A"/>
          <w:shd w:val="clear" w:color="auto" w:fill="E6E6E6"/>
        </w:rPr>
        <w:fldChar w:fldCharType="end"/>
      </w:r>
      <w:r w:rsidR="007F27FC" w:rsidRPr="00E93008">
        <w:t>.</w:t>
      </w:r>
    </w:p>
    <w:p w14:paraId="2FF73820" w14:textId="3AE1817E" w:rsidR="007E56EC" w:rsidRPr="00E93008" w:rsidRDefault="007E56EC" w:rsidP="004B1299">
      <w:pPr>
        <w:pStyle w:val="FigureTitle"/>
      </w:pPr>
      <w:bookmarkStart w:id="38" w:name="_Ref60655883"/>
      <w:r w:rsidRPr="00E93008">
        <w:t xml:space="preserve">Figure </w:t>
      </w:r>
      <w:r>
        <w:fldChar w:fldCharType="begin"/>
      </w:r>
      <w:r>
        <w:instrText>SEQ Figure \* ARABIC</w:instrText>
      </w:r>
      <w:r>
        <w:fldChar w:fldCharType="separate"/>
      </w:r>
      <w:r w:rsidR="003A5299">
        <w:rPr>
          <w:noProof/>
        </w:rPr>
        <w:t>3</w:t>
      </w:r>
      <w:r>
        <w:fldChar w:fldCharType="end"/>
      </w:r>
      <w:bookmarkEnd w:id="38"/>
      <w:r w:rsidR="001C01B8">
        <w:t>:</w:t>
      </w:r>
      <w:r w:rsidRPr="00E93008">
        <w:t xml:space="preserve"> </w:t>
      </w:r>
      <w:r w:rsidR="007F27FC" w:rsidRPr="00E93008">
        <w:t xml:space="preserve">Chemical structure of </w:t>
      </w:r>
      <w:r w:rsidR="00F940EB" w:rsidRPr="00E93008">
        <w:t>m</w:t>
      </w:r>
      <w:r w:rsidRPr="00E93008">
        <w:t>ometasone Furoate</w:t>
      </w:r>
    </w:p>
    <w:p w14:paraId="3A30E796" w14:textId="77777777" w:rsidR="007E56EC" w:rsidRPr="00E93008" w:rsidRDefault="007E56EC" w:rsidP="007E56EC">
      <w:r w:rsidRPr="00E93008">
        <w:rPr>
          <w:noProof/>
          <w:color w:val="2B579A"/>
          <w:shd w:val="clear" w:color="auto" w:fill="E6E6E6"/>
          <w:lang w:eastAsia="en-AU"/>
        </w:rPr>
        <w:drawing>
          <wp:inline distT="0" distB="0" distL="0" distR="0" wp14:anchorId="5466871D" wp14:editId="462EF4EF">
            <wp:extent cx="3053301" cy="1659635"/>
            <wp:effectExtent l="0" t="0" r="0" b="0"/>
            <wp:docPr id="5" name="Picture 5" descr="Chemical structure of mometasone Furo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03342" cy="1686835"/>
                    </a:xfrm>
                    <a:prstGeom prst="rect">
                      <a:avLst/>
                    </a:prstGeom>
                    <a:noFill/>
                    <a:ln>
                      <a:noFill/>
                    </a:ln>
                  </pic:spPr>
                </pic:pic>
              </a:graphicData>
            </a:graphic>
          </wp:inline>
        </w:drawing>
      </w:r>
    </w:p>
    <w:p w14:paraId="013135AB" w14:textId="3CFF1A6B" w:rsidR="00AD178B" w:rsidRPr="00E93008" w:rsidRDefault="00AD178B" w:rsidP="00286E25">
      <w:r w:rsidRPr="00E93008">
        <w:t>The powder for inhalation is contained within single use capsules, packaged in blisters with a dosing device (inhaler) that is integral to product de</w:t>
      </w:r>
      <w:r w:rsidR="00286E25" w:rsidRPr="00E93008">
        <w:t>livery. The device (Breezhaler</w:t>
      </w:r>
      <w:r w:rsidRPr="00E93008">
        <w:t xml:space="preserve">), is the same as that used for other inhalation products currently registered by </w:t>
      </w:r>
      <w:r w:rsidR="005E0DA7">
        <w:t>the sponsor</w:t>
      </w:r>
      <w:r w:rsidR="005E0DA7" w:rsidRPr="00E93008">
        <w:t xml:space="preserve"> </w:t>
      </w:r>
      <w:r w:rsidRPr="00E93008">
        <w:t>(</w:t>
      </w:r>
      <w:r w:rsidR="007A4E05" w:rsidRPr="00E93008">
        <w:t>for example,</w:t>
      </w:r>
      <w:r w:rsidRPr="00E93008">
        <w:t xml:space="preserve"> </w:t>
      </w:r>
      <w:proofErr w:type="spellStart"/>
      <w:r w:rsidR="00286E25" w:rsidRPr="00E93008">
        <w:t>Onbrez</w:t>
      </w:r>
      <w:proofErr w:type="spellEnd"/>
      <w:r w:rsidR="00286E25" w:rsidRPr="00E93008">
        <w:t xml:space="preserve"> Breezhaler </w:t>
      </w:r>
      <w:r w:rsidRPr="00E93008">
        <w:t xml:space="preserve">indacaterol (as maleate), </w:t>
      </w:r>
      <w:proofErr w:type="spellStart"/>
      <w:r w:rsidR="00286E25" w:rsidRPr="00E93008">
        <w:t>Ultibro</w:t>
      </w:r>
      <w:proofErr w:type="spellEnd"/>
      <w:r w:rsidR="00286E25" w:rsidRPr="00E93008">
        <w:t xml:space="preserve"> Breezhaler</w:t>
      </w:r>
      <w:r w:rsidR="007B557E" w:rsidRPr="00E93008">
        <w:t>;</w:t>
      </w:r>
      <w:r w:rsidR="00D444FE" w:rsidRPr="00E93008">
        <w:rPr>
          <w:rStyle w:val="FootnoteReference"/>
        </w:rPr>
        <w:footnoteReference w:id="19"/>
      </w:r>
      <w:r w:rsidR="00286E25" w:rsidRPr="00E93008">
        <w:t xml:space="preserve"> </w:t>
      </w:r>
      <w:r w:rsidRPr="00E93008">
        <w:t xml:space="preserve">indacaterol (as maleate)/glycopyrronium (as bromide) and, </w:t>
      </w:r>
      <w:proofErr w:type="spellStart"/>
      <w:r w:rsidR="00286E25" w:rsidRPr="00E93008">
        <w:t>Seebri</w:t>
      </w:r>
      <w:proofErr w:type="spellEnd"/>
      <w:r w:rsidR="00286E25" w:rsidRPr="00E93008">
        <w:t xml:space="preserve"> Breezhaler </w:t>
      </w:r>
      <w:r w:rsidRPr="00E93008">
        <w:t>glycopyrronium (as bromide)).</w:t>
      </w:r>
    </w:p>
    <w:p w14:paraId="57E4A23C" w14:textId="77777777" w:rsidR="00DA7795" w:rsidRPr="00E93008" w:rsidRDefault="00AD178B" w:rsidP="004B1299">
      <w:r w:rsidRPr="00E93008">
        <w:t>Packs containing 10, 30, 90 and 150 capsules are proposed in the PI document. Each inhaler device has an in-use life of 90 inhalations so t</w:t>
      </w:r>
      <w:r w:rsidR="00286E25" w:rsidRPr="00E93008">
        <w:t>he 10 and 30/</w:t>
      </w:r>
      <w:r w:rsidRPr="00E93008">
        <w:t>90 capsule packs will include one inhaler device while the 150 capsule packs will include 15 inhalers.</w:t>
      </w:r>
    </w:p>
    <w:p w14:paraId="7930ABB7" w14:textId="4CEE851F" w:rsidR="00AD178B" w:rsidRPr="00E93008" w:rsidRDefault="00AD178B" w:rsidP="004B1299">
      <w:r w:rsidRPr="00E93008">
        <w:t>Monotherapy products (</w:t>
      </w:r>
      <w:proofErr w:type="spellStart"/>
      <w:r w:rsidR="00286E25" w:rsidRPr="00E93008">
        <w:t>Onbrez</w:t>
      </w:r>
      <w:proofErr w:type="spellEnd"/>
      <w:r w:rsidR="00286E25" w:rsidRPr="00E93008">
        <w:t xml:space="preserve"> Breezhaler </w:t>
      </w:r>
      <w:r w:rsidRPr="00E93008">
        <w:t xml:space="preserve">indacaterol (as maleate), </w:t>
      </w:r>
      <w:proofErr w:type="spellStart"/>
      <w:r w:rsidR="00286E25" w:rsidRPr="00E93008">
        <w:t>Seebri</w:t>
      </w:r>
      <w:proofErr w:type="spellEnd"/>
      <w:r w:rsidR="00286E25" w:rsidRPr="00E93008">
        <w:t xml:space="preserve"> Breezhaler</w:t>
      </w:r>
      <w:r w:rsidRPr="00E93008">
        <w:t xml:space="preserve"> glycopyrronium (as bromide) and </w:t>
      </w:r>
      <w:proofErr w:type="spellStart"/>
      <w:r w:rsidR="00286E25" w:rsidRPr="00E93008">
        <w:t>Asmanex</w:t>
      </w:r>
      <w:proofErr w:type="spellEnd"/>
      <w:r w:rsidRPr="00E93008">
        <w:t xml:space="preserve"> mometasone furoate) are</w:t>
      </w:r>
      <w:r w:rsidR="00A661BF" w:rsidRPr="00E93008">
        <w:t xml:space="preserve"> available in packs of; 10, 30 and</w:t>
      </w:r>
      <w:r w:rsidRPr="00E93008">
        <w:t xml:space="preserve"> 60 capsules (inhalations) and 10, 30</w:t>
      </w:r>
      <w:r w:rsidR="005E0DA7">
        <w:t xml:space="preserve"> and</w:t>
      </w:r>
      <w:r w:rsidRPr="00E93008">
        <w:t xml:space="preserve"> 90</w:t>
      </w:r>
      <w:r w:rsidR="005E0DA7">
        <w:t xml:space="preserve"> capsules,</w:t>
      </w:r>
      <w:r w:rsidRPr="00E93008">
        <w:t xml:space="preserve"> and 14, 30 </w:t>
      </w:r>
      <w:r w:rsidR="00A661BF" w:rsidRPr="00E93008">
        <w:t>and</w:t>
      </w:r>
      <w:r w:rsidRPr="00E93008">
        <w:t xml:space="preserve"> 60</w:t>
      </w:r>
      <w:r w:rsidR="005E0DA7">
        <w:t xml:space="preserve"> capsules</w:t>
      </w:r>
      <w:r w:rsidRPr="00E93008">
        <w:t xml:space="preserve"> respectively. The company should be asked to confirm the proposed pack sizes as the PI states </w:t>
      </w:r>
      <w:r w:rsidR="005E0DA7">
        <w:t xml:space="preserve">pack sizes of </w:t>
      </w:r>
      <w:r w:rsidRPr="00E93008">
        <w:t xml:space="preserve">10, 30, 90 </w:t>
      </w:r>
      <w:r w:rsidR="00A661BF" w:rsidRPr="00E93008">
        <w:t>and</w:t>
      </w:r>
      <w:r w:rsidRPr="00E93008">
        <w:t xml:space="preserve"> 150 </w:t>
      </w:r>
      <w:r w:rsidR="005E0DA7">
        <w:t xml:space="preserve">capsules </w:t>
      </w:r>
      <w:r w:rsidRPr="00E93008">
        <w:t xml:space="preserve">while labels are only provided for 10, 30 </w:t>
      </w:r>
      <w:r w:rsidR="00A661BF" w:rsidRPr="00E93008">
        <w:t>and</w:t>
      </w:r>
      <w:r w:rsidRPr="00E93008">
        <w:t xml:space="preserve"> 150</w:t>
      </w:r>
      <w:r w:rsidR="005E0DA7">
        <w:t xml:space="preserve"> capsule</w:t>
      </w:r>
      <w:r w:rsidRPr="00E93008">
        <w:t xml:space="preserve"> packs. Additionally, the company should be asked to justify the proposed pack sizes, particularly the 10 and 150 pack sizes.</w:t>
      </w:r>
    </w:p>
    <w:p w14:paraId="5B388191" w14:textId="77777777" w:rsidR="00324478" w:rsidRPr="00E93008" w:rsidRDefault="00DA6DDC" w:rsidP="004B1299">
      <w:r w:rsidRPr="00E93008">
        <w:t xml:space="preserve">The quality </w:t>
      </w:r>
      <w:r w:rsidR="00324478" w:rsidRPr="00E93008">
        <w:t>evaluator has recommended approval of this product if th</w:t>
      </w:r>
      <w:r w:rsidR="001B1E39" w:rsidRPr="00E93008">
        <w:t xml:space="preserve">e labelling will be updated as </w:t>
      </w:r>
      <w:r w:rsidR="00324478" w:rsidRPr="00E93008">
        <w:t>delivered dose.</w:t>
      </w:r>
    </w:p>
    <w:p w14:paraId="21CF7BB5" w14:textId="77777777" w:rsidR="00324478" w:rsidRPr="00E93008" w:rsidRDefault="00D70ACC" w:rsidP="004B1299">
      <w:r w:rsidRPr="00E93008">
        <w:t>Therapeutic Goods Order (</w:t>
      </w:r>
      <w:r w:rsidR="00324478" w:rsidRPr="00E93008">
        <w:t>TGO</w:t>
      </w:r>
      <w:r w:rsidRPr="00E93008">
        <w:t>)</w:t>
      </w:r>
      <w:r w:rsidR="00324478" w:rsidRPr="00E93008">
        <w:t xml:space="preserve"> 91</w:t>
      </w:r>
      <w:r w:rsidR="001A0CBD" w:rsidRPr="00E93008">
        <w:t>;</w:t>
      </w:r>
      <w:r w:rsidR="001A0CBD" w:rsidRPr="00E93008">
        <w:rPr>
          <w:rStyle w:val="FootnoteReference"/>
        </w:rPr>
        <w:footnoteReference w:id="20"/>
      </w:r>
      <w:r w:rsidR="00324478" w:rsidRPr="00E93008">
        <w:t xml:space="preserve"> (section 11(2)(h)) requires that dry powder inhalers express the quantity of the active ingredient as:</w:t>
      </w:r>
    </w:p>
    <w:p w14:paraId="2FC9950A" w14:textId="42F0C544" w:rsidR="0069763D" w:rsidRDefault="00844131" w:rsidP="0069763D">
      <w:pPr>
        <w:pStyle w:val="ListBullet"/>
        <w:numPr>
          <w:ilvl w:val="0"/>
          <w:numId w:val="42"/>
        </w:numPr>
        <w:rPr>
          <w:i/>
        </w:rPr>
      </w:pPr>
      <w:r w:rsidRPr="00E93008">
        <w:rPr>
          <w:i/>
        </w:rPr>
        <w:t>T</w:t>
      </w:r>
      <w:r w:rsidR="00324478" w:rsidRPr="00E93008">
        <w:rPr>
          <w:i/>
        </w:rPr>
        <w:t xml:space="preserve">he quantity delivered per actuation, </w:t>
      </w:r>
    </w:p>
    <w:p w14:paraId="10402EC2" w14:textId="17BAF6F7" w:rsidR="00324478" w:rsidRPr="00C2329A" w:rsidRDefault="00324478" w:rsidP="00C2329A">
      <w:pPr>
        <w:pStyle w:val="ListBullet"/>
        <w:numPr>
          <w:ilvl w:val="0"/>
          <w:numId w:val="42"/>
        </w:numPr>
        <w:rPr>
          <w:i/>
        </w:rPr>
      </w:pPr>
      <w:r w:rsidRPr="00E93008">
        <w:rPr>
          <w:i/>
        </w:rPr>
        <w:t>or</w:t>
      </w:r>
      <w:r w:rsidR="00890163" w:rsidRPr="00E93008">
        <w:rPr>
          <w:i/>
        </w:rPr>
        <w:t xml:space="preserve"> </w:t>
      </w:r>
      <w:r w:rsidR="0032297C" w:rsidRPr="00E93008">
        <w:rPr>
          <w:i/>
        </w:rPr>
        <w:t>where the s</w:t>
      </w:r>
      <w:r w:rsidRPr="00E93008">
        <w:rPr>
          <w:i/>
        </w:rPr>
        <w:t>ecretary,</w:t>
      </w:r>
      <w:r w:rsidR="00C2329A">
        <w:rPr>
          <w:i/>
        </w:rPr>
        <w:t xml:space="preserve"> </w:t>
      </w:r>
      <w:r w:rsidRPr="00C2329A">
        <w:rPr>
          <w:i/>
        </w:rPr>
        <w:t>when registering the medicine, has accepted that the dose of products containing those active ingredients was clinically established as the metered dose, then, the quantity metered per actuation.</w:t>
      </w:r>
    </w:p>
    <w:p w14:paraId="094E81A7" w14:textId="77777777" w:rsidR="00324478" w:rsidRPr="00E93008" w:rsidRDefault="00324478" w:rsidP="00324478">
      <w:r w:rsidRPr="00E93008">
        <w:t>The company has proposed to label the products as the metered doses, that is, the amount of active ingredient contained within the capsules, rather than the delivered dose. The company has justified this approach as follows:</w:t>
      </w:r>
    </w:p>
    <w:p w14:paraId="23D0877C" w14:textId="1F65BC07" w:rsidR="00324478" w:rsidRPr="00E93008" w:rsidRDefault="0015777A" w:rsidP="00F6735A">
      <w:pPr>
        <w:rPr>
          <w:i/>
        </w:rPr>
      </w:pPr>
      <w:r w:rsidRPr="00E93008">
        <w:rPr>
          <w:i/>
        </w:rPr>
        <w:t>‘</w:t>
      </w:r>
      <w:r w:rsidR="005E0DA7">
        <w:rPr>
          <w:i/>
        </w:rPr>
        <w:t>[</w:t>
      </w:r>
      <w:r w:rsidR="009B0F63">
        <w:rPr>
          <w:i/>
        </w:rPr>
        <w:t>T</w:t>
      </w:r>
      <w:r w:rsidR="005E0DA7">
        <w:rPr>
          <w:i/>
        </w:rPr>
        <w:t>he sponsor]</w:t>
      </w:r>
      <w:r w:rsidR="005E0DA7" w:rsidRPr="00E93008">
        <w:rPr>
          <w:i/>
        </w:rPr>
        <w:t xml:space="preserve"> </w:t>
      </w:r>
      <w:r w:rsidR="00324478" w:rsidRPr="00E93008">
        <w:rPr>
          <w:i/>
        </w:rPr>
        <w:t xml:space="preserve">has applied for the metered dose to be included on the labels for </w:t>
      </w:r>
      <w:proofErr w:type="spellStart"/>
      <w:r w:rsidR="00324478" w:rsidRPr="00E93008">
        <w:rPr>
          <w:i/>
        </w:rPr>
        <w:t>Enerzair</w:t>
      </w:r>
      <w:proofErr w:type="spellEnd"/>
      <w:r w:rsidR="00324478" w:rsidRPr="00E93008">
        <w:rPr>
          <w:i/>
        </w:rPr>
        <w:t xml:space="preserve"> for consistency with the other </w:t>
      </w:r>
      <w:r w:rsidR="000379F7" w:rsidRPr="00E93008">
        <w:rPr>
          <w:i/>
        </w:rPr>
        <w:t>Breezhaler</w:t>
      </w:r>
      <w:r w:rsidR="00324478" w:rsidRPr="00E93008">
        <w:rPr>
          <w:i/>
        </w:rPr>
        <w:t xml:space="preserve"> registered products (</w:t>
      </w:r>
      <w:proofErr w:type="spellStart"/>
      <w:r w:rsidR="00324478" w:rsidRPr="00E93008">
        <w:rPr>
          <w:i/>
        </w:rPr>
        <w:t>Onbrez</w:t>
      </w:r>
      <w:proofErr w:type="spellEnd"/>
      <w:r w:rsidR="00324478" w:rsidRPr="00E93008">
        <w:rPr>
          <w:i/>
        </w:rPr>
        <w:t xml:space="preserve">, </w:t>
      </w:r>
      <w:proofErr w:type="spellStart"/>
      <w:r w:rsidR="00324478" w:rsidRPr="00E93008">
        <w:rPr>
          <w:i/>
        </w:rPr>
        <w:t>Ultibro</w:t>
      </w:r>
      <w:proofErr w:type="spellEnd"/>
      <w:r w:rsidR="00324478" w:rsidRPr="00E93008">
        <w:rPr>
          <w:i/>
        </w:rPr>
        <w:t xml:space="preserve"> and </w:t>
      </w:r>
      <w:proofErr w:type="spellStart"/>
      <w:r w:rsidR="00324478" w:rsidRPr="00E93008">
        <w:rPr>
          <w:i/>
        </w:rPr>
        <w:t>Seebri</w:t>
      </w:r>
      <w:proofErr w:type="spellEnd"/>
      <w:r w:rsidR="00324478" w:rsidRPr="00E93008">
        <w:rPr>
          <w:i/>
        </w:rPr>
        <w:t xml:space="preserve">). These other inhalation products were registered prior to TGO 91 implementation and since they contain the same dosage device, we believe it is justified to continue to use the metered dose on </w:t>
      </w:r>
      <w:proofErr w:type="spellStart"/>
      <w:r w:rsidR="00324478" w:rsidRPr="00E93008">
        <w:rPr>
          <w:i/>
        </w:rPr>
        <w:t>Enerzair</w:t>
      </w:r>
      <w:proofErr w:type="spellEnd"/>
      <w:r w:rsidR="00324478" w:rsidRPr="00E93008">
        <w:rPr>
          <w:i/>
        </w:rPr>
        <w:t xml:space="preserve"> to reduce prescriber confusion.</w:t>
      </w:r>
      <w:r w:rsidR="00890163" w:rsidRPr="00E93008">
        <w:rPr>
          <w:i/>
        </w:rPr>
        <w:t>’</w:t>
      </w:r>
    </w:p>
    <w:p w14:paraId="11EA7325" w14:textId="77777777" w:rsidR="00324478" w:rsidRPr="00E93008" w:rsidRDefault="00324478" w:rsidP="00324478">
      <w:r w:rsidRPr="00E93008">
        <w:t>T</w:t>
      </w:r>
      <w:r w:rsidR="00C62310" w:rsidRPr="00E93008">
        <w:t>he D</w:t>
      </w:r>
      <w:r w:rsidR="00DA6DDC" w:rsidRPr="00E93008">
        <w:t>elegate agrees with the quality</w:t>
      </w:r>
      <w:r w:rsidRPr="00E93008">
        <w:t xml:space="preserve"> evaluator's conclusion and has made this requirement as a condition for registration.</w:t>
      </w:r>
    </w:p>
    <w:p w14:paraId="6A5016C6" w14:textId="77777777" w:rsidR="00844131" w:rsidRPr="00E93008" w:rsidRDefault="00DA75F1" w:rsidP="00324478">
      <w:r w:rsidRPr="00E93008">
        <w:t xml:space="preserve">All outstanding quality, manufacturing and labelling issues have been revolved. </w:t>
      </w:r>
      <w:r w:rsidR="00844131" w:rsidRPr="00E93008">
        <w:t xml:space="preserve">Approval is recommended for registration of the proposed product from a </w:t>
      </w:r>
      <w:r w:rsidR="00DA6DDC" w:rsidRPr="00E93008">
        <w:t>quality</w:t>
      </w:r>
      <w:r w:rsidR="00844131" w:rsidRPr="00E93008">
        <w:t xml:space="preserve"> perspective.</w:t>
      </w:r>
    </w:p>
    <w:p w14:paraId="1D869CF2" w14:textId="77777777" w:rsidR="008E7846" w:rsidRPr="00E93008" w:rsidRDefault="008E7846" w:rsidP="008E7846">
      <w:pPr>
        <w:pStyle w:val="Heading3"/>
      </w:pPr>
      <w:bookmarkStart w:id="39" w:name="_Toc314842512"/>
      <w:bookmarkStart w:id="40" w:name="_Toc69998859"/>
      <w:r w:rsidRPr="00E93008">
        <w:t>Nonclinical</w:t>
      </w:r>
      <w:bookmarkEnd w:id="39"/>
      <w:bookmarkEnd w:id="40"/>
    </w:p>
    <w:p w14:paraId="503FC2C9" w14:textId="77777777" w:rsidR="009B2832" w:rsidRPr="00E93008" w:rsidRDefault="009B2832" w:rsidP="009B2832">
      <w:r w:rsidRPr="00E93008">
        <w:t xml:space="preserve">There are no nonclinical objections to the registration of </w:t>
      </w:r>
      <w:proofErr w:type="spellStart"/>
      <w:r w:rsidRPr="00E93008">
        <w:t>Enerzair</w:t>
      </w:r>
      <w:proofErr w:type="spellEnd"/>
      <w:r w:rsidRPr="00E93008">
        <w:t xml:space="preserve"> Breezhaler.</w:t>
      </w:r>
      <w:r w:rsidR="00F479B6" w:rsidRPr="00E93008">
        <w:t xml:space="preserve"> The nonclinical evaluator has recommended approval of this product.</w:t>
      </w:r>
    </w:p>
    <w:p w14:paraId="39206ED0" w14:textId="77777777" w:rsidR="00EA613D" w:rsidRPr="00E93008" w:rsidRDefault="00EA613D" w:rsidP="009B2832">
      <w:r w:rsidRPr="00E93008">
        <w:t>Tre</w:t>
      </w:r>
      <w:r w:rsidR="00B93B68" w:rsidRPr="00E93008">
        <w:t>atment involves one inhalation OD</w:t>
      </w:r>
      <w:r w:rsidR="00DA54F9" w:rsidRPr="00E93008">
        <w:t>.</w:t>
      </w:r>
      <w:r w:rsidRPr="00E93008">
        <w:t xml:space="preserve"> The metered doses of the active ingredients 150</w:t>
      </w:r>
      <w:r w:rsidR="00245A85" w:rsidRPr="00E93008">
        <w:t> </w:t>
      </w:r>
      <w:r w:rsidRPr="00E93008">
        <w:t>μg indacaterol, 50</w:t>
      </w:r>
      <w:r w:rsidR="00245A85" w:rsidRPr="00E93008">
        <w:t> </w:t>
      </w:r>
      <w:r w:rsidRPr="00E93008">
        <w:t>μg glycopyrronium and up to 160 μg mometasone furoate</w:t>
      </w:r>
      <w:r w:rsidR="009B2832" w:rsidRPr="00E93008">
        <w:t xml:space="preserve"> </w:t>
      </w:r>
      <w:r w:rsidRPr="00E93008">
        <w:t>do not exceed that approved for inhalational administration of the single agents. Delivered doses of indacaterol and mometasone furoate also do not exceed that already approved, while the delivered dose of glycopyrronium is marginally increased (46</w:t>
      </w:r>
      <w:r w:rsidR="00245A85" w:rsidRPr="00E93008">
        <w:t> </w:t>
      </w:r>
      <w:r w:rsidRPr="00E93008">
        <w:t xml:space="preserve">μg with this product </w:t>
      </w:r>
      <w:r w:rsidR="00615F7F" w:rsidRPr="00E93008">
        <w:t>in comparison with</w:t>
      </w:r>
      <w:r w:rsidRPr="00E93008">
        <w:t xml:space="preserve"> 44</w:t>
      </w:r>
      <w:r w:rsidR="00245A85" w:rsidRPr="00E93008">
        <w:t> </w:t>
      </w:r>
      <w:r w:rsidRPr="00E93008">
        <w:t xml:space="preserve">μg with </w:t>
      </w:r>
      <w:proofErr w:type="spellStart"/>
      <w:r w:rsidRPr="00E93008">
        <w:t>Seebri</w:t>
      </w:r>
      <w:proofErr w:type="spellEnd"/>
      <w:r w:rsidRPr="00E93008">
        <w:t xml:space="preserve"> Breezhaler) but exposure in patients is reported to be comparable.</w:t>
      </w:r>
    </w:p>
    <w:p w14:paraId="2C47FA94" w14:textId="77777777" w:rsidR="00EA613D" w:rsidRPr="00E93008" w:rsidRDefault="00EA613D" w:rsidP="009B2832">
      <w:r w:rsidRPr="00E93008">
        <w:t>Indacaterol is present in this product as the acetate salt, in contrast to all existing indacaterol containing products, which use the maleate salt.</w:t>
      </w:r>
    </w:p>
    <w:p w14:paraId="6064D183" w14:textId="1E4350BF" w:rsidR="00EA613D" w:rsidRPr="00E93008" w:rsidRDefault="00615F7F" w:rsidP="009B2832">
      <w:r w:rsidRPr="00E93008">
        <w:t>Nonclinical module</w:t>
      </w:r>
      <w:r w:rsidR="00EA613D" w:rsidRPr="00E93008">
        <w:t xml:space="preserve"> contained no studies with the triple combination, but was adequate in scope, in accordance with</w:t>
      </w:r>
      <w:r w:rsidR="00DE51AF" w:rsidRPr="00E93008">
        <w:t xml:space="preserve"> International Council for Harmonisation</w:t>
      </w:r>
      <w:r w:rsidR="00EA613D" w:rsidRPr="00E93008">
        <w:t xml:space="preserve"> </w:t>
      </w:r>
      <w:r w:rsidR="00DE51AF" w:rsidRPr="00E93008">
        <w:t>(</w:t>
      </w:r>
      <w:r w:rsidR="00EA613D" w:rsidRPr="00E93008">
        <w:t>ICH</w:t>
      </w:r>
      <w:r w:rsidR="00DE51AF" w:rsidRPr="00E93008">
        <w:t>);</w:t>
      </w:r>
      <w:r w:rsidR="00DE51AF" w:rsidRPr="00E93008">
        <w:rPr>
          <w:rStyle w:val="FootnoteReference"/>
        </w:rPr>
        <w:footnoteReference w:id="21"/>
      </w:r>
      <w:r w:rsidR="00EA613D" w:rsidRPr="00E93008">
        <w:t xml:space="preserve"> M3 (R2).</w:t>
      </w:r>
      <w:r w:rsidR="005E0DA7">
        <w:rPr>
          <w:rStyle w:val="FootnoteReference"/>
        </w:rPr>
        <w:footnoteReference w:id="22"/>
      </w:r>
      <w:r w:rsidR="00EA613D" w:rsidRPr="00E93008">
        <w:t xml:space="preserve"> It was composed mostly of data submitted in a concurrent application to register indacaterol acetate and mometasone furoate in dual combination (Atectura Breezhaler). Some studies submitted and evaluated for the original registration of </w:t>
      </w:r>
      <w:proofErr w:type="spellStart"/>
      <w:r w:rsidR="00EA613D" w:rsidRPr="00E93008">
        <w:t>Seebri</w:t>
      </w:r>
      <w:proofErr w:type="spellEnd"/>
      <w:r w:rsidR="00EA613D" w:rsidRPr="00E93008">
        <w:t xml:space="preserve"> Breezhaler were re</w:t>
      </w:r>
      <w:r w:rsidR="00EA613D" w:rsidRPr="00E93008">
        <w:noBreakHyphen/>
        <w:t>provided. The single new nonclinical study concerned the mutagenic potential of impurities of glycopyrronium bromide.</w:t>
      </w:r>
    </w:p>
    <w:p w14:paraId="16C66EF3" w14:textId="77777777" w:rsidR="009F26A8" w:rsidRPr="00E93008" w:rsidRDefault="009F26A8" w:rsidP="009B2832">
      <w:r w:rsidRPr="00E93008">
        <w:t xml:space="preserve">The combination of these three pharmacological classes is not novel. Previously evaluated </w:t>
      </w:r>
      <w:r w:rsidRPr="00E93008">
        <w:rPr>
          <w:i/>
        </w:rPr>
        <w:t>in vitro</w:t>
      </w:r>
      <w:r w:rsidRPr="00E93008">
        <w:t xml:space="preserve"> studies with dual combinations have shown additive inhibition of bronchoconstriction with glycopyrronium and indacaterol and enhanced effects on the expression of a number of asthma related genes with indacaterol and mometasone furoate.</w:t>
      </w:r>
    </w:p>
    <w:p w14:paraId="559B2A61" w14:textId="77777777" w:rsidR="009F26A8" w:rsidRPr="00E93008" w:rsidRDefault="009F26A8" w:rsidP="009B2832">
      <w:r w:rsidRPr="00E93008">
        <w:t xml:space="preserve">No pharmacokinetic interaction between the three agents is predicted from </w:t>
      </w:r>
      <w:r w:rsidRPr="00E93008">
        <w:rPr>
          <w:i/>
        </w:rPr>
        <w:t>in vitro</w:t>
      </w:r>
      <w:r w:rsidRPr="00E93008">
        <w:t xml:space="preserve"> data on enzyme/transporter inhibition and from knowledge of the routes of metabolism. Pharmacokinetics were repo</w:t>
      </w:r>
      <w:r w:rsidR="00EA613D" w:rsidRPr="00E93008">
        <w:t>rted to not be affected with co-</w:t>
      </w:r>
      <w:r w:rsidRPr="00E93008">
        <w:t>administration in humans.</w:t>
      </w:r>
    </w:p>
    <w:p w14:paraId="3CB5BDBB" w14:textId="77777777" w:rsidR="009F26A8" w:rsidRPr="00E93008" w:rsidRDefault="009F26A8" w:rsidP="009B2832">
      <w:r w:rsidRPr="00E93008">
        <w:t>Previously evaluated inhalational repeat dose toxicity studies with indacaterol/glycopyrronium and indacaterol/mometasone furoate in in rats and dogs do not suggest novel or clinically relevant additive toxicity with the triple combination.</w:t>
      </w:r>
    </w:p>
    <w:p w14:paraId="233C7764" w14:textId="77777777" w:rsidR="009F26A8" w:rsidRPr="00E93008" w:rsidRDefault="009F26A8" w:rsidP="009B2832">
      <w:r w:rsidRPr="00E93008">
        <w:t xml:space="preserve">The acetate and maleate salts of indacaterol exhibited no difference in kinetics or toxicity in rats and/or dogs in studies evaluated for </w:t>
      </w:r>
      <w:r w:rsidR="000379F7" w:rsidRPr="00E93008">
        <w:t>Atectura Breezhaler</w:t>
      </w:r>
      <w:r w:rsidRPr="00E93008">
        <w:t>.</w:t>
      </w:r>
    </w:p>
    <w:p w14:paraId="61BD039A" w14:textId="77777777" w:rsidR="00273F4D" w:rsidRPr="00E93008" w:rsidRDefault="00273F4D" w:rsidP="009B2832">
      <w:r w:rsidRPr="00E93008">
        <w:t>Pregnancy Category B3,</w:t>
      </w:r>
      <w:r w:rsidR="00267983" w:rsidRPr="00E93008">
        <w:rPr>
          <w:rStyle w:val="FootnoteReference"/>
        </w:rPr>
        <w:footnoteReference w:id="23"/>
      </w:r>
      <w:r w:rsidRPr="00E93008">
        <w:t xml:space="preserve"> as the sponsor proposes, is considered to be appropriate, based on reference to existing data for the individual components.</w:t>
      </w:r>
    </w:p>
    <w:p w14:paraId="573FE86D" w14:textId="568D3FC0" w:rsidR="009B2832" w:rsidRPr="00E93008" w:rsidRDefault="005F4E6C" w:rsidP="009B2832">
      <w:r w:rsidRPr="00E93008">
        <w:t>The nonclinical evaluator has required the sponsor to make amendment in the draft PI as directed.</w:t>
      </w:r>
    </w:p>
    <w:p w14:paraId="49C474BD" w14:textId="77777777" w:rsidR="008E7846" w:rsidRPr="00E93008" w:rsidRDefault="008E7846" w:rsidP="008E7846">
      <w:pPr>
        <w:pStyle w:val="Heading3"/>
      </w:pPr>
      <w:bookmarkStart w:id="41" w:name="_Toc247691530"/>
      <w:bookmarkStart w:id="42" w:name="_Toc314842513"/>
      <w:bookmarkStart w:id="43" w:name="_Toc69998860"/>
      <w:r w:rsidRPr="00E93008">
        <w:t>Clinical</w:t>
      </w:r>
      <w:bookmarkEnd w:id="41"/>
      <w:bookmarkEnd w:id="42"/>
      <w:bookmarkEnd w:id="43"/>
    </w:p>
    <w:p w14:paraId="10BF5A05" w14:textId="77777777" w:rsidR="009F26A8" w:rsidRPr="00E93008" w:rsidRDefault="00006FAB" w:rsidP="005552A5">
      <w:pPr>
        <w:pStyle w:val="ListBullet"/>
        <w:numPr>
          <w:ilvl w:val="0"/>
          <w:numId w:val="0"/>
        </w:numPr>
        <w:ind w:left="360" w:hanging="360"/>
      </w:pPr>
      <w:bookmarkStart w:id="44" w:name="_Toc314842514"/>
      <w:r w:rsidRPr="00E93008">
        <w:t>The clinical dossier consisted</w:t>
      </w:r>
      <w:r w:rsidR="00ED2EE5" w:rsidRPr="00E93008">
        <w:t xml:space="preserve"> of</w:t>
      </w:r>
    </w:p>
    <w:p w14:paraId="17ED1FC0" w14:textId="0A835667" w:rsidR="005552A5" w:rsidRPr="00E93008" w:rsidRDefault="005E0DA7" w:rsidP="00EE052A">
      <w:pPr>
        <w:pStyle w:val="ListBullet"/>
      </w:pPr>
      <w:r>
        <w:t>o</w:t>
      </w:r>
      <w:r w:rsidR="00724332" w:rsidRPr="00E93008">
        <w:t xml:space="preserve">ne </w:t>
      </w:r>
      <w:r w:rsidR="009F26A8" w:rsidRPr="00E93008">
        <w:t>Phase I</w:t>
      </w:r>
      <w:r w:rsidR="00724332" w:rsidRPr="00E93008">
        <w:t>II study</w:t>
      </w:r>
      <w:r w:rsidR="00A21092">
        <w:t xml:space="preserve"> (Study </w:t>
      </w:r>
      <w:r w:rsidR="00A21092" w:rsidRPr="00E93008">
        <w:t>CQVM149-B2302</w:t>
      </w:r>
      <w:r w:rsidR="00A21092">
        <w:t>)</w:t>
      </w:r>
      <w:r>
        <w:t>;</w:t>
      </w:r>
    </w:p>
    <w:p w14:paraId="7EE7C97C" w14:textId="5941F304" w:rsidR="00724332" w:rsidRPr="00E93008" w:rsidRDefault="005E0DA7" w:rsidP="005552A5">
      <w:pPr>
        <w:pStyle w:val="ListBullet"/>
      </w:pPr>
      <w:r>
        <w:t>t</w:t>
      </w:r>
      <w:r w:rsidR="00ED2EE5" w:rsidRPr="00E93008">
        <w:t>hree supportive studies</w:t>
      </w:r>
      <w:r>
        <w:t>; and</w:t>
      </w:r>
    </w:p>
    <w:p w14:paraId="1D2997DB" w14:textId="2D4084A9" w:rsidR="00A57AB8" w:rsidRPr="00E93008" w:rsidRDefault="005E0DA7" w:rsidP="00D70ACC">
      <w:pPr>
        <w:pStyle w:val="ListBullet"/>
      </w:pPr>
      <w:r>
        <w:t>six</w:t>
      </w:r>
      <w:r w:rsidR="009C1434" w:rsidRPr="00E93008">
        <w:t xml:space="preserve"> </w:t>
      </w:r>
      <w:r w:rsidR="00D70ACC" w:rsidRPr="00E93008">
        <w:t>pharmacokinetic (PK)</w:t>
      </w:r>
      <w:r>
        <w:t xml:space="preserve">/ </w:t>
      </w:r>
      <w:r w:rsidR="00D70ACC" w:rsidRPr="00E93008">
        <w:t>pharmacodynamic (</w:t>
      </w:r>
      <w:r w:rsidR="009C1434" w:rsidRPr="00E93008">
        <w:t>PD</w:t>
      </w:r>
      <w:r w:rsidR="00D70ACC" w:rsidRPr="00E93008">
        <w:t>)</w:t>
      </w:r>
      <w:r w:rsidR="009C1434" w:rsidRPr="00E93008">
        <w:t xml:space="preserve"> studies</w:t>
      </w:r>
      <w:r w:rsidR="00ED2EE5" w:rsidRPr="00E93008">
        <w:t>.</w:t>
      </w:r>
    </w:p>
    <w:p w14:paraId="5FB35F22" w14:textId="77777777" w:rsidR="009F26A8" w:rsidRPr="00E93008" w:rsidRDefault="00C93A89" w:rsidP="00A57AB8">
      <w:pPr>
        <w:pStyle w:val="Heading4"/>
        <w:rPr>
          <w:szCs w:val="22"/>
        </w:rPr>
      </w:pPr>
      <w:r w:rsidRPr="00E93008">
        <w:rPr>
          <w:lang w:eastAsia="ja-JP"/>
        </w:rPr>
        <w:t>Pharmacology</w:t>
      </w:r>
    </w:p>
    <w:p w14:paraId="7F558C7D" w14:textId="33A3B063" w:rsidR="00C93A89" w:rsidRPr="00E93008" w:rsidRDefault="009F26A8" w:rsidP="00C93A89">
      <w:r w:rsidRPr="00E93008">
        <w:t xml:space="preserve">The delivered dose for </w:t>
      </w:r>
      <w:proofErr w:type="spellStart"/>
      <w:r w:rsidR="00734EA7" w:rsidRPr="00E93008">
        <w:t>Enerzair</w:t>
      </w:r>
      <w:proofErr w:type="spellEnd"/>
      <w:r w:rsidR="00734EA7" w:rsidRPr="00E93008">
        <w:t xml:space="preserve"> Breezhaler </w:t>
      </w:r>
      <w:r w:rsidRPr="00E93008">
        <w:t>150</w:t>
      </w:r>
      <w:r w:rsidR="00057EAC" w:rsidRPr="00E93008">
        <w:t xml:space="preserve"> µg indacaterol</w:t>
      </w:r>
      <w:r w:rsidRPr="00E93008">
        <w:t>/</w:t>
      </w:r>
      <w:r w:rsidR="005E0DA7">
        <w:t xml:space="preserve"> </w:t>
      </w:r>
      <w:r w:rsidRPr="00E93008">
        <w:t>50</w:t>
      </w:r>
      <w:r w:rsidR="00057EAC" w:rsidRPr="00E93008">
        <w:t xml:space="preserve"> µg glycopyrronium</w:t>
      </w:r>
      <w:r w:rsidR="00364F32" w:rsidRPr="00E93008">
        <w:t>/</w:t>
      </w:r>
      <w:r w:rsidR="005E0DA7">
        <w:t xml:space="preserve"> </w:t>
      </w:r>
      <w:r w:rsidRPr="00E93008">
        <w:t>80</w:t>
      </w:r>
      <w:r w:rsidR="005E0DA7">
        <w:t> </w:t>
      </w:r>
      <w:r w:rsidR="00057EAC" w:rsidRPr="00E93008">
        <w:t>µg mometasone furoate</w:t>
      </w:r>
      <w:r w:rsidR="00C93A89" w:rsidRPr="00E93008">
        <w:t xml:space="preserve"> </w:t>
      </w:r>
      <w:r w:rsidRPr="00E93008">
        <w:t xml:space="preserve">is equivalent to 114 </w:t>
      </w:r>
      <w:r w:rsidR="00C93A89" w:rsidRPr="00E93008">
        <w:t xml:space="preserve">µg </w:t>
      </w:r>
      <w:r w:rsidRPr="00E93008">
        <w:t xml:space="preserve">indacaterol, 46 </w:t>
      </w:r>
      <w:r w:rsidR="00C93A89" w:rsidRPr="00E93008">
        <w:t xml:space="preserve">µg </w:t>
      </w:r>
      <w:r w:rsidRPr="00E93008">
        <w:t xml:space="preserve">glycopyrronium, and 68 </w:t>
      </w:r>
      <w:r w:rsidR="00ED2EE5" w:rsidRPr="00E93008">
        <w:t>µg mometasone furoate.</w:t>
      </w:r>
    </w:p>
    <w:p w14:paraId="0FFBA241" w14:textId="2DF34443" w:rsidR="009F26A8" w:rsidRPr="00E93008" w:rsidRDefault="009F26A8" w:rsidP="00C93A89">
      <w:r w:rsidRPr="00E93008">
        <w:t xml:space="preserve">The delivered dose for </w:t>
      </w:r>
      <w:proofErr w:type="spellStart"/>
      <w:r w:rsidR="00734EA7" w:rsidRPr="00E93008">
        <w:t>Enerzair</w:t>
      </w:r>
      <w:proofErr w:type="spellEnd"/>
      <w:r w:rsidR="00734EA7" w:rsidRPr="00E93008">
        <w:t xml:space="preserve"> Breezhaler </w:t>
      </w:r>
      <w:r w:rsidRPr="00E93008">
        <w:t>150</w:t>
      </w:r>
      <w:r w:rsidR="00057EAC" w:rsidRPr="00E93008">
        <w:t xml:space="preserve"> µg indacaterol</w:t>
      </w:r>
      <w:r w:rsidRPr="00E93008">
        <w:t>/</w:t>
      </w:r>
      <w:r w:rsidR="005E0DA7">
        <w:t xml:space="preserve"> </w:t>
      </w:r>
      <w:r w:rsidRPr="00E93008">
        <w:t>50</w:t>
      </w:r>
      <w:r w:rsidR="005E0DA7">
        <w:t> </w:t>
      </w:r>
      <w:r w:rsidR="00057EAC" w:rsidRPr="00E93008">
        <w:t>µg</w:t>
      </w:r>
      <w:r w:rsidR="005E0DA7">
        <w:t> </w:t>
      </w:r>
      <w:r w:rsidR="00057EAC" w:rsidRPr="00E93008">
        <w:t>glycopyrronium</w:t>
      </w:r>
      <w:r w:rsidRPr="00E93008">
        <w:t>/</w:t>
      </w:r>
      <w:r w:rsidR="005E0DA7">
        <w:t xml:space="preserve"> </w:t>
      </w:r>
      <w:r w:rsidRPr="00E93008">
        <w:t xml:space="preserve">160 </w:t>
      </w:r>
      <w:r w:rsidR="00557E7C" w:rsidRPr="00E93008">
        <w:t>µg mometasone furoate</w:t>
      </w:r>
      <w:r w:rsidR="00C93A89" w:rsidRPr="00E93008">
        <w:t xml:space="preserve"> </w:t>
      </w:r>
      <w:r w:rsidRPr="00E93008">
        <w:t xml:space="preserve">is equivalent to 114 </w:t>
      </w:r>
      <w:r w:rsidR="00C93A89" w:rsidRPr="00E93008">
        <w:t xml:space="preserve">µg </w:t>
      </w:r>
      <w:r w:rsidRPr="00E93008">
        <w:t xml:space="preserve">indacaterol, 46 </w:t>
      </w:r>
      <w:r w:rsidR="00C93A89" w:rsidRPr="00E93008">
        <w:t xml:space="preserve">µg </w:t>
      </w:r>
      <w:r w:rsidRPr="00E93008">
        <w:t xml:space="preserve">glycopyrronium, and 136 </w:t>
      </w:r>
      <w:r w:rsidR="00C93A89" w:rsidRPr="00E93008">
        <w:t xml:space="preserve">µg </w:t>
      </w:r>
      <w:r w:rsidRPr="00E93008">
        <w:t>mometasone furoate.</w:t>
      </w:r>
    </w:p>
    <w:p w14:paraId="438C616B" w14:textId="77777777" w:rsidR="009F26A8" w:rsidRPr="00E93008" w:rsidRDefault="009F26A8" w:rsidP="00C93A89">
      <w:r w:rsidRPr="00E93008">
        <w:t>As both active components are currently approved as monotherapies, the clinical pharmacology studies submitted were in support of the proposed FDC.</w:t>
      </w:r>
    </w:p>
    <w:p w14:paraId="7B821C7C" w14:textId="309212B6" w:rsidR="009F26A8" w:rsidRPr="00E93008" w:rsidRDefault="009F26A8" w:rsidP="00C93A89">
      <w:r w:rsidRPr="00E93008">
        <w:t>Findings of</w:t>
      </w:r>
      <w:r w:rsidR="005E0DA7">
        <w:t xml:space="preserve"> the</w:t>
      </w:r>
      <w:r w:rsidRPr="00E93008">
        <w:t xml:space="preserve"> PK studies indicate that both </w:t>
      </w:r>
      <w:r w:rsidR="005E0DA7">
        <w:t xml:space="preserve">the </w:t>
      </w:r>
      <w:r w:rsidRPr="00E93008">
        <w:t xml:space="preserve">indacaterol acetate and maleate salts are bioequivalent. Indacaterol is presented as </w:t>
      </w:r>
      <w:r w:rsidR="005E0DA7">
        <w:t xml:space="preserve">the </w:t>
      </w:r>
      <w:r w:rsidRPr="00E93008">
        <w:t>acetate salt in triple inhaler and</w:t>
      </w:r>
      <w:r w:rsidR="005E0DA7">
        <w:t xml:space="preserve"> the</w:t>
      </w:r>
      <w:r w:rsidRPr="00E93008">
        <w:t xml:space="preserve"> maleate salt in the TGA ap</w:t>
      </w:r>
      <w:r w:rsidR="00C93A89" w:rsidRPr="00E93008">
        <w:t>proved monotherapy product-</w:t>
      </w:r>
      <w:proofErr w:type="spellStart"/>
      <w:r w:rsidR="00ED2EE5" w:rsidRPr="00E93008">
        <w:t>Onbrez</w:t>
      </w:r>
      <w:proofErr w:type="spellEnd"/>
      <w:r w:rsidR="00ED2EE5" w:rsidRPr="00E93008">
        <w:t xml:space="preserve"> inhaler.</w:t>
      </w:r>
    </w:p>
    <w:p w14:paraId="498BC05A" w14:textId="77777777" w:rsidR="009F26A8" w:rsidRPr="00E93008" w:rsidRDefault="009F26A8" w:rsidP="00C93A89">
      <w:r w:rsidRPr="00E93008">
        <w:t xml:space="preserve">The dose selection of </w:t>
      </w:r>
      <w:r w:rsidR="00200108" w:rsidRPr="00E93008">
        <w:t xml:space="preserve">mometasone furoate </w:t>
      </w:r>
      <w:r w:rsidRPr="00E93008">
        <w:t xml:space="preserve">in QVM149 was based on the dose of </w:t>
      </w:r>
      <w:r w:rsidR="00200108" w:rsidRPr="00E93008">
        <w:t>mometasone furoate</w:t>
      </w:r>
      <w:r w:rsidRPr="00E93008">
        <w:t xml:space="preserve"> in previously approved </w:t>
      </w:r>
      <w:proofErr w:type="spellStart"/>
      <w:r w:rsidRPr="00E93008">
        <w:t>Asmanex</w:t>
      </w:r>
      <w:proofErr w:type="spellEnd"/>
      <w:r w:rsidRPr="00E93008">
        <w:t xml:space="preserve"> </w:t>
      </w:r>
      <w:proofErr w:type="spellStart"/>
      <w:r w:rsidR="00705769" w:rsidRPr="00E93008">
        <w:t>Twisthaler</w:t>
      </w:r>
      <w:proofErr w:type="spellEnd"/>
      <w:r w:rsidR="00C2515D" w:rsidRPr="00E93008">
        <w:t>. QVM</w:t>
      </w:r>
      <w:r w:rsidRPr="00E93008">
        <w:t>149 was deliv</w:t>
      </w:r>
      <w:r w:rsidR="00C93A89" w:rsidRPr="00E93008">
        <w:t>ered via a new device (Concept</w:t>
      </w:r>
      <w:r w:rsidR="005F4E6C" w:rsidRPr="00E93008">
        <w:t xml:space="preserve"> </w:t>
      </w:r>
      <w:r w:rsidRPr="00E93008">
        <w:t xml:space="preserve">1) and </w:t>
      </w:r>
      <w:r w:rsidR="00200108" w:rsidRPr="00E93008">
        <w:t>mometasone furoate</w:t>
      </w:r>
      <w:r w:rsidR="00ED2EE5" w:rsidRPr="00E93008">
        <w:t xml:space="preserve"> was in a new formulation.</w:t>
      </w:r>
    </w:p>
    <w:p w14:paraId="115F078D" w14:textId="77777777" w:rsidR="009F26A8" w:rsidRPr="00E93008" w:rsidRDefault="009F26A8" w:rsidP="00C93A89">
      <w:r w:rsidRPr="00E93008">
        <w:t xml:space="preserve">A three step bridging approach demonstrated that the </w:t>
      </w:r>
      <w:r w:rsidR="00705769" w:rsidRPr="00E93008">
        <w:t xml:space="preserve">dose of </w:t>
      </w:r>
      <w:r w:rsidR="00200108" w:rsidRPr="00E93008">
        <w:t>mometasone furoate</w:t>
      </w:r>
      <w:r w:rsidR="00705769" w:rsidRPr="00E93008">
        <w:t xml:space="preserve"> delivered by C</w:t>
      </w:r>
      <w:r w:rsidR="00C93A89" w:rsidRPr="00E93008">
        <w:t xml:space="preserve">oncept </w:t>
      </w:r>
      <w:r w:rsidRPr="00E93008">
        <w:t xml:space="preserve">1 device was proportionate to the corresponding dose of </w:t>
      </w:r>
      <w:r w:rsidR="00200108" w:rsidRPr="00E93008">
        <w:t>mometasone furoate</w:t>
      </w:r>
      <w:r w:rsidRPr="00E93008">
        <w:t xml:space="preserve"> delivered by </w:t>
      </w:r>
      <w:proofErr w:type="spellStart"/>
      <w:r w:rsidR="00705769" w:rsidRPr="00E93008">
        <w:t>Twisthaler</w:t>
      </w:r>
      <w:proofErr w:type="spellEnd"/>
      <w:r w:rsidR="00ED2EE5" w:rsidRPr="00E93008">
        <w:t>.</w:t>
      </w:r>
      <w:r w:rsidR="0090548F" w:rsidRPr="00E93008">
        <w:rPr>
          <w:rStyle w:val="FootnoteReference"/>
        </w:rPr>
        <w:footnoteReference w:id="24"/>
      </w:r>
    </w:p>
    <w:p w14:paraId="05B1714F" w14:textId="77777777" w:rsidR="009F26A8" w:rsidRPr="00E93008" w:rsidRDefault="009F26A8" w:rsidP="00C93A89">
      <w:r w:rsidRPr="00E93008">
        <w:t>Based on the PK data from the pivot</w:t>
      </w:r>
      <w:r w:rsidR="00705769" w:rsidRPr="00E93008">
        <w:t xml:space="preserve">al study, in asthmatics, steady </w:t>
      </w:r>
      <w:r w:rsidRPr="00E93008">
        <w:t>state systemic exposure of individual components of QVM149 was comparable when administered individually or as a FDC.</w:t>
      </w:r>
    </w:p>
    <w:p w14:paraId="0354A950" w14:textId="270A086F" w:rsidR="009F26A8" w:rsidRPr="00E93008" w:rsidRDefault="00E54FFE" w:rsidP="00C93A89">
      <w:r>
        <w:t>The s</w:t>
      </w:r>
      <w:r w:rsidR="009F26A8">
        <w:t>ponsor conc</w:t>
      </w:r>
      <w:r w:rsidR="00705769">
        <w:t xml:space="preserve">luded that there was no PK drug to </w:t>
      </w:r>
      <w:r w:rsidR="009F26A8">
        <w:t>drug interaction betwe</w:t>
      </w:r>
      <w:r w:rsidR="00C2515D">
        <w:t>en individual components of QVM</w:t>
      </w:r>
      <w:r w:rsidR="009F26A8">
        <w:t>149. This assumption was based on the finding that the systemic exposure was comparable when individual components of QVM14</w:t>
      </w:r>
      <w:r w:rsidR="1B119418">
        <w:t>9</w:t>
      </w:r>
      <w:r w:rsidR="009F26A8">
        <w:t xml:space="preserve"> were administ</w:t>
      </w:r>
      <w:r w:rsidR="00ED2EE5">
        <w:t>ered individually and as a FDC.</w:t>
      </w:r>
    </w:p>
    <w:p w14:paraId="61F00BB9" w14:textId="297B244A" w:rsidR="009F26A8" w:rsidRPr="00E93008" w:rsidRDefault="009F26A8" w:rsidP="00C93A89">
      <w:r>
        <w:t xml:space="preserve">The sponsor's rationale for dose finding for pivotal studies in asthmatics appears reasonable. The proposed doses of indacaterol </w:t>
      </w:r>
      <w:r w:rsidR="2D3CF300">
        <w:t>acetate</w:t>
      </w:r>
      <w:r>
        <w:t>, glycopyrronium bromide and mometasone furoate are comparable to products with these active ingredients and currently approved by TGA for the use in patients with COPD as a monotherapy or FDC. This approach is in line with previously approved FDCs for COPD and asthma.</w:t>
      </w:r>
    </w:p>
    <w:p w14:paraId="50FE91BF" w14:textId="77777777" w:rsidR="009F26A8" w:rsidRPr="00E93008" w:rsidRDefault="00EE052A" w:rsidP="00EE052A">
      <w:pPr>
        <w:pStyle w:val="Heading4"/>
        <w:rPr>
          <w:lang w:eastAsia="ja-JP"/>
        </w:rPr>
      </w:pPr>
      <w:r w:rsidRPr="00E93008">
        <w:rPr>
          <w:lang w:eastAsia="ja-JP"/>
        </w:rPr>
        <w:t>Efficacy</w:t>
      </w:r>
    </w:p>
    <w:p w14:paraId="512A3F8D" w14:textId="77777777" w:rsidR="009F26A8" w:rsidRPr="00E93008" w:rsidRDefault="009F26A8" w:rsidP="00EE052A">
      <w:r w:rsidRPr="00E93008">
        <w:t>The dossier included one pivotal study. No other studies that assessed efficacy as a primary objective were included in this submission.</w:t>
      </w:r>
    </w:p>
    <w:p w14:paraId="5CD4E507" w14:textId="7796A31E" w:rsidR="009F26A8" w:rsidRPr="00E93008" w:rsidRDefault="004E614C" w:rsidP="00EE052A">
      <w:r w:rsidRPr="00E93008">
        <w:t>A P</w:t>
      </w:r>
      <w:r w:rsidR="009F26A8" w:rsidRPr="00E93008">
        <w:t xml:space="preserve">hase III study to assess efficacy endpoints as secondary objective was included in the dossier. This study was conducted in patients </w:t>
      </w:r>
      <w:r w:rsidR="00EE052A" w:rsidRPr="00E93008">
        <w:t>with moderate to severe asthma.</w:t>
      </w:r>
    </w:p>
    <w:p w14:paraId="6E633174" w14:textId="3E4B329E" w:rsidR="009F26A8" w:rsidRPr="00E93008" w:rsidRDefault="00A21092" w:rsidP="00EE052A">
      <w:pPr>
        <w:pStyle w:val="Heading5"/>
      </w:pPr>
      <w:r>
        <w:t>Study CQVM149-B2302 (p</w:t>
      </w:r>
      <w:r w:rsidR="009F26A8" w:rsidRPr="00E93008">
        <w:t>ivotal study</w:t>
      </w:r>
      <w:r>
        <w:t>)</w:t>
      </w:r>
    </w:p>
    <w:p w14:paraId="6E6D2F44" w14:textId="1BDB4656" w:rsidR="009F26A8" w:rsidRPr="00E93008" w:rsidRDefault="00A21092" w:rsidP="00EE052A">
      <w:r>
        <w:t xml:space="preserve">Study </w:t>
      </w:r>
      <w:r w:rsidR="009F26A8" w:rsidRPr="00E93008">
        <w:t>CQVM149-B2302</w:t>
      </w:r>
      <w:r>
        <w:t xml:space="preserve"> was a</w:t>
      </w:r>
      <w:r w:rsidR="009F26A8" w:rsidRPr="00E93008">
        <w:t xml:space="preserve"> Phase III 52</w:t>
      </w:r>
      <w:r>
        <w:noBreakHyphen/>
      </w:r>
      <w:r w:rsidR="009F26A8" w:rsidRPr="00E93008">
        <w:t>week</w:t>
      </w:r>
      <w:r>
        <w:t xml:space="preserve"> duration</w:t>
      </w:r>
      <w:r w:rsidR="009F26A8" w:rsidRPr="00E93008">
        <w:t xml:space="preserve"> </w:t>
      </w:r>
      <w:r w:rsidR="005D2671" w:rsidRPr="00E93008">
        <w:t>randomi</w:t>
      </w:r>
      <w:r w:rsidR="00021D1F" w:rsidRPr="00E93008">
        <w:t>s</w:t>
      </w:r>
      <w:r w:rsidR="005D2671" w:rsidRPr="00E93008">
        <w:t>ed controlled trial (</w:t>
      </w:r>
      <w:r w:rsidR="009F26A8" w:rsidRPr="00E93008">
        <w:t>RCT</w:t>
      </w:r>
      <w:r w:rsidR="005D2671" w:rsidRPr="00E93008">
        <w:t>)</w:t>
      </w:r>
      <w:r w:rsidR="009F26A8" w:rsidRPr="00E93008">
        <w:t>.</w:t>
      </w:r>
    </w:p>
    <w:p w14:paraId="6DBB34EB" w14:textId="7240BD0A" w:rsidR="009F26A8" w:rsidRPr="00E93008" w:rsidRDefault="009F26A8" w:rsidP="00EE052A">
      <w:r w:rsidRPr="00E93008">
        <w:t>The primary objective wa</w:t>
      </w:r>
      <w:r w:rsidR="00ED2EE5" w:rsidRPr="00E93008">
        <w:t>s to demonstrate superiority of</w:t>
      </w:r>
      <w:r w:rsidR="00A21092">
        <w:t>:</w:t>
      </w:r>
    </w:p>
    <w:p w14:paraId="41EA06E5" w14:textId="14A4C5DA" w:rsidR="009F26A8" w:rsidRPr="00E93008" w:rsidRDefault="005F4E6C" w:rsidP="005E2D40">
      <w:pPr>
        <w:pStyle w:val="ListBullet"/>
      </w:pPr>
      <w:r w:rsidRPr="00E93008">
        <w:t>e</w:t>
      </w:r>
      <w:r w:rsidR="00EE052A" w:rsidRPr="00E93008">
        <w:t>ither</w:t>
      </w:r>
      <w:r w:rsidR="009F26A8" w:rsidRPr="00E93008">
        <w:t xml:space="preserve"> QVM149 150/50/80 μg</w:t>
      </w:r>
      <w:r w:rsidR="00B93B68" w:rsidRPr="00E93008">
        <w:t xml:space="preserve"> OD to QMF149</w:t>
      </w:r>
      <w:r w:rsidR="00DB481D" w:rsidRPr="00E93008">
        <w:t>;</w:t>
      </w:r>
      <w:r w:rsidR="00DB481D" w:rsidRPr="00E93008">
        <w:rPr>
          <w:rStyle w:val="FootnoteReference"/>
        </w:rPr>
        <w:footnoteReference w:id="25"/>
      </w:r>
      <w:r w:rsidR="00B93B68" w:rsidRPr="00E93008">
        <w:t xml:space="preserve"> 150</w:t>
      </w:r>
      <w:r w:rsidR="005E2D40" w:rsidRPr="00E93008">
        <w:t xml:space="preserve"> µg indacaterol</w:t>
      </w:r>
      <w:r w:rsidR="00B93B68" w:rsidRPr="00E93008">
        <w:t xml:space="preserve">/160 μg </w:t>
      </w:r>
      <w:r w:rsidR="005E2D40" w:rsidRPr="00E93008">
        <w:t xml:space="preserve">mometasone furoate </w:t>
      </w:r>
      <w:r w:rsidR="00B93B68" w:rsidRPr="00E93008">
        <w:t>OD</w:t>
      </w:r>
      <w:r w:rsidR="00EF023B">
        <w:t xml:space="preserve"> at 26 weeks</w:t>
      </w:r>
      <w:r w:rsidR="00A21092">
        <w:t>; or</w:t>
      </w:r>
    </w:p>
    <w:p w14:paraId="4A174BD8" w14:textId="773C3517" w:rsidR="009F26A8" w:rsidRPr="00E93008" w:rsidRDefault="00B93B68" w:rsidP="00EE052A">
      <w:pPr>
        <w:pStyle w:val="ListBullet"/>
      </w:pPr>
      <w:r w:rsidRPr="00E93008">
        <w:t>QVM149 150/50/160 μg OD to QMF149 150</w:t>
      </w:r>
      <w:r w:rsidR="005E2D40" w:rsidRPr="00E93008">
        <w:t xml:space="preserve"> µg indacaterol/320 μg mometasone furoate </w:t>
      </w:r>
      <w:r w:rsidRPr="00E93008">
        <w:t>OD</w:t>
      </w:r>
      <w:r w:rsidR="009F26A8" w:rsidRPr="00E93008">
        <w:t xml:space="preserve">, in terms of change from </w:t>
      </w:r>
      <w:r w:rsidR="008B1B9B">
        <w:t>B</w:t>
      </w:r>
      <w:r w:rsidR="009F26A8" w:rsidRPr="00E93008">
        <w:t>aseline in trough FEV</w:t>
      </w:r>
      <w:r w:rsidR="009F26A8" w:rsidRPr="005A177C">
        <w:rPr>
          <w:vertAlign w:val="subscript"/>
        </w:rPr>
        <w:t>1</w:t>
      </w:r>
      <w:r w:rsidR="008B74A1">
        <w:t xml:space="preserve"> at 26 weeks</w:t>
      </w:r>
      <w:r w:rsidR="00EE052A" w:rsidRPr="00E93008">
        <w:t>.</w:t>
      </w:r>
    </w:p>
    <w:p w14:paraId="7AC57056" w14:textId="2F9832FE" w:rsidR="009F26A8" w:rsidRPr="00E93008" w:rsidRDefault="009F26A8" w:rsidP="00EE052A">
      <w:r w:rsidRPr="00E93008">
        <w:t>Similarly, the secondary objective was to demonstrate superiority of either of the triple FDCs to corresponding dual therapies</w:t>
      </w:r>
      <w:r w:rsidR="00EE052A" w:rsidRPr="00E93008">
        <w:t>;</w:t>
      </w:r>
      <w:r w:rsidR="00EE052A" w:rsidRPr="00E93008">
        <w:rPr>
          <w:vertAlign w:val="superscript"/>
        </w:rPr>
        <w:footnoteReference w:id="26"/>
      </w:r>
      <w:r w:rsidRPr="00E93008">
        <w:t xml:space="preserve"> in terms of </w:t>
      </w:r>
      <w:r w:rsidR="008B1B9B">
        <w:t>A</w:t>
      </w:r>
      <w:r w:rsidR="0099295F" w:rsidRPr="00E93008">
        <w:t xml:space="preserve">sthma </w:t>
      </w:r>
      <w:r w:rsidR="008B1B9B">
        <w:t>C</w:t>
      </w:r>
      <w:r w:rsidR="0099295F" w:rsidRPr="00E93008">
        <w:t xml:space="preserve">ontrol </w:t>
      </w:r>
      <w:r w:rsidR="008B1B9B">
        <w:t>Q</w:t>
      </w:r>
      <w:r w:rsidR="0099295F" w:rsidRPr="00E93008">
        <w:t xml:space="preserve">uestionnaire </w:t>
      </w:r>
      <w:r w:rsidR="008B1B9B">
        <w:t xml:space="preserve">7 </w:t>
      </w:r>
      <w:r w:rsidR="0099295F" w:rsidRPr="00E93008">
        <w:t>(</w:t>
      </w:r>
      <w:r w:rsidR="00EE052A" w:rsidRPr="00E93008">
        <w:t>ACQ</w:t>
      </w:r>
      <w:r w:rsidR="008B1B9B">
        <w:t>-7</w:t>
      </w:r>
      <w:r w:rsidR="0099295F" w:rsidRPr="00E93008">
        <w:t>)</w:t>
      </w:r>
      <w:r w:rsidR="00EE052A" w:rsidRPr="00E93008">
        <w:t>.</w:t>
      </w:r>
      <w:r w:rsidR="00292EB2">
        <w:rPr>
          <w:rStyle w:val="FootnoteReference"/>
        </w:rPr>
        <w:footnoteReference w:id="27"/>
      </w:r>
    </w:p>
    <w:p w14:paraId="03738F67" w14:textId="77777777" w:rsidR="009F26A8" w:rsidRPr="00E93008" w:rsidRDefault="009F26A8" w:rsidP="00EE052A">
      <w:r w:rsidRPr="00E93008">
        <w:t>The primary and secondary endpoints were measured a</w:t>
      </w:r>
      <w:r w:rsidR="00ED2EE5" w:rsidRPr="00E93008">
        <w:t>t 26 weeks of treatment period.</w:t>
      </w:r>
    </w:p>
    <w:p w14:paraId="03511526" w14:textId="77777777" w:rsidR="009F26A8" w:rsidRPr="00E93008" w:rsidRDefault="009F26A8" w:rsidP="00A50D87">
      <w:pPr>
        <w:pStyle w:val="Heading6"/>
      </w:pPr>
      <w:r w:rsidRPr="00E93008">
        <w:t>Study design</w:t>
      </w:r>
    </w:p>
    <w:p w14:paraId="58A50528" w14:textId="1690D36D" w:rsidR="009F26A8" w:rsidRPr="00E93008" w:rsidRDefault="009F26A8" w:rsidP="00EE052A">
      <w:r w:rsidRPr="00E93008">
        <w:t>All eligible patients we</w:t>
      </w:r>
      <w:r w:rsidR="00EE052A" w:rsidRPr="00E93008">
        <w:t>re using LABA/ICS</w:t>
      </w:r>
      <w:r w:rsidR="008B1B9B">
        <w:t xml:space="preserve"> therapy</w:t>
      </w:r>
      <w:r w:rsidR="00EE052A" w:rsidRPr="00E93008">
        <w:t xml:space="preserve"> for at least three</w:t>
      </w:r>
      <w:r w:rsidRPr="00E93008">
        <w:t xml:space="preserve"> months and been on stable medium or h</w:t>
      </w:r>
      <w:r w:rsidR="00EE052A" w:rsidRPr="00E93008">
        <w:t>igh dose LABA/ICS for at least one</w:t>
      </w:r>
      <w:r w:rsidRPr="00E93008">
        <w:t xml:space="preserve"> month prior to Visit 1. During the run-in period</w:t>
      </w:r>
      <w:r w:rsidR="00EE052A" w:rsidRPr="00E93008">
        <w:t xml:space="preserve">, all patients received an open </w:t>
      </w:r>
      <w:r w:rsidRPr="00E93008">
        <w:t>la</w:t>
      </w:r>
      <w:r w:rsidR="00EE052A" w:rsidRPr="00E93008">
        <w:t xml:space="preserve">bel medium dose of </w:t>
      </w:r>
      <w:proofErr w:type="spellStart"/>
      <w:r w:rsidR="00EE052A" w:rsidRPr="00E93008">
        <w:t>salmeterol</w:t>
      </w:r>
      <w:proofErr w:type="spellEnd"/>
      <w:r w:rsidR="00EE052A" w:rsidRPr="00E93008">
        <w:t xml:space="preserve"> </w:t>
      </w:r>
      <w:proofErr w:type="spellStart"/>
      <w:r w:rsidRPr="00E93008">
        <w:t>xinafoate</w:t>
      </w:r>
      <w:proofErr w:type="spellEnd"/>
      <w:r w:rsidRPr="00E93008">
        <w:t xml:space="preserve">/fluticasone propionate 50/250 μg </w:t>
      </w:r>
      <w:r w:rsidR="00EE052A" w:rsidRPr="00E93008">
        <w:t>twice a day (</w:t>
      </w:r>
      <w:r w:rsidR="00B93B68" w:rsidRPr="00E93008">
        <w:t>BID</w:t>
      </w:r>
      <w:r w:rsidR="00EE052A" w:rsidRPr="00E93008">
        <w:t>)</w:t>
      </w:r>
      <w:r w:rsidRPr="00E93008">
        <w:t xml:space="preserve">. Patients meeting the eligibility criteria at the end of run-in period were randomised to one of the five treatment groups </w:t>
      </w:r>
      <w:r w:rsidR="008B1B9B">
        <w:t>as follows:</w:t>
      </w:r>
    </w:p>
    <w:p w14:paraId="4DC3ABC5" w14:textId="77777777" w:rsidR="009F26A8" w:rsidRPr="00E93008" w:rsidRDefault="00B93B68" w:rsidP="00DC1F36">
      <w:pPr>
        <w:pStyle w:val="Numberbullet0"/>
      </w:pPr>
      <w:r w:rsidRPr="00E93008">
        <w:t>QVM149 150/50/80 μg OD</w:t>
      </w:r>
    </w:p>
    <w:p w14:paraId="66A1860C" w14:textId="77777777" w:rsidR="009F26A8" w:rsidRPr="00E93008" w:rsidRDefault="00B93B68" w:rsidP="00DC1F36">
      <w:pPr>
        <w:pStyle w:val="Numberbullet0"/>
      </w:pPr>
      <w:r w:rsidRPr="00E93008">
        <w:t>QVM149 150/50/160 μg OD</w:t>
      </w:r>
    </w:p>
    <w:p w14:paraId="5DA06043" w14:textId="77777777" w:rsidR="009F26A8" w:rsidRPr="00E93008" w:rsidRDefault="009F26A8" w:rsidP="00DC1F36">
      <w:pPr>
        <w:pStyle w:val="Numberbullet0"/>
      </w:pPr>
      <w:r w:rsidRPr="00E93008">
        <w:t>QMF1</w:t>
      </w:r>
      <w:r w:rsidR="00B93B68" w:rsidRPr="00E93008">
        <w:t>49 150/160 μg OD</w:t>
      </w:r>
    </w:p>
    <w:p w14:paraId="6C99C560" w14:textId="77777777" w:rsidR="00E51A5C" w:rsidRDefault="00B93B68" w:rsidP="00DC1F36">
      <w:pPr>
        <w:pStyle w:val="Numberbullet0"/>
      </w:pPr>
      <w:r w:rsidRPr="00E93008">
        <w:t>QMF149 150/320 μg OD</w:t>
      </w:r>
    </w:p>
    <w:p w14:paraId="6235E850" w14:textId="2BEFD27E" w:rsidR="00E51A5C" w:rsidRPr="0054149D" w:rsidRDefault="00E51A5C" w:rsidP="00DC1F36">
      <w:pPr>
        <w:pStyle w:val="Numberbullet0"/>
        <w:rPr>
          <w:rFonts w:asciiTheme="minorHAnsi" w:hAnsiTheme="minorHAnsi"/>
        </w:rPr>
      </w:pPr>
      <w:proofErr w:type="spellStart"/>
      <w:r w:rsidRPr="0054149D">
        <w:rPr>
          <w:rFonts w:asciiTheme="minorHAnsi" w:eastAsia="TimesNewRoman" w:hAnsiTheme="minorHAnsi" w:cs="TimesNewRoman"/>
          <w:lang w:val="en-US"/>
        </w:rPr>
        <w:t>salmeterol</w:t>
      </w:r>
      <w:proofErr w:type="spellEnd"/>
      <w:r w:rsidRPr="0054149D">
        <w:rPr>
          <w:rFonts w:asciiTheme="minorHAnsi" w:eastAsia="TimesNewRoman" w:hAnsiTheme="minorHAnsi" w:cs="TimesNewRoman"/>
          <w:lang w:val="en-US"/>
        </w:rPr>
        <w:t xml:space="preserve"> </w:t>
      </w:r>
      <w:proofErr w:type="spellStart"/>
      <w:r w:rsidRPr="0054149D">
        <w:rPr>
          <w:rFonts w:asciiTheme="minorHAnsi" w:eastAsia="TimesNewRoman" w:hAnsiTheme="minorHAnsi" w:cs="TimesNewRoman"/>
          <w:lang w:val="en-US"/>
        </w:rPr>
        <w:t>xinafoate</w:t>
      </w:r>
      <w:proofErr w:type="spellEnd"/>
      <w:r w:rsidRPr="0054149D">
        <w:rPr>
          <w:rFonts w:asciiTheme="minorHAnsi" w:eastAsia="TimesNewRoman" w:hAnsiTheme="minorHAnsi" w:cs="TimesNewRoman"/>
          <w:lang w:val="en-US"/>
        </w:rPr>
        <w:t xml:space="preserve">/fluticasone propionate 50/500 μg </w:t>
      </w:r>
      <w:r w:rsidR="0054149D">
        <w:rPr>
          <w:rFonts w:asciiTheme="minorHAnsi" w:eastAsia="TimesNewRoman" w:hAnsiTheme="minorHAnsi" w:cs="TimesNewRoman"/>
          <w:lang w:val="en-US"/>
        </w:rPr>
        <w:t>BID</w:t>
      </w:r>
      <w:r w:rsidRPr="0054149D">
        <w:rPr>
          <w:rFonts w:asciiTheme="minorHAnsi" w:eastAsia="TimesNewRoman" w:hAnsiTheme="minorHAnsi" w:cs="TimesNewRoman"/>
          <w:lang w:val="en-US"/>
        </w:rPr>
        <w:t xml:space="preserve"> </w:t>
      </w:r>
    </w:p>
    <w:p w14:paraId="491E2964" w14:textId="03005C33" w:rsidR="009F26A8" w:rsidRPr="00E93008" w:rsidRDefault="009F26A8" w:rsidP="00A02650">
      <w:r w:rsidRPr="00E93008">
        <w:t xml:space="preserve">All these </w:t>
      </w:r>
      <w:r w:rsidR="0054149D">
        <w:t>QVM149 and QMF149</w:t>
      </w:r>
      <w:r w:rsidR="0054149D" w:rsidRPr="00E93008">
        <w:t xml:space="preserve"> </w:t>
      </w:r>
      <w:r w:rsidRPr="00E93008">
        <w:t>treatments were delivered via the</w:t>
      </w:r>
      <w:r w:rsidR="00A02650" w:rsidRPr="00E93008">
        <w:t xml:space="preserve"> Concept</w:t>
      </w:r>
      <w:r w:rsidR="005F4E6C" w:rsidRPr="00E93008">
        <w:t xml:space="preserve"> </w:t>
      </w:r>
      <w:r w:rsidR="00A02650" w:rsidRPr="00E93008">
        <w:t>1 device (Breezhaler)</w:t>
      </w:r>
      <w:r w:rsidR="008B1B9B">
        <w:t>;</w:t>
      </w:r>
      <w:r w:rsidR="005A177C">
        <w:t xml:space="preserve"> </w:t>
      </w:r>
      <w:proofErr w:type="spellStart"/>
      <w:r w:rsidRPr="00E93008">
        <w:t>salmeterol</w:t>
      </w:r>
      <w:proofErr w:type="spellEnd"/>
      <w:r w:rsidRPr="00E93008">
        <w:t xml:space="preserve"> </w:t>
      </w:r>
      <w:proofErr w:type="spellStart"/>
      <w:r w:rsidRPr="00E93008">
        <w:t>xinafoate</w:t>
      </w:r>
      <w:proofErr w:type="spellEnd"/>
      <w:r w:rsidRPr="00E93008">
        <w:t xml:space="preserve">/fluticasone propionate 50/500 μg </w:t>
      </w:r>
      <w:r w:rsidR="00B93B68" w:rsidRPr="00E93008">
        <w:t>BID</w:t>
      </w:r>
      <w:r w:rsidR="00A02650" w:rsidRPr="00E93008">
        <w:t xml:space="preserve"> was delivered via </w:t>
      </w:r>
      <w:r w:rsidR="008B1B9B">
        <w:t xml:space="preserve">the </w:t>
      </w:r>
      <w:proofErr w:type="spellStart"/>
      <w:r w:rsidR="00A02650" w:rsidRPr="00E93008">
        <w:t>Accuhaler</w:t>
      </w:r>
      <w:proofErr w:type="spellEnd"/>
      <w:r w:rsidR="008B1B9B">
        <w:t xml:space="preserve"> device</w:t>
      </w:r>
      <w:r w:rsidR="00A02650" w:rsidRPr="00E93008">
        <w:t>.</w:t>
      </w:r>
    </w:p>
    <w:p w14:paraId="2526C37C" w14:textId="6E7ACA33" w:rsidR="009F26A8" w:rsidRDefault="009F26A8" w:rsidP="00A50D87">
      <w:pPr>
        <w:pStyle w:val="Heading6"/>
      </w:pPr>
      <w:r w:rsidRPr="00E93008">
        <w:t>Key inclusion criteria</w:t>
      </w:r>
    </w:p>
    <w:p w14:paraId="77ABECCD" w14:textId="041908D6" w:rsidR="008B1B9B" w:rsidRPr="008B1B9B" w:rsidRDefault="008B1B9B" w:rsidP="005A177C">
      <w:r>
        <w:t>The key inclusion criteria were:</w:t>
      </w:r>
    </w:p>
    <w:p w14:paraId="5B2643F0" w14:textId="3E23806F" w:rsidR="009F26A8" w:rsidRPr="00E93008" w:rsidRDefault="008B1B9B" w:rsidP="00A02650">
      <w:pPr>
        <w:pStyle w:val="ListBullet"/>
      </w:pPr>
      <w:r>
        <w:t>a</w:t>
      </w:r>
      <w:r w:rsidR="009F26A8" w:rsidRPr="00E93008">
        <w:t>dults with confirmed diagnosis of asthma and required medium or high dose of LABA/ICS</w:t>
      </w:r>
      <w:r w:rsidR="00A02650" w:rsidRPr="00E93008">
        <w:t xml:space="preserve"> combinations for asthma for ≥ three</w:t>
      </w:r>
      <w:r w:rsidR="009F26A8" w:rsidRPr="00E93008">
        <w:t xml:space="preserve"> months and still symptomatic with ACQ-7 score ≥ 1.5.</w:t>
      </w:r>
    </w:p>
    <w:p w14:paraId="66092A7F" w14:textId="7A018617" w:rsidR="009F26A8" w:rsidRPr="00E93008" w:rsidRDefault="008B1B9B" w:rsidP="00A02650">
      <w:pPr>
        <w:pStyle w:val="ListBullet"/>
      </w:pPr>
      <w:r>
        <w:t>at least</w:t>
      </w:r>
      <w:r w:rsidRPr="00E93008">
        <w:t xml:space="preserve"> </w:t>
      </w:r>
      <w:r w:rsidR="00A02650" w:rsidRPr="00E93008">
        <w:t>one</w:t>
      </w:r>
      <w:r w:rsidR="009F26A8" w:rsidRPr="00E93008">
        <w:t xml:space="preserve"> asthma exacerbation which required medical care or hospitalisation in the 12</w:t>
      </w:r>
      <w:r>
        <w:t> </w:t>
      </w:r>
      <w:r w:rsidR="009F26A8" w:rsidRPr="00E93008">
        <w:t xml:space="preserve">months prior to Visit 1, and required </w:t>
      </w:r>
      <w:r w:rsidR="00A4613E" w:rsidRPr="00E93008">
        <w:t>OCS</w:t>
      </w:r>
      <w:r w:rsidR="009F26A8" w:rsidRPr="00E93008">
        <w:t xml:space="preserve"> treatment.</w:t>
      </w:r>
    </w:p>
    <w:p w14:paraId="08B041F3" w14:textId="77777777" w:rsidR="009F26A8" w:rsidRPr="00E93008" w:rsidRDefault="009F26A8" w:rsidP="00A50D87">
      <w:pPr>
        <w:pStyle w:val="Heading6"/>
      </w:pPr>
      <w:r w:rsidRPr="00E93008">
        <w:t>Baseline data</w:t>
      </w:r>
    </w:p>
    <w:p w14:paraId="6CDECBC2" w14:textId="74AF7A80" w:rsidR="009F26A8" w:rsidRPr="00E93008" w:rsidRDefault="009F26A8" w:rsidP="00A02650">
      <w:r w:rsidRPr="00E93008">
        <w:t>Mean age was around 52 years, with a mean duration of asthma for around 18 years. The mean ACQ-7 score was 2.51 (</w:t>
      </w:r>
      <w:r w:rsidR="008B1B9B">
        <w:t xml:space="preserve">standard deviation (SD), </w:t>
      </w:r>
      <w:r w:rsidRPr="00E93008">
        <w:t xml:space="preserve">0.567). Approximately 80% of the patients had a history </w:t>
      </w:r>
      <w:r w:rsidR="00A02650" w:rsidRPr="00E93008">
        <w:t>of one</w:t>
      </w:r>
      <w:r w:rsidRPr="00E93008">
        <w:t xml:space="preserve"> asthma exacerbation and 19.7% of the </w:t>
      </w:r>
      <w:r w:rsidR="00A02650" w:rsidRPr="00E93008">
        <w:t>patients had a history of two</w:t>
      </w:r>
      <w:r w:rsidRPr="00E93008">
        <w:t xml:space="preserve"> or more asthma exacerbations during the 12 months prior to the screening. </w:t>
      </w:r>
      <w:r w:rsidR="008B1B9B">
        <w:t>The m</w:t>
      </w:r>
      <w:r w:rsidRPr="00E93008">
        <w:t>ean pre-bronchodilator percent predicted FEV</w:t>
      </w:r>
      <w:r w:rsidRPr="005A177C">
        <w:rPr>
          <w:vertAlign w:val="subscript"/>
        </w:rPr>
        <w:t>1</w:t>
      </w:r>
      <w:r w:rsidRPr="00E93008">
        <w:t xml:space="preserve"> at the start of run-in (Visit 101) was 54.8%.</w:t>
      </w:r>
    </w:p>
    <w:p w14:paraId="3A3BD26E" w14:textId="77777777" w:rsidR="009F26A8" w:rsidRPr="00E93008" w:rsidRDefault="009F26A8" w:rsidP="00A50D87">
      <w:pPr>
        <w:pStyle w:val="Heading6"/>
      </w:pPr>
      <w:r w:rsidRPr="00E93008">
        <w:t>Results</w:t>
      </w:r>
    </w:p>
    <w:p w14:paraId="240490AB" w14:textId="0429616C" w:rsidR="009F26A8" w:rsidRPr="00E93008" w:rsidRDefault="009F26A8" w:rsidP="009F2B93">
      <w:pPr>
        <w:rPr>
          <w:i/>
        </w:rPr>
      </w:pPr>
      <w:r w:rsidRPr="00E93008">
        <w:rPr>
          <w:i/>
        </w:rPr>
        <w:t xml:space="preserve">Primary endpoint: </w:t>
      </w:r>
      <w:r w:rsidR="00625260" w:rsidRPr="00E93008">
        <w:rPr>
          <w:i/>
        </w:rPr>
        <w:t>trough forced expiratory volume in one second</w:t>
      </w:r>
      <w:r w:rsidR="00133832">
        <w:rPr>
          <w:i/>
        </w:rPr>
        <w:t xml:space="preserve"> at Week 26</w:t>
      </w:r>
      <w:r w:rsidR="009732AB">
        <w:rPr>
          <w:i/>
        </w:rPr>
        <w:t>:</w:t>
      </w:r>
    </w:p>
    <w:p w14:paraId="5E2EA744" w14:textId="4BAB42E2" w:rsidR="009F26A8" w:rsidRPr="00E93008" w:rsidRDefault="002F33FD" w:rsidP="00A02650">
      <w:r w:rsidRPr="00E93008">
        <w:t>At W</w:t>
      </w:r>
      <w:r w:rsidR="009F26A8" w:rsidRPr="00E93008">
        <w:t>eek 26 of treatment period</w:t>
      </w:r>
      <w:r w:rsidR="00A02650" w:rsidRPr="00E93008">
        <w:t>, both QVM149; indacaterol/</w:t>
      </w:r>
      <w:r w:rsidR="009732AB">
        <w:t xml:space="preserve"> glycopyrronium bromide</w:t>
      </w:r>
      <w:r w:rsidR="00A02650" w:rsidRPr="00E93008">
        <w:t>/</w:t>
      </w:r>
      <w:r w:rsidR="009732AB">
        <w:t xml:space="preserve"> </w:t>
      </w:r>
      <w:r w:rsidR="00CB7A87" w:rsidRPr="00E93008">
        <w:t>mometasone furoate</w:t>
      </w:r>
      <w:r w:rsidR="009F26A8" w:rsidRPr="00E93008">
        <w:t xml:space="preserve"> 150/50/160 </w:t>
      </w:r>
      <w:r w:rsidR="00FA6CAA" w:rsidRPr="00E93008">
        <w:t xml:space="preserve">µg </w:t>
      </w:r>
      <w:r w:rsidR="009F26A8" w:rsidRPr="00E93008">
        <w:t xml:space="preserve">and 150/50/80 µg </w:t>
      </w:r>
      <w:r w:rsidR="00B93B68" w:rsidRPr="00E93008">
        <w:t>OD</w:t>
      </w:r>
      <w:r w:rsidR="009F26A8" w:rsidRPr="00E93008">
        <w:t xml:space="preserve"> were superior to corresponding doses of ICS/LABA (QMF149; indacaterol/</w:t>
      </w:r>
      <w:r w:rsidR="009732AB">
        <w:t xml:space="preserve"> </w:t>
      </w:r>
      <w:r w:rsidR="00CB7A87" w:rsidRPr="00E93008">
        <w:t>mometasone furoate</w:t>
      </w:r>
      <w:r w:rsidR="00B93B68" w:rsidRPr="00E93008">
        <w:t xml:space="preserve"> 150/320</w:t>
      </w:r>
      <w:r w:rsidR="009732AB">
        <w:t> </w:t>
      </w:r>
      <w:r w:rsidR="009732AB" w:rsidRPr="00E93008">
        <w:t xml:space="preserve">µg </w:t>
      </w:r>
      <w:r w:rsidR="00B93B68" w:rsidRPr="00E93008">
        <w:t>and 150/160 µg OD</w:t>
      </w:r>
      <w:r w:rsidR="009F26A8" w:rsidRPr="00E93008">
        <w:t>) in terms of chang</w:t>
      </w:r>
      <w:r w:rsidR="00A02650" w:rsidRPr="00E93008">
        <w:t xml:space="preserve">e from </w:t>
      </w:r>
      <w:r w:rsidR="009732AB">
        <w:t>B</w:t>
      </w:r>
      <w:r w:rsidR="00A02650" w:rsidRPr="00E93008">
        <w:t>aseline in trough FEV</w:t>
      </w:r>
      <w:r w:rsidR="00A02650" w:rsidRPr="00F85A8C">
        <w:rPr>
          <w:vertAlign w:val="subscript"/>
        </w:rPr>
        <w:t>1</w:t>
      </w:r>
      <w:r w:rsidR="00621D5E" w:rsidRPr="00E93008">
        <w:t xml:space="preserve"> (see </w:t>
      </w:r>
      <w:r w:rsidR="00621D5E" w:rsidRPr="00E93008">
        <w:rPr>
          <w:color w:val="2B579A"/>
          <w:shd w:val="clear" w:color="auto" w:fill="E6E6E6"/>
        </w:rPr>
        <w:fldChar w:fldCharType="begin"/>
      </w:r>
      <w:r w:rsidR="00621D5E" w:rsidRPr="00E93008">
        <w:instrText xml:space="preserve"> REF _Ref60928543 \h </w:instrText>
      </w:r>
      <w:r w:rsidR="00E93008">
        <w:instrText xml:space="preserve"> \* MERGEFORMAT </w:instrText>
      </w:r>
      <w:r w:rsidR="00621D5E" w:rsidRPr="00E93008">
        <w:rPr>
          <w:color w:val="2B579A"/>
          <w:shd w:val="clear" w:color="auto" w:fill="E6E6E6"/>
        </w:rPr>
      </w:r>
      <w:r w:rsidR="00621D5E" w:rsidRPr="00E93008">
        <w:rPr>
          <w:color w:val="2B579A"/>
          <w:shd w:val="clear" w:color="auto" w:fill="E6E6E6"/>
        </w:rPr>
        <w:fldChar w:fldCharType="separate"/>
      </w:r>
      <w:r w:rsidR="003A5299" w:rsidRPr="00E93008">
        <w:t xml:space="preserve">Table </w:t>
      </w:r>
      <w:r w:rsidR="003A5299">
        <w:rPr>
          <w:noProof/>
        </w:rPr>
        <w:t>3</w:t>
      </w:r>
      <w:r w:rsidR="00621D5E" w:rsidRPr="00E93008">
        <w:rPr>
          <w:color w:val="2B579A"/>
          <w:shd w:val="clear" w:color="auto" w:fill="E6E6E6"/>
        </w:rPr>
        <w:fldChar w:fldCharType="end"/>
      </w:r>
      <w:r w:rsidR="00621D5E" w:rsidRPr="00E93008">
        <w:t>)</w:t>
      </w:r>
      <w:r w:rsidR="00A02650" w:rsidRPr="00E93008">
        <w:t>.</w:t>
      </w:r>
    </w:p>
    <w:p w14:paraId="3ED3CFEB" w14:textId="6B856F38" w:rsidR="009F26A8" w:rsidRPr="00E93008" w:rsidRDefault="009F26A8" w:rsidP="00A02650">
      <w:r w:rsidRPr="00E93008">
        <w:t xml:space="preserve">Patients treated with the triple inhaler therapy with the high dose ICS (160 µg </w:t>
      </w:r>
      <w:r w:rsidR="00CB7A87" w:rsidRPr="00E93008">
        <w:t>mometasone furoate</w:t>
      </w:r>
      <w:r w:rsidRPr="00E93008">
        <w:t>) achieved a change in FEV</w:t>
      </w:r>
      <w:r w:rsidRPr="00F85A8C">
        <w:rPr>
          <w:vertAlign w:val="subscript"/>
        </w:rPr>
        <w:t>1</w:t>
      </w:r>
      <w:r w:rsidRPr="00E93008">
        <w:t xml:space="preserve"> from </w:t>
      </w:r>
      <w:r w:rsidR="009732AB">
        <w:t>B</w:t>
      </w:r>
      <w:r w:rsidRPr="00E93008">
        <w:t>aseline that was 65 m</w:t>
      </w:r>
      <w:r w:rsidR="009732AB">
        <w:t>L</w:t>
      </w:r>
      <w:r w:rsidRPr="00E93008">
        <w:t xml:space="preserve"> greater than those treated with a corresponding dose of ICS/LABA. Those who were treated with the triple inhaler with the medium dose of ICS (80 µg </w:t>
      </w:r>
      <w:r w:rsidR="00CB7A87" w:rsidRPr="00E93008">
        <w:t>mometasone furoate</w:t>
      </w:r>
      <w:r w:rsidRPr="00E93008">
        <w:t>) achieved a change in FEV</w:t>
      </w:r>
      <w:r w:rsidRPr="00F85A8C">
        <w:rPr>
          <w:vertAlign w:val="subscript"/>
        </w:rPr>
        <w:t>1</w:t>
      </w:r>
      <w:r w:rsidRPr="00E93008">
        <w:t xml:space="preserve"> from </w:t>
      </w:r>
      <w:r w:rsidR="009732AB">
        <w:t>B</w:t>
      </w:r>
      <w:r w:rsidRPr="00E93008">
        <w:t>aseline that was 7</w:t>
      </w:r>
      <w:r w:rsidR="0092001E">
        <w:t>6</w:t>
      </w:r>
      <w:r w:rsidR="009732AB">
        <w:t xml:space="preserve"> m</w:t>
      </w:r>
      <w:r w:rsidR="00FA6CAA" w:rsidRPr="00E93008">
        <w:t>L</w:t>
      </w:r>
      <w:r w:rsidRPr="00E93008">
        <w:t xml:space="preserve"> greater than those treated with a</w:t>
      </w:r>
      <w:r w:rsidR="00ED2EE5" w:rsidRPr="00E93008">
        <w:t xml:space="preserve"> corresponding dose of ICS/LABA.</w:t>
      </w:r>
    </w:p>
    <w:p w14:paraId="2DC98991" w14:textId="1FD4496D" w:rsidR="002774DC" w:rsidRDefault="009F26A8" w:rsidP="00336B1F">
      <w:pPr>
        <w:pStyle w:val="FigureTitle"/>
      </w:pPr>
      <w:bookmarkStart w:id="45" w:name="_Ref60928543"/>
      <w:bookmarkStart w:id="46" w:name="_Toc45111914"/>
      <w:r w:rsidRPr="00E93008">
        <w:t xml:space="preserve">Table </w:t>
      </w:r>
      <w:r>
        <w:fldChar w:fldCharType="begin"/>
      </w:r>
      <w:r>
        <w:instrText>SEQ Table \* ARABIC</w:instrText>
      </w:r>
      <w:r>
        <w:fldChar w:fldCharType="separate"/>
      </w:r>
      <w:r w:rsidR="003A5299">
        <w:rPr>
          <w:noProof/>
        </w:rPr>
        <w:t>3</w:t>
      </w:r>
      <w:r>
        <w:fldChar w:fldCharType="end"/>
      </w:r>
      <w:bookmarkEnd w:id="45"/>
      <w:r w:rsidRPr="00E93008">
        <w:t xml:space="preserve">: </w:t>
      </w:r>
      <w:r w:rsidR="00FA6CAA" w:rsidRPr="00E93008">
        <w:t xml:space="preserve">Study CQVM149-B2302 </w:t>
      </w:r>
      <w:r w:rsidR="009732AB">
        <w:t>P</w:t>
      </w:r>
      <w:r w:rsidRPr="00E93008">
        <w:t>rimary endpoint</w:t>
      </w:r>
      <w:bookmarkEnd w:id="46"/>
      <w:r w:rsidR="006362B8" w:rsidRPr="006362B8">
        <w:t xml:space="preserve"> </w:t>
      </w:r>
    </w:p>
    <w:p w14:paraId="419C4F86" w14:textId="75726BC6" w:rsidR="009F26A8" w:rsidRPr="00E93008" w:rsidRDefault="002774DC" w:rsidP="005F7BE0">
      <w:r>
        <w:rPr>
          <w:noProof/>
          <w:lang w:eastAsia="en-AU"/>
        </w:rPr>
        <w:drawing>
          <wp:inline distT="0" distB="0" distL="0" distR="0" wp14:anchorId="46BC7DCF" wp14:editId="70CB177D">
            <wp:extent cx="5400040" cy="2100580"/>
            <wp:effectExtent l="0" t="0" r="0" b="0"/>
            <wp:docPr id="6" name="Picture 6" descr="Study CQVM149-B2302 Primary endpoi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00040" cy="2100580"/>
                    </a:xfrm>
                    <a:prstGeom prst="rect">
                      <a:avLst/>
                    </a:prstGeom>
                  </pic:spPr>
                </pic:pic>
              </a:graphicData>
            </a:graphic>
          </wp:inline>
        </w:drawing>
      </w:r>
    </w:p>
    <w:p w14:paraId="24A3A6B1" w14:textId="1BD0FC02" w:rsidR="009F26A8" w:rsidRPr="00E93008" w:rsidRDefault="009F26A8" w:rsidP="009F26A8">
      <w:r w:rsidRPr="00E93008">
        <w:t>The improvement in FEV</w:t>
      </w:r>
      <w:r w:rsidRPr="00336B1F">
        <w:rPr>
          <w:vertAlign w:val="subscript"/>
        </w:rPr>
        <w:t>1</w:t>
      </w:r>
      <w:r w:rsidRPr="00E93008">
        <w:t xml:space="preserve"> appears to be sustained at 52 weeks, a </w:t>
      </w:r>
      <w:r w:rsidR="0099295F" w:rsidRPr="00E93008">
        <w:t>least squares (</w:t>
      </w:r>
      <w:r w:rsidRPr="00E93008">
        <w:t>LS</w:t>
      </w:r>
      <w:r w:rsidR="0099295F" w:rsidRPr="00E93008">
        <w:t>)</w:t>
      </w:r>
      <w:r w:rsidRPr="00E93008">
        <w:t xml:space="preserve"> mean (treatment difference) of 0.086 and 0.062 for high and medium dose QVM149, compared to t</w:t>
      </w:r>
      <w:r w:rsidR="00A02650" w:rsidRPr="00E93008">
        <w:t>heir corresponding doses of QMF</w:t>
      </w:r>
      <w:r w:rsidRPr="00E93008">
        <w:t>149</w:t>
      </w:r>
      <w:r w:rsidR="00621D5E" w:rsidRPr="00E93008">
        <w:t xml:space="preserve"> (see </w:t>
      </w:r>
      <w:r w:rsidR="00621D5E" w:rsidRPr="00E93008">
        <w:rPr>
          <w:color w:val="2B579A"/>
          <w:shd w:val="clear" w:color="auto" w:fill="E6E6E6"/>
        </w:rPr>
        <w:fldChar w:fldCharType="begin"/>
      </w:r>
      <w:r w:rsidR="00621D5E" w:rsidRPr="00E93008">
        <w:instrText xml:space="preserve"> REF _Ref60928481 \h </w:instrText>
      </w:r>
      <w:r w:rsidR="00E93008">
        <w:instrText xml:space="preserve"> \* MERGEFORMAT </w:instrText>
      </w:r>
      <w:r w:rsidR="00621D5E" w:rsidRPr="00E93008">
        <w:rPr>
          <w:color w:val="2B579A"/>
          <w:shd w:val="clear" w:color="auto" w:fill="E6E6E6"/>
        </w:rPr>
      </w:r>
      <w:r w:rsidR="00621D5E" w:rsidRPr="00E93008">
        <w:rPr>
          <w:color w:val="2B579A"/>
          <w:shd w:val="clear" w:color="auto" w:fill="E6E6E6"/>
        </w:rPr>
        <w:fldChar w:fldCharType="separate"/>
      </w:r>
      <w:r w:rsidR="003A5299" w:rsidRPr="00E93008">
        <w:t xml:space="preserve">Table </w:t>
      </w:r>
      <w:r w:rsidR="003A5299">
        <w:rPr>
          <w:noProof/>
        </w:rPr>
        <w:t>4</w:t>
      </w:r>
      <w:r w:rsidR="00621D5E" w:rsidRPr="00E93008">
        <w:rPr>
          <w:color w:val="2B579A"/>
          <w:shd w:val="clear" w:color="auto" w:fill="E6E6E6"/>
        </w:rPr>
        <w:fldChar w:fldCharType="end"/>
      </w:r>
      <w:r w:rsidR="00621D5E" w:rsidRPr="00E93008">
        <w:t>)</w:t>
      </w:r>
      <w:r w:rsidRPr="00E93008">
        <w:t>.</w:t>
      </w:r>
    </w:p>
    <w:p w14:paraId="353E9411" w14:textId="56A8C70F" w:rsidR="009F26A8" w:rsidRPr="00E93008" w:rsidRDefault="009F26A8" w:rsidP="0067390C">
      <w:pPr>
        <w:pStyle w:val="FigureTitle"/>
      </w:pPr>
      <w:bookmarkStart w:id="47" w:name="_Ref60928481"/>
      <w:r w:rsidRPr="00E93008">
        <w:t xml:space="preserve">Table </w:t>
      </w:r>
      <w:r>
        <w:fldChar w:fldCharType="begin"/>
      </w:r>
      <w:r>
        <w:instrText>SEQ Table \* ARABIC</w:instrText>
      </w:r>
      <w:r>
        <w:fldChar w:fldCharType="separate"/>
      </w:r>
      <w:r w:rsidR="003A5299">
        <w:rPr>
          <w:noProof/>
        </w:rPr>
        <w:t>4</w:t>
      </w:r>
      <w:r>
        <w:fldChar w:fldCharType="end"/>
      </w:r>
      <w:bookmarkEnd w:id="47"/>
      <w:r w:rsidR="002F33FD" w:rsidRPr="00E93008">
        <w:t xml:space="preserve">: </w:t>
      </w:r>
      <w:r w:rsidR="00FA6CAA" w:rsidRPr="00E93008">
        <w:t xml:space="preserve">Study CQVM149-B2302 </w:t>
      </w:r>
      <w:r w:rsidR="009732AB">
        <w:t>R</w:t>
      </w:r>
      <w:r w:rsidR="00FA6CAA" w:rsidRPr="00E93008">
        <w:t>eadout of f</w:t>
      </w:r>
      <w:r w:rsidR="0067390C" w:rsidRPr="00E93008">
        <w:t xml:space="preserve">orced expiratory volume in one second </w:t>
      </w:r>
      <w:r w:rsidR="002F33FD" w:rsidRPr="00E93008">
        <w:t>at W</w:t>
      </w:r>
      <w:r w:rsidRPr="00E93008">
        <w:t>eek 52</w:t>
      </w:r>
    </w:p>
    <w:p w14:paraId="3CC319C2" w14:textId="77777777" w:rsidR="009F26A8" w:rsidRPr="00E93008" w:rsidRDefault="009F26A8" w:rsidP="009F26A8">
      <w:r>
        <w:rPr>
          <w:noProof/>
          <w:lang w:eastAsia="en-AU"/>
        </w:rPr>
        <w:drawing>
          <wp:inline distT="0" distB="0" distL="0" distR="0" wp14:anchorId="69A0B296" wp14:editId="7762D224">
            <wp:extent cx="5231959" cy="1260168"/>
            <wp:effectExtent l="0" t="0" r="6985" b="0"/>
            <wp:docPr id="7" name="Picture 7" descr="Study CQVM149-B2302 Readout of forced expiratory volume in one second at We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4">
                      <a:extLst>
                        <a:ext uri="{28A0092B-C50C-407E-A947-70E740481C1C}">
                          <a14:useLocalDpi xmlns:a14="http://schemas.microsoft.com/office/drawing/2010/main" val="0"/>
                        </a:ext>
                      </a:extLst>
                    </a:blip>
                    <a:stretch>
                      <a:fillRect/>
                    </a:stretch>
                  </pic:blipFill>
                  <pic:spPr>
                    <a:xfrm>
                      <a:off x="0" y="0"/>
                      <a:ext cx="5261851" cy="1267368"/>
                    </a:xfrm>
                    <a:prstGeom prst="rect">
                      <a:avLst/>
                    </a:prstGeom>
                  </pic:spPr>
                </pic:pic>
              </a:graphicData>
            </a:graphic>
          </wp:inline>
        </w:drawing>
      </w:r>
    </w:p>
    <w:p w14:paraId="23BFE931" w14:textId="77777777" w:rsidR="009F26A8" w:rsidRPr="00E93008" w:rsidRDefault="009F26A8" w:rsidP="00C2515D">
      <w:r w:rsidRPr="00E93008">
        <w:t>Bo</w:t>
      </w:r>
      <w:r w:rsidR="00C2515D" w:rsidRPr="00E93008">
        <w:t>th high and medium doses of QVM</w:t>
      </w:r>
      <w:r w:rsidRPr="00E93008">
        <w:t>149 achieved similar magnitude of improvement in tr</w:t>
      </w:r>
      <w:r w:rsidR="00A02650" w:rsidRPr="00E93008">
        <w:t>ough FEV</w:t>
      </w:r>
      <w:r w:rsidR="00A02650" w:rsidRPr="00F85A8C">
        <w:rPr>
          <w:vertAlign w:val="subscript"/>
        </w:rPr>
        <w:t>1</w:t>
      </w:r>
      <w:r w:rsidR="00A02650" w:rsidRPr="00E93008">
        <w:t>, compared to both QMF</w:t>
      </w:r>
      <w:r w:rsidRPr="00E93008">
        <w:t xml:space="preserve">149 and </w:t>
      </w:r>
      <w:proofErr w:type="spellStart"/>
      <w:r w:rsidRPr="00E93008">
        <w:t>salmeterol</w:t>
      </w:r>
      <w:proofErr w:type="spellEnd"/>
      <w:r w:rsidRPr="00E93008">
        <w:t xml:space="preserve"> 50</w:t>
      </w:r>
      <w:r w:rsidR="00C2515D" w:rsidRPr="00E93008">
        <w:t xml:space="preserve"> </w:t>
      </w:r>
      <w:r w:rsidRPr="00E93008">
        <w:t>µg/fluticasone 500</w:t>
      </w:r>
      <w:r w:rsidR="00C2515D" w:rsidRPr="00E93008">
        <w:t xml:space="preserve"> </w:t>
      </w:r>
      <w:r w:rsidRPr="00E93008">
        <w:t>µg inhaler.</w:t>
      </w:r>
    </w:p>
    <w:p w14:paraId="0E1C6B36" w14:textId="2015F86C" w:rsidR="009D70DA" w:rsidRDefault="009F26A8" w:rsidP="00F90F45">
      <w:pPr>
        <w:rPr>
          <w:i/>
        </w:rPr>
      </w:pPr>
      <w:r w:rsidRPr="00F85A8C">
        <w:rPr>
          <w:i/>
        </w:rPr>
        <w:t>Key secondary endpoint</w:t>
      </w:r>
      <w:r w:rsidR="009732AB">
        <w:rPr>
          <w:i/>
        </w:rPr>
        <w:t xml:space="preserve">, </w:t>
      </w:r>
      <w:r w:rsidR="006C7E39">
        <w:rPr>
          <w:i/>
        </w:rPr>
        <w:t>Asthma Control Q</w:t>
      </w:r>
      <w:r w:rsidR="00E54B5A" w:rsidRPr="00E93008">
        <w:rPr>
          <w:i/>
        </w:rPr>
        <w:t>uestionnaire</w:t>
      </w:r>
      <w:r w:rsidR="00E54B5A">
        <w:rPr>
          <w:i/>
        </w:rPr>
        <w:t>-7</w:t>
      </w:r>
      <w:r w:rsidR="009732AB">
        <w:rPr>
          <w:i/>
        </w:rPr>
        <w:t>:</w:t>
      </w:r>
    </w:p>
    <w:p w14:paraId="45BAA8E4" w14:textId="623E6102" w:rsidR="009F26A8" w:rsidRPr="00E93008" w:rsidRDefault="009F26A8" w:rsidP="00F90F45">
      <w:r w:rsidRPr="00E93008">
        <w:t>There was no significant treatment difference in terms of asthma co</w:t>
      </w:r>
      <w:r w:rsidR="00C2515D" w:rsidRPr="00E93008">
        <w:t>ntrol between both doses of QVM</w:t>
      </w:r>
      <w:r w:rsidRPr="00E93008">
        <w:t>149 and corresponding doses of</w:t>
      </w:r>
      <w:r w:rsidR="00A02650" w:rsidRPr="00E93008">
        <w:t xml:space="preserve"> QMF</w:t>
      </w:r>
      <w:r w:rsidR="002F33FD" w:rsidRPr="00E93008">
        <w:t>149 at Week 26 and W</w:t>
      </w:r>
      <w:r w:rsidRPr="00E93008">
        <w:t xml:space="preserve">eek 52. The </w:t>
      </w:r>
      <w:r w:rsidR="00F90F45" w:rsidRPr="00E93008">
        <w:t>secondary endpoint was not met.</w:t>
      </w:r>
    </w:p>
    <w:p w14:paraId="24EE1403" w14:textId="7B1667F4" w:rsidR="009F26A8" w:rsidRPr="00E93008" w:rsidRDefault="009F26A8" w:rsidP="00F90F45">
      <w:r w:rsidRPr="00E93008">
        <w:t>The LS mean cha</w:t>
      </w:r>
      <w:r w:rsidR="00F90F45" w:rsidRPr="00E93008">
        <w:t xml:space="preserve">nge from </w:t>
      </w:r>
      <w:r w:rsidR="009732AB">
        <w:t>B</w:t>
      </w:r>
      <w:r w:rsidR="00F90F45" w:rsidRPr="00E93008">
        <w:t>aseline in ACQ-7 was -0.977 and -</w:t>
      </w:r>
      <w:r w:rsidRPr="00E93008">
        <w:t>0.963 with hi</w:t>
      </w:r>
      <w:r w:rsidR="00F90F45" w:rsidRPr="00E93008">
        <w:t>gh and medium doses of QVM149, -0.997 and -</w:t>
      </w:r>
      <w:r w:rsidRPr="00E93008">
        <w:t>0.902 with high and medium doses of QMF149 at Week 26, respectively</w:t>
      </w:r>
      <w:r w:rsidR="00F90F45" w:rsidRPr="00E93008">
        <w:t>.</w:t>
      </w:r>
    </w:p>
    <w:p w14:paraId="5C82811E" w14:textId="77777777" w:rsidR="009F26A8" w:rsidRPr="00E93008" w:rsidRDefault="00F90F45" w:rsidP="00F90F45">
      <w:r w:rsidRPr="00E93008">
        <w:t>The ACQ-</w:t>
      </w:r>
      <w:r w:rsidR="009F26A8" w:rsidRPr="00E93008">
        <w:t>7 responder rates were about 70% for all treatment groups after 26 weeks.</w:t>
      </w:r>
    </w:p>
    <w:p w14:paraId="15A0476C" w14:textId="113A8E3C" w:rsidR="009F26A8" w:rsidRPr="00E93008" w:rsidRDefault="009F26A8" w:rsidP="0090548F">
      <w:r w:rsidRPr="00E93008">
        <w:rPr>
          <w:i/>
        </w:rPr>
        <w:t>Other secondary endpoints</w:t>
      </w:r>
      <w:r w:rsidR="009732AB">
        <w:rPr>
          <w:i/>
        </w:rPr>
        <w:t>:</w:t>
      </w:r>
    </w:p>
    <w:p w14:paraId="40E0C6D0" w14:textId="652234F4" w:rsidR="009F26A8" w:rsidRPr="00E93008" w:rsidRDefault="009F26A8" w:rsidP="00F90F45">
      <w:r w:rsidRPr="00E93008">
        <w:t xml:space="preserve">No significant difference was reported in </w:t>
      </w:r>
      <w:r w:rsidR="009732AB">
        <w:t>A</w:t>
      </w:r>
      <w:r w:rsidR="0099295F" w:rsidRPr="00E93008">
        <w:t xml:space="preserve">sthma </w:t>
      </w:r>
      <w:r w:rsidR="009732AB">
        <w:t>Q</w:t>
      </w:r>
      <w:r w:rsidR="0099295F" w:rsidRPr="00E93008">
        <w:t xml:space="preserve">uality of </w:t>
      </w:r>
      <w:r w:rsidR="009732AB">
        <w:t>L</w:t>
      </w:r>
      <w:r w:rsidR="0099295F" w:rsidRPr="00E93008">
        <w:t xml:space="preserve">ife </w:t>
      </w:r>
      <w:r w:rsidR="009732AB">
        <w:t>Q</w:t>
      </w:r>
      <w:r w:rsidR="0099295F" w:rsidRPr="00E93008">
        <w:t>uestionnaire (</w:t>
      </w:r>
      <w:r w:rsidRPr="00E93008">
        <w:t>AQLQ</w:t>
      </w:r>
      <w:r w:rsidR="0099295F" w:rsidRPr="00E93008">
        <w:t>)</w:t>
      </w:r>
      <w:r w:rsidRPr="00E93008">
        <w:t xml:space="preserve"> scores between QVM149 doses and bet</w:t>
      </w:r>
      <w:r w:rsidR="00A02650" w:rsidRPr="00E93008">
        <w:t>ween corresponding doses of QMF</w:t>
      </w:r>
      <w:r w:rsidR="00ED2EE5" w:rsidRPr="00E93008">
        <w:t>149.</w:t>
      </w:r>
    </w:p>
    <w:p w14:paraId="0A37E578" w14:textId="77777777" w:rsidR="009F26A8" w:rsidRPr="00E93008" w:rsidRDefault="009F26A8" w:rsidP="00F90F45">
      <w:r w:rsidRPr="00E93008">
        <w:t xml:space="preserve">The magnitude of improvement for lung function parameters such as </w:t>
      </w:r>
      <w:r w:rsidR="0099295F" w:rsidRPr="00E93008">
        <w:t>forced vital capacity (</w:t>
      </w:r>
      <w:r w:rsidRPr="00E93008">
        <w:t>FVC</w:t>
      </w:r>
      <w:r w:rsidR="0099295F" w:rsidRPr="00E93008">
        <w:t>)</w:t>
      </w:r>
      <w:r w:rsidRPr="00E93008">
        <w:t xml:space="preserve"> and </w:t>
      </w:r>
      <w:r w:rsidR="0099295F" w:rsidRPr="00E93008">
        <w:t>forced expiratory flow (</w:t>
      </w:r>
      <w:r w:rsidRPr="00E93008">
        <w:t>FEF</w:t>
      </w:r>
      <w:r w:rsidR="0099295F" w:rsidRPr="00E93008">
        <w:t>)</w:t>
      </w:r>
      <w:r w:rsidRPr="00E93008">
        <w:t xml:space="preserve"> 25</w:t>
      </w:r>
      <w:r w:rsidR="00F90F45" w:rsidRPr="00E93008">
        <w:t xml:space="preserve"> to </w:t>
      </w:r>
      <w:r w:rsidRPr="00E93008">
        <w:t>75% were comparable for both doses of QVM149.</w:t>
      </w:r>
    </w:p>
    <w:p w14:paraId="213F0CC2" w14:textId="184CCD01" w:rsidR="00D13AAB" w:rsidRPr="00D13AAB" w:rsidRDefault="00D13AAB" w:rsidP="00D13AAB">
      <w:pPr>
        <w:rPr>
          <w:rFonts w:eastAsiaTheme="minorHAnsi"/>
          <w:lang w:val="cs-CZ"/>
        </w:rPr>
      </w:pPr>
      <w:r w:rsidRPr="00D13AAB">
        <w:rPr>
          <w:lang w:val="en-US"/>
        </w:rPr>
        <w:t xml:space="preserve">In </w:t>
      </w:r>
      <w:r w:rsidR="009732AB">
        <w:rPr>
          <w:lang w:val="en-US"/>
        </w:rPr>
        <w:t>the first clinical stud</w:t>
      </w:r>
      <w:r w:rsidR="00C2003F">
        <w:rPr>
          <w:lang w:val="en-US"/>
        </w:rPr>
        <w:t>y</w:t>
      </w:r>
      <w:r w:rsidR="009732AB">
        <w:rPr>
          <w:lang w:val="en-US"/>
        </w:rPr>
        <w:t xml:space="preserve"> report (</w:t>
      </w:r>
      <w:r w:rsidRPr="00840359">
        <w:rPr>
          <w:lang w:val="en-US"/>
        </w:rPr>
        <w:t>CSR</w:t>
      </w:r>
      <w:r w:rsidR="009732AB">
        <w:rPr>
          <w:lang w:val="en-US"/>
        </w:rPr>
        <w:t>; the</w:t>
      </w:r>
      <w:r w:rsidR="00840359">
        <w:rPr>
          <w:lang w:val="en-US"/>
        </w:rPr>
        <w:t xml:space="preserve"> </w:t>
      </w:r>
      <w:r w:rsidRPr="00840359">
        <w:rPr>
          <w:lang w:val="en-US"/>
        </w:rPr>
        <w:t>primary analysis CSR),</w:t>
      </w:r>
      <w:r w:rsidRPr="00D13AAB">
        <w:rPr>
          <w:lang w:val="en-US"/>
        </w:rPr>
        <w:t xml:space="preserve"> the incidence rate (</w:t>
      </w:r>
      <w:proofErr w:type="spellStart"/>
      <w:r w:rsidRPr="00D13AAB">
        <w:rPr>
          <w:lang w:val="en-US"/>
        </w:rPr>
        <w:t>annualised</w:t>
      </w:r>
      <w:proofErr w:type="spellEnd"/>
      <w:r w:rsidRPr="00D13AAB">
        <w:rPr>
          <w:lang w:val="en-US"/>
        </w:rPr>
        <w:t>) of exacerbations was the lowest in high dose QVM149 group, among all treatment groups. A 20% greater reduction in all exacerbations (risk ratio (RR)</w:t>
      </w:r>
      <w:r w:rsidR="003504D9">
        <w:rPr>
          <w:lang w:val="en-US"/>
        </w:rPr>
        <w:t xml:space="preserve"> </w:t>
      </w:r>
      <w:r w:rsidRPr="00D13AAB">
        <w:rPr>
          <w:lang w:val="en-US"/>
        </w:rPr>
        <w:t>=</w:t>
      </w:r>
      <w:r w:rsidR="003504D9">
        <w:rPr>
          <w:lang w:val="en-US"/>
        </w:rPr>
        <w:t xml:space="preserve"> </w:t>
      </w:r>
      <w:r w:rsidRPr="00D13AAB">
        <w:rPr>
          <w:lang w:val="en-US"/>
        </w:rPr>
        <w:t>0.80, 95% confidence interval (CI</w:t>
      </w:r>
      <w:r w:rsidRPr="00840359">
        <w:rPr>
          <w:lang w:val="en-US"/>
        </w:rPr>
        <w:t>): 0.65</w:t>
      </w:r>
      <w:r w:rsidR="00C77B72">
        <w:rPr>
          <w:lang w:val="en-US"/>
        </w:rPr>
        <w:t>,</w:t>
      </w:r>
      <w:r w:rsidRPr="00840359">
        <w:rPr>
          <w:lang w:val="en-US"/>
        </w:rPr>
        <w:t xml:space="preserve"> 0.98</w:t>
      </w:r>
      <w:r w:rsidRPr="00D13AAB">
        <w:rPr>
          <w:lang w:val="en-US"/>
        </w:rPr>
        <w:t xml:space="preserve">) and </w:t>
      </w:r>
      <w:r w:rsidRPr="00840359">
        <w:rPr>
          <w:lang w:val="en-US"/>
        </w:rPr>
        <w:t>17 %</w:t>
      </w:r>
      <w:r w:rsidRPr="00D13AAB">
        <w:rPr>
          <w:lang w:val="en-US"/>
        </w:rPr>
        <w:t xml:space="preserve"> greater reduction in severe exacerbations (</w:t>
      </w:r>
      <w:r w:rsidRPr="00840359">
        <w:rPr>
          <w:lang w:val="en-US"/>
        </w:rPr>
        <w:t>RR</w:t>
      </w:r>
      <w:r w:rsidR="003504D9">
        <w:rPr>
          <w:lang w:val="en-US"/>
        </w:rPr>
        <w:t xml:space="preserve"> </w:t>
      </w:r>
      <w:r w:rsidRPr="00840359">
        <w:rPr>
          <w:lang w:val="en-US"/>
        </w:rPr>
        <w:t>=</w:t>
      </w:r>
      <w:r w:rsidR="003504D9">
        <w:rPr>
          <w:lang w:val="en-US"/>
        </w:rPr>
        <w:t xml:space="preserve"> </w:t>
      </w:r>
      <w:r w:rsidRPr="00840359">
        <w:rPr>
          <w:lang w:val="en-US"/>
        </w:rPr>
        <w:t>0.83, 95% CI: 0.64</w:t>
      </w:r>
      <w:r w:rsidR="00C77B72">
        <w:rPr>
          <w:lang w:val="en-US"/>
        </w:rPr>
        <w:t>,</w:t>
      </w:r>
      <w:r w:rsidRPr="00840359">
        <w:rPr>
          <w:lang w:val="en-US"/>
        </w:rPr>
        <w:t xml:space="preserve"> 1.07</w:t>
      </w:r>
      <w:r w:rsidRPr="00D13AAB">
        <w:rPr>
          <w:lang w:val="en-US"/>
        </w:rPr>
        <w:t xml:space="preserve">) were reported for the high dose QVM149, compared to high dose QMF149. High dose QVM149 reduced all asthma exacerbations by 41% versus </w:t>
      </w:r>
      <w:proofErr w:type="spellStart"/>
      <w:r w:rsidRPr="00D13AAB">
        <w:rPr>
          <w:lang w:val="en-US"/>
        </w:rPr>
        <w:t>salmeterol</w:t>
      </w:r>
      <w:proofErr w:type="spellEnd"/>
      <w:r w:rsidRPr="00D13AAB">
        <w:rPr>
          <w:lang w:val="en-US"/>
        </w:rPr>
        <w:t>/fluticasone 50/500 µg BID (</w:t>
      </w:r>
      <w:r w:rsidRPr="00840359">
        <w:rPr>
          <w:lang w:val="en-US"/>
        </w:rPr>
        <w:t>RR</w:t>
      </w:r>
      <w:r w:rsidR="003504D9">
        <w:rPr>
          <w:lang w:val="en-US"/>
        </w:rPr>
        <w:t xml:space="preserve"> </w:t>
      </w:r>
      <w:r w:rsidRPr="00840359">
        <w:rPr>
          <w:lang w:val="en-US"/>
        </w:rPr>
        <w:t>=</w:t>
      </w:r>
      <w:r w:rsidR="003504D9">
        <w:rPr>
          <w:lang w:val="en-US"/>
        </w:rPr>
        <w:t xml:space="preserve"> </w:t>
      </w:r>
      <w:r w:rsidRPr="00840359">
        <w:rPr>
          <w:lang w:val="en-US"/>
        </w:rPr>
        <w:t>0.59, 95% CI: 0.48</w:t>
      </w:r>
      <w:r w:rsidR="00C77B72">
        <w:rPr>
          <w:lang w:val="en-US"/>
        </w:rPr>
        <w:t>,</w:t>
      </w:r>
      <w:r w:rsidRPr="00840359">
        <w:rPr>
          <w:lang w:val="en-US"/>
        </w:rPr>
        <w:t xml:space="preserve"> 0.72</w:t>
      </w:r>
      <w:r w:rsidRPr="00D13AAB">
        <w:rPr>
          <w:lang w:val="en-US"/>
        </w:rPr>
        <w:t>).</w:t>
      </w:r>
    </w:p>
    <w:p w14:paraId="0AD9348A" w14:textId="284D3EFF" w:rsidR="00D13AAB" w:rsidRPr="00D13AAB" w:rsidRDefault="00D13AAB" w:rsidP="00D13AAB">
      <w:pPr>
        <w:rPr>
          <w:rFonts w:ascii="Calibri" w:hAnsi="Calibri"/>
        </w:rPr>
      </w:pPr>
      <w:r w:rsidRPr="00D13AAB">
        <w:rPr>
          <w:lang w:val="en-US"/>
        </w:rPr>
        <w:t xml:space="preserve">A </w:t>
      </w:r>
      <w:r w:rsidRPr="00840359">
        <w:rPr>
          <w:lang w:val="en-US"/>
        </w:rPr>
        <w:t>10%</w:t>
      </w:r>
      <w:r w:rsidRPr="00D13AAB">
        <w:rPr>
          <w:lang w:val="en-US"/>
        </w:rPr>
        <w:t xml:space="preserve"> greater reduction in all exacerbations (</w:t>
      </w:r>
      <w:r w:rsidRPr="00840359">
        <w:rPr>
          <w:lang w:val="en-US"/>
        </w:rPr>
        <w:t>RR</w:t>
      </w:r>
      <w:r w:rsidR="003504D9">
        <w:rPr>
          <w:lang w:val="en-US"/>
        </w:rPr>
        <w:t xml:space="preserve"> </w:t>
      </w:r>
      <w:r w:rsidRPr="00840359">
        <w:rPr>
          <w:lang w:val="en-US"/>
        </w:rPr>
        <w:t>=</w:t>
      </w:r>
      <w:r w:rsidR="003504D9">
        <w:rPr>
          <w:lang w:val="en-US"/>
        </w:rPr>
        <w:t xml:space="preserve"> </w:t>
      </w:r>
      <w:r w:rsidRPr="00840359">
        <w:rPr>
          <w:lang w:val="en-US"/>
        </w:rPr>
        <w:t>0.90, 95% CI</w:t>
      </w:r>
      <w:r w:rsidR="00C77B72">
        <w:rPr>
          <w:lang w:val="en-US"/>
        </w:rPr>
        <w:t>:</w:t>
      </w:r>
      <w:r w:rsidRPr="00840359">
        <w:rPr>
          <w:lang w:val="en-US"/>
        </w:rPr>
        <w:t xml:space="preserve"> 0.74</w:t>
      </w:r>
      <w:r w:rsidR="00C77B72">
        <w:rPr>
          <w:lang w:val="en-US"/>
        </w:rPr>
        <w:t>,</w:t>
      </w:r>
      <w:r w:rsidRPr="00840359">
        <w:rPr>
          <w:lang w:val="en-US"/>
        </w:rPr>
        <w:t xml:space="preserve"> 1.10</w:t>
      </w:r>
      <w:r w:rsidRPr="00D13AAB">
        <w:rPr>
          <w:lang w:val="en-US"/>
        </w:rPr>
        <w:t xml:space="preserve">) </w:t>
      </w:r>
      <w:r w:rsidRPr="00840359">
        <w:rPr>
          <w:lang w:val="en-US"/>
        </w:rPr>
        <w:t>and 6%</w:t>
      </w:r>
      <w:r w:rsidRPr="00D13AAB">
        <w:rPr>
          <w:lang w:val="en-US"/>
        </w:rPr>
        <w:t xml:space="preserve"> greater reduction in severe exacerbations (</w:t>
      </w:r>
      <w:r w:rsidRPr="00840359">
        <w:rPr>
          <w:lang w:val="en-US"/>
        </w:rPr>
        <w:t>RR</w:t>
      </w:r>
      <w:r w:rsidR="003504D9">
        <w:rPr>
          <w:lang w:val="en-US"/>
        </w:rPr>
        <w:t xml:space="preserve"> </w:t>
      </w:r>
      <w:r w:rsidRPr="00840359">
        <w:rPr>
          <w:lang w:val="en-US"/>
        </w:rPr>
        <w:t>=</w:t>
      </w:r>
      <w:r w:rsidR="003504D9">
        <w:rPr>
          <w:lang w:val="en-US"/>
        </w:rPr>
        <w:t xml:space="preserve"> </w:t>
      </w:r>
      <w:r w:rsidRPr="00840359">
        <w:rPr>
          <w:lang w:val="en-US"/>
        </w:rPr>
        <w:t>0.94, 95% CI</w:t>
      </w:r>
      <w:r w:rsidR="00C77B72">
        <w:rPr>
          <w:lang w:val="en-US"/>
        </w:rPr>
        <w:t>:</w:t>
      </w:r>
      <w:r w:rsidRPr="00840359">
        <w:rPr>
          <w:lang w:val="en-US"/>
        </w:rPr>
        <w:t xml:space="preserve"> 0.74, 1.19</w:t>
      </w:r>
      <w:r w:rsidRPr="00D13AAB">
        <w:rPr>
          <w:lang w:val="en-US"/>
        </w:rPr>
        <w:t>) were reported for medium dose QVM149 group, compared to medium dose QMF149 group. Medium dose QVM149 demonstrated a reduction in the rate of all exacerbations by 30% (RR</w:t>
      </w:r>
      <w:r w:rsidR="003504D9">
        <w:rPr>
          <w:lang w:val="en-US"/>
        </w:rPr>
        <w:t xml:space="preserve"> </w:t>
      </w:r>
      <w:r w:rsidRPr="00D13AAB">
        <w:rPr>
          <w:lang w:val="en-US"/>
        </w:rPr>
        <w:t>=</w:t>
      </w:r>
      <w:r w:rsidR="003504D9">
        <w:rPr>
          <w:lang w:val="en-US"/>
        </w:rPr>
        <w:t xml:space="preserve"> </w:t>
      </w:r>
      <w:r w:rsidRPr="00D13AAB">
        <w:rPr>
          <w:lang w:val="en-US"/>
        </w:rPr>
        <w:t>0.70, 95% CI</w:t>
      </w:r>
      <w:r w:rsidR="00C77B72">
        <w:rPr>
          <w:lang w:val="en-US"/>
        </w:rPr>
        <w:t>:</w:t>
      </w:r>
      <w:r w:rsidRPr="00D13AAB">
        <w:rPr>
          <w:lang w:val="en-US"/>
        </w:rPr>
        <w:t xml:space="preserve"> 0.58, 0.84) compared to </w:t>
      </w:r>
      <w:proofErr w:type="spellStart"/>
      <w:r w:rsidRPr="00D13AAB">
        <w:rPr>
          <w:lang w:val="en-US"/>
        </w:rPr>
        <w:t>salmeterol</w:t>
      </w:r>
      <w:proofErr w:type="spellEnd"/>
      <w:r w:rsidRPr="00D13AAB">
        <w:rPr>
          <w:lang w:val="en-US"/>
        </w:rPr>
        <w:t>/fluticasone 50/500 μg BID</w:t>
      </w:r>
      <w:r w:rsidR="0069766F">
        <w:rPr>
          <w:lang w:val="en-US"/>
        </w:rPr>
        <w:t>.</w:t>
      </w:r>
      <w:r w:rsidRPr="00D13AAB">
        <w:rPr>
          <w:lang w:val="en-US"/>
        </w:rPr>
        <w:t xml:space="preserve"> </w:t>
      </w:r>
    </w:p>
    <w:p w14:paraId="4BE02EE6" w14:textId="7A3E85E5" w:rsidR="009F26A8" w:rsidRPr="00E93008" w:rsidRDefault="009F26A8" w:rsidP="00F90F45">
      <w:r w:rsidRPr="00E93008">
        <w:t>The magnitude of reduction in exacerbations reached statistical significance for the comparison</w:t>
      </w:r>
      <w:r w:rsidR="00630466">
        <w:t xml:space="preserve"> </w:t>
      </w:r>
      <w:r w:rsidRPr="00E93008">
        <w:t>between high dose QVM</w:t>
      </w:r>
      <w:r w:rsidR="002C513E">
        <w:t>149</w:t>
      </w:r>
      <w:r w:rsidRPr="00E93008">
        <w:t xml:space="preserve"> and high dose QMF</w:t>
      </w:r>
      <w:r w:rsidR="002C513E">
        <w:t>149</w:t>
      </w:r>
      <w:r w:rsidR="000466DE">
        <w:t xml:space="preserve">, </w:t>
      </w:r>
      <w:r w:rsidRPr="00E93008">
        <w:t>and not for comparison between mediu</w:t>
      </w:r>
      <w:r w:rsidR="00A02650" w:rsidRPr="00E93008">
        <w:t>m dose QVM</w:t>
      </w:r>
      <w:r w:rsidR="002C513E">
        <w:t>149</w:t>
      </w:r>
      <w:r w:rsidR="00A02650" w:rsidRPr="00E93008">
        <w:t xml:space="preserve"> and medium dose QMF</w:t>
      </w:r>
      <w:r w:rsidR="002C513E">
        <w:t>149</w:t>
      </w:r>
      <w:r w:rsidR="00A02650" w:rsidRPr="00E93008">
        <w:t>.</w:t>
      </w:r>
    </w:p>
    <w:p w14:paraId="7273FC27" w14:textId="7056F4A5" w:rsidR="009F26A8" w:rsidRPr="00E93008" w:rsidRDefault="009F26A8" w:rsidP="00630466">
      <w:pPr>
        <w:spacing w:before="0" w:after="0" w:line="240" w:lineRule="auto"/>
      </w:pPr>
      <w:r w:rsidRPr="00E93008">
        <w:t>The magnitude of reduction in e</w:t>
      </w:r>
      <w:r w:rsidR="002F33FD" w:rsidRPr="00E93008">
        <w:t xml:space="preserve">xacerbations was consistent </w:t>
      </w:r>
      <w:r w:rsidR="00BC2878">
        <w:t xml:space="preserve">in </w:t>
      </w:r>
      <w:r w:rsidR="003504D9">
        <w:t xml:space="preserve">the second </w:t>
      </w:r>
      <w:r w:rsidR="00BC2878">
        <w:t xml:space="preserve">CSR (full analysis set CSR) </w:t>
      </w:r>
      <w:r w:rsidR="00630466">
        <w:rPr>
          <w:rFonts w:ascii="Times New Roman" w:eastAsiaTheme="minorHAnsi" w:hAnsi="Times New Roman"/>
          <w:sz w:val="24"/>
          <w:szCs w:val="24"/>
          <w:lang w:eastAsia="en-AU"/>
        </w:rPr>
        <w:t>(</w:t>
      </w:r>
      <w:r w:rsidR="00621D5E" w:rsidRPr="00E93008">
        <w:t xml:space="preserve">see </w:t>
      </w:r>
      <w:r w:rsidR="00621D5E" w:rsidRPr="00E93008">
        <w:rPr>
          <w:color w:val="2B579A"/>
          <w:shd w:val="clear" w:color="auto" w:fill="E6E6E6"/>
        </w:rPr>
        <w:fldChar w:fldCharType="begin"/>
      </w:r>
      <w:r w:rsidR="00621D5E" w:rsidRPr="00E93008">
        <w:instrText xml:space="preserve"> REF _Ref60928715 \h </w:instrText>
      </w:r>
      <w:r w:rsidR="00E93008">
        <w:instrText xml:space="preserve"> \* MERGEFORMAT </w:instrText>
      </w:r>
      <w:r w:rsidR="00621D5E" w:rsidRPr="00E93008">
        <w:rPr>
          <w:color w:val="2B579A"/>
          <w:shd w:val="clear" w:color="auto" w:fill="E6E6E6"/>
        </w:rPr>
      </w:r>
      <w:r w:rsidR="00621D5E" w:rsidRPr="00E93008">
        <w:rPr>
          <w:color w:val="2B579A"/>
          <w:shd w:val="clear" w:color="auto" w:fill="E6E6E6"/>
        </w:rPr>
        <w:fldChar w:fldCharType="separate"/>
      </w:r>
      <w:r w:rsidR="003A5299" w:rsidRPr="00E93008">
        <w:t xml:space="preserve">Table </w:t>
      </w:r>
      <w:r w:rsidR="003A5299">
        <w:rPr>
          <w:noProof/>
        </w:rPr>
        <w:t>5</w:t>
      </w:r>
      <w:r w:rsidR="00621D5E" w:rsidRPr="00E93008">
        <w:rPr>
          <w:color w:val="2B579A"/>
          <w:shd w:val="clear" w:color="auto" w:fill="E6E6E6"/>
        </w:rPr>
        <w:fldChar w:fldCharType="end"/>
      </w:r>
      <w:r w:rsidR="00621D5E" w:rsidRPr="00E93008">
        <w:t>)</w:t>
      </w:r>
      <w:r w:rsidRPr="00E93008">
        <w:t>.</w:t>
      </w:r>
    </w:p>
    <w:p w14:paraId="669D52C3" w14:textId="79BB1093" w:rsidR="009F26A8" w:rsidRPr="00E93008" w:rsidRDefault="009F26A8" w:rsidP="00F90F45">
      <w:pPr>
        <w:pStyle w:val="FigureTitle"/>
      </w:pPr>
      <w:bookmarkStart w:id="48" w:name="_Ref60928715"/>
      <w:bookmarkStart w:id="49" w:name="_Toc45111915"/>
      <w:r w:rsidRPr="00E93008">
        <w:t xml:space="preserve">Table </w:t>
      </w:r>
      <w:r>
        <w:fldChar w:fldCharType="begin"/>
      </w:r>
      <w:r>
        <w:instrText>SEQ Table \* ARABIC</w:instrText>
      </w:r>
      <w:r>
        <w:fldChar w:fldCharType="separate"/>
      </w:r>
      <w:r w:rsidR="003A5299">
        <w:rPr>
          <w:noProof/>
        </w:rPr>
        <w:t>5</w:t>
      </w:r>
      <w:r>
        <w:fldChar w:fldCharType="end"/>
      </w:r>
      <w:bookmarkEnd w:id="48"/>
      <w:r w:rsidRPr="00E93008">
        <w:t xml:space="preserve">: </w:t>
      </w:r>
      <w:r w:rsidR="0044588D" w:rsidRPr="00E93008">
        <w:t xml:space="preserve">Study CQVM149-B2302 </w:t>
      </w:r>
      <w:r w:rsidR="003504D9">
        <w:t>R</w:t>
      </w:r>
      <w:r w:rsidR="002F33FD" w:rsidRPr="00E93008">
        <w:t>ate of asthma exacerbations at W</w:t>
      </w:r>
      <w:r w:rsidR="00F90F45" w:rsidRPr="00E93008">
        <w:t>eek 52 (</w:t>
      </w:r>
      <w:r w:rsidR="003504D9">
        <w:t>f</w:t>
      </w:r>
      <w:r w:rsidR="00F90F45" w:rsidRPr="00E93008">
        <w:t>ull analysis set</w:t>
      </w:r>
      <w:r w:rsidRPr="00E93008">
        <w:t>)</w:t>
      </w:r>
      <w:bookmarkEnd w:id="49"/>
    </w:p>
    <w:p w14:paraId="3C7CE093" w14:textId="77777777" w:rsidR="009F26A8" w:rsidRPr="00E93008" w:rsidRDefault="009F26A8" w:rsidP="009F26A8">
      <w:pPr>
        <w:autoSpaceDE w:val="0"/>
        <w:autoSpaceDN w:val="0"/>
        <w:rPr>
          <w:rFonts w:asciiTheme="minorHAnsi" w:eastAsiaTheme="minorHAnsi" w:hAnsiTheme="minorHAnsi" w:cs="TimesNewRoman"/>
        </w:rPr>
      </w:pPr>
      <w:r>
        <w:rPr>
          <w:noProof/>
          <w:lang w:eastAsia="en-AU"/>
        </w:rPr>
        <w:drawing>
          <wp:inline distT="0" distB="0" distL="0" distR="0" wp14:anchorId="1AA2DF03" wp14:editId="44895932">
            <wp:extent cx="5470498" cy="2532211"/>
            <wp:effectExtent l="0" t="0" r="0" b="1905"/>
            <wp:docPr id="1" name="Picture 1" descr="Study CQVM149-B2302 Rate of asthma exacerbations at Week 52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5476205" cy="2534852"/>
                    </a:xfrm>
                    <a:prstGeom prst="rect">
                      <a:avLst/>
                    </a:prstGeom>
                  </pic:spPr>
                </pic:pic>
              </a:graphicData>
            </a:graphic>
          </wp:inline>
        </w:drawing>
      </w:r>
    </w:p>
    <w:p w14:paraId="1DC04A29" w14:textId="77777777" w:rsidR="009F26A8" w:rsidRPr="00E93008" w:rsidRDefault="009F26A8" w:rsidP="00F90F45">
      <w:r w:rsidRPr="00E93008">
        <w:t>No differences in use of rescue medication was reported between treatment groups.</w:t>
      </w:r>
    </w:p>
    <w:p w14:paraId="74E9C9CD" w14:textId="77777777" w:rsidR="009F26A8" w:rsidRPr="00E93008" w:rsidRDefault="00F91153" w:rsidP="00F90F45">
      <w:r w:rsidRPr="00E93008">
        <w:t xml:space="preserve">The </w:t>
      </w:r>
      <w:r w:rsidR="009F26A8" w:rsidRPr="00E93008">
        <w:t>Delegate</w:t>
      </w:r>
      <w:r w:rsidRPr="00E93008">
        <w:t xml:space="preserve"> </w:t>
      </w:r>
      <w:r w:rsidR="009F26A8" w:rsidRPr="00E93008">
        <w:t>noted that both high and medium doses of QVM</w:t>
      </w:r>
      <w:r w:rsidR="0065214E">
        <w:t>149</w:t>
      </w:r>
      <w:r w:rsidR="009F26A8" w:rsidRPr="00E93008">
        <w:t xml:space="preserve"> were compared to the same</w:t>
      </w:r>
      <w:r w:rsidR="00E45349">
        <w:t xml:space="preserve"> (high)</w:t>
      </w:r>
      <w:r w:rsidR="009F26A8" w:rsidRPr="00E93008">
        <w:t xml:space="preserve"> dose of </w:t>
      </w:r>
      <w:proofErr w:type="spellStart"/>
      <w:r w:rsidR="009F26A8" w:rsidRPr="00E93008">
        <w:t>salmeterol</w:t>
      </w:r>
      <w:proofErr w:type="spellEnd"/>
      <w:r w:rsidR="009F26A8" w:rsidRPr="00E93008">
        <w:t>/fluticasone.</w:t>
      </w:r>
    </w:p>
    <w:p w14:paraId="47EFC58B" w14:textId="77777777" w:rsidR="009F26A8" w:rsidRPr="00E93008" w:rsidRDefault="009F26A8" w:rsidP="00F90F45">
      <w:pPr>
        <w:pStyle w:val="Heading4"/>
        <w:rPr>
          <w:lang w:eastAsia="ja-JP"/>
        </w:rPr>
      </w:pPr>
      <w:r w:rsidRPr="00E93008">
        <w:rPr>
          <w:lang w:eastAsia="ja-JP"/>
        </w:rPr>
        <w:t>Safety</w:t>
      </w:r>
    </w:p>
    <w:p w14:paraId="547A39F0" w14:textId="77777777" w:rsidR="009F26A8" w:rsidRPr="00E93008" w:rsidRDefault="009F26A8" w:rsidP="00F90F45">
      <w:r w:rsidRPr="00E93008">
        <w:t>Safety data was mostly based on observations from the pivotal study. Pooled data of QVM</w:t>
      </w:r>
      <w:r w:rsidR="0065214E">
        <w:t>149</w:t>
      </w:r>
      <w:r w:rsidRPr="00E93008">
        <w:t xml:space="preserve"> doses were also compared to corresponding QMF</w:t>
      </w:r>
      <w:r w:rsidR="0065214E">
        <w:t>149</w:t>
      </w:r>
      <w:r w:rsidRPr="00E93008">
        <w:t xml:space="preserve"> and </w:t>
      </w:r>
      <w:proofErr w:type="spellStart"/>
      <w:r w:rsidRPr="00E93008">
        <w:t>salmeterol</w:t>
      </w:r>
      <w:proofErr w:type="spellEnd"/>
      <w:r w:rsidRPr="00E93008">
        <w:t>/fluticasone dose to assess safety.</w:t>
      </w:r>
    </w:p>
    <w:p w14:paraId="700DA139" w14:textId="7AAFEACF" w:rsidR="009F26A8" w:rsidRPr="00E93008" w:rsidRDefault="001E49B5" w:rsidP="00F90F45">
      <w:pPr>
        <w:pStyle w:val="Heading5"/>
      </w:pPr>
      <w:r w:rsidRPr="00E93008">
        <w:t>Adverse event</w:t>
      </w:r>
      <w:r w:rsidR="003504D9">
        <w:t>s</w:t>
      </w:r>
    </w:p>
    <w:p w14:paraId="4C7719C1" w14:textId="2AA7DFE4" w:rsidR="009F26A8" w:rsidRPr="00E93008" w:rsidRDefault="009F26A8" w:rsidP="00F90F45">
      <w:r w:rsidRPr="00E93008">
        <w:t xml:space="preserve">The majority of </w:t>
      </w:r>
      <w:r w:rsidR="001E49B5" w:rsidRPr="00E93008">
        <w:t>adverse events (</w:t>
      </w:r>
      <w:r w:rsidRPr="00E93008">
        <w:t>AE</w:t>
      </w:r>
      <w:r w:rsidR="001E49B5" w:rsidRPr="00E93008">
        <w:t>)</w:t>
      </w:r>
      <w:r w:rsidRPr="00E93008">
        <w:t xml:space="preserve"> were mild to moderate in severity and their occurrence was similar between the treatment groups. Asthma exacerbations were the commonest AE</w:t>
      </w:r>
      <w:r w:rsidR="003504D9">
        <w:t>s</w:t>
      </w:r>
      <w:r w:rsidRPr="00E93008">
        <w:t xml:space="preserve"> that was reported and its rate of incidence was lower in QVM group, compared to QMF group. Oral candidiasis occurrence rates were lower in the QVM149 pooled group than in</w:t>
      </w:r>
      <w:r w:rsidR="00F90F45" w:rsidRPr="00E93008">
        <w:t xml:space="preserve"> the QMF149 pooled group (0.7 versus</w:t>
      </w:r>
      <w:r w:rsidRPr="00E93008">
        <w:t xml:space="preserve"> </w:t>
      </w:r>
      <w:r w:rsidR="009B6D45">
        <w:t>1.2</w:t>
      </w:r>
      <w:r w:rsidRPr="00E93008">
        <w:t xml:space="preserve">) and were also lower in the QVM149 high dose group than the </w:t>
      </w:r>
      <w:proofErr w:type="spellStart"/>
      <w:r w:rsidRPr="00E93008">
        <w:t>salmeterol</w:t>
      </w:r>
      <w:proofErr w:type="spellEnd"/>
      <w:r w:rsidRPr="00E93008">
        <w:t>/fluticason</w:t>
      </w:r>
      <w:r w:rsidR="00F90F45" w:rsidRPr="00E93008">
        <w:t xml:space="preserve">e 50/500 µg </w:t>
      </w:r>
      <w:r w:rsidR="00B93B68" w:rsidRPr="00E93008">
        <w:t>BID</w:t>
      </w:r>
      <w:r w:rsidR="00F90F45" w:rsidRPr="00E93008">
        <w:t xml:space="preserve"> group (0.2 versus</w:t>
      </w:r>
      <w:r w:rsidRPr="00E93008">
        <w:t xml:space="preserve"> 2.1)</w:t>
      </w:r>
      <w:r w:rsidR="00F90F45" w:rsidRPr="00E93008">
        <w:t>.</w:t>
      </w:r>
    </w:p>
    <w:p w14:paraId="1023EB37" w14:textId="6E1E52CB" w:rsidR="009F26A8" w:rsidRPr="00E93008" w:rsidRDefault="001E49B5" w:rsidP="00F93F35">
      <w:pPr>
        <w:pStyle w:val="Heading5"/>
      </w:pPr>
      <w:r w:rsidRPr="00E93008">
        <w:t>Treatment emergent adverse event</w:t>
      </w:r>
      <w:r w:rsidR="003504D9">
        <w:t>s</w:t>
      </w:r>
    </w:p>
    <w:p w14:paraId="4D035840" w14:textId="387BFBCD" w:rsidR="009F26A8" w:rsidRPr="00E93008" w:rsidRDefault="009F26A8" w:rsidP="001E49B5">
      <w:r w:rsidRPr="00E93008">
        <w:t xml:space="preserve">In the pivotal study, </w:t>
      </w:r>
      <w:r w:rsidR="00431346">
        <w:t>asthma</w:t>
      </w:r>
      <w:r w:rsidRPr="00E93008">
        <w:t xml:space="preserve"> was the commonest reported </w:t>
      </w:r>
      <w:r w:rsidR="001E49B5" w:rsidRPr="00E93008">
        <w:t>treatment emergent adverse event (</w:t>
      </w:r>
      <w:r w:rsidRPr="00E93008">
        <w:t>TEAE</w:t>
      </w:r>
      <w:r w:rsidR="001E49B5" w:rsidRPr="00E93008">
        <w:t>)</w:t>
      </w:r>
      <w:r w:rsidRPr="00E93008">
        <w:t>, followed by</w:t>
      </w:r>
      <w:r w:rsidR="005F6576">
        <w:t xml:space="preserve"> </w:t>
      </w:r>
      <w:r w:rsidR="005F6576" w:rsidRPr="005F6576">
        <w:t>nasopharyngitis</w:t>
      </w:r>
      <w:r w:rsidRPr="00E93008">
        <w:t>. The incidence rate for both t</w:t>
      </w:r>
      <w:r w:rsidR="005F4E6C" w:rsidRPr="00E93008">
        <w:t>hese events were highest in QVM</w:t>
      </w:r>
      <w:r w:rsidRPr="00E93008">
        <w:t xml:space="preserve">149 high dose group, compared to all other treatment groups. Incidence rate of dysphonia in </w:t>
      </w:r>
      <w:r w:rsidR="003504D9">
        <w:t xml:space="preserve">the </w:t>
      </w:r>
      <w:r w:rsidRPr="00E93008">
        <w:t>high dose QVM group was 4.</w:t>
      </w:r>
      <w:r w:rsidR="009B6D45">
        <w:t>2</w:t>
      </w:r>
      <w:r w:rsidRPr="00E93008">
        <w:t>, compared to 1.</w:t>
      </w:r>
      <w:r w:rsidR="009B6D45">
        <w:t>8</w:t>
      </w:r>
      <w:r w:rsidRPr="00E93008">
        <w:t xml:space="preserve"> in </w:t>
      </w:r>
      <w:r w:rsidR="003504D9">
        <w:t xml:space="preserve">the </w:t>
      </w:r>
      <w:r w:rsidRPr="00E93008">
        <w:t xml:space="preserve">high dose QMF group and </w:t>
      </w:r>
      <w:r w:rsidR="009B6D45">
        <w:t>2.1</w:t>
      </w:r>
      <w:r w:rsidRPr="00E93008">
        <w:t xml:space="preserve"> i</w:t>
      </w:r>
      <w:r w:rsidR="00F93F35" w:rsidRPr="00E93008">
        <w:t xml:space="preserve">n </w:t>
      </w:r>
      <w:proofErr w:type="spellStart"/>
      <w:r w:rsidR="00F93F35" w:rsidRPr="00E93008">
        <w:t>salmeterol</w:t>
      </w:r>
      <w:proofErr w:type="spellEnd"/>
      <w:r w:rsidR="00F93F35" w:rsidRPr="00E93008">
        <w:t>/fluticasone group.</w:t>
      </w:r>
    </w:p>
    <w:p w14:paraId="145D5CBB" w14:textId="7FC1D844" w:rsidR="009F26A8" w:rsidRPr="00E93008" w:rsidRDefault="003504D9" w:rsidP="001E49B5">
      <w:r>
        <w:t>The i</w:t>
      </w:r>
      <w:r w:rsidR="009F26A8" w:rsidRPr="00E93008">
        <w:t>ncidence rate of pneumonia was comparable across treatment groups.</w:t>
      </w:r>
    </w:p>
    <w:p w14:paraId="5CBB1E5D" w14:textId="3F353E55" w:rsidR="009F26A8" w:rsidRPr="00E93008" w:rsidRDefault="003504D9" w:rsidP="001E49B5">
      <w:r>
        <w:t>The i</w:t>
      </w:r>
      <w:r w:rsidR="009F26A8" w:rsidRPr="00E93008">
        <w:t xml:space="preserve">ncidence rate of cardiac disorders was </w:t>
      </w:r>
      <w:r w:rsidR="009B6D45">
        <w:t>4.4</w:t>
      </w:r>
      <w:r w:rsidR="009F26A8" w:rsidRPr="00E93008">
        <w:t xml:space="preserve"> in high dose QVM group, compared to </w:t>
      </w:r>
      <w:r w:rsidR="009D70DA">
        <w:t>3.</w:t>
      </w:r>
      <w:r w:rsidR="009B6D45">
        <w:t>3</w:t>
      </w:r>
      <w:r w:rsidR="009F26A8" w:rsidRPr="00E93008">
        <w:t xml:space="preserve"> in high dose QMF group and </w:t>
      </w:r>
      <w:r w:rsidR="009B6D45">
        <w:t>3.4</w:t>
      </w:r>
      <w:r w:rsidR="009F26A8" w:rsidRPr="00E93008">
        <w:t xml:space="preserve"> in </w:t>
      </w:r>
      <w:proofErr w:type="spellStart"/>
      <w:r w:rsidR="009F26A8" w:rsidRPr="00E93008">
        <w:t>salmeterol</w:t>
      </w:r>
      <w:proofErr w:type="spellEnd"/>
      <w:r w:rsidR="009F26A8" w:rsidRPr="00E93008">
        <w:t>/fluticaso</w:t>
      </w:r>
      <w:r w:rsidR="00F93F35" w:rsidRPr="00E93008">
        <w:t>ne group.</w:t>
      </w:r>
    </w:p>
    <w:p w14:paraId="1188CAFA" w14:textId="2EB2F5A4" w:rsidR="009F26A8" w:rsidRPr="00E93008" w:rsidRDefault="009F26A8" w:rsidP="001E49B5">
      <w:r w:rsidRPr="00E93008">
        <w:t>At 52 weeks, the high dose QVM group experienced higher cumulative inc</w:t>
      </w:r>
      <w:r w:rsidR="00F93F35" w:rsidRPr="00E93008">
        <w:t xml:space="preserve">idence for tachycardia </w:t>
      </w:r>
      <w:r w:rsidR="009D70DA">
        <w:t>(</w:t>
      </w:r>
      <w:r w:rsidR="009B6D45">
        <w:t>1.34</w:t>
      </w:r>
      <w:r w:rsidR="009B6D45" w:rsidRPr="00E93008">
        <w:t xml:space="preserve"> </w:t>
      </w:r>
      <w:r w:rsidR="00F93F35" w:rsidRPr="00E93008">
        <w:t>versus 0.5) and dysphonia (</w:t>
      </w:r>
      <w:r w:rsidR="009B6D45">
        <w:t>3.99</w:t>
      </w:r>
      <w:r w:rsidR="00F93F35" w:rsidRPr="00E93008">
        <w:t xml:space="preserve"> versus</w:t>
      </w:r>
      <w:r w:rsidRPr="00E93008">
        <w:t xml:space="preserve"> </w:t>
      </w:r>
      <w:r w:rsidR="009B6D45">
        <w:t>2.15</w:t>
      </w:r>
      <w:r w:rsidRPr="00E93008">
        <w:t>), com</w:t>
      </w:r>
      <w:r w:rsidR="00F93F35" w:rsidRPr="00E93008">
        <w:t>pared to medium dose QVM group.</w:t>
      </w:r>
    </w:p>
    <w:p w14:paraId="47DF8F98" w14:textId="77777777" w:rsidR="009F26A8" w:rsidRPr="00E93008" w:rsidRDefault="00F93F35" w:rsidP="001E49B5">
      <w:r w:rsidRPr="00E93008">
        <w:t>Seven</w:t>
      </w:r>
      <w:r w:rsidR="009F26A8" w:rsidRPr="00E93008">
        <w:t xml:space="preserve"> deaths were reported during study period. Two deaths were reported in the QVM149 high dose group: one patient died due to cardiac tamponade and aortic dissection; another patient died due to sudden cardiac death (reported as pulmonary embolism by the investigator). None of the deaths were determined as related to the study treatments.</w:t>
      </w:r>
    </w:p>
    <w:p w14:paraId="66948B97" w14:textId="77777777" w:rsidR="008E7846" w:rsidRPr="00E93008" w:rsidRDefault="00386150" w:rsidP="001E49B5">
      <w:pPr>
        <w:pStyle w:val="Heading3"/>
      </w:pPr>
      <w:bookmarkStart w:id="50" w:name="_Toc69998861"/>
      <w:r w:rsidRPr="00E93008">
        <w:t>Risk m</w:t>
      </w:r>
      <w:r w:rsidR="008E7846" w:rsidRPr="00E93008">
        <w:t xml:space="preserve">anagement </w:t>
      </w:r>
      <w:r w:rsidRPr="00E93008">
        <w:t>p</w:t>
      </w:r>
      <w:r w:rsidR="008E7846" w:rsidRPr="00E93008">
        <w:t>lan</w:t>
      </w:r>
      <w:bookmarkEnd w:id="44"/>
      <w:bookmarkEnd w:id="50"/>
    </w:p>
    <w:p w14:paraId="6BBC03BC" w14:textId="7A0A8D27" w:rsidR="00742EA6" w:rsidRPr="00E93008" w:rsidRDefault="00A50D87" w:rsidP="0078279A">
      <w:pPr>
        <w:pStyle w:val="ListBullet"/>
        <w:numPr>
          <w:ilvl w:val="0"/>
          <w:numId w:val="0"/>
        </w:numPr>
        <w:rPr>
          <w:kern w:val="16"/>
        </w:rPr>
      </w:pPr>
      <w:r w:rsidRPr="00E93008">
        <w:rPr>
          <w:rStyle w:val="BulletlistChar"/>
          <w:rFonts w:eastAsia="Cambria"/>
        </w:rPr>
        <w:t xml:space="preserve">The sponsor has </w:t>
      </w:r>
      <w:r w:rsidR="00742EA6" w:rsidRPr="00E93008">
        <w:t xml:space="preserve">submitted </w:t>
      </w:r>
      <w:r w:rsidRPr="00E93008">
        <w:t>EU-risk management plan (</w:t>
      </w:r>
      <w:r w:rsidR="00742EA6" w:rsidRPr="00E93008">
        <w:t>RMP</w:t>
      </w:r>
      <w:r w:rsidRPr="00E93008">
        <w:t>)</w:t>
      </w:r>
      <w:r w:rsidR="00742EA6" w:rsidRPr="00E93008">
        <w:t xml:space="preserve"> version 1.0 (date</w:t>
      </w:r>
      <w:r w:rsidR="005F4E6C" w:rsidRPr="00E93008">
        <w:t>d</w:t>
      </w:r>
      <w:r w:rsidR="00742EA6" w:rsidRPr="00E93008">
        <w:t xml:space="preserve"> 16 Apr</w:t>
      </w:r>
      <w:r w:rsidR="001E49B5" w:rsidRPr="00E93008">
        <w:t>il</w:t>
      </w:r>
      <w:r w:rsidR="00742EA6" w:rsidRPr="00E93008">
        <w:t xml:space="preserve"> 2019; </w:t>
      </w:r>
      <w:r w:rsidR="005A4FCF" w:rsidRPr="00E93008">
        <w:t>data lock point (</w:t>
      </w:r>
      <w:r w:rsidR="00742EA6" w:rsidRPr="00E93008">
        <w:t>DLP</w:t>
      </w:r>
      <w:r w:rsidR="005A4FCF" w:rsidRPr="00E93008">
        <w:t>)</w:t>
      </w:r>
      <w:r w:rsidR="00742EA6" w:rsidRPr="00E93008">
        <w:t xml:space="preserve"> 27 Oct</w:t>
      </w:r>
      <w:r w:rsidR="001E49B5" w:rsidRPr="00E93008">
        <w:t>ober</w:t>
      </w:r>
      <w:r w:rsidR="00742EA6" w:rsidRPr="00E93008">
        <w:t xml:space="preserve"> 2018) and </w:t>
      </w:r>
      <w:r w:rsidR="005A4FCF" w:rsidRPr="00E93008">
        <w:t>Australia specific annex (</w:t>
      </w:r>
      <w:r w:rsidR="00742EA6" w:rsidRPr="00E93008">
        <w:t>ASA</w:t>
      </w:r>
      <w:r w:rsidR="005A4FCF" w:rsidRPr="00E93008">
        <w:t>)</w:t>
      </w:r>
      <w:r w:rsidR="0061342D" w:rsidRPr="00E93008">
        <w:t>;</w:t>
      </w:r>
      <w:r w:rsidR="00742EA6" w:rsidRPr="00E93008">
        <w:t xml:space="preserve"> version 1.0 (date</w:t>
      </w:r>
      <w:r w:rsidR="005F4E6C" w:rsidRPr="00E93008">
        <w:t>d</w:t>
      </w:r>
      <w:r w:rsidR="00742EA6" w:rsidRPr="00E93008">
        <w:t xml:space="preserve"> 17 June 2019) i</w:t>
      </w:r>
      <w:r w:rsidR="001E49B5" w:rsidRPr="00E93008">
        <w:t>n support of this application.</w:t>
      </w:r>
    </w:p>
    <w:p w14:paraId="26E82202" w14:textId="6ABD5ED8" w:rsidR="00742EA6" w:rsidRPr="00E93008" w:rsidRDefault="001248AB" w:rsidP="00580BCB">
      <w:r w:rsidRPr="00E93008">
        <w:t>In a TGA request for information</w:t>
      </w:r>
      <w:r w:rsidR="00742EA6" w:rsidRPr="00E93008">
        <w:t>, the sponsor submitted EU-RMP version 1.2 (dated 18</w:t>
      </w:r>
      <w:r w:rsidR="003504D9">
        <w:t> </w:t>
      </w:r>
      <w:r w:rsidR="00742EA6" w:rsidRPr="00E93008">
        <w:t>February 2020; DLP 14 June 2019) and no updated ASA.</w:t>
      </w:r>
    </w:p>
    <w:p w14:paraId="326D70FB" w14:textId="2A0FD5CB" w:rsidR="00742EA6" w:rsidRPr="00E93008" w:rsidRDefault="001E49B5" w:rsidP="00580BCB">
      <w:r w:rsidRPr="00E93008">
        <w:t xml:space="preserve">In response to </w:t>
      </w:r>
      <w:r w:rsidR="003504D9">
        <w:t>the second round</w:t>
      </w:r>
      <w:r w:rsidR="00742EA6" w:rsidRPr="00E93008">
        <w:t xml:space="preserve"> RMP evaluation report</w:t>
      </w:r>
      <w:r w:rsidR="00C67A87" w:rsidRPr="00E93008">
        <w:t>, as part of the Delegate’s o</w:t>
      </w:r>
      <w:r w:rsidR="00742EA6" w:rsidRPr="00E93008">
        <w:t>verview, the sponsor has provided EU-RMP version 1.3 (dated 21 April 2020; DLP 14</w:t>
      </w:r>
      <w:r w:rsidR="003504D9">
        <w:t> </w:t>
      </w:r>
      <w:r w:rsidR="00742EA6" w:rsidRPr="00E93008">
        <w:t>June 2019) and ASA version 1.1 (dated 17 July 2020).</w:t>
      </w:r>
    </w:p>
    <w:p w14:paraId="2B942740" w14:textId="5CEB49EA" w:rsidR="00742EA6" w:rsidRPr="00E93008" w:rsidRDefault="00742EA6" w:rsidP="0078279A">
      <w:pPr>
        <w:pStyle w:val="ListBullet"/>
        <w:numPr>
          <w:ilvl w:val="0"/>
          <w:numId w:val="0"/>
        </w:numPr>
      </w:pPr>
      <w:r w:rsidRPr="00E93008">
        <w:t>The summary of safety concerns and their associated risk monitoring and mitigation strategies are summarised in</w:t>
      </w:r>
      <w:r w:rsidR="00C67A87" w:rsidRPr="00E93008">
        <w:t xml:space="preserve"> </w:t>
      </w:r>
      <w:r w:rsidR="00C67A87" w:rsidRPr="00E93008">
        <w:rPr>
          <w:color w:val="2B579A"/>
          <w:shd w:val="clear" w:color="auto" w:fill="E6E6E6"/>
        </w:rPr>
        <w:fldChar w:fldCharType="begin"/>
      </w:r>
      <w:r w:rsidR="00C67A87" w:rsidRPr="00E93008">
        <w:instrText xml:space="preserve"> REF _Ref60837770 \h </w:instrText>
      </w:r>
      <w:r w:rsidR="00E93008">
        <w:instrText xml:space="preserve"> \* MERGEFORMAT </w:instrText>
      </w:r>
      <w:r w:rsidR="00C67A87" w:rsidRPr="00E93008">
        <w:rPr>
          <w:color w:val="2B579A"/>
          <w:shd w:val="clear" w:color="auto" w:fill="E6E6E6"/>
        </w:rPr>
      </w:r>
      <w:r w:rsidR="00C67A87" w:rsidRPr="00E93008">
        <w:rPr>
          <w:color w:val="2B579A"/>
          <w:shd w:val="clear" w:color="auto" w:fill="E6E6E6"/>
        </w:rPr>
        <w:fldChar w:fldCharType="separate"/>
      </w:r>
      <w:r w:rsidR="003A5299" w:rsidRPr="00E93008">
        <w:t xml:space="preserve">Table </w:t>
      </w:r>
      <w:r w:rsidR="003A5299">
        <w:rPr>
          <w:noProof/>
        </w:rPr>
        <w:t>6</w:t>
      </w:r>
      <w:r w:rsidR="00C67A87" w:rsidRPr="00E93008">
        <w:rPr>
          <w:color w:val="2B579A"/>
          <w:shd w:val="clear" w:color="auto" w:fill="E6E6E6"/>
        </w:rPr>
        <w:fldChar w:fldCharType="end"/>
      </w:r>
      <w:r w:rsidRPr="00E93008">
        <w:t>.</w:t>
      </w:r>
      <w:r w:rsidRPr="00E93008">
        <w:rPr>
          <w:rStyle w:val="FootnoteReference"/>
        </w:rPr>
        <w:footnoteReference w:id="28"/>
      </w:r>
    </w:p>
    <w:p w14:paraId="6DB28276" w14:textId="02FAC534" w:rsidR="001E49B5" w:rsidRPr="00E93008" w:rsidRDefault="00C67A87" w:rsidP="006578FA">
      <w:pPr>
        <w:pStyle w:val="TableTitle"/>
      </w:pPr>
      <w:bookmarkStart w:id="51" w:name="_Ref60837770"/>
      <w:r w:rsidRPr="00E93008">
        <w:t xml:space="preserve">Table </w:t>
      </w:r>
      <w:r>
        <w:fldChar w:fldCharType="begin"/>
      </w:r>
      <w:r>
        <w:instrText>SEQ Table \* ARABIC</w:instrText>
      </w:r>
      <w:r>
        <w:fldChar w:fldCharType="separate"/>
      </w:r>
      <w:r w:rsidR="003A5299">
        <w:rPr>
          <w:noProof/>
        </w:rPr>
        <w:t>6</w:t>
      </w:r>
      <w:r>
        <w:fldChar w:fldCharType="end"/>
      </w:r>
      <w:bookmarkEnd w:id="51"/>
      <w:r w:rsidRPr="00E93008">
        <w:t>: Summary of safety concerns and their associated risk monitoring and mitigation strategies</w:t>
      </w:r>
    </w:p>
    <w:tbl>
      <w:tblPr>
        <w:tblStyle w:val="TableGrid"/>
        <w:tblW w:w="8354" w:type="dxa"/>
        <w:jc w:val="center"/>
        <w:tblLayout w:type="fixed"/>
        <w:tblCellMar>
          <w:left w:w="85" w:type="dxa"/>
          <w:right w:w="85" w:type="dxa"/>
        </w:tblCellMar>
        <w:tblLook w:val="04A0" w:firstRow="1" w:lastRow="0" w:firstColumn="1" w:lastColumn="0" w:noHBand="0" w:noVBand="1"/>
      </w:tblPr>
      <w:tblGrid>
        <w:gridCol w:w="1843"/>
        <w:gridCol w:w="2116"/>
        <w:gridCol w:w="1134"/>
        <w:gridCol w:w="1134"/>
        <w:gridCol w:w="998"/>
        <w:gridCol w:w="1129"/>
      </w:tblGrid>
      <w:tr w:rsidR="00795C87" w:rsidRPr="00E93008" w14:paraId="67762626" w14:textId="77777777" w:rsidTr="79197B06">
        <w:trPr>
          <w:trHeight w:val="131"/>
          <w:jc w:val="center"/>
        </w:trPr>
        <w:tc>
          <w:tcPr>
            <w:tcW w:w="3959" w:type="dxa"/>
            <w:gridSpan w:val="2"/>
            <w:vMerge w:val="restart"/>
            <w:shd w:val="clear" w:color="auto" w:fill="006DA7" w:themeFill="accent3"/>
          </w:tcPr>
          <w:p w14:paraId="7443DC41" w14:textId="77777777" w:rsidR="00742EA6" w:rsidRPr="00E93008" w:rsidRDefault="00742EA6" w:rsidP="006D71C9">
            <w:pPr>
              <w:pStyle w:val="Tabletext"/>
              <w:keepNext/>
              <w:rPr>
                <w:rFonts w:asciiTheme="minorHAnsi" w:hAnsiTheme="minorHAnsi"/>
                <w:b/>
                <w:color w:val="FFFFFF" w:themeColor="background1"/>
                <w:szCs w:val="19"/>
              </w:rPr>
            </w:pPr>
            <w:r w:rsidRPr="00E93008">
              <w:rPr>
                <w:rFonts w:asciiTheme="minorHAnsi" w:hAnsiTheme="minorHAnsi"/>
                <w:b/>
                <w:color w:val="FFFFFF" w:themeColor="background1"/>
                <w:szCs w:val="19"/>
              </w:rPr>
              <w:t>Summary of safety concerns</w:t>
            </w:r>
          </w:p>
        </w:tc>
        <w:tc>
          <w:tcPr>
            <w:tcW w:w="2268" w:type="dxa"/>
            <w:gridSpan w:val="2"/>
            <w:shd w:val="clear" w:color="auto" w:fill="006DA7" w:themeFill="accent3"/>
          </w:tcPr>
          <w:p w14:paraId="6A659F53" w14:textId="77777777" w:rsidR="00742EA6" w:rsidRPr="00E93008" w:rsidRDefault="00742EA6" w:rsidP="006D71C9">
            <w:pPr>
              <w:pStyle w:val="Tabletext"/>
              <w:keepNext/>
              <w:rPr>
                <w:rFonts w:asciiTheme="minorHAnsi" w:hAnsiTheme="minorHAnsi"/>
                <w:b/>
                <w:color w:val="FFFFFF" w:themeColor="background1"/>
                <w:szCs w:val="19"/>
              </w:rPr>
            </w:pPr>
            <w:r w:rsidRPr="00E93008">
              <w:rPr>
                <w:rFonts w:asciiTheme="minorHAnsi" w:hAnsiTheme="minorHAnsi"/>
                <w:b/>
                <w:color w:val="FFFFFF" w:themeColor="background1"/>
                <w:szCs w:val="19"/>
              </w:rPr>
              <w:t>Pharmacovigilance</w:t>
            </w:r>
          </w:p>
        </w:tc>
        <w:tc>
          <w:tcPr>
            <w:tcW w:w="2127" w:type="dxa"/>
            <w:gridSpan w:val="2"/>
            <w:shd w:val="clear" w:color="auto" w:fill="006DA7" w:themeFill="accent3"/>
          </w:tcPr>
          <w:p w14:paraId="579E1AC7" w14:textId="77777777" w:rsidR="00742EA6" w:rsidRPr="00E93008" w:rsidRDefault="00742EA6" w:rsidP="006D71C9">
            <w:pPr>
              <w:pStyle w:val="Tabletext"/>
              <w:keepNext/>
              <w:rPr>
                <w:rFonts w:asciiTheme="minorHAnsi" w:hAnsiTheme="minorHAnsi"/>
                <w:b/>
                <w:color w:val="FFFFFF" w:themeColor="background1"/>
                <w:szCs w:val="19"/>
              </w:rPr>
            </w:pPr>
            <w:r w:rsidRPr="00E93008">
              <w:rPr>
                <w:rFonts w:asciiTheme="minorHAnsi" w:hAnsiTheme="minorHAnsi"/>
                <w:b/>
                <w:color w:val="FFFFFF" w:themeColor="background1"/>
                <w:szCs w:val="19"/>
              </w:rPr>
              <w:t>Risk Minimisation</w:t>
            </w:r>
          </w:p>
        </w:tc>
      </w:tr>
      <w:tr w:rsidR="00795C87" w:rsidRPr="00E93008" w14:paraId="73A34242" w14:textId="77777777" w:rsidTr="79197B06">
        <w:trPr>
          <w:trHeight w:val="150"/>
          <w:jc w:val="center"/>
        </w:trPr>
        <w:tc>
          <w:tcPr>
            <w:tcW w:w="3959" w:type="dxa"/>
            <w:gridSpan w:val="2"/>
            <w:vMerge/>
          </w:tcPr>
          <w:p w14:paraId="3AA26230" w14:textId="77777777" w:rsidR="00742EA6" w:rsidRPr="00E93008" w:rsidRDefault="00742EA6" w:rsidP="006D71C9">
            <w:pPr>
              <w:pStyle w:val="Tabletext"/>
              <w:keepNext/>
              <w:rPr>
                <w:rFonts w:asciiTheme="minorHAnsi" w:hAnsiTheme="minorHAnsi"/>
                <w:b/>
                <w:color w:val="FFFFFF" w:themeColor="background1"/>
                <w:szCs w:val="19"/>
              </w:rPr>
            </w:pPr>
          </w:p>
        </w:tc>
        <w:tc>
          <w:tcPr>
            <w:tcW w:w="1134" w:type="dxa"/>
            <w:shd w:val="clear" w:color="auto" w:fill="006DA7" w:themeFill="accent3"/>
          </w:tcPr>
          <w:p w14:paraId="029D91E0" w14:textId="77777777" w:rsidR="00742EA6" w:rsidRPr="00E93008" w:rsidRDefault="00742EA6" w:rsidP="006D71C9">
            <w:pPr>
              <w:pStyle w:val="Tabletext"/>
              <w:keepNext/>
              <w:rPr>
                <w:rFonts w:asciiTheme="minorHAnsi" w:hAnsiTheme="minorHAnsi"/>
                <w:b/>
                <w:color w:val="FFFFFF" w:themeColor="background1"/>
                <w:szCs w:val="19"/>
              </w:rPr>
            </w:pPr>
            <w:r w:rsidRPr="00E93008">
              <w:rPr>
                <w:rFonts w:asciiTheme="minorHAnsi" w:hAnsiTheme="minorHAnsi"/>
                <w:b/>
                <w:color w:val="FFFFFF" w:themeColor="background1"/>
                <w:szCs w:val="19"/>
              </w:rPr>
              <w:t>Routine</w:t>
            </w:r>
          </w:p>
        </w:tc>
        <w:tc>
          <w:tcPr>
            <w:tcW w:w="1134" w:type="dxa"/>
            <w:shd w:val="clear" w:color="auto" w:fill="006DA7" w:themeFill="accent3"/>
          </w:tcPr>
          <w:p w14:paraId="71F1E7F5" w14:textId="77777777" w:rsidR="00742EA6" w:rsidRPr="00E93008" w:rsidRDefault="00742EA6" w:rsidP="006D71C9">
            <w:pPr>
              <w:pStyle w:val="Tabletext"/>
              <w:keepNext/>
              <w:rPr>
                <w:rFonts w:asciiTheme="minorHAnsi" w:hAnsiTheme="minorHAnsi"/>
                <w:b/>
                <w:color w:val="FFFFFF" w:themeColor="background1"/>
                <w:szCs w:val="19"/>
              </w:rPr>
            </w:pPr>
            <w:r w:rsidRPr="00E93008">
              <w:rPr>
                <w:rFonts w:asciiTheme="minorHAnsi" w:hAnsiTheme="minorHAnsi"/>
                <w:b/>
                <w:color w:val="FFFFFF" w:themeColor="background1"/>
                <w:szCs w:val="19"/>
              </w:rPr>
              <w:t>Additional</w:t>
            </w:r>
          </w:p>
        </w:tc>
        <w:tc>
          <w:tcPr>
            <w:tcW w:w="998" w:type="dxa"/>
            <w:shd w:val="clear" w:color="auto" w:fill="006DA7" w:themeFill="accent3"/>
          </w:tcPr>
          <w:p w14:paraId="685C9AF0" w14:textId="77777777" w:rsidR="00742EA6" w:rsidRPr="00E93008" w:rsidRDefault="00742EA6" w:rsidP="006D71C9">
            <w:pPr>
              <w:pStyle w:val="Tabletext"/>
              <w:keepNext/>
              <w:rPr>
                <w:rFonts w:asciiTheme="minorHAnsi" w:hAnsiTheme="minorHAnsi"/>
                <w:b/>
                <w:color w:val="FFFFFF" w:themeColor="background1"/>
                <w:szCs w:val="19"/>
              </w:rPr>
            </w:pPr>
            <w:r w:rsidRPr="00E93008">
              <w:rPr>
                <w:rFonts w:asciiTheme="minorHAnsi" w:hAnsiTheme="minorHAnsi"/>
                <w:b/>
                <w:color w:val="FFFFFF" w:themeColor="background1"/>
                <w:szCs w:val="19"/>
              </w:rPr>
              <w:t>Routine</w:t>
            </w:r>
          </w:p>
        </w:tc>
        <w:tc>
          <w:tcPr>
            <w:tcW w:w="1129" w:type="dxa"/>
            <w:shd w:val="clear" w:color="auto" w:fill="006DA7" w:themeFill="accent3"/>
          </w:tcPr>
          <w:p w14:paraId="43B0E08C" w14:textId="77777777" w:rsidR="00742EA6" w:rsidRPr="00E93008" w:rsidRDefault="00742EA6" w:rsidP="006D71C9">
            <w:pPr>
              <w:pStyle w:val="Tabletext"/>
              <w:keepNext/>
              <w:rPr>
                <w:rFonts w:asciiTheme="minorHAnsi" w:hAnsiTheme="minorHAnsi"/>
                <w:b/>
                <w:color w:val="FFFFFF" w:themeColor="background1"/>
                <w:szCs w:val="19"/>
              </w:rPr>
            </w:pPr>
            <w:r w:rsidRPr="00E93008">
              <w:rPr>
                <w:rFonts w:asciiTheme="minorHAnsi" w:hAnsiTheme="minorHAnsi"/>
                <w:b/>
                <w:color w:val="FFFFFF" w:themeColor="background1"/>
                <w:szCs w:val="19"/>
              </w:rPr>
              <w:t>Additional</w:t>
            </w:r>
          </w:p>
        </w:tc>
      </w:tr>
      <w:tr w:rsidR="00742EA6" w:rsidRPr="00E93008" w14:paraId="12924315" w14:textId="77777777" w:rsidTr="79197B06">
        <w:trPr>
          <w:trHeight w:val="889"/>
          <w:jc w:val="center"/>
        </w:trPr>
        <w:tc>
          <w:tcPr>
            <w:tcW w:w="1843" w:type="dxa"/>
            <w:shd w:val="clear" w:color="auto" w:fill="auto"/>
          </w:tcPr>
          <w:p w14:paraId="5931D14A" w14:textId="77777777" w:rsidR="00742EA6" w:rsidRPr="00E93008" w:rsidRDefault="00742EA6" w:rsidP="006D71C9">
            <w:pPr>
              <w:pStyle w:val="Tabletext"/>
              <w:keepNext/>
              <w:rPr>
                <w:rFonts w:asciiTheme="minorHAnsi" w:hAnsiTheme="minorHAnsi"/>
                <w:b/>
                <w:szCs w:val="19"/>
              </w:rPr>
            </w:pPr>
            <w:r w:rsidRPr="00E93008">
              <w:rPr>
                <w:rFonts w:asciiTheme="minorHAnsi" w:hAnsiTheme="minorHAnsi"/>
                <w:b/>
                <w:szCs w:val="19"/>
              </w:rPr>
              <w:t>Important identified risks</w:t>
            </w:r>
          </w:p>
        </w:tc>
        <w:tc>
          <w:tcPr>
            <w:tcW w:w="2116" w:type="dxa"/>
            <w:shd w:val="clear" w:color="auto" w:fill="auto"/>
          </w:tcPr>
          <w:p w14:paraId="6736F2B3" w14:textId="77777777" w:rsidR="00742EA6" w:rsidRPr="00E93008" w:rsidRDefault="00742EA6" w:rsidP="006D71C9">
            <w:pPr>
              <w:pStyle w:val="Tabletext"/>
              <w:keepNext/>
              <w:rPr>
                <w:rFonts w:asciiTheme="minorHAnsi" w:hAnsiTheme="minorHAnsi"/>
                <w:szCs w:val="19"/>
              </w:rPr>
            </w:pPr>
            <w:r w:rsidRPr="00E93008">
              <w:rPr>
                <w:rFonts w:asciiTheme="minorHAnsi" w:hAnsiTheme="minorHAnsi"/>
                <w:szCs w:val="19"/>
              </w:rPr>
              <w:t>None</w:t>
            </w:r>
          </w:p>
        </w:tc>
        <w:tc>
          <w:tcPr>
            <w:tcW w:w="1134" w:type="dxa"/>
            <w:shd w:val="clear" w:color="auto" w:fill="auto"/>
            <w:vAlign w:val="center"/>
          </w:tcPr>
          <w:p w14:paraId="4209AFAB" w14:textId="77777777" w:rsidR="00742EA6" w:rsidRPr="00E93008" w:rsidRDefault="00742EA6" w:rsidP="006D71C9">
            <w:pPr>
              <w:pStyle w:val="Tabletext"/>
              <w:keepNext/>
              <w:jc w:val="center"/>
              <w:rPr>
                <w:rFonts w:asciiTheme="minorHAnsi" w:hAnsiTheme="minorHAnsi"/>
                <w:szCs w:val="19"/>
              </w:rPr>
            </w:pPr>
            <w:r w:rsidRPr="00E93008">
              <w:rPr>
                <w:rFonts w:asciiTheme="minorHAnsi" w:hAnsiTheme="minorHAnsi"/>
                <w:szCs w:val="19"/>
              </w:rPr>
              <w:t>–</w:t>
            </w:r>
          </w:p>
        </w:tc>
        <w:tc>
          <w:tcPr>
            <w:tcW w:w="1134" w:type="dxa"/>
            <w:shd w:val="clear" w:color="auto" w:fill="auto"/>
            <w:vAlign w:val="center"/>
          </w:tcPr>
          <w:p w14:paraId="08A50984" w14:textId="77777777" w:rsidR="00742EA6" w:rsidRPr="00E93008" w:rsidRDefault="00742EA6" w:rsidP="006D71C9">
            <w:pPr>
              <w:pStyle w:val="Tabletext"/>
              <w:keepNext/>
              <w:jc w:val="center"/>
              <w:rPr>
                <w:rFonts w:asciiTheme="minorHAnsi" w:hAnsiTheme="minorHAnsi"/>
                <w:szCs w:val="19"/>
              </w:rPr>
            </w:pPr>
            <w:r w:rsidRPr="00E93008">
              <w:rPr>
                <w:rFonts w:asciiTheme="minorHAnsi" w:hAnsiTheme="minorHAnsi"/>
                <w:szCs w:val="19"/>
              </w:rPr>
              <w:t>–</w:t>
            </w:r>
          </w:p>
        </w:tc>
        <w:tc>
          <w:tcPr>
            <w:tcW w:w="998" w:type="dxa"/>
            <w:shd w:val="clear" w:color="auto" w:fill="auto"/>
            <w:vAlign w:val="center"/>
          </w:tcPr>
          <w:p w14:paraId="3E6AD0FD" w14:textId="77777777" w:rsidR="00742EA6" w:rsidRPr="00E93008" w:rsidRDefault="00742EA6" w:rsidP="006D71C9">
            <w:pPr>
              <w:pStyle w:val="Tabletext"/>
              <w:keepNext/>
              <w:jc w:val="center"/>
              <w:rPr>
                <w:rFonts w:asciiTheme="minorHAnsi" w:hAnsiTheme="minorHAnsi"/>
                <w:szCs w:val="19"/>
              </w:rPr>
            </w:pPr>
            <w:r w:rsidRPr="00E93008">
              <w:rPr>
                <w:rFonts w:asciiTheme="minorHAnsi" w:hAnsiTheme="minorHAnsi"/>
                <w:szCs w:val="19"/>
              </w:rPr>
              <w:t>–</w:t>
            </w:r>
          </w:p>
        </w:tc>
        <w:tc>
          <w:tcPr>
            <w:tcW w:w="1129" w:type="dxa"/>
            <w:shd w:val="clear" w:color="auto" w:fill="auto"/>
            <w:vAlign w:val="center"/>
          </w:tcPr>
          <w:p w14:paraId="22E0510E" w14:textId="77777777" w:rsidR="00742EA6" w:rsidRPr="00E93008" w:rsidRDefault="00742EA6" w:rsidP="006D71C9">
            <w:pPr>
              <w:pStyle w:val="Tabletext"/>
              <w:keepNext/>
              <w:jc w:val="center"/>
              <w:rPr>
                <w:rFonts w:asciiTheme="minorHAnsi" w:hAnsiTheme="minorHAnsi"/>
                <w:szCs w:val="19"/>
              </w:rPr>
            </w:pPr>
            <w:r w:rsidRPr="00E93008">
              <w:rPr>
                <w:rFonts w:asciiTheme="minorHAnsi" w:hAnsiTheme="minorHAnsi"/>
                <w:szCs w:val="19"/>
              </w:rPr>
              <w:t>–</w:t>
            </w:r>
          </w:p>
        </w:tc>
      </w:tr>
      <w:tr w:rsidR="00742EA6" w:rsidRPr="00E93008" w14:paraId="14791F75" w14:textId="77777777" w:rsidTr="79197B06">
        <w:trPr>
          <w:trHeight w:val="889"/>
          <w:jc w:val="center"/>
        </w:trPr>
        <w:tc>
          <w:tcPr>
            <w:tcW w:w="1843" w:type="dxa"/>
            <w:shd w:val="clear" w:color="auto" w:fill="auto"/>
          </w:tcPr>
          <w:p w14:paraId="10242A90" w14:textId="77777777" w:rsidR="00742EA6" w:rsidRPr="00E93008" w:rsidRDefault="00742EA6" w:rsidP="006D71C9">
            <w:pPr>
              <w:pStyle w:val="Tabletext"/>
              <w:keepNext/>
              <w:rPr>
                <w:rFonts w:asciiTheme="minorHAnsi" w:hAnsiTheme="minorHAnsi"/>
                <w:b/>
                <w:szCs w:val="19"/>
              </w:rPr>
            </w:pPr>
            <w:r w:rsidRPr="00E93008">
              <w:rPr>
                <w:rFonts w:asciiTheme="minorHAnsi" w:hAnsiTheme="minorHAnsi"/>
                <w:b/>
                <w:szCs w:val="19"/>
              </w:rPr>
              <w:t>Important potential risks</w:t>
            </w:r>
          </w:p>
        </w:tc>
        <w:tc>
          <w:tcPr>
            <w:tcW w:w="2116" w:type="dxa"/>
            <w:shd w:val="clear" w:color="auto" w:fill="auto"/>
          </w:tcPr>
          <w:p w14:paraId="5681970D" w14:textId="77777777" w:rsidR="00742EA6" w:rsidRPr="00E93008" w:rsidRDefault="00742EA6" w:rsidP="006D71C9">
            <w:pPr>
              <w:pStyle w:val="Tabletext"/>
              <w:keepNext/>
              <w:rPr>
                <w:rFonts w:asciiTheme="minorHAnsi" w:hAnsiTheme="minorHAnsi"/>
                <w:szCs w:val="19"/>
              </w:rPr>
            </w:pPr>
            <w:r w:rsidRPr="00E93008">
              <w:rPr>
                <w:rFonts w:asciiTheme="minorHAnsi" w:hAnsiTheme="minorHAnsi"/>
                <w:szCs w:val="19"/>
              </w:rPr>
              <w:t>Serious cardiovascular events</w:t>
            </w:r>
          </w:p>
        </w:tc>
        <w:tc>
          <w:tcPr>
            <w:tcW w:w="1134" w:type="dxa"/>
            <w:shd w:val="clear" w:color="auto" w:fill="auto"/>
            <w:vAlign w:val="center"/>
          </w:tcPr>
          <w:p w14:paraId="448CA52A" w14:textId="140AA721" w:rsidR="00742EA6" w:rsidRPr="00E93008" w:rsidRDefault="00B270D9" w:rsidP="79197B06">
            <w:pPr>
              <w:pStyle w:val="Tabletext"/>
              <w:keepNext/>
              <w:jc w:val="center"/>
              <w:rPr>
                <w:rFonts w:asciiTheme="minorHAnsi" w:hAnsiTheme="minorHAnsi"/>
                <w:vertAlign w:val="superscript"/>
              </w:rPr>
            </w:pPr>
            <w:r w:rsidRPr="00CD58F4">
              <w:sym w:font="Wingdings" w:char="F0FC"/>
            </w:r>
            <w:r w:rsidR="00742EA6" w:rsidRPr="79197B06">
              <w:rPr>
                <w:rFonts w:asciiTheme="minorHAnsi" w:hAnsiTheme="minorHAnsi"/>
                <w:vertAlign w:val="superscript"/>
              </w:rPr>
              <w:t>*†‡§</w:t>
            </w:r>
          </w:p>
        </w:tc>
        <w:tc>
          <w:tcPr>
            <w:tcW w:w="1134" w:type="dxa"/>
            <w:shd w:val="clear" w:color="auto" w:fill="auto"/>
            <w:vAlign w:val="center"/>
          </w:tcPr>
          <w:p w14:paraId="62A9151F" w14:textId="77777777" w:rsidR="00742EA6" w:rsidRPr="00E93008" w:rsidRDefault="00742EA6" w:rsidP="006D71C9">
            <w:pPr>
              <w:pStyle w:val="Tabletext"/>
              <w:keepNext/>
              <w:jc w:val="center"/>
              <w:rPr>
                <w:rFonts w:asciiTheme="minorHAnsi" w:hAnsiTheme="minorHAnsi"/>
                <w:szCs w:val="19"/>
              </w:rPr>
            </w:pPr>
            <w:r w:rsidRPr="00E93008">
              <w:rPr>
                <w:rFonts w:asciiTheme="minorHAnsi" w:hAnsiTheme="minorHAnsi"/>
                <w:szCs w:val="19"/>
              </w:rPr>
              <w:t>–</w:t>
            </w:r>
          </w:p>
        </w:tc>
        <w:tc>
          <w:tcPr>
            <w:tcW w:w="998" w:type="dxa"/>
            <w:shd w:val="clear" w:color="auto" w:fill="auto"/>
            <w:vAlign w:val="center"/>
          </w:tcPr>
          <w:p w14:paraId="0B9C3070" w14:textId="06AA09DF" w:rsidR="00742EA6" w:rsidRPr="00E93008" w:rsidRDefault="00B270D9" w:rsidP="00B270D9">
            <w:pPr>
              <w:pStyle w:val="Tabletext"/>
              <w:keepNext/>
              <w:jc w:val="center"/>
              <w:rPr>
                <w:rFonts w:asciiTheme="minorHAnsi" w:hAnsiTheme="minorHAnsi"/>
                <w:szCs w:val="19"/>
                <w:vertAlign w:val="superscript"/>
              </w:rPr>
            </w:pPr>
            <w:r w:rsidRPr="00CD58F4">
              <w:sym w:font="Wingdings" w:char="F0FC"/>
            </w:r>
            <w:r w:rsidR="00742EA6" w:rsidRPr="00E93008">
              <w:rPr>
                <w:rFonts w:asciiTheme="minorHAnsi" w:hAnsiTheme="minorHAnsi"/>
                <w:szCs w:val="19"/>
                <w:vertAlign w:val="superscript"/>
              </w:rPr>
              <w:t>ǁ</w:t>
            </w:r>
          </w:p>
        </w:tc>
        <w:tc>
          <w:tcPr>
            <w:tcW w:w="1129" w:type="dxa"/>
            <w:shd w:val="clear" w:color="auto" w:fill="auto"/>
            <w:vAlign w:val="center"/>
          </w:tcPr>
          <w:p w14:paraId="01FAFAEE" w14:textId="77777777" w:rsidR="00742EA6" w:rsidRPr="00E93008" w:rsidRDefault="00742EA6" w:rsidP="006D71C9">
            <w:pPr>
              <w:pStyle w:val="Tabletext"/>
              <w:keepNext/>
              <w:jc w:val="center"/>
              <w:rPr>
                <w:rFonts w:asciiTheme="minorHAnsi" w:hAnsiTheme="minorHAnsi"/>
                <w:szCs w:val="19"/>
              </w:rPr>
            </w:pPr>
            <w:r w:rsidRPr="00E93008">
              <w:rPr>
                <w:rFonts w:asciiTheme="minorHAnsi" w:hAnsiTheme="minorHAnsi"/>
                <w:szCs w:val="19"/>
              </w:rPr>
              <w:t>–</w:t>
            </w:r>
          </w:p>
        </w:tc>
      </w:tr>
      <w:tr w:rsidR="00742EA6" w:rsidRPr="00E93008" w14:paraId="26D5CD4A" w14:textId="77777777" w:rsidTr="79197B06">
        <w:trPr>
          <w:trHeight w:val="403"/>
          <w:jc w:val="center"/>
        </w:trPr>
        <w:tc>
          <w:tcPr>
            <w:tcW w:w="1843" w:type="dxa"/>
            <w:vMerge w:val="restart"/>
            <w:shd w:val="clear" w:color="auto" w:fill="auto"/>
          </w:tcPr>
          <w:p w14:paraId="05B87851" w14:textId="77777777" w:rsidR="00742EA6" w:rsidRPr="00E93008" w:rsidRDefault="00742EA6" w:rsidP="006D71C9">
            <w:pPr>
              <w:pStyle w:val="Tabletext"/>
              <w:keepNext/>
              <w:rPr>
                <w:rFonts w:asciiTheme="minorHAnsi" w:hAnsiTheme="minorHAnsi"/>
                <w:b/>
                <w:szCs w:val="19"/>
              </w:rPr>
            </w:pPr>
            <w:r w:rsidRPr="00E93008">
              <w:rPr>
                <w:rFonts w:asciiTheme="minorHAnsi" w:hAnsiTheme="minorHAnsi"/>
                <w:b/>
                <w:szCs w:val="19"/>
              </w:rPr>
              <w:t>Missing information</w:t>
            </w:r>
          </w:p>
        </w:tc>
        <w:tc>
          <w:tcPr>
            <w:tcW w:w="2116" w:type="dxa"/>
            <w:shd w:val="clear" w:color="auto" w:fill="auto"/>
          </w:tcPr>
          <w:p w14:paraId="10EC775F" w14:textId="77777777" w:rsidR="00742EA6" w:rsidRPr="00E93008" w:rsidRDefault="00742EA6" w:rsidP="006D71C9">
            <w:pPr>
              <w:pStyle w:val="Tabletext"/>
              <w:keepNext/>
              <w:rPr>
                <w:rFonts w:asciiTheme="minorHAnsi" w:hAnsiTheme="minorHAnsi"/>
                <w:szCs w:val="19"/>
              </w:rPr>
            </w:pPr>
            <w:r w:rsidRPr="00E93008">
              <w:rPr>
                <w:rFonts w:asciiTheme="minorHAnsi" w:hAnsiTheme="minorHAnsi"/>
                <w:szCs w:val="19"/>
              </w:rPr>
              <w:t>Asthma pat</w:t>
            </w:r>
            <w:r w:rsidR="00795C87" w:rsidRPr="00E93008">
              <w:rPr>
                <w:rFonts w:asciiTheme="minorHAnsi" w:hAnsiTheme="minorHAnsi"/>
                <w:szCs w:val="19"/>
              </w:rPr>
              <w:t>ients &lt; 18 years and &gt; 75 years</w:t>
            </w:r>
            <w:r w:rsidR="004303E2" w:rsidRPr="00E93008">
              <w:rPr>
                <w:rFonts w:asciiTheme="minorHAnsi" w:hAnsiTheme="minorHAnsi"/>
                <w:szCs w:val="19"/>
                <w:vertAlign w:val="superscript"/>
              </w:rPr>
              <w:t>˄</w:t>
            </w:r>
          </w:p>
        </w:tc>
        <w:tc>
          <w:tcPr>
            <w:tcW w:w="1134" w:type="dxa"/>
            <w:shd w:val="clear" w:color="auto" w:fill="auto"/>
            <w:vAlign w:val="center"/>
          </w:tcPr>
          <w:p w14:paraId="5AAC36FA" w14:textId="3A1A59B8" w:rsidR="00742EA6" w:rsidRPr="00E93008" w:rsidRDefault="00B270D9" w:rsidP="00B270D9">
            <w:pPr>
              <w:pStyle w:val="Tabletext"/>
              <w:keepNext/>
              <w:jc w:val="center"/>
              <w:rPr>
                <w:rFonts w:asciiTheme="minorHAnsi" w:hAnsiTheme="minorHAnsi"/>
                <w:szCs w:val="19"/>
              </w:rPr>
            </w:pPr>
            <w:r w:rsidRPr="00CD58F4">
              <w:sym w:font="Wingdings" w:char="F0FC"/>
            </w:r>
          </w:p>
        </w:tc>
        <w:tc>
          <w:tcPr>
            <w:tcW w:w="1134" w:type="dxa"/>
            <w:shd w:val="clear" w:color="auto" w:fill="auto"/>
            <w:vAlign w:val="center"/>
          </w:tcPr>
          <w:p w14:paraId="1BC5E8E4" w14:textId="77777777" w:rsidR="00742EA6" w:rsidRPr="00E93008" w:rsidRDefault="00742EA6" w:rsidP="006D71C9">
            <w:pPr>
              <w:pStyle w:val="Tabletext"/>
              <w:keepNext/>
              <w:jc w:val="center"/>
              <w:rPr>
                <w:rFonts w:asciiTheme="minorHAnsi" w:hAnsiTheme="minorHAnsi"/>
                <w:szCs w:val="19"/>
              </w:rPr>
            </w:pPr>
            <w:r w:rsidRPr="00E93008">
              <w:rPr>
                <w:rFonts w:asciiTheme="minorHAnsi" w:hAnsiTheme="minorHAnsi"/>
                <w:szCs w:val="19"/>
              </w:rPr>
              <w:t>–</w:t>
            </w:r>
          </w:p>
        </w:tc>
        <w:tc>
          <w:tcPr>
            <w:tcW w:w="998" w:type="dxa"/>
            <w:shd w:val="clear" w:color="auto" w:fill="auto"/>
            <w:vAlign w:val="center"/>
          </w:tcPr>
          <w:p w14:paraId="12844507" w14:textId="5DCDE582" w:rsidR="00742EA6" w:rsidRPr="00E93008" w:rsidRDefault="00B270D9" w:rsidP="00B270D9">
            <w:pPr>
              <w:pStyle w:val="Tabletext"/>
              <w:keepNext/>
              <w:jc w:val="center"/>
              <w:rPr>
                <w:rFonts w:asciiTheme="minorHAnsi" w:hAnsiTheme="minorHAnsi"/>
                <w:szCs w:val="19"/>
              </w:rPr>
            </w:pPr>
            <w:r w:rsidRPr="00CD58F4">
              <w:sym w:font="Wingdings" w:char="F0FC"/>
            </w:r>
          </w:p>
        </w:tc>
        <w:tc>
          <w:tcPr>
            <w:tcW w:w="1129" w:type="dxa"/>
            <w:shd w:val="clear" w:color="auto" w:fill="auto"/>
            <w:vAlign w:val="center"/>
          </w:tcPr>
          <w:p w14:paraId="7758DAFB" w14:textId="77777777" w:rsidR="00742EA6" w:rsidRPr="00E93008" w:rsidRDefault="00742EA6" w:rsidP="006D71C9">
            <w:pPr>
              <w:pStyle w:val="Tabletext"/>
              <w:keepNext/>
              <w:jc w:val="center"/>
              <w:rPr>
                <w:rFonts w:asciiTheme="minorHAnsi" w:hAnsiTheme="minorHAnsi"/>
                <w:szCs w:val="19"/>
              </w:rPr>
            </w:pPr>
            <w:r w:rsidRPr="00E93008">
              <w:rPr>
                <w:rFonts w:asciiTheme="minorHAnsi" w:hAnsiTheme="minorHAnsi"/>
                <w:szCs w:val="19"/>
              </w:rPr>
              <w:t>–</w:t>
            </w:r>
          </w:p>
        </w:tc>
      </w:tr>
      <w:tr w:rsidR="00742EA6" w:rsidRPr="00E93008" w14:paraId="63994292" w14:textId="77777777" w:rsidTr="79197B06">
        <w:trPr>
          <w:trHeight w:val="445"/>
          <w:jc w:val="center"/>
        </w:trPr>
        <w:tc>
          <w:tcPr>
            <w:tcW w:w="1843" w:type="dxa"/>
            <w:vMerge/>
          </w:tcPr>
          <w:p w14:paraId="73315E54" w14:textId="77777777" w:rsidR="00742EA6" w:rsidRPr="00E93008" w:rsidRDefault="00742EA6" w:rsidP="006D71C9">
            <w:pPr>
              <w:pStyle w:val="Tabletext"/>
              <w:keepNext/>
              <w:rPr>
                <w:rFonts w:asciiTheme="minorHAnsi" w:hAnsiTheme="minorHAnsi"/>
                <w:b/>
                <w:szCs w:val="19"/>
              </w:rPr>
            </w:pPr>
          </w:p>
        </w:tc>
        <w:tc>
          <w:tcPr>
            <w:tcW w:w="2116" w:type="dxa"/>
            <w:shd w:val="clear" w:color="auto" w:fill="auto"/>
          </w:tcPr>
          <w:p w14:paraId="47FCC389" w14:textId="77777777" w:rsidR="00742EA6" w:rsidRPr="00E93008" w:rsidRDefault="00742EA6" w:rsidP="006D71C9">
            <w:pPr>
              <w:pStyle w:val="Tabletext"/>
              <w:keepNext/>
              <w:rPr>
                <w:rFonts w:asciiTheme="minorHAnsi" w:hAnsiTheme="minorHAnsi"/>
                <w:szCs w:val="19"/>
              </w:rPr>
            </w:pPr>
            <w:r w:rsidRPr="00E93008">
              <w:rPr>
                <w:rFonts w:asciiTheme="minorHAnsi" w:hAnsiTheme="minorHAnsi"/>
                <w:szCs w:val="19"/>
              </w:rPr>
              <w:t>Use in pregnancy and lactation</w:t>
            </w:r>
            <w:r w:rsidR="004303E2" w:rsidRPr="00E93008">
              <w:rPr>
                <w:rFonts w:asciiTheme="minorHAnsi" w:hAnsiTheme="minorHAnsi"/>
                <w:szCs w:val="19"/>
                <w:vertAlign w:val="superscript"/>
              </w:rPr>
              <w:t>˄</w:t>
            </w:r>
          </w:p>
        </w:tc>
        <w:tc>
          <w:tcPr>
            <w:tcW w:w="1134" w:type="dxa"/>
            <w:shd w:val="clear" w:color="auto" w:fill="auto"/>
            <w:vAlign w:val="center"/>
          </w:tcPr>
          <w:p w14:paraId="46E644E6" w14:textId="0513F6C4" w:rsidR="00742EA6" w:rsidRPr="00E93008" w:rsidRDefault="00B270D9" w:rsidP="006D71C9">
            <w:pPr>
              <w:pStyle w:val="Tabletext"/>
              <w:keepNext/>
              <w:jc w:val="center"/>
              <w:rPr>
                <w:rFonts w:asciiTheme="minorHAnsi" w:hAnsiTheme="minorHAnsi"/>
                <w:szCs w:val="19"/>
              </w:rPr>
            </w:pPr>
            <w:r w:rsidRPr="00CD58F4">
              <w:sym w:font="Wingdings" w:char="F0FC"/>
            </w:r>
          </w:p>
        </w:tc>
        <w:tc>
          <w:tcPr>
            <w:tcW w:w="1134" w:type="dxa"/>
            <w:shd w:val="clear" w:color="auto" w:fill="auto"/>
            <w:vAlign w:val="center"/>
          </w:tcPr>
          <w:p w14:paraId="0AEDF523" w14:textId="77777777" w:rsidR="00742EA6" w:rsidRPr="00E93008" w:rsidRDefault="00742EA6" w:rsidP="006D71C9">
            <w:pPr>
              <w:pStyle w:val="Tabletext"/>
              <w:keepNext/>
              <w:jc w:val="center"/>
              <w:rPr>
                <w:rFonts w:asciiTheme="minorHAnsi" w:hAnsiTheme="minorHAnsi"/>
                <w:szCs w:val="19"/>
              </w:rPr>
            </w:pPr>
            <w:r w:rsidRPr="00E93008">
              <w:rPr>
                <w:rFonts w:asciiTheme="minorHAnsi" w:hAnsiTheme="minorHAnsi"/>
                <w:szCs w:val="19"/>
              </w:rPr>
              <w:t>–</w:t>
            </w:r>
          </w:p>
        </w:tc>
        <w:tc>
          <w:tcPr>
            <w:tcW w:w="998" w:type="dxa"/>
            <w:shd w:val="clear" w:color="auto" w:fill="auto"/>
            <w:vAlign w:val="center"/>
          </w:tcPr>
          <w:p w14:paraId="65E2016D" w14:textId="07F66181" w:rsidR="00742EA6" w:rsidRPr="00E93008" w:rsidRDefault="00B270D9" w:rsidP="006D71C9">
            <w:pPr>
              <w:pStyle w:val="Tabletext"/>
              <w:keepNext/>
              <w:jc w:val="center"/>
              <w:rPr>
                <w:rFonts w:asciiTheme="minorHAnsi" w:hAnsiTheme="minorHAnsi"/>
                <w:szCs w:val="19"/>
              </w:rPr>
            </w:pPr>
            <w:r w:rsidRPr="00CD58F4">
              <w:sym w:font="Wingdings" w:char="F0FC"/>
            </w:r>
          </w:p>
        </w:tc>
        <w:tc>
          <w:tcPr>
            <w:tcW w:w="1129" w:type="dxa"/>
            <w:shd w:val="clear" w:color="auto" w:fill="auto"/>
            <w:vAlign w:val="center"/>
          </w:tcPr>
          <w:p w14:paraId="2A5D97E7" w14:textId="77777777" w:rsidR="00742EA6" w:rsidRPr="00E93008" w:rsidRDefault="00742EA6" w:rsidP="006D71C9">
            <w:pPr>
              <w:pStyle w:val="Tabletext"/>
              <w:keepNext/>
              <w:jc w:val="center"/>
              <w:rPr>
                <w:rFonts w:asciiTheme="minorHAnsi" w:hAnsiTheme="minorHAnsi"/>
                <w:szCs w:val="19"/>
              </w:rPr>
            </w:pPr>
            <w:r w:rsidRPr="00E93008">
              <w:rPr>
                <w:rFonts w:asciiTheme="minorHAnsi" w:hAnsiTheme="minorHAnsi"/>
                <w:szCs w:val="19"/>
              </w:rPr>
              <w:t>–</w:t>
            </w:r>
          </w:p>
        </w:tc>
      </w:tr>
    </w:tbl>
    <w:p w14:paraId="099BCA16" w14:textId="77777777" w:rsidR="00742EA6" w:rsidRPr="00E93008" w:rsidRDefault="00742EA6" w:rsidP="00014FAA">
      <w:pPr>
        <w:pStyle w:val="TableDescription"/>
      </w:pPr>
      <w:r w:rsidRPr="00E93008">
        <w:rPr>
          <w:vertAlign w:val="superscript"/>
        </w:rPr>
        <w:t>*</w:t>
      </w:r>
      <w:r w:rsidRPr="00E93008">
        <w:t xml:space="preserve">Follow-up checklist for </w:t>
      </w:r>
      <w:r w:rsidR="00014FAA" w:rsidRPr="00E93008">
        <w:t>ischemic heart disease/myocardial infarction</w:t>
      </w:r>
    </w:p>
    <w:p w14:paraId="38A468D0" w14:textId="77777777" w:rsidR="00742EA6" w:rsidRPr="00E93008" w:rsidRDefault="00742EA6" w:rsidP="00014FAA">
      <w:pPr>
        <w:pStyle w:val="TableDescription"/>
      </w:pPr>
      <w:r w:rsidRPr="00E93008">
        <w:rPr>
          <w:vertAlign w:val="superscript"/>
        </w:rPr>
        <w:t>†</w:t>
      </w:r>
      <w:r w:rsidRPr="00E93008">
        <w:t>Follow-up checklist for c</w:t>
      </w:r>
      <w:r w:rsidR="004303E2" w:rsidRPr="00E93008">
        <w:t>ardiac conduction abnormalities</w:t>
      </w:r>
    </w:p>
    <w:p w14:paraId="1655BD98" w14:textId="77777777" w:rsidR="00742EA6" w:rsidRPr="00E93008" w:rsidRDefault="00742EA6" w:rsidP="00014FAA">
      <w:pPr>
        <w:pStyle w:val="TableDescription"/>
      </w:pPr>
      <w:r w:rsidRPr="00E93008">
        <w:rPr>
          <w:vertAlign w:val="superscript"/>
        </w:rPr>
        <w:t>‡</w:t>
      </w:r>
      <w:r w:rsidRPr="00E93008">
        <w:t>Follow-up checklist for acut</w:t>
      </w:r>
      <w:r w:rsidR="004303E2" w:rsidRPr="00E93008">
        <w:t>e and congestive heart failure</w:t>
      </w:r>
    </w:p>
    <w:p w14:paraId="72573560" w14:textId="77777777" w:rsidR="00742EA6" w:rsidRPr="00E93008" w:rsidRDefault="00742EA6" w:rsidP="00014FAA">
      <w:pPr>
        <w:pStyle w:val="TableDescription"/>
      </w:pPr>
      <w:r w:rsidRPr="00E93008">
        <w:rPr>
          <w:vertAlign w:val="superscript"/>
        </w:rPr>
        <w:t>§</w:t>
      </w:r>
      <w:r w:rsidR="004303E2" w:rsidRPr="00E93008">
        <w:t>Follow-up checklists for stroke</w:t>
      </w:r>
    </w:p>
    <w:p w14:paraId="16A796D1" w14:textId="77777777" w:rsidR="00742EA6" w:rsidRPr="00E93008" w:rsidRDefault="00742EA6" w:rsidP="00014FAA">
      <w:pPr>
        <w:pStyle w:val="TableDescription"/>
      </w:pPr>
      <w:proofErr w:type="spellStart"/>
      <w:r w:rsidRPr="00E93008">
        <w:rPr>
          <w:vertAlign w:val="superscript"/>
        </w:rPr>
        <w:t>ǁ</w:t>
      </w:r>
      <w:r w:rsidR="00014FAA" w:rsidRPr="00E93008">
        <w:t>Instruction</w:t>
      </w:r>
      <w:proofErr w:type="spellEnd"/>
      <w:r w:rsidR="00014FAA" w:rsidRPr="00E93008">
        <w:t xml:space="preserve"> for use (p</w:t>
      </w:r>
      <w:r w:rsidRPr="00E93008">
        <w:t>ackage insert)</w:t>
      </w:r>
    </w:p>
    <w:p w14:paraId="36519BFB" w14:textId="77777777" w:rsidR="00742EA6" w:rsidRPr="00E93008" w:rsidRDefault="004303E2" w:rsidP="00014FAA">
      <w:pPr>
        <w:pStyle w:val="TableDescription"/>
      </w:pPr>
      <w:r w:rsidRPr="00E93008">
        <w:t>˄</w:t>
      </w:r>
      <w:r w:rsidR="00742EA6" w:rsidRPr="00E93008">
        <w:t>Australian specific safety concerns</w:t>
      </w:r>
    </w:p>
    <w:p w14:paraId="73D9ADAB" w14:textId="3C2D5A3C" w:rsidR="00A73D3E" w:rsidRPr="00E93008" w:rsidRDefault="00A73D3E" w:rsidP="006F6567">
      <w:r w:rsidRPr="00E93008">
        <w:t>The RMP evaluator has concluded that:</w:t>
      </w:r>
    </w:p>
    <w:p w14:paraId="00E86FE3" w14:textId="77777777" w:rsidR="00742EA6" w:rsidRPr="00E93008" w:rsidRDefault="00742EA6" w:rsidP="00881310">
      <w:pPr>
        <w:pStyle w:val="ListBullet"/>
      </w:pPr>
      <w:r w:rsidRPr="00E93008">
        <w:t xml:space="preserve">The proposed summary of safety concerns was considered generally acceptable. The sponsor was asked to include asthma patients &lt; 18 years and &gt; 75 years as missing information and to align the summary of safety concerns with that for </w:t>
      </w:r>
      <w:proofErr w:type="spellStart"/>
      <w:r w:rsidRPr="00E93008">
        <w:t>Ultibro</w:t>
      </w:r>
      <w:proofErr w:type="spellEnd"/>
      <w:r w:rsidRPr="00E93008">
        <w:t xml:space="preserve"> Breezhaler. The sponsor has provided adequate justification for not including ‘asthma patients &lt; 18 years and &gt; 75 years’ as missing information from an RMP perspective. However, as this was originally a recommendation from the clinical evaluator, t</w:t>
      </w:r>
      <w:r w:rsidR="00881310" w:rsidRPr="00E93008">
        <w:t>his matter was referred to the D</w:t>
      </w:r>
      <w:r w:rsidRPr="00E93008">
        <w:t xml:space="preserve">elegate for consideration. The sponsor had also provided acceptable reasons for not aligning the summary of safety concerns with that of </w:t>
      </w:r>
      <w:proofErr w:type="spellStart"/>
      <w:r w:rsidRPr="00E93008">
        <w:t>Ultibro</w:t>
      </w:r>
      <w:proofErr w:type="spellEnd"/>
      <w:r w:rsidRPr="00E93008">
        <w:t xml:space="preserve"> Breezhaler except for the inclusion of ‘use in pregnancy and lactation’ as missing information.</w:t>
      </w:r>
      <w:r w:rsidR="00881310" w:rsidRPr="00E93008">
        <w:t xml:space="preserve"> This was also referred to the D</w:t>
      </w:r>
      <w:r w:rsidRPr="00E93008">
        <w:t>elegate for consideration. In response to the Delegate’s overview, the sponsor has now included ‘Asthma patients &lt; 18 years and &gt; 75 years’ and ‘Use in pregnancy and lactation’ as missing information in the summary of safety concerns. The summary of safety concerns is now considered acceptable.</w:t>
      </w:r>
    </w:p>
    <w:p w14:paraId="70190731" w14:textId="77777777" w:rsidR="00742EA6" w:rsidRPr="00E93008" w:rsidRDefault="00742EA6" w:rsidP="00881310">
      <w:pPr>
        <w:pStyle w:val="ListBullet"/>
      </w:pPr>
      <w:r w:rsidRPr="00E93008">
        <w:t>The sponsor has pr</w:t>
      </w:r>
      <w:r w:rsidR="00881310" w:rsidRPr="00E93008">
        <w:t>oposed four different targeted f</w:t>
      </w:r>
      <w:r w:rsidRPr="00E93008">
        <w:t>ollow-up checklists for ischemic heart disease/myocardial infarction, cardiac conduction abnormalities, acute and congestive heart failure, and stroke. This is considered acce</w:t>
      </w:r>
      <w:r w:rsidR="00ED2EE5" w:rsidRPr="00E93008">
        <w:t>ptable from an RMP perspective.</w:t>
      </w:r>
    </w:p>
    <w:p w14:paraId="0B35D7B2" w14:textId="3602AA7E" w:rsidR="00742EA6" w:rsidRPr="00E93008" w:rsidRDefault="00742EA6" w:rsidP="005A4FCF">
      <w:pPr>
        <w:pStyle w:val="ListBullet"/>
      </w:pPr>
      <w:r w:rsidRPr="00E93008">
        <w:t xml:space="preserve">The sponsor has proposed routine risk minimisation activities through the proposed PI, </w:t>
      </w:r>
      <w:r w:rsidR="005A4FCF" w:rsidRPr="00E93008">
        <w:t>Consumer Medicines Information (</w:t>
      </w:r>
      <w:r w:rsidRPr="00E93008">
        <w:t>CMI</w:t>
      </w:r>
      <w:r w:rsidR="005A4FCF" w:rsidRPr="00E93008">
        <w:t>)</w:t>
      </w:r>
      <w:r w:rsidR="00DE51AF" w:rsidRPr="00E93008">
        <w:t>;</w:t>
      </w:r>
      <w:r w:rsidRPr="00E93008">
        <w:t xml:space="preserve"> and Instructions for use (package insert) for the safety concern. This is satisfactory.</w:t>
      </w:r>
    </w:p>
    <w:p w14:paraId="2BA06E1B" w14:textId="77777777" w:rsidR="008E7846" w:rsidRPr="00E93008" w:rsidRDefault="00AA0ED0" w:rsidP="008E7846">
      <w:pPr>
        <w:pStyle w:val="Heading3"/>
      </w:pPr>
      <w:bookmarkStart w:id="52" w:name="_Toc247691531"/>
      <w:bookmarkStart w:id="53" w:name="_Toc314842515"/>
      <w:bookmarkStart w:id="54" w:name="_Toc196046505"/>
      <w:bookmarkStart w:id="55" w:name="_Toc196046949"/>
      <w:bookmarkStart w:id="56" w:name="_Toc69998862"/>
      <w:r w:rsidRPr="00E93008">
        <w:t>Risk-benefit a</w:t>
      </w:r>
      <w:r w:rsidR="008E7846" w:rsidRPr="00E93008">
        <w:t>nalysis</w:t>
      </w:r>
      <w:bookmarkEnd w:id="52"/>
      <w:bookmarkEnd w:id="53"/>
      <w:bookmarkEnd w:id="56"/>
    </w:p>
    <w:p w14:paraId="44ACBC41" w14:textId="77777777" w:rsidR="00D23139" w:rsidRPr="00E93008" w:rsidRDefault="007D53B6" w:rsidP="00D23139">
      <w:pPr>
        <w:pStyle w:val="Heading4"/>
      </w:pPr>
      <w:r w:rsidRPr="00E93008">
        <w:t>Delegate’s considerations</w:t>
      </w:r>
    </w:p>
    <w:p w14:paraId="31BED72A" w14:textId="31AAEEAB" w:rsidR="00267605" w:rsidRPr="00E93008" w:rsidRDefault="00267605" w:rsidP="00947307">
      <w:r w:rsidRPr="00E93008">
        <w:t xml:space="preserve">The evidence to support the proposed indication </w:t>
      </w:r>
      <w:r w:rsidR="000F6963" w:rsidRPr="00E93008">
        <w:t>was based on the findings of a single pivotal study</w:t>
      </w:r>
      <w:r w:rsidR="003504D9">
        <w:t xml:space="preserve">, Study </w:t>
      </w:r>
      <w:r w:rsidRPr="00E93008">
        <w:t>CQVM149-B2302. The study met its primary endpoint (FEV</w:t>
      </w:r>
      <w:r w:rsidRPr="0059000A">
        <w:rPr>
          <w:vertAlign w:val="subscript"/>
        </w:rPr>
        <w:t>1</w:t>
      </w:r>
      <w:r w:rsidRPr="00E93008">
        <w:t>), and did not achieve its key secondary endpoint (ACQ-7). Patients treated with both medium and high doses of QVM149 achieved statistically significant improvement in trough FEV</w:t>
      </w:r>
      <w:r w:rsidRPr="0059000A">
        <w:rPr>
          <w:vertAlign w:val="subscript"/>
        </w:rPr>
        <w:t>1</w:t>
      </w:r>
      <w:r w:rsidRPr="00E93008">
        <w:t>, compared to corresponding doses of QMF149. The magnitude of improvement in FEV</w:t>
      </w:r>
      <w:r w:rsidRPr="0059000A">
        <w:rPr>
          <w:vertAlign w:val="subscript"/>
        </w:rPr>
        <w:t>1</w:t>
      </w:r>
      <w:r w:rsidRPr="00E93008">
        <w:t xml:space="preserve"> was comparable across medium and high doses of QVM149</w:t>
      </w:r>
      <w:r w:rsidR="002F33FD" w:rsidRPr="00E93008">
        <w:t xml:space="preserve"> at W</w:t>
      </w:r>
      <w:r w:rsidRPr="00E93008">
        <w:t xml:space="preserve">eek 26 and 52. </w:t>
      </w:r>
      <w:r w:rsidR="00C62310" w:rsidRPr="00E93008">
        <w:t>The D</w:t>
      </w:r>
      <w:r w:rsidRPr="00E93008">
        <w:t>elegate has noted that FEV</w:t>
      </w:r>
      <w:r w:rsidRPr="0059000A">
        <w:rPr>
          <w:vertAlign w:val="subscript"/>
        </w:rPr>
        <w:t>1</w:t>
      </w:r>
      <w:r w:rsidRPr="00E93008">
        <w:t xml:space="preserve"> as the chosen primary endpoint is not in line with the relevant EMA guidelines which recommend rate of exacerbations as the preferred primary endpoint for controller medications.</w:t>
      </w:r>
      <w:r w:rsidR="000F6963" w:rsidRPr="00E93008">
        <w:rPr>
          <w:rStyle w:val="FootnoteReference"/>
        </w:rPr>
        <w:footnoteReference w:id="29"/>
      </w:r>
      <w:r w:rsidRPr="00E93008">
        <w:t xml:space="preserve"> There was no significant improvement in quality of life measures such as ACQ-7 (key secondary endpoint) and AQLQ for patients treated with both medium and high doses of QVM149, compared to their c</w:t>
      </w:r>
      <w:r w:rsidR="00947307" w:rsidRPr="00E93008">
        <w:t>orresponding doses of ICS/LABA.</w:t>
      </w:r>
    </w:p>
    <w:p w14:paraId="01514007" w14:textId="77777777" w:rsidR="00267605" w:rsidRPr="00E93008" w:rsidRDefault="00267605" w:rsidP="00947307">
      <w:r w:rsidRPr="00E93008">
        <w:t>Overall, a greater magnitude of reduction in the rate of exacerbations was reported with high dose QVM</w:t>
      </w:r>
      <w:r w:rsidR="00803433">
        <w:t>149</w:t>
      </w:r>
      <w:r w:rsidRPr="00E93008">
        <w:t xml:space="preserve"> than the medium dose QVM</w:t>
      </w:r>
      <w:r w:rsidR="00803433">
        <w:t>149</w:t>
      </w:r>
      <w:r w:rsidRPr="00E93008">
        <w:t>, when compared to corresponding doses of QMF</w:t>
      </w:r>
      <w:r w:rsidR="00803433">
        <w:t>149</w:t>
      </w:r>
      <w:r w:rsidRPr="00E93008">
        <w:t xml:space="preserve"> and </w:t>
      </w:r>
      <w:proofErr w:type="spellStart"/>
      <w:r w:rsidRPr="00E93008">
        <w:t>salmeterol</w:t>
      </w:r>
      <w:proofErr w:type="spellEnd"/>
      <w:r w:rsidRPr="00E93008">
        <w:t>/fluticasone. The clinical relevance of the magnitude of reduction in exacerbations with medium dose QVM149 (10% and 6% with all and severe exacerbations respectivel</w:t>
      </w:r>
      <w:r w:rsidR="00A02650" w:rsidRPr="00E93008">
        <w:t>y), compared to medium dose QMF</w:t>
      </w:r>
      <w:r w:rsidRPr="00E93008">
        <w:t xml:space="preserve">149 is unclear. Statistical significance was achieved only for the comparison of treatment difference in the reduction of exacerbations between the </w:t>
      </w:r>
      <w:r w:rsidR="00A02650" w:rsidRPr="00E93008">
        <w:t>high dose QVM</w:t>
      </w:r>
      <w:r w:rsidR="00145AFC">
        <w:t>149</w:t>
      </w:r>
      <w:r w:rsidR="00A02650" w:rsidRPr="00E93008">
        <w:t xml:space="preserve"> and high dose QMF</w:t>
      </w:r>
      <w:r w:rsidRPr="00E93008">
        <w:t>149 and not with the me</w:t>
      </w:r>
      <w:r w:rsidR="00C62310" w:rsidRPr="00E93008">
        <w:t>dium doses of QVM</w:t>
      </w:r>
      <w:r w:rsidR="00145AFC">
        <w:t>149</w:t>
      </w:r>
      <w:r w:rsidR="00C62310" w:rsidRPr="00E93008">
        <w:t xml:space="preserve"> and QMF</w:t>
      </w:r>
      <w:r w:rsidR="00145AFC">
        <w:t>149</w:t>
      </w:r>
      <w:r w:rsidR="00C62310" w:rsidRPr="00E93008">
        <w:t>. The D</w:t>
      </w:r>
      <w:r w:rsidRPr="00E93008">
        <w:t>elegate has considered that the study might not have bee</w:t>
      </w:r>
      <w:r w:rsidR="00004BB1" w:rsidRPr="00E93008">
        <w:t>n powered for such comparisons.</w:t>
      </w:r>
    </w:p>
    <w:p w14:paraId="2511F0E3" w14:textId="108C08B9" w:rsidR="00267605" w:rsidRPr="00E93008" w:rsidRDefault="00267605" w:rsidP="00947307">
      <w:r w:rsidRPr="00E93008">
        <w:t>Clinical manageme</w:t>
      </w:r>
      <w:r w:rsidR="00947307" w:rsidRPr="00E93008">
        <w:t>nt of asthma is a targeted step</w:t>
      </w:r>
      <w:r w:rsidRPr="00E93008">
        <w:t>wise approach.</w:t>
      </w:r>
      <w:r w:rsidR="00947307" w:rsidRPr="00E93008">
        <w:rPr>
          <w:rStyle w:val="FootnoteReference"/>
        </w:rPr>
        <w:footnoteReference w:id="30"/>
      </w:r>
      <w:r w:rsidRPr="00E93008">
        <w:t xml:space="preserve"> Medium dose ICS/LABA combination is the preferred controller for asthmatics with moderate disease severity (GINA </w:t>
      </w:r>
      <w:r w:rsidR="003504D9">
        <w:t>S</w:t>
      </w:r>
      <w:r w:rsidRPr="00E93008">
        <w:t>tep 4).</w:t>
      </w:r>
      <w:bookmarkStart w:id="57" w:name="_Ref62728103"/>
      <w:r w:rsidR="00FF2412">
        <w:rPr>
          <w:rStyle w:val="FootnoteReference"/>
        </w:rPr>
        <w:footnoteReference w:id="31"/>
      </w:r>
      <w:bookmarkEnd w:id="57"/>
      <w:r w:rsidRPr="00E93008">
        <w:t xml:space="preserve"> LAMA, as a preferred controller and as an add-on to high dose ICS/LABA become</w:t>
      </w:r>
      <w:r w:rsidR="004E1033" w:rsidRPr="00E93008">
        <w:t xml:space="preserve">s a therapeutic option at GINA </w:t>
      </w:r>
      <w:r w:rsidR="003504D9">
        <w:t>S</w:t>
      </w:r>
      <w:r w:rsidRPr="00E93008">
        <w:t>tep 5 for severe asthmatics.</w:t>
      </w:r>
      <w:r w:rsidR="00114F99" w:rsidRPr="00114F99">
        <w:rPr>
          <w:color w:val="2B579A"/>
          <w:shd w:val="clear" w:color="auto" w:fill="E6E6E6"/>
          <w:vertAlign w:val="superscript"/>
        </w:rPr>
        <w:fldChar w:fldCharType="begin"/>
      </w:r>
      <w:r w:rsidR="00114F99" w:rsidRPr="00114F99">
        <w:rPr>
          <w:vertAlign w:val="superscript"/>
        </w:rPr>
        <w:instrText xml:space="preserve"> NOTEREF _Ref62728103 \h </w:instrText>
      </w:r>
      <w:r w:rsidR="00114F99" w:rsidRPr="00114F99">
        <w:rPr>
          <w:color w:val="2B579A"/>
          <w:shd w:val="clear" w:color="auto" w:fill="E6E6E6"/>
          <w:vertAlign w:val="superscript"/>
        </w:rPr>
      </w:r>
      <w:r w:rsidR="00114F99" w:rsidRPr="00114F99">
        <w:rPr>
          <w:color w:val="2B579A"/>
          <w:shd w:val="clear" w:color="auto" w:fill="E6E6E6"/>
          <w:vertAlign w:val="superscript"/>
        </w:rPr>
        <w:fldChar w:fldCharType="separate"/>
      </w:r>
      <w:r w:rsidR="003A5299">
        <w:rPr>
          <w:vertAlign w:val="superscript"/>
        </w:rPr>
        <w:t>30</w:t>
      </w:r>
      <w:r w:rsidR="00114F99" w:rsidRPr="00114F99">
        <w:rPr>
          <w:color w:val="2B579A"/>
          <w:shd w:val="clear" w:color="auto" w:fill="E6E6E6"/>
          <w:vertAlign w:val="superscript"/>
        </w:rPr>
        <w:fldChar w:fldCharType="end"/>
      </w:r>
      <w:r w:rsidRPr="00E93008">
        <w:t xml:space="preserve"> Also, from a clinical perspective use of high dose </w:t>
      </w:r>
      <w:r w:rsidR="00004BB1" w:rsidRPr="00E93008">
        <w:t xml:space="preserve">ICS/LABA </w:t>
      </w:r>
      <w:r w:rsidR="003504D9">
        <w:t>plus</w:t>
      </w:r>
      <w:r w:rsidR="00004BB1" w:rsidRPr="00E93008">
        <w:t xml:space="preserve"> LAMA is targeted at ‘difficult to treat and severe asthma’</w:t>
      </w:r>
      <w:r w:rsidRPr="00E93008">
        <w:t xml:space="preserve"> patients.</w:t>
      </w:r>
      <w:r w:rsidR="00060563" w:rsidRPr="00E93008">
        <w:rPr>
          <w:color w:val="2B579A"/>
          <w:shd w:val="clear" w:color="auto" w:fill="E6E6E6"/>
          <w:vertAlign w:val="superscript"/>
        </w:rPr>
        <w:fldChar w:fldCharType="begin"/>
      </w:r>
      <w:r w:rsidR="00060563" w:rsidRPr="00E93008">
        <w:rPr>
          <w:vertAlign w:val="superscript"/>
        </w:rPr>
        <w:instrText xml:space="preserve"> NOTEREF _Ref61508221 \h  \* MERGEFORMAT </w:instrText>
      </w:r>
      <w:r w:rsidR="00060563" w:rsidRPr="00E93008">
        <w:rPr>
          <w:color w:val="2B579A"/>
          <w:shd w:val="clear" w:color="auto" w:fill="E6E6E6"/>
          <w:vertAlign w:val="superscript"/>
        </w:rPr>
      </w:r>
      <w:r w:rsidR="00060563" w:rsidRPr="00E93008">
        <w:rPr>
          <w:color w:val="2B579A"/>
          <w:shd w:val="clear" w:color="auto" w:fill="E6E6E6"/>
          <w:vertAlign w:val="superscript"/>
        </w:rPr>
        <w:fldChar w:fldCharType="separate"/>
      </w:r>
      <w:r w:rsidR="003A5299">
        <w:rPr>
          <w:vertAlign w:val="superscript"/>
        </w:rPr>
        <w:t>3</w:t>
      </w:r>
      <w:r w:rsidR="00060563" w:rsidRPr="00E93008">
        <w:rPr>
          <w:color w:val="2B579A"/>
          <w:shd w:val="clear" w:color="auto" w:fill="E6E6E6"/>
          <w:vertAlign w:val="superscript"/>
        </w:rPr>
        <w:fldChar w:fldCharType="end"/>
      </w:r>
      <w:r w:rsidRPr="00E93008">
        <w:t xml:space="preserve"> In the treatment paradigm of asthma, a LAMA (as a preferred controller) is considered as an add-on when there is inadequate asthma control for these patients after being treated with high dose ICS/LABA. If approved, the utility of high dose QVM149 will be for the treatment of these asthmatics with severe disease severity. The clinical utility of medium dose QVM149 in the treatment</w:t>
      </w:r>
      <w:r w:rsidR="00004BB1" w:rsidRPr="00E93008">
        <w:t xml:space="preserve"> paradigm of asthma is unclear.</w:t>
      </w:r>
    </w:p>
    <w:p w14:paraId="3C52EB9D" w14:textId="28F7846E" w:rsidR="00267605" w:rsidRPr="00E93008" w:rsidRDefault="00267605" w:rsidP="00947307">
      <w:proofErr w:type="spellStart"/>
      <w:r w:rsidRPr="00E93008">
        <w:t>Tiotropium</w:t>
      </w:r>
      <w:proofErr w:type="spellEnd"/>
      <w:r w:rsidRPr="00E93008">
        <w:t xml:space="preserve"> (</w:t>
      </w:r>
      <w:r w:rsidR="003504D9">
        <w:t xml:space="preserve">a </w:t>
      </w:r>
      <w:r w:rsidRPr="00E93008">
        <w:t>LAMA</w:t>
      </w:r>
      <w:r w:rsidR="003504D9">
        <w:t>,</w:t>
      </w:r>
      <w:r w:rsidRPr="00E93008">
        <w:t xml:space="preserve"> approved by TGA for treatment of asthma and COPD) is currently </w:t>
      </w:r>
      <w:r w:rsidR="005A4FCF" w:rsidRPr="00E93008">
        <w:t>Pharmaceutical Benefits Advisory Committee (</w:t>
      </w:r>
      <w:r w:rsidRPr="00E93008">
        <w:t>PBAC</w:t>
      </w:r>
      <w:r w:rsidR="005A4FCF" w:rsidRPr="00E93008">
        <w:t>)</w:t>
      </w:r>
      <w:r w:rsidRPr="00E93008">
        <w:t xml:space="preserve"> approved as an adjuvant therapy for the treatment of severe asthmatics, experiencing at least one exacerbation in the previous 12 months that required </w:t>
      </w:r>
      <w:r w:rsidR="00A4613E" w:rsidRPr="00E93008">
        <w:t xml:space="preserve">OCS </w:t>
      </w:r>
      <w:r w:rsidRPr="00E93008">
        <w:t>treatment, in spite of treatment with a combination of LABA and high dose ICS.</w:t>
      </w:r>
      <w:r w:rsidR="00004BB1" w:rsidRPr="00E93008">
        <w:rPr>
          <w:rStyle w:val="FootnoteReference"/>
        </w:rPr>
        <w:footnoteReference w:id="32"/>
      </w:r>
    </w:p>
    <w:p w14:paraId="5425BF63" w14:textId="77777777" w:rsidR="00267605" w:rsidRPr="00E93008" w:rsidRDefault="00267605" w:rsidP="00947307">
      <w:r w:rsidRPr="00E93008">
        <w:t xml:space="preserve">An increased incidence of dysphonia </w:t>
      </w:r>
      <w:r w:rsidR="00004BB1" w:rsidRPr="00E93008">
        <w:t xml:space="preserve">and cardiac events as treatment </w:t>
      </w:r>
      <w:r w:rsidRPr="00E93008">
        <w:t>related adverse events were noted for patients treated with high dose QVM</w:t>
      </w:r>
      <w:r w:rsidR="0057242E">
        <w:t>149</w:t>
      </w:r>
      <w:r w:rsidRPr="00E93008">
        <w:t>, compared to medium dose QVM</w:t>
      </w:r>
      <w:r w:rsidR="0057242E">
        <w:t>149</w:t>
      </w:r>
      <w:r w:rsidRPr="00E93008">
        <w:t xml:space="preserve">. The cardiac events are known class effects of LABAs. The dose of LABA was identical for both medium and high doses of QVM149. Overall, the safety signals were in line with the known safety profile of the already registered </w:t>
      </w:r>
      <w:proofErr w:type="spellStart"/>
      <w:r w:rsidRPr="00E93008">
        <w:t>monocomponents</w:t>
      </w:r>
      <w:proofErr w:type="spellEnd"/>
      <w:r w:rsidRPr="00E93008">
        <w:t xml:space="preserve"> of QVM</w:t>
      </w:r>
      <w:r w:rsidR="0057242E">
        <w:t>149</w:t>
      </w:r>
      <w:r w:rsidRPr="00E93008">
        <w:t>. Treatment-related cardiac events are described well in the PI.</w:t>
      </w:r>
    </w:p>
    <w:p w14:paraId="472C16ED" w14:textId="77777777" w:rsidR="00D23139" w:rsidRPr="00E93008" w:rsidRDefault="00D23139" w:rsidP="00D23139">
      <w:pPr>
        <w:pStyle w:val="Heading4"/>
      </w:pPr>
      <w:r w:rsidRPr="00E93008">
        <w:t>Proposed action</w:t>
      </w:r>
    </w:p>
    <w:p w14:paraId="01785366" w14:textId="77777777" w:rsidR="002F68A0" w:rsidRPr="00E93008" w:rsidRDefault="002F68A0" w:rsidP="00580B17">
      <w:r w:rsidRPr="00E93008">
        <w:t>Treatment with both medium and high doses of QVM</w:t>
      </w:r>
      <w:r w:rsidR="0057242E">
        <w:t>149</w:t>
      </w:r>
      <w:r w:rsidRPr="00E93008">
        <w:t xml:space="preserve"> resulted in an improvement in lung function and measures of asthma control, when compared to respective QMF</w:t>
      </w:r>
      <w:r w:rsidR="0057242E">
        <w:t>149</w:t>
      </w:r>
      <w:r w:rsidRPr="00E93008">
        <w:t xml:space="preserve"> doses. The magnitude of improvement in lung function was statistically significant. However, it was not associated with a significant improvement in the measures of quality of life. Patients treated with the high dose QVM</w:t>
      </w:r>
      <w:r w:rsidR="0057242E">
        <w:t>149</w:t>
      </w:r>
      <w:r w:rsidRPr="00E93008">
        <w:t xml:space="preserve"> achieved greater reduction in exacerbations than medium dose QVM</w:t>
      </w:r>
      <w:r w:rsidR="0057242E">
        <w:t>149</w:t>
      </w:r>
      <w:r w:rsidRPr="00E93008">
        <w:t xml:space="preserve"> (compared to t</w:t>
      </w:r>
      <w:r w:rsidR="00A02650" w:rsidRPr="00E93008">
        <w:t>heir corresponding doses of QMF</w:t>
      </w:r>
      <w:r w:rsidRPr="00E93008">
        <w:t>149), which is a key objective of optimal asthma management.</w:t>
      </w:r>
      <w:r w:rsidR="004B3C6B" w:rsidRPr="00E93008">
        <w:rPr>
          <w:rStyle w:val="FootnoteReference"/>
        </w:rPr>
        <w:footnoteReference w:id="33"/>
      </w:r>
      <w:r w:rsidR="00526DC1" w:rsidRPr="00E93008">
        <w:t xml:space="preserve"> The D</w:t>
      </w:r>
      <w:r w:rsidRPr="00E93008">
        <w:t>elegate considers that the magnitude of the treatment effect (reduction in exacer</w:t>
      </w:r>
      <w:r w:rsidR="00A02650" w:rsidRPr="00E93008">
        <w:t>bations) by the medium dose QVM</w:t>
      </w:r>
      <w:r w:rsidRPr="00E93008">
        <w:t>149 may not be sufficient to translate to clinical significance. The clinical utility of medium dose QVM149 in the treatment paradigm of asthma is unclear. The treatment-related adverse effects are known class effects of LABAs, LAMAs and ICS. Thes</w:t>
      </w:r>
      <w:r w:rsidR="00526DC1" w:rsidRPr="00E93008">
        <w:t>e are well described in the PI.</w:t>
      </w:r>
    </w:p>
    <w:p w14:paraId="0024269B" w14:textId="77777777" w:rsidR="002F68A0" w:rsidRPr="00E93008" w:rsidRDefault="00C62310" w:rsidP="00580B17">
      <w:r w:rsidRPr="00E93008">
        <w:t>The D</w:t>
      </w:r>
      <w:r w:rsidR="002F68A0" w:rsidRPr="00E93008">
        <w:t xml:space="preserve">elegate considers that the evidence based on the data included in this submission indicates a positive benefit-risk profile for the high dose QVM149 for the proposed indication. The submitted data does not provide evidence to support the proposed use </w:t>
      </w:r>
      <w:r w:rsidRPr="00E93008">
        <w:t>of the medium dose QVM149. The D</w:t>
      </w:r>
      <w:r w:rsidR="002F68A0" w:rsidRPr="00E93008">
        <w:t>elegate has recommended the following indication:</w:t>
      </w:r>
    </w:p>
    <w:p w14:paraId="05E9C4C8" w14:textId="77777777" w:rsidR="002F68A0" w:rsidRPr="00E93008" w:rsidRDefault="002F68A0" w:rsidP="00580B17">
      <w:pPr>
        <w:ind w:left="720"/>
        <w:rPr>
          <w:i/>
        </w:rPr>
      </w:pPr>
      <w:proofErr w:type="spellStart"/>
      <w:r w:rsidRPr="00E93008">
        <w:rPr>
          <w:i/>
        </w:rPr>
        <w:t>Enerzair</w:t>
      </w:r>
      <w:proofErr w:type="spellEnd"/>
      <w:r w:rsidRPr="00E93008">
        <w:rPr>
          <w:i/>
        </w:rPr>
        <w:t xml:space="preserve"> Breezhaler is indicated as a maintenance treatment of asthma in adult patients not adequately controlled with a maintenance combination of a long‑acting beta2‑agonist (LABA) and a high-dose of an inhaled corticosteroid (ICS), who experienced one or more asthma exacerbations in the previous year.</w:t>
      </w:r>
    </w:p>
    <w:p w14:paraId="742EDBAB" w14:textId="77777777" w:rsidR="002F68A0" w:rsidRPr="00E93008" w:rsidRDefault="002F68A0" w:rsidP="00580B17">
      <w:r w:rsidRPr="00E93008">
        <w:t xml:space="preserve">The further assessment of this submission will be </w:t>
      </w:r>
      <w:r w:rsidR="00C62310" w:rsidRPr="00E93008">
        <w:t>based on sponsor's response to D</w:t>
      </w:r>
      <w:r w:rsidRPr="00E93008">
        <w:t>elegate's PI recommendations and conditions of registration.</w:t>
      </w:r>
    </w:p>
    <w:p w14:paraId="44AE2D98" w14:textId="77777777" w:rsidR="0003480A" w:rsidRPr="00E93008" w:rsidRDefault="002F6C12" w:rsidP="00580B17">
      <w:pPr>
        <w:rPr>
          <w:bCs/>
        </w:rPr>
      </w:pPr>
      <w:r w:rsidRPr="00E93008">
        <w:rPr>
          <w:bCs/>
        </w:rPr>
        <w:t xml:space="preserve">The Delegate suggested </w:t>
      </w:r>
      <w:r w:rsidR="0003480A" w:rsidRPr="00E93008">
        <w:rPr>
          <w:bCs/>
        </w:rPr>
        <w:t xml:space="preserve">that the application for high dose </w:t>
      </w:r>
      <w:proofErr w:type="spellStart"/>
      <w:r w:rsidR="0003480A" w:rsidRPr="00E93008">
        <w:rPr>
          <w:bCs/>
        </w:rPr>
        <w:t>Enerzair</w:t>
      </w:r>
      <w:proofErr w:type="spellEnd"/>
      <w:r w:rsidR="0003480A" w:rsidRPr="00E93008">
        <w:rPr>
          <w:bCs/>
        </w:rPr>
        <w:t xml:space="preserve"> Breezhaler (</w:t>
      </w:r>
      <w:r w:rsidR="0003480A" w:rsidRPr="00E93008">
        <w:rPr>
          <w:rFonts w:asciiTheme="minorHAnsi" w:hAnsiTheme="minorHAnsi"/>
        </w:rPr>
        <w:t>150/50/16</w:t>
      </w:r>
      <w:r w:rsidRPr="00E93008">
        <w:rPr>
          <w:rFonts w:asciiTheme="minorHAnsi" w:hAnsiTheme="minorHAnsi"/>
        </w:rPr>
        <w:t>0 µ</w:t>
      </w:r>
      <w:r w:rsidR="0003480A" w:rsidRPr="00E93008">
        <w:rPr>
          <w:rFonts w:asciiTheme="minorHAnsi" w:hAnsiTheme="minorHAnsi"/>
        </w:rPr>
        <w:t>g</w:t>
      </w:r>
      <w:r w:rsidR="0003480A" w:rsidRPr="00E93008">
        <w:rPr>
          <w:bCs/>
        </w:rPr>
        <w:t xml:space="preserve">) should be approved for registration. </w:t>
      </w:r>
    </w:p>
    <w:p w14:paraId="691809F1" w14:textId="77777777" w:rsidR="0003480A" w:rsidRPr="00E93008" w:rsidRDefault="00C62310" w:rsidP="00580B17">
      <w:pPr>
        <w:rPr>
          <w:bCs/>
        </w:rPr>
      </w:pPr>
      <w:r w:rsidRPr="00E93008">
        <w:rPr>
          <w:bCs/>
        </w:rPr>
        <w:t>The D</w:t>
      </w:r>
      <w:r w:rsidR="0003480A" w:rsidRPr="00E93008">
        <w:rPr>
          <w:bCs/>
        </w:rPr>
        <w:t xml:space="preserve">elegate considers that the evidence based on the submitted data does not support the proposed use of the medium dose </w:t>
      </w:r>
      <w:proofErr w:type="spellStart"/>
      <w:r w:rsidR="002F6C12" w:rsidRPr="00E93008">
        <w:rPr>
          <w:bCs/>
        </w:rPr>
        <w:t>Enerzair</w:t>
      </w:r>
      <w:proofErr w:type="spellEnd"/>
      <w:r w:rsidR="002F6C12" w:rsidRPr="00E93008">
        <w:rPr>
          <w:bCs/>
        </w:rPr>
        <w:t xml:space="preserve"> Breezhaler (150/50/80 µ</w:t>
      </w:r>
      <w:r w:rsidR="0003480A" w:rsidRPr="00E93008">
        <w:rPr>
          <w:bCs/>
        </w:rPr>
        <w:t>g).</w:t>
      </w:r>
    </w:p>
    <w:p w14:paraId="5A4247B4" w14:textId="26DE1898" w:rsidR="007D53B6" w:rsidRPr="00E93008" w:rsidRDefault="007D53B6" w:rsidP="007D53B6">
      <w:pPr>
        <w:pStyle w:val="Heading4"/>
      </w:pPr>
      <w:r w:rsidRPr="00E93008">
        <w:t>Question for sponsor</w:t>
      </w:r>
    </w:p>
    <w:p w14:paraId="3BC5A679" w14:textId="7DCD9856" w:rsidR="0003480A" w:rsidRPr="0059000A" w:rsidRDefault="00C62310" w:rsidP="0059000A">
      <w:pPr>
        <w:rPr>
          <w:b/>
          <w:i/>
        </w:rPr>
      </w:pPr>
      <w:r w:rsidRPr="0059000A">
        <w:rPr>
          <w:b/>
          <w:i/>
        </w:rPr>
        <w:t>The D</w:t>
      </w:r>
      <w:r w:rsidR="0003480A" w:rsidRPr="0059000A">
        <w:rPr>
          <w:b/>
          <w:i/>
        </w:rPr>
        <w:t xml:space="preserve">elegate has noted that the </w:t>
      </w:r>
      <w:proofErr w:type="spellStart"/>
      <w:r w:rsidR="0003480A" w:rsidRPr="0059000A">
        <w:rPr>
          <w:b/>
          <w:i/>
        </w:rPr>
        <w:t>Enerzair</w:t>
      </w:r>
      <w:proofErr w:type="spellEnd"/>
      <w:r w:rsidR="0003480A" w:rsidRPr="0059000A">
        <w:rPr>
          <w:b/>
          <w:i/>
        </w:rPr>
        <w:t xml:space="preserve"> </w:t>
      </w:r>
      <w:proofErr w:type="spellStart"/>
      <w:r w:rsidR="00F63FFF" w:rsidRPr="0059000A">
        <w:rPr>
          <w:b/>
          <w:i/>
        </w:rPr>
        <w:t>B</w:t>
      </w:r>
      <w:r w:rsidR="0003480A" w:rsidRPr="0059000A">
        <w:rPr>
          <w:b/>
          <w:i/>
        </w:rPr>
        <w:t>reezhalers</w:t>
      </w:r>
      <w:proofErr w:type="spellEnd"/>
      <w:r w:rsidR="0003480A" w:rsidRPr="0059000A">
        <w:rPr>
          <w:b/>
          <w:i/>
        </w:rPr>
        <w:t xml:space="preserve"> that were approved in EU and Japan were equipped with a sensor. Please clarify whether the sponsor is planning to market a similar inhaler in Australia.</w:t>
      </w:r>
    </w:p>
    <w:p w14:paraId="289040E2" w14:textId="41753787" w:rsidR="0003480A" w:rsidRPr="00E93008" w:rsidRDefault="0003480A" w:rsidP="00445994">
      <w:r w:rsidRPr="00E93008">
        <w:t xml:space="preserve">The Delegate rightfully pointed out that </w:t>
      </w:r>
      <w:proofErr w:type="spellStart"/>
      <w:r w:rsidRPr="00E93008">
        <w:t>Enerzair</w:t>
      </w:r>
      <w:proofErr w:type="spellEnd"/>
      <w:r w:rsidRPr="00E93008">
        <w:t xml:space="preserve"> Breezhaler high dose and </w:t>
      </w:r>
      <w:proofErr w:type="spellStart"/>
      <w:r w:rsidRPr="00E93008">
        <w:t>Enerzair</w:t>
      </w:r>
      <w:proofErr w:type="spellEnd"/>
      <w:r w:rsidRPr="00E93008">
        <w:t xml:space="preserve"> Breezhaler medium and high dose have respectively been approved in Europe and Japan together with a sensor. </w:t>
      </w:r>
      <w:r w:rsidR="00380055">
        <w:t>The sponsor</w:t>
      </w:r>
      <w:r w:rsidRPr="00E93008">
        <w:t xml:space="preserve"> would like to clarify that there currently is no intention to register nor market such a device in Australia.</w:t>
      </w:r>
    </w:p>
    <w:p w14:paraId="2E43DCDF" w14:textId="67CF6872" w:rsidR="008E7846" w:rsidRPr="00E93008" w:rsidRDefault="008E7846" w:rsidP="007D53B6">
      <w:pPr>
        <w:pStyle w:val="Heading4"/>
      </w:pPr>
      <w:r w:rsidRPr="00E93008">
        <w:t xml:space="preserve">Advisory </w:t>
      </w:r>
      <w:r w:rsidR="005F7BE0">
        <w:t>c</w:t>
      </w:r>
      <w:r w:rsidRPr="00E93008">
        <w:t xml:space="preserve">ommittee </w:t>
      </w:r>
      <w:r w:rsidR="007D53B6" w:rsidRPr="00E93008">
        <w:t>c</w:t>
      </w:r>
      <w:r w:rsidRPr="00E93008">
        <w:t>onsiderations</w:t>
      </w:r>
      <w:r w:rsidR="00456765" w:rsidRPr="00E93008">
        <w:rPr>
          <w:rStyle w:val="FootnoteReference"/>
        </w:rPr>
        <w:footnoteReference w:id="34"/>
      </w:r>
    </w:p>
    <w:p w14:paraId="31DE7F69" w14:textId="77777777" w:rsidR="002978D8" w:rsidRDefault="002978D8" w:rsidP="002978D8">
      <w:pPr>
        <w:rPr>
          <w:bCs/>
        </w:rPr>
      </w:pPr>
      <w:r w:rsidRPr="00456765">
        <w:rPr>
          <w:bCs/>
        </w:rPr>
        <w:t>The Advisory Committee on Medicines (ACM), having considered the evaluations and the Delegate’s overview, as well as the sponsor’s response to these documents, advised the following</w:t>
      </w:r>
      <w:r>
        <w:rPr>
          <w:bCs/>
        </w:rPr>
        <w:t>.</w:t>
      </w:r>
    </w:p>
    <w:p w14:paraId="3FCAA188" w14:textId="293089CE" w:rsidR="002978D8" w:rsidRDefault="002978D8" w:rsidP="002978D8">
      <w:pPr>
        <w:pStyle w:val="Heading5"/>
      </w:pPr>
      <w:r>
        <w:t xml:space="preserve">Specific advice to the </w:t>
      </w:r>
      <w:r w:rsidR="005F7BE0">
        <w:t>d</w:t>
      </w:r>
      <w:r>
        <w:t>elegate</w:t>
      </w:r>
    </w:p>
    <w:p w14:paraId="658F1D7E" w14:textId="6315345A" w:rsidR="007A0CEC" w:rsidRDefault="007A0CEC" w:rsidP="00EB34B5">
      <w:pPr>
        <w:pStyle w:val="Numberbullet0"/>
        <w:numPr>
          <w:ilvl w:val="0"/>
          <w:numId w:val="40"/>
        </w:numPr>
        <w:rPr>
          <w:b/>
          <w:i/>
        </w:rPr>
      </w:pPr>
      <w:r w:rsidRPr="00E93008">
        <w:rPr>
          <w:b/>
          <w:i/>
        </w:rPr>
        <w:t xml:space="preserve">Based on the data in this submission, what are the ACM's views of approving the medium dose </w:t>
      </w:r>
      <w:proofErr w:type="spellStart"/>
      <w:r w:rsidR="00214E38" w:rsidRPr="00E93008">
        <w:rPr>
          <w:b/>
          <w:i/>
        </w:rPr>
        <w:t>Enerzair</w:t>
      </w:r>
      <w:proofErr w:type="spellEnd"/>
      <w:r w:rsidR="00214E38" w:rsidRPr="00E93008">
        <w:rPr>
          <w:b/>
          <w:i/>
        </w:rPr>
        <w:t xml:space="preserve"> Breezhaler (150/50/80 µ</w:t>
      </w:r>
      <w:r w:rsidRPr="00E93008">
        <w:rPr>
          <w:b/>
          <w:i/>
        </w:rPr>
        <w:t>g) for the treatment of asthma?</w:t>
      </w:r>
    </w:p>
    <w:p w14:paraId="3F86410E" w14:textId="7EE8ED0A" w:rsidR="00104B69" w:rsidRPr="00104B69" w:rsidRDefault="00104B69" w:rsidP="00104B69">
      <w:r w:rsidRPr="00104B69">
        <w:t xml:space="preserve">High dose </w:t>
      </w:r>
      <w:proofErr w:type="spellStart"/>
      <w:r w:rsidRPr="00104B69">
        <w:t>Enerzair</w:t>
      </w:r>
      <w:proofErr w:type="spellEnd"/>
      <w:r w:rsidRPr="00104B69">
        <w:t xml:space="preserve"> Breezhaler was recommended to be approved with the main reason being convenience for the patients. The target patient population would have already been on a triple therapy consisting of two inhalers. Their other options would be to progress to a biological agent, which is expensive, or increase the dose of ICS separately. The triple inhaler was not considered as a major breakthrough.</w:t>
      </w:r>
    </w:p>
    <w:p w14:paraId="4CA8BA3F" w14:textId="319B6B63" w:rsidR="00104B69" w:rsidRPr="00E93008" w:rsidRDefault="00104B69" w:rsidP="00104B69">
      <w:pPr>
        <w:pStyle w:val="Numberbullet0"/>
        <w:numPr>
          <w:ilvl w:val="0"/>
          <w:numId w:val="40"/>
        </w:numPr>
        <w:rPr>
          <w:b/>
          <w:i/>
        </w:rPr>
      </w:pPr>
      <w:r>
        <w:rPr>
          <w:b/>
          <w:i/>
        </w:rPr>
        <w:t xml:space="preserve">The </w:t>
      </w:r>
      <w:r w:rsidRPr="00104B69">
        <w:rPr>
          <w:b/>
          <w:i/>
        </w:rPr>
        <w:t>committee is (also) requested to provide advice on any other issues that it thinks may be relevant to a decision on whether or not to approve this application</w:t>
      </w:r>
      <w:r>
        <w:rPr>
          <w:b/>
          <w:i/>
        </w:rPr>
        <w:t>.</w:t>
      </w:r>
    </w:p>
    <w:p w14:paraId="39C167B7" w14:textId="77777777" w:rsidR="007A0CEC" w:rsidRPr="00104B69" w:rsidRDefault="007A0CEC" w:rsidP="00104B69">
      <w:r w:rsidRPr="00104B69">
        <w:t>The AC</w:t>
      </w:r>
      <w:r w:rsidR="00214E38" w:rsidRPr="00104B69">
        <w:t>M considered the definition of ‘</w:t>
      </w:r>
      <w:r w:rsidRPr="00104B69">
        <w:t>not adequately controlled</w:t>
      </w:r>
      <w:r w:rsidR="00214E38" w:rsidRPr="00104B69">
        <w:t>’</w:t>
      </w:r>
      <w:r w:rsidRPr="00104B69">
        <w:t xml:space="preserve"> which could mean either: more than two exacerbations; zero exacerbations but waking up at night; needing to use Relievers,</w:t>
      </w:r>
      <w:r w:rsidR="002C7B9C" w:rsidRPr="00104B69">
        <w:t xml:space="preserve"> and so on</w:t>
      </w:r>
      <w:r w:rsidRPr="00104B69">
        <w:t>. However</w:t>
      </w:r>
      <w:r w:rsidR="00214E38" w:rsidRPr="00104B69">
        <w:t>,</w:t>
      </w:r>
      <w:r w:rsidRPr="00104B69">
        <w:t xml:space="preserve"> it is not within the scope of the ACM to define indications.</w:t>
      </w:r>
    </w:p>
    <w:p w14:paraId="4BB4A269" w14:textId="77777777" w:rsidR="007A0CEC" w:rsidRPr="00104B69" w:rsidRDefault="007A0CEC" w:rsidP="00104B69">
      <w:r w:rsidRPr="00104B69">
        <w:t xml:space="preserve">There is insufficient data to approve the medium dose of </w:t>
      </w:r>
      <w:proofErr w:type="spellStart"/>
      <w:r w:rsidRPr="00104B69">
        <w:t>Enerzair</w:t>
      </w:r>
      <w:proofErr w:type="spellEnd"/>
      <w:r w:rsidR="00114819" w:rsidRPr="00104B69">
        <w:t xml:space="preserve"> Breezhaler</w:t>
      </w:r>
      <w:r w:rsidRPr="00104B69">
        <w:t>. Even though the ACM agrees that low dose of ICS will result in the steroid sparing effect, the ACM’s view of excluding the medium dose are that the studies were not designed for invest</w:t>
      </w:r>
      <w:r w:rsidR="00214E38" w:rsidRPr="00104B69">
        <w:t xml:space="preserve">igating steroid sparing or down </w:t>
      </w:r>
      <w:r w:rsidRPr="00104B69">
        <w:t>titration. There were also no evidence for a clinically relevant treatment effect.</w:t>
      </w:r>
    </w:p>
    <w:p w14:paraId="6BC76232" w14:textId="77777777" w:rsidR="007A0CEC" w:rsidRPr="00104B69" w:rsidRDefault="007A0CEC" w:rsidP="00104B69">
      <w:r w:rsidRPr="00104B69">
        <w:t xml:space="preserve">The ACM was of the view that the medium dose of </w:t>
      </w:r>
      <w:proofErr w:type="spellStart"/>
      <w:r w:rsidRPr="00104B69">
        <w:t>Enerzair</w:t>
      </w:r>
      <w:proofErr w:type="spellEnd"/>
      <w:r w:rsidRPr="00104B69">
        <w:t xml:space="preserve"> </w:t>
      </w:r>
      <w:r w:rsidR="00114819" w:rsidRPr="00104B69">
        <w:t xml:space="preserve">Breezhaler </w:t>
      </w:r>
      <w:r w:rsidRPr="00104B69">
        <w:t>could be approved because it is demonstrated to be not worse than conventional treatment.</w:t>
      </w:r>
    </w:p>
    <w:p w14:paraId="5B0F0003" w14:textId="77777777" w:rsidR="007A0CEC" w:rsidRPr="00104B69" w:rsidRDefault="007A0CEC" w:rsidP="00104B69">
      <w:r w:rsidRPr="00104B69">
        <w:t xml:space="preserve">The ACM noted that there could be confusion of dose if Australia were to approve </w:t>
      </w:r>
      <w:proofErr w:type="spellStart"/>
      <w:r w:rsidRPr="00104B69">
        <w:t>Enerzair’s</w:t>
      </w:r>
      <w:proofErr w:type="spellEnd"/>
      <w:r w:rsidRPr="00104B69">
        <w:t xml:space="preserve"> delivered dose to be printed on the device and packaging (the dose approved by the EU and Australia’s TGO91 requirement) rather than the metered dose (the dose that are printed on inhalers in the market currently). For example the patient could be thinking they are getting less drug per puff. This issue could be resolved by education, and changing labels of other inhalers to display delivered dose, instead of metered dose.</w:t>
      </w:r>
    </w:p>
    <w:p w14:paraId="69806A00" w14:textId="77777777" w:rsidR="007A0CEC" w:rsidRPr="00E93008" w:rsidRDefault="007A0CEC" w:rsidP="00214E38">
      <w:pPr>
        <w:pStyle w:val="Heading5"/>
      </w:pPr>
      <w:r w:rsidRPr="00E93008">
        <w:t>Conclusion</w:t>
      </w:r>
    </w:p>
    <w:p w14:paraId="7E6F65F3" w14:textId="77777777" w:rsidR="007A0CEC" w:rsidRPr="00E93008" w:rsidRDefault="007A0CEC" w:rsidP="00214E38">
      <w:r w:rsidRPr="00E93008">
        <w:t>The ACM considered this product to have an overall positive benefit-risk profile for the indication:</w:t>
      </w:r>
    </w:p>
    <w:p w14:paraId="12A72752" w14:textId="77777777" w:rsidR="007A0CEC" w:rsidRPr="00E93008" w:rsidRDefault="00AF62BD" w:rsidP="00214E38">
      <w:r w:rsidRPr="00E93008">
        <w:t>Proposed (a</w:t>
      </w:r>
      <w:r w:rsidR="007A0CEC" w:rsidRPr="00E93008">
        <w:t>fter first round of PI negotiation):</w:t>
      </w:r>
    </w:p>
    <w:p w14:paraId="319C3B00" w14:textId="77777777" w:rsidR="007A0CEC" w:rsidRPr="0059000A" w:rsidRDefault="007A0CEC" w:rsidP="0059000A">
      <w:pPr>
        <w:ind w:left="720"/>
        <w:rPr>
          <w:i/>
        </w:rPr>
      </w:pPr>
      <w:proofErr w:type="spellStart"/>
      <w:r w:rsidRPr="0059000A">
        <w:rPr>
          <w:i/>
        </w:rPr>
        <w:t>Enerzair</w:t>
      </w:r>
      <w:proofErr w:type="spellEnd"/>
      <w:r w:rsidRPr="0059000A">
        <w:rPr>
          <w:i/>
        </w:rPr>
        <w:t xml:space="preserve"> Breezhaler is indicated as a maintenance treatment of asthma in adult patients not adequately controlled with a maintenance combination of a </w:t>
      </w:r>
      <w:r w:rsidR="007A0C1A" w:rsidRPr="0059000A">
        <w:rPr>
          <w:i/>
        </w:rPr>
        <w:t>LABA</w:t>
      </w:r>
      <w:r w:rsidRPr="0059000A">
        <w:rPr>
          <w:i/>
        </w:rPr>
        <w:t xml:space="preserve"> and an inhaled corticosteroid who experienced one or more asthma exacerbations in the previous year.</w:t>
      </w:r>
    </w:p>
    <w:p w14:paraId="51902A0B" w14:textId="77777777" w:rsidR="007A0CEC" w:rsidRPr="00E93008" w:rsidRDefault="007A0CEC" w:rsidP="00214E38">
      <w:r w:rsidRPr="00E93008">
        <w:t>Delegate's recommended indication:</w:t>
      </w:r>
    </w:p>
    <w:p w14:paraId="22A9C6EF" w14:textId="77777777" w:rsidR="007A0CEC" w:rsidRPr="00E93008" w:rsidRDefault="00214E38" w:rsidP="00214E38">
      <w:pPr>
        <w:ind w:left="720"/>
        <w:rPr>
          <w:i/>
        </w:rPr>
      </w:pPr>
      <w:proofErr w:type="spellStart"/>
      <w:r w:rsidRPr="00E93008">
        <w:rPr>
          <w:i/>
        </w:rPr>
        <w:t>Enerzair</w:t>
      </w:r>
      <w:proofErr w:type="spellEnd"/>
      <w:r w:rsidRPr="00E93008">
        <w:rPr>
          <w:i/>
        </w:rPr>
        <w:t xml:space="preserve"> Breezhaler 150</w:t>
      </w:r>
      <w:r w:rsidR="007A0CEC" w:rsidRPr="00E93008">
        <w:rPr>
          <w:i/>
        </w:rPr>
        <w:t>(indacaterol)/50(glycopyrronium)/160(mometasone furoate)</w:t>
      </w:r>
      <w:r w:rsidRPr="00E93008">
        <w:rPr>
          <w:i/>
        </w:rPr>
        <w:t xml:space="preserve"> µ</w:t>
      </w:r>
      <w:r w:rsidR="007A0CEC" w:rsidRPr="00E93008">
        <w:rPr>
          <w:i/>
        </w:rPr>
        <w:t>g is indicated as a maintenance treatment of asthma in adult patients not adequately controlled with a maintenance combination of a long‑acting beta2‑agonist and a high-dose of an inhaled corticosteroid who experienced one or more asthma exa</w:t>
      </w:r>
      <w:r w:rsidRPr="00E93008">
        <w:rPr>
          <w:i/>
        </w:rPr>
        <w:t>cerbations in the previous year</w:t>
      </w:r>
    </w:p>
    <w:p w14:paraId="6641779E" w14:textId="4FE0197B" w:rsidR="007A0CEC" w:rsidRPr="00E93008" w:rsidRDefault="007A0CEC" w:rsidP="00214E38">
      <w:r w:rsidRPr="00E93008">
        <w:t xml:space="preserve">The ACM agreed that </w:t>
      </w:r>
      <w:proofErr w:type="spellStart"/>
      <w:r w:rsidR="00ED2EE5" w:rsidRPr="00E93008">
        <w:t>Enerzair</w:t>
      </w:r>
      <w:proofErr w:type="spellEnd"/>
      <w:r w:rsidR="00ED2EE5" w:rsidRPr="00E93008">
        <w:t xml:space="preserve"> Breezhaler </w:t>
      </w:r>
      <w:r w:rsidR="00214E38" w:rsidRPr="00E93008">
        <w:t>150</w:t>
      </w:r>
      <w:r w:rsidR="00380055">
        <w:t xml:space="preserve"> </w:t>
      </w:r>
      <w:r w:rsidRPr="00E93008">
        <w:t>(indacaterol)/</w:t>
      </w:r>
      <w:r w:rsidR="00380055">
        <w:t xml:space="preserve"> </w:t>
      </w:r>
      <w:r w:rsidRPr="00E93008">
        <w:t>50</w:t>
      </w:r>
      <w:r w:rsidR="00380055">
        <w:t xml:space="preserve"> </w:t>
      </w:r>
      <w:r w:rsidRPr="00E93008">
        <w:t>(glycopyrronium)/</w:t>
      </w:r>
      <w:r w:rsidR="00380055">
        <w:t xml:space="preserve"> </w:t>
      </w:r>
      <w:r w:rsidRPr="00E93008">
        <w:t>80</w:t>
      </w:r>
      <w:r w:rsidR="00380055">
        <w:t> </w:t>
      </w:r>
      <w:r w:rsidRPr="00E93008">
        <w:t>(mometasone furoate)</w:t>
      </w:r>
      <w:r w:rsidR="00214E38" w:rsidRPr="00E93008">
        <w:t xml:space="preserve"> µ</w:t>
      </w:r>
      <w:r w:rsidRPr="00E93008">
        <w:t>g did not adequately demonstrate an overall beneficial profile for the proposed indication as the evidence submitted did not satisfactorily establish the efficacy of the product, in terms of reduction in exacerbations and quality of life measures.</w:t>
      </w:r>
    </w:p>
    <w:p w14:paraId="7896DC76" w14:textId="1C92DD5E" w:rsidR="008E7846" w:rsidRPr="00E93008" w:rsidRDefault="008E7846" w:rsidP="008E7846">
      <w:pPr>
        <w:pStyle w:val="Heading3"/>
      </w:pPr>
      <w:bookmarkStart w:id="58" w:name="_Toc247691532"/>
      <w:bookmarkStart w:id="59" w:name="_Toc314842516"/>
      <w:bookmarkStart w:id="60" w:name="_Toc69998863"/>
      <w:bookmarkEnd w:id="31"/>
      <w:bookmarkEnd w:id="54"/>
      <w:bookmarkEnd w:id="55"/>
      <w:r>
        <w:t>Outcome</w:t>
      </w:r>
      <w:bookmarkEnd w:id="58"/>
      <w:bookmarkEnd w:id="59"/>
      <w:bookmarkEnd w:id="60"/>
    </w:p>
    <w:p w14:paraId="4E948291" w14:textId="77777777" w:rsidR="007D53B6" w:rsidRPr="00E93008" w:rsidRDefault="007D53B6" w:rsidP="00214E38">
      <w:bookmarkStart w:id="61" w:name="_Toc247691533"/>
      <w:bookmarkStart w:id="62" w:name="_Toc314842517"/>
      <w:r w:rsidRPr="00E93008">
        <w:t xml:space="preserve">Based on a review of quality, safety and efficacy, TGA approved the registration of </w:t>
      </w:r>
      <w:proofErr w:type="spellStart"/>
      <w:r w:rsidR="00774D5F" w:rsidRPr="00E93008">
        <w:t>Enerzair</w:t>
      </w:r>
      <w:proofErr w:type="spellEnd"/>
      <w:r w:rsidR="00774D5F" w:rsidRPr="00E93008">
        <w:t xml:space="preserve"> Breezhaler (indacaterol</w:t>
      </w:r>
      <w:r w:rsidR="00214E38" w:rsidRPr="00E93008">
        <w:t xml:space="preserve"> acetate</w:t>
      </w:r>
      <w:r w:rsidR="00774D5F" w:rsidRPr="00E93008">
        <w:t>/glycopyrronium/</w:t>
      </w:r>
      <w:r w:rsidR="00214E38" w:rsidRPr="00E93008">
        <w:t>mometasone furoate) 114/46/136 µg and 114/46/68 µ</w:t>
      </w:r>
      <w:r w:rsidR="00774D5F" w:rsidRPr="00E93008">
        <w:t>g powder for inhalation in capsule with inhaler</w:t>
      </w:r>
      <w:r w:rsidRPr="00E93008">
        <w:t>, indicated for:</w:t>
      </w:r>
    </w:p>
    <w:p w14:paraId="3261DD80" w14:textId="77777777" w:rsidR="00774D5F" w:rsidRPr="00E93008" w:rsidRDefault="00774D5F" w:rsidP="00214E38">
      <w:pPr>
        <w:ind w:left="720"/>
        <w:rPr>
          <w:i/>
        </w:rPr>
      </w:pPr>
      <w:proofErr w:type="spellStart"/>
      <w:r w:rsidRPr="00E93008">
        <w:rPr>
          <w:i/>
        </w:rPr>
        <w:t>Enerzair</w:t>
      </w:r>
      <w:proofErr w:type="spellEnd"/>
      <w:r w:rsidRPr="00E93008">
        <w:rPr>
          <w:i/>
        </w:rPr>
        <w:t xml:space="preserve"> Breezhaler is indicated as a maintenance treatment of asthma in adult patients not adequately controlled with a maintenance combination of a long-acting beta2-agonist and an inhaled corticosteroid who experienced one or more asthma exacerbations in the previous year.</w:t>
      </w:r>
    </w:p>
    <w:p w14:paraId="6F7B55C2" w14:textId="77777777" w:rsidR="00D23139" w:rsidRPr="00E93008" w:rsidRDefault="00D23139" w:rsidP="00774D5F">
      <w:pPr>
        <w:pStyle w:val="Heading4"/>
        <w:rPr>
          <w:b w:val="0"/>
          <w:bCs w:val="0"/>
          <w:szCs w:val="22"/>
        </w:rPr>
      </w:pPr>
      <w:r w:rsidRPr="00E93008">
        <w:t>Specific conditions of registration applying to these goods</w:t>
      </w:r>
    </w:p>
    <w:p w14:paraId="6995E0A5" w14:textId="77777777" w:rsidR="00AE3724" w:rsidRPr="00E93008" w:rsidRDefault="00214E38" w:rsidP="00214E38">
      <w:pPr>
        <w:pStyle w:val="ListBullet"/>
      </w:pPr>
      <w:proofErr w:type="spellStart"/>
      <w:r w:rsidRPr="00E93008">
        <w:t>Enerzair</w:t>
      </w:r>
      <w:proofErr w:type="spellEnd"/>
      <w:r w:rsidRPr="00E93008">
        <w:t xml:space="preserve"> Breezhaler (indacaterol acetate/</w:t>
      </w:r>
      <w:r w:rsidR="00AE3724" w:rsidRPr="00E93008">
        <w:t xml:space="preserve">glycopyrronium bromide/mometasone furoate) is to be included in the Black Triangle Scheme. The PI, CMI and Instructions for Use for </w:t>
      </w:r>
      <w:proofErr w:type="spellStart"/>
      <w:r w:rsidRPr="00E93008">
        <w:t>Enerzair</w:t>
      </w:r>
      <w:proofErr w:type="spellEnd"/>
      <w:r w:rsidRPr="00E93008">
        <w:t xml:space="preserve"> Breezhaler </w:t>
      </w:r>
      <w:r w:rsidR="00AE3724" w:rsidRPr="00E93008">
        <w:t>must include the black triangle symbol and mandatory accompanying text for five years, which starts from the date that the sponsor notifies the TGA of supply of the products.</w:t>
      </w:r>
    </w:p>
    <w:p w14:paraId="35D80CCF" w14:textId="77777777" w:rsidR="00AE3724" w:rsidRPr="00E93008" w:rsidRDefault="00AE3724" w:rsidP="00214E38">
      <w:pPr>
        <w:pStyle w:val="ListBullet"/>
      </w:pPr>
      <w:r w:rsidRPr="00E93008">
        <w:t xml:space="preserve">The </w:t>
      </w:r>
      <w:proofErr w:type="spellStart"/>
      <w:r w:rsidR="00CB1EE4" w:rsidRPr="00E93008">
        <w:t>Enerzair</w:t>
      </w:r>
      <w:proofErr w:type="spellEnd"/>
      <w:r w:rsidR="00CB1EE4" w:rsidRPr="00E93008">
        <w:t xml:space="preserve"> Breezhaler </w:t>
      </w:r>
      <w:r w:rsidRPr="00E93008">
        <w:t>EU-RMP, version 1.3, dated 21 April 2020 (</w:t>
      </w:r>
      <w:r w:rsidR="00D45219" w:rsidRPr="00E93008">
        <w:t>DLP</w:t>
      </w:r>
      <w:r w:rsidRPr="00E93008">
        <w:t xml:space="preserve"> 14 June 2019), with </w:t>
      </w:r>
      <w:r w:rsidR="00D45219" w:rsidRPr="00E93008">
        <w:t>ASA</w:t>
      </w:r>
      <w:r w:rsidRPr="00E93008">
        <w:t>, version 1.1, dated 17 July 2020, included with submission PM-2019-02514-1-5, and any subsequent revisions, as agreed with the TGA will be implemented in Australia.</w:t>
      </w:r>
    </w:p>
    <w:p w14:paraId="3C702622" w14:textId="3A38452C" w:rsidR="00AE3724" w:rsidRPr="00E93008" w:rsidRDefault="00AE3724" w:rsidP="00CB1EE4">
      <w:pPr>
        <w:pStyle w:val="ListBullet"/>
        <w:numPr>
          <w:ilvl w:val="0"/>
          <w:numId w:val="0"/>
        </w:numPr>
        <w:ind w:left="360"/>
      </w:pPr>
      <w:r w:rsidRPr="00E93008">
        <w:t xml:space="preserve">An obligatory component of </w:t>
      </w:r>
      <w:r w:rsidR="004976EC" w:rsidRPr="00E93008">
        <w:t>RMP</w:t>
      </w:r>
      <w:r w:rsidRPr="00E93008">
        <w:t xml:space="preserve"> is routine pharmacovigilance. Routine pharmacovigilance includes the submission of periodic safety update reports (PSURs).</w:t>
      </w:r>
    </w:p>
    <w:p w14:paraId="3573C463" w14:textId="77777777" w:rsidR="00AE3724" w:rsidRPr="00E93008" w:rsidRDefault="00AE3724" w:rsidP="00CB1EE4">
      <w:pPr>
        <w:pStyle w:val="ListBullet"/>
        <w:numPr>
          <w:ilvl w:val="0"/>
          <w:numId w:val="0"/>
        </w:numPr>
        <w:ind w:left="360"/>
      </w:pPr>
      <w:r w:rsidRPr="00E93008">
        <w:t>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six monthly reports may be submitted separately as they become available.</w:t>
      </w:r>
    </w:p>
    <w:p w14:paraId="3541E23B" w14:textId="77777777" w:rsidR="00AE3724" w:rsidRPr="00E93008" w:rsidRDefault="00AE3724" w:rsidP="00CB1EE4">
      <w:pPr>
        <w:pStyle w:val="ListBullet"/>
        <w:numPr>
          <w:ilvl w:val="0"/>
          <w:numId w:val="0"/>
        </w:numPr>
        <w:ind w:left="360"/>
      </w:pPr>
      <w:r w:rsidRPr="00E93008">
        <w:t>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this approval letter.</w:t>
      </w:r>
    </w:p>
    <w:p w14:paraId="3B90CA39" w14:textId="77777777" w:rsidR="00AE3724" w:rsidRPr="00E93008" w:rsidRDefault="00AE3724" w:rsidP="00CB1EE4">
      <w:pPr>
        <w:pStyle w:val="ListBullet"/>
        <w:numPr>
          <w:ilvl w:val="0"/>
          <w:numId w:val="0"/>
        </w:numPr>
        <w:ind w:left="360"/>
      </w:pPr>
      <w:r w:rsidRPr="00E93008">
        <w:t xml:space="preserve">The reports are to at least meet the requirements for PSURs as described in the </w:t>
      </w:r>
      <w:r w:rsidR="00D45219" w:rsidRPr="00E93008">
        <w:t>EMA</w:t>
      </w:r>
      <w:r w:rsidRPr="00E93008">
        <w:t xml:space="preserve">’s Guideline on </w:t>
      </w:r>
      <w:r w:rsidR="00AF1407" w:rsidRPr="00E93008">
        <w:t xml:space="preserve">Good Pharmacovigilance Practices </w:t>
      </w:r>
      <w:r w:rsidRPr="00E93008">
        <w:t>(GVP) Module VII-</w:t>
      </w:r>
      <w:r w:rsidR="006137A7" w:rsidRPr="00E93008">
        <w:t xml:space="preserve">periodic safety update report </w:t>
      </w:r>
      <w:r w:rsidRPr="00E93008">
        <w:t xml:space="preserve">(Rev 1), Part VII.B Structures and processes. Note that submission of a PSUR does not constitute an application to vary the registration. Each report must have been prepared within ninety calendar days of the </w:t>
      </w:r>
      <w:r w:rsidR="00D45219" w:rsidRPr="00E93008">
        <w:t>DLP</w:t>
      </w:r>
      <w:r w:rsidRPr="00E93008">
        <w:t xml:space="preserve"> for that report.</w:t>
      </w:r>
    </w:p>
    <w:p w14:paraId="3CAACFEA" w14:textId="77E2DDFB" w:rsidR="008E7846" w:rsidRPr="00E93008" w:rsidRDefault="00A80B5B" w:rsidP="00D23139">
      <w:pPr>
        <w:pStyle w:val="Heading2"/>
      </w:pPr>
      <w:bookmarkStart w:id="63" w:name="_Toc69998864"/>
      <w:r w:rsidRPr="00E93008">
        <w:t xml:space="preserve">Attachment 1. </w:t>
      </w:r>
      <w:r w:rsidR="008E7846" w:rsidRPr="00E93008">
        <w:t xml:space="preserve">Product </w:t>
      </w:r>
      <w:r w:rsidR="00AA0ED0" w:rsidRPr="00E93008">
        <w:t>I</w:t>
      </w:r>
      <w:r w:rsidR="008E7846" w:rsidRPr="00E93008">
        <w:t>nformation</w:t>
      </w:r>
      <w:bookmarkEnd w:id="61"/>
      <w:bookmarkEnd w:id="62"/>
      <w:bookmarkEnd w:id="63"/>
    </w:p>
    <w:p w14:paraId="7FF70A5D" w14:textId="0C5250BC" w:rsidR="00291957" w:rsidRPr="00E93008" w:rsidRDefault="006136D7" w:rsidP="00DC79E8">
      <w:pPr>
        <w:rPr>
          <w:color w:val="000000"/>
          <w:lang w:eastAsia="en-AU"/>
        </w:rPr>
      </w:pPr>
      <w:r w:rsidRPr="00E93008">
        <w:t xml:space="preserve">The PI for </w:t>
      </w:r>
      <w:proofErr w:type="spellStart"/>
      <w:r w:rsidR="00F85686" w:rsidRPr="00E93008">
        <w:t>Enerzair</w:t>
      </w:r>
      <w:proofErr w:type="spellEnd"/>
      <w:r w:rsidR="00F85686" w:rsidRPr="00E93008">
        <w:t xml:space="preserve"> Breezhaler </w:t>
      </w:r>
      <w:r w:rsidRPr="00E93008">
        <w:t xml:space="preserve">approved with the submission which is described in this AusPAR is at Attachment 1. For the most recent PI, please refer to the TGA website at </w:t>
      </w:r>
      <w:r w:rsidR="007C6B9B" w:rsidRPr="00E93008">
        <w:t>&lt;</w:t>
      </w:r>
      <w:hyperlink r:id="rId26" w:history="1">
        <w:r w:rsidR="007C6B9B" w:rsidRPr="00E93008">
          <w:rPr>
            <w:rStyle w:val="Hyperlink"/>
          </w:rPr>
          <w:t>https://www.tga.gov.au/product-information-pi</w:t>
        </w:r>
      </w:hyperlink>
      <w:r w:rsidR="007C6B9B" w:rsidRPr="00E93008">
        <w:t xml:space="preserve">&gt;. </w:t>
      </w:r>
      <w:r w:rsidR="008E7846" w:rsidRPr="00E93008">
        <w:rPr>
          <w:b/>
        </w:rPr>
        <w:br w:type="page"/>
      </w:r>
    </w:p>
    <w:p w14:paraId="43558121" w14:textId="77777777" w:rsidR="00C80137" w:rsidRPr="00E93008" w:rsidRDefault="00C80137" w:rsidP="003A7F6C">
      <w:pPr>
        <w:pStyle w:val="TableTitle"/>
        <w:sectPr w:rsidR="00C80137" w:rsidRPr="00E93008" w:rsidSect="00B452CE">
          <w:headerReference w:type="even" r:id="rId27"/>
          <w:headerReference w:type="default" r:id="rId28"/>
          <w:headerReference w:type="first" r:id="rId29"/>
          <w:footerReference w:type="first" r:id="rId3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E93008" w14:paraId="51B1A3DC" w14:textId="77777777" w:rsidTr="00A05FA4">
        <w:trPr>
          <w:trHeight w:hRule="exact" w:val="704"/>
        </w:trPr>
        <w:tc>
          <w:tcPr>
            <w:tcW w:w="9175" w:type="dxa"/>
          </w:tcPr>
          <w:p w14:paraId="4247A5D5" w14:textId="77777777" w:rsidR="001C32CD" w:rsidRPr="00E93008" w:rsidRDefault="001C32CD" w:rsidP="00A05FA4">
            <w:pPr>
              <w:pStyle w:val="TGASignoff"/>
            </w:pPr>
            <w:r w:rsidRPr="00E93008">
              <w:t>Therapeutic Goods Administration</w:t>
            </w:r>
          </w:p>
        </w:tc>
      </w:tr>
      <w:tr w:rsidR="001C32CD" w:rsidRPr="004C239D" w14:paraId="1DCC7D04" w14:textId="77777777" w:rsidTr="00A05FA4">
        <w:trPr>
          <w:trHeight w:val="1221"/>
        </w:trPr>
        <w:tc>
          <w:tcPr>
            <w:tcW w:w="9175" w:type="dxa"/>
            <w:tcMar>
              <w:top w:w="28" w:type="dxa"/>
            </w:tcMar>
          </w:tcPr>
          <w:p w14:paraId="26E813B4" w14:textId="77777777" w:rsidR="001C32CD" w:rsidRPr="00E93008" w:rsidRDefault="001C32CD" w:rsidP="00A05FA4">
            <w:pPr>
              <w:pStyle w:val="Address"/>
            </w:pPr>
            <w:r w:rsidRPr="00E93008">
              <w:t>PO Box 100 Woden ACT 2606 Australia</w:t>
            </w:r>
          </w:p>
          <w:p w14:paraId="30489FA2" w14:textId="4CF0001B" w:rsidR="001C32CD" w:rsidRPr="00E93008" w:rsidRDefault="001C32CD" w:rsidP="00A05FA4">
            <w:pPr>
              <w:pStyle w:val="Address"/>
            </w:pPr>
            <w:r w:rsidRPr="00E93008">
              <w:t xml:space="preserve">Email: </w:t>
            </w:r>
            <w:hyperlink r:id="rId31" w:history="1">
              <w:r w:rsidRPr="00E93008">
                <w:rPr>
                  <w:rStyle w:val="Hyperlink"/>
                </w:rPr>
                <w:t>info@tga.gov.au</w:t>
              </w:r>
            </w:hyperlink>
            <w:r w:rsidRPr="00E93008">
              <w:t xml:space="preserve">  Phone: 1800 020 653  Fax: 02 6232 8605</w:t>
            </w:r>
          </w:p>
          <w:p w14:paraId="6D20C904" w14:textId="2E40F469" w:rsidR="001C32CD" w:rsidRPr="004C239D" w:rsidRDefault="002C2F38" w:rsidP="00A05FA4">
            <w:pPr>
              <w:pStyle w:val="Address"/>
              <w:spacing w:line="260" w:lineRule="atLeast"/>
              <w:rPr>
                <w:b/>
                <w:color w:val="0000FF"/>
                <w:u w:val="single"/>
              </w:rPr>
            </w:pPr>
            <w:hyperlink r:id="rId32" w:history="1">
              <w:r w:rsidR="007C6B9B" w:rsidRPr="00E93008">
                <w:rPr>
                  <w:rStyle w:val="Hyperlink"/>
                  <w:b/>
                </w:rPr>
                <w:t>https://www.tga.gov.au</w:t>
              </w:r>
            </w:hyperlink>
          </w:p>
        </w:tc>
      </w:tr>
    </w:tbl>
    <w:p w14:paraId="48E4BEEC" w14:textId="77777777" w:rsidR="00774E1D" w:rsidRPr="008A5E0B" w:rsidRDefault="00774E1D" w:rsidP="004C239D"/>
    <w:sectPr w:rsidR="00774E1D" w:rsidRPr="008A5E0B" w:rsidSect="001C32CD">
      <w:headerReference w:type="even" r:id="rId33"/>
      <w:headerReference w:type="default" r:id="rId34"/>
      <w:footerReference w:type="default" r:id="rId35"/>
      <w:headerReference w:type="first" r:id="rId36"/>
      <w:footerReference w:type="first" r:id="rId37"/>
      <w:pgSz w:w="11906" w:h="16838" w:code="9"/>
      <w:pgMar w:top="13467" w:right="1701" w:bottom="426" w:left="1701" w:header="907" w:footer="0"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B392FB2" w16cex:dateUtc="2021-01-28T13:46:12.643Z"/>
  <w16cex:commentExtensible w16cex:durableId="4D9E31B7" w16cex:dateUtc="2021-01-28T15:02:50.104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D37002" w16cid:durableId="23CC50CF"/>
  <w16cid:commentId w16cid:paraId="7573DF4F" w16cid:durableId="23EA1FEC"/>
  <w16cid:commentId w16cid:paraId="467CC8C7" w16cid:durableId="23CC50D0"/>
  <w16cid:commentId w16cid:paraId="164E05F9" w16cid:durableId="23EA1FEE"/>
  <w16cid:commentId w16cid:paraId="3C2F6225" w16cid:durableId="23CC50D1"/>
  <w16cid:commentId w16cid:paraId="3ABFA2A6" w16cid:durableId="23EA1FF0"/>
  <w16cid:commentId w16cid:paraId="00D4F5D8" w16cid:durableId="23CC50D2"/>
  <w16cid:commentId w16cid:paraId="0664096C" w16cid:durableId="23EA1FF2"/>
  <w16cid:commentId w16cid:paraId="6A8F09F4" w16cid:durableId="23CC50D3"/>
  <w16cid:commentId w16cid:paraId="23C5785D" w16cid:durableId="23EA1FF4"/>
  <w16cid:commentId w16cid:paraId="4EF53A02" w16cid:durableId="23CC50D5"/>
  <w16cid:commentId w16cid:paraId="1BEEA186" w16cid:durableId="23EA1FF6"/>
  <w16cid:commentId w16cid:paraId="3C6D7EF8" w16cid:durableId="23CCDD03"/>
  <w16cid:commentId w16cid:paraId="4A6D8A03" w16cid:durableId="23EA1FF8"/>
  <w16cid:commentId w16cid:paraId="3DA1966F" w16cid:durableId="23CCDD15"/>
  <w16cid:commentId w16cid:paraId="01DB2C8B" w16cid:durableId="23EA1FFA"/>
  <w16cid:commentId w16cid:paraId="117485C0" w16cid:durableId="23CCDD24"/>
  <w16cid:commentId w16cid:paraId="00A10EA3" w16cid:durableId="23EA1FFC"/>
  <w16cid:commentId w16cid:paraId="30BF3605" w16cid:durableId="23CC50D6"/>
  <w16cid:commentId w16cid:paraId="7440397A" w16cid:durableId="23EA1FFE"/>
  <w16cid:commentId w16cid:paraId="3A782D28" w16cid:durableId="23CCDD32"/>
  <w16cid:commentId w16cid:paraId="7F623DE3" w16cid:durableId="23EA2000"/>
  <w16cid:commentId w16cid:paraId="328828BF" w16cid:durableId="23CC50D7"/>
  <w16cid:commentId w16cid:paraId="16CD0832" w16cid:durableId="23EA2002"/>
  <w16cid:commentId w16cid:paraId="2C8FF371" w16cid:durableId="23CC50D8"/>
  <w16cid:commentId w16cid:paraId="4DE7826C" w16cid:durableId="23EA2004"/>
  <w16cid:commentId w16cid:paraId="687A2844" w16cid:durableId="23EA668F"/>
  <w16cid:commentId w16cid:paraId="03AF332B" w16cid:durableId="23FDB3C4"/>
  <w16cid:commentId w16cid:paraId="297AF78A" w16cid:durableId="23CC50D9"/>
  <w16cid:commentId w16cid:paraId="2D84393F" w16cid:durableId="23EA2006"/>
  <w16cid:commentId w16cid:paraId="7F1EEE57" w16cid:durableId="23EA66C1"/>
  <w16cid:commentId w16cid:paraId="68B4F5D1" w16cid:durableId="23FDB3C8"/>
  <w16cid:commentId w16cid:paraId="6D773987" w16cid:durableId="23CC50DA"/>
  <w16cid:commentId w16cid:paraId="49645F3D" w16cid:durableId="23EA2008"/>
  <w16cid:commentId w16cid:paraId="7CE55941" w16cid:durableId="23EA66E3"/>
  <w16cid:commentId w16cid:paraId="518086A6" w16cid:durableId="23FDB3CC"/>
  <w16cid:commentId w16cid:paraId="12309216" w16cid:durableId="23EA677E"/>
  <w16cid:commentId w16cid:paraId="40E369DA" w16cid:durableId="23FDB3CE"/>
  <w16cid:commentId w16cid:paraId="11E6EC6D" w16cid:durableId="23CC50DB"/>
  <w16cid:commentId w16cid:paraId="17CA3CFC" w16cid:durableId="23EA200A"/>
  <w16cid:commentId w16cid:paraId="6FFAA62B" w16cid:durableId="23EA6708"/>
  <w16cid:commentId w16cid:paraId="2701168A" w16cid:durableId="23FDB3D2"/>
  <w16cid:commentId w16cid:paraId="657F98EA" w16cid:durableId="23CC50DC"/>
  <w16cid:commentId w16cid:paraId="1178B820" w16cid:durableId="23EA200C"/>
  <w16cid:commentId w16cid:paraId="78F975E4" w16cid:durableId="23EA6752"/>
  <w16cid:commentId w16cid:paraId="2E7D68DE" w16cid:durableId="23FDB3D6"/>
  <w16cid:commentId w16cid:paraId="6B1A2A7D" w16cid:durableId="23CC50DD"/>
  <w16cid:commentId w16cid:paraId="189AAB92" w16cid:durableId="23EA200E"/>
  <w16cid:commentId w16cid:paraId="00C01802" w16cid:durableId="23EA67A7"/>
  <w16cid:commentId w16cid:paraId="37B21774" w16cid:durableId="23EA6802"/>
  <w16cid:commentId w16cid:paraId="463A8752" w16cid:durableId="23EA6803"/>
  <w16cid:commentId w16cid:paraId="782612EB" w16cid:durableId="23EA680F"/>
  <w16cid:commentId w16cid:paraId="458D53D9" w16cid:durableId="23FDB3DD"/>
  <w16cid:commentId w16cid:paraId="65DCE350" w16cid:durableId="23CC50DE"/>
  <w16cid:commentId w16cid:paraId="3F691762" w16cid:durableId="23EA2010"/>
  <w16cid:commentId w16cid:paraId="503E891F" w16cid:durableId="23EA67B3"/>
  <w16cid:commentId w16cid:paraId="1C21ABF6" w16cid:durableId="23FDB3E1"/>
  <w16cid:commentId w16cid:paraId="66094F19" w16cid:durableId="23CC50DF"/>
  <w16cid:commentId w16cid:paraId="17F711D2" w16cid:durableId="23EA2012"/>
  <w16cid:commentId w16cid:paraId="0E2C6686" w16cid:durableId="23CC50E0"/>
  <w16cid:commentId w16cid:paraId="726B26D1" w16cid:durableId="23EA2014"/>
  <w16cid:commentId w16cid:paraId="76324458" w16cid:durableId="23EA6899"/>
  <w16cid:commentId w16cid:paraId="43CF6B2B" w16cid:durableId="23FDB3E7"/>
  <w16cid:commentId w16cid:paraId="7B4D4327" w16cid:durableId="23EA2015"/>
  <w16cid:commentId w16cid:paraId="72DD11A3" w16cid:durableId="23EA2016"/>
  <w16cid:commentId w16cid:paraId="5865E07F" w16cid:durableId="23CC50E1"/>
  <w16cid:commentId w16cid:paraId="2F65E815" w16cid:durableId="23EA2018"/>
  <w16cid:commentId w16cid:paraId="1E60C181" w16cid:durableId="23FDB3EC"/>
  <w16cid:commentId w16cid:paraId="57623C5B" w16cid:durableId="23CC50E2"/>
  <w16cid:commentId w16cid:paraId="44486E23" w16cid:durableId="23EA201A"/>
  <w16cid:commentId w16cid:paraId="33E87BE5" w16cid:durableId="23FDB3EF"/>
  <w16cid:commentId w16cid:paraId="4994E65D" w16cid:durableId="23CC50E3"/>
  <w16cid:commentId w16cid:paraId="60327E69" w16cid:durableId="23EA201C"/>
  <w16cid:commentId w16cid:paraId="77AE4676" w16cid:durableId="23FDB3F2"/>
  <w16cid:commentId w16cid:paraId="7056566C" w16cid:durableId="23CC50E4"/>
  <w16cid:commentId w16cid:paraId="4D40A37F" w16cid:durableId="23EA201E"/>
  <w16cid:commentId w16cid:paraId="40FBA9E9" w16cid:durableId="23FDB3F5"/>
  <w16cid:commentId w16cid:paraId="3B3E68DE" w16cid:durableId="23CC50E5"/>
  <w16cid:commentId w16cid:paraId="48DCB8F7" w16cid:durableId="23EA2020"/>
  <w16cid:commentId w16cid:paraId="35ADF9F4" w16cid:durableId="23FDB3F8"/>
  <w16cid:commentId w16cid:paraId="6449DB65" w16cid:durableId="23CC50E6"/>
  <w16cid:commentId w16cid:paraId="4B88CAD7" w16cid:durableId="23EA2022"/>
  <w16cid:commentId w16cid:paraId="5361B703" w16cid:durableId="23FDB3FB"/>
  <w16cid:commentId w16cid:paraId="0072AE3A" w16cid:durableId="23CC50E7"/>
  <w16cid:commentId w16cid:paraId="622851B1" w16cid:durableId="23EA2024"/>
  <w16cid:commentId w16cid:paraId="73427A29" w16cid:durableId="23FDB3FE"/>
  <w16cid:commentId w16cid:paraId="4A929633" w16cid:durableId="23CC50E8"/>
  <w16cid:commentId w16cid:paraId="4B05479C" w16cid:durableId="23EA2026"/>
  <w16cid:commentId w16cid:paraId="2114AE1F" w16cid:durableId="23FDB401"/>
  <w16cid:commentId w16cid:paraId="74990608" w16cid:durableId="23CC50E9"/>
  <w16cid:commentId w16cid:paraId="3FBCDADA" w16cid:durableId="23EA2028"/>
  <w16cid:commentId w16cid:paraId="6DFA8DFB" w16cid:durableId="23FDB404"/>
  <w16cid:commentId w16cid:paraId="52272FBB" w16cid:durableId="23CCDDBD"/>
  <w16cid:commentId w16cid:paraId="6F5E11ED" w16cid:durableId="23EA202A"/>
  <w16cid:commentId w16cid:paraId="2EE16FF6" w16cid:durableId="23CCDDD3"/>
  <w16cid:commentId w16cid:paraId="6AD1263A" w16cid:durableId="23EA202C"/>
  <w16cid:commentId w16cid:paraId="7B5510E4" w16cid:durableId="23CCDDE0"/>
  <w16cid:commentId w16cid:paraId="132A67F7" w16cid:durableId="23EA202E"/>
  <w16cid:commentId w16cid:paraId="403C427A" w16cid:durableId="23EA202F"/>
  <w16cid:commentId w16cid:paraId="5B8AF026" w16cid:durableId="23CCDDEC"/>
  <w16cid:commentId w16cid:paraId="768B128F" w16cid:durableId="23EA2031"/>
  <w16cid:commentId w16cid:paraId="2B38DE0A" w16cid:durableId="23CC50ED"/>
  <w16cid:commentId w16cid:paraId="59F69BCA" w16cid:durableId="23EA20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31BB2" w14:textId="77777777" w:rsidR="002C2F38" w:rsidRDefault="002C2F38" w:rsidP="00C40A36">
      <w:pPr>
        <w:spacing w:after="0"/>
      </w:pPr>
      <w:r>
        <w:separator/>
      </w:r>
    </w:p>
  </w:endnote>
  <w:endnote w:type="continuationSeparator" w:id="0">
    <w:p w14:paraId="4288F4C2" w14:textId="77777777" w:rsidR="002C2F38" w:rsidRDefault="002C2F38" w:rsidP="00C40A36">
      <w:pPr>
        <w:spacing w:after="0"/>
      </w:pPr>
      <w:r>
        <w:continuationSeparator/>
      </w:r>
    </w:p>
  </w:endnote>
  <w:endnote w:type="continuationNotice" w:id="1">
    <w:p w14:paraId="1771CBD3" w14:textId="77777777" w:rsidR="002C2F38" w:rsidRDefault="002C2F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TimesNewRoman">
    <w:altName w:val="Yu Gothic UI"/>
    <w:panose1 w:val="00000000000000000000"/>
    <w:charset w:val="80"/>
    <w:family w:val="auto"/>
    <w:notTrueType/>
    <w:pitch w:val="default"/>
    <w:sig w:usb0="00000000" w:usb1="08070000" w:usb2="00000010" w:usb3="00000000" w:csb0="00020001"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8C965" w14:textId="77777777" w:rsidR="002C2F38" w:rsidRDefault="002C2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797"/>
      <w:gridCol w:w="1275"/>
    </w:tblGrid>
    <w:tr w:rsidR="002C2F38" w:rsidRPr="00487162" w14:paraId="321336D3" w14:textId="77777777" w:rsidTr="002C2F38">
      <w:trPr>
        <w:trHeight w:val="269"/>
      </w:trPr>
      <w:tc>
        <w:tcPr>
          <w:tcW w:w="7797" w:type="dxa"/>
          <w:tcMar>
            <w:top w:w="142" w:type="dxa"/>
            <w:bottom w:w="0" w:type="dxa"/>
          </w:tcMar>
        </w:tcPr>
        <w:p w14:paraId="5C3F19D1" w14:textId="199BB37D" w:rsidR="002C2F38" w:rsidRPr="00487162" w:rsidRDefault="002C2F38" w:rsidP="002C2F38">
          <w:pPr>
            <w:pStyle w:val="Footer"/>
          </w:pPr>
          <w:r w:rsidRPr="00487162">
            <w:t>AusPA</w:t>
          </w:r>
          <w:r>
            <w:t xml:space="preserve">R - </w:t>
          </w:r>
          <w:proofErr w:type="spellStart"/>
          <w:r w:rsidRPr="002C7857">
            <w:t>Enerzair</w:t>
          </w:r>
          <w:proofErr w:type="spellEnd"/>
          <w:r w:rsidRPr="002C7857">
            <w:t xml:space="preserve"> Breezhaler </w:t>
          </w:r>
          <w:r w:rsidRPr="00460036">
            <w:t xml:space="preserve">– </w:t>
          </w:r>
          <w:r>
            <w:t>indacaterol acetate/glycopyrronium bromide (</w:t>
          </w:r>
          <w:proofErr w:type="spellStart"/>
          <w:r>
            <w:t>glycopyrrolate</w:t>
          </w:r>
          <w:proofErr w:type="spellEnd"/>
          <w:r>
            <w:t>)/mometasone furoate</w:t>
          </w:r>
          <w:r w:rsidRPr="00460036">
            <w:t xml:space="preserve"> </w:t>
          </w:r>
          <w:r>
            <w:t xml:space="preserve">- </w:t>
          </w:r>
          <w:r w:rsidRPr="00B00971">
            <w:t>Novartis Pharmaceuticals Australia Pty Ltd</w:t>
          </w:r>
          <w:r>
            <w:t xml:space="preserve"> - PM-2019</w:t>
          </w:r>
          <w:r w:rsidRPr="00487162">
            <w:t>-</w:t>
          </w:r>
          <w:r w:rsidRPr="00B00971">
            <w:t>02514</w:t>
          </w:r>
          <w:r w:rsidRPr="00487162">
            <w:t>-</w:t>
          </w:r>
          <w:r>
            <w:t>1-5 FINAL 6 April 2021</w:t>
          </w:r>
        </w:p>
      </w:tc>
      <w:tc>
        <w:tcPr>
          <w:tcW w:w="1275" w:type="dxa"/>
          <w:tcMar>
            <w:top w:w="142" w:type="dxa"/>
            <w:bottom w:w="0" w:type="dxa"/>
          </w:tcMar>
        </w:tcPr>
        <w:p w14:paraId="7BCE3D51" w14:textId="169B4FCB" w:rsidR="002C2F38" w:rsidRPr="00487162" w:rsidRDefault="002C2F38" w:rsidP="002C2F38">
          <w:pPr>
            <w:pStyle w:val="Footer"/>
            <w:jc w:val="center"/>
          </w:pPr>
          <w:r w:rsidRPr="00487162">
            <w:t xml:space="preserve">Page </w:t>
          </w:r>
          <w:r>
            <w:rPr>
              <w:color w:val="2B579A"/>
              <w:shd w:val="clear" w:color="auto" w:fill="E6E6E6"/>
            </w:rPr>
            <w:fldChar w:fldCharType="begin"/>
          </w:r>
          <w:r>
            <w:instrText xml:space="preserve"> PAGE  \* Arabic </w:instrText>
          </w:r>
          <w:r>
            <w:rPr>
              <w:color w:val="2B579A"/>
              <w:shd w:val="clear" w:color="auto" w:fill="E6E6E6"/>
            </w:rPr>
            <w:fldChar w:fldCharType="separate"/>
          </w:r>
          <w:r w:rsidR="005F7BE0">
            <w:rPr>
              <w:noProof/>
            </w:rPr>
            <w:t>3</w:t>
          </w:r>
          <w:r>
            <w:rPr>
              <w:color w:val="2B579A"/>
              <w:shd w:val="clear" w:color="auto" w:fill="E6E6E6"/>
            </w:rPr>
            <w:fldChar w:fldCharType="end"/>
          </w:r>
          <w:r w:rsidRPr="00487162">
            <w:t xml:space="preserve"> of </w:t>
          </w:r>
          <w:r>
            <w:fldChar w:fldCharType="begin"/>
          </w:r>
          <w:r>
            <w:instrText>NUMPAGES  \* Arabic</w:instrText>
          </w:r>
          <w:r>
            <w:fldChar w:fldCharType="separate"/>
          </w:r>
          <w:r w:rsidR="005F7BE0">
            <w:rPr>
              <w:noProof/>
            </w:rPr>
            <w:t>27</w:t>
          </w:r>
          <w:r>
            <w:fldChar w:fldCharType="end"/>
          </w:r>
        </w:p>
      </w:tc>
    </w:tr>
  </w:tbl>
  <w:p w14:paraId="262B13CC" w14:textId="77777777" w:rsidR="002C2F38" w:rsidRDefault="002C2F38"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82872" w14:textId="77777777" w:rsidR="002C2F38" w:rsidRDefault="002C2F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2C2F38" w:rsidRPr="00487162" w14:paraId="3B3083B6" w14:textId="77777777" w:rsidTr="00E45619">
      <w:trPr>
        <w:trHeight w:val="269"/>
      </w:trPr>
      <w:tc>
        <w:tcPr>
          <w:tcW w:w="4519" w:type="dxa"/>
          <w:tcBorders>
            <w:top w:val="single" w:sz="4" w:space="0" w:color="auto"/>
          </w:tcBorders>
          <w:tcMar>
            <w:top w:w="142" w:type="dxa"/>
            <w:bottom w:w="0" w:type="dxa"/>
          </w:tcMar>
        </w:tcPr>
        <w:p w14:paraId="217238C8" w14:textId="77777777" w:rsidR="002C2F38" w:rsidRPr="00487162" w:rsidRDefault="002C2F38" w:rsidP="00FE1DEE">
          <w:pPr>
            <w:pStyle w:val="Footer"/>
          </w:pPr>
          <w:r w:rsidRPr="00487162">
            <w:t>Document title, Part #, Section # - Section title</w:t>
          </w:r>
        </w:p>
        <w:p w14:paraId="35F9264D" w14:textId="77777777" w:rsidR="002C2F38" w:rsidRPr="00487162" w:rsidRDefault="002C2F38" w:rsidP="00FE1DEE">
          <w:pPr>
            <w:pStyle w:val="Footer"/>
          </w:pPr>
          <w:r w:rsidRPr="00487162">
            <w:t>V1.0 October 2010</w:t>
          </w:r>
        </w:p>
      </w:tc>
      <w:tc>
        <w:tcPr>
          <w:tcW w:w="4342" w:type="dxa"/>
          <w:tcBorders>
            <w:top w:val="single" w:sz="4" w:space="0" w:color="auto"/>
          </w:tcBorders>
          <w:tcMar>
            <w:top w:w="142" w:type="dxa"/>
            <w:bottom w:w="0" w:type="dxa"/>
          </w:tcMar>
        </w:tcPr>
        <w:p w14:paraId="323F230D" w14:textId="77777777" w:rsidR="002C2F38" w:rsidRPr="00487162" w:rsidRDefault="002C2F38" w:rsidP="00E45619">
          <w:pPr>
            <w:pStyle w:val="Footer"/>
            <w:jc w:val="right"/>
          </w:pPr>
          <w:r w:rsidRPr="00487162">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Pr="00487162">
            <w:rPr>
              <w:noProof/>
            </w:rPr>
            <w:t>3</w:t>
          </w:r>
          <w:r>
            <w:rPr>
              <w:noProof/>
              <w:color w:val="2B579A"/>
              <w:shd w:val="clear" w:color="auto" w:fill="E6E6E6"/>
            </w:rPr>
            <w:fldChar w:fldCharType="end"/>
          </w:r>
          <w:r w:rsidRPr="00487162">
            <w:t xml:space="preserve"> of </w:t>
          </w:r>
          <w:r>
            <w:fldChar w:fldCharType="begin"/>
          </w:r>
          <w:r>
            <w:instrText>NUMPAGES</w:instrText>
          </w:r>
          <w:r>
            <w:fldChar w:fldCharType="separate"/>
          </w:r>
          <w:r>
            <w:rPr>
              <w:noProof/>
            </w:rPr>
            <w:t>3</w:t>
          </w:r>
          <w:r>
            <w:fldChar w:fldCharType="end"/>
          </w:r>
        </w:p>
      </w:tc>
    </w:tr>
  </w:tbl>
  <w:p w14:paraId="4F39BCBA" w14:textId="77777777" w:rsidR="002C2F38" w:rsidRDefault="002C2F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C6279" w14:textId="77777777" w:rsidR="002C2F38" w:rsidRPr="001C32CD" w:rsidRDefault="002C2F38"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2C2F38" w14:paraId="1ECAA2D2" w14:textId="77777777" w:rsidTr="0010601F">
      <w:trPr>
        <w:trHeight w:val="108"/>
      </w:trPr>
      <w:tc>
        <w:tcPr>
          <w:tcW w:w="8875" w:type="dxa"/>
          <w:gridSpan w:val="2"/>
          <w:tcBorders>
            <w:bottom w:val="single" w:sz="4" w:space="0" w:color="auto"/>
          </w:tcBorders>
          <w:tcMar>
            <w:right w:w="284" w:type="dxa"/>
          </w:tcMar>
        </w:tcPr>
        <w:p w14:paraId="1568E0F1" w14:textId="77777777" w:rsidR="002C2F38" w:rsidRDefault="002C2F38" w:rsidP="006E08B3">
          <w:pPr>
            <w:pStyle w:val="Heading3"/>
          </w:pPr>
          <w:r>
            <w:t>Copyright</w:t>
          </w:r>
        </w:p>
        <w:p w14:paraId="738A2BDB" w14:textId="77777777" w:rsidR="002C2F38" w:rsidRDefault="002C2F38" w:rsidP="006E08B3">
          <w:r>
            <w:rPr>
              <w:rFonts w:cs="Arial"/>
            </w:rPr>
            <w:t>©</w:t>
          </w:r>
          <w:r>
            <w:t xml:space="preserve"> Commonwealth of Australia [add year]</w:t>
          </w:r>
        </w:p>
        <w:p w14:paraId="16C15424" w14:textId="77777777" w:rsidR="002C2F38" w:rsidRDefault="002C2F38" w:rsidP="006E08B3"/>
        <w:p w14:paraId="11C5ABFE" w14:textId="77777777" w:rsidR="002C2F38" w:rsidRDefault="002C2F3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6763EA9D" w14:textId="77777777" w:rsidR="002C2F38" w:rsidRDefault="002C2F38" w:rsidP="006E08B3"/>
        <w:p w14:paraId="7F2C83D7" w14:textId="77777777" w:rsidR="002C2F38" w:rsidRDefault="002C2F38" w:rsidP="006E08B3">
          <w:pPr>
            <w:pStyle w:val="Heading3"/>
          </w:pPr>
          <w:r>
            <w:t>Confidentiality</w:t>
          </w:r>
        </w:p>
        <w:p w14:paraId="69CAC424" w14:textId="77777777" w:rsidR="002C2F38" w:rsidRDefault="002C2F3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22D38ECB" w14:textId="77777777" w:rsidR="002C2F38" w:rsidRDefault="002C2F38" w:rsidP="006E08B3"/>
        <w:p w14:paraId="2919C2EF" w14:textId="77777777" w:rsidR="002C2F38" w:rsidRDefault="002C2F38" w:rsidP="006E08B3">
          <w:r>
            <w:t>For submission made by individuals, all personal details, other than your name, will be removed from your submission before it is published on the TGA’s Internet site.</w:t>
          </w:r>
        </w:p>
        <w:p w14:paraId="5C5825B6" w14:textId="77777777" w:rsidR="002C2F38" w:rsidRDefault="002C2F38" w:rsidP="006E08B3"/>
        <w:p w14:paraId="3CAB9D9F" w14:textId="77777777" w:rsidR="002C2F38" w:rsidRDefault="002C2F38"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2C2F38" w14:paraId="0DAD3F03" w14:textId="77777777" w:rsidTr="0010601F">
      <w:trPr>
        <w:trHeight w:val="417"/>
      </w:trPr>
      <w:tc>
        <w:tcPr>
          <w:tcW w:w="4519" w:type="dxa"/>
          <w:tcBorders>
            <w:top w:val="single" w:sz="4" w:space="0" w:color="auto"/>
          </w:tcBorders>
          <w:tcMar>
            <w:top w:w="142" w:type="dxa"/>
            <w:bottom w:w="0" w:type="dxa"/>
          </w:tcMar>
        </w:tcPr>
        <w:p w14:paraId="5ED525C2" w14:textId="77777777" w:rsidR="002C2F38" w:rsidRDefault="002C2F38" w:rsidP="006E08B3">
          <w:r>
            <w:t>Document title, Part #, Section # - Section title</w:t>
          </w:r>
        </w:p>
        <w:p w14:paraId="32166AA7" w14:textId="77777777" w:rsidR="002C2F38" w:rsidRDefault="002C2F38" w:rsidP="006E08B3">
          <w:r>
            <w:t>V1.0 October 2010</w:t>
          </w:r>
        </w:p>
      </w:tc>
      <w:tc>
        <w:tcPr>
          <w:tcW w:w="4356" w:type="dxa"/>
          <w:tcBorders>
            <w:top w:val="single" w:sz="4" w:space="0" w:color="auto"/>
          </w:tcBorders>
          <w:tcMar>
            <w:top w:w="142" w:type="dxa"/>
            <w:bottom w:w="0" w:type="dxa"/>
          </w:tcMar>
        </w:tcPr>
        <w:p w14:paraId="21066714" w14:textId="77777777" w:rsidR="002C2F38" w:rsidRDefault="002C2F38" w:rsidP="006E08B3">
          <w:pPr>
            <w:jc w:val="right"/>
          </w:pP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r>
            <w:t xml:space="preserve"> of </w:t>
          </w:r>
          <w:r>
            <w:fldChar w:fldCharType="begin"/>
          </w:r>
          <w:r>
            <w:instrText>NUMPAGES  \* Arabic</w:instrText>
          </w:r>
          <w:r>
            <w:fldChar w:fldCharType="separate"/>
          </w:r>
          <w:r>
            <w:rPr>
              <w:noProof/>
            </w:rPr>
            <w:t>3</w:t>
          </w:r>
          <w:r>
            <w:fldChar w:fldCharType="end"/>
          </w:r>
          <w:r>
            <w:t xml:space="preserve">  </w:t>
          </w:r>
        </w:p>
      </w:tc>
    </w:tr>
  </w:tbl>
  <w:p w14:paraId="4A571A46" w14:textId="77777777" w:rsidR="002C2F38" w:rsidRDefault="002C2F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9B751" w14:textId="77777777" w:rsidR="002C2F38" w:rsidRDefault="002C2F38" w:rsidP="00C40A36">
      <w:pPr>
        <w:spacing w:after="0"/>
      </w:pPr>
      <w:r>
        <w:separator/>
      </w:r>
    </w:p>
  </w:footnote>
  <w:footnote w:type="continuationSeparator" w:id="0">
    <w:p w14:paraId="7BE12D92" w14:textId="77777777" w:rsidR="002C2F38" w:rsidRDefault="002C2F38" w:rsidP="00C40A36">
      <w:pPr>
        <w:spacing w:after="0"/>
      </w:pPr>
      <w:r>
        <w:continuationSeparator/>
      </w:r>
    </w:p>
  </w:footnote>
  <w:footnote w:type="continuationNotice" w:id="1">
    <w:p w14:paraId="3575B901" w14:textId="77777777" w:rsidR="002C2F38" w:rsidRDefault="002C2F38">
      <w:pPr>
        <w:spacing w:before="0" w:after="0" w:line="240" w:lineRule="auto"/>
      </w:pPr>
    </w:p>
  </w:footnote>
  <w:footnote w:id="2">
    <w:p w14:paraId="7D9B743F" w14:textId="77777777" w:rsidR="002C2F38" w:rsidRDefault="002C2F38">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3">
    <w:p w14:paraId="4FC793BD" w14:textId="77777777" w:rsidR="002C2F38" w:rsidRPr="00DE277A" w:rsidRDefault="002C2F38" w:rsidP="00DE277A">
      <w:pPr>
        <w:pStyle w:val="FootnoteText"/>
      </w:pPr>
      <w:r w:rsidRPr="0047717D">
        <w:rPr>
          <w:rStyle w:val="FootnoteReference"/>
        </w:rPr>
        <w:footnoteRef/>
      </w:r>
      <w:r w:rsidRPr="00C2329A">
        <w:rPr>
          <w:lang w:val="fr-CH"/>
        </w:rPr>
        <w:t xml:space="preserve"> Jones, T. L. et al. </w:t>
      </w:r>
      <w:r w:rsidRPr="00DE277A">
        <w:t>Diagnosis and Treatment of Severe Asthma: a Phenotype-based Approach</w:t>
      </w:r>
      <w:r>
        <w:t>,</w:t>
      </w:r>
      <w:r w:rsidRPr="00DE277A">
        <w:t xml:space="preserve"> </w:t>
      </w:r>
      <w:proofErr w:type="spellStart"/>
      <w:r w:rsidRPr="00DE277A">
        <w:t>Clin</w:t>
      </w:r>
      <w:proofErr w:type="spellEnd"/>
      <w:r w:rsidRPr="00DE277A">
        <w:t xml:space="preserve"> Med (</w:t>
      </w:r>
      <w:proofErr w:type="spellStart"/>
      <w:r w:rsidRPr="00DE277A">
        <w:t>Lond</w:t>
      </w:r>
      <w:proofErr w:type="spellEnd"/>
      <w:r w:rsidRPr="00DE277A">
        <w:t>), 2018</w:t>
      </w:r>
      <w:r>
        <w:t>;</w:t>
      </w:r>
      <w:r w:rsidRPr="00DE277A">
        <w:t xml:space="preserve"> 18</w:t>
      </w:r>
      <w:r>
        <w:t xml:space="preserve"> </w:t>
      </w:r>
      <w:r w:rsidRPr="00DE277A">
        <w:t>(</w:t>
      </w:r>
      <w:proofErr w:type="spellStart"/>
      <w:r w:rsidRPr="00DE277A">
        <w:t>Suppl</w:t>
      </w:r>
      <w:proofErr w:type="spellEnd"/>
      <w:r w:rsidRPr="00DE277A">
        <w:t xml:space="preserve"> 2): s36-s40.</w:t>
      </w:r>
    </w:p>
  </w:footnote>
  <w:footnote w:id="4">
    <w:p w14:paraId="367BA76E" w14:textId="77777777" w:rsidR="002C2F38" w:rsidRDefault="002C2F38" w:rsidP="00DE277A">
      <w:pPr>
        <w:pStyle w:val="FootnoteText"/>
      </w:pPr>
      <w:r w:rsidRPr="0047717D">
        <w:rPr>
          <w:rStyle w:val="FootnoteReference"/>
        </w:rPr>
        <w:footnoteRef/>
      </w:r>
      <w:r>
        <w:t xml:space="preserve"> Barnes, P. J.</w:t>
      </w:r>
      <w:r w:rsidRPr="00DE277A">
        <w:t xml:space="preserve"> Triple Inhalers for Obstructive Airways Disease: Will They be Useful?</w:t>
      </w:r>
      <w:r>
        <w:t>,</w:t>
      </w:r>
      <w:r w:rsidRPr="00DE277A">
        <w:t xml:space="preserve"> Expert Rev </w:t>
      </w:r>
      <w:proofErr w:type="spellStart"/>
      <w:r w:rsidRPr="00DE277A">
        <w:t>Respir</w:t>
      </w:r>
      <w:proofErr w:type="spellEnd"/>
      <w:r w:rsidRPr="00DE277A">
        <w:t xml:space="preserve"> Med, 2011</w:t>
      </w:r>
      <w:r>
        <w:t>;</w:t>
      </w:r>
      <w:r w:rsidRPr="00DE277A">
        <w:t xml:space="preserve"> 5(3): 297-300.</w:t>
      </w:r>
    </w:p>
  </w:footnote>
  <w:footnote w:id="5">
    <w:p w14:paraId="21A00DAE" w14:textId="07E5A56A" w:rsidR="002C2F38" w:rsidRPr="00DC1F36" w:rsidRDefault="002C2F38">
      <w:pPr>
        <w:pStyle w:val="FootnoteText"/>
        <w:rPr>
          <w:lang w:val="en-US"/>
        </w:rPr>
      </w:pPr>
      <w:r>
        <w:rPr>
          <w:rStyle w:val="FootnoteReference"/>
        </w:rPr>
        <w:footnoteRef/>
      </w:r>
      <w:r>
        <w:t xml:space="preserve"> </w:t>
      </w:r>
      <w:r w:rsidRPr="008F2217">
        <w:t xml:space="preserve">Global Initiative for Asthma. Global Strategy for Asthma Management </w:t>
      </w:r>
      <w:r>
        <w:t>and Prevention, 2020.</w:t>
      </w:r>
    </w:p>
  </w:footnote>
  <w:footnote w:id="6">
    <w:p w14:paraId="40D304C5" w14:textId="4A211FFF" w:rsidR="002C2F38" w:rsidRDefault="002C2F38">
      <w:pPr>
        <w:pStyle w:val="FootnoteText"/>
      </w:pPr>
      <w:r>
        <w:rPr>
          <w:rStyle w:val="FootnoteReference"/>
        </w:rPr>
        <w:footnoteRef/>
      </w:r>
      <w:r>
        <w:t xml:space="preserve"> Global Initiative for Asthma. Global Strategy for Asthma Management a</w:t>
      </w:r>
      <w:r w:rsidRPr="005901A9">
        <w:t>nd Prevention</w:t>
      </w:r>
      <w:r>
        <w:t>,</w:t>
      </w:r>
      <w:r w:rsidRPr="005901A9">
        <w:t xml:space="preserve"> </w:t>
      </w:r>
      <w:r>
        <w:t>2018</w:t>
      </w:r>
      <w:r w:rsidRPr="005901A9">
        <w:t>.</w:t>
      </w:r>
    </w:p>
  </w:footnote>
  <w:footnote w:id="7">
    <w:p w14:paraId="7A6AE349" w14:textId="77777777" w:rsidR="002C2F38" w:rsidRPr="00DE277A" w:rsidRDefault="002C2F38" w:rsidP="00DE277A">
      <w:pPr>
        <w:pStyle w:val="FootnoteText"/>
      </w:pPr>
      <w:r w:rsidRPr="0047717D">
        <w:rPr>
          <w:rStyle w:val="FootnoteReference"/>
        </w:rPr>
        <w:footnoteRef/>
      </w:r>
      <w:r w:rsidRPr="00C2329A">
        <w:rPr>
          <w:lang w:val="fr-CH"/>
        </w:rPr>
        <w:t xml:space="preserve"> </w:t>
      </w:r>
      <w:proofErr w:type="spellStart"/>
      <w:r w:rsidRPr="00C2329A">
        <w:rPr>
          <w:lang w:val="fr-CH"/>
        </w:rPr>
        <w:t>Kerstjens</w:t>
      </w:r>
      <w:proofErr w:type="spellEnd"/>
      <w:r w:rsidRPr="00C2329A">
        <w:rPr>
          <w:lang w:val="fr-CH"/>
        </w:rPr>
        <w:t xml:space="preserve">, H. A. M. et al. </w:t>
      </w:r>
      <w:proofErr w:type="spellStart"/>
      <w:r w:rsidRPr="00DE277A">
        <w:t>Tiotropium</w:t>
      </w:r>
      <w:proofErr w:type="spellEnd"/>
      <w:r w:rsidRPr="00DE277A">
        <w:t xml:space="preserve"> in Asthma Poorly Controlled with Standard Combination Therapy</w:t>
      </w:r>
      <w:r>
        <w:t xml:space="preserve">, N </w:t>
      </w:r>
      <w:proofErr w:type="spellStart"/>
      <w:r>
        <w:t>Engl</w:t>
      </w:r>
      <w:proofErr w:type="spellEnd"/>
      <w:r>
        <w:t xml:space="preserve"> J Med, </w:t>
      </w:r>
      <w:r w:rsidRPr="00DE277A">
        <w:t>2012</w:t>
      </w:r>
      <w:r>
        <w:t xml:space="preserve">; </w:t>
      </w:r>
      <w:r w:rsidRPr="00DE277A">
        <w:t>367(13):1198-</w:t>
      </w:r>
      <w:r>
        <w:t>1</w:t>
      </w:r>
      <w:r w:rsidRPr="00DE277A">
        <w:t>207.</w:t>
      </w:r>
    </w:p>
  </w:footnote>
  <w:footnote w:id="8">
    <w:p w14:paraId="719E7309" w14:textId="77777777" w:rsidR="002C2F38" w:rsidRPr="00DE277A" w:rsidRDefault="002C2F38" w:rsidP="00DE277A">
      <w:pPr>
        <w:pStyle w:val="FootnoteText"/>
      </w:pPr>
      <w:r w:rsidRPr="0047717D">
        <w:rPr>
          <w:rStyle w:val="FootnoteReference"/>
        </w:rPr>
        <w:footnoteRef/>
      </w:r>
      <w:r w:rsidRPr="00DE277A">
        <w:t xml:space="preserve"> </w:t>
      </w:r>
      <w:proofErr w:type="spellStart"/>
      <w:r w:rsidRPr="00DE277A">
        <w:t>Halpin</w:t>
      </w:r>
      <w:proofErr w:type="spellEnd"/>
      <w:r>
        <w:t>,</w:t>
      </w:r>
      <w:r w:rsidRPr="00DE277A">
        <w:t xml:space="preserve"> D</w:t>
      </w:r>
      <w:r>
        <w:t xml:space="preserve">. </w:t>
      </w:r>
      <w:r w:rsidRPr="00DE277A">
        <w:t>M</w:t>
      </w:r>
      <w:r>
        <w:t>.</w:t>
      </w:r>
      <w:r w:rsidRPr="00DE277A">
        <w:t xml:space="preserve"> </w:t>
      </w:r>
      <w:proofErr w:type="spellStart"/>
      <w:r w:rsidRPr="00DE277A">
        <w:t>Tiotropium</w:t>
      </w:r>
      <w:proofErr w:type="spellEnd"/>
      <w:r w:rsidRPr="00DE277A">
        <w:t xml:space="preserve"> in Asthma: What is the Evidence and How Does It Fit </w:t>
      </w:r>
      <w:r>
        <w:t>in, World Allergy Organ J,</w:t>
      </w:r>
      <w:r w:rsidRPr="00DE277A">
        <w:t xml:space="preserve"> </w:t>
      </w:r>
      <w:r>
        <w:t>2016;</w:t>
      </w:r>
      <w:r w:rsidRPr="00DE277A">
        <w:t xml:space="preserve"> 9(1):29.</w:t>
      </w:r>
    </w:p>
  </w:footnote>
  <w:footnote w:id="9">
    <w:p w14:paraId="66B00280" w14:textId="77777777" w:rsidR="002C2F38" w:rsidRPr="00F80A9D" w:rsidRDefault="002C2F38" w:rsidP="00DE277A">
      <w:pPr>
        <w:pStyle w:val="FootnoteText"/>
        <w:rPr>
          <w:sz w:val="22"/>
          <w:szCs w:val="22"/>
        </w:rPr>
      </w:pPr>
      <w:r w:rsidRPr="0047717D">
        <w:rPr>
          <w:rStyle w:val="FootnoteReference"/>
        </w:rPr>
        <w:footnoteRef/>
      </w:r>
      <w:r w:rsidRPr="00C2329A">
        <w:rPr>
          <w:lang w:val="fr-CH"/>
        </w:rPr>
        <w:t xml:space="preserve"> </w:t>
      </w:r>
      <w:proofErr w:type="spellStart"/>
      <w:r w:rsidRPr="00C2329A">
        <w:rPr>
          <w:lang w:val="fr-CH"/>
        </w:rPr>
        <w:t>Kerstjens</w:t>
      </w:r>
      <w:proofErr w:type="spellEnd"/>
      <w:r w:rsidRPr="00C2329A">
        <w:rPr>
          <w:lang w:val="fr-CH"/>
        </w:rPr>
        <w:t xml:space="preserve">, H. A. M. et al. </w:t>
      </w:r>
      <w:proofErr w:type="spellStart"/>
      <w:r w:rsidRPr="00DE277A">
        <w:t>Tiotropium</w:t>
      </w:r>
      <w:proofErr w:type="spellEnd"/>
      <w:r w:rsidRPr="00DE277A">
        <w:t xml:space="preserve"> Improves Lung Function, Exacerbation Rate, and Asthma Control, Independent of Baseline Characteristics Including Age, Degree of Airway Obstruction, and Allergic Status</w:t>
      </w:r>
      <w:r>
        <w:t xml:space="preserve">. </w:t>
      </w:r>
      <w:proofErr w:type="spellStart"/>
      <w:r>
        <w:t>Respir</w:t>
      </w:r>
      <w:proofErr w:type="spellEnd"/>
      <w:r>
        <w:t xml:space="preserve"> Med,</w:t>
      </w:r>
      <w:r w:rsidRPr="00480219">
        <w:t xml:space="preserve"> </w:t>
      </w:r>
      <w:r>
        <w:t>2016;</w:t>
      </w:r>
      <w:r w:rsidRPr="00DE277A">
        <w:t xml:space="preserve"> 358:198-206.</w:t>
      </w:r>
    </w:p>
  </w:footnote>
  <w:footnote w:id="10">
    <w:p w14:paraId="095CC770" w14:textId="77777777" w:rsidR="002C2F38" w:rsidRPr="00DE09D2" w:rsidRDefault="002C2F38" w:rsidP="00DE09D2">
      <w:pPr>
        <w:pStyle w:val="FootnoteText"/>
      </w:pPr>
      <w:r w:rsidRPr="0047717D">
        <w:rPr>
          <w:rStyle w:val="FootnoteReference"/>
        </w:rPr>
        <w:footnoteRef/>
      </w:r>
      <w:r w:rsidRPr="00DE09D2">
        <w:t xml:space="preserve"> </w:t>
      </w:r>
      <w:proofErr w:type="spellStart"/>
      <w:r w:rsidRPr="00DE09D2">
        <w:t>Carstairs</w:t>
      </w:r>
      <w:proofErr w:type="spellEnd"/>
      <w:r>
        <w:t>,</w:t>
      </w:r>
      <w:r w:rsidRPr="00DE09D2">
        <w:t xml:space="preserve"> J</w:t>
      </w:r>
      <w:r>
        <w:t xml:space="preserve">. </w:t>
      </w:r>
      <w:r w:rsidRPr="00DE09D2">
        <w:t>R</w:t>
      </w:r>
      <w:r>
        <w:t xml:space="preserve">. et al. </w:t>
      </w:r>
      <w:proofErr w:type="spellStart"/>
      <w:r w:rsidRPr="00DE09D2">
        <w:t>Autoradiographic</w:t>
      </w:r>
      <w:proofErr w:type="spellEnd"/>
      <w:r w:rsidRPr="00DE09D2">
        <w:t xml:space="preserve"> Visualisation of </w:t>
      </w:r>
      <w:proofErr w:type="spellStart"/>
      <w:r w:rsidRPr="00DE09D2">
        <w:t>Betaadrenoceptor</w:t>
      </w:r>
      <w:proofErr w:type="spellEnd"/>
      <w:r w:rsidRPr="00DE09D2">
        <w:t xml:space="preserve"> Subtypes in Human Lung</w:t>
      </w:r>
      <w:r>
        <w:t xml:space="preserve">, Am Rev </w:t>
      </w:r>
      <w:proofErr w:type="spellStart"/>
      <w:r>
        <w:t>Resp</w:t>
      </w:r>
      <w:proofErr w:type="spellEnd"/>
      <w:r>
        <w:t xml:space="preserve"> Dis, </w:t>
      </w:r>
      <w:r w:rsidRPr="00DE09D2">
        <w:t>1985</w:t>
      </w:r>
      <w:r>
        <w:t xml:space="preserve">; </w:t>
      </w:r>
      <w:r w:rsidRPr="00DE09D2">
        <w:t>132(3):541-</w:t>
      </w:r>
      <w:r>
        <w:t>54</w:t>
      </w:r>
      <w:r w:rsidRPr="00DE09D2">
        <w:t>7.</w:t>
      </w:r>
    </w:p>
  </w:footnote>
  <w:footnote w:id="11">
    <w:p w14:paraId="475BCC7C" w14:textId="77777777" w:rsidR="002C2F38" w:rsidRPr="00DE09D2" w:rsidRDefault="002C2F38" w:rsidP="00DE09D2">
      <w:pPr>
        <w:pStyle w:val="FootnoteText"/>
      </w:pPr>
      <w:r w:rsidRPr="0047717D">
        <w:rPr>
          <w:rStyle w:val="FootnoteReference"/>
        </w:rPr>
        <w:footnoteRef/>
      </w:r>
      <w:r w:rsidRPr="00DE09D2">
        <w:t xml:space="preserve"> </w:t>
      </w:r>
      <w:proofErr w:type="spellStart"/>
      <w:r w:rsidRPr="00DE09D2">
        <w:t>Mak</w:t>
      </w:r>
      <w:proofErr w:type="spellEnd"/>
      <w:r>
        <w:t>,</w:t>
      </w:r>
      <w:r w:rsidRPr="00DE09D2">
        <w:t xml:space="preserve"> J</w:t>
      </w:r>
      <w:r>
        <w:t xml:space="preserve">. </w:t>
      </w:r>
      <w:r w:rsidRPr="00DE09D2">
        <w:t>C</w:t>
      </w:r>
      <w:r>
        <w:t xml:space="preserve">. </w:t>
      </w:r>
      <w:r w:rsidRPr="00DE09D2">
        <w:t>W</w:t>
      </w:r>
      <w:r>
        <w:t xml:space="preserve">. and </w:t>
      </w:r>
      <w:r w:rsidRPr="00DE09D2">
        <w:t>Barnes</w:t>
      </w:r>
      <w:r>
        <w:t>,</w:t>
      </w:r>
      <w:r w:rsidRPr="00DE09D2">
        <w:t xml:space="preserve"> P</w:t>
      </w:r>
      <w:r>
        <w:t xml:space="preserve">. </w:t>
      </w:r>
      <w:r w:rsidRPr="00DE09D2">
        <w:t>J</w:t>
      </w:r>
      <w:r>
        <w:t>.</w:t>
      </w:r>
      <w:r w:rsidRPr="00DE09D2">
        <w:t xml:space="preserve"> </w:t>
      </w:r>
      <w:proofErr w:type="spellStart"/>
      <w:r w:rsidRPr="00DE09D2">
        <w:t>Autoradiographic</w:t>
      </w:r>
      <w:proofErr w:type="spellEnd"/>
      <w:r w:rsidRPr="00DE09D2">
        <w:t xml:space="preserve"> Visualization of Muscarinic Receptor Subtypes in Human and Guinea Pig Lung</w:t>
      </w:r>
      <w:r>
        <w:t>,</w:t>
      </w:r>
      <w:r w:rsidRPr="00DE09D2">
        <w:t xml:space="preserve"> Am Rev </w:t>
      </w:r>
      <w:proofErr w:type="spellStart"/>
      <w:r w:rsidRPr="00DE09D2">
        <w:t>Resp</w:t>
      </w:r>
      <w:proofErr w:type="spellEnd"/>
      <w:r w:rsidRPr="00DE09D2">
        <w:t xml:space="preserve"> Dis</w:t>
      </w:r>
      <w:r>
        <w:t>,</w:t>
      </w:r>
      <w:r w:rsidRPr="00480219">
        <w:t xml:space="preserve"> </w:t>
      </w:r>
      <w:r w:rsidRPr="00DE09D2">
        <w:t>1990</w:t>
      </w:r>
      <w:r>
        <w:t xml:space="preserve">; </w:t>
      </w:r>
      <w:r w:rsidRPr="00DE09D2">
        <w:t>141(6):1559-</w:t>
      </w:r>
      <w:r>
        <w:t>15</w:t>
      </w:r>
      <w:r w:rsidRPr="00DE09D2">
        <w:t>68.</w:t>
      </w:r>
    </w:p>
  </w:footnote>
  <w:footnote w:id="12">
    <w:p w14:paraId="27C07EC0" w14:textId="77777777" w:rsidR="002C2F38" w:rsidRPr="00DE09D2" w:rsidRDefault="002C2F38" w:rsidP="00DE09D2">
      <w:pPr>
        <w:pStyle w:val="FootnoteText"/>
      </w:pPr>
      <w:r w:rsidRPr="0047717D">
        <w:rPr>
          <w:rStyle w:val="FootnoteReference"/>
        </w:rPr>
        <w:footnoteRef/>
      </w:r>
      <w:r w:rsidRPr="00DE09D2">
        <w:t xml:space="preserve"> Ikeda</w:t>
      </w:r>
      <w:r>
        <w:t>,</w:t>
      </w:r>
      <w:r w:rsidRPr="00DE09D2">
        <w:t xml:space="preserve"> T</w:t>
      </w:r>
      <w:r>
        <w:t xml:space="preserve">. </w:t>
      </w:r>
      <w:r w:rsidRPr="00DE09D2">
        <w:t>et al</w:t>
      </w:r>
      <w:r>
        <w:t xml:space="preserve">. </w:t>
      </w:r>
      <w:r w:rsidRPr="00DE09D2">
        <w:t>Regional Quantification of Muscarinic Acetylcholine Receptors and β-</w:t>
      </w:r>
      <w:proofErr w:type="spellStart"/>
      <w:r w:rsidRPr="00DE09D2">
        <w:t>adrenoceptors</w:t>
      </w:r>
      <w:proofErr w:type="spellEnd"/>
      <w:r w:rsidRPr="00DE09D2">
        <w:t xml:space="preserve"> in Human airways</w:t>
      </w:r>
      <w:r>
        <w:t>,</w:t>
      </w:r>
      <w:r w:rsidRPr="00DE09D2">
        <w:t xml:space="preserve"> Br J </w:t>
      </w:r>
      <w:proofErr w:type="spellStart"/>
      <w:r w:rsidRPr="00DE09D2">
        <w:t>Pharmacol</w:t>
      </w:r>
      <w:proofErr w:type="spellEnd"/>
      <w:r>
        <w:t>,</w:t>
      </w:r>
      <w:r w:rsidRPr="00480219">
        <w:t xml:space="preserve"> </w:t>
      </w:r>
      <w:r w:rsidRPr="00DE09D2">
        <w:t>2012</w:t>
      </w:r>
      <w:r>
        <w:t>;</w:t>
      </w:r>
      <w:r w:rsidRPr="00DE09D2">
        <w:t xml:space="preserve"> 166(6):1804-</w:t>
      </w:r>
      <w:r>
        <w:t>18</w:t>
      </w:r>
      <w:r w:rsidRPr="00DE09D2">
        <w:t>14.</w:t>
      </w:r>
    </w:p>
  </w:footnote>
  <w:footnote w:id="13">
    <w:p w14:paraId="1ECB4D17" w14:textId="77777777" w:rsidR="002C2F38" w:rsidRDefault="002C2F38" w:rsidP="00DE09D2">
      <w:pPr>
        <w:pStyle w:val="FootnoteText"/>
      </w:pPr>
      <w:r w:rsidRPr="0047717D">
        <w:rPr>
          <w:rStyle w:val="FootnoteReference"/>
        </w:rPr>
        <w:footnoteRef/>
      </w:r>
      <w:r w:rsidRPr="00DE09D2">
        <w:t xml:space="preserve"> Murphy</w:t>
      </w:r>
      <w:r>
        <w:t>,</w:t>
      </w:r>
      <w:r w:rsidRPr="00DE09D2">
        <w:t xml:space="preserve"> K</w:t>
      </w:r>
      <w:r>
        <w:t xml:space="preserve">. </w:t>
      </w:r>
      <w:r w:rsidRPr="00DE09D2">
        <w:t>R</w:t>
      </w:r>
      <w:r>
        <w:t>. and</w:t>
      </w:r>
      <w:r w:rsidRPr="00DE09D2">
        <w:t xml:space="preserve"> Bender</w:t>
      </w:r>
      <w:r>
        <w:t>,</w:t>
      </w:r>
      <w:r w:rsidRPr="00DE09D2">
        <w:t xml:space="preserve"> B</w:t>
      </w:r>
      <w:r>
        <w:t xml:space="preserve">. </w:t>
      </w:r>
      <w:r w:rsidRPr="00DE09D2">
        <w:t>G</w:t>
      </w:r>
      <w:r>
        <w:t>.</w:t>
      </w:r>
      <w:r w:rsidRPr="00DE09D2">
        <w:t xml:space="preserve"> Treatment of Moderate to Severe Asthma: Patient Perspectives on Combination Inhaler Therapy and Implications for Adherence</w:t>
      </w:r>
      <w:r>
        <w:t>,</w:t>
      </w:r>
      <w:r w:rsidRPr="00DE09D2">
        <w:t xml:space="preserve"> J Asthma Allergy</w:t>
      </w:r>
      <w:r>
        <w:t xml:space="preserve">, </w:t>
      </w:r>
      <w:r w:rsidRPr="00DE09D2">
        <w:t>2009; 2:63-72.</w:t>
      </w:r>
    </w:p>
  </w:footnote>
  <w:footnote w:id="14">
    <w:p w14:paraId="78592DD0" w14:textId="20AEEEC4" w:rsidR="002C2F38" w:rsidRDefault="002C2F38">
      <w:pPr>
        <w:pStyle w:val="FootnoteText"/>
      </w:pPr>
      <w:r>
        <w:rPr>
          <w:rStyle w:val="FootnoteReference"/>
        </w:rPr>
        <w:footnoteRef/>
      </w:r>
      <w:r>
        <w:t xml:space="preserve"> QVM149 is the drug development code for </w:t>
      </w:r>
      <w:proofErr w:type="spellStart"/>
      <w:r>
        <w:t>Enerzair</w:t>
      </w:r>
      <w:proofErr w:type="spellEnd"/>
      <w:r>
        <w:t xml:space="preserve"> Breezhaler used by the sponsor.</w:t>
      </w:r>
    </w:p>
  </w:footnote>
  <w:footnote w:id="15">
    <w:p w14:paraId="103F8930" w14:textId="574E45F8" w:rsidR="002C2F38" w:rsidRDefault="002C2F38">
      <w:pPr>
        <w:pStyle w:val="FootnoteText"/>
      </w:pPr>
      <w:r>
        <w:rPr>
          <w:rStyle w:val="FootnoteReference"/>
        </w:rPr>
        <w:footnoteRef/>
      </w:r>
      <w:r>
        <w:t xml:space="preserve"> </w:t>
      </w:r>
      <w:r w:rsidRPr="00B965E6">
        <w:t xml:space="preserve">Concept1 device is the </w:t>
      </w:r>
      <w:r>
        <w:t xml:space="preserve">device </w:t>
      </w:r>
      <w:r w:rsidRPr="00B965E6">
        <w:t xml:space="preserve">development code </w:t>
      </w:r>
      <w:r>
        <w:t xml:space="preserve">used </w:t>
      </w:r>
      <w:r w:rsidRPr="00B965E6">
        <w:t xml:space="preserve">by </w:t>
      </w:r>
      <w:r>
        <w:t xml:space="preserve">the </w:t>
      </w:r>
      <w:r w:rsidRPr="00B965E6">
        <w:t>sponsor</w:t>
      </w:r>
      <w:r>
        <w:t xml:space="preserve">, approved in Australia </w:t>
      </w:r>
      <w:r w:rsidRPr="00B965E6">
        <w:t>as the Breezhaler device</w:t>
      </w:r>
      <w:r>
        <w:t>.</w:t>
      </w:r>
    </w:p>
  </w:footnote>
  <w:footnote w:id="16">
    <w:p w14:paraId="707EBD64" w14:textId="77777777" w:rsidR="002C2F38" w:rsidRDefault="002C2F38">
      <w:pPr>
        <w:pStyle w:val="FootnoteText"/>
      </w:pPr>
      <w:r>
        <w:rPr>
          <w:rStyle w:val="FootnoteReference"/>
        </w:rPr>
        <w:footnoteRef/>
      </w:r>
      <w:r>
        <w:t xml:space="preserve"> </w:t>
      </w:r>
      <w:proofErr w:type="spellStart"/>
      <w:r w:rsidRPr="00D30247">
        <w:t>Seebri</w:t>
      </w:r>
      <w:proofErr w:type="spellEnd"/>
      <w:r w:rsidRPr="00D30247">
        <w:t xml:space="preserve"> Breezhaler</w:t>
      </w:r>
      <w:r>
        <w:t xml:space="preserve"> was first registered on the ARTG on 12 November 2012 (ARTG number: </w:t>
      </w:r>
      <w:r w:rsidRPr="00D30247">
        <w:t>191517</w:t>
      </w:r>
      <w:r>
        <w:t>).</w:t>
      </w:r>
    </w:p>
  </w:footnote>
  <w:footnote w:id="17">
    <w:p w14:paraId="4934A60E" w14:textId="77777777" w:rsidR="002C2F38" w:rsidRDefault="002C2F38">
      <w:pPr>
        <w:pStyle w:val="FootnoteText"/>
      </w:pPr>
      <w:r>
        <w:rPr>
          <w:rStyle w:val="FootnoteReference"/>
        </w:rPr>
        <w:footnoteRef/>
      </w:r>
      <w:r>
        <w:t xml:space="preserve"> </w:t>
      </w:r>
      <w:proofErr w:type="spellStart"/>
      <w:r w:rsidRPr="004B1299">
        <w:t>Onbrez</w:t>
      </w:r>
      <w:proofErr w:type="spellEnd"/>
      <w:r w:rsidRPr="004B1299">
        <w:t xml:space="preserve"> Breezhaler</w:t>
      </w:r>
      <w:r>
        <w:t xml:space="preserve"> was first registered on the ARTG on 3 August </w:t>
      </w:r>
      <w:r w:rsidRPr="007B557E">
        <w:t>2010</w:t>
      </w:r>
      <w:r>
        <w:t xml:space="preserve"> (ARTG number: 160172 and 160177).</w:t>
      </w:r>
    </w:p>
  </w:footnote>
  <w:footnote w:id="18">
    <w:p w14:paraId="03D34354" w14:textId="77777777" w:rsidR="002C2F38" w:rsidRDefault="002C2F38">
      <w:pPr>
        <w:pStyle w:val="FootnoteText"/>
      </w:pPr>
      <w:r>
        <w:rPr>
          <w:rStyle w:val="FootnoteReference"/>
        </w:rPr>
        <w:footnoteRef/>
      </w:r>
      <w:r>
        <w:t xml:space="preserve"> </w:t>
      </w:r>
      <w:r w:rsidRPr="00D30247">
        <w:t>Atectura Breezhaler</w:t>
      </w:r>
      <w:r w:rsidRPr="004707B7">
        <w:t xml:space="preserve"> was first registered on the ARTG on </w:t>
      </w:r>
      <w:r>
        <w:t xml:space="preserve">21 July </w:t>
      </w:r>
      <w:r w:rsidRPr="00C41281">
        <w:t>2020</w:t>
      </w:r>
      <w:r>
        <w:t xml:space="preserve"> (ARTG number: 319074</w:t>
      </w:r>
      <w:r w:rsidRPr="00D30247">
        <w:t>, 319075</w:t>
      </w:r>
      <w:r>
        <w:t xml:space="preserve"> and</w:t>
      </w:r>
      <w:r w:rsidRPr="00D30247">
        <w:t xml:space="preserve"> 31907</w:t>
      </w:r>
      <w:r>
        <w:t>6).</w:t>
      </w:r>
    </w:p>
  </w:footnote>
  <w:footnote w:id="19">
    <w:p w14:paraId="5ACA91A1" w14:textId="77777777" w:rsidR="002C2F38" w:rsidRDefault="002C2F38">
      <w:pPr>
        <w:pStyle w:val="FootnoteText"/>
      </w:pPr>
      <w:r>
        <w:rPr>
          <w:rStyle w:val="FootnoteReference"/>
        </w:rPr>
        <w:footnoteRef/>
      </w:r>
      <w:r>
        <w:t xml:space="preserve"> </w:t>
      </w:r>
      <w:proofErr w:type="spellStart"/>
      <w:r w:rsidRPr="00D444FE">
        <w:t>Ultibro</w:t>
      </w:r>
      <w:proofErr w:type="spellEnd"/>
      <w:r w:rsidRPr="00D444FE">
        <w:t xml:space="preserve"> Breezhaler</w:t>
      </w:r>
      <w:r>
        <w:t xml:space="preserve"> </w:t>
      </w:r>
      <w:r w:rsidRPr="004707B7">
        <w:t>was first registered on the ARTG on</w:t>
      </w:r>
      <w:r>
        <w:t xml:space="preserve"> 21 March </w:t>
      </w:r>
      <w:r w:rsidRPr="00C41281">
        <w:t>2014</w:t>
      </w:r>
      <w:r>
        <w:t xml:space="preserve"> (ARTG number: </w:t>
      </w:r>
      <w:r w:rsidRPr="00D444FE">
        <w:t>206449</w:t>
      </w:r>
      <w:r>
        <w:t>).</w:t>
      </w:r>
    </w:p>
  </w:footnote>
  <w:footnote w:id="20">
    <w:p w14:paraId="2841BC75" w14:textId="77777777" w:rsidR="002C2F38" w:rsidRDefault="002C2F38">
      <w:pPr>
        <w:pStyle w:val="FootnoteText"/>
      </w:pPr>
      <w:r>
        <w:rPr>
          <w:rStyle w:val="FootnoteReference"/>
        </w:rPr>
        <w:footnoteRef/>
      </w:r>
      <w:r>
        <w:t xml:space="preserve"> </w:t>
      </w:r>
      <w:r w:rsidRPr="001A0CBD">
        <w:rPr>
          <w:b/>
        </w:rPr>
        <w:t>TGO 91</w:t>
      </w:r>
      <w:r w:rsidRPr="001A0CBD">
        <w:t>: Therapeutic Goods Order 91; Standards required for labels of prescription and related medicines; made under Section 10 of the Therapeutic Goods Act (1989).This Order sets out what kinds of information are required to be included on the label of prescription and other related medicines. For further information, visit the TGA website: https://www.tga.gov.au/therapeutic-goods-orders.</w:t>
      </w:r>
    </w:p>
  </w:footnote>
  <w:footnote w:id="21">
    <w:p w14:paraId="7CE7AEB7" w14:textId="77777777" w:rsidR="002C2F38" w:rsidRDefault="002C2F38">
      <w:pPr>
        <w:pStyle w:val="FootnoteText"/>
      </w:pPr>
      <w:r>
        <w:rPr>
          <w:rStyle w:val="FootnoteReference"/>
        </w:rPr>
        <w:footnoteRef/>
      </w:r>
      <w:r>
        <w:t xml:space="preserve"> The </w:t>
      </w:r>
      <w:r w:rsidRPr="00DE51AF">
        <w:t>International Council for Harmonisation of Technical Requirements for Registration o</w:t>
      </w:r>
      <w:r>
        <w:t xml:space="preserve">f Pharmaceuticals for Human Use </w:t>
      </w:r>
      <w:r w:rsidRPr="00DE51AF">
        <w:t>(ICH) brings together regulatory authorities and the pharmaceutical industry. It makes recommendations towards achieving greater harmonisation in the interpretation and application of technical guidelines and requirements for pharmaceutical product registration.</w:t>
      </w:r>
    </w:p>
  </w:footnote>
  <w:footnote w:id="22">
    <w:p w14:paraId="177D63EA" w14:textId="7B89F40A" w:rsidR="002C2F38" w:rsidRPr="00FD17AB" w:rsidRDefault="002C2F38">
      <w:pPr>
        <w:pStyle w:val="FootnoteText"/>
        <w:rPr>
          <w:lang w:val="en-US"/>
        </w:rPr>
      </w:pPr>
      <w:r>
        <w:rPr>
          <w:rStyle w:val="FootnoteReference"/>
        </w:rPr>
        <w:footnoteRef/>
      </w:r>
      <w:r>
        <w:t xml:space="preserve"> </w:t>
      </w:r>
      <w:r w:rsidRPr="005E0DA7">
        <w:t>ICH M3 (R2) Non-clinical safety studies for the conduct of human clinical trials for pharmaceuticals</w:t>
      </w:r>
      <w:r>
        <w:t>.</w:t>
      </w:r>
    </w:p>
  </w:footnote>
  <w:footnote w:id="23">
    <w:p w14:paraId="5F2696FE" w14:textId="77777777" w:rsidR="002C2F38" w:rsidRDefault="002C2F38" w:rsidP="00267983">
      <w:pPr>
        <w:pStyle w:val="FootnoteText"/>
      </w:pPr>
      <w:r>
        <w:rPr>
          <w:rStyle w:val="FootnoteReference"/>
        </w:rPr>
        <w:footnoteRef/>
      </w:r>
      <w:r>
        <w:t xml:space="preserve"> </w:t>
      </w:r>
      <w:r w:rsidRPr="00480219">
        <w:rPr>
          <w:b/>
        </w:rPr>
        <w:t>Australian Pregnancy Category B3</w:t>
      </w:r>
      <w:r>
        <w:t>: Drugs which have been taken by only a limited number of pregnant women and women of childbearing age, without an increase in the frequency of malformation or other direct or indirect harmful effects on the human fetus having been observed. Studies in animals have shown evidence of an increased occurrence of fetal damage, the significance of which is considered uncertain in humans.</w:t>
      </w:r>
    </w:p>
  </w:footnote>
  <w:footnote w:id="24">
    <w:p w14:paraId="667B797E" w14:textId="77777777" w:rsidR="002C2F38" w:rsidRDefault="002C2F38">
      <w:pPr>
        <w:pStyle w:val="FootnoteText"/>
      </w:pPr>
      <w:r>
        <w:rPr>
          <w:rStyle w:val="FootnoteReference"/>
        </w:rPr>
        <w:footnoteRef/>
      </w:r>
      <w:r>
        <w:t xml:space="preserve"> </w:t>
      </w:r>
      <w:proofErr w:type="spellStart"/>
      <w:r w:rsidRPr="0090548F">
        <w:t>Asmanex</w:t>
      </w:r>
      <w:proofErr w:type="spellEnd"/>
      <w:r w:rsidRPr="0090548F">
        <w:t xml:space="preserve"> </w:t>
      </w:r>
      <w:proofErr w:type="spellStart"/>
      <w:r w:rsidRPr="0090548F">
        <w:t>Twisthaler</w:t>
      </w:r>
      <w:proofErr w:type="spellEnd"/>
      <w:r>
        <w:t xml:space="preserve"> was first registered on ARTG on 18 June </w:t>
      </w:r>
      <w:r w:rsidRPr="000B1330">
        <w:t>2001</w:t>
      </w:r>
      <w:r>
        <w:t xml:space="preserve"> (ARTG code: </w:t>
      </w:r>
      <w:r w:rsidRPr="0090548F">
        <w:t>73725</w:t>
      </w:r>
      <w:r>
        <w:t xml:space="preserve"> and </w:t>
      </w:r>
      <w:r w:rsidRPr="0090548F">
        <w:t>73726</w:t>
      </w:r>
      <w:r>
        <w:t>).</w:t>
      </w:r>
    </w:p>
  </w:footnote>
  <w:footnote w:id="25">
    <w:p w14:paraId="29F0D434" w14:textId="38835639" w:rsidR="002C2F38" w:rsidRDefault="002C2F38">
      <w:pPr>
        <w:pStyle w:val="FootnoteText"/>
      </w:pPr>
      <w:r>
        <w:rPr>
          <w:rStyle w:val="FootnoteReference"/>
        </w:rPr>
        <w:footnoteRef/>
      </w:r>
      <w:r>
        <w:t xml:space="preserve"> QMF149 is the device development code for </w:t>
      </w:r>
      <w:proofErr w:type="spellStart"/>
      <w:r w:rsidRPr="00DB481D">
        <w:t>Twisthaler</w:t>
      </w:r>
      <w:proofErr w:type="spellEnd"/>
      <w:r>
        <w:t xml:space="preserve"> used by the sponsor.</w:t>
      </w:r>
    </w:p>
  </w:footnote>
  <w:footnote w:id="26">
    <w:p w14:paraId="1709AB48" w14:textId="77777777" w:rsidR="002C2F38" w:rsidRPr="00EE052A" w:rsidRDefault="002C2F38" w:rsidP="00EE052A">
      <w:pPr>
        <w:pStyle w:val="FootnoteText"/>
      </w:pPr>
      <w:r w:rsidRPr="00EE052A">
        <w:rPr>
          <w:rStyle w:val="FootnoteReference"/>
          <w:vertAlign w:val="baseline"/>
        </w:rPr>
        <w:footnoteRef/>
      </w:r>
      <w:r w:rsidRPr="00EE052A">
        <w:t xml:space="preserve"> The term corresponding dose of dual therapies in this file note i</w:t>
      </w:r>
      <w:r>
        <w:t>s referring to the doses of QMF</w:t>
      </w:r>
      <w:r w:rsidRPr="00EE052A">
        <w:t>149 that were comp</w:t>
      </w:r>
      <w:r>
        <w:t>ared to the QVM</w:t>
      </w:r>
      <w:r w:rsidRPr="00EE052A">
        <w:t>149. The doses of MF in the QVM and QMF inhalers that were compared in this study are not equivalent.</w:t>
      </w:r>
    </w:p>
  </w:footnote>
  <w:footnote w:id="27">
    <w:p w14:paraId="4177F320" w14:textId="68C3159A" w:rsidR="002C2F38" w:rsidRPr="0062671F" w:rsidRDefault="002C2F38">
      <w:pPr>
        <w:pStyle w:val="FootnoteText"/>
        <w:rPr>
          <w:lang w:val="en-US"/>
        </w:rPr>
      </w:pPr>
      <w:r>
        <w:rPr>
          <w:rStyle w:val="FootnoteReference"/>
        </w:rPr>
        <w:footnoteRef/>
      </w:r>
      <w:r>
        <w:t xml:space="preserve"> </w:t>
      </w:r>
      <w:r w:rsidRPr="00292EB2">
        <w:t xml:space="preserve">The </w:t>
      </w:r>
      <w:r w:rsidRPr="0062671F">
        <w:rPr>
          <w:b/>
        </w:rPr>
        <w:t>Asthma Control Questionnaire 7</w:t>
      </w:r>
      <w:r w:rsidRPr="00292EB2">
        <w:t xml:space="preserve"> (</w:t>
      </w:r>
      <w:r w:rsidRPr="0062671F">
        <w:rPr>
          <w:b/>
        </w:rPr>
        <w:t>ACQ-7</w:t>
      </w:r>
      <w:r w:rsidRPr="00292EB2">
        <w:t>) is a multidimensional 7 item questionnaire assessing symptoms (5 items, patient responses), rescue bronchodilator use (1 item, patient response), and the one second forced expiatory volume as a percentage of predicted (FEV</w:t>
      </w:r>
      <w:r w:rsidRPr="0062671F">
        <w:rPr>
          <w:vertAlign w:val="subscript"/>
        </w:rPr>
        <w:t>1</w:t>
      </w:r>
      <w:r w:rsidRPr="00292EB2">
        <w:t>%; 1 item) completed by clinic staff. The ACQ-7 measures the adequacy of asthma control and change in asthma control which occurs either spontaneously or as a result of treatment.</w:t>
      </w:r>
    </w:p>
  </w:footnote>
  <w:footnote w:id="28">
    <w:p w14:paraId="3DDB26FB" w14:textId="77777777" w:rsidR="002C2F38" w:rsidRDefault="002C2F38" w:rsidP="00742EA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PI or by careful use of labelling and packaging.</w:t>
      </w:r>
    </w:p>
    <w:p w14:paraId="1B734626" w14:textId="77777777" w:rsidR="002C2F38" w:rsidRDefault="002C2F38" w:rsidP="00742EA6">
      <w:pPr>
        <w:pStyle w:val="FootnoteText"/>
      </w:pPr>
      <w:r w:rsidRPr="007D53B6">
        <w:rPr>
          <w:i/>
        </w:rPr>
        <w:t>Routine pharmacovigilance</w:t>
      </w:r>
      <w:r>
        <w:t xml:space="preserve"> practices involve the following activities:</w:t>
      </w:r>
    </w:p>
    <w:p w14:paraId="3056E6EA" w14:textId="77777777" w:rsidR="002C2F38" w:rsidRDefault="002C2F38" w:rsidP="00742EA6">
      <w:pPr>
        <w:pStyle w:val="FootnoteText"/>
        <w:numPr>
          <w:ilvl w:val="0"/>
          <w:numId w:val="32"/>
        </w:numPr>
        <w:ind w:left="284" w:hanging="284"/>
      </w:pPr>
      <w:r>
        <w:t>All suspected adverse reactions that are reported to the personnel of the company are collected and collated in an accessible manner;</w:t>
      </w:r>
    </w:p>
    <w:p w14:paraId="10E560F3" w14:textId="77777777" w:rsidR="002C2F38" w:rsidRDefault="002C2F38" w:rsidP="00742EA6">
      <w:pPr>
        <w:pStyle w:val="FootnoteText"/>
        <w:numPr>
          <w:ilvl w:val="0"/>
          <w:numId w:val="32"/>
        </w:numPr>
        <w:ind w:left="284" w:hanging="284"/>
      </w:pPr>
      <w:r>
        <w:t>Reporting to regulatory authorities;</w:t>
      </w:r>
    </w:p>
    <w:p w14:paraId="4AC4F7C2" w14:textId="77777777" w:rsidR="002C2F38" w:rsidRDefault="002C2F38" w:rsidP="00742EA6">
      <w:pPr>
        <w:pStyle w:val="FootnoteText"/>
        <w:numPr>
          <w:ilvl w:val="0"/>
          <w:numId w:val="32"/>
        </w:numPr>
        <w:ind w:left="284" w:hanging="284"/>
      </w:pPr>
      <w:r>
        <w:t>Continuous monitoring of the safety profiles of approved products including signal detection and updating of labelling;</w:t>
      </w:r>
    </w:p>
    <w:p w14:paraId="0161B123" w14:textId="77777777" w:rsidR="002C2F38" w:rsidRDefault="002C2F38" w:rsidP="00742EA6">
      <w:pPr>
        <w:pStyle w:val="FootnoteText"/>
        <w:numPr>
          <w:ilvl w:val="0"/>
          <w:numId w:val="32"/>
        </w:numPr>
        <w:ind w:left="284" w:hanging="284"/>
      </w:pPr>
      <w:r>
        <w:t>Submission of PSURs;</w:t>
      </w:r>
    </w:p>
    <w:p w14:paraId="1BD52F29" w14:textId="77777777" w:rsidR="002C2F38" w:rsidRDefault="002C2F38" w:rsidP="00742EA6">
      <w:pPr>
        <w:pStyle w:val="FootnoteText"/>
        <w:numPr>
          <w:ilvl w:val="0"/>
          <w:numId w:val="32"/>
        </w:numPr>
        <w:ind w:left="284" w:hanging="284"/>
      </w:pPr>
      <w:r>
        <w:t>Meeting other local regulatory agency requirements.</w:t>
      </w:r>
    </w:p>
  </w:footnote>
  <w:footnote w:id="29">
    <w:p w14:paraId="0B9CDE40" w14:textId="77777777" w:rsidR="002C2F38" w:rsidRPr="000D1215" w:rsidRDefault="002C2F38" w:rsidP="000D1215">
      <w:pPr>
        <w:pStyle w:val="FootnoteText"/>
      </w:pPr>
      <w:r w:rsidRPr="00923A29">
        <w:rPr>
          <w:rStyle w:val="FootnoteReference"/>
        </w:rPr>
        <w:footnoteRef/>
      </w:r>
      <w:r w:rsidRPr="00923A29">
        <w:t xml:space="preserve"> EMA, CHMP, 22 October 2015. Guideline on clinical investigation of medicinal products in the treatment of Asthma (CHMP/EWP/2922/01 Rev.1).</w:t>
      </w:r>
    </w:p>
  </w:footnote>
  <w:footnote w:id="30">
    <w:p w14:paraId="1C06F05B" w14:textId="77777777" w:rsidR="002C2F38" w:rsidRPr="006F2EBE" w:rsidRDefault="002C2F38" w:rsidP="000D1215">
      <w:pPr>
        <w:pStyle w:val="FootnoteText"/>
        <w:rPr>
          <w:lang w:val="fr-CH"/>
        </w:rPr>
      </w:pPr>
      <w:r w:rsidRPr="000D1215">
        <w:rPr>
          <w:rStyle w:val="FootnoteReference"/>
        </w:rPr>
        <w:footnoteRef/>
      </w:r>
      <w:r w:rsidRPr="006F2EBE">
        <w:rPr>
          <w:lang w:val="fr-CH"/>
        </w:rPr>
        <w:t xml:space="preserve"> Papi, A. et al. </w:t>
      </w:r>
      <w:proofErr w:type="spellStart"/>
      <w:r w:rsidRPr="006F2EBE">
        <w:rPr>
          <w:lang w:val="fr-CH"/>
        </w:rPr>
        <w:t>Asthma</w:t>
      </w:r>
      <w:proofErr w:type="spellEnd"/>
      <w:r w:rsidRPr="006F2EBE">
        <w:rPr>
          <w:lang w:val="fr-CH"/>
        </w:rPr>
        <w:t>, Lancet, 2018; 391(10122): 783-800.</w:t>
      </w:r>
    </w:p>
  </w:footnote>
  <w:footnote w:id="31">
    <w:p w14:paraId="513F81E3" w14:textId="77777777" w:rsidR="002C2F38" w:rsidRDefault="002C2F38">
      <w:pPr>
        <w:pStyle w:val="FootnoteText"/>
      </w:pPr>
      <w:r>
        <w:rPr>
          <w:rStyle w:val="FootnoteReference"/>
        </w:rPr>
        <w:footnoteRef/>
      </w:r>
      <w:r>
        <w:t xml:space="preserve"> </w:t>
      </w:r>
      <w:r w:rsidRPr="00FF2412">
        <w:t>GINA. Global Strategy for Asthma Management and Prevention, 20</w:t>
      </w:r>
      <w:r>
        <w:t>20</w:t>
      </w:r>
      <w:r w:rsidRPr="00FF2412">
        <w:t>.</w:t>
      </w:r>
    </w:p>
  </w:footnote>
  <w:footnote w:id="32">
    <w:p w14:paraId="0C66CF77" w14:textId="77777777" w:rsidR="002C2F38" w:rsidRPr="000D1215" w:rsidRDefault="002C2F38" w:rsidP="000D1215">
      <w:pPr>
        <w:pStyle w:val="FootnoteText"/>
      </w:pPr>
      <w:r w:rsidRPr="003554FE">
        <w:rPr>
          <w:rStyle w:val="FootnoteReference"/>
        </w:rPr>
        <w:footnoteRef/>
      </w:r>
      <w:r w:rsidRPr="003554FE">
        <w:t xml:space="preserve"> Guide to Other Asthma Medicines (extracted from National Asthma Council, Australian Asthma Handbook website).</w:t>
      </w:r>
    </w:p>
  </w:footnote>
  <w:footnote w:id="33">
    <w:p w14:paraId="5F31AE38" w14:textId="77777777" w:rsidR="002C2F38" w:rsidRDefault="002C2F38">
      <w:pPr>
        <w:pStyle w:val="FootnoteText"/>
      </w:pPr>
      <w:r>
        <w:rPr>
          <w:rStyle w:val="FootnoteReference"/>
        </w:rPr>
        <w:footnoteRef/>
      </w:r>
      <w:r>
        <w:t xml:space="preserve"> </w:t>
      </w:r>
      <w:proofErr w:type="spellStart"/>
      <w:r w:rsidRPr="00526DC1">
        <w:t>Lommatzsch</w:t>
      </w:r>
      <w:proofErr w:type="spellEnd"/>
      <w:r w:rsidRPr="00526DC1">
        <w:t>, M. and Virchow,</w:t>
      </w:r>
      <w:r w:rsidRPr="00F923A9">
        <w:t xml:space="preserve"> </w:t>
      </w:r>
      <w:r w:rsidRPr="00526DC1">
        <w:t>J.C. Severe Asthma: Definition, Diagnosis and Treatment</w:t>
      </w:r>
      <w:r>
        <w:t xml:space="preserve">, </w:t>
      </w:r>
      <w:proofErr w:type="spellStart"/>
      <w:r>
        <w:t>Dtsch</w:t>
      </w:r>
      <w:proofErr w:type="spellEnd"/>
      <w:r>
        <w:t xml:space="preserve"> </w:t>
      </w:r>
      <w:proofErr w:type="spellStart"/>
      <w:r>
        <w:t>Arztebl</w:t>
      </w:r>
      <w:proofErr w:type="spellEnd"/>
      <w:r>
        <w:t xml:space="preserve"> </w:t>
      </w:r>
      <w:proofErr w:type="spellStart"/>
      <w:r>
        <w:t>Int</w:t>
      </w:r>
      <w:proofErr w:type="spellEnd"/>
      <w:r>
        <w:t>, 2014;</w:t>
      </w:r>
      <w:r w:rsidRPr="00526DC1">
        <w:t xml:space="preserve"> 111(50): 847-</w:t>
      </w:r>
      <w:r>
        <w:t>8</w:t>
      </w:r>
      <w:r w:rsidRPr="00526DC1">
        <w:t>55.</w:t>
      </w:r>
    </w:p>
  </w:footnote>
  <w:footnote w:id="34">
    <w:p w14:paraId="0FF577B5" w14:textId="77777777" w:rsidR="002C2F38" w:rsidRDefault="002C2F38" w:rsidP="00456765">
      <w:pPr>
        <w:pStyle w:val="FootnoteText"/>
      </w:pPr>
      <w:r>
        <w:rPr>
          <w:rStyle w:val="FootnoteReference"/>
        </w:rPr>
        <w:footnoteRef/>
      </w:r>
      <w:r>
        <w:t xml:space="preserve"> The </w:t>
      </w:r>
      <w:r w:rsidRPr="00960213">
        <w:rPr>
          <w:b/>
        </w:rPr>
        <w:t>ACM</w:t>
      </w:r>
      <w:r>
        <w:t xml:space="preserve">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56FE1AAB" w14:textId="77777777" w:rsidR="002C2F38" w:rsidRPr="00456765" w:rsidRDefault="002C2F38"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7B3" w14:textId="77777777" w:rsidR="002C2F38" w:rsidRDefault="002C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5C549" w14:textId="77777777" w:rsidR="002C2F38" w:rsidRDefault="002C2F38"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F57BD" w14:textId="77777777" w:rsidR="002C2F38" w:rsidRDefault="002C2F38">
    <w:pPr>
      <w:rPr>
        <w:noProof/>
        <w:lang w:eastAsia="en-AU"/>
      </w:rPr>
    </w:pPr>
    <w:r w:rsidRPr="00347824">
      <w:rPr>
        <w:noProof/>
        <w:color w:val="2B579A"/>
        <w:shd w:val="clear" w:color="auto" w:fill="E6E6E6"/>
        <w:lang w:eastAsia="en-AU"/>
      </w:rPr>
      <w:drawing>
        <wp:anchor distT="0" distB="0" distL="114300" distR="114300" simplePos="0" relativeHeight="251658240" behindDoc="1" locked="0" layoutInCell="1" allowOverlap="1" wp14:anchorId="575690A6" wp14:editId="2EF81070">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39B5D4C3" w14:textId="77777777" w:rsidR="002C2F38" w:rsidRDefault="002C2F38"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59696" w14:textId="77777777" w:rsidR="002C2F38" w:rsidRDefault="002C2F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C8FA" w14:textId="77777777" w:rsidR="002C2F38" w:rsidRDefault="002C2F38">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FD561" w14:textId="77777777" w:rsidR="002C2F38" w:rsidRDefault="002C2F38">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EDD2" w14:textId="77777777" w:rsidR="002C2F38" w:rsidRDefault="002C2F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C6DF" w14:textId="77777777" w:rsidR="002C2F38" w:rsidRDefault="002C2F38"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030C1" w14:textId="77777777" w:rsidR="002C2F38" w:rsidRDefault="002C2F38" w:rsidP="006E08B3">
    <w:r>
      <w:t>Therapeutic Goods Administration</w:t>
    </w:r>
  </w:p>
  <w:p w14:paraId="027B233A" w14:textId="77777777" w:rsidR="002C2F38" w:rsidRDefault="002C2F38"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87A2B65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multilevel"/>
    <w:tmpl w:val="B8320B0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B4A8B"/>
    <w:multiLevelType w:val="hybridMultilevel"/>
    <w:tmpl w:val="BACCC6D0"/>
    <w:lvl w:ilvl="0" w:tplc="568225DC">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DD3DF5"/>
    <w:multiLevelType w:val="hybridMultilevel"/>
    <w:tmpl w:val="C1BAB928"/>
    <w:lvl w:ilvl="0" w:tplc="1D582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F13E9"/>
    <w:multiLevelType w:val="multilevel"/>
    <w:tmpl w:val="FD44A574"/>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6DE6FF2"/>
    <w:multiLevelType w:val="hybridMultilevel"/>
    <w:tmpl w:val="E132C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4015D2"/>
    <w:multiLevelType w:val="hybridMultilevel"/>
    <w:tmpl w:val="25161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4B7BC2"/>
    <w:multiLevelType w:val="hybridMultilevel"/>
    <w:tmpl w:val="C46AB3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E4FBD"/>
    <w:multiLevelType w:val="hybridMultilevel"/>
    <w:tmpl w:val="AC689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85736D"/>
    <w:multiLevelType w:val="hybridMultilevel"/>
    <w:tmpl w:val="B85AD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9547F1"/>
    <w:multiLevelType w:val="hybridMultilevel"/>
    <w:tmpl w:val="2DF0B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0"/>
  </w:num>
  <w:num w:numId="4">
    <w:abstractNumId w:val="10"/>
  </w:num>
  <w:num w:numId="5">
    <w:abstractNumId w:val="0"/>
  </w:num>
  <w:num w:numId="6">
    <w:abstractNumId w:val="10"/>
  </w:num>
  <w:num w:numId="7">
    <w:abstractNumId w:val="10"/>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10"/>
  </w:num>
  <w:num w:numId="14">
    <w:abstractNumId w:val="10"/>
  </w:num>
  <w:num w:numId="15">
    <w:abstractNumId w:val="10"/>
  </w:num>
  <w:num w:numId="16">
    <w:abstractNumId w:val="7"/>
  </w:num>
  <w:num w:numId="17">
    <w:abstractNumId w:val="7"/>
  </w:num>
  <w:num w:numId="18">
    <w:abstractNumId w:val="7"/>
  </w:num>
  <w:num w:numId="19">
    <w:abstractNumId w:val="10"/>
  </w:num>
  <w:num w:numId="20">
    <w:abstractNumId w:val="10"/>
  </w:num>
  <w:num w:numId="21">
    <w:abstractNumId w:val="10"/>
  </w:num>
  <w:num w:numId="22">
    <w:abstractNumId w:val="7"/>
  </w:num>
  <w:num w:numId="23">
    <w:abstractNumId w:val="7"/>
  </w:num>
  <w:num w:numId="24">
    <w:abstractNumId w:val="7"/>
  </w:num>
  <w:num w:numId="25">
    <w:abstractNumId w:val="7"/>
    <w:lvlOverride w:ilvl="0">
      <w:lvl w:ilvl="0">
        <w:start w:val="1"/>
        <w:numFmt w:val="decimal"/>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7"/>
  </w:num>
  <w:num w:numId="28">
    <w:abstractNumId w:val="21"/>
  </w:num>
  <w:num w:numId="29">
    <w:abstractNumId w:val="8"/>
  </w:num>
  <w:num w:numId="30">
    <w:abstractNumId w:val="13"/>
  </w:num>
  <w:num w:numId="31">
    <w:abstractNumId w:val="4"/>
  </w:num>
  <w:num w:numId="32">
    <w:abstractNumId w:val="18"/>
  </w:num>
  <w:num w:numId="33">
    <w:abstractNumId w:val="20"/>
  </w:num>
  <w:num w:numId="34">
    <w:abstractNumId w:val="12"/>
  </w:num>
  <w:num w:numId="35">
    <w:abstractNumId w:val="19"/>
  </w:num>
  <w:num w:numId="36">
    <w:abstractNumId w:val="6"/>
  </w:num>
  <w:num w:numId="37">
    <w:abstractNumId w:val="14"/>
  </w:num>
  <w:num w:numId="38">
    <w:abstractNumId w:val="15"/>
  </w:num>
  <w:num w:numId="39">
    <w:abstractNumId w:val="11"/>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5"/>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fr-CH" w:vendorID="64" w:dllVersion="0" w:nlCheck="1" w:checkStyle="0"/>
  <w:activeWritingStyle w:appName="MSWord" w:lang="en-US" w:vendorID="64" w:dllVersion="0"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70"/>
    <w:rsid w:val="00002031"/>
    <w:rsid w:val="00004734"/>
    <w:rsid w:val="00004BB1"/>
    <w:rsid w:val="00006B22"/>
    <w:rsid w:val="00006FAB"/>
    <w:rsid w:val="0001276A"/>
    <w:rsid w:val="00014FAA"/>
    <w:rsid w:val="000158B8"/>
    <w:rsid w:val="00021979"/>
    <w:rsid w:val="00021D1F"/>
    <w:rsid w:val="00022617"/>
    <w:rsid w:val="000246AE"/>
    <w:rsid w:val="00025C67"/>
    <w:rsid w:val="000272D2"/>
    <w:rsid w:val="000273F0"/>
    <w:rsid w:val="00031EE5"/>
    <w:rsid w:val="0003480A"/>
    <w:rsid w:val="0003605D"/>
    <w:rsid w:val="000373E6"/>
    <w:rsid w:val="000379F7"/>
    <w:rsid w:val="00040315"/>
    <w:rsid w:val="00044772"/>
    <w:rsid w:val="00044A5D"/>
    <w:rsid w:val="0004541C"/>
    <w:rsid w:val="000466DE"/>
    <w:rsid w:val="0005559E"/>
    <w:rsid w:val="00057EAC"/>
    <w:rsid w:val="000604D6"/>
    <w:rsid w:val="00060563"/>
    <w:rsid w:val="0007055D"/>
    <w:rsid w:val="00071BC2"/>
    <w:rsid w:val="000734D8"/>
    <w:rsid w:val="00073D22"/>
    <w:rsid w:val="00076E07"/>
    <w:rsid w:val="00077775"/>
    <w:rsid w:val="00082B41"/>
    <w:rsid w:val="0008453D"/>
    <w:rsid w:val="00084725"/>
    <w:rsid w:val="00090215"/>
    <w:rsid w:val="00090471"/>
    <w:rsid w:val="00096AA7"/>
    <w:rsid w:val="00096F78"/>
    <w:rsid w:val="00097EDE"/>
    <w:rsid w:val="000A06C4"/>
    <w:rsid w:val="000A3AED"/>
    <w:rsid w:val="000A3FDA"/>
    <w:rsid w:val="000A4A16"/>
    <w:rsid w:val="000A69FB"/>
    <w:rsid w:val="000B1330"/>
    <w:rsid w:val="000B3532"/>
    <w:rsid w:val="000B3A75"/>
    <w:rsid w:val="000C00C2"/>
    <w:rsid w:val="000C37D5"/>
    <w:rsid w:val="000C5D02"/>
    <w:rsid w:val="000C65CF"/>
    <w:rsid w:val="000C690F"/>
    <w:rsid w:val="000D0D9E"/>
    <w:rsid w:val="000D1215"/>
    <w:rsid w:val="000D1295"/>
    <w:rsid w:val="000D2A6D"/>
    <w:rsid w:val="000D391B"/>
    <w:rsid w:val="000D3D6D"/>
    <w:rsid w:val="000D4FC7"/>
    <w:rsid w:val="000E1F8A"/>
    <w:rsid w:val="000E6196"/>
    <w:rsid w:val="000F1C3F"/>
    <w:rsid w:val="000F38A7"/>
    <w:rsid w:val="000F4869"/>
    <w:rsid w:val="000F5225"/>
    <w:rsid w:val="000F5B42"/>
    <w:rsid w:val="000F5F46"/>
    <w:rsid w:val="000F6963"/>
    <w:rsid w:val="000F6E6F"/>
    <w:rsid w:val="000F6E79"/>
    <w:rsid w:val="001000D5"/>
    <w:rsid w:val="00100532"/>
    <w:rsid w:val="00101CB9"/>
    <w:rsid w:val="00104B69"/>
    <w:rsid w:val="0010601F"/>
    <w:rsid w:val="00107201"/>
    <w:rsid w:val="0010788A"/>
    <w:rsid w:val="00107A31"/>
    <w:rsid w:val="00110EA5"/>
    <w:rsid w:val="00111993"/>
    <w:rsid w:val="00112F56"/>
    <w:rsid w:val="00113B6B"/>
    <w:rsid w:val="00114819"/>
    <w:rsid w:val="00114F99"/>
    <w:rsid w:val="001248AB"/>
    <w:rsid w:val="00124ACD"/>
    <w:rsid w:val="00125318"/>
    <w:rsid w:val="001305A2"/>
    <w:rsid w:val="00133238"/>
    <w:rsid w:val="00133832"/>
    <w:rsid w:val="00133A1B"/>
    <w:rsid w:val="00137205"/>
    <w:rsid w:val="0014197B"/>
    <w:rsid w:val="001447CD"/>
    <w:rsid w:val="00145AFC"/>
    <w:rsid w:val="00146579"/>
    <w:rsid w:val="001513CA"/>
    <w:rsid w:val="001516B1"/>
    <w:rsid w:val="00153DA6"/>
    <w:rsid w:val="001544FA"/>
    <w:rsid w:val="00154EBB"/>
    <w:rsid w:val="0015543D"/>
    <w:rsid w:val="00156316"/>
    <w:rsid w:val="0015777A"/>
    <w:rsid w:val="00161181"/>
    <w:rsid w:val="00162D14"/>
    <w:rsid w:val="00163780"/>
    <w:rsid w:val="00165389"/>
    <w:rsid w:val="00172EB9"/>
    <w:rsid w:val="0017693F"/>
    <w:rsid w:val="0018110E"/>
    <w:rsid w:val="00181684"/>
    <w:rsid w:val="001843C6"/>
    <w:rsid w:val="001843D6"/>
    <w:rsid w:val="001850E0"/>
    <w:rsid w:val="00185518"/>
    <w:rsid w:val="0019023C"/>
    <w:rsid w:val="00192586"/>
    <w:rsid w:val="00193486"/>
    <w:rsid w:val="00194C63"/>
    <w:rsid w:val="00197014"/>
    <w:rsid w:val="001A03AF"/>
    <w:rsid w:val="001A0CBD"/>
    <w:rsid w:val="001A117A"/>
    <w:rsid w:val="001A2158"/>
    <w:rsid w:val="001A378D"/>
    <w:rsid w:val="001A525F"/>
    <w:rsid w:val="001A54BC"/>
    <w:rsid w:val="001A5D5D"/>
    <w:rsid w:val="001B09F9"/>
    <w:rsid w:val="001B1E39"/>
    <w:rsid w:val="001B3F99"/>
    <w:rsid w:val="001B5C90"/>
    <w:rsid w:val="001B6448"/>
    <w:rsid w:val="001B731E"/>
    <w:rsid w:val="001B79A5"/>
    <w:rsid w:val="001C01B8"/>
    <w:rsid w:val="001C32CD"/>
    <w:rsid w:val="001D25A9"/>
    <w:rsid w:val="001D2984"/>
    <w:rsid w:val="001D755D"/>
    <w:rsid w:val="001E07CF"/>
    <w:rsid w:val="001E3885"/>
    <w:rsid w:val="001E49B5"/>
    <w:rsid w:val="001E59F1"/>
    <w:rsid w:val="001E5F6A"/>
    <w:rsid w:val="001E74D8"/>
    <w:rsid w:val="001E7C07"/>
    <w:rsid w:val="001F2CEE"/>
    <w:rsid w:val="001F31CA"/>
    <w:rsid w:val="001F465B"/>
    <w:rsid w:val="001F49EB"/>
    <w:rsid w:val="001F6CBA"/>
    <w:rsid w:val="00200108"/>
    <w:rsid w:val="00201D4E"/>
    <w:rsid w:val="002076C9"/>
    <w:rsid w:val="00213572"/>
    <w:rsid w:val="00214E38"/>
    <w:rsid w:val="00220B8A"/>
    <w:rsid w:val="002257F3"/>
    <w:rsid w:val="002274EA"/>
    <w:rsid w:val="00227530"/>
    <w:rsid w:val="00231E0C"/>
    <w:rsid w:val="00232D1D"/>
    <w:rsid w:val="00233456"/>
    <w:rsid w:val="002339A5"/>
    <w:rsid w:val="0024213E"/>
    <w:rsid w:val="0024407A"/>
    <w:rsid w:val="00245A85"/>
    <w:rsid w:val="00250271"/>
    <w:rsid w:val="00257848"/>
    <w:rsid w:val="002578E8"/>
    <w:rsid w:val="00260BBF"/>
    <w:rsid w:val="00263D9F"/>
    <w:rsid w:val="00267490"/>
    <w:rsid w:val="00267605"/>
    <w:rsid w:val="00267983"/>
    <w:rsid w:val="0027084A"/>
    <w:rsid w:val="00272E07"/>
    <w:rsid w:val="00273F4D"/>
    <w:rsid w:val="0027464D"/>
    <w:rsid w:val="002774DC"/>
    <w:rsid w:val="00280265"/>
    <w:rsid w:val="00286434"/>
    <w:rsid w:val="00286C59"/>
    <w:rsid w:val="00286C68"/>
    <w:rsid w:val="00286E25"/>
    <w:rsid w:val="002904F2"/>
    <w:rsid w:val="002913BD"/>
    <w:rsid w:val="00291957"/>
    <w:rsid w:val="00291CD0"/>
    <w:rsid w:val="00292EB2"/>
    <w:rsid w:val="002942D1"/>
    <w:rsid w:val="0029501A"/>
    <w:rsid w:val="002978D8"/>
    <w:rsid w:val="002A3721"/>
    <w:rsid w:val="002B1638"/>
    <w:rsid w:val="002B3624"/>
    <w:rsid w:val="002B3870"/>
    <w:rsid w:val="002C0148"/>
    <w:rsid w:val="002C2F38"/>
    <w:rsid w:val="002C513E"/>
    <w:rsid w:val="002C7857"/>
    <w:rsid w:val="002C7B9C"/>
    <w:rsid w:val="002D0952"/>
    <w:rsid w:val="002D7BD2"/>
    <w:rsid w:val="002E40B3"/>
    <w:rsid w:val="002E4C9A"/>
    <w:rsid w:val="002E64D6"/>
    <w:rsid w:val="002E7399"/>
    <w:rsid w:val="002F11F8"/>
    <w:rsid w:val="002F33FD"/>
    <w:rsid w:val="002F3F56"/>
    <w:rsid w:val="002F44B5"/>
    <w:rsid w:val="002F4FC9"/>
    <w:rsid w:val="002F5122"/>
    <w:rsid w:val="002F68A0"/>
    <w:rsid w:val="002F6C12"/>
    <w:rsid w:val="00304258"/>
    <w:rsid w:val="003110D3"/>
    <w:rsid w:val="00311AC0"/>
    <w:rsid w:val="00312FB7"/>
    <w:rsid w:val="003176FC"/>
    <w:rsid w:val="0032297C"/>
    <w:rsid w:val="00322C1D"/>
    <w:rsid w:val="00324478"/>
    <w:rsid w:val="0032583B"/>
    <w:rsid w:val="00327883"/>
    <w:rsid w:val="003350FF"/>
    <w:rsid w:val="00335504"/>
    <w:rsid w:val="00336B1F"/>
    <w:rsid w:val="00340C18"/>
    <w:rsid w:val="00343B70"/>
    <w:rsid w:val="003442FD"/>
    <w:rsid w:val="00345C69"/>
    <w:rsid w:val="003470A8"/>
    <w:rsid w:val="0034779B"/>
    <w:rsid w:val="00347824"/>
    <w:rsid w:val="003504D9"/>
    <w:rsid w:val="00350567"/>
    <w:rsid w:val="0035152F"/>
    <w:rsid w:val="003521A9"/>
    <w:rsid w:val="003521E8"/>
    <w:rsid w:val="003554FE"/>
    <w:rsid w:val="00361C2C"/>
    <w:rsid w:val="00362F10"/>
    <w:rsid w:val="00364F32"/>
    <w:rsid w:val="003658A4"/>
    <w:rsid w:val="00370CE3"/>
    <w:rsid w:val="00371154"/>
    <w:rsid w:val="003728F3"/>
    <w:rsid w:val="003735BC"/>
    <w:rsid w:val="00373BA1"/>
    <w:rsid w:val="0037496E"/>
    <w:rsid w:val="003767BF"/>
    <w:rsid w:val="00380055"/>
    <w:rsid w:val="00383221"/>
    <w:rsid w:val="00385AD4"/>
    <w:rsid w:val="00385B5B"/>
    <w:rsid w:val="00386150"/>
    <w:rsid w:val="00386B44"/>
    <w:rsid w:val="003874CE"/>
    <w:rsid w:val="00390900"/>
    <w:rsid w:val="00390DD0"/>
    <w:rsid w:val="00393D19"/>
    <w:rsid w:val="00395227"/>
    <w:rsid w:val="003A175A"/>
    <w:rsid w:val="003A1E13"/>
    <w:rsid w:val="003A5299"/>
    <w:rsid w:val="003A7F6C"/>
    <w:rsid w:val="003B000F"/>
    <w:rsid w:val="003B2EAE"/>
    <w:rsid w:val="003B4D60"/>
    <w:rsid w:val="003B7E39"/>
    <w:rsid w:val="003C1B04"/>
    <w:rsid w:val="003C1BE4"/>
    <w:rsid w:val="003C58DC"/>
    <w:rsid w:val="003D1E62"/>
    <w:rsid w:val="003D34FC"/>
    <w:rsid w:val="003D4486"/>
    <w:rsid w:val="003E0B99"/>
    <w:rsid w:val="003E1E63"/>
    <w:rsid w:val="003E2486"/>
    <w:rsid w:val="003E3208"/>
    <w:rsid w:val="003F0B04"/>
    <w:rsid w:val="003F3549"/>
    <w:rsid w:val="003F6B49"/>
    <w:rsid w:val="0040134E"/>
    <w:rsid w:val="004061F3"/>
    <w:rsid w:val="00410C8F"/>
    <w:rsid w:val="00412096"/>
    <w:rsid w:val="00413234"/>
    <w:rsid w:val="00423D1E"/>
    <w:rsid w:val="00427394"/>
    <w:rsid w:val="004303E2"/>
    <w:rsid w:val="00431346"/>
    <w:rsid w:val="004334C7"/>
    <w:rsid w:val="00434B5C"/>
    <w:rsid w:val="00440A2D"/>
    <w:rsid w:val="00440F85"/>
    <w:rsid w:val="00441C3F"/>
    <w:rsid w:val="004445E9"/>
    <w:rsid w:val="00444D1A"/>
    <w:rsid w:val="00444E3C"/>
    <w:rsid w:val="0044584F"/>
    <w:rsid w:val="0044588D"/>
    <w:rsid w:val="00445994"/>
    <w:rsid w:val="00447F68"/>
    <w:rsid w:val="0045186A"/>
    <w:rsid w:val="00454366"/>
    <w:rsid w:val="00454609"/>
    <w:rsid w:val="004564A7"/>
    <w:rsid w:val="00456765"/>
    <w:rsid w:val="00460036"/>
    <w:rsid w:val="004617BF"/>
    <w:rsid w:val="00462441"/>
    <w:rsid w:val="00463658"/>
    <w:rsid w:val="004637A0"/>
    <w:rsid w:val="004648EB"/>
    <w:rsid w:val="004650C1"/>
    <w:rsid w:val="004707B7"/>
    <w:rsid w:val="004722CC"/>
    <w:rsid w:val="004727AC"/>
    <w:rsid w:val="00472B66"/>
    <w:rsid w:val="004733C9"/>
    <w:rsid w:val="0047717D"/>
    <w:rsid w:val="00480219"/>
    <w:rsid w:val="00483F19"/>
    <w:rsid w:val="00490483"/>
    <w:rsid w:val="00490E25"/>
    <w:rsid w:val="00492015"/>
    <w:rsid w:val="004936E4"/>
    <w:rsid w:val="00493758"/>
    <w:rsid w:val="00494E60"/>
    <w:rsid w:val="004969B8"/>
    <w:rsid w:val="00497487"/>
    <w:rsid w:val="004976EC"/>
    <w:rsid w:val="004A2771"/>
    <w:rsid w:val="004A6189"/>
    <w:rsid w:val="004A7390"/>
    <w:rsid w:val="004B1299"/>
    <w:rsid w:val="004B3C6B"/>
    <w:rsid w:val="004B482A"/>
    <w:rsid w:val="004B58C5"/>
    <w:rsid w:val="004B59BA"/>
    <w:rsid w:val="004B6BB4"/>
    <w:rsid w:val="004B7B76"/>
    <w:rsid w:val="004B7E6C"/>
    <w:rsid w:val="004C0141"/>
    <w:rsid w:val="004C1504"/>
    <w:rsid w:val="004C239D"/>
    <w:rsid w:val="004C2DCA"/>
    <w:rsid w:val="004C4FBE"/>
    <w:rsid w:val="004C61D2"/>
    <w:rsid w:val="004C6DCA"/>
    <w:rsid w:val="004D0A52"/>
    <w:rsid w:val="004D408B"/>
    <w:rsid w:val="004E1033"/>
    <w:rsid w:val="004E5297"/>
    <w:rsid w:val="004E5AB9"/>
    <w:rsid w:val="004E614C"/>
    <w:rsid w:val="004F0C4A"/>
    <w:rsid w:val="004F0F38"/>
    <w:rsid w:val="004F12FC"/>
    <w:rsid w:val="004F47D6"/>
    <w:rsid w:val="004F5E87"/>
    <w:rsid w:val="004F6083"/>
    <w:rsid w:val="00500337"/>
    <w:rsid w:val="00500565"/>
    <w:rsid w:val="00501921"/>
    <w:rsid w:val="00502DCC"/>
    <w:rsid w:val="005037A8"/>
    <w:rsid w:val="0050409D"/>
    <w:rsid w:val="005057C2"/>
    <w:rsid w:val="00513117"/>
    <w:rsid w:val="00513D22"/>
    <w:rsid w:val="00514FFC"/>
    <w:rsid w:val="00524F46"/>
    <w:rsid w:val="00525204"/>
    <w:rsid w:val="005263EF"/>
    <w:rsid w:val="00526520"/>
    <w:rsid w:val="00526DC1"/>
    <w:rsid w:val="00530354"/>
    <w:rsid w:val="005325C2"/>
    <w:rsid w:val="00532BA7"/>
    <w:rsid w:val="005337DF"/>
    <w:rsid w:val="005350FB"/>
    <w:rsid w:val="0053625B"/>
    <w:rsid w:val="00537165"/>
    <w:rsid w:val="0054149D"/>
    <w:rsid w:val="00542ACC"/>
    <w:rsid w:val="005434C6"/>
    <w:rsid w:val="00543B39"/>
    <w:rsid w:val="005445E9"/>
    <w:rsid w:val="00546154"/>
    <w:rsid w:val="00550096"/>
    <w:rsid w:val="0055411C"/>
    <w:rsid w:val="00555280"/>
    <w:rsid w:val="005552A5"/>
    <w:rsid w:val="00557E7C"/>
    <w:rsid w:val="00557FF9"/>
    <w:rsid w:val="00560A22"/>
    <w:rsid w:val="00562327"/>
    <w:rsid w:val="00562CC7"/>
    <w:rsid w:val="00564055"/>
    <w:rsid w:val="00565529"/>
    <w:rsid w:val="005711C4"/>
    <w:rsid w:val="005711D5"/>
    <w:rsid w:val="0057242E"/>
    <w:rsid w:val="0057381B"/>
    <w:rsid w:val="00574FDD"/>
    <w:rsid w:val="00576378"/>
    <w:rsid w:val="00577130"/>
    <w:rsid w:val="00577766"/>
    <w:rsid w:val="00577945"/>
    <w:rsid w:val="00577E38"/>
    <w:rsid w:val="00580B17"/>
    <w:rsid w:val="00580BCB"/>
    <w:rsid w:val="00583563"/>
    <w:rsid w:val="00585322"/>
    <w:rsid w:val="005857C6"/>
    <w:rsid w:val="0059000A"/>
    <w:rsid w:val="005901A9"/>
    <w:rsid w:val="00591D70"/>
    <w:rsid w:val="00592F6E"/>
    <w:rsid w:val="00593AD1"/>
    <w:rsid w:val="00595ECA"/>
    <w:rsid w:val="005A177C"/>
    <w:rsid w:val="005A4FCF"/>
    <w:rsid w:val="005A68B6"/>
    <w:rsid w:val="005B0B3F"/>
    <w:rsid w:val="005B2CB9"/>
    <w:rsid w:val="005B2D61"/>
    <w:rsid w:val="005B3995"/>
    <w:rsid w:val="005B60DC"/>
    <w:rsid w:val="005B7FC6"/>
    <w:rsid w:val="005C5570"/>
    <w:rsid w:val="005C5B66"/>
    <w:rsid w:val="005C79A4"/>
    <w:rsid w:val="005D0521"/>
    <w:rsid w:val="005D2671"/>
    <w:rsid w:val="005D5442"/>
    <w:rsid w:val="005D5B18"/>
    <w:rsid w:val="005E0DA7"/>
    <w:rsid w:val="005E2D40"/>
    <w:rsid w:val="005E331A"/>
    <w:rsid w:val="005F4E6C"/>
    <w:rsid w:val="005F5986"/>
    <w:rsid w:val="005F6576"/>
    <w:rsid w:val="005F7BE0"/>
    <w:rsid w:val="00602C11"/>
    <w:rsid w:val="00603F32"/>
    <w:rsid w:val="006040A0"/>
    <w:rsid w:val="00605AD4"/>
    <w:rsid w:val="006106AB"/>
    <w:rsid w:val="0061342D"/>
    <w:rsid w:val="006136D7"/>
    <w:rsid w:val="006137A7"/>
    <w:rsid w:val="00615940"/>
    <w:rsid w:val="00615F7F"/>
    <w:rsid w:val="00621D5E"/>
    <w:rsid w:val="00625260"/>
    <w:rsid w:val="00625A6E"/>
    <w:rsid w:val="00626543"/>
    <w:rsid w:val="0062671F"/>
    <w:rsid w:val="00627BFA"/>
    <w:rsid w:val="00627FB8"/>
    <w:rsid w:val="00630466"/>
    <w:rsid w:val="00632398"/>
    <w:rsid w:val="00632836"/>
    <w:rsid w:val="006362B8"/>
    <w:rsid w:val="00636CCD"/>
    <w:rsid w:val="00637BD9"/>
    <w:rsid w:val="00637F09"/>
    <w:rsid w:val="00640FC3"/>
    <w:rsid w:val="00642020"/>
    <w:rsid w:val="006430EE"/>
    <w:rsid w:val="0065214E"/>
    <w:rsid w:val="0065337B"/>
    <w:rsid w:val="0065419D"/>
    <w:rsid w:val="006578FA"/>
    <w:rsid w:val="00660246"/>
    <w:rsid w:val="006603BC"/>
    <w:rsid w:val="006604D8"/>
    <w:rsid w:val="006608D2"/>
    <w:rsid w:val="00663BB0"/>
    <w:rsid w:val="00664A5B"/>
    <w:rsid w:val="00664E8C"/>
    <w:rsid w:val="0066735C"/>
    <w:rsid w:val="0067390C"/>
    <w:rsid w:val="006763D2"/>
    <w:rsid w:val="00680C08"/>
    <w:rsid w:val="00691079"/>
    <w:rsid w:val="006916A0"/>
    <w:rsid w:val="006931B1"/>
    <w:rsid w:val="0069763D"/>
    <w:rsid w:val="0069766F"/>
    <w:rsid w:val="006A15C0"/>
    <w:rsid w:val="006A29B0"/>
    <w:rsid w:val="006A58A8"/>
    <w:rsid w:val="006A6E4D"/>
    <w:rsid w:val="006A6EB7"/>
    <w:rsid w:val="006C3E2A"/>
    <w:rsid w:val="006C642F"/>
    <w:rsid w:val="006C7E39"/>
    <w:rsid w:val="006D03E5"/>
    <w:rsid w:val="006D3FE0"/>
    <w:rsid w:val="006D5D3E"/>
    <w:rsid w:val="006D71C9"/>
    <w:rsid w:val="006E08B3"/>
    <w:rsid w:val="006E5C9B"/>
    <w:rsid w:val="006E6550"/>
    <w:rsid w:val="006F1126"/>
    <w:rsid w:val="006F17AC"/>
    <w:rsid w:val="006F25B8"/>
    <w:rsid w:val="006F2EBE"/>
    <w:rsid w:val="006F572E"/>
    <w:rsid w:val="006F6567"/>
    <w:rsid w:val="00702717"/>
    <w:rsid w:val="00704221"/>
    <w:rsid w:val="007046D6"/>
    <w:rsid w:val="00705769"/>
    <w:rsid w:val="00705DB0"/>
    <w:rsid w:val="007142B2"/>
    <w:rsid w:val="00714C56"/>
    <w:rsid w:val="00715A0A"/>
    <w:rsid w:val="00717F9C"/>
    <w:rsid w:val="0072029A"/>
    <w:rsid w:val="00722B57"/>
    <w:rsid w:val="00722B68"/>
    <w:rsid w:val="00722E6B"/>
    <w:rsid w:val="00723B62"/>
    <w:rsid w:val="00724332"/>
    <w:rsid w:val="00724A60"/>
    <w:rsid w:val="00726720"/>
    <w:rsid w:val="007307BF"/>
    <w:rsid w:val="00730F8A"/>
    <w:rsid w:val="00730F98"/>
    <w:rsid w:val="00734EA7"/>
    <w:rsid w:val="00735A8C"/>
    <w:rsid w:val="0074253D"/>
    <w:rsid w:val="00742EA6"/>
    <w:rsid w:val="0074429B"/>
    <w:rsid w:val="007445FD"/>
    <w:rsid w:val="00750797"/>
    <w:rsid w:val="0075789B"/>
    <w:rsid w:val="00757E9E"/>
    <w:rsid w:val="007615BC"/>
    <w:rsid w:val="00762F05"/>
    <w:rsid w:val="007646B0"/>
    <w:rsid w:val="007652FF"/>
    <w:rsid w:val="00770CAC"/>
    <w:rsid w:val="00770EF1"/>
    <w:rsid w:val="00772EAB"/>
    <w:rsid w:val="00773EF7"/>
    <w:rsid w:val="00774D5F"/>
    <w:rsid w:val="00774DBA"/>
    <w:rsid w:val="00774E1D"/>
    <w:rsid w:val="007765D8"/>
    <w:rsid w:val="0077673D"/>
    <w:rsid w:val="0077675A"/>
    <w:rsid w:val="00780355"/>
    <w:rsid w:val="0078136D"/>
    <w:rsid w:val="007819FD"/>
    <w:rsid w:val="0078279A"/>
    <w:rsid w:val="0078338B"/>
    <w:rsid w:val="00785717"/>
    <w:rsid w:val="00785721"/>
    <w:rsid w:val="00786889"/>
    <w:rsid w:val="00787A44"/>
    <w:rsid w:val="00787FCB"/>
    <w:rsid w:val="007902AF"/>
    <w:rsid w:val="00790AF8"/>
    <w:rsid w:val="007925E4"/>
    <w:rsid w:val="00793A59"/>
    <w:rsid w:val="00795C87"/>
    <w:rsid w:val="00796380"/>
    <w:rsid w:val="00796811"/>
    <w:rsid w:val="00796FBC"/>
    <w:rsid w:val="007A0C1A"/>
    <w:rsid w:val="007A0CEC"/>
    <w:rsid w:val="007A36AB"/>
    <w:rsid w:val="007A46F5"/>
    <w:rsid w:val="007A4E05"/>
    <w:rsid w:val="007A6505"/>
    <w:rsid w:val="007B4DBF"/>
    <w:rsid w:val="007B557E"/>
    <w:rsid w:val="007B6132"/>
    <w:rsid w:val="007B67B4"/>
    <w:rsid w:val="007B6E9F"/>
    <w:rsid w:val="007C1216"/>
    <w:rsid w:val="007C1AF7"/>
    <w:rsid w:val="007C6B9B"/>
    <w:rsid w:val="007D16BB"/>
    <w:rsid w:val="007D3853"/>
    <w:rsid w:val="007D53B6"/>
    <w:rsid w:val="007D7151"/>
    <w:rsid w:val="007E1639"/>
    <w:rsid w:val="007E1F8B"/>
    <w:rsid w:val="007E56EC"/>
    <w:rsid w:val="007E589B"/>
    <w:rsid w:val="007F27FC"/>
    <w:rsid w:val="007F59EC"/>
    <w:rsid w:val="00800459"/>
    <w:rsid w:val="0080205D"/>
    <w:rsid w:val="00803433"/>
    <w:rsid w:val="00805D27"/>
    <w:rsid w:val="00806DCB"/>
    <w:rsid w:val="00816C9C"/>
    <w:rsid w:val="00821776"/>
    <w:rsid w:val="00821EB7"/>
    <w:rsid w:val="008224C0"/>
    <w:rsid w:val="00822730"/>
    <w:rsid w:val="00826ED5"/>
    <w:rsid w:val="00831F5A"/>
    <w:rsid w:val="008321F5"/>
    <w:rsid w:val="00832369"/>
    <w:rsid w:val="00834660"/>
    <w:rsid w:val="00836BC2"/>
    <w:rsid w:val="00840359"/>
    <w:rsid w:val="00844131"/>
    <w:rsid w:val="0084512E"/>
    <w:rsid w:val="00845D65"/>
    <w:rsid w:val="0085156D"/>
    <w:rsid w:val="00852B28"/>
    <w:rsid w:val="0085641B"/>
    <w:rsid w:val="00857136"/>
    <w:rsid w:val="00874F23"/>
    <w:rsid w:val="00875A6B"/>
    <w:rsid w:val="00881310"/>
    <w:rsid w:val="008855B9"/>
    <w:rsid w:val="00885B11"/>
    <w:rsid w:val="00886D15"/>
    <w:rsid w:val="00887DD8"/>
    <w:rsid w:val="00890163"/>
    <w:rsid w:val="00891BA9"/>
    <w:rsid w:val="0089549A"/>
    <w:rsid w:val="00896018"/>
    <w:rsid w:val="008960DD"/>
    <w:rsid w:val="0089635C"/>
    <w:rsid w:val="008A2B9D"/>
    <w:rsid w:val="008A3D9F"/>
    <w:rsid w:val="008A49BF"/>
    <w:rsid w:val="008A5E0B"/>
    <w:rsid w:val="008A6D59"/>
    <w:rsid w:val="008B1B9B"/>
    <w:rsid w:val="008B4B03"/>
    <w:rsid w:val="008B596F"/>
    <w:rsid w:val="008B74A1"/>
    <w:rsid w:val="008C0886"/>
    <w:rsid w:val="008C159F"/>
    <w:rsid w:val="008C1623"/>
    <w:rsid w:val="008C1850"/>
    <w:rsid w:val="008C19E8"/>
    <w:rsid w:val="008C1DB3"/>
    <w:rsid w:val="008C51A9"/>
    <w:rsid w:val="008C730D"/>
    <w:rsid w:val="008D5EB3"/>
    <w:rsid w:val="008E278F"/>
    <w:rsid w:val="008E7846"/>
    <w:rsid w:val="008F02E5"/>
    <w:rsid w:val="008F0EAA"/>
    <w:rsid w:val="008F1C4B"/>
    <w:rsid w:val="008F1CCC"/>
    <w:rsid w:val="008F2217"/>
    <w:rsid w:val="008F2967"/>
    <w:rsid w:val="008F4EF4"/>
    <w:rsid w:val="008F6943"/>
    <w:rsid w:val="00902A21"/>
    <w:rsid w:val="0090548F"/>
    <w:rsid w:val="00906DE9"/>
    <w:rsid w:val="009078AD"/>
    <w:rsid w:val="0091523F"/>
    <w:rsid w:val="0092001E"/>
    <w:rsid w:val="00920330"/>
    <w:rsid w:val="009219D7"/>
    <w:rsid w:val="00922D53"/>
    <w:rsid w:val="00923A29"/>
    <w:rsid w:val="00923B70"/>
    <w:rsid w:val="00924482"/>
    <w:rsid w:val="009249B3"/>
    <w:rsid w:val="00925937"/>
    <w:rsid w:val="009268F1"/>
    <w:rsid w:val="00930237"/>
    <w:rsid w:val="00935F1C"/>
    <w:rsid w:val="00937C17"/>
    <w:rsid w:val="00940A89"/>
    <w:rsid w:val="00941F77"/>
    <w:rsid w:val="00944F5D"/>
    <w:rsid w:val="00946EA5"/>
    <w:rsid w:val="00947058"/>
    <w:rsid w:val="00947307"/>
    <w:rsid w:val="00952226"/>
    <w:rsid w:val="009524DA"/>
    <w:rsid w:val="009548CD"/>
    <w:rsid w:val="00960213"/>
    <w:rsid w:val="00960520"/>
    <w:rsid w:val="009624CD"/>
    <w:rsid w:val="00963C08"/>
    <w:rsid w:val="009652FA"/>
    <w:rsid w:val="00965BDC"/>
    <w:rsid w:val="0097227C"/>
    <w:rsid w:val="009732AB"/>
    <w:rsid w:val="009752A5"/>
    <w:rsid w:val="00975AF4"/>
    <w:rsid w:val="00976824"/>
    <w:rsid w:val="00977514"/>
    <w:rsid w:val="00977B39"/>
    <w:rsid w:val="00982350"/>
    <w:rsid w:val="00984188"/>
    <w:rsid w:val="0098585A"/>
    <w:rsid w:val="00986AD3"/>
    <w:rsid w:val="0099014C"/>
    <w:rsid w:val="0099295F"/>
    <w:rsid w:val="009933EB"/>
    <w:rsid w:val="00996D02"/>
    <w:rsid w:val="00997AB9"/>
    <w:rsid w:val="009A4CED"/>
    <w:rsid w:val="009A690D"/>
    <w:rsid w:val="009A7444"/>
    <w:rsid w:val="009A77B4"/>
    <w:rsid w:val="009B0F63"/>
    <w:rsid w:val="009B1D12"/>
    <w:rsid w:val="009B2832"/>
    <w:rsid w:val="009B416B"/>
    <w:rsid w:val="009B4444"/>
    <w:rsid w:val="009B6D45"/>
    <w:rsid w:val="009C1434"/>
    <w:rsid w:val="009C4BD5"/>
    <w:rsid w:val="009D70DA"/>
    <w:rsid w:val="009D7B77"/>
    <w:rsid w:val="009E0BB0"/>
    <w:rsid w:val="009E3FBB"/>
    <w:rsid w:val="009F2467"/>
    <w:rsid w:val="009F26A8"/>
    <w:rsid w:val="009F2B93"/>
    <w:rsid w:val="009F3536"/>
    <w:rsid w:val="009F61D8"/>
    <w:rsid w:val="009F7353"/>
    <w:rsid w:val="00A01668"/>
    <w:rsid w:val="00A02650"/>
    <w:rsid w:val="00A04F85"/>
    <w:rsid w:val="00A05FA4"/>
    <w:rsid w:val="00A102E4"/>
    <w:rsid w:val="00A113C2"/>
    <w:rsid w:val="00A1219C"/>
    <w:rsid w:val="00A12C42"/>
    <w:rsid w:val="00A14DF7"/>
    <w:rsid w:val="00A15C27"/>
    <w:rsid w:val="00A21092"/>
    <w:rsid w:val="00A22D57"/>
    <w:rsid w:val="00A24C6B"/>
    <w:rsid w:val="00A3246D"/>
    <w:rsid w:val="00A32C5A"/>
    <w:rsid w:val="00A32D67"/>
    <w:rsid w:val="00A36FA7"/>
    <w:rsid w:val="00A4413F"/>
    <w:rsid w:val="00A44DDB"/>
    <w:rsid w:val="00A4613E"/>
    <w:rsid w:val="00A475B7"/>
    <w:rsid w:val="00A47AF7"/>
    <w:rsid w:val="00A47C3E"/>
    <w:rsid w:val="00A50226"/>
    <w:rsid w:val="00A50D87"/>
    <w:rsid w:val="00A52CD8"/>
    <w:rsid w:val="00A52E8F"/>
    <w:rsid w:val="00A534BB"/>
    <w:rsid w:val="00A57AB8"/>
    <w:rsid w:val="00A60BAD"/>
    <w:rsid w:val="00A628B7"/>
    <w:rsid w:val="00A6417F"/>
    <w:rsid w:val="00A661BF"/>
    <w:rsid w:val="00A73BEA"/>
    <w:rsid w:val="00A73D3E"/>
    <w:rsid w:val="00A76DEE"/>
    <w:rsid w:val="00A77F87"/>
    <w:rsid w:val="00A80B5B"/>
    <w:rsid w:val="00A845E8"/>
    <w:rsid w:val="00A84E36"/>
    <w:rsid w:val="00A964D1"/>
    <w:rsid w:val="00AA0ED0"/>
    <w:rsid w:val="00AA2819"/>
    <w:rsid w:val="00AA2D53"/>
    <w:rsid w:val="00AA3706"/>
    <w:rsid w:val="00AA414F"/>
    <w:rsid w:val="00AB2997"/>
    <w:rsid w:val="00AB2DDC"/>
    <w:rsid w:val="00AB5E9E"/>
    <w:rsid w:val="00AC2B40"/>
    <w:rsid w:val="00AC2BB2"/>
    <w:rsid w:val="00AC2C3C"/>
    <w:rsid w:val="00AC512D"/>
    <w:rsid w:val="00AD0083"/>
    <w:rsid w:val="00AD178B"/>
    <w:rsid w:val="00AD22E0"/>
    <w:rsid w:val="00AD2CA9"/>
    <w:rsid w:val="00AD3778"/>
    <w:rsid w:val="00AD3935"/>
    <w:rsid w:val="00AD526E"/>
    <w:rsid w:val="00AE3724"/>
    <w:rsid w:val="00AE53D6"/>
    <w:rsid w:val="00AE65EB"/>
    <w:rsid w:val="00AE67A7"/>
    <w:rsid w:val="00AF1407"/>
    <w:rsid w:val="00AF1D94"/>
    <w:rsid w:val="00AF60C5"/>
    <w:rsid w:val="00AF62BD"/>
    <w:rsid w:val="00AF7C3A"/>
    <w:rsid w:val="00B00971"/>
    <w:rsid w:val="00B009C6"/>
    <w:rsid w:val="00B00E1E"/>
    <w:rsid w:val="00B01548"/>
    <w:rsid w:val="00B11FB2"/>
    <w:rsid w:val="00B130C5"/>
    <w:rsid w:val="00B13EBD"/>
    <w:rsid w:val="00B21BDD"/>
    <w:rsid w:val="00B21D29"/>
    <w:rsid w:val="00B22B08"/>
    <w:rsid w:val="00B25034"/>
    <w:rsid w:val="00B2631C"/>
    <w:rsid w:val="00B270D9"/>
    <w:rsid w:val="00B31E90"/>
    <w:rsid w:val="00B33588"/>
    <w:rsid w:val="00B33863"/>
    <w:rsid w:val="00B33AD5"/>
    <w:rsid w:val="00B35EA8"/>
    <w:rsid w:val="00B37D17"/>
    <w:rsid w:val="00B4175E"/>
    <w:rsid w:val="00B41C85"/>
    <w:rsid w:val="00B452CE"/>
    <w:rsid w:val="00B46D78"/>
    <w:rsid w:val="00B51A13"/>
    <w:rsid w:val="00B5417D"/>
    <w:rsid w:val="00B54C25"/>
    <w:rsid w:val="00B56A57"/>
    <w:rsid w:val="00B64252"/>
    <w:rsid w:val="00B74024"/>
    <w:rsid w:val="00B76B91"/>
    <w:rsid w:val="00B778EC"/>
    <w:rsid w:val="00B77EB1"/>
    <w:rsid w:val="00B811C6"/>
    <w:rsid w:val="00B836AE"/>
    <w:rsid w:val="00B855B0"/>
    <w:rsid w:val="00B855FE"/>
    <w:rsid w:val="00B92E08"/>
    <w:rsid w:val="00B93B68"/>
    <w:rsid w:val="00B965E6"/>
    <w:rsid w:val="00BA3F08"/>
    <w:rsid w:val="00BB2064"/>
    <w:rsid w:val="00BC2878"/>
    <w:rsid w:val="00BC622A"/>
    <w:rsid w:val="00BD0BC6"/>
    <w:rsid w:val="00BE091D"/>
    <w:rsid w:val="00BE0A78"/>
    <w:rsid w:val="00BE343B"/>
    <w:rsid w:val="00BE79F0"/>
    <w:rsid w:val="00BF046D"/>
    <w:rsid w:val="00BF1190"/>
    <w:rsid w:val="00BF2DA0"/>
    <w:rsid w:val="00BF3774"/>
    <w:rsid w:val="00BF5D04"/>
    <w:rsid w:val="00BF6117"/>
    <w:rsid w:val="00C009AA"/>
    <w:rsid w:val="00C10840"/>
    <w:rsid w:val="00C1164D"/>
    <w:rsid w:val="00C1294C"/>
    <w:rsid w:val="00C14489"/>
    <w:rsid w:val="00C16861"/>
    <w:rsid w:val="00C2003F"/>
    <w:rsid w:val="00C223A8"/>
    <w:rsid w:val="00C22BC8"/>
    <w:rsid w:val="00C2329A"/>
    <w:rsid w:val="00C2515D"/>
    <w:rsid w:val="00C346AB"/>
    <w:rsid w:val="00C36B6D"/>
    <w:rsid w:val="00C404A6"/>
    <w:rsid w:val="00C40A36"/>
    <w:rsid w:val="00C41281"/>
    <w:rsid w:val="00C42B35"/>
    <w:rsid w:val="00C44419"/>
    <w:rsid w:val="00C45E7B"/>
    <w:rsid w:val="00C471B1"/>
    <w:rsid w:val="00C501AA"/>
    <w:rsid w:val="00C525A2"/>
    <w:rsid w:val="00C52E24"/>
    <w:rsid w:val="00C53D48"/>
    <w:rsid w:val="00C5543F"/>
    <w:rsid w:val="00C62310"/>
    <w:rsid w:val="00C6316B"/>
    <w:rsid w:val="00C634A9"/>
    <w:rsid w:val="00C64586"/>
    <w:rsid w:val="00C64F38"/>
    <w:rsid w:val="00C67A87"/>
    <w:rsid w:val="00C70A36"/>
    <w:rsid w:val="00C70D53"/>
    <w:rsid w:val="00C73632"/>
    <w:rsid w:val="00C73D0B"/>
    <w:rsid w:val="00C74F5C"/>
    <w:rsid w:val="00C76DA0"/>
    <w:rsid w:val="00C772FF"/>
    <w:rsid w:val="00C77B72"/>
    <w:rsid w:val="00C80137"/>
    <w:rsid w:val="00C801AF"/>
    <w:rsid w:val="00C80256"/>
    <w:rsid w:val="00C8073F"/>
    <w:rsid w:val="00C81BE4"/>
    <w:rsid w:val="00C874E5"/>
    <w:rsid w:val="00C90327"/>
    <w:rsid w:val="00C93A89"/>
    <w:rsid w:val="00C94CD4"/>
    <w:rsid w:val="00C9747E"/>
    <w:rsid w:val="00C97F51"/>
    <w:rsid w:val="00CA28F3"/>
    <w:rsid w:val="00CA4BE7"/>
    <w:rsid w:val="00CA535D"/>
    <w:rsid w:val="00CA5E51"/>
    <w:rsid w:val="00CB0BB5"/>
    <w:rsid w:val="00CB1EE4"/>
    <w:rsid w:val="00CB3E2B"/>
    <w:rsid w:val="00CB69DB"/>
    <w:rsid w:val="00CB6BC0"/>
    <w:rsid w:val="00CB7A87"/>
    <w:rsid w:val="00CC1B7C"/>
    <w:rsid w:val="00CC33F5"/>
    <w:rsid w:val="00CC4333"/>
    <w:rsid w:val="00CC727F"/>
    <w:rsid w:val="00CD173F"/>
    <w:rsid w:val="00CD46D0"/>
    <w:rsid w:val="00CD75DF"/>
    <w:rsid w:val="00CD7D0C"/>
    <w:rsid w:val="00CE274D"/>
    <w:rsid w:val="00CE4546"/>
    <w:rsid w:val="00CF15C3"/>
    <w:rsid w:val="00CF22A2"/>
    <w:rsid w:val="00CF2B6F"/>
    <w:rsid w:val="00CF2F3E"/>
    <w:rsid w:val="00CF490A"/>
    <w:rsid w:val="00CF58B6"/>
    <w:rsid w:val="00CF5DAD"/>
    <w:rsid w:val="00CF62F5"/>
    <w:rsid w:val="00CF7804"/>
    <w:rsid w:val="00D0062D"/>
    <w:rsid w:val="00D017ED"/>
    <w:rsid w:val="00D040D3"/>
    <w:rsid w:val="00D04642"/>
    <w:rsid w:val="00D04C65"/>
    <w:rsid w:val="00D06701"/>
    <w:rsid w:val="00D10A8F"/>
    <w:rsid w:val="00D10DFB"/>
    <w:rsid w:val="00D13AAB"/>
    <w:rsid w:val="00D153D8"/>
    <w:rsid w:val="00D1745D"/>
    <w:rsid w:val="00D201D2"/>
    <w:rsid w:val="00D221B9"/>
    <w:rsid w:val="00D224FE"/>
    <w:rsid w:val="00D23139"/>
    <w:rsid w:val="00D2663A"/>
    <w:rsid w:val="00D2703F"/>
    <w:rsid w:val="00D30247"/>
    <w:rsid w:val="00D314F2"/>
    <w:rsid w:val="00D32865"/>
    <w:rsid w:val="00D37717"/>
    <w:rsid w:val="00D41553"/>
    <w:rsid w:val="00D425BB"/>
    <w:rsid w:val="00D444FE"/>
    <w:rsid w:val="00D45219"/>
    <w:rsid w:val="00D453FA"/>
    <w:rsid w:val="00D52EFB"/>
    <w:rsid w:val="00D532B3"/>
    <w:rsid w:val="00D5576A"/>
    <w:rsid w:val="00D60601"/>
    <w:rsid w:val="00D6086D"/>
    <w:rsid w:val="00D611AD"/>
    <w:rsid w:val="00D638B0"/>
    <w:rsid w:val="00D6493E"/>
    <w:rsid w:val="00D65098"/>
    <w:rsid w:val="00D70ACC"/>
    <w:rsid w:val="00D70EE8"/>
    <w:rsid w:val="00D7195D"/>
    <w:rsid w:val="00D7301E"/>
    <w:rsid w:val="00D75714"/>
    <w:rsid w:val="00D769FE"/>
    <w:rsid w:val="00D77D3F"/>
    <w:rsid w:val="00D83AE1"/>
    <w:rsid w:val="00D855D4"/>
    <w:rsid w:val="00D902A3"/>
    <w:rsid w:val="00D902C9"/>
    <w:rsid w:val="00D92612"/>
    <w:rsid w:val="00D93466"/>
    <w:rsid w:val="00D96030"/>
    <w:rsid w:val="00D9756A"/>
    <w:rsid w:val="00DA1124"/>
    <w:rsid w:val="00DA2417"/>
    <w:rsid w:val="00DA54F9"/>
    <w:rsid w:val="00DA64CB"/>
    <w:rsid w:val="00DA6DDC"/>
    <w:rsid w:val="00DA75F1"/>
    <w:rsid w:val="00DA7795"/>
    <w:rsid w:val="00DB06B8"/>
    <w:rsid w:val="00DB481D"/>
    <w:rsid w:val="00DB6124"/>
    <w:rsid w:val="00DB6FDE"/>
    <w:rsid w:val="00DB750B"/>
    <w:rsid w:val="00DB75B7"/>
    <w:rsid w:val="00DC02EC"/>
    <w:rsid w:val="00DC0A2F"/>
    <w:rsid w:val="00DC1948"/>
    <w:rsid w:val="00DC1F36"/>
    <w:rsid w:val="00DC2D97"/>
    <w:rsid w:val="00DC6E02"/>
    <w:rsid w:val="00DC79E8"/>
    <w:rsid w:val="00DC7B62"/>
    <w:rsid w:val="00DD04F3"/>
    <w:rsid w:val="00DD2311"/>
    <w:rsid w:val="00DD28CD"/>
    <w:rsid w:val="00DD534D"/>
    <w:rsid w:val="00DE02AE"/>
    <w:rsid w:val="00DE09D2"/>
    <w:rsid w:val="00DE2562"/>
    <w:rsid w:val="00DE277A"/>
    <w:rsid w:val="00DE39D1"/>
    <w:rsid w:val="00DE471C"/>
    <w:rsid w:val="00DE51AF"/>
    <w:rsid w:val="00DE595E"/>
    <w:rsid w:val="00DE6E60"/>
    <w:rsid w:val="00DF1D7F"/>
    <w:rsid w:val="00DF2E3A"/>
    <w:rsid w:val="00DF4BE4"/>
    <w:rsid w:val="00DF6EBB"/>
    <w:rsid w:val="00E02382"/>
    <w:rsid w:val="00E02FB4"/>
    <w:rsid w:val="00E0424B"/>
    <w:rsid w:val="00E062DD"/>
    <w:rsid w:val="00E07684"/>
    <w:rsid w:val="00E11829"/>
    <w:rsid w:val="00E11D27"/>
    <w:rsid w:val="00E12040"/>
    <w:rsid w:val="00E13FC7"/>
    <w:rsid w:val="00E20571"/>
    <w:rsid w:val="00E235F7"/>
    <w:rsid w:val="00E23659"/>
    <w:rsid w:val="00E239D4"/>
    <w:rsid w:val="00E26130"/>
    <w:rsid w:val="00E30605"/>
    <w:rsid w:val="00E307A2"/>
    <w:rsid w:val="00E32132"/>
    <w:rsid w:val="00E328E2"/>
    <w:rsid w:val="00E40B22"/>
    <w:rsid w:val="00E42298"/>
    <w:rsid w:val="00E42C5C"/>
    <w:rsid w:val="00E44ED1"/>
    <w:rsid w:val="00E45349"/>
    <w:rsid w:val="00E45619"/>
    <w:rsid w:val="00E4588F"/>
    <w:rsid w:val="00E45F95"/>
    <w:rsid w:val="00E46DA3"/>
    <w:rsid w:val="00E4779F"/>
    <w:rsid w:val="00E50B43"/>
    <w:rsid w:val="00E51A5C"/>
    <w:rsid w:val="00E51BB1"/>
    <w:rsid w:val="00E52F20"/>
    <w:rsid w:val="00E54B5A"/>
    <w:rsid w:val="00E54FFE"/>
    <w:rsid w:val="00E55CB0"/>
    <w:rsid w:val="00E60E0C"/>
    <w:rsid w:val="00E624A5"/>
    <w:rsid w:val="00E63F59"/>
    <w:rsid w:val="00E645D5"/>
    <w:rsid w:val="00E64BA4"/>
    <w:rsid w:val="00E675AD"/>
    <w:rsid w:val="00E7086C"/>
    <w:rsid w:val="00E726E3"/>
    <w:rsid w:val="00E72EC8"/>
    <w:rsid w:val="00E7344E"/>
    <w:rsid w:val="00E75780"/>
    <w:rsid w:val="00E82665"/>
    <w:rsid w:val="00E853F1"/>
    <w:rsid w:val="00E86D1B"/>
    <w:rsid w:val="00E93008"/>
    <w:rsid w:val="00E94A17"/>
    <w:rsid w:val="00E95664"/>
    <w:rsid w:val="00E95BA3"/>
    <w:rsid w:val="00EA613D"/>
    <w:rsid w:val="00EA77B4"/>
    <w:rsid w:val="00EB0798"/>
    <w:rsid w:val="00EB1012"/>
    <w:rsid w:val="00EB34B5"/>
    <w:rsid w:val="00EB40AD"/>
    <w:rsid w:val="00EB420D"/>
    <w:rsid w:val="00EB586E"/>
    <w:rsid w:val="00EB5FC8"/>
    <w:rsid w:val="00EB74E5"/>
    <w:rsid w:val="00EC2EAF"/>
    <w:rsid w:val="00EC3B4B"/>
    <w:rsid w:val="00EC463D"/>
    <w:rsid w:val="00EC7A85"/>
    <w:rsid w:val="00ED015C"/>
    <w:rsid w:val="00ED2922"/>
    <w:rsid w:val="00ED2EE5"/>
    <w:rsid w:val="00ED3CAD"/>
    <w:rsid w:val="00ED51A8"/>
    <w:rsid w:val="00ED5A41"/>
    <w:rsid w:val="00ED6017"/>
    <w:rsid w:val="00ED71D7"/>
    <w:rsid w:val="00EE052A"/>
    <w:rsid w:val="00EE1DE8"/>
    <w:rsid w:val="00EE27C2"/>
    <w:rsid w:val="00EE2A8E"/>
    <w:rsid w:val="00EE7769"/>
    <w:rsid w:val="00EF023B"/>
    <w:rsid w:val="00EF4BAD"/>
    <w:rsid w:val="00EF59DC"/>
    <w:rsid w:val="00F01C5C"/>
    <w:rsid w:val="00F033EC"/>
    <w:rsid w:val="00F04F68"/>
    <w:rsid w:val="00F07CE3"/>
    <w:rsid w:val="00F100AC"/>
    <w:rsid w:val="00F12670"/>
    <w:rsid w:val="00F14B27"/>
    <w:rsid w:val="00F16C35"/>
    <w:rsid w:val="00F20F0C"/>
    <w:rsid w:val="00F25BB1"/>
    <w:rsid w:val="00F27D64"/>
    <w:rsid w:val="00F3148D"/>
    <w:rsid w:val="00F325C5"/>
    <w:rsid w:val="00F32FE0"/>
    <w:rsid w:val="00F35298"/>
    <w:rsid w:val="00F377B1"/>
    <w:rsid w:val="00F44B19"/>
    <w:rsid w:val="00F4689A"/>
    <w:rsid w:val="00F47333"/>
    <w:rsid w:val="00F479B6"/>
    <w:rsid w:val="00F47E37"/>
    <w:rsid w:val="00F53C07"/>
    <w:rsid w:val="00F54B65"/>
    <w:rsid w:val="00F56241"/>
    <w:rsid w:val="00F56DAC"/>
    <w:rsid w:val="00F57613"/>
    <w:rsid w:val="00F63FFF"/>
    <w:rsid w:val="00F640B6"/>
    <w:rsid w:val="00F65DF7"/>
    <w:rsid w:val="00F66DF2"/>
    <w:rsid w:val="00F6735A"/>
    <w:rsid w:val="00F678C2"/>
    <w:rsid w:val="00F80A9D"/>
    <w:rsid w:val="00F80E40"/>
    <w:rsid w:val="00F81A04"/>
    <w:rsid w:val="00F848D9"/>
    <w:rsid w:val="00F85331"/>
    <w:rsid w:val="00F85686"/>
    <w:rsid w:val="00F85A8C"/>
    <w:rsid w:val="00F90F45"/>
    <w:rsid w:val="00F91153"/>
    <w:rsid w:val="00F923A9"/>
    <w:rsid w:val="00F93F35"/>
    <w:rsid w:val="00F940EB"/>
    <w:rsid w:val="00F97823"/>
    <w:rsid w:val="00FA0029"/>
    <w:rsid w:val="00FA29C9"/>
    <w:rsid w:val="00FA4F8D"/>
    <w:rsid w:val="00FA5069"/>
    <w:rsid w:val="00FA5B82"/>
    <w:rsid w:val="00FA639E"/>
    <w:rsid w:val="00FA6CAA"/>
    <w:rsid w:val="00FA7811"/>
    <w:rsid w:val="00FB09CC"/>
    <w:rsid w:val="00FB3AEF"/>
    <w:rsid w:val="00FB4E3F"/>
    <w:rsid w:val="00FB4EB4"/>
    <w:rsid w:val="00FB6A10"/>
    <w:rsid w:val="00FC1FCA"/>
    <w:rsid w:val="00FC25E4"/>
    <w:rsid w:val="00FC3211"/>
    <w:rsid w:val="00FC43D4"/>
    <w:rsid w:val="00FC4EF7"/>
    <w:rsid w:val="00FC622B"/>
    <w:rsid w:val="00FD029C"/>
    <w:rsid w:val="00FD0824"/>
    <w:rsid w:val="00FD119B"/>
    <w:rsid w:val="00FD17AB"/>
    <w:rsid w:val="00FD1EDC"/>
    <w:rsid w:val="00FE08E8"/>
    <w:rsid w:val="00FE1DEE"/>
    <w:rsid w:val="00FE1F5F"/>
    <w:rsid w:val="00FE5B9C"/>
    <w:rsid w:val="00FF2126"/>
    <w:rsid w:val="00FF2412"/>
    <w:rsid w:val="00FF2AB9"/>
    <w:rsid w:val="00FF3E95"/>
    <w:rsid w:val="00FF5755"/>
    <w:rsid w:val="00FF69BE"/>
    <w:rsid w:val="00FF7B93"/>
    <w:rsid w:val="0430A5E4"/>
    <w:rsid w:val="1B119418"/>
    <w:rsid w:val="1CE679BC"/>
    <w:rsid w:val="2D3CF300"/>
    <w:rsid w:val="31305E00"/>
    <w:rsid w:val="79197B06"/>
    <w:rsid w:val="7B2F9C9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A63111"/>
  <w15:docId w15:val="{41D609F8-429A-45B6-A021-B66DD6F0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C2F38"/>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0"/>
      </w:numPr>
      <w:ind w:left="425" w:hanging="425"/>
    </w:pPr>
  </w:style>
  <w:style w:type="paragraph" w:customStyle="1" w:styleId="Numberbullet2">
    <w:name w:val="Number bullet 2"/>
    <w:basedOn w:val="ListBullet2"/>
    <w:uiPriority w:val="2"/>
    <w:qFormat/>
    <w:rsid w:val="004C2DCA"/>
    <w:pPr>
      <w:numPr>
        <w:ilvl w:val="0"/>
        <w:numId w:val="0"/>
      </w:numPr>
      <w:ind w:left="851" w:hanging="426"/>
    </w:pPr>
  </w:style>
  <w:style w:type="paragraph" w:customStyle="1" w:styleId="Numberbullet3">
    <w:name w:val="Number bullet 3"/>
    <w:basedOn w:val="ListBullet3"/>
    <w:uiPriority w:val="2"/>
    <w:qFormat/>
    <w:rsid w:val="004C2DCA"/>
    <w:pPr>
      <w:numPr>
        <w:ilvl w:val="0"/>
        <w:numId w:val="0"/>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9F26A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line="240" w:lineRule="auto"/>
      <w:ind w:left="720"/>
    </w:pPr>
    <w:rPr>
      <w:rFonts w:eastAsia="Times New Roman"/>
      <w:kern w:val="16"/>
      <w:szCs w:val="24"/>
      <w:lang w:eastAsia="en-AU"/>
    </w:rPr>
  </w:style>
  <w:style w:type="paragraph" w:customStyle="1" w:styleId="Standard">
    <w:name w:val="Standard"/>
    <w:basedOn w:val="Normal"/>
    <w:link w:val="StandardChar"/>
    <w:qFormat/>
    <w:rsid w:val="00742EA6"/>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742EA6"/>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742EA6"/>
    <w:pPr>
      <w:numPr>
        <w:numId w:val="36"/>
      </w:numPr>
      <w:spacing w:after="180"/>
      <w:ind w:left="426" w:hanging="284"/>
    </w:pPr>
    <w:rPr>
      <w:kern w:val="2"/>
    </w:rPr>
  </w:style>
  <w:style w:type="character" w:customStyle="1" w:styleId="TabletextChar">
    <w:name w:val="Table text Char"/>
    <w:basedOn w:val="StandardChar"/>
    <w:link w:val="Tabletext"/>
    <w:rsid w:val="00742EA6"/>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742EA6"/>
    <w:rPr>
      <w:rFonts w:ascii="Cambria" w:eastAsia="Times New Roman" w:hAnsi="Cambria" w:cs="Times New Roman"/>
      <w:snapToGrid w:val="0"/>
      <w:kern w:val="2"/>
      <w:sz w:val="23"/>
      <w:szCs w:val="24"/>
    </w:rPr>
  </w:style>
  <w:style w:type="paragraph" w:customStyle="1" w:styleId="Bulletpoint">
    <w:name w:val="Bullet point"/>
    <w:basedOn w:val="Standard"/>
    <w:rsid w:val="00273F4D"/>
    <w:pPr>
      <w:numPr>
        <w:numId w:val="38"/>
      </w:numPr>
      <w:tabs>
        <w:tab w:val="clear" w:pos="369"/>
        <w:tab w:val="num" w:pos="360"/>
        <w:tab w:val="left" w:pos="397"/>
      </w:tabs>
      <w:spacing w:after="180"/>
      <w:ind w:left="0" w:firstLine="0"/>
    </w:pPr>
    <w:rPr>
      <w:sz w:val="22"/>
    </w:rPr>
  </w:style>
  <w:style w:type="paragraph" w:customStyle="1" w:styleId="Default">
    <w:name w:val="Default"/>
    <w:rsid w:val="007E56EC"/>
    <w:pPr>
      <w:autoSpaceDE w:val="0"/>
      <w:autoSpaceDN w:val="0"/>
      <w:adjustRightInd w:val="0"/>
      <w:spacing w:after="0" w:line="240" w:lineRule="auto"/>
    </w:pPr>
    <w:rPr>
      <w:rFonts w:ascii="Cambria" w:hAnsi="Cambria" w:cs="Cambria"/>
      <w:color w:val="000000"/>
      <w:sz w:val="24"/>
      <w:szCs w:val="24"/>
    </w:rPr>
  </w:style>
  <w:style w:type="table" w:customStyle="1" w:styleId="TableTGAblue1">
    <w:name w:val="Table TGA blue1"/>
    <w:basedOn w:val="TableNormal"/>
    <w:uiPriority w:val="99"/>
    <w:qFormat/>
    <w:rsid w:val="00E42298"/>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Mention1">
    <w:name w:val="Mention1"/>
    <w:basedOn w:val="DefaultParagraphFont"/>
    <w:uiPriority w:val="99"/>
    <w:unhideWhenUsed/>
    <w:rPr>
      <w:color w:val="2B579A"/>
      <w:shd w:val="clear" w:color="auto" w:fill="E6E6E6"/>
    </w:rPr>
  </w:style>
  <w:style w:type="character" w:customStyle="1" w:styleId="spellingerror">
    <w:name w:val="spellingerror"/>
    <w:basedOn w:val="DefaultParagraphFont"/>
    <w:rsid w:val="00390DD0"/>
  </w:style>
  <w:style w:type="character" w:customStyle="1" w:styleId="normaltextrun">
    <w:name w:val="normaltextrun"/>
    <w:basedOn w:val="DefaultParagraphFont"/>
    <w:rsid w:val="0039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9766">
      <w:bodyDiv w:val="1"/>
      <w:marLeft w:val="0"/>
      <w:marRight w:val="0"/>
      <w:marTop w:val="0"/>
      <w:marBottom w:val="0"/>
      <w:divBdr>
        <w:top w:val="none" w:sz="0" w:space="0" w:color="auto"/>
        <w:left w:val="none" w:sz="0" w:space="0" w:color="auto"/>
        <w:bottom w:val="none" w:sz="0" w:space="0" w:color="auto"/>
        <w:right w:val="none" w:sz="0" w:space="0" w:color="auto"/>
      </w:divBdr>
    </w:div>
    <w:div w:id="685013601">
      <w:bodyDiv w:val="1"/>
      <w:marLeft w:val="0"/>
      <w:marRight w:val="0"/>
      <w:marTop w:val="0"/>
      <w:marBottom w:val="0"/>
      <w:divBdr>
        <w:top w:val="none" w:sz="0" w:space="0" w:color="auto"/>
        <w:left w:val="none" w:sz="0" w:space="0" w:color="auto"/>
        <w:bottom w:val="none" w:sz="0" w:space="0" w:color="auto"/>
        <w:right w:val="none" w:sz="0" w:space="0" w:color="auto"/>
      </w:divBdr>
    </w:div>
    <w:div w:id="1018508453">
      <w:bodyDiv w:val="1"/>
      <w:marLeft w:val="0"/>
      <w:marRight w:val="0"/>
      <w:marTop w:val="0"/>
      <w:marBottom w:val="0"/>
      <w:divBdr>
        <w:top w:val="none" w:sz="0" w:space="0" w:color="auto"/>
        <w:left w:val="none" w:sz="0" w:space="0" w:color="auto"/>
        <w:bottom w:val="none" w:sz="0" w:space="0" w:color="auto"/>
        <w:right w:val="none" w:sz="0" w:space="0" w:color="auto"/>
      </w:divBdr>
    </w:div>
    <w:div w:id="1136072130">
      <w:bodyDiv w:val="1"/>
      <w:marLeft w:val="0"/>
      <w:marRight w:val="0"/>
      <w:marTop w:val="0"/>
      <w:marBottom w:val="0"/>
      <w:divBdr>
        <w:top w:val="none" w:sz="0" w:space="0" w:color="auto"/>
        <w:left w:val="none" w:sz="0" w:space="0" w:color="auto"/>
        <w:bottom w:val="none" w:sz="0" w:space="0" w:color="auto"/>
        <w:right w:val="none" w:sz="0" w:space="0" w:color="auto"/>
      </w:divBdr>
    </w:div>
    <w:div w:id="1168445950">
      <w:bodyDiv w:val="1"/>
      <w:marLeft w:val="0"/>
      <w:marRight w:val="0"/>
      <w:marTop w:val="0"/>
      <w:marBottom w:val="0"/>
      <w:divBdr>
        <w:top w:val="none" w:sz="0" w:space="0" w:color="auto"/>
        <w:left w:val="none" w:sz="0" w:space="0" w:color="auto"/>
        <w:bottom w:val="none" w:sz="0" w:space="0" w:color="auto"/>
        <w:right w:val="none" w:sz="0" w:space="0" w:color="auto"/>
      </w:divBdr>
    </w:div>
    <w:div w:id="1170952154">
      <w:bodyDiv w:val="1"/>
      <w:marLeft w:val="0"/>
      <w:marRight w:val="0"/>
      <w:marTop w:val="0"/>
      <w:marBottom w:val="0"/>
      <w:divBdr>
        <w:top w:val="none" w:sz="0" w:space="0" w:color="auto"/>
        <w:left w:val="none" w:sz="0" w:space="0" w:color="auto"/>
        <w:bottom w:val="none" w:sz="0" w:space="0" w:color="auto"/>
        <w:right w:val="none" w:sz="0" w:space="0" w:color="auto"/>
      </w:divBdr>
    </w:div>
    <w:div w:id="1200782760">
      <w:bodyDiv w:val="1"/>
      <w:marLeft w:val="0"/>
      <w:marRight w:val="0"/>
      <w:marTop w:val="0"/>
      <w:marBottom w:val="0"/>
      <w:divBdr>
        <w:top w:val="none" w:sz="0" w:space="0" w:color="auto"/>
        <w:left w:val="none" w:sz="0" w:space="0" w:color="auto"/>
        <w:bottom w:val="none" w:sz="0" w:space="0" w:color="auto"/>
        <w:right w:val="none" w:sz="0" w:space="0" w:color="auto"/>
      </w:divBdr>
    </w:div>
    <w:div w:id="1385182157">
      <w:bodyDiv w:val="1"/>
      <w:marLeft w:val="0"/>
      <w:marRight w:val="0"/>
      <w:marTop w:val="0"/>
      <w:marBottom w:val="0"/>
      <w:divBdr>
        <w:top w:val="none" w:sz="0" w:space="0" w:color="auto"/>
        <w:left w:val="none" w:sz="0" w:space="0" w:color="auto"/>
        <w:bottom w:val="none" w:sz="0" w:space="0" w:color="auto"/>
        <w:right w:val="none" w:sz="0" w:space="0" w:color="auto"/>
      </w:divBdr>
    </w:div>
    <w:div w:id="1461415440">
      <w:bodyDiv w:val="1"/>
      <w:marLeft w:val="0"/>
      <w:marRight w:val="0"/>
      <w:marTop w:val="0"/>
      <w:marBottom w:val="0"/>
      <w:divBdr>
        <w:top w:val="none" w:sz="0" w:space="0" w:color="auto"/>
        <w:left w:val="none" w:sz="0" w:space="0" w:color="auto"/>
        <w:bottom w:val="none" w:sz="0" w:space="0" w:color="auto"/>
        <w:right w:val="none" w:sz="0" w:space="0" w:color="auto"/>
      </w:divBdr>
    </w:div>
    <w:div w:id="1610694806">
      <w:bodyDiv w:val="1"/>
      <w:marLeft w:val="0"/>
      <w:marRight w:val="0"/>
      <w:marTop w:val="0"/>
      <w:marBottom w:val="0"/>
      <w:divBdr>
        <w:top w:val="none" w:sz="0" w:space="0" w:color="auto"/>
        <w:left w:val="none" w:sz="0" w:space="0" w:color="auto"/>
        <w:bottom w:val="none" w:sz="0" w:space="0" w:color="auto"/>
        <w:right w:val="none" w:sz="0" w:space="0" w:color="auto"/>
      </w:divBdr>
    </w:div>
    <w:div w:id="186674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tga.gov.au/product-information-pi"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mailto:tga.copyright@tga.gov.au" TargetMode="Externa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header" Target="header7.xml"/><Relationship Id="rId38" Type="http://schemas.openxmlformats.org/officeDocument/2006/relationships/fontTable" Target="fontTable.xml"/><Relationship Id="R82d61624077546b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image" Target="media/image6.png"/><Relationship Id="rId32" Type="http://schemas.openxmlformats.org/officeDocument/2006/relationships/hyperlink" Target="https://www.tga.gov.au" TargetMode="External"/><Relationship Id="rId37" Type="http://schemas.openxmlformats.org/officeDocument/2006/relationships/footer" Target="footer6.xm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tga.gov.au/product-information-pi" TargetMode="External"/><Relationship Id="rId31" Type="http://schemas.openxmlformats.org/officeDocument/2006/relationships/hyperlink" Target="mailto:info@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M\AppData\Local\Hewlett-Packard\HP%20TRIM\TEMP\HPTRIM.71532\D19-5975236%20%20AusPAR%20-%20template%20-%20streamlined(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8EB797A429C64B92364B63517C0FDB" ma:contentTypeVersion="13" ma:contentTypeDescription="Create a new document." ma:contentTypeScope="" ma:versionID="10369cd06b3999b84dd09e400950d884">
  <xsd:schema xmlns:xsd="http://www.w3.org/2001/XMLSchema" xmlns:xs="http://www.w3.org/2001/XMLSchema" xmlns:p="http://schemas.microsoft.com/office/2006/metadata/properties" xmlns:ns3="c39da06a-8dfa-4bdd-8750-5f55bfab8267" xmlns:ns4="f1203e03-61db-4d76-8c9e-3eca686a44dc" targetNamespace="http://schemas.microsoft.com/office/2006/metadata/properties" ma:root="true" ma:fieldsID="6aa2b8dfa8e2f7d8dacae729e7bf9b99" ns3:_="" ns4:_="">
    <xsd:import namespace="c39da06a-8dfa-4bdd-8750-5f55bfab8267"/>
    <xsd:import namespace="f1203e03-61db-4d76-8c9e-3eca686a44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da06a-8dfa-4bdd-8750-5f55bfab8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03e03-61db-4d76-8c9e-3eca686a44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0F633-40CA-48D6-AF27-EC86FED0112F}">
  <ds:schemaRefs>
    <ds:schemaRef ds:uri="http://purl.org/dc/elements/1.1/"/>
    <ds:schemaRef ds:uri="http://schemas.microsoft.com/office/2006/documentManagement/types"/>
    <ds:schemaRef ds:uri="http://purl.org/dc/dcmitype/"/>
    <ds:schemaRef ds:uri="f1203e03-61db-4d76-8c9e-3eca686a44dc"/>
    <ds:schemaRef ds:uri="http://schemas.openxmlformats.org/package/2006/metadata/core-properties"/>
    <ds:schemaRef ds:uri="http://www.w3.org/XML/1998/namespace"/>
    <ds:schemaRef ds:uri="http://purl.org/dc/terms/"/>
    <ds:schemaRef ds:uri="http://schemas.microsoft.com/office/infopath/2007/PartnerControls"/>
    <ds:schemaRef ds:uri="c39da06a-8dfa-4bdd-8750-5f55bfab8267"/>
    <ds:schemaRef ds:uri="http://schemas.microsoft.com/office/2006/metadata/properties"/>
  </ds:schemaRefs>
</ds:datastoreItem>
</file>

<file path=customXml/itemProps2.xml><?xml version="1.0" encoding="utf-8"?>
<ds:datastoreItem xmlns:ds="http://schemas.openxmlformats.org/officeDocument/2006/customXml" ds:itemID="{CF1BF02C-DFF6-4171-A235-BDB107B7F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da06a-8dfa-4bdd-8750-5f55bfab8267"/>
    <ds:schemaRef ds:uri="f1203e03-61db-4d76-8c9e-3eca686a4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ACF82-044D-4996-9610-2BB9DF07C30D}">
  <ds:schemaRefs>
    <ds:schemaRef ds:uri="http://schemas.microsoft.com/sharepoint/v3/contenttype/forms"/>
  </ds:schemaRefs>
</ds:datastoreItem>
</file>

<file path=customXml/itemProps4.xml><?xml version="1.0" encoding="utf-8"?>
<ds:datastoreItem xmlns:ds="http://schemas.openxmlformats.org/officeDocument/2006/customXml" ds:itemID="{62ACE92F-56B9-4E98-A46F-2036114B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streamlined(2).DOTX</Template>
  <TotalTime>15</TotalTime>
  <Pages>27</Pages>
  <Words>8434</Words>
  <Characters>47574</Characters>
  <Application>Microsoft Office Word</Application>
  <DocSecurity>0</DocSecurity>
  <Lines>1132</Lines>
  <Paragraphs>718</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55290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Indacaterol (as acetate) / glycopyrronium (as bromide) / mometasone furoate</dc:title>
  <dc:subject>prescription medicines</dc:subject>
  <dc:creator>Therapeutic Goods Administration</dc:creator>
  <cp:keywords/>
  <cp:lastPrinted>2019-08-14T04:30:00Z</cp:lastPrinted>
  <dcterms:created xsi:type="dcterms:W3CDTF">2021-04-22T05:34:00Z</dcterms:created>
  <dcterms:modified xsi:type="dcterms:W3CDTF">2021-04-22T05:49:00Z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2021-01-28T07:51:29Z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aaec71b3-3661-40cb-9b91-a21618f79d97</vt:lpwstr>
  </property>
  <property fmtid="{D5CDD505-2E9C-101B-9397-08002B2CF9AE}" pid="8" name="MSIP_Label_4929bff8-5b33-42aa-95d2-28f72e792cb0_ContentBits">
    <vt:lpwstr>0</vt:lpwstr>
  </property>
  <property fmtid="{D5CDD505-2E9C-101B-9397-08002B2CF9AE}" pid="9" name="ContentTypeId">
    <vt:lpwstr>0x010100A18EB797A429C64B92364B63517C0FDB</vt:lpwstr>
  </property>
</Properties>
</file>